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0217E59">
        <w:trPr>
          <w:jc w:val="center"/>
        </w:trPr>
        <w:tc>
          <w:tcPr>
            <w:tcW w:w="9711" w:type="dxa"/>
          </w:tcPr>
          <w:p w14:paraId="3A4EDC3A" w14:textId="683B98AE" w:rsidR="001C4138" w:rsidRPr="004F6117" w:rsidRDefault="00767B84" w:rsidP="00362453">
            <w:pPr>
              <w:spacing w:before="120" w:after="120"/>
              <w:rPr>
                <w:rFonts w:ascii="Times New Roman" w:hAnsi="Times New Roman"/>
                <w:b/>
                <w:sz w:val="24"/>
                <w:szCs w:val="24"/>
              </w:rPr>
            </w:pPr>
            <w:r w:rsidRPr="00767B84">
              <w:rPr>
                <w:rFonts w:ascii="Times New Roman" w:hAnsi="Times New Roman"/>
                <w:b/>
                <w:sz w:val="24"/>
                <w:szCs w:val="24"/>
              </w:rPr>
              <w:t>The impact of demography on Social Europe</w:t>
            </w:r>
            <w:r w:rsidR="00362453">
              <w:rPr>
                <w:rFonts w:ascii="Times New Roman" w:hAnsi="Times New Roman"/>
                <w:b/>
                <w:sz w:val="24"/>
                <w:szCs w:val="24"/>
              </w:rPr>
              <w:br/>
            </w:r>
            <w:r w:rsidRPr="00767B84">
              <w:rPr>
                <w:rFonts w:ascii="Times New Roman" w:hAnsi="Times New Roman"/>
                <w:b/>
                <w:sz w:val="24"/>
                <w:szCs w:val="24"/>
              </w:rPr>
              <w:t>(own-initiative opinion)</w:t>
            </w:r>
            <w:r w:rsidRPr="00807B48">
              <w:rPr>
                <w:rFonts w:ascii="Times New Roman" w:hAnsi="Times New Roman"/>
                <w:b/>
                <w:sz w:val="24"/>
                <w:szCs w:val="24"/>
              </w:rPr>
              <w:t xml:space="preserve"> </w:t>
            </w:r>
            <w:r w:rsidR="008630D4">
              <w:rPr>
                <w:rFonts w:ascii="Times New Roman" w:hAnsi="Times New Roman"/>
                <w:b/>
                <w:sz w:val="24"/>
                <w:szCs w:val="24"/>
                <w:lang w:val="en-IE"/>
              </w:rPr>
              <w:br/>
              <w:t xml:space="preserve">EESC </w:t>
            </w:r>
            <w:r w:rsidRPr="00767B84">
              <w:rPr>
                <w:rFonts w:ascii="Times New Roman" w:hAnsi="Times New Roman"/>
                <w:b/>
                <w:sz w:val="24"/>
                <w:szCs w:val="24"/>
                <w:lang w:val="en-IE"/>
              </w:rPr>
              <w:t>2024-00523</w:t>
            </w:r>
            <w:r w:rsidR="008630D4">
              <w:rPr>
                <w:rFonts w:ascii="Times New Roman" w:hAnsi="Times New Roman"/>
                <w:b/>
                <w:sz w:val="24"/>
                <w:szCs w:val="24"/>
                <w:lang w:val="en-IE"/>
              </w:rPr>
              <w:t xml:space="preserve"> </w:t>
            </w:r>
            <w:r w:rsidR="008630D4" w:rsidRPr="008630D4">
              <w:rPr>
                <w:rFonts w:ascii="Times New Roman" w:hAnsi="Times New Roman"/>
                <w:b/>
                <w:sz w:val="24"/>
                <w:szCs w:val="24"/>
                <w:lang w:val="en-IE"/>
              </w:rPr>
              <w:t>–</w:t>
            </w:r>
            <w:r w:rsidR="008630D4">
              <w:rPr>
                <w:rFonts w:ascii="Times New Roman" w:hAnsi="Times New Roman"/>
                <w:b/>
                <w:sz w:val="24"/>
                <w:szCs w:val="24"/>
                <w:lang w:val="en-IE"/>
              </w:rPr>
              <w:t xml:space="preserve"> </w:t>
            </w:r>
            <w:r w:rsidR="008630D4" w:rsidRPr="008630D4">
              <w:rPr>
                <w:rFonts w:ascii="Times New Roman" w:hAnsi="Times New Roman"/>
                <w:b/>
                <w:sz w:val="24"/>
                <w:szCs w:val="24"/>
                <w:lang w:val="en-IE"/>
              </w:rPr>
              <w:t xml:space="preserve">SOC/796 </w:t>
            </w:r>
            <w:r w:rsidR="001C4138" w:rsidRPr="00807B48">
              <w:rPr>
                <w:rFonts w:ascii="Times New Roman" w:hAnsi="Times New Roman"/>
                <w:b/>
                <w:sz w:val="24"/>
                <w:szCs w:val="24"/>
              </w:rPr>
              <w:br/>
            </w:r>
            <w:r w:rsidR="0082165D">
              <w:rPr>
                <w:rFonts w:ascii="Times New Roman" w:hAnsi="Times New Roman"/>
                <w:b/>
                <w:sz w:val="24"/>
                <w:szCs w:val="24"/>
              </w:rPr>
              <w:t>590</w:t>
            </w:r>
            <w:r w:rsidR="0082165D" w:rsidRPr="0082165D">
              <w:rPr>
                <w:rFonts w:ascii="Times New Roman" w:hAnsi="Times New Roman"/>
                <w:b/>
                <w:sz w:val="24"/>
                <w:szCs w:val="24"/>
                <w:vertAlign w:val="superscript"/>
              </w:rPr>
              <w:t>th</w:t>
            </w:r>
            <w:r w:rsidR="0082165D">
              <w:rPr>
                <w:rFonts w:ascii="Times New Roman" w:hAnsi="Times New Roman"/>
                <w:b/>
                <w:sz w:val="24"/>
                <w:szCs w:val="24"/>
              </w:rPr>
              <w:t xml:space="preserve"> </w:t>
            </w:r>
            <w:r w:rsidR="001C4138" w:rsidRPr="00AE3C7C">
              <w:rPr>
                <w:rFonts w:ascii="Times New Roman" w:hAnsi="Times New Roman"/>
                <w:b/>
                <w:sz w:val="24"/>
                <w:szCs w:val="24"/>
              </w:rPr>
              <w:t>Plenary Session –</w:t>
            </w:r>
            <w:r w:rsidR="008630D4">
              <w:rPr>
                <w:rFonts w:ascii="Times New Roman" w:hAnsi="Times New Roman"/>
                <w:b/>
                <w:sz w:val="24"/>
                <w:szCs w:val="24"/>
              </w:rPr>
              <w:t xml:space="preserve"> </w:t>
            </w:r>
            <w:r>
              <w:rPr>
                <w:rFonts w:ascii="Times New Roman" w:hAnsi="Times New Roman"/>
                <w:b/>
                <w:sz w:val="24"/>
                <w:szCs w:val="24"/>
              </w:rPr>
              <w:t>September 2024</w:t>
            </w:r>
            <w:r w:rsidR="001C4138" w:rsidRPr="00807B48">
              <w:rPr>
                <w:rFonts w:ascii="Times New Roman" w:hAnsi="Times New Roman"/>
                <w:b/>
                <w:sz w:val="24"/>
                <w:szCs w:val="24"/>
              </w:rPr>
              <w:br/>
              <w:t xml:space="preserve">Rapporteur: </w:t>
            </w:r>
            <w:r w:rsidRPr="00A379D2">
              <w:rPr>
                <w:rFonts w:ascii="Times New Roman" w:hAnsi="Times New Roman"/>
                <w:b/>
                <w:sz w:val="24"/>
                <w:szCs w:val="24"/>
              </w:rPr>
              <w:t>Christa</w:t>
            </w:r>
            <w:r w:rsidR="001C4138" w:rsidRPr="00A379D2">
              <w:rPr>
                <w:rFonts w:ascii="Times New Roman" w:hAnsi="Times New Roman"/>
                <w:b/>
                <w:sz w:val="24"/>
                <w:szCs w:val="24"/>
              </w:rPr>
              <w:t xml:space="preserve"> </w:t>
            </w:r>
            <w:r w:rsidRPr="00A379D2">
              <w:rPr>
                <w:rFonts w:ascii="Times New Roman" w:hAnsi="Times New Roman"/>
                <w:b/>
                <w:sz w:val="24"/>
                <w:szCs w:val="24"/>
              </w:rPr>
              <w:t>SCHWENG</w:t>
            </w:r>
            <w:r w:rsidR="001C4138">
              <w:rPr>
                <w:rFonts w:ascii="Times New Roman" w:hAnsi="Times New Roman"/>
                <w:b/>
                <w:sz w:val="24"/>
                <w:szCs w:val="24"/>
              </w:rPr>
              <w:t xml:space="preserve"> </w:t>
            </w:r>
            <w:r w:rsidR="00AC31A2">
              <w:rPr>
                <w:rFonts w:ascii="Times New Roman" w:hAnsi="Times New Roman"/>
                <w:b/>
                <w:sz w:val="24"/>
                <w:szCs w:val="24"/>
              </w:rPr>
              <w:t>(</w:t>
            </w:r>
            <w:r w:rsidR="0082165D" w:rsidRPr="0082165D">
              <w:rPr>
                <w:rFonts w:ascii="Times New Roman" w:hAnsi="Times New Roman"/>
                <w:b/>
                <w:sz w:val="24"/>
                <w:szCs w:val="24"/>
              </w:rPr>
              <w:t>G</w:t>
            </w:r>
            <w:r w:rsidR="008630D4">
              <w:rPr>
                <w:rFonts w:ascii="Times New Roman" w:hAnsi="Times New Roman"/>
                <w:b/>
                <w:sz w:val="24"/>
                <w:szCs w:val="24"/>
              </w:rPr>
              <w:t>R</w:t>
            </w:r>
            <w:r w:rsidR="0082165D" w:rsidRPr="0082165D">
              <w:rPr>
                <w:rFonts w:ascii="Times New Roman" w:hAnsi="Times New Roman"/>
                <w:b/>
                <w:sz w:val="24"/>
                <w:szCs w:val="24"/>
              </w:rPr>
              <w:t>I</w:t>
            </w:r>
            <w:r w:rsidR="008630D4">
              <w:rPr>
                <w:rFonts w:ascii="Times New Roman" w:hAnsi="Times New Roman"/>
                <w:b/>
                <w:sz w:val="24"/>
                <w:szCs w:val="24"/>
              </w:rPr>
              <w:t>-AT</w:t>
            </w:r>
            <w:r w:rsidR="00AC31A2">
              <w:rPr>
                <w:rFonts w:ascii="Times New Roman" w:hAnsi="Times New Roman"/>
                <w:b/>
                <w:sz w:val="24"/>
                <w:szCs w:val="24"/>
              </w:rPr>
              <w:t>)</w:t>
            </w:r>
            <w:r w:rsidR="001C4138" w:rsidRPr="00807B48">
              <w:rPr>
                <w:rFonts w:ascii="Times New Roman" w:hAnsi="Times New Roman"/>
                <w:b/>
                <w:sz w:val="24"/>
                <w:szCs w:val="24"/>
              </w:rPr>
              <w:br/>
            </w:r>
            <w:r w:rsidR="001C4138" w:rsidRPr="00767B84">
              <w:rPr>
                <w:rFonts w:ascii="Times New Roman" w:hAnsi="Times New Roman"/>
                <w:b/>
                <w:sz w:val="24"/>
                <w:szCs w:val="24"/>
              </w:rPr>
              <w:t xml:space="preserve">DG </w:t>
            </w:r>
            <w:r w:rsidRPr="00767B84">
              <w:rPr>
                <w:rFonts w:ascii="Times New Roman" w:hAnsi="Times New Roman"/>
                <w:b/>
                <w:sz w:val="24"/>
                <w:szCs w:val="24"/>
              </w:rPr>
              <w:t>EMPL</w:t>
            </w:r>
            <w:r w:rsidR="001C4138" w:rsidRPr="00767B84">
              <w:rPr>
                <w:rFonts w:ascii="Times New Roman" w:hAnsi="Times New Roman"/>
                <w:b/>
                <w:sz w:val="24"/>
                <w:szCs w:val="24"/>
              </w:rPr>
              <w:t xml:space="preserve"> –</w:t>
            </w:r>
            <w:r w:rsidR="001C4138" w:rsidRPr="00807B48">
              <w:rPr>
                <w:rFonts w:ascii="Times New Roman" w:hAnsi="Times New Roman"/>
                <w:b/>
                <w:sz w:val="24"/>
                <w:szCs w:val="24"/>
              </w:rPr>
              <w:t xml:space="preserve"> </w:t>
            </w:r>
            <w:r w:rsidR="005022CC">
              <w:rPr>
                <w:rFonts w:ascii="Times New Roman" w:hAnsi="Times New Roman"/>
                <w:b/>
                <w:sz w:val="24"/>
                <w:szCs w:val="24"/>
              </w:rPr>
              <w:t>Executive Vice-President</w:t>
            </w:r>
            <w:r w:rsidRPr="00AC31A2">
              <w:rPr>
                <w:rFonts w:ascii="Times New Roman" w:hAnsi="Times New Roman"/>
                <w:b/>
                <w:sz w:val="24"/>
                <w:szCs w:val="24"/>
              </w:rPr>
              <w:t xml:space="preserve"> </w:t>
            </w:r>
            <w:r w:rsidR="005022CC">
              <w:rPr>
                <w:rFonts w:ascii="Times New Roman" w:hAnsi="Times New Roman"/>
                <w:b/>
                <w:sz w:val="24"/>
                <w:szCs w:val="24"/>
              </w:rPr>
              <w:t>MINZATU</w:t>
            </w:r>
          </w:p>
        </w:tc>
      </w:tr>
      <w:tr w:rsidR="00734613" w:rsidRPr="00442552" w14:paraId="1937071F" w14:textId="77777777" w:rsidTr="00217E59">
        <w:trPr>
          <w:jc w:val="center"/>
        </w:trPr>
        <w:tc>
          <w:tcPr>
            <w:tcW w:w="9711" w:type="dxa"/>
          </w:tcPr>
          <w:p w14:paraId="1E50B4DB" w14:textId="7C77D4CD" w:rsidR="00734613" w:rsidRPr="00695797" w:rsidRDefault="00AC31A2" w:rsidP="00362453">
            <w:pPr>
              <w:spacing w:before="120" w:after="120"/>
              <w:jc w:val="center"/>
              <w:rPr>
                <w:rFonts w:ascii="Times New Roman" w:hAnsi="Times New Roman"/>
                <w:b/>
                <w:sz w:val="24"/>
                <w:szCs w:val="24"/>
              </w:rPr>
            </w:pPr>
            <w:r>
              <w:rPr>
                <w:rFonts w:ascii="Times New Roman" w:hAnsi="Times New Roman"/>
                <w:b/>
                <w:sz w:val="24"/>
                <w:szCs w:val="24"/>
              </w:rPr>
              <w:t>Commission</w:t>
            </w:r>
            <w:r w:rsidR="004F6117" w:rsidRPr="004F6117">
              <w:rPr>
                <w:rFonts w:ascii="Times New Roman" w:hAnsi="Times New Roman"/>
                <w:b/>
                <w:sz w:val="24"/>
                <w:szCs w:val="24"/>
              </w:rPr>
              <w:t xml:space="preserve"> position on points </w:t>
            </w:r>
            <w:r w:rsidR="004F6117">
              <w:rPr>
                <w:rFonts w:ascii="Times New Roman" w:hAnsi="Times New Roman"/>
                <w:b/>
                <w:sz w:val="24"/>
                <w:szCs w:val="24"/>
              </w:rPr>
              <w:br/>
            </w:r>
            <w:r w:rsidR="004F6117" w:rsidRPr="004F6117">
              <w:rPr>
                <w:rFonts w:ascii="Times New Roman" w:hAnsi="Times New Roman"/>
                <w:b/>
                <w:sz w:val="24"/>
                <w:szCs w:val="24"/>
              </w:rPr>
              <w:t>of the European Economic and Social Committee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17E59">
        <w:trPr>
          <w:jc w:val="center"/>
        </w:trPr>
        <w:tc>
          <w:tcPr>
            <w:tcW w:w="9711" w:type="dxa"/>
          </w:tcPr>
          <w:p w14:paraId="3FC436B4" w14:textId="1E1B3D22" w:rsidR="00AC31A2" w:rsidRPr="00104CDA" w:rsidRDefault="00A4638C" w:rsidP="00362453">
            <w:pPr>
              <w:pStyle w:val="NormalWeb"/>
              <w:spacing w:before="120" w:beforeAutospacing="0" w:after="120" w:afterAutospacing="0" w:line="276" w:lineRule="auto"/>
              <w:jc w:val="both"/>
              <w:rPr>
                <w:b/>
                <w:bCs/>
              </w:rPr>
            </w:pPr>
            <w:r>
              <w:rPr>
                <w:b/>
                <w:bCs/>
                <w:color w:val="000000"/>
                <w:u w:val="single"/>
              </w:rPr>
              <w:t>Regarding p</w:t>
            </w:r>
            <w:r w:rsidR="00AC31A2" w:rsidRPr="0010709F">
              <w:rPr>
                <w:b/>
                <w:bCs/>
                <w:color w:val="000000"/>
                <w:u w:val="single"/>
              </w:rPr>
              <w:t>aragraph</w:t>
            </w:r>
            <w:r w:rsidR="00AC31A2">
              <w:rPr>
                <w:b/>
                <w:bCs/>
                <w:color w:val="000000"/>
                <w:u w:val="single"/>
              </w:rPr>
              <w:t>s</w:t>
            </w:r>
            <w:r w:rsidR="00AC31A2" w:rsidRPr="0010709F">
              <w:rPr>
                <w:b/>
                <w:bCs/>
                <w:color w:val="000000"/>
                <w:u w:val="single"/>
              </w:rPr>
              <w:t xml:space="preserve"> 1.6</w:t>
            </w:r>
            <w:r w:rsidR="00362453">
              <w:rPr>
                <w:b/>
                <w:bCs/>
                <w:color w:val="000000"/>
                <w:u w:val="single"/>
              </w:rPr>
              <w:t>.</w:t>
            </w:r>
            <w:r w:rsidR="00AC31A2">
              <w:rPr>
                <w:b/>
                <w:bCs/>
                <w:color w:val="000000"/>
                <w:u w:val="single"/>
              </w:rPr>
              <w:t xml:space="preserve"> and 4.15</w:t>
            </w:r>
            <w:r w:rsidR="00362453">
              <w:rPr>
                <w:b/>
                <w:bCs/>
                <w:color w:val="000000"/>
                <w:u w:val="single"/>
              </w:rPr>
              <w:t>.</w:t>
            </w:r>
            <w:r w:rsidR="00AC31A2">
              <w:rPr>
                <w:b/>
                <w:bCs/>
                <w:color w:val="000000"/>
                <w:u w:val="single"/>
              </w:rPr>
              <w:t>:</w:t>
            </w:r>
            <w:r w:rsidR="00AC31A2" w:rsidRPr="0010709F">
              <w:rPr>
                <w:color w:val="000000"/>
              </w:rPr>
              <w:t xml:space="preserve"> </w:t>
            </w:r>
            <w:r w:rsidR="00AC31A2" w:rsidRPr="0010709F">
              <w:rPr>
                <w:b/>
                <w:bCs/>
              </w:rPr>
              <w:t>The Political Guidelines 2024-2029 confirm a</w:t>
            </w:r>
            <w:r w:rsidR="00765E55">
              <w:rPr>
                <w:b/>
                <w:bCs/>
              </w:rPr>
              <w:t xml:space="preserve"> </w:t>
            </w:r>
            <w:r w:rsidR="00AC31A2" w:rsidRPr="0010709F">
              <w:rPr>
                <w:b/>
                <w:bCs/>
              </w:rPr>
              <w:t>new the need to continue the work on tackling the root causes of demographic change</w:t>
            </w:r>
            <w:r w:rsidR="00AC31A2" w:rsidRPr="0010709F">
              <w:t xml:space="preserve"> </w:t>
            </w:r>
            <w:r w:rsidR="00AC31A2" w:rsidRPr="009033E0">
              <w:rPr>
                <w:b/>
                <w:bCs/>
              </w:rPr>
              <w:t>and adapting to new realities</w:t>
            </w:r>
            <w:r w:rsidR="00AC31A2" w:rsidRPr="0010709F">
              <w:t xml:space="preserve">. </w:t>
            </w:r>
            <w:r w:rsidR="003057C4">
              <w:t>T</w:t>
            </w:r>
            <w:r w:rsidR="00AC31A2" w:rsidRPr="0010709F">
              <w:t>he Mission Letter to the Commissioner</w:t>
            </w:r>
            <w:r w:rsidR="00F66DBD">
              <w:t xml:space="preserve"> </w:t>
            </w:r>
            <w:r w:rsidR="00AC31A2" w:rsidRPr="0010709F">
              <w:t>for the Mediterranean</w:t>
            </w:r>
            <w:r w:rsidR="00F66DBD">
              <w:t xml:space="preserve">, </w:t>
            </w:r>
            <w:r w:rsidR="008F1D44" w:rsidRPr="008F1D44">
              <w:t xml:space="preserve">Dubravka </w:t>
            </w:r>
            <w:proofErr w:type="spellStart"/>
            <w:r w:rsidR="008F1D44" w:rsidRPr="008F1D44">
              <w:t>Šuica</w:t>
            </w:r>
            <w:proofErr w:type="spellEnd"/>
            <w:r w:rsidR="008F1D44">
              <w:t>,</w:t>
            </w:r>
            <w:r w:rsidR="00AC31A2" w:rsidRPr="0010709F">
              <w:t xml:space="preserve"> foresees the further implementation of the Demography Toolbox</w:t>
            </w:r>
            <w:r w:rsidR="00104CDA" w:rsidRPr="0010709F">
              <w:rPr>
                <w:rStyle w:val="FootnoteReference"/>
              </w:rPr>
              <w:footnoteReference w:id="1"/>
            </w:r>
            <w:r w:rsidR="00AC31A2" w:rsidRPr="0010709F">
              <w:t xml:space="preserve">, drawing on the relevant sub-entity of the Commission’s Joint Research Centre (Knowledge </w:t>
            </w:r>
            <w:proofErr w:type="spellStart"/>
            <w:r w:rsidR="00AC31A2" w:rsidRPr="0010709F">
              <w:t>Center</w:t>
            </w:r>
            <w:proofErr w:type="spellEnd"/>
            <w:r w:rsidR="00AC31A2" w:rsidRPr="0010709F">
              <w:t xml:space="preserve"> for Migration and Demography). Furthermore, the Mission Letter for the Executive Vice-President for </w:t>
            </w:r>
            <w:r w:rsidR="00E3498D">
              <w:t xml:space="preserve">Social Rights and </w:t>
            </w:r>
            <w:r w:rsidR="00AC31A2" w:rsidRPr="0010709F">
              <w:t>Skills</w:t>
            </w:r>
            <w:r w:rsidR="00E3498D">
              <w:t>, Quality Jobs</w:t>
            </w:r>
            <w:r w:rsidR="00AC31A2" w:rsidRPr="0010709F">
              <w:t xml:space="preserve"> and Preparedness, </w:t>
            </w:r>
            <w:r w:rsidR="00E3498D" w:rsidRPr="00E3498D">
              <w:t xml:space="preserve">Roxana </w:t>
            </w:r>
            <w:proofErr w:type="spellStart"/>
            <w:r w:rsidR="00E3498D" w:rsidRPr="00E3498D">
              <w:t>Mînzatu</w:t>
            </w:r>
            <w:proofErr w:type="spellEnd"/>
            <w:r w:rsidR="00E3498D">
              <w:t>,</w:t>
            </w:r>
            <w:r w:rsidR="00E3498D" w:rsidRPr="00E3498D">
              <w:t xml:space="preserve"> </w:t>
            </w:r>
            <w:r w:rsidR="00AC31A2" w:rsidRPr="0010709F">
              <w:t xml:space="preserve">places a focus on tackling challenges due to the impact of demographic change. These include skills and labour gaps, fairness between generations, occupational health and safety as well as long-term care and healthcare challenges.  </w:t>
            </w:r>
          </w:p>
          <w:p w14:paraId="5CDED860" w14:textId="416D1313" w:rsidR="003057C4" w:rsidRDefault="00AC31A2" w:rsidP="00362453">
            <w:pPr>
              <w:spacing w:before="120" w:after="120"/>
              <w:jc w:val="both"/>
              <w:rPr>
                <w:rFonts w:ascii="Times New Roman" w:eastAsia="Times New Roman" w:hAnsi="Times New Roman"/>
                <w:b/>
                <w:bCs/>
                <w:sz w:val="24"/>
                <w:szCs w:val="24"/>
                <w:lang w:val="en-IE"/>
              </w:rPr>
            </w:pPr>
            <w:r w:rsidRPr="0010709F">
              <w:rPr>
                <w:rFonts w:ascii="Times New Roman" w:hAnsi="Times New Roman"/>
                <w:sz w:val="24"/>
                <w:szCs w:val="24"/>
              </w:rPr>
              <w:t xml:space="preserve">As stated in the Commission position on the </w:t>
            </w:r>
            <w:r w:rsidR="00E10B44" w:rsidRPr="00E10B44">
              <w:rPr>
                <w:rFonts w:ascii="Times New Roman" w:hAnsi="Times New Roman"/>
                <w:sz w:val="24"/>
                <w:szCs w:val="24"/>
              </w:rPr>
              <w:t>European Economic and Social Committee</w:t>
            </w:r>
            <w:r w:rsidR="006128FD">
              <w:rPr>
                <w:rFonts w:ascii="Times New Roman" w:hAnsi="Times New Roman"/>
                <w:sz w:val="24"/>
                <w:szCs w:val="24"/>
              </w:rPr>
              <w:t>’s</w:t>
            </w:r>
            <w:r w:rsidR="00E10B44" w:rsidRPr="00E10B44">
              <w:rPr>
                <w:rFonts w:ascii="Times New Roman" w:hAnsi="Times New Roman"/>
                <w:sz w:val="24"/>
                <w:szCs w:val="24"/>
              </w:rPr>
              <w:t xml:space="preserve"> </w:t>
            </w:r>
            <w:r w:rsidR="00E10B44">
              <w:rPr>
                <w:rFonts w:ascii="Times New Roman" w:hAnsi="Times New Roman"/>
                <w:sz w:val="24"/>
                <w:szCs w:val="24"/>
              </w:rPr>
              <w:t>(</w:t>
            </w:r>
            <w:r w:rsidRPr="0010709F">
              <w:rPr>
                <w:rFonts w:ascii="Times New Roman" w:hAnsi="Times New Roman"/>
                <w:sz w:val="24"/>
                <w:szCs w:val="24"/>
              </w:rPr>
              <w:t>EESC</w:t>
            </w:r>
            <w:r w:rsidR="00E10B44">
              <w:rPr>
                <w:rFonts w:ascii="Times New Roman" w:hAnsi="Times New Roman"/>
                <w:sz w:val="24"/>
                <w:szCs w:val="24"/>
              </w:rPr>
              <w:t>)</w:t>
            </w:r>
            <w:r w:rsidRPr="0010709F">
              <w:rPr>
                <w:rFonts w:ascii="Times New Roman" w:hAnsi="Times New Roman"/>
                <w:sz w:val="24"/>
                <w:szCs w:val="24"/>
              </w:rPr>
              <w:t xml:space="preserve"> Opinion on a European Strategy for Older Persons</w:t>
            </w:r>
            <w:r w:rsidRPr="0010709F">
              <w:rPr>
                <w:rFonts w:ascii="Times New Roman" w:hAnsi="Times New Roman"/>
                <w:sz w:val="24"/>
                <w:szCs w:val="24"/>
                <w:vertAlign w:val="superscript"/>
              </w:rPr>
              <w:footnoteReference w:id="2"/>
            </w:r>
            <w:r w:rsidRPr="0010709F">
              <w:rPr>
                <w:rFonts w:ascii="Times New Roman" w:hAnsi="Times New Roman"/>
                <w:sz w:val="24"/>
                <w:szCs w:val="24"/>
              </w:rPr>
              <w:t xml:space="preserve">, </w:t>
            </w:r>
            <w:r>
              <w:rPr>
                <w:rFonts w:ascii="Times New Roman" w:hAnsi="Times New Roman"/>
                <w:sz w:val="24"/>
                <w:szCs w:val="24"/>
              </w:rPr>
              <w:t>if</w:t>
            </w:r>
            <w:r w:rsidRPr="0010709F">
              <w:rPr>
                <w:rFonts w:ascii="Times New Roman" w:hAnsi="Times New Roman"/>
                <w:sz w:val="24"/>
                <w:szCs w:val="24"/>
                <w:lang w:val="en-US"/>
              </w:rPr>
              <w:t xml:space="preserve"> the Commission were to identify the need for a </w:t>
            </w:r>
            <w:proofErr w:type="spellStart"/>
            <w:r w:rsidR="008A76BF">
              <w:rPr>
                <w:rFonts w:ascii="Times New Roman" w:hAnsi="Times New Roman"/>
                <w:sz w:val="24"/>
                <w:szCs w:val="24"/>
                <w:lang w:val="en-US"/>
              </w:rPr>
              <w:t>decentralised</w:t>
            </w:r>
            <w:proofErr w:type="spellEnd"/>
            <w:r w:rsidR="008A76BF" w:rsidRPr="0010709F">
              <w:rPr>
                <w:rFonts w:ascii="Times New Roman" w:hAnsi="Times New Roman"/>
                <w:sz w:val="24"/>
                <w:szCs w:val="24"/>
                <w:lang w:val="en-US"/>
              </w:rPr>
              <w:t xml:space="preserve"> </w:t>
            </w:r>
            <w:r w:rsidRPr="0010709F">
              <w:rPr>
                <w:rFonts w:ascii="Times New Roman" w:hAnsi="Times New Roman"/>
                <w:sz w:val="24"/>
                <w:szCs w:val="24"/>
                <w:lang w:val="en-US"/>
              </w:rPr>
              <w:t xml:space="preserve">agency, according to the 2012 Joint Statement and Common Approach on </w:t>
            </w:r>
            <w:proofErr w:type="spellStart"/>
            <w:r w:rsidRPr="0010709F">
              <w:rPr>
                <w:rFonts w:ascii="Times New Roman" w:hAnsi="Times New Roman"/>
                <w:sz w:val="24"/>
                <w:szCs w:val="24"/>
                <w:lang w:val="en-US"/>
              </w:rPr>
              <w:t>Decentralised</w:t>
            </w:r>
            <w:proofErr w:type="spellEnd"/>
            <w:r w:rsidRPr="0010709F">
              <w:rPr>
                <w:rFonts w:ascii="Times New Roman" w:hAnsi="Times New Roman"/>
                <w:sz w:val="24"/>
                <w:szCs w:val="24"/>
                <w:lang w:val="en-US"/>
              </w:rPr>
              <w:t xml:space="preserve"> Agencies</w:t>
            </w:r>
            <w:r w:rsidRPr="0010709F">
              <w:rPr>
                <w:rFonts w:ascii="Times New Roman" w:hAnsi="Times New Roman"/>
                <w:sz w:val="24"/>
                <w:szCs w:val="24"/>
                <w:vertAlign w:val="superscript"/>
                <w:lang w:val="en-US"/>
              </w:rPr>
              <w:footnoteReference w:id="3"/>
            </w:r>
            <w:r w:rsidRPr="0010709F">
              <w:rPr>
                <w:rFonts w:ascii="Times New Roman" w:hAnsi="Times New Roman"/>
                <w:sz w:val="24"/>
                <w:szCs w:val="24"/>
                <w:lang w:val="en-US"/>
              </w:rPr>
              <w:t xml:space="preserve">, </w:t>
            </w:r>
            <w:r w:rsidR="0036557C">
              <w:rPr>
                <w:rFonts w:ascii="Times New Roman" w:hAnsi="Times New Roman"/>
                <w:sz w:val="24"/>
                <w:szCs w:val="24"/>
                <w:lang w:val="en-US"/>
              </w:rPr>
              <w:t>“</w:t>
            </w:r>
            <w:r w:rsidRPr="0010709F">
              <w:rPr>
                <w:rFonts w:ascii="Times New Roman" w:hAnsi="Times New Roman"/>
                <w:b/>
                <w:bCs/>
                <w:sz w:val="24"/>
                <w:szCs w:val="24"/>
                <w:lang w:val="en-US"/>
              </w:rPr>
              <w:t xml:space="preserve">the </w:t>
            </w:r>
            <w:r w:rsidRPr="0010709F">
              <w:rPr>
                <w:rFonts w:ascii="Times New Roman" w:hAnsi="Times New Roman"/>
                <w:b/>
                <w:bCs/>
                <w:sz w:val="24"/>
                <w:szCs w:val="24"/>
                <w:lang w:val="en-IE"/>
              </w:rPr>
              <w:t xml:space="preserve">decision to create a new agency </w:t>
            </w:r>
            <w:r w:rsidR="001D0ECE">
              <w:rPr>
                <w:rFonts w:ascii="Times New Roman" w:hAnsi="Times New Roman"/>
                <w:b/>
                <w:bCs/>
                <w:sz w:val="24"/>
                <w:szCs w:val="24"/>
                <w:lang w:val="en-IE"/>
              </w:rPr>
              <w:t xml:space="preserve">should </w:t>
            </w:r>
            <w:r w:rsidRPr="0010709F">
              <w:rPr>
                <w:rFonts w:ascii="Times New Roman" w:hAnsi="Times New Roman"/>
                <w:b/>
                <w:bCs/>
                <w:sz w:val="24"/>
                <w:szCs w:val="24"/>
                <w:lang w:val="en-IE"/>
              </w:rPr>
              <w:t xml:space="preserve"> be based on  </w:t>
            </w:r>
            <w:r w:rsidR="001B5535">
              <w:rPr>
                <w:rFonts w:ascii="Times New Roman" w:hAnsi="Times New Roman"/>
                <w:b/>
                <w:bCs/>
                <w:sz w:val="24"/>
                <w:szCs w:val="24"/>
                <w:lang w:val="en-IE"/>
              </w:rPr>
              <w:t>object</w:t>
            </w:r>
            <w:r w:rsidRPr="0010709F">
              <w:rPr>
                <w:rFonts w:ascii="Times New Roman" w:hAnsi="Times New Roman"/>
                <w:b/>
                <w:bCs/>
                <w:sz w:val="24"/>
                <w:szCs w:val="24"/>
                <w:lang w:val="en-IE"/>
              </w:rPr>
              <w:t>ive impact assessment</w:t>
            </w:r>
            <w:r w:rsidR="001B5535">
              <w:rPr>
                <w:rFonts w:ascii="Times New Roman" w:hAnsi="Times New Roman"/>
                <w:b/>
                <w:bCs/>
                <w:sz w:val="24"/>
                <w:szCs w:val="24"/>
                <w:lang w:val="en-IE"/>
              </w:rPr>
              <w:t>s of all relevant options</w:t>
            </w:r>
            <w:r w:rsidR="0036557C">
              <w:rPr>
                <w:rFonts w:ascii="Times New Roman" w:hAnsi="Times New Roman"/>
                <w:b/>
                <w:bCs/>
                <w:sz w:val="24"/>
                <w:szCs w:val="24"/>
                <w:lang w:val="en-IE"/>
              </w:rPr>
              <w:t>”</w:t>
            </w:r>
            <w:r>
              <w:rPr>
                <w:rFonts w:ascii="Times New Roman" w:hAnsi="Times New Roman"/>
                <w:b/>
                <w:bCs/>
                <w:sz w:val="24"/>
                <w:szCs w:val="24"/>
                <w:lang w:val="en-IE"/>
              </w:rPr>
              <w:t xml:space="preserve"> </w:t>
            </w:r>
            <w:r w:rsidR="001B5535">
              <w:rPr>
                <w:rFonts w:ascii="Times New Roman" w:hAnsi="Times New Roman"/>
                <w:b/>
                <w:bCs/>
                <w:sz w:val="24"/>
                <w:szCs w:val="24"/>
                <w:lang w:val="en-IE"/>
              </w:rPr>
              <w:t>(</w:t>
            </w:r>
            <w:r w:rsidRPr="00B7504D">
              <w:rPr>
                <w:rFonts w:ascii="Times New Roman" w:hAnsi="Times New Roman"/>
                <w:b/>
                <w:bCs/>
                <w:sz w:val="24"/>
                <w:szCs w:val="24"/>
                <w:lang w:val="en-IE"/>
              </w:rPr>
              <w:t>to be presented to co-legislators</w:t>
            </w:r>
            <w:r w:rsidR="001B5535">
              <w:rPr>
                <w:rFonts w:ascii="Times New Roman" w:hAnsi="Times New Roman"/>
                <w:b/>
                <w:bCs/>
                <w:sz w:val="24"/>
                <w:szCs w:val="24"/>
                <w:lang w:val="en-IE"/>
              </w:rPr>
              <w:t>)</w:t>
            </w:r>
            <w:r w:rsidRPr="0010709F">
              <w:rPr>
                <w:rFonts w:ascii="Times New Roman" w:hAnsi="Times New Roman"/>
                <w:sz w:val="24"/>
                <w:szCs w:val="24"/>
                <w:lang w:val="en-IE"/>
              </w:rPr>
              <w:t xml:space="preserve">. </w:t>
            </w:r>
            <w:r w:rsidRPr="0010709F">
              <w:rPr>
                <w:rFonts w:ascii="Times New Roman" w:hAnsi="Times New Roman"/>
                <w:sz w:val="24"/>
                <w:szCs w:val="24"/>
                <w:lang w:val="en-US"/>
              </w:rPr>
              <w:t>Pursuant to the Better Regulation agenda</w:t>
            </w:r>
            <w:r w:rsidRPr="0010709F">
              <w:rPr>
                <w:rFonts w:ascii="Times New Roman" w:hAnsi="Times New Roman"/>
                <w:sz w:val="24"/>
                <w:szCs w:val="24"/>
                <w:vertAlign w:val="superscript"/>
                <w:lang w:val="en-US"/>
              </w:rPr>
              <w:footnoteReference w:id="4"/>
            </w:r>
            <w:r w:rsidRPr="0010709F">
              <w:rPr>
                <w:rFonts w:ascii="Times New Roman" w:hAnsi="Times New Roman"/>
                <w:sz w:val="24"/>
                <w:szCs w:val="24"/>
                <w:lang w:val="en-US"/>
              </w:rPr>
              <w:t xml:space="preserve">, the process provides for all relevant alternatives to be considered, including whether these new tasks or functions could be assigned to the Commission, existing agencies, or </w:t>
            </w:r>
            <w:r w:rsidR="008A76BF">
              <w:rPr>
                <w:rFonts w:ascii="Times New Roman" w:hAnsi="Times New Roman"/>
                <w:sz w:val="24"/>
                <w:szCs w:val="24"/>
                <w:lang w:val="en-US"/>
              </w:rPr>
              <w:t xml:space="preserve">other EU </w:t>
            </w:r>
            <w:r w:rsidRPr="0010709F">
              <w:rPr>
                <w:rFonts w:ascii="Times New Roman" w:hAnsi="Times New Roman"/>
                <w:sz w:val="24"/>
                <w:szCs w:val="24"/>
                <w:lang w:val="en-US"/>
              </w:rPr>
              <w:t>bodies</w:t>
            </w:r>
            <w:r w:rsidR="008A76BF">
              <w:rPr>
                <w:rFonts w:ascii="Times New Roman" w:hAnsi="Times New Roman"/>
                <w:sz w:val="24"/>
                <w:szCs w:val="24"/>
                <w:lang w:val="en-US"/>
              </w:rPr>
              <w:t>, to seek for synergies and efficiency gains and avoid overlaps and duplication</w:t>
            </w:r>
            <w:r w:rsidR="008A76BF" w:rsidRPr="0010709F">
              <w:rPr>
                <w:rFonts w:ascii="Times New Roman" w:hAnsi="Times New Roman"/>
                <w:sz w:val="24"/>
                <w:szCs w:val="24"/>
                <w:lang w:val="en-US"/>
              </w:rPr>
              <w:t>.</w:t>
            </w:r>
            <w:r w:rsidR="003057C4">
              <w:rPr>
                <w:rFonts w:ascii="Times New Roman" w:eastAsia="Times New Roman" w:hAnsi="Times New Roman"/>
                <w:b/>
                <w:bCs/>
                <w:sz w:val="24"/>
                <w:szCs w:val="24"/>
                <w:lang w:val="en-IE"/>
              </w:rPr>
              <w:t xml:space="preserve"> </w:t>
            </w:r>
          </w:p>
          <w:p w14:paraId="4FEB8D76" w14:textId="4AC6D6AC" w:rsidR="003057C4" w:rsidRPr="0010709F" w:rsidRDefault="003057C4" w:rsidP="00362453">
            <w:pPr>
              <w:spacing w:before="120" w:after="120"/>
              <w:jc w:val="both"/>
              <w:rPr>
                <w:rFonts w:ascii="Times New Roman" w:hAnsi="Times New Roman"/>
                <w:color w:val="000000"/>
                <w:sz w:val="24"/>
                <w:szCs w:val="24"/>
              </w:rPr>
            </w:pPr>
            <w:r>
              <w:rPr>
                <w:rFonts w:ascii="Times New Roman" w:eastAsia="Times New Roman" w:hAnsi="Times New Roman"/>
                <w:b/>
                <w:bCs/>
                <w:sz w:val="24"/>
                <w:szCs w:val="24"/>
                <w:lang w:val="en-IE"/>
              </w:rPr>
              <w:t>In line with the proportionality principle</w:t>
            </w:r>
            <w:r w:rsidRPr="0010709F">
              <w:rPr>
                <w:rFonts w:ascii="Times New Roman" w:eastAsia="Times New Roman" w:hAnsi="Times New Roman"/>
                <w:b/>
                <w:bCs/>
                <w:sz w:val="24"/>
                <w:szCs w:val="24"/>
                <w:lang w:val="en-IE"/>
              </w:rPr>
              <w:t xml:space="preserve">, the decision to set up a new </w:t>
            </w:r>
            <w:r>
              <w:rPr>
                <w:rFonts w:ascii="Times New Roman" w:eastAsia="Times New Roman" w:hAnsi="Times New Roman"/>
                <w:b/>
                <w:bCs/>
                <w:sz w:val="24"/>
                <w:szCs w:val="24"/>
                <w:lang w:val="en-IE"/>
              </w:rPr>
              <w:t xml:space="preserve">decentralised </w:t>
            </w:r>
            <w:r w:rsidRPr="0010709F">
              <w:rPr>
                <w:rFonts w:ascii="Times New Roman" w:eastAsia="Times New Roman" w:hAnsi="Times New Roman"/>
                <w:b/>
                <w:bCs/>
                <w:sz w:val="24"/>
                <w:szCs w:val="24"/>
                <w:lang w:val="en-IE"/>
              </w:rPr>
              <w:t xml:space="preserve">agency for demography also needs to be weighed against </w:t>
            </w:r>
            <w:r w:rsidRPr="0010709F">
              <w:rPr>
                <w:rFonts w:ascii="Times New Roman" w:hAnsi="Times New Roman"/>
                <w:b/>
                <w:bCs/>
                <w:color w:val="000000"/>
                <w:sz w:val="24"/>
                <w:szCs w:val="24"/>
              </w:rPr>
              <w:t>the ongoing resource-consuming task of avoiding potential overlaps</w:t>
            </w:r>
            <w:r>
              <w:rPr>
                <w:rFonts w:ascii="Times New Roman" w:hAnsi="Times New Roman"/>
                <w:color w:val="000000"/>
                <w:sz w:val="24"/>
                <w:szCs w:val="24"/>
              </w:rPr>
              <w:t xml:space="preserve">. </w:t>
            </w:r>
            <w:r w:rsidRPr="0010709F">
              <w:rPr>
                <w:rFonts w:ascii="Times New Roman" w:eastAsia="Times New Roman" w:hAnsi="Times New Roman"/>
                <w:sz w:val="24"/>
                <w:szCs w:val="24"/>
                <w:lang w:val="en-IE"/>
              </w:rPr>
              <w:t xml:space="preserve">The </w:t>
            </w:r>
            <w:r>
              <w:rPr>
                <w:rFonts w:ascii="Times New Roman" w:eastAsia="Times New Roman" w:hAnsi="Times New Roman"/>
                <w:sz w:val="24"/>
                <w:szCs w:val="24"/>
                <w:lang w:val="en-IE"/>
              </w:rPr>
              <w:t>e</w:t>
            </w:r>
            <w:r w:rsidRPr="0010709F">
              <w:rPr>
                <w:rFonts w:ascii="Times New Roman" w:eastAsia="Times New Roman" w:hAnsi="Times New Roman"/>
                <w:sz w:val="24"/>
                <w:szCs w:val="24"/>
                <w:lang w:val="en-IE"/>
              </w:rPr>
              <w:t>valuation of agencies released on 27 September 2024</w:t>
            </w:r>
            <w:r>
              <w:rPr>
                <w:rStyle w:val="FootnoteReference"/>
                <w:rFonts w:ascii="Times New Roman" w:eastAsia="Times New Roman" w:hAnsi="Times New Roman"/>
                <w:sz w:val="24"/>
                <w:szCs w:val="24"/>
                <w:lang w:val="en-IE"/>
              </w:rPr>
              <w:footnoteReference w:id="5"/>
            </w:r>
            <w:r w:rsidRPr="0010709F">
              <w:rPr>
                <w:rFonts w:ascii="Times New Roman" w:eastAsia="Times New Roman" w:hAnsi="Times New Roman"/>
                <w:sz w:val="24"/>
                <w:szCs w:val="24"/>
                <w:lang w:val="en-IE"/>
              </w:rPr>
              <w:t xml:space="preserve"> calls </w:t>
            </w:r>
            <w:r w:rsidRPr="0010709F">
              <w:rPr>
                <w:rFonts w:ascii="Times New Roman" w:hAnsi="Times New Roman"/>
                <w:color w:val="000000"/>
                <w:sz w:val="24"/>
                <w:szCs w:val="24"/>
              </w:rPr>
              <w:t xml:space="preserve">for better coordination between </w:t>
            </w:r>
            <w:r w:rsidR="001B36EA">
              <w:rPr>
                <w:rFonts w:ascii="Times New Roman" w:hAnsi="Times New Roman"/>
                <w:color w:val="000000"/>
                <w:sz w:val="24"/>
                <w:szCs w:val="24"/>
              </w:rPr>
              <w:t xml:space="preserve">already existing agencies such as </w:t>
            </w:r>
            <w:proofErr w:type="spellStart"/>
            <w:r w:rsidRPr="0010709F">
              <w:rPr>
                <w:rFonts w:ascii="Times New Roman" w:hAnsi="Times New Roman"/>
                <w:color w:val="000000"/>
                <w:sz w:val="24"/>
                <w:szCs w:val="24"/>
              </w:rPr>
              <w:t>Cedefop</w:t>
            </w:r>
            <w:proofErr w:type="spellEnd"/>
            <w:r w:rsidRPr="0010709F">
              <w:rPr>
                <w:rFonts w:ascii="Times New Roman" w:hAnsi="Times New Roman"/>
                <w:color w:val="000000"/>
                <w:sz w:val="24"/>
                <w:szCs w:val="24"/>
              </w:rPr>
              <w:t xml:space="preserve">, </w:t>
            </w:r>
            <w:proofErr w:type="spellStart"/>
            <w:r w:rsidRPr="0010709F">
              <w:rPr>
                <w:rFonts w:ascii="Times New Roman" w:hAnsi="Times New Roman"/>
                <w:color w:val="000000"/>
                <w:sz w:val="24"/>
                <w:szCs w:val="24"/>
              </w:rPr>
              <w:t>Eurofound</w:t>
            </w:r>
            <w:proofErr w:type="spellEnd"/>
            <w:r w:rsidRPr="0010709F">
              <w:rPr>
                <w:rFonts w:ascii="Times New Roman" w:hAnsi="Times New Roman"/>
                <w:color w:val="000000"/>
                <w:sz w:val="24"/>
                <w:szCs w:val="24"/>
              </w:rPr>
              <w:t xml:space="preserve">, and the </w:t>
            </w:r>
            <w:r w:rsidR="00E10B44">
              <w:rPr>
                <w:rFonts w:ascii="Times New Roman" w:hAnsi="Times New Roman"/>
                <w:color w:val="000000"/>
                <w:sz w:val="24"/>
                <w:szCs w:val="24"/>
              </w:rPr>
              <w:t>European Labour Authority (</w:t>
            </w:r>
            <w:r>
              <w:rPr>
                <w:rFonts w:ascii="Times New Roman" w:hAnsi="Times New Roman"/>
                <w:color w:val="000000"/>
                <w:sz w:val="24"/>
                <w:szCs w:val="24"/>
              </w:rPr>
              <w:t>ELA</w:t>
            </w:r>
            <w:r w:rsidR="00E10B44">
              <w:rPr>
                <w:rFonts w:ascii="Times New Roman" w:hAnsi="Times New Roman"/>
                <w:color w:val="000000"/>
                <w:sz w:val="24"/>
                <w:szCs w:val="24"/>
              </w:rPr>
              <w:t>)</w:t>
            </w:r>
            <w:r w:rsidRPr="0010709F">
              <w:rPr>
                <w:rFonts w:ascii="Times New Roman" w:hAnsi="Times New Roman"/>
                <w:color w:val="000000"/>
                <w:sz w:val="24"/>
                <w:szCs w:val="24"/>
              </w:rPr>
              <w:t xml:space="preserve"> to avoid duplication</w:t>
            </w:r>
            <w:r w:rsidR="007D00A2">
              <w:rPr>
                <w:rFonts w:ascii="Times New Roman" w:hAnsi="Times New Roman"/>
                <w:color w:val="000000"/>
                <w:sz w:val="24"/>
                <w:szCs w:val="24"/>
              </w:rPr>
              <w:t>s</w:t>
            </w:r>
            <w:r w:rsidRPr="0010709F">
              <w:rPr>
                <w:rFonts w:ascii="Times New Roman" w:hAnsi="Times New Roman"/>
                <w:color w:val="000000"/>
                <w:sz w:val="24"/>
                <w:szCs w:val="24"/>
              </w:rPr>
              <w:t xml:space="preserve"> and ensure completeness</w:t>
            </w:r>
            <w:r>
              <w:rPr>
                <w:rFonts w:ascii="Times New Roman" w:hAnsi="Times New Roman"/>
                <w:color w:val="000000"/>
                <w:sz w:val="24"/>
                <w:szCs w:val="24"/>
              </w:rPr>
              <w:t>, coherence</w:t>
            </w:r>
            <w:r w:rsidRPr="0010709F">
              <w:rPr>
                <w:rFonts w:ascii="Times New Roman" w:hAnsi="Times New Roman"/>
                <w:color w:val="000000"/>
                <w:sz w:val="24"/>
                <w:szCs w:val="24"/>
              </w:rPr>
              <w:t xml:space="preserve"> and </w:t>
            </w:r>
            <w:r w:rsidRPr="0010709F">
              <w:rPr>
                <w:rFonts w:ascii="Times New Roman" w:hAnsi="Times New Roman"/>
                <w:color w:val="000000"/>
                <w:sz w:val="24"/>
                <w:szCs w:val="24"/>
              </w:rPr>
              <w:lastRenderedPageBreak/>
              <w:t>consistency.</w:t>
            </w:r>
            <w:r w:rsidRPr="0010709F">
              <w:rPr>
                <w:rFonts w:ascii="Times New Roman" w:eastAsia="Times New Roman" w:hAnsi="Times New Roman"/>
                <w:sz w:val="24"/>
                <w:szCs w:val="24"/>
                <w:lang w:val="en-IE"/>
              </w:rPr>
              <w:t xml:space="preserve"> The </w:t>
            </w:r>
            <w:r>
              <w:rPr>
                <w:rFonts w:ascii="Times New Roman" w:eastAsia="Times New Roman" w:hAnsi="Times New Roman"/>
                <w:sz w:val="24"/>
                <w:szCs w:val="24"/>
                <w:lang w:val="en-IE"/>
              </w:rPr>
              <w:t>e</w:t>
            </w:r>
            <w:r w:rsidRPr="0010709F">
              <w:rPr>
                <w:rFonts w:ascii="Times New Roman" w:eastAsia="Times New Roman" w:hAnsi="Times New Roman"/>
                <w:sz w:val="24"/>
                <w:szCs w:val="24"/>
                <w:lang w:val="en-IE"/>
              </w:rPr>
              <w:t>valuation also emphasizes the importance for agencies to continue working on demographic change by focusing more on the implications of an ageing population. </w:t>
            </w:r>
          </w:p>
          <w:p w14:paraId="657367DD" w14:textId="1A9ED138" w:rsidR="00AC31A2" w:rsidRPr="0010709F" w:rsidRDefault="00AC31A2" w:rsidP="00362453">
            <w:pPr>
              <w:spacing w:before="120" w:after="120"/>
              <w:jc w:val="both"/>
              <w:rPr>
                <w:rFonts w:ascii="Times New Roman" w:hAnsi="Times New Roman"/>
                <w:sz w:val="24"/>
                <w:szCs w:val="24"/>
              </w:rPr>
            </w:pPr>
          </w:p>
          <w:p w14:paraId="176471BD" w14:textId="70FD9013" w:rsidR="00AC31A2" w:rsidRPr="0010709F" w:rsidRDefault="00AC31A2" w:rsidP="00362453">
            <w:pPr>
              <w:pStyle w:val="NormalWeb"/>
              <w:spacing w:before="120" w:beforeAutospacing="0" w:after="120" w:afterAutospacing="0" w:line="276" w:lineRule="auto"/>
              <w:jc w:val="both"/>
              <w:rPr>
                <w:color w:val="000000"/>
              </w:rPr>
            </w:pPr>
            <w:proofErr w:type="spellStart"/>
            <w:r w:rsidRPr="00AC31A2">
              <w:rPr>
                <w:color w:val="000000"/>
              </w:rPr>
              <w:t>Cedefop</w:t>
            </w:r>
            <w:proofErr w:type="spellEnd"/>
            <w:r w:rsidRPr="00AC31A2">
              <w:rPr>
                <w:color w:val="000000"/>
              </w:rPr>
              <w:t xml:space="preserve"> and </w:t>
            </w:r>
            <w:proofErr w:type="spellStart"/>
            <w:r w:rsidRPr="00AC31A2">
              <w:rPr>
                <w:color w:val="000000"/>
              </w:rPr>
              <w:t>Eurofound</w:t>
            </w:r>
            <w:proofErr w:type="spellEnd"/>
            <w:r w:rsidRPr="0010709F">
              <w:t xml:space="preserve"> </w:t>
            </w:r>
            <w:r w:rsidRPr="0010709F">
              <w:rPr>
                <w:color w:val="000000"/>
              </w:rPr>
              <w:t xml:space="preserve">already </w:t>
            </w:r>
            <w:r w:rsidR="003057C4">
              <w:rPr>
                <w:color w:val="000000"/>
              </w:rPr>
              <w:t>carry out activities on</w:t>
            </w:r>
            <w:r w:rsidRPr="0010709F">
              <w:rPr>
                <w:color w:val="000000"/>
              </w:rPr>
              <w:t xml:space="preserve"> demography</w:t>
            </w:r>
            <w:r w:rsidR="003402F2">
              <w:rPr>
                <w:color w:val="000000"/>
              </w:rPr>
              <w:t>:</w:t>
            </w:r>
          </w:p>
          <w:p w14:paraId="036C1B15" w14:textId="3EA3C5A9" w:rsidR="00AC31A2" w:rsidRPr="0010709F" w:rsidRDefault="003057C4" w:rsidP="00362453">
            <w:pPr>
              <w:pStyle w:val="NormalWeb"/>
              <w:spacing w:before="120" w:beforeAutospacing="0" w:after="120" w:afterAutospacing="0" w:line="276" w:lineRule="auto"/>
              <w:jc w:val="both"/>
              <w:rPr>
                <w:color w:val="000000"/>
              </w:rPr>
            </w:pPr>
            <w:r>
              <w:rPr>
                <w:color w:val="000000"/>
              </w:rPr>
              <w:t>I</w:t>
            </w:r>
            <w:r w:rsidR="00AC31A2" w:rsidRPr="0010709F">
              <w:rPr>
                <w:color w:val="000000"/>
              </w:rPr>
              <w:t xml:space="preserve">n 2025 </w:t>
            </w:r>
            <w:proofErr w:type="spellStart"/>
            <w:r w:rsidR="00104CDA">
              <w:rPr>
                <w:color w:val="000000"/>
              </w:rPr>
              <w:t>Cedefop</w:t>
            </w:r>
            <w:proofErr w:type="spellEnd"/>
            <w:r w:rsidR="00AC31A2">
              <w:rPr>
                <w:color w:val="000000"/>
              </w:rPr>
              <w:t xml:space="preserve"> </w:t>
            </w:r>
            <w:r w:rsidR="00AC31A2" w:rsidRPr="0010709F">
              <w:rPr>
                <w:color w:val="000000"/>
              </w:rPr>
              <w:t xml:space="preserve">will undertake research and policy analysis to produce skills intelligence </w:t>
            </w:r>
            <w:r w:rsidR="00AC31A2" w:rsidRPr="0010709F">
              <w:rPr>
                <w:i/>
                <w:iCs/>
                <w:color w:val="000000"/>
              </w:rPr>
              <w:t>on implications of the demographic challenge in sectors and occupations.</w:t>
            </w:r>
            <w:r w:rsidR="00AC31A2" w:rsidRPr="0010709F">
              <w:rPr>
                <w:color w:val="000000"/>
              </w:rPr>
              <w:t xml:space="preserve"> </w:t>
            </w:r>
            <w:r>
              <w:rPr>
                <w:color w:val="000000"/>
              </w:rPr>
              <w:t>The aim is to</w:t>
            </w:r>
            <w:r w:rsidR="00AC31A2" w:rsidRPr="0010709F">
              <w:rPr>
                <w:color w:val="000000"/>
              </w:rPr>
              <w:t xml:space="preserve"> produce evidence on how the green and digital transition, </w:t>
            </w:r>
            <w:r w:rsidR="00AC31A2" w:rsidRPr="0010709F">
              <w:rPr>
                <w:i/>
                <w:iCs/>
                <w:color w:val="000000"/>
              </w:rPr>
              <w:t>the demographic challenge and policy choices</w:t>
            </w:r>
            <w:r w:rsidR="00AC31A2" w:rsidRPr="0010709F">
              <w:rPr>
                <w:color w:val="000000"/>
              </w:rPr>
              <w:t xml:space="preserve"> change sectors and jobs and reshape skill needs.</w:t>
            </w:r>
          </w:p>
          <w:p w14:paraId="6557A9AD" w14:textId="1C7042D6" w:rsidR="00AC31A2" w:rsidRPr="0010709F" w:rsidRDefault="003057C4" w:rsidP="00362453">
            <w:pPr>
              <w:spacing w:before="120" w:after="120"/>
              <w:jc w:val="both"/>
              <w:rPr>
                <w:rFonts w:ascii="Times New Roman" w:eastAsia="Times New Roman" w:hAnsi="Times New Roman"/>
                <w:sz w:val="24"/>
                <w:szCs w:val="24"/>
                <w:lang w:val="en-IE"/>
              </w:rPr>
            </w:pPr>
            <w:proofErr w:type="spellStart"/>
            <w:r w:rsidRPr="00BD3BBB">
              <w:rPr>
                <w:rFonts w:ascii="Times New Roman" w:hAnsi="Times New Roman"/>
                <w:sz w:val="24"/>
                <w:szCs w:val="24"/>
                <w:lang w:val="en-IE" w:eastAsia="en-IE"/>
              </w:rPr>
              <w:t>Eurofound</w:t>
            </w:r>
            <w:proofErr w:type="spellEnd"/>
            <w:r w:rsidR="00AC31A2">
              <w:rPr>
                <w:rFonts w:ascii="Times New Roman" w:eastAsia="Times New Roman" w:hAnsi="Times New Roman"/>
                <w:sz w:val="24"/>
                <w:szCs w:val="24"/>
                <w:lang w:val="en-IE"/>
              </w:rPr>
              <w:t xml:space="preserve"> </w:t>
            </w:r>
            <w:r w:rsidR="00AC31A2" w:rsidRPr="0010709F">
              <w:rPr>
                <w:rFonts w:ascii="Times New Roman" w:eastAsia="Times New Roman" w:hAnsi="Times New Roman"/>
                <w:sz w:val="24"/>
                <w:szCs w:val="24"/>
                <w:lang w:val="en-IE"/>
              </w:rPr>
              <w:t>addresses demographic change in its analytical work</w:t>
            </w:r>
            <w:r>
              <w:rPr>
                <w:rFonts w:ascii="Times New Roman" w:eastAsia="Times New Roman" w:hAnsi="Times New Roman"/>
                <w:sz w:val="24"/>
                <w:szCs w:val="24"/>
                <w:lang w:val="en-IE"/>
              </w:rPr>
              <w:t>, as</w:t>
            </w:r>
            <w:r w:rsidR="00AC31A2" w:rsidRPr="0010709F">
              <w:rPr>
                <w:rFonts w:ascii="Times New Roman" w:eastAsia="Times New Roman" w:hAnsi="Times New Roman"/>
                <w:sz w:val="24"/>
                <w:szCs w:val="24"/>
                <w:lang w:val="en-IE"/>
              </w:rPr>
              <w:t xml:space="preserve"> outlined in its 2024 work programme and in the context of its Multiannual Research Programme 2025-2028</w:t>
            </w:r>
            <w:r>
              <w:rPr>
                <w:rFonts w:ascii="Times New Roman" w:eastAsia="Times New Roman" w:hAnsi="Times New Roman"/>
                <w:sz w:val="24"/>
                <w:szCs w:val="24"/>
                <w:lang w:val="en-IE"/>
              </w:rPr>
              <w:t>. The latter will have</w:t>
            </w:r>
            <w:r w:rsidR="00AC31A2" w:rsidRPr="0010709F">
              <w:rPr>
                <w:rFonts w:ascii="Times New Roman" w:eastAsia="Times New Roman" w:hAnsi="Times New Roman"/>
                <w:sz w:val="24"/>
                <w:szCs w:val="24"/>
                <w:lang w:val="en-IE"/>
              </w:rPr>
              <w:t xml:space="preserve"> a clear focus on the effect of this </w:t>
            </w:r>
            <w:r w:rsidR="00E022CA">
              <w:rPr>
                <w:rFonts w:ascii="Times New Roman" w:eastAsia="Times New Roman" w:hAnsi="Times New Roman"/>
                <w:sz w:val="24"/>
                <w:szCs w:val="24"/>
                <w:lang w:val="en-IE"/>
              </w:rPr>
              <w:t>‘</w:t>
            </w:r>
            <w:r w:rsidR="00AC31A2" w:rsidRPr="0010709F">
              <w:rPr>
                <w:rFonts w:ascii="Times New Roman" w:eastAsia="Times New Roman" w:hAnsi="Times New Roman"/>
                <w:sz w:val="24"/>
                <w:szCs w:val="24"/>
                <w:lang w:val="en-IE"/>
              </w:rPr>
              <w:t>mega-driver</w:t>
            </w:r>
            <w:r w:rsidR="00E022CA">
              <w:rPr>
                <w:rFonts w:ascii="Times New Roman" w:eastAsia="Times New Roman" w:hAnsi="Times New Roman"/>
                <w:sz w:val="24"/>
                <w:szCs w:val="24"/>
                <w:lang w:val="en-IE"/>
              </w:rPr>
              <w:t>’</w:t>
            </w:r>
            <w:r w:rsidR="00AC31A2" w:rsidRPr="0010709F">
              <w:rPr>
                <w:rFonts w:ascii="Times New Roman" w:eastAsia="Times New Roman" w:hAnsi="Times New Roman"/>
                <w:sz w:val="24"/>
                <w:szCs w:val="24"/>
                <w:vertAlign w:val="superscript"/>
                <w:lang w:val="en-IE"/>
              </w:rPr>
              <w:footnoteReference w:id="6"/>
            </w:r>
            <w:r w:rsidR="00AC31A2" w:rsidRPr="0010709F">
              <w:rPr>
                <w:rFonts w:ascii="Times New Roman" w:eastAsia="Times New Roman" w:hAnsi="Times New Roman"/>
                <w:sz w:val="24"/>
                <w:szCs w:val="24"/>
                <w:lang w:val="en-IE"/>
              </w:rPr>
              <w:t xml:space="preserve"> on working and living conditions, as well as labour supply. </w:t>
            </w:r>
            <w:r>
              <w:rPr>
                <w:rFonts w:ascii="Times New Roman" w:eastAsia="Times New Roman" w:hAnsi="Times New Roman"/>
                <w:sz w:val="24"/>
                <w:szCs w:val="24"/>
                <w:lang w:val="en-IE"/>
              </w:rPr>
              <w:t>Other activities include</w:t>
            </w:r>
            <w:r w:rsidR="00AC31A2" w:rsidRPr="0010709F">
              <w:rPr>
                <w:rFonts w:ascii="Times New Roman" w:eastAsia="Times New Roman" w:hAnsi="Times New Roman"/>
                <w:sz w:val="24"/>
                <w:szCs w:val="24"/>
                <w:lang w:val="en-IE"/>
              </w:rPr>
              <w:t xml:space="preserve"> </w:t>
            </w:r>
            <w:proofErr w:type="spellStart"/>
            <w:r w:rsidR="00AC31A2" w:rsidRPr="0010709F">
              <w:rPr>
                <w:rFonts w:ascii="Times New Roman" w:eastAsia="Times New Roman" w:hAnsi="Times New Roman"/>
                <w:sz w:val="24"/>
                <w:szCs w:val="24"/>
                <w:lang w:val="en-IE"/>
              </w:rPr>
              <w:t>Eurofound’s</w:t>
            </w:r>
            <w:proofErr w:type="spellEnd"/>
            <w:r w:rsidR="00AC31A2" w:rsidRPr="0010709F">
              <w:rPr>
                <w:rFonts w:ascii="Times New Roman" w:eastAsia="Times New Roman" w:hAnsi="Times New Roman"/>
                <w:sz w:val="24"/>
                <w:szCs w:val="24"/>
                <w:lang w:val="en-IE"/>
              </w:rPr>
              <w:t xml:space="preserve"> flagship surveys </w:t>
            </w:r>
            <w:r w:rsidR="00E60810">
              <w:rPr>
                <w:rFonts w:ascii="Times New Roman" w:eastAsia="Times New Roman" w:hAnsi="Times New Roman"/>
                <w:sz w:val="24"/>
                <w:szCs w:val="24"/>
                <w:lang w:val="en-IE"/>
              </w:rPr>
              <w:t>‘</w:t>
            </w:r>
            <w:r w:rsidR="00AC31A2" w:rsidRPr="0010709F">
              <w:rPr>
                <w:rFonts w:ascii="Times New Roman" w:eastAsia="Times New Roman" w:hAnsi="Times New Roman"/>
                <w:sz w:val="24"/>
                <w:szCs w:val="24"/>
                <w:lang w:val="en-IE"/>
              </w:rPr>
              <w:t>European Working Conditions Survey</w:t>
            </w:r>
            <w:r w:rsidR="00E60810">
              <w:rPr>
                <w:rFonts w:ascii="Times New Roman" w:eastAsia="Times New Roman" w:hAnsi="Times New Roman"/>
                <w:sz w:val="24"/>
                <w:szCs w:val="24"/>
                <w:lang w:val="en-IE"/>
              </w:rPr>
              <w:t>’</w:t>
            </w:r>
            <w:r w:rsidR="00AC31A2" w:rsidRPr="0010709F">
              <w:rPr>
                <w:rFonts w:ascii="Times New Roman" w:eastAsia="Times New Roman" w:hAnsi="Times New Roman"/>
                <w:sz w:val="24"/>
                <w:szCs w:val="24"/>
                <w:lang w:val="en-IE"/>
              </w:rPr>
              <w:t xml:space="preserve"> and </w:t>
            </w:r>
            <w:r w:rsidR="00E60810">
              <w:rPr>
                <w:rFonts w:ascii="Times New Roman" w:eastAsia="Times New Roman" w:hAnsi="Times New Roman"/>
                <w:sz w:val="24"/>
                <w:szCs w:val="24"/>
                <w:lang w:val="en-IE"/>
              </w:rPr>
              <w:t>‘</w:t>
            </w:r>
            <w:r w:rsidR="00AC31A2" w:rsidRPr="0010709F">
              <w:rPr>
                <w:rFonts w:ascii="Times New Roman" w:eastAsia="Times New Roman" w:hAnsi="Times New Roman"/>
                <w:sz w:val="24"/>
                <w:szCs w:val="24"/>
                <w:lang w:val="en-IE"/>
              </w:rPr>
              <w:t>European Quality of Life Survey</w:t>
            </w:r>
            <w:r w:rsidR="00E60810">
              <w:rPr>
                <w:rFonts w:ascii="Times New Roman" w:eastAsia="Times New Roman" w:hAnsi="Times New Roman"/>
                <w:sz w:val="24"/>
                <w:szCs w:val="24"/>
                <w:lang w:val="en-IE"/>
              </w:rPr>
              <w:t>’.</w:t>
            </w:r>
            <w:r w:rsidR="00AC31A2" w:rsidRPr="0010709F">
              <w:rPr>
                <w:rFonts w:ascii="Times New Roman" w:eastAsia="Times New Roman" w:hAnsi="Times New Roman"/>
                <w:sz w:val="24"/>
                <w:szCs w:val="24"/>
                <w:lang w:val="en-IE"/>
              </w:rPr>
              <w:t xml:space="preserve"> </w:t>
            </w:r>
          </w:p>
          <w:p w14:paraId="1DAF28C8" w14:textId="77777777" w:rsidR="00AC31A2" w:rsidRPr="0010709F" w:rsidRDefault="00AC31A2" w:rsidP="00362453">
            <w:pPr>
              <w:spacing w:before="120" w:after="120"/>
              <w:jc w:val="both"/>
              <w:rPr>
                <w:rFonts w:ascii="Times New Roman" w:hAnsi="Times New Roman"/>
                <w:sz w:val="24"/>
                <w:szCs w:val="24"/>
                <w:lang w:val="en-IE" w:eastAsia="en-IE"/>
              </w:rPr>
            </w:pPr>
            <w:r>
              <w:rPr>
                <w:rFonts w:ascii="Times New Roman" w:hAnsi="Times New Roman"/>
                <w:b/>
                <w:bCs/>
                <w:color w:val="000000"/>
                <w:sz w:val="24"/>
                <w:szCs w:val="24"/>
              </w:rPr>
              <w:t>T</w:t>
            </w:r>
            <w:r w:rsidRPr="0010709F">
              <w:rPr>
                <w:rFonts w:ascii="Times New Roman" w:hAnsi="Times New Roman"/>
                <w:b/>
                <w:bCs/>
                <w:color w:val="000000"/>
                <w:sz w:val="24"/>
                <w:szCs w:val="24"/>
              </w:rPr>
              <w:t>here are also Commission services whose objectives include evidence-gathering on demography as well as policy development</w:t>
            </w:r>
            <w:r w:rsidRPr="0010709F">
              <w:rPr>
                <w:rFonts w:ascii="Times New Roman" w:hAnsi="Times New Roman"/>
                <w:color w:val="000000"/>
                <w:sz w:val="24"/>
                <w:szCs w:val="24"/>
              </w:rPr>
              <w:t xml:space="preserve"> regarding the main impacts of demography.  </w:t>
            </w:r>
          </w:p>
          <w:p w14:paraId="63BC3089" w14:textId="34E3930B" w:rsidR="00AC31A2" w:rsidRPr="00E022CA" w:rsidRDefault="00AC31A2" w:rsidP="00362453">
            <w:pPr>
              <w:spacing w:before="120" w:after="120"/>
              <w:jc w:val="both"/>
              <w:rPr>
                <w:rFonts w:ascii="Times New Roman" w:hAnsi="Times New Roman"/>
                <w:sz w:val="24"/>
                <w:szCs w:val="24"/>
                <w:lang w:val="en-IE" w:eastAsia="en-IE"/>
              </w:rPr>
            </w:pPr>
            <w:r w:rsidRPr="00E022CA">
              <w:rPr>
                <w:rFonts w:ascii="Times New Roman" w:hAnsi="Times New Roman"/>
                <w:sz w:val="24"/>
                <w:szCs w:val="24"/>
                <w:lang w:val="en-IE" w:eastAsia="en-IE"/>
              </w:rPr>
              <w:t>Eurostat provides regular, detailed and timely statistics on population and demographic characteristics at EU, national and regional levels by various breakdowns. The available statistics cover topics such as population size, density and structure, migration, vital events such as births and deaths, life expectancy, and marital status. Eurostat also regularly produces statistical reports on the demographic change in the EU, helping to build evidence-based policy and analyse the drivers of the demographic change in the EU.</w:t>
            </w:r>
          </w:p>
          <w:p w14:paraId="459ED43B" w14:textId="582C4C4C" w:rsidR="00AC31A2" w:rsidRPr="00E022CA" w:rsidRDefault="00AC31A2" w:rsidP="00362453">
            <w:pPr>
              <w:pStyle w:val="text-align-justify"/>
              <w:spacing w:before="120" w:beforeAutospacing="0" w:after="120" w:afterAutospacing="0" w:line="276" w:lineRule="auto"/>
              <w:jc w:val="both"/>
            </w:pPr>
            <w:r w:rsidRPr="00E022CA">
              <w:rPr>
                <w:b/>
                <w:bCs/>
              </w:rPr>
              <w:t>T</w:t>
            </w:r>
            <w:r w:rsidRPr="00E022CA">
              <w:rPr>
                <w:rStyle w:val="Strong"/>
              </w:rPr>
              <w:t>he Knowledge Centre on Migration and Demography (KCMD)</w:t>
            </w:r>
            <w:r w:rsidRPr="00E022CA">
              <w:rPr>
                <w:rStyle w:val="Strong"/>
                <w:b w:val="0"/>
                <w:bCs w:val="0"/>
              </w:rPr>
              <w:t xml:space="preserve"> provides independent scientific evidence for strengthening the Commission’s response to the opportunities and challenges related to demographic change and migration</w:t>
            </w:r>
            <w:r w:rsidR="005468FD" w:rsidRPr="00E022CA">
              <w:rPr>
                <w:rStyle w:val="Strong"/>
                <w:b w:val="0"/>
                <w:bCs w:val="0"/>
              </w:rPr>
              <w:t>,</w:t>
            </w:r>
            <w:r w:rsidR="003057C4" w:rsidRPr="00E022CA">
              <w:rPr>
                <w:rStyle w:val="Strong"/>
                <w:b w:val="0"/>
                <w:bCs w:val="0"/>
              </w:rPr>
              <w:t xml:space="preserve"> and works</w:t>
            </w:r>
            <w:r w:rsidRPr="00E022CA">
              <w:rPr>
                <w:rStyle w:val="Strong"/>
                <w:b w:val="0"/>
                <w:bCs w:val="0"/>
              </w:rPr>
              <w:t xml:space="preserve"> </w:t>
            </w:r>
            <w:r w:rsidR="003057C4" w:rsidRPr="00E022CA">
              <w:t>i</w:t>
            </w:r>
            <w:r w:rsidRPr="00E022CA">
              <w:t>n strategic partnership with a number of Commission services</w:t>
            </w:r>
            <w:r w:rsidR="003057C4" w:rsidRPr="00E022CA">
              <w:t>.</w:t>
            </w:r>
          </w:p>
          <w:p w14:paraId="7940BAD0" w14:textId="5822EA4F" w:rsidR="00AC31A2" w:rsidRPr="00E022CA" w:rsidRDefault="00E022CA" w:rsidP="00362453">
            <w:pPr>
              <w:spacing w:before="120" w:after="120"/>
              <w:jc w:val="both"/>
              <w:rPr>
                <w:rFonts w:ascii="Times New Roman" w:hAnsi="Times New Roman"/>
                <w:sz w:val="24"/>
                <w:szCs w:val="24"/>
                <w:lang w:val="en-IE"/>
              </w:rPr>
            </w:pPr>
            <w:r>
              <w:rPr>
                <w:rFonts w:ascii="Times New Roman" w:hAnsi="Times New Roman"/>
                <w:b/>
                <w:bCs/>
                <w:sz w:val="24"/>
                <w:szCs w:val="24"/>
                <w:lang w:val="en-IE"/>
              </w:rPr>
              <w:t xml:space="preserve">The </w:t>
            </w:r>
            <w:r w:rsidR="00AC31A2" w:rsidRPr="00E022CA">
              <w:rPr>
                <w:rFonts w:ascii="Times New Roman" w:hAnsi="Times New Roman"/>
                <w:b/>
                <w:bCs/>
                <w:sz w:val="24"/>
                <w:szCs w:val="24"/>
                <w:lang w:val="en-IE"/>
              </w:rPr>
              <w:t>D</w:t>
            </w:r>
            <w:r w:rsidR="00E10B44" w:rsidRPr="00E022CA">
              <w:rPr>
                <w:rFonts w:ascii="Times New Roman" w:hAnsi="Times New Roman"/>
                <w:b/>
                <w:bCs/>
                <w:sz w:val="24"/>
                <w:szCs w:val="24"/>
                <w:lang w:val="en-IE"/>
              </w:rPr>
              <w:t>irectorate-</w:t>
            </w:r>
            <w:r w:rsidR="00AC31A2" w:rsidRPr="00E022CA">
              <w:rPr>
                <w:rFonts w:ascii="Times New Roman" w:hAnsi="Times New Roman"/>
                <w:b/>
                <w:bCs/>
                <w:sz w:val="24"/>
                <w:szCs w:val="24"/>
                <w:lang w:val="en-IE"/>
              </w:rPr>
              <w:t>G</w:t>
            </w:r>
            <w:r w:rsidR="00E10B44" w:rsidRPr="00E022CA">
              <w:rPr>
                <w:rFonts w:ascii="Times New Roman" w:hAnsi="Times New Roman"/>
                <w:b/>
                <w:bCs/>
                <w:sz w:val="24"/>
                <w:szCs w:val="24"/>
                <w:lang w:val="en-IE"/>
              </w:rPr>
              <w:t>eneral</w:t>
            </w:r>
            <w:r w:rsidR="00AC31A2" w:rsidRPr="00E022CA">
              <w:rPr>
                <w:rFonts w:ascii="Times New Roman" w:hAnsi="Times New Roman"/>
                <w:b/>
                <w:bCs/>
                <w:sz w:val="24"/>
                <w:szCs w:val="24"/>
                <w:lang w:val="en-IE"/>
              </w:rPr>
              <w:t xml:space="preserve"> Employment, Social Affairs and Inclusion</w:t>
            </w:r>
            <w:r w:rsidR="00AC31A2" w:rsidRPr="00E022CA">
              <w:rPr>
                <w:rFonts w:ascii="Times New Roman" w:hAnsi="Times New Roman"/>
                <w:sz w:val="24"/>
                <w:szCs w:val="24"/>
                <w:lang w:val="en-IE"/>
              </w:rPr>
              <w:t xml:space="preserve"> also monitors the impacts of demographic developments on EU labour markets and pension systems and has produced topical analyses</w:t>
            </w:r>
            <w:r w:rsidR="00B80804" w:rsidRPr="00E022CA">
              <w:rPr>
                <w:rStyle w:val="FootnoteReference"/>
                <w:rFonts w:ascii="Times New Roman" w:hAnsi="Times New Roman"/>
                <w:sz w:val="24"/>
                <w:szCs w:val="24"/>
                <w:lang w:val="en-IE"/>
              </w:rPr>
              <w:footnoteReference w:id="7"/>
            </w:r>
            <w:r w:rsidR="00B80804" w:rsidRPr="00E022CA">
              <w:rPr>
                <w:rFonts w:ascii="Times New Roman" w:hAnsi="Times New Roman"/>
                <w:sz w:val="24"/>
                <w:szCs w:val="24"/>
                <w:lang w:val="en-IE"/>
              </w:rPr>
              <w:t>,</w:t>
            </w:r>
            <w:r w:rsidR="00AC31A2" w:rsidRPr="00E022CA">
              <w:rPr>
                <w:rFonts w:ascii="Times New Roman" w:hAnsi="Times New Roman"/>
                <w:sz w:val="24"/>
                <w:szCs w:val="24"/>
                <w:lang w:val="en-IE"/>
              </w:rPr>
              <w:t xml:space="preserve"> as well as policy initiatives, such as the Action Plan on Labour and Skills Shortages</w:t>
            </w:r>
            <w:r w:rsidR="00AC31A2" w:rsidRPr="00E022CA">
              <w:rPr>
                <w:rStyle w:val="FootnoteReference"/>
                <w:rFonts w:ascii="Times New Roman" w:hAnsi="Times New Roman"/>
                <w:sz w:val="24"/>
                <w:szCs w:val="24"/>
                <w:lang w:val="en-IE"/>
              </w:rPr>
              <w:footnoteReference w:id="8"/>
            </w:r>
            <w:r w:rsidR="00AC31A2" w:rsidRPr="00E022CA">
              <w:rPr>
                <w:rFonts w:ascii="Times New Roman" w:hAnsi="Times New Roman"/>
                <w:sz w:val="24"/>
                <w:szCs w:val="24"/>
                <w:lang w:val="en-IE"/>
              </w:rPr>
              <w:t>, which defines demographic changes as one of the key drivers of these shortages, calling on joint action by agencies on that matter.</w:t>
            </w:r>
          </w:p>
          <w:p w14:paraId="434BC688" w14:textId="3D232571" w:rsidR="00AC31A2" w:rsidRPr="0010709F" w:rsidRDefault="003057C4" w:rsidP="00362453">
            <w:pPr>
              <w:spacing w:before="120" w:after="120"/>
              <w:jc w:val="both"/>
              <w:rPr>
                <w:rFonts w:ascii="Times New Roman" w:hAnsi="Times New Roman"/>
                <w:color w:val="000000"/>
                <w:sz w:val="24"/>
                <w:szCs w:val="24"/>
                <w:lang w:val="en-IE"/>
              </w:rPr>
            </w:pPr>
            <w:r w:rsidRPr="00E022CA">
              <w:rPr>
                <w:rFonts w:ascii="Times New Roman" w:hAnsi="Times New Roman"/>
                <w:b/>
                <w:bCs/>
                <w:sz w:val="24"/>
                <w:szCs w:val="24"/>
                <w:lang w:val="en-IE"/>
              </w:rPr>
              <w:t>O</w:t>
            </w:r>
            <w:r w:rsidR="00AC31A2" w:rsidRPr="00E022CA">
              <w:rPr>
                <w:rFonts w:ascii="Times New Roman" w:hAnsi="Times New Roman"/>
                <w:b/>
                <w:bCs/>
                <w:sz w:val="24"/>
                <w:szCs w:val="24"/>
                <w:lang w:val="en-IE"/>
              </w:rPr>
              <w:t xml:space="preserve">ther services of the Commission </w:t>
            </w:r>
            <w:r w:rsidR="00AC31A2" w:rsidRPr="00E022CA">
              <w:rPr>
                <w:rFonts w:ascii="Times New Roman" w:hAnsi="Times New Roman"/>
                <w:sz w:val="24"/>
                <w:szCs w:val="24"/>
                <w:lang w:val="en-IE"/>
              </w:rPr>
              <w:t>have responsibilities over</w:t>
            </w:r>
            <w:r w:rsidR="00AC31A2" w:rsidRPr="0010709F">
              <w:rPr>
                <w:rFonts w:ascii="Times New Roman" w:hAnsi="Times New Roman"/>
                <w:color w:val="000000"/>
                <w:sz w:val="24"/>
                <w:szCs w:val="24"/>
                <w:lang w:val="en-IE"/>
              </w:rPr>
              <w:t xml:space="preserve"> various </w:t>
            </w:r>
            <w:r w:rsidR="00AC31A2" w:rsidRPr="00221035">
              <w:rPr>
                <w:rFonts w:ascii="Times New Roman" w:hAnsi="Times New Roman"/>
                <w:color w:val="000000"/>
                <w:sz w:val="24"/>
                <w:szCs w:val="24"/>
                <w:lang w:val="en-IE"/>
              </w:rPr>
              <w:t>aspects of demography</w:t>
            </w:r>
            <w:r w:rsidR="00AC31A2">
              <w:rPr>
                <w:rFonts w:ascii="Times New Roman" w:hAnsi="Times New Roman"/>
                <w:color w:val="000000"/>
                <w:sz w:val="24"/>
                <w:szCs w:val="24"/>
                <w:lang w:val="en-IE"/>
              </w:rPr>
              <w:t xml:space="preserve"> or manage financial instruments that can support policy implementation in this domain. For example, </w:t>
            </w:r>
            <w:r w:rsidR="00255980">
              <w:rPr>
                <w:rFonts w:ascii="Times New Roman" w:hAnsi="Times New Roman"/>
                <w:color w:val="000000"/>
                <w:sz w:val="24"/>
                <w:szCs w:val="24"/>
                <w:lang w:val="en-IE"/>
              </w:rPr>
              <w:t xml:space="preserve">the </w:t>
            </w:r>
            <w:r w:rsidR="00AC31A2">
              <w:rPr>
                <w:rFonts w:ascii="Times New Roman" w:hAnsi="Times New Roman"/>
                <w:color w:val="000000"/>
                <w:sz w:val="24"/>
                <w:szCs w:val="24"/>
                <w:lang w:val="en-IE"/>
              </w:rPr>
              <w:t>D</w:t>
            </w:r>
            <w:r w:rsidR="00E10B44">
              <w:rPr>
                <w:rFonts w:ascii="Times New Roman" w:hAnsi="Times New Roman"/>
                <w:color w:val="000000"/>
                <w:sz w:val="24"/>
                <w:szCs w:val="24"/>
                <w:lang w:val="en-IE"/>
              </w:rPr>
              <w:t>irectorate-</w:t>
            </w:r>
            <w:r w:rsidR="00AC31A2">
              <w:rPr>
                <w:rFonts w:ascii="Times New Roman" w:hAnsi="Times New Roman"/>
                <w:color w:val="000000"/>
                <w:sz w:val="24"/>
                <w:szCs w:val="24"/>
                <w:lang w:val="en-IE"/>
              </w:rPr>
              <w:t>G</w:t>
            </w:r>
            <w:r w:rsidR="00E10B44">
              <w:rPr>
                <w:rFonts w:ascii="Times New Roman" w:hAnsi="Times New Roman"/>
                <w:color w:val="000000"/>
                <w:sz w:val="24"/>
                <w:szCs w:val="24"/>
                <w:lang w:val="en-IE"/>
              </w:rPr>
              <w:t>eneral</w:t>
            </w:r>
            <w:r w:rsidR="00AC31A2">
              <w:rPr>
                <w:rFonts w:ascii="Times New Roman" w:hAnsi="Times New Roman"/>
                <w:color w:val="000000"/>
                <w:sz w:val="24"/>
                <w:szCs w:val="24"/>
                <w:lang w:val="en-IE"/>
              </w:rPr>
              <w:t xml:space="preserve"> </w:t>
            </w:r>
            <w:r w:rsidR="00524619" w:rsidRPr="00524619">
              <w:rPr>
                <w:rFonts w:ascii="Times New Roman" w:hAnsi="Times New Roman"/>
                <w:color w:val="000000"/>
                <w:sz w:val="24"/>
                <w:szCs w:val="24"/>
                <w:lang w:val="en-IE"/>
              </w:rPr>
              <w:t xml:space="preserve">Economic and Financial Affairs </w:t>
            </w:r>
            <w:r w:rsidR="00255980">
              <w:rPr>
                <w:rFonts w:ascii="Times New Roman" w:hAnsi="Times New Roman"/>
                <w:color w:val="000000"/>
                <w:sz w:val="24"/>
                <w:szCs w:val="24"/>
                <w:lang w:val="en-IE"/>
              </w:rPr>
              <w:t xml:space="preserve">regarding </w:t>
            </w:r>
            <w:r w:rsidR="00AC31A2">
              <w:rPr>
                <w:rFonts w:ascii="Times New Roman" w:hAnsi="Times New Roman"/>
                <w:color w:val="000000"/>
                <w:sz w:val="24"/>
                <w:szCs w:val="24"/>
                <w:lang w:val="en-IE"/>
              </w:rPr>
              <w:t xml:space="preserve">the sustainability of the pension system, </w:t>
            </w:r>
            <w:r w:rsidR="00416D2C">
              <w:rPr>
                <w:rFonts w:ascii="Times New Roman" w:hAnsi="Times New Roman"/>
                <w:color w:val="000000"/>
                <w:sz w:val="24"/>
                <w:szCs w:val="24"/>
                <w:lang w:val="en-IE"/>
              </w:rPr>
              <w:t xml:space="preserve">the </w:t>
            </w:r>
            <w:r w:rsidR="00E10B44" w:rsidRPr="00E10B44">
              <w:rPr>
                <w:rFonts w:ascii="Times New Roman" w:hAnsi="Times New Roman"/>
                <w:color w:val="000000"/>
                <w:sz w:val="24"/>
                <w:szCs w:val="24"/>
                <w:lang w:val="en-IE"/>
              </w:rPr>
              <w:t>Directorate-General</w:t>
            </w:r>
            <w:r w:rsidR="00AC31A2">
              <w:rPr>
                <w:rFonts w:ascii="Times New Roman" w:hAnsi="Times New Roman"/>
                <w:color w:val="000000"/>
                <w:sz w:val="24"/>
                <w:szCs w:val="24"/>
                <w:lang w:val="en-IE"/>
              </w:rPr>
              <w:t xml:space="preserve"> </w:t>
            </w:r>
            <w:r w:rsidR="00524619">
              <w:rPr>
                <w:rFonts w:ascii="Times New Roman" w:hAnsi="Times New Roman"/>
                <w:color w:val="000000"/>
                <w:sz w:val="24"/>
                <w:szCs w:val="24"/>
                <w:lang w:val="en-IE"/>
              </w:rPr>
              <w:t>Justice and Consumers</w:t>
            </w:r>
            <w:r w:rsidR="00AC31A2">
              <w:rPr>
                <w:rFonts w:ascii="Times New Roman" w:hAnsi="Times New Roman"/>
                <w:color w:val="000000"/>
                <w:sz w:val="24"/>
                <w:szCs w:val="24"/>
                <w:lang w:val="en-IE"/>
              </w:rPr>
              <w:t xml:space="preserve"> </w:t>
            </w:r>
            <w:r w:rsidR="00416D2C">
              <w:rPr>
                <w:rFonts w:ascii="Times New Roman" w:hAnsi="Times New Roman"/>
                <w:color w:val="000000"/>
                <w:sz w:val="24"/>
                <w:szCs w:val="24"/>
                <w:lang w:val="en-IE"/>
              </w:rPr>
              <w:t xml:space="preserve">regarding </w:t>
            </w:r>
            <w:r w:rsidR="00AC31A2">
              <w:rPr>
                <w:rFonts w:ascii="Times New Roman" w:hAnsi="Times New Roman"/>
                <w:color w:val="000000"/>
                <w:sz w:val="24"/>
                <w:szCs w:val="24"/>
                <w:lang w:val="en-IE"/>
              </w:rPr>
              <w:t xml:space="preserve">balancing personal </w:t>
            </w:r>
            <w:r w:rsidR="00AC31A2">
              <w:rPr>
                <w:rFonts w:ascii="Times New Roman" w:hAnsi="Times New Roman"/>
                <w:color w:val="000000"/>
                <w:sz w:val="24"/>
                <w:szCs w:val="24"/>
                <w:lang w:val="en-IE"/>
              </w:rPr>
              <w:lastRenderedPageBreak/>
              <w:t xml:space="preserve">aspiration and paid work for women, </w:t>
            </w:r>
            <w:r w:rsidR="00416D2C">
              <w:rPr>
                <w:rFonts w:ascii="Times New Roman" w:hAnsi="Times New Roman"/>
                <w:color w:val="000000"/>
                <w:sz w:val="24"/>
                <w:szCs w:val="24"/>
                <w:lang w:val="en-IE"/>
              </w:rPr>
              <w:t xml:space="preserve">the </w:t>
            </w:r>
            <w:r w:rsidR="00E10B44" w:rsidRPr="00E10B44">
              <w:rPr>
                <w:rFonts w:ascii="Times New Roman" w:hAnsi="Times New Roman"/>
                <w:color w:val="000000"/>
                <w:sz w:val="24"/>
                <w:szCs w:val="24"/>
                <w:lang w:val="en-IE"/>
              </w:rPr>
              <w:t>Directorate-General</w:t>
            </w:r>
            <w:r w:rsidR="00AC31A2">
              <w:rPr>
                <w:rFonts w:ascii="Times New Roman" w:hAnsi="Times New Roman"/>
                <w:color w:val="000000"/>
                <w:sz w:val="24"/>
                <w:szCs w:val="24"/>
                <w:lang w:val="en-IE"/>
              </w:rPr>
              <w:t xml:space="preserve"> </w:t>
            </w:r>
            <w:r w:rsidR="00524619" w:rsidRPr="00524619">
              <w:rPr>
                <w:rFonts w:ascii="Times New Roman" w:hAnsi="Times New Roman"/>
                <w:color w:val="000000"/>
                <w:sz w:val="24"/>
                <w:szCs w:val="24"/>
                <w:lang w:val="en-IE"/>
              </w:rPr>
              <w:t>Education, Youth, Sport and Culture</w:t>
            </w:r>
            <w:r w:rsidR="00524619">
              <w:rPr>
                <w:rFonts w:ascii="Times New Roman" w:hAnsi="Times New Roman"/>
                <w:color w:val="000000"/>
                <w:sz w:val="24"/>
                <w:szCs w:val="24"/>
                <w:lang w:val="en-IE"/>
              </w:rPr>
              <w:t xml:space="preserve"> </w:t>
            </w:r>
            <w:r w:rsidR="00416D2C">
              <w:rPr>
                <w:rFonts w:ascii="Times New Roman" w:hAnsi="Times New Roman"/>
                <w:color w:val="000000"/>
                <w:sz w:val="24"/>
                <w:szCs w:val="24"/>
                <w:lang w:val="en-IE"/>
              </w:rPr>
              <w:t xml:space="preserve">regarding the </w:t>
            </w:r>
            <w:r w:rsidR="00AC31A2">
              <w:rPr>
                <w:rFonts w:ascii="Times New Roman" w:hAnsi="Times New Roman"/>
                <w:color w:val="000000"/>
                <w:sz w:val="24"/>
                <w:szCs w:val="24"/>
                <w:lang w:val="en-IE"/>
              </w:rPr>
              <w:t>promoti</w:t>
            </w:r>
            <w:r w:rsidR="00416D2C">
              <w:rPr>
                <w:rFonts w:ascii="Times New Roman" w:hAnsi="Times New Roman"/>
                <w:color w:val="000000"/>
                <w:sz w:val="24"/>
                <w:szCs w:val="24"/>
                <w:lang w:val="en-IE"/>
              </w:rPr>
              <w:t>on of</w:t>
            </w:r>
            <w:r w:rsidR="00AC31A2">
              <w:rPr>
                <w:rFonts w:ascii="Times New Roman" w:hAnsi="Times New Roman"/>
                <w:color w:val="000000"/>
                <w:sz w:val="24"/>
                <w:szCs w:val="24"/>
                <w:lang w:val="en-IE"/>
              </w:rPr>
              <w:t xml:space="preserve"> access to education and childcare</w:t>
            </w:r>
            <w:r w:rsidR="00416D2C">
              <w:rPr>
                <w:rFonts w:ascii="Times New Roman" w:hAnsi="Times New Roman"/>
                <w:color w:val="000000"/>
                <w:sz w:val="24"/>
                <w:szCs w:val="24"/>
                <w:lang w:val="en-IE"/>
              </w:rPr>
              <w:t>,</w:t>
            </w:r>
            <w:r w:rsidR="00B8184C">
              <w:rPr>
                <w:rFonts w:ascii="Times New Roman" w:hAnsi="Times New Roman"/>
                <w:color w:val="000000"/>
                <w:sz w:val="24"/>
                <w:szCs w:val="24"/>
                <w:lang w:val="en-IE"/>
              </w:rPr>
              <w:t xml:space="preserve"> and </w:t>
            </w:r>
            <w:r w:rsidR="00416D2C">
              <w:rPr>
                <w:rFonts w:ascii="Times New Roman" w:hAnsi="Times New Roman"/>
                <w:color w:val="000000"/>
                <w:sz w:val="24"/>
                <w:szCs w:val="24"/>
                <w:lang w:val="en-IE"/>
              </w:rPr>
              <w:t xml:space="preserve">the Directorate-General </w:t>
            </w:r>
            <w:r w:rsidR="00B8184C">
              <w:rPr>
                <w:rFonts w:ascii="Times New Roman" w:hAnsi="Times New Roman"/>
                <w:color w:val="000000"/>
                <w:sz w:val="24"/>
                <w:szCs w:val="24"/>
                <w:lang w:val="en-IE"/>
              </w:rPr>
              <w:t xml:space="preserve">for Regional and Urban Policy </w:t>
            </w:r>
            <w:r w:rsidR="00416D2C">
              <w:rPr>
                <w:rFonts w:ascii="Times New Roman" w:hAnsi="Times New Roman"/>
                <w:color w:val="000000"/>
                <w:sz w:val="24"/>
                <w:szCs w:val="24"/>
                <w:lang w:val="en-IE"/>
              </w:rPr>
              <w:t xml:space="preserve">regarding the </w:t>
            </w:r>
            <w:r w:rsidR="00B8184C">
              <w:rPr>
                <w:rFonts w:ascii="Times New Roman" w:hAnsi="Times New Roman"/>
                <w:color w:val="000000"/>
                <w:sz w:val="24"/>
                <w:szCs w:val="24"/>
                <w:lang w:val="en-IE"/>
              </w:rPr>
              <w:t>support</w:t>
            </w:r>
            <w:r w:rsidR="00416D2C">
              <w:rPr>
                <w:rFonts w:ascii="Times New Roman" w:hAnsi="Times New Roman"/>
                <w:color w:val="000000"/>
                <w:sz w:val="24"/>
                <w:szCs w:val="24"/>
                <w:lang w:val="en-IE"/>
              </w:rPr>
              <w:t xml:space="preserve"> of</w:t>
            </w:r>
            <w:r w:rsidR="00B8184C">
              <w:rPr>
                <w:rFonts w:ascii="Times New Roman" w:hAnsi="Times New Roman"/>
                <w:color w:val="000000"/>
                <w:sz w:val="24"/>
                <w:szCs w:val="24"/>
                <w:lang w:val="en-IE"/>
              </w:rPr>
              <w:t xml:space="preserve"> regions in addressing the consequences of demographic change</w:t>
            </w:r>
            <w:r w:rsidR="00F241CF">
              <w:rPr>
                <w:rFonts w:ascii="Times New Roman" w:hAnsi="Times New Roman"/>
                <w:color w:val="000000"/>
                <w:sz w:val="24"/>
                <w:szCs w:val="24"/>
                <w:lang w:val="en-IE"/>
              </w:rPr>
              <w:t>,</w:t>
            </w:r>
            <w:r w:rsidR="00BC6153">
              <w:rPr>
                <w:rFonts w:ascii="Times New Roman" w:hAnsi="Times New Roman"/>
                <w:color w:val="000000"/>
                <w:sz w:val="24"/>
                <w:szCs w:val="24"/>
                <w:lang w:val="en-IE"/>
              </w:rPr>
              <w:t xml:space="preserve"> </w:t>
            </w:r>
            <w:r w:rsidR="00F241CF">
              <w:rPr>
                <w:rFonts w:ascii="Times New Roman" w:hAnsi="Times New Roman"/>
                <w:color w:val="000000"/>
                <w:sz w:val="24"/>
                <w:szCs w:val="24"/>
                <w:lang w:val="en-IE"/>
              </w:rPr>
              <w:t xml:space="preserve">including </w:t>
            </w:r>
            <w:r w:rsidR="00BC6153">
              <w:rPr>
                <w:rFonts w:ascii="Times New Roman" w:hAnsi="Times New Roman"/>
                <w:color w:val="000000"/>
                <w:sz w:val="24"/>
                <w:szCs w:val="24"/>
                <w:lang w:val="en-IE"/>
              </w:rPr>
              <w:t>the Harnessing Talent Platform and the Talent Booster Mechanism.</w:t>
            </w:r>
          </w:p>
          <w:p w14:paraId="4D0C2ABE" w14:textId="27AAA068" w:rsidR="00AC31A2" w:rsidRPr="0010709F" w:rsidRDefault="00AC31A2" w:rsidP="00362453">
            <w:pPr>
              <w:spacing w:before="120" w:after="120"/>
              <w:jc w:val="both"/>
              <w:rPr>
                <w:rFonts w:ascii="Times New Roman" w:hAnsi="Times New Roman"/>
                <w:sz w:val="24"/>
                <w:szCs w:val="24"/>
                <w:lang w:val="en-IE" w:eastAsia="en-IE"/>
              </w:rPr>
            </w:pPr>
            <w:r>
              <w:rPr>
                <w:rFonts w:ascii="Times New Roman" w:hAnsi="Times New Roman"/>
                <w:sz w:val="24"/>
                <w:szCs w:val="24"/>
                <w:lang w:val="en-IE" w:eastAsia="en-IE"/>
              </w:rPr>
              <w:t>T</w:t>
            </w:r>
            <w:r w:rsidRPr="0010709F">
              <w:rPr>
                <w:rFonts w:ascii="Times New Roman" w:hAnsi="Times New Roman"/>
                <w:sz w:val="24"/>
                <w:szCs w:val="24"/>
                <w:lang w:val="en-IE" w:eastAsia="en-IE"/>
              </w:rPr>
              <w:t xml:space="preserve">he </w:t>
            </w:r>
            <w:r w:rsidRPr="0010709F">
              <w:rPr>
                <w:rFonts w:ascii="Times New Roman" w:hAnsi="Times New Roman"/>
                <w:b/>
                <w:bCs/>
                <w:sz w:val="24"/>
                <w:szCs w:val="24"/>
                <w:lang w:val="en-IE" w:eastAsia="en-IE"/>
              </w:rPr>
              <w:t xml:space="preserve">primary responsibility for demography as well as the administrative and financial capabilities for tackling the demographic challenge lie with the Member </w:t>
            </w:r>
            <w:r w:rsidRPr="00E022CA">
              <w:rPr>
                <w:rFonts w:ascii="Times New Roman" w:hAnsi="Times New Roman"/>
                <w:b/>
                <w:bCs/>
                <w:sz w:val="24"/>
                <w:szCs w:val="24"/>
                <w:lang w:val="en-IE" w:eastAsia="en-IE"/>
              </w:rPr>
              <w:t>States</w:t>
            </w:r>
            <w:r w:rsidRPr="0010709F">
              <w:rPr>
                <w:rFonts w:ascii="Times New Roman" w:hAnsi="Times New Roman"/>
                <w:sz w:val="24"/>
                <w:szCs w:val="24"/>
                <w:lang w:val="en-IE" w:eastAsia="en-IE"/>
              </w:rPr>
              <w:t xml:space="preserve">. </w:t>
            </w:r>
            <w:r>
              <w:rPr>
                <w:rFonts w:ascii="Times New Roman" w:hAnsi="Times New Roman"/>
                <w:sz w:val="24"/>
                <w:szCs w:val="24"/>
                <w:lang w:val="en-IE" w:eastAsia="en-IE"/>
              </w:rPr>
              <w:t>A</w:t>
            </w:r>
            <w:r w:rsidRPr="0010709F">
              <w:rPr>
                <w:rFonts w:ascii="Times New Roman" w:hAnsi="Times New Roman"/>
                <w:sz w:val="24"/>
                <w:szCs w:val="24"/>
                <w:lang w:val="en-IE" w:eastAsia="en-IE"/>
              </w:rPr>
              <w:t xml:space="preserve"> number of public and private institutions in the Member States monitor demographic developments and/or develop relevant policies by formal mandate or out of own initiative.</w:t>
            </w:r>
            <w:r>
              <w:rPr>
                <w:rFonts w:ascii="Times New Roman" w:hAnsi="Times New Roman"/>
                <w:sz w:val="24"/>
                <w:szCs w:val="24"/>
                <w:lang w:val="en-IE" w:eastAsia="en-IE"/>
              </w:rPr>
              <w:t xml:space="preserve"> As such, compliance with the subsidiarity principle for this proposal should be carefully assessed.</w:t>
            </w:r>
          </w:p>
          <w:p w14:paraId="66D0A4F8" w14:textId="6478C2DA" w:rsidR="00AC31A2" w:rsidRDefault="00AC31A2" w:rsidP="00362453">
            <w:pPr>
              <w:spacing w:before="120" w:after="120"/>
              <w:jc w:val="both"/>
              <w:rPr>
                <w:rFonts w:ascii="Times New Roman" w:eastAsia="Times New Roman" w:hAnsi="Times New Roman"/>
                <w:sz w:val="24"/>
                <w:szCs w:val="24"/>
                <w:lang w:val="en-IE"/>
              </w:rPr>
            </w:pPr>
            <w:r w:rsidRPr="0010709F">
              <w:rPr>
                <w:rFonts w:ascii="Times New Roman" w:eastAsia="Times New Roman" w:hAnsi="Times New Roman"/>
                <w:b/>
                <w:bCs/>
                <w:sz w:val="24"/>
                <w:szCs w:val="24"/>
                <w:lang w:val="en-IE"/>
              </w:rPr>
              <w:t>In conclusion,</w:t>
            </w:r>
            <w:r w:rsidRPr="0010709F">
              <w:rPr>
                <w:rFonts w:ascii="Times New Roman" w:eastAsia="Times New Roman" w:hAnsi="Times New Roman"/>
                <w:sz w:val="24"/>
                <w:szCs w:val="24"/>
                <w:lang w:val="en-IE"/>
              </w:rPr>
              <w:t xml:space="preserve"> the Commission considers that the </w:t>
            </w:r>
            <w:r w:rsidR="008A76BF">
              <w:rPr>
                <w:rFonts w:ascii="Times New Roman" w:eastAsia="Times New Roman" w:hAnsi="Times New Roman"/>
                <w:sz w:val="24"/>
                <w:szCs w:val="24"/>
                <w:lang w:val="en-IE"/>
              </w:rPr>
              <w:t xml:space="preserve">efficiency, relevance, coherence and </w:t>
            </w:r>
            <w:r w:rsidRPr="0010709F">
              <w:rPr>
                <w:rFonts w:ascii="Times New Roman" w:eastAsia="Times New Roman" w:hAnsi="Times New Roman"/>
                <w:sz w:val="24"/>
                <w:szCs w:val="24"/>
                <w:lang w:val="en-IE"/>
              </w:rPr>
              <w:t xml:space="preserve">added value of creating a new </w:t>
            </w:r>
            <w:r w:rsidR="008A76BF">
              <w:rPr>
                <w:rFonts w:ascii="Times New Roman" w:eastAsia="Times New Roman" w:hAnsi="Times New Roman"/>
                <w:sz w:val="24"/>
                <w:szCs w:val="24"/>
                <w:lang w:val="en-IE"/>
              </w:rPr>
              <w:t xml:space="preserve">EU </w:t>
            </w:r>
            <w:r w:rsidRPr="0010709F">
              <w:rPr>
                <w:rFonts w:ascii="Times New Roman" w:eastAsia="Times New Roman" w:hAnsi="Times New Roman"/>
                <w:sz w:val="24"/>
                <w:szCs w:val="24"/>
                <w:lang w:val="en-IE"/>
              </w:rPr>
              <w:t xml:space="preserve">body would need to be closely examined, especially in a context of </w:t>
            </w:r>
            <w:r w:rsidR="00293FE1">
              <w:rPr>
                <w:rFonts w:ascii="Times New Roman" w:eastAsia="Times New Roman" w:hAnsi="Times New Roman"/>
                <w:sz w:val="24"/>
                <w:szCs w:val="24"/>
                <w:lang w:val="en-IE"/>
              </w:rPr>
              <w:t xml:space="preserve">possible </w:t>
            </w:r>
            <w:r w:rsidRPr="0010709F">
              <w:rPr>
                <w:rFonts w:ascii="Times New Roman" w:eastAsia="Times New Roman" w:hAnsi="Times New Roman"/>
                <w:sz w:val="24"/>
                <w:szCs w:val="24"/>
                <w:lang w:val="en-IE"/>
              </w:rPr>
              <w:t xml:space="preserve">budgetary constraints </w:t>
            </w:r>
            <w:r w:rsidR="00293FE1">
              <w:rPr>
                <w:rFonts w:ascii="Times New Roman" w:eastAsia="Times New Roman" w:hAnsi="Times New Roman"/>
                <w:sz w:val="24"/>
                <w:szCs w:val="24"/>
                <w:lang w:val="en-IE"/>
              </w:rPr>
              <w:t xml:space="preserve">in the framework of </w:t>
            </w:r>
            <w:r w:rsidRPr="0010709F">
              <w:rPr>
                <w:rFonts w:ascii="Times New Roman" w:eastAsia="Times New Roman" w:hAnsi="Times New Roman"/>
                <w:sz w:val="24"/>
                <w:szCs w:val="24"/>
                <w:lang w:val="en-IE"/>
              </w:rPr>
              <w:t xml:space="preserve">post-2027 </w:t>
            </w:r>
            <w:r w:rsidR="00E10B44">
              <w:rPr>
                <w:rFonts w:ascii="Times New Roman" w:eastAsia="Times New Roman" w:hAnsi="Times New Roman"/>
                <w:sz w:val="24"/>
                <w:szCs w:val="24"/>
                <w:lang w:val="en-IE"/>
              </w:rPr>
              <w:t>multiannual financial framework (</w:t>
            </w:r>
            <w:r w:rsidRPr="0010709F">
              <w:rPr>
                <w:rFonts w:ascii="Times New Roman" w:eastAsia="Times New Roman" w:hAnsi="Times New Roman"/>
                <w:sz w:val="24"/>
                <w:szCs w:val="24"/>
                <w:lang w:val="en-IE"/>
              </w:rPr>
              <w:t>MFF</w:t>
            </w:r>
            <w:r w:rsidR="00E10B44">
              <w:rPr>
                <w:rFonts w:ascii="Times New Roman" w:eastAsia="Times New Roman" w:hAnsi="Times New Roman"/>
                <w:sz w:val="24"/>
                <w:szCs w:val="24"/>
                <w:lang w:val="en-IE"/>
              </w:rPr>
              <w:t>)</w:t>
            </w:r>
            <w:r w:rsidRPr="0010709F">
              <w:rPr>
                <w:rFonts w:ascii="Times New Roman" w:eastAsia="Times New Roman" w:hAnsi="Times New Roman"/>
                <w:sz w:val="24"/>
                <w:szCs w:val="24"/>
                <w:lang w:val="en-IE"/>
              </w:rPr>
              <w:t xml:space="preserve"> discussions.</w:t>
            </w:r>
          </w:p>
          <w:p w14:paraId="463EA1E9" w14:textId="08602883" w:rsidR="008A76BF" w:rsidRPr="0010709F" w:rsidRDefault="00A4638C" w:rsidP="00362453">
            <w:pPr>
              <w:spacing w:before="120" w:after="120"/>
              <w:jc w:val="both"/>
              <w:rPr>
                <w:rFonts w:ascii="Times New Roman" w:eastAsia="Times New Roman" w:hAnsi="Times New Roman"/>
                <w:sz w:val="24"/>
                <w:szCs w:val="24"/>
                <w:lang w:val="en-IE"/>
              </w:rPr>
            </w:pPr>
            <w:r>
              <w:rPr>
                <w:rFonts w:ascii="Times New Roman" w:eastAsia="Times New Roman" w:hAnsi="Times New Roman"/>
                <w:b/>
                <w:bCs/>
                <w:sz w:val="24"/>
                <w:szCs w:val="24"/>
                <w:u w:val="single"/>
                <w:lang w:val="en-IE"/>
              </w:rPr>
              <w:t>Regarding p</w:t>
            </w:r>
            <w:r w:rsidR="008A76BF" w:rsidRPr="009F54A6">
              <w:rPr>
                <w:rFonts w:ascii="Times New Roman" w:eastAsia="Times New Roman" w:hAnsi="Times New Roman"/>
                <w:b/>
                <w:bCs/>
                <w:sz w:val="24"/>
                <w:szCs w:val="24"/>
                <w:u w:val="single"/>
                <w:lang w:val="en-IE"/>
              </w:rPr>
              <w:t>aragraph</w:t>
            </w:r>
            <w:r>
              <w:rPr>
                <w:rFonts w:ascii="Times New Roman" w:eastAsia="Times New Roman" w:hAnsi="Times New Roman"/>
                <w:b/>
                <w:bCs/>
                <w:sz w:val="24"/>
                <w:szCs w:val="24"/>
                <w:u w:val="single"/>
                <w:lang w:val="en-IE"/>
              </w:rPr>
              <w:t>s</w:t>
            </w:r>
            <w:r w:rsidR="008A76BF" w:rsidRPr="009F54A6">
              <w:rPr>
                <w:rFonts w:ascii="Times New Roman" w:eastAsia="Times New Roman" w:hAnsi="Times New Roman"/>
                <w:b/>
                <w:bCs/>
                <w:sz w:val="24"/>
                <w:szCs w:val="24"/>
                <w:u w:val="single"/>
                <w:lang w:val="en-IE"/>
              </w:rPr>
              <w:t xml:space="preserve"> </w:t>
            </w:r>
            <w:bookmarkStart w:id="0" w:name="_Hlk179445686"/>
            <w:r w:rsidR="008A76BF" w:rsidRPr="009F54A6">
              <w:rPr>
                <w:rFonts w:ascii="Times New Roman" w:eastAsia="Times New Roman" w:hAnsi="Times New Roman"/>
                <w:b/>
                <w:bCs/>
                <w:sz w:val="24"/>
                <w:szCs w:val="24"/>
                <w:u w:val="single"/>
                <w:lang w:val="en-IE"/>
              </w:rPr>
              <w:t>3.5</w:t>
            </w:r>
            <w:r w:rsidR="00E10B44">
              <w:rPr>
                <w:rFonts w:ascii="Times New Roman" w:eastAsia="Times New Roman" w:hAnsi="Times New Roman"/>
                <w:b/>
                <w:bCs/>
                <w:sz w:val="24"/>
                <w:szCs w:val="24"/>
                <w:u w:val="single"/>
                <w:lang w:val="en-IE"/>
              </w:rPr>
              <w:t>.</w:t>
            </w:r>
            <w:r w:rsidR="008A76BF">
              <w:rPr>
                <w:rFonts w:ascii="Times New Roman" w:eastAsia="Times New Roman" w:hAnsi="Times New Roman"/>
                <w:b/>
                <w:bCs/>
                <w:sz w:val="24"/>
                <w:szCs w:val="24"/>
                <w:u w:val="single"/>
                <w:lang w:val="en-IE"/>
              </w:rPr>
              <w:t xml:space="preserve"> and 4.13</w:t>
            </w:r>
            <w:bookmarkEnd w:id="0"/>
            <w:r w:rsidR="00E10B44">
              <w:rPr>
                <w:rFonts w:ascii="Times New Roman" w:eastAsia="Times New Roman" w:hAnsi="Times New Roman"/>
                <w:b/>
                <w:bCs/>
                <w:sz w:val="24"/>
                <w:szCs w:val="24"/>
                <w:u w:val="single"/>
                <w:lang w:val="en-IE"/>
              </w:rPr>
              <w:t>.</w:t>
            </w:r>
            <w:r w:rsidR="008A76BF" w:rsidRPr="009F54A6">
              <w:rPr>
                <w:rFonts w:ascii="Times New Roman" w:eastAsia="Times New Roman" w:hAnsi="Times New Roman"/>
                <w:b/>
                <w:bCs/>
                <w:sz w:val="24"/>
                <w:szCs w:val="24"/>
                <w:u w:val="single"/>
                <w:lang w:val="en-IE"/>
              </w:rPr>
              <w:t>:</w:t>
            </w:r>
            <w:r w:rsidR="008A76BF">
              <w:rPr>
                <w:rFonts w:ascii="Times New Roman" w:eastAsia="Times New Roman" w:hAnsi="Times New Roman"/>
                <w:sz w:val="24"/>
                <w:szCs w:val="24"/>
                <w:lang w:val="en-IE"/>
              </w:rPr>
              <w:t xml:space="preserve"> </w:t>
            </w:r>
            <w:r w:rsidR="008A76BF" w:rsidRPr="009F54A6">
              <w:rPr>
                <w:rFonts w:ascii="Times New Roman" w:eastAsia="Times New Roman" w:hAnsi="Times New Roman"/>
                <w:b/>
                <w:bCs/>
                <w:sz w:val="24"/>
                <w:szCs w:val="24"/>
                <w:lang w:val="en-IE"/>
              </w:rPr>
              <w:t>The Commission agrees that migration and integration policies play an important role in counterbalancing negative demographic trends in the EU.</w:t>
            </w:r>
            <w:r w:rsidR="008A76BF">
              <w:rPr>
                <w:rFonts w:ascii="Times New Roman" w:eastAsia="Times New Roman" w:hAnsi="Times New Roman"/>
                <w:sz w:val="24"/>
                <w:szCs w:val="24"/>
                <w:lang w:val="en-IE"/>
              </w:rPr>
              <w:t xml:space="preserve"> Together with other measures, attracting talents from third countries is needed to alleviate skills shortages in the EU. Effective integration policies are very important in this regard; also, to enable refugees and other migrants to apply the skills, ambitions and motivation which they bring to the EU, but are often not able to put to use. As emphasised in the </w:t>
            </w:r>
            <w:r w:rsidR="008A76BF" w:rsidRPr="006A7C67">
              <w:rPr>
                <w:rFonts w:ascii="Times New Roman" w:eastAsia="Times New Roman" w:hAnsi="Times New Roman"/>
                <w:sz w:val="24"/>
                <w:szCs w:val="24"/>
                <w:lang w:val="en-IE"/>
              </w:rPr>
              <w:t>Pact on Migration and Asylum</w:t>
            </w:r>
            <w:r w:rsidR="008A76BF">
              <w:rPr>
                <w:rFonts w:ascii="Times New Roman" w:eastAsia="Times New Roman" w:hAnsi="Times New Roman"/>
                <w:sz w:val="24"/>
                <w:szCs w:val="24"/>
                <w:lang w:val="en-IE"/>
              </w:rPr>
              <w:t>, a</w:t>
            </w:r>
            <w:r w:rsidR="008A76BF" w:rsidRPr="006A7C67">
              <w:rPr>
                <w:rFonts w:ascii="Times New Roman" w:eastAsia="Times New Roman" w:hAnsi="Times New Roman"/>
                <w:sz w:val="24"/>
                <w:szCs w:val="24"/>
                <w:lang w:val="en-IE"/>
              </w:rPr>
              <w:t xml:space="preserve"> successful integration policy </w:t>
            </w:r>
            <w:r w:rsidR="008A76BF">
              <w:rPr>
                <w:rFonts w:ascii="Times New Roman" w:eastAsia="Times New Roman" w:hAnsi="Times New Roman"/>
                <w:sz w:val="24"/>
                <w:szCs w:val="24"/>
                <w:lang w:val="en-IE"/>
              </w:rPr>
              <w:t xml:space="preserve">is </w:t>
            </w:r>
            <w:r w:rsidR="008A76BF" w:rsidRPr="006A7C67">
              <w:rPr>
                <w:rFonts w:ascii="Times New Roman" w:eastAsia="Times New Roman" w:hAnsi="Times New Roman"/>
                <w:sz w:val="24"/>
                <w:szCs w:val="24"/>
                <w:lang w:val="en-IE"/>
              </w:rPr>
              <w:t>an essential part of a well-managed and effective migration policy.</w:t>
            </w:r>
            <w:r w:rsidR="008A76BF">
              <w:rPr>
                <w:rFonts w:ascii="Times New Roman" w:eastAsia="Times New Roman" w:hAnsi="Times New Roman"/>
                <w:sz w:val="24"/>
                <w:szCs w:val="24"/>
                <w:lang w:val="en-IE"/>
              </w:rPr>
              <w:t xml:space="preserve"> At EU level, the </w:t>
            </w:r>
            <w:r w:rsidR="008A76BF" w:rsidRPr="006A7C67">
              <w:rPr>
                <w:rFonts w:ascii="Times New Roman" w:eastAsia="Times New Roman" w:hAnsi="Times New Roman"/>
                <w:sz w:val="24"/>
                <w:szCs w:val="24"/>
                <w:lang w:val="en-IE"/>
              </w:rPr>
              <w:t xml:space="preserve">guiding document for integration of migrants </w:t>
            </w:r>
            <w:r w:rsidR="008A76BF">
              <w:rPr>
                <w:rFonts w:ascii="Times New Roman" w:eastAsia="Times New Roman" w:hAnsi="Times New Roman"/>
                <w:sz w:val="24"/>
                <w:szCs w:val="24"/>
                <w:lang w:val="en-IE"/>
              </w:rPr>
              <w:t xml:space="preserve">and EU citizens with a migrant background </w:t>
            </w:r>
            <w:r w:rsidR="008A76BF" w:rsidRPr="006A7C67">
              <w:rPr>
                <w:rFonts w:ascii="Times New Roman" w:eastAsia="Times New Roman" w:hAnsi="Times New Roman"/>
                <w:sz w:val="24"/>
                <w:szCs w:val="24"/>
                <w:lang w:val="en-IE"/>
              </w:rPr>
              <w:t xml:space="preserve">is the Action </w:t>
            </w:r>
            <w:r w:rsidR="008A76BF">
              <w:rPr>
                <w:rFonts w:ascii="Times New Roman" w:eastAsia="Times New Roman" w:hAnsi="Times New Roman"/>
                <w:sz w:val="24"/>
                <w:szCs w:val="24"/>
                <w:lang w:val="en-IE"/>
              </w:rPr>
              <w:t>P</w:t>
            </w:r>
            <w:r w:rsidR="008A76BF" w:rsidRPr="006A7C67">
              <w:rPr>
                <w:rFonts w:ascii="Times New Roman" w:eastAsia="Times New Roman" w:hAnsi="Times New Roman"/>
                <w:sz w:val="24"/>
                <w:szCs w:val="24"/>
                <w:lang w:val="en-IE"/>
              </w:rPr>
              <w:t>lan on Integration and Inclusion 2021-2027</w:t>
            </w:r>
            <w:r w:rsidR="00E36B42">
              <w:rPr>
                <w:rStyle w:val="FootnoteReference"/>
                <w:rFonts w:ascii="Times New Roman" w:eastAsia="Times New Roman" w:hAnsi="Times New Roman"/>
                <w:sz w:val="24"/>
                <w:szCs w:val="24"/>
                <w:lang w:val="en-IE"/>
              </w:rPr>
              <w:footnoteReference w:id="9"/>
            </w:r>
            <w:r w:rsidR="008A76BF" w:rsidRPr="006A7C67">
              <w:rPr>
                <w:rFonts w:ascii="Times New Roman" w:eastAsia="Times New Roman" w:hAnsi="Times New Roman"/>
                <w:sz w:val="24"/>
                <w:szCs w:val="24"/>
                <w:lang w:val="en-IE"/>
              </w:rPr>
              <w:t>.</w:t>
            </w:r>
            <w:r w:rsidR="008A76BF">
              <w:rPr>
                <w:rFonts w:ascii="Times New Roman" w:eastAsia="Times New Roman" w:hAnsi="Times New Roman"/>
                <w:sz w:val="24"/>
                <w:szCs w:val="24"/>
                <w:lang w:val="en-IE"/>
              </w:rPr>
              <w:t xml:space="preserve"> </w:t>
            </w:r>
            <w:r w:rsidR="008A76BF" w:rsidRPr="00671205">
              <w:rPr>
                <w:rFonts w:ascii="Times New Roman" w:eastAsia="Times New Roman" w:hAnsi="Times New Roman"/>
                <w:sz w:val="24"/>
                <w:szCs w:val="24"/>
                <w:lang w:val="en-IE"/>
              </w:rPr>
              <w:t>Integration and inclusion are key for people</w:t>
            </w:r>
            <w:r w:rsidR="008A76BF">
              <w:rPr>
                <w:rFonts w:ascii="Times New Roman" w:eastAsia="Times New Roman" w:hAnsi="Times New Roman"/>
                <w:sz w:val="24"/>
                <w:szCs w:val="24"/>
                <w:lang w:val="en-IE"/>
              </w:rPr>
              <w:t xml:space="preserve"> </w:t>
            </w:r>
            <w:r w:rsidR="008A76BF" w:rsidRPr="00671205">
              <w:rPr>
                <w:rFonts w:ascii="Times New Roman" w:eastAsia="Times New Roman" w:hAnsi="Times New Roman"/>
                <w:sz w:val="24"/>
                <w:szCs w:val="24"/>
                <w:lang w:val="en-IE"/>
              </w:rPr>
              <w:t>coming to Europe, for local communities, and for the long-term well-being of our societies</w:t>
            </w:r>
            <w:r w:rsidR="008A76BF">
              <w:rPr>
                <w:rFonts w:ascii="Times New Roman" w:eastAsia="Times New Roman" w:hAnsi="Times New Roman"/>
                <w:sz w:val="24"/>
                <w:szCs w:val="24"/>
                <w:lang w:val="en-IE"/>
              </w:rPr>
              <w:t xml:space="preserve"> </w:t>
            </w:r>
            <w:r w:rsidR="008A76BF" w:rsidRPr="00671205">
              <w:rPr>
                <w:rFonts w:ascii="Times New Roman" w:eastAsia="Times New Roman" w:hAnsi="Times New Roman"/>
                <w:sz w:val="24"/>
                <w:szCs w:val="24"/>
                <w:lang w:val="en-IE"/>
              </w:rPr>
              <w:t xml:space="preserve">and the stability of our economies. </w:t>
            </w:r>
          </w:p>
          <w:p w14:paraId="6D55B826" w14:textId="4051088D" w:rsidR="00AC31A2" w:rsidRPr="0010709F" w:rsidRDefault="00E36B42" w:rsidP="00362453">
            <w:pPr>
              <w:shd w:val="clear" w:color="auto" w:fill="FFFFFF"/>
              <w:spacing w:before="120" w:after="120"/>
              <w:jc w:val="both"/>
              <w:rPr>
                <w:rFonts w:ascii="Times New Roman" w:hAnsi="Times New Roman"/>
                <w:sz w:val="24"/>
                <w:szCs w:val="24"/>
              </w:rPr>
            </w:pPr>
            <w:r>
              <w:rPr>
                <w:rFonts w:ascii="Times New Roman" w:hAnsi="Times New Roman"/>
                <w:b/>
                <w:bCs/>
                <w:sz w:val="24"/>
                <w:szCs w:val="24"/>
                <w:u w:val="single"/>
                <w:lang w:val="en-IE"/>
              </w:rPr>
              <w:t xml:space="preserve">Regarding </w:t>
            </w:r>
            <w:r w:rsidR="008E4E29" w:rsidRPr="0010709F">
              <w:rPr>
                <w:rFonts w:ascii="Times New Roman" w:hAnsi="Times New Roman"/>
                <w:b/>
                <w:bCs/>
                <w:sz w:val="24"/>
                <w:szCs w:val="24"/>
                <w:u w:val="single"/>
              </w:rPr>
              <w:t>paragraph</w:t>
            </w:r>
            <w:r w:rsidR="00AC31A2" w:rsidRPr="0010709F">
              <w:rPr>
                <w:rFonts w:ascii="Times New Roman" w:hAnsi="Times New Roman"/>
                <w:b/>
                <w:bCs/>
                <w:sz w:val="24"/>
                <w:szCs w:val="24"/>
                <w:u w:val="single"/>
              </w:rPr>
              <w:t xml:space="preserve"> 4.7</w:t>
            </w:r>
            <w:r w:rsidR="00D079C8">
              <w:rPr>
                <w:rFonts w:ascii="Times New Roman" w:hAnsi="Times New Roman"/>
                <w:b/>
                <w:bCs/>
                <w:sz w:val="24"/>
                <w:szCs w:val="24"/>
                <w:u w:val="single"/>
              </w:rPr>
              <w:t>.</w:t>
            </w:r>
            <w:r w:rsidR="00AC31A2" w:rsidRPr="00BD3BBB">
              <w:rPr>
                <w:rFonts w:ascii="Times New Roman" w:hAnsi="Times New Roman"/>
                <w:b/>
                <w:bCs/>
                <w:sz w:val="24"/>
                <w:szCs w:val="24"/>
              </w:rPr>
              <w:t>:</w:t>
            </w:r>
            <w:r w:rsidR="00AC31A2" w:rsidRPr="0010709F">
              <w:rPr>
                <w:rFonts w:ascii="Times New Roman" w:hAnsi="Times New Roman"/>
                <w:b/>
                <w:bCs/>
                <w:sz w:val="24"/>
                <w:szCs w:val="24"/>
              </w:rPr>
              <w:t xml:space="preserve"> </w:t>
            </w:r>
            <w:r w:rsidR="00AC31A2" w:rsidRPr="0010709F">
              <w:rPr>
                <w:rFonts w:ascii="Times New Roman" w:hAnsi="Times New Roman"/>
                <w:sz w:val="24"/>
                <w:szCs w:val="24"/>
              </w:rPr>
              <w:t xml:space="preserve">As highlighted in consecutive editions of the triannual Pension Adequacy Report by the </w:t>
            </w:r>
            <w:r w:rsidR="00FE7AA5">
              <w:rPr>
                <w:rFonts w:ascii="Times New Roman" w:hAnsi="Times New Roman"/>
                <w:sz w:val="24"/>
                <w:szCs w:val="24"/>
              </w:rPr>
              <w:t xml:space="preserve">European </w:t>
            </w:r>
            <w:r w:rsidR="00AC31A2">
              <w:rPr>
                <w:rFonts w:ascii="Times New Roman" w:hAnsi="Times New Roman"/>
                <w:sz w:val="24"/>
                <w:szCs w:val="24"/>
              </w:rPr>
              <w:t>Commission</w:t>
            </w:r>
            <w:r w:rsidR="00AC31A2" w:rsidRPr="0010709F">
              <w:rPr>
                <w:rFonts w:ascii="Times New Roman" w:hAnsi="Times New Roman"/>
                <w:sz w:val="24"/>
                <w:szCs w:val="24"/>
              </w:rPr>
              <w:t xml:space="preserve"> and the Social Protection Committee</w:t>
            </w:r>
            <w:r w:rsidR="00FE7AA5">
              <w:rPr>
                <w:rFonts w:ascii="Times New Roman" w:hAnsi="Times New Roman"/>
                <w:sz w:val="24"/>
                <w:szCs w:val="24"/>
              </w:rPr>
              <w:t xml:space="preserve"> (SPC)</w:t>
            </w:r>
            <w:r w:rsidR="00AC31A2" w:rsidRPr="0010709F">
              <w:rPr>
                <w:rFonts w:ascii="Times New Roman" w:hAnsi="Times New Roman"/>
                <w:sz w:val="24"/>
                <w:szCs w:val="24"/>
              </w:rPr>
              <w:t>, last published in June 2024</w:t>
            </w:r>
            <w:r w:rsidR="00AC31A2" w:rsidRPr="0010709F">
              <w:rPr>
                <w:rFonts w:ascii="Times New Roman" w:hAnsi="Times New Roman"/>
                <w:sz w:val="24"/>
                <w:szCs w:val="24"/>
                <w:vertAlign w:val="superscript"/>
              </w:rPr>
              <w:footnoteReference w:id="10"/>
            </w:r>
            <w:r w:rsidR="00AC31A2" w:rsidRPr="0010709F">
              <w:rPr>
                <w:rFonts w:ascii="Times New Roman" w:hAnsi="Times New Roman"/>
                <w:sz w:val="24"/>
                <w:szCs w:val="24"/>
              </w:rPr>
              <w:t xml:space="preserve">, between 2020 and 2023 alone, 15 Member States introduced reforms of their pensions systems </w:t>
            </w:r>
            <w:r w:rsidR="00AC31A2" w:rsidRPr="0010709F">
              <w:rPr>
                <w:rFonts w:ascii="Times New Roman" w:hAnsi="Times New Roman"/>
                <w:sz w:val="24"/>
                <w:szCs w:val="24"/>
                <w:bdr w:val="none" w:sz="0" w:space="0" w:color="auto" w:frame="1"/>
              </w:rPr>
              <w:t xml:space="preserve">aimed </w:t>
            </w:r>
            <w:r w:rsidR="00AC31A2" w:rsidRPr="0010709F">
              <w:rPr>
                <w:rFonts w:ascii="Times New Roman" w:hAnsi="Times New Roman"/>
                <w:sz w:val="24"/>
                <w:szCs w:val="24"/>
              </w:rPr>
              <w:t>to</w:t>
            </w:r>
            <w:r w:rsidR="00AC31A2" w:rsidRPr="0010709F">
              <w:rPr>
                <w:rFonts w:ascii="Times New Roman" w:hAnsi="Times New Roman"/>
                <w:sz w:val="24"/>
                <w:szCs w:val="24"/>
                <w:bdr w:val="none" w:sz="0" w:space="0" w:color="auto" w:frame="1"/>
              </w:rPr>
              <w:t xml:space="preserve"> promote longer working lives, mainly through positive incentives to retire later and flexible</w:t>
            </w:r>
            <w:r w:rsidR="00AC31A2" w:rsidRPr="0010709F">
              <w:rPr>
                <w:rFonts w:ascii="Times New Roman" w:hAnsi="Times New Roman"/>
                <w:sz w:val="24"/>
                <w:szCs w:val="24"/>
                <w:shd w:val="clear" w:color="auto" w:fill="FFFFFF"/>
              </w:rPr>
              <w:t xml:space="preserve"> retirement pathways. As regards tying legal retirement age to changes in and life expectancy, such a link has been legislated in 12 Member States, though in 7 of those the link will only start to be applied in the coming years.</w:t>
            </w:r>
          </w:p>
          <w:p w14:paraId="0C8685E4" w14:textId="170BCE17" w:rsidR="00AC31A2" w:rsidRPr="0010709F" w:rsidRDefault="00FE7AA5" w:rsidP="00362453">
            <w:pPr>
              <w:shd w:val="clear" w:color="auto" w:fill="FFFFFF"/>
              <w:spacing w:before="120" w:after="120"/>
              <w:jc w:val="both"/>
              <w:rPr>
                <w:rFonts w:ascii="Times New Roman" w:hAnsi="Times New Roman"/>
                <w:b/>
                <w:bCs/>
                <w:sz w:val="24"/>
                <w:szCs w:val="24"/>
                <w:lang w:eastAsia="en-IE"/>
              </w:rPr>
            </w:pPr>
            <w:r>
              <w:rPr>
                <w:rFonts w:ascii="Times New Roman" w:hAnsi="Times New Roman"/>
                <w:b/>
                <w:bCs/>
                <w:sz w:val="24"/>
                <w:szCs w:val="24"/>
                <w:u w:val="single"/>
              </w:rPr>
              <w:t>Regarding p</w:t>
            </w:r>
            <w:r w:rsidRPr="0010709F">
              <w:rPr>
                <w:rFonts w:ascii="Times New Roman" w:hAnsi="Times New Roman"/>
                <w:b/>
                <w:bCs/>
                <w:sz w:val="24"/>
                <w:szCs w:val="24"/>
                <w:u w:val="single"/>
              </w:rPr>
              <w:t xml:space="preserve">aragraph </w:t>
            </w:r>
            <w:r w:rsidR="00AC31A2" w:rsidRPr="0010709F">
              <w:rPr>
                <w:rFonts w:ascii="Times New Roman" w:hAnsi="Times New Roman"/>
                <w:b/>
                <w:bCs/>
                <w:sz w:val="24"/>
                <w:szCs w:val="24"/>
                <w:u w:val="single"/>
              </w:rPr>
              <w:t>4.10</w:t>
            </w:r>
            <w:r w:rsidR="00D079C8">
              <w:rPr>
                <w:rFonts w:ascii="Times New Roman" w:hAnsi="Times New Roman"/>
                <w:b/>
                <w:bCs/>
                <w:sz w:val="24"/>
                <w:szCs w:val="24"/>
                <w:u w:val="single"/>
              </w:rPr>
              <w:t>.</w:t>
            </w:r>
            <w:r w:rsidR="00AC31A2">
              <w:rPr>
                <w:rFonts w:ascii="Times New Roman" w:hAnsi="Times New Roman"/>
                <w:b/>
                <w:bCs/>
                <w:sz w:val="24"/>
                <w:szCs w:val="24"/>
              </w:rPr>
              <w:t xml:space="preserve">: </w:t>
            </w:r>
            <w:r w:rsidR="003057C4">
              <w:rPr>
                <w:rFonts w:ascii="Times New Roman" w:hAnsi="Times New Roman"/>
                <w:sz w:val="24"/>
                <w:szCs w:val="24"/>
              </w:rPr>
              <w:t>T</w:t>
            </w:r>
            <w:r w:rsidR="00AC31A2" w:rsidRPr="0010709F">
              <w:rPr>
                <w:rFonts w:ascii="Times New Roman" w:hAnsi="Times New Roman"/>
                <w:sz w:val="24"/>
                <w:szCs w:val="24"/>
              </w:rPr>
              <w:t>he European Care Strategy</w:t>
            </w:r>
            <w:r w:rsidR="00937D14">
              <w:rPr>
                <w:rStyle w:val="FootnoteReference"/>
                <w:rFonts w:ascii="Times New Roman" w:hAnsi="Times New Roman"/>
                <w:sz w:val="24"/>
                <w:szCs w:val="24"/>
              </w:rPr>
              <w:footnoteReference w:id="11"/>
            </w:r>
            <w:r w:rsidR="00AC31A2" w:rsidRPr="0010709F">
              <w:rPr>
                <w:rFonts w:ascii="Times New Roman" w:hAnsi="Times New Roman"/>
                <w:sz w:val="24"/>
                <w:szCs w:val="24"/>
              </w:rPr>
              <w:t xml:space="preserve"> and </w:t>
            </w:r>
            <w:r w:rsidR="002A36B6">
              <w:rPr>
                <w:rFonts w:ascii="Times New Roman" w:hAnsi="Times New Roman"/>
                <w:sz w:val="24"/>
                <w:szCs w:val="24"/>
              </w:rPr>
              <w:t xml:space="preserve">the </w:t>
            </w:r>
            <w:r w:rsidR="00AC31A2" w:rsidRPr="0010709F">
              <w:rPr>
                <w:rFonts w:ascii="Times New Roman" w:hAnsi="Times New Roman"/>
                <w:sz w:val="24"/>
                <w:szCs w:val="24"/>
              </w:rPr>
              <w:t>Council Recommendation on access to affordable high-quality long-term care</w:t>
            </w:r>
            <w:r w:rsidR="00597741">
              <w:rPr>
                <w:rStyle w:val="FootnoteReference"/>
                <w:rFonts w:ascii="Times New Roman" w:hAnsi="Times New Roman"/>
                <w:sz w:val="24"/>
                <w:szCs w:val="24"/>
              </w:rPr>
              <w:footnoteReference w:id="12"/>
            </w:r>
            <w:r w:rsidR="00AC31A2" w:rsidRPr="0010709F">
              <w:rPr>
                <w:rFonts w:ascii="Times New Roman" w:hAnsi="Times New Roman"/>
                <w:sz w:val="24"/>
                <w:szCs w:val="24"/>
              </w:rPr>
              <w:t xml:space="preserve"> include specific guidance and action </w:t>
            </w:r>
            <w:r w:rsidR="00AC31A2">
              <w:rPr>
                <w:rFonts w:ascii="Times New Roman" w:hAnsi="Times New Roman"/>
                <w:sz w:val="24"/>
                <w:szCs w:val="24"/>
              </w:rPr>
              <w:t xml:space="preserve">on </w:t>
            </w:r>
            <w:r w:rsidR="00AC31A2" w:rsidRPr="0010709F">
              <w:rPr>
                <w:rFonts w:ascii="Times New Roman" w:hAnsi="Times New Roman"/>
                <w:sz w:val="24"/>
                <w:szCs w:val="24"/>
              </w:rPr>
              <w:t>the affordability, quality, and accessibility of the services, support for informal carers, and overall Long-Term Care systems’ governance. National reports for the implementation of the Council Recommendation on long-term care have been prepared by Member States and are published online. Implementing measures focus</w:t>
            </w:r>
            <w:r w:rsidR="002A36B6">
              <w:rPr>
                <w:rFonts w:ascii="Times New Roman" w:hAnsi="Times New Roman"/>
                <w:sz w:val="24"/>
                <w:szCs w:val="24"/>
              </w:rPr>
              <w:t>,</w:t>
            </w:r>
            <w:r w:rsidR="00AC31A2" w:rsidRPr="0010709F">
              <w:rPr>
                <w:rFonts w:ascii="Times New Roman" w:hAnsi="Times New Roman"/>
                <w:sz w:val="24"/>
                <w:szCs w:val="24"/>
              </w:rPr>
              <w:t xml:space="preserve"> in particular</w:t>
            </w:r>
            <w:r w:rsidR="002A36B6">
              <w:rPr>
                <w:rFonts w:ascii="Times New Roman" w:hAnsi="Times New Roman"/>
                <w:sz w:val="24"/>
                <w:szCs w:val="24"/>
              </w:rPr>
              <w:t>,</w:t>
            </w:r>
            <w:r w:rsidR="00AC31A2" w:rsidRPr="0010709F">
              <w:rPr>
                <w:rFonts w:ascii="Times New Roman" w:hAnsi="Times New Roman"/>
                <w:sz w:val="24"/>
                <w:szCs w:val="24"/>
              </w:rPr>
              <w:t xml:space="preserve"> on workforce challenges, increasing </w:t>
            </w:r>
            <w:r w:rsidR="00AC31A2" w:rsidRPr="0010709F">
              <w:rPr>
                <w:rFonts w:ascii="Times New Roman" w:hAnsi="Times New Roman"/>
                <w:sz w:val="24"/>
                <w:szCs w:val="24"/>
              </w:rPr>
              <w:lastRenderedPageBreak/>
              <w:t>availability of services but also on quality, affordability and support for informal carers.</w:t>
            </w:r>
          </w:p>
          <w:p w14:paraId="595600BE" w14:textId="5CE027C3" w:rsidR="008A76BF" w:rsidRPr="004F6117" w:rsidRDefault="002A36B6" w:rsidP="00362453">
            <w:pPr>
              <w:spacing w:before="120" w:after="120"/>
              <w:jc w:val="both"/>
              <w:rPr>
                <w:rFonts w:ascii="Times New Roman" w:hAnsi="Times New Roman"/>
                <w:b/>
                <w:bCs/>
                <w:sz w:val="24"/>
                <w:szCs w:val="24"/>
              </w:rPr>
            </w:pPr>
            <w:r>
              <w:rPr>
                <w:rFonts w:ascii="Times New Roman" w:hAnsi="Times New Roman"/>
                <w:b/>
                <w:bCs/>
                <w:sz w:val="24"/>
                <w:szCs w:val="24"/>
                <w:u w:val="single"/>
                <w:lang w:eastAsia="en-IE"/>
              </w:rPr>
              <w:t>Regarding p</w:t>
            </w:r>
            <w:r w:rsidR="00AC31A2" w:rsidRPr="0010709F">
              <w:rPr>
                <w:rFonts w:ascii="Times New Roman" w:hAnsi="Times New Roman"/>
                <w:b/>
                <w:bCs/>
                <w:sz w:val="24"/>
                <w:szCs w:val="24"/>
                <w:u w:val="single"/>
                <w:lang w:eastAsia="en-IE"/>
              </w:rPr>
              <w:t>aragraph 4.11</w:t>
            </w:r>
            <w:r w:rsidR="00D079C8">
              <w:rPr>
                <w:rFonts w:ascii="Times New Roman" w:hAnsi="Times New Roman"/>
                <w:b/>
                <w:bCs/>
                <w:sz w:val="24"/>
                <w:szCs w:val="24"/>
                <w:u w:val="single"/>
                <w:lang w:eastAsia="en-IE"/>
              </w:rPr>
              <w:t>.</w:t>
            </w:r>
            <w:r w:rsidR="00AC31A2">
              <w:rPr>
                <w:rFonts w:ascii="Times New Roman" w:hAnsi="Times New Roman"/>
                <w:sz w:val="24"/>
                <w:szCs w:val="24"/>
                <w:lang w:eastAsia="en-IE"/>
              </w:rPr>
              <w:t xml:space="preserve">: </w:t>
            </w:r>
            <w:r w:rsidR="008A76BF" w:rsidRPr="6891061F">
              <w:rPr>
                <w:rFonts w:ascii="Times New Roman" w:hAnsi="Times New Roman"/>
                <w:sz w:val="24"/>
                <w:szCs w:val="24"/>
                <w:lang w:eastAsia="en-IE"/>
              </w:rPr>
              <w:t>In line with the EESC opinion, the Commission recognises the important role of legal migration in addressing skills and labour shortages. In this light, the Commission adopted in April 2022</w:t>
            </w:r>
            <w:r w:rsidR="008A76BF" w:rsidRPr="009F54A6">
              <w:rPr>
                <w:rFonts w:ascii="Times New Roman" w:hAnsi="Times New Roman"/>
                <w:sz w:val="24"/>
                <w:szCs w:val="24"/>
                <w:lang w:eastAsia="en-IE"/>
              </w:rPr>
              <w:t xml:space="preserve"> </w:t>
            </w:r>
            <w:r w:rsidR="008A76BF" w:rsidRPr="009F54A6">
              <w:rPr>
                <w:rFonts w:ascii="Times New Roman" w:hAnsi="Times New Roman"/>
                <w:sz w:val="24"/>
                <w:szCs w:val="24"/>
                <w:lang w:val="en-US" w:eastAsia="en-IE"/>
              </w:rPr>
              <w:t xml:space="preserve">the Skills and Talent </w:t>
            </w:r>
            <w:r w:rsidR="008E4E29">
              <w:rPr>
                <w:rFonts w:ascii="Times New Roman" w:hAnsi="Times New Roman"/>
                <w:sz w:val="24"/>
                <w:szCs w:val="24"/>
                <w:lang w:val="en-US" w:eastAsia="en-IE"/>
              </w:rPr>
              <w:t>Mobility</w:t>
            </w:r>
            <w:r w:rsidR="006D7B2A">
              <w:rPr>
                <w:rFonts w:ascii="Times New Roman" w:hAnsi="Times New Roman"/>
                <w:sz w:val="24"/>
                <w:szCs w:val="24"/>
                <w:lang w:val="en-US" w:eastAsia="en-IE"/>
              </w:rPr>
              <w:t xml:space="preserve"> </w:t>
            </w:r>
            <w:r w:rsidR="008A76BF" w:rsidRPr="009F54A6">
              <w:rPr>
                <w:rFonts w:ascii="Times New Roman" w:hAnsi="Times New Roman"/>
                <w:sz w:val="24"/>
                <w:szCs w:val="24"/>
                <w:lang w:val="en-US" w:eastAsia="en-IE"/>
              </w:rPr>
              <w:t>Package</w:t>
            </w:r>
            <w:r w:rsidR="008A76BF">
              <w:rPr>
                <w:rStyle w:val="FootnoteReference"/>
                <w:rFonts w:ascii="Times New Roman" w:hAnsi="Times New Roman"/>
                <w:sz w:val="24"/>
                <w:szCs w:val="24"/>
                <w:lang w:val="en-US" w:eastAsia="en-IE"/>
              </w:rPr>
              <w:footnoteReference w:id="13"/>
            </w:r>
            <w:r w:rsidR="008A76BF" w:rsidRPr="6891061F">
              <w:rPr>
                <w:rFonts w:ascii="Times New Roman" w:hAnsi="Times New Roman"/>
                <w:sz w:val="24"/>
                <w:szCs w:val="24"/>
                <w:lang w:val="en-US" w:eastAsia="en-IE"/>
              </w:rPr>
              <w:t xml:space="preserve"> which includes a number of</w:t>
            </w:r>
            <w:r w:rsidR="008A76BF" w:rsidRPr="009F54A6">
              <w:rPr>
                <w:rFonts w:ascii="Times New Roman" w:hAnsi="Times New Roman"/>
                <w:sz w:val="24"/>
                <w:szCs w:val="24"/>
                <w:lang w:eastAsia="en-IE"/>
              </w:rPr>
              <w:t xml:space="preserve"> important initiatives</w:t>
            </w:r>
            <w:r w:rsidR="008A76BF" w:rsidRPr="6891061F">
              <w:rPr>
                <w:rFonts w:ascii="Times New Roman" w:hAnsi="Times New Roman"/>
                <w:sz w:val="24"/>
                <w:szCs w:val="24"/>
                <w:lang w:eastAsia="en-IE"/>
              </w:rPr>
              <w:t xml:space="preserve"> – of legislative, operational and forward-looking nature –</w:t>
            </w:r>
            <w:r w:rsidR="008A76BF" w:rsidRPr="009F54A6">
              <w:rPr>
                <w:rFonts w:ascii="Times New Roman" w:hAnsi="Times New Roman"/>
                <w:sz w:val="24"/>
                <w:szCs w:val="24"/>
                <w:lang w:eastAsia="en-IE"/>
              </w:rPr>
              <w:t xml:space="preserve"> that will contribute to attracting and retaining talent and skills in Europe.</w:t>
            </w:r>
            <w:r w:rsidR="008A76BF" w:rsidRPr="6891061F">
              <w:rPr>
                <w:rFonts w:ascii="Times New Roman" w:hAnsi="Times New Roman"/>
                <w:sz w:val="24"/>
                <w:szCs w:val="24"/>
                <w:lang w:eastAsia="en-IE"/>
              </w:rPr>
              <w:t xml:space="preserve"> The EU Talent Pool proposal</w:t>
            </w:r>
            <w:r w:rsidR="008A76BF">
              <w:rPr>
                <w:rStyle w:val="FootnoteReference"/>
                <w:rFonts w:ascii="Times New Roman" w:hAnsi="Times New Roman"/>
                <w:sz w:val="24"/>
                <w:szCs w:val="24"/>
                <w:lang w:eastAsia="en-IE"/>
              </w:rPr>
              <w:footnoteReference w:id="14"/>
            </w:r>
            <w:r w:rsidR="00285CC0">
              <w:rPr>
                <w:rFonts w:ascii="Times New Roman" w:hAnsi="Times New Roman"/>
                <w:sz w:val="24"/>
                <w:szCs w:val="24"/>
                <w:lang w:eastAsia="en-IE"/>
              </w:rPr>
              <w:t>,</w:t>
            </w:r>
            <w:r w:rsidR="008A76BF" w:rsidRPr="6891061F">
              <w:rPr>
                <w:rFonts w:ascii="Times New Roman" w:hAnsi="Times New Roman"/>
                <w:sz w:val="24"/>
                <w:szCs w:val="24"/>
                <w:lang w:eastAsia="en-IE"/>
              </w:rPr>
              <w:t xml:space="preserve"> adopted in November 2023</w:t>
            </w:r>
            <w:r w:rsidR="00285CC0">
              <w:rPr>
                <w:rFonts w:ascii="Times New Roman" w:hAnsi="Times New Roman"/>
                <w:sz w:val="24"/>
                <w:szCs w:val="24"/>
                <w:lang w:eastAsia="en-IE"/>
              </w:rPr>
              <w:t>,</w:t>
            </w:r>
            <w:r w:rsidR="008A76BF" w:rsidRPr="6891061F">
              <w:rPr>
                <w:rFonts w:ascii="Times New Roman" w:hAnsi="Times New Roman"/>
                <w:sz w:val="24"/>
                <w:szCs w:val="24"/>
                <w:lang w:eastAsia="en-IE"/>
              </w:rPr>
              <w:t xml:space="preserve"> is part of these initiatives. It will be the </w:t>
            </w:r>
            <w:r w:rsidR="008A76BF" w:rsidRPr="6891061F">
              <w:rPr>
                <w:rFonts w:ascii="Times New Roman" w:eastAsia="Times New Roman" w:hAnsi="Times New Roman"/>
                <w:sz w:val="24"/>
                <w:szCs w:val="24"/>
                <w:lang w:val="en-US"/>
              </w:rPr>
              <w:t xml:space="preserve">first EU-wide platform aimed at facilitating international recruitment and providing job opportunities for jobseekers from third countries residing outside the EU and having the skills required to work in EU-wide shortage occupations at all skills levels. </w:t>
            </w:r>
            <w:r w:rsidR="008A76BF" w:rsidRPr="6891061F">
              <w:rPr>
                <w:rFonts w:ascii="Times New Roman" w:hAnsi="Times New Roman"/>
                <w:sz w:val="24"/>
                <w:szCs w:val="24"/>
                <w:lang w:eastAsia="en-IE"/>
              </w:rPr>
              <w:t xml:space="preserve">The Commission will continue working on the EU Talent Pool during the 10th legislative term, to ensure the smooth development and operationalisation of the </w:t>
            </w:r>
            <w:r w:rsidR="008A76BF" w:rsidRPr="00104CDA">
              <w:rPr>
                <w:rFonts w:ascii="Times New Roman" w:hAnsi="Times New Roman"/>
                <w:sz w:val="24"/>
                <w:szCs w:val="24"/>
                <w:lang w:eastAsia="en-IE"/>
              </w:rPr>
              <w:t xml:space="preserve">tool </w:t>
            </w:r>
            <w:r w:rsidR="008A76BF" w:rsidRPr="6891061F">
              <w:rPr>
                <w:rFonts w:ascii="Times New Roman" w:hAnsi="Times New Roman"/>
                <w:sz w:val="24"/>
                <w:szCs w:val="24"/>
                <w:lang w:eastAsia="en-IE"/>
              </w:rPr>
              <w:t xml:space="preserve">as soon as the Regulation is adopted by the co-legislators (the proposal </w:t>
            </w:r>
            <w:r w:rsidR="008A76BF" w:rsidRPr="6891061F">
              <w:rPr>
                <w:rFonts w:ascii="Times New Roman" w:eastAsia="Times New Roman" w:hAnsi="Times New Roman"/>
                <w:sz w:val="24"/>
                <w:szCs w:val="24"/>
                <w:lang w:val="en-IE"/>
              </w:rPr>
              <w:t>is currently being negotiated by the Council and the European Parliament).</w:t>
            </w:r>
          </w:p>
          <w:p w14:paraId="53675629" w14:textId="321E6A52" w:rsidR="008A76BF" w:rsidRDefault="008A76BF" w:rsidP="00362453">
            <w:pPr>
              <w:spacing w:before="120" w:after="120"/>
              <w:jc w:val="both"/>
              <w:rPr>
                <w:rFonts w:ascii="Times New Roman" w:eastAsia="Times New Roman" w:hAnsi="Times New Roman"/>
                <w:sz w:val="24"/>
                <w:szCs w:val="24"/>
                <w:lang w:val="en-IE"/>
              </w:rPr>
            </w:pPr>
            <w:r w:rsidRPr="6891061F">
              <w:rPr>
                <w:rFonts w:ascii="Times New Roman" w:eastAsia="Times New Roman" w:hAnsi="Times New Roman"/>
                <w:sz w:val="24"/>
                <w:szCs w:val="24"/>
                <w:lang w:val="en-IE"/>
              </w:rPr>
              <w:t xml:space="preserve">Moreover, together with Member States, the Commission has launched Talent Partnerships with key partner countries: Tunisia, Morocco, Egypt, Pakistan and Bangladesh. Talent Partnerships aim to provide a strategic and sustainable cooperation framework to engage key partner countries on labour mobility and skills development, as part of broader cooperation on migration management, including effective return and readmission. </w:t>
            </w:r>
            <w:r w:rsidR="002517C9">
              <w:rPr>
                <w:rFonts w:ascii="Times New Roman" w:eastAsia="Times New Roman" w:hAnsi="Times New Roman"/>
                <w:sz w:val="24"/>
                <w:szCs w:val="24"/>
                <w:lang w:val="en-IE"/>
              </w:rPr>
              <w:t>D</w:t>
            </w:r>
            <w:r w:rsidRPr="6891061F">
              <w:rPr>
                <w:rFonts w:ascii="Times New Roman" w:eastAsia="Times New Roman" w:hAnsi="Times New Roman"/>
                <w:sz w:val="24"/>
                <w:szCs w:val="24"/>
                <w:lang w:val="en-IE"/>
              </w:rPr>
              <w:t xml:space="preserve">eveloping such partnerships can boost international labour mobility and skills development in a mutually beneficial way, thereby offering legal pathways to the EU and reducing irregular migration at the same time.  </w:t>
            </w:r>
          </w:p>
          <w:p w14:paraId="30D14481" w14:textId="404628AD" w:rsidR="0049246C" w:rsidRPr="004F6117" w:rsidRDefault="008A76BF" w:rsidP="00362453">
            <w:pPr>
              <w:spacing w:before="120" w:after="120"/>
              <w:jc w:val="both"/>
              <w:rPr>
                <w:rFonts w:ascii="Times New Roman" w:hAnsi="Times New Roman"/>
                <w:b/>
                <w:sz w:val="24"/>
                <w:szCs w:val="24"/>
              </w:rPr>
            </w:pPr>
            <w:r w:rsidRPr="6891061F">
              <w:rPr>
                <w:rFonts w:ascii="Times New Roman" w:eastAsia="Times New Roman" w:hAnsi="Times New Roman"/>
                <w:sz w:val="24"/>
                <w:szCs w:val="24"/>
                <w:lang w:val="en-IE"/>
              </w:rPr>
              <w:t>Lastly, in April 2024, a recast of the Single Permit Directive</w:t>
            </w:r>
            <w:r>
              <w:rPr>
                <w:rStyle w:val="FootnoteReference"/>
                <w:rFonts w:ascii="Times New Roman" w:eastAsia="Times New Roman" w:hAnsi="Times New Roman"/>
                <w:sz w:val="24"/>
                <w:szCs w:val="24"/>
                <w:lang w:val="en-IE"/>
              </w:rPr>
              <w:footnoteReference w:id="15"/>
            </w:r>
            <w:r w:rsidRPr="6891061F">
              <w:rPr>
                <w:rFonts w:ascii="Times New Roman" w:eastAsia="Times New Roman" w:hAnsi="Times New Roman"/>
                <w:sz w:val="24"/>
                <w:szCs w:val="24"/>
                <w:lang w:val="en-IE"/>
              </w:rPr>
              <w:t xml:space="preserve"> was also adopted. The new rules will streamline the single permit procedure to work and reside in the EU and will strengthen the protection of third-country workers against labour exploitation. Member States have until 21 May 2026 to transpose the recast.</w:t>
            </w:r>
          </w:p>
        </w:tc>
      </w:tr>
    </w:tbl>
    <w:p w14:paraId="21456E80" w14:textId="6A09490E" w:rsidR="00C049CE" w:rsidRPr="0010709F" w:rsidRDefault="00C049CE" w:rsidP="00362453">
      <w:pPr>
        <w:pStyle w:val="NormalWeb"/>
        <w:spacing w:before="120" w:beforeAutospacing="0" w:after="120" w:afterAutospacing="0" w:line="276" w:lineRule="auto"/>
        <w:jc w:val="both"/>
      </w:pPr>
    </w:p>
    <w:sectPr w:rsidR="00C049CE" w:rsidRPr="0010709F" w:rsidSect="00B407AD">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2DD5" w14:textId="77777777" w:rsidR="00AD1C9A" w:rsidRDefault="00AD1C9A" w:rsidP="00FF63EA">
      <w:pPr>
        <w:spacing w:after="0" w:line="240" w:lineRule="auto"/>
      </w:pPr>
      <w:r>
        <w:separator/>
      </w:r>
    </w:p>
  </w:endnote>
  <w:endnote w:type="continuationSeparator" w:id="0">
    <w:p w14:paraId="2D70B78C" w14:textId="77777777" w:rsidR="00AD1C9A" w:rsidRDefault="00AD1C9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7099" w14:textId="77777777" w:rsidR="00AD1C9A" w:rsidRDefault="00AD1C9A" w:rsidP="00FF63EA">
      <w:pPr>
        <w:spacing w:after="0" w:line="240" w:lineRule="auto"/>
      </w:pPr>
      <w:r>
        <w:separator/>
      </w:r>
    </w:p>
  </w:footnote>
  <w:footnote w:type="continuationSeparator" w:id="0">
    <w:p w14:paraId="5DB66AA2" w14:textId="77777777" w:rsidR="00AD1C9A" w:rsidRDefault="00AD1C9A" w:rsidP="00FF63EA">
      <w:pPr>
        <w:spacing w:after="0" w:line="240" w:lineRule="auto"/>
      </w:pPr>
      <w:r>
        <w:continuationSeparator/>
      </w:r>
    </w:p>
  </w:footnote>
  <w:footnote w:id="1">
    <w:p w14:paraId="52E0427C" w14:textId="7DE44B47" w:rsidR="00AC31A2" w:rsidRPr="008D72B8" w:rsidRDefault="00AC31A2" w:rsidP="00AA51CC">
      <w:pPr>
        <w:pStyle w:val="FootnoteText"/>
        <w:ind w:left="142" w:hanging="142"/>
        <w:jc w:val="both"/>
        <w:rPr>
          <w:rFonts w:ascii="Times New Roman" w:hAnsi="Times New Roman"/>
        </w:rPr>
      </w:pPr>
    </w:p>
    <w:p w14:paraId="06BCE4C0" w14:textId="5E2A117E" w:rsidR="00104CDA" w:rsidRPr="008D72B8" w:rsidRDefault="00104CDA" w:rsidP="00BD3BBB">
      <w:pPr>
        <w:pStyle w:val="FootnoteText"/>
        <w:tabs>
          <w:tab w:val="left" w:pos="142"/>
        </w:tabs>
        <w:ind w:left="142" w:hanging="142"/>
        <w:jc w:val="both"/>
        <w:rPr>
          <w:rFonts w:ascii="Times New Roman" w:hAnsi="Times New Roman"/>
        </w:rPr>
      </w:pPr>
      <w:r>
        <w:rPr>
          <w:rFonts w:ascii="Times New Roman" w:hAnsi="Times New Roman"/>
        </w:rPr>
        <w:t xml:space="preserve"> </w:t>
      </w:r>
      <w:r w:rsidR="00E10B44">
        <w:rPr>
          <w:rFonts w:ascii="Times New Roman" w:hAnsi="Times New Roman"/>
        </w:rPr>
        <w:tab/>
      </w:r>
      <w:hyperlink r:id="rId1" w:history="1">
        <w:r w:rsidRPr="00770F17">
          <w:rPr>
            <w:rStyle w:val="Hyperlink"/>
            <w:rFonts w:ascii="Times New Roman" w:hAnsi="Times New Roman"/>
          </w:rPr>
          <w:t xml:space="preserve">Communication </w:t>
        </w:r>
        <w:r w:rsidR="00707ACA" w:rsidRPr="00770F17">
          <w:rPr>
            <w:rStyle w:val="Hyperlink"/>
            <w:rFonts w:ascii="Times New Roman" w:hAnsi="Times New Roman"/>
          </w:rPr>
          <w:t>f</w:t>
        </w:r>
        <w:r w:rsidRPr="00770F17">
          <w:rPr>
            <w:rStyle w:val="Hyperlink"/>
            <w:rFonts w:ascii="Times New Roman" w:hAnsi="Times New Roman"/>
          </w:rPr>
          <w:t xml:space="preserve">rom the Commission to the European Parliament, the Council, the European Economic and Social Committee and </w:t>
        </w:r>
        <w:r w:rsidR="00707ACA" w:rsidRPr="00770F17">
          <w:rPr>
            <w:rStyle w:val="Hyperlink"/>
            <w:rFonts w:ascii="Times New Roman" w:hAnsi="Times New Roman"/>
          </w:rPr>
          <w:t xml:space="preserve">the </w:t>
        </w:r>
        <w:r w:rsidRPr="00770F17">
          <w:rPr>
            <w:rStyle w:val="Hyperlink"/>
            <w:rFonts w:ascii="Times New Roman" w:hAnsi="Times New Roman"/>
          </w:rPr>
          <w:t>Committee of the Regions: Demographic change in Europe: a toolbox for action, COM(2023) 577 final</w:t>
        </w:r>
      </w:hyperlink>
      <w:r w:rsidRPr="008D72B8">
        <w:rPr>
          <w:rFonts w:ascii="Times New Roman" w:hAnsi="Times New Roman"/>
        </w:rPr>
        <w:t>.</w:t>
      </w:r>
    </w:p>
  </w:footnote>
  <w:footnote w:id="2">
    <w:p w14:paraId="32EFBDCB" w14:textId="5CB04AC7" w:rsidR="00AC31A2" w:rsidRPr="008D72B8" w:rsidRDefault="00AC31A2" w:rsidP="00BD3BBB">
      <w:pPr>
        <w:pStyle w:val="FootnoteText"/>
        <w:ind w:left="142" w:hanging="142"/>
        <w:jc w:val="both"/>
        <w:rPr>
          <w:rFonts w:ascii="Times New Roman" w:hAnsi="Times New Roman"/>
        </w:rPr>
      </w:pPr>
      <w:r w:rsidRPr="008D72B8">
        <w:rPr>
          <w:rStyle w:val="FootnoteReference"/>
          <w:rFonts w:ascii="Times New Roman" w:hAnsi="Times New Roman"/>
        </w:rPr>
        <w:footnoteRef/>
      </w:r>
      <w:r w:rsidRPr="008D72B8">
        <w:rPr>
          <w:rFonts w:ascii="Times New Roman" w:hAnsi="Times New Roman"/>
        </w:rPr>
        <w:t xml:space="preserve"> </w:t>
      </w:r>
      <w:hyperlink r:id="rId2" w:history="1">
        <w:r w:rsidRPr="00796887">
          <w:rPr>
            <w:rStyle w:val="Hyperlink"/>
            <w:rFonts w:ascii="Times New Roman" w:hAnsi="Times New Roman"/>
          </w:rPr>
          <w:t>Follow-up provided by the European Commission to the Opinions of the European Economic and Social Committee</w:t>
        </w:r>
        <w:r w:rsidR="00AA51CC" w:rsidRPr="00796887">
          <w:rPr>
            <w:rStyle w:val="Hyperlink"/>
            <w:rFonts w:ascii="Times New Roman" w:hAnsi="Times New Roman"/>
          </w:rPr>
          <w:t>. P</w:t>
        </w:r>
        <w:r w:rsidRPr="00796887">
          <w:rPr>
            <w:rStyle w:val="Hyperlink"/>
            <w:rFonts w:ascii="Times New Roman" w:hAnsi="Times New Roman"/>
          </w:rPr>
          <w:t>lenary session of July 2023 (EESC 2023/532 ‒ SOC/757).</w:t>
        </w:r>
      </w:hyperlink>
    </w:p>
  </w:footnote>
  <w:footnote w:id="3">
    <w:p w14:paraId="02FC79BC" w14:textId="60B691C2" w:rsidR="008E4E29" w:rsidRDefault="00AC31A2" w:rsidP="00027978">
      <w:pPr>
        <w:pStyle w:val="FootnoteText"/>
        <w:jc w:val="both"/>
        <w:rPr>
          <w:rFonts w:ascii="Times New Roman" w:hAnsi="Times New Roman"/>
        </w:rPr>
      </w:pPr>
      <w:r w:rsidRPr="008D72B8">
        <w:rPr>
          <w:rStyle w:val="FootnoteReference"/>
          <w:rFonts w:ascii="Times New Roman" w:hAnsi="Times New Roman"/>
        </w:rPr>
        <w:footnoteRef/>
      </w:r>
      <w:r w:rsidRPr="008D72B8">
        <w:rPr>
          <w:rFonts w:ascii="Times New Roman" w:hAnsi="Times New Roman"/>
        </w:rPr>
        <w:t xml:space="preserve"> </w:t>
      </w:r>
      <w:r w:rsidR="00E94CA2">
        <w:rPr>
          <w:rFonts w:ascii="Times New Roman" w:hAnsi="Times New Roman"/>
        </w:rPr>
        <w:t xml:space="preserve"> </w:t>
      </w:r>
      <w:r w:rsidR="007A3C50">
        <w:rPr>
          <w:rFonts w:ascii="Times New Roman" w:hAnsi="Times New Roman"/>
        </w:rPr>
        <w:t xml:space="preserve">Council of the European Union. Note from the Presidency to the Permanent </w:t>
      </w:r>
      <w:proofErr w:type="spellStart"/>
      <w:r w:rsidR="007A3C50">
        <w:rPr>
          <w:rFonts w:ascii="Times New Roman" w:hAnsi="Times New Roman"/>
        </w:rPr>
        <w:t>Represenatives</w:t>
      </w:r>
      <w:proofErr w:type="spellEnd"/>
      <w:r w:rsidR="007A3C50">
        <w:rPr>
          <w:rFonts w:ascii="Times New Roman" w:hAnsi="Times New Roman"/>
        </w:rPr>
        <w:t xml:space="preserve"> Committee (part</w:t>
      </w:r>
      <w:r w:rsidR="008E4E29">
        <w:rPr>
          <w:rFonts w:ascii="Times New Roman" w:hAnsi="Times New Roman"/>
        </w:rPr>
        <w:br/>
        <w:t xml:space="preserve">    </w:t>
      </w:r>
      <w:r w:rsidR="007A3C50">
        <w:rPr>
          <w:rFonts w:ascii="Times New Roman" w:hAnsi="Times New Roman"/>
        </w:rPr>
        <w:t>2)</w:t>
      </w:r>
      <w:r w:rsidR="00046E50">
        <w:rPr>
          <w:rFonts w:ascii="Times New Roman" w:hAnsi="Times New Roman"/>
        </w:rPr>
        <w:t xml:space="preserve">, </w:t>
      </w:r>
      <w:r w:rsidR="00027978" w:rsidRPr="00027978">
        <w:rPr>
          <w:rFonts w:ascii="Times New Roman" w:hAnsi="Times New Roman"/>
        </w:rPr>
        <w:t>Evaluation of European Union agencies</w:t>
      </w:r>
      <w:r w:rsidR="00027978">
        <w:rPr>
          <w:rFonts w:ascii="Times New Roman" w:hAnsi="Times New Roman"/>
        </w:rPr>
        <w:t>;</w:t>
      </w:r>
      <w:r w:rsidR="008E4E29">
        <w:rPr>
          <w:rFonts w:ascii="Times New Roman" w:hAnsi="Times New Roman"/>
        </w:rPr>
        <w:t xml:space="preserve"> </w:t>
      </w:r>
      <w:r w:rsidR="00027978" w:rsidRPr="00027978">
        <w:rPr>
          <w:rFonts w:ascii="Times New Roman" w:hAnsi="Times New Roman"/>
        </w:rPr>
        <w:t>Endorsement of the Joint Statement and Common Approac</w:t>
      </w:r>
      <w:r w:rsidR="00027978">
        <w:rPr>
          <w:rFonts w:ascii="Times New Roman" w:hAnsi="Times New Roman"/>
        </w:rPr>
        <w:t>h,</w:t>
      </w:r>
      <w:r w:rsidR="008E4E29">
        <w:rPr>
          <w:rFonts w:ascii="Times New Roman" w:hAnsi="Times New Roman"/>
        </w:rPr>
        <w:br/>
        <w:t xml:space="preserve">    </w:t>
      </w:r>
      <w:r w:rsidR="00046E50">
        <w:rPr>
          <w:rFonts w:ascii="Times New Roman" w:hAnsi="Times New Roman"/>
        </w:rPr>
        <w:t>Brussels, 18 June 2012, 11450/12;</w:t>
      </w:r>
    </w:p>
    <w:p w14:paraId="0063830A" w14:textId="474D7E8B" w:rsidR="00AC31A2" w:rsidRPr="008D72B8" w:rsidRDefault="008E4E29" w:rsidP="00027978">
      <w:pPr>
        <w:pStyle w:val="FootnoteText"/>
        <w:jc w:val="both"/>
        <w:rPr>
          <w:rFonts w:ascii="Times New Roman" w:hAnsi="Times New Roman"/>
        </w:rPr>
      </w:pPr>
      <w:hyperlink r:id="rId3" w:history="1">
        <w:r w:rsidRPr="00196264">
          <w:rPr>
            <w:rStyle w:val="Hyperlink"/>
            <w:rFonts w:ascii="Times New Roman" w:hAnsi="Times New Roman"/>
          </w:rPr>
          <w:t>https://data.consilium.europa.eu/doc/document/ST%2011450%202012%20INIT/EN/pdf</w:t>
        </w:r>
      </w:hyperlink>
      <w:r>
        <w:rPr>
          <w:rFonts w:ascii="Times New Roman" w:hAnsi="Times New Roman"/>
        </w:rPr>
        <w:t xml:space="preserve"> </w:t>
      </w:r>
    </w:p>
  </w:footnote>
  <w:footnote w:id="4">
    <w:p w14:paraId="04A6D102" w14:textId="6F4532D1" w:rsidR="00AC31A2" w:rsidRPr="008D72B8" w:rsidRDefault="00AC31A2" w:rsidP="00BD3BBB">
      <w:pPr>
        <w:pStyle w:val="FootnoteText"/>
        <w:tabs>
          <w:tab w:val="left" w:pos="567"/>
        </w:tabs>
        <w:jc w:val="both"/>
        <w:rPr>
          <w:rFonts w:ascii="Times New Roman" w:hAnsi="Times New Roman"/>
        </w:rPr>
      </w:pPr>
      <w:r w:rsidRPr="008D72B8">
        <w:rPr>
          <w:rStyle w:val="FootnoteReference"/>
          <w:rFonts w:ascii="Times New Roman" w:hAnsi="Times New Roman"/>
        </w:rPr>
        <w:footnoteRef/>
      </w:r>
      <w:r w:rsidRPr="008D72B8">
        <w:rPr>
          <w:rFonts w:ascii="Times New Roman" w:hAnsi="Times New Roman"/>
        </w:rPr>
        <w:t xml:space="preserve"> </w:t>
      </w:r>
      <w:r w:rsidR="00E94CA2">
        <w:rPr>
          <w:rFonts w:ascii="Times New Roman" w:hAnsi="Times New Roman"/>
        </w:rPr>
        <w:t xml:space="preserve"> </w:t>
      </w:r>
      <w:hyperlink r:id="rId4" w:history="1">
        <w:r w:rsidRPr="00765E55">
          <w:rPr>
            <w:rStyle w:val="Hyperlink"/>
            <w:rFonts w:ascii="Times New Roman" w:hAnsi="Times New Roman"/>
          </w:rPr>
          <w:t>COM/2021/219 final</w:t>
        </w:r>
        <w:r w:rsidR="008A76BF" w:rsidRPr="00765E55">
          <w:rPr>
            <w:rStyle w:val="Hyperlink"/>
            <w:rFonts w:ascii="Times New Roman" w:hAnsi="Times New Roman"/>
          </w:rPr>
          <w:t xml:space="preserve"> and Better Regulation Toolbox</w:t>
        </w:r>
      </w:hyperlink>
      <w:r w:rsidR="00765E55">
        <w:rPr>
          <w:rFonts w:ascii="Times New Roman" w:hAnsi="Times New Roman"/>
        </w:rPr>
        <w:t>.</w:t>
      </w:r>
    </w:p>
  </w:footnote>
  <w:footnote w:id="5">
    <w:p w14:paraId="59CD13A7" w14:textId="4CBB7649" w:rsidR="003057C4" w:rsidRPr="00104CDA" w:rsidRDefault="003057C4" w:rsidP="00722C82">
      <w:pPr>
        <w:pStyle w:val="FootnoteText"/>
        <w:jc w:val="both"/>
      </w:pPr>
      <w:r>
        <w:rPr>
          <w:rStyle w:val="FootnoteReference"/>
        </w:rPr>
        <w:footnoteRef/>
      </w:r>
      <w:r w:rsidRPr="00104CDA">
        <w:t xml:space="preserve"> </w:t>
      </w:r>
      <w:r w:rsidR="00E94CA2">
        <w:t xml:space="preserve"> </w:t>
      </w:r>
      <w:hyperlink r:id="rId5" w:history="1">
        <w:r w:rsidRPr="00736FF8">
          <w:rPr>
            <w:rStyle w:val="Hyperlink"/>
            <w:rFonts w:ascii="Times New Roman" w:hAnsi="Times New Roman"/>
          </w:rPr>
          <w:t>COM(2024) 414</w:t>
        </w:r>
        <w:r w:rsidR="00736FF8" w:rsidRPr="00736FF8">
          <w:rPr>
            <w:rStyle w:val="Hyperlink"/>
            <w:rFonts w:ascii="Times New Roman" w:hAnsi="Times New Roman"/>
          </w:rPr>
          <w:t xml:space="preserve"> final</w:t>
        </w:r>
      </w:hyperlink>
      <w:r w:rsidRPr="00104CDA">
        <w:rPr>
          <w:rFonts w:ascii="Times New Roman" w:hAnsi="Times New Roman"/>
        </w:rPr>
        <w:t>.</w:t>
      </w:r>
    </w:p>
  </w:footnote>
  <w:footnote w:id="6">
    <w:p w14:paraId="0EACD9F3" w14:textId="27DAFC2F" w:rsidR="00AC31A2" w:rsidRPr="00F9669E" w:rsidRDefault="00AC31A2" w:rsidP="00E10B44">
      <w:pPr>
        <w:pStyle w:val="FootnoteText"/>
        <w:jc w:val="both"/>
      </w:pPr>
      <w:r w:rsidRPr="008D72B8">
        <w:rPr>
          <w:rStyle w:val="FootnoteReference"/>
          <w:rFonts w:ascii="Times New Roman" w:hAnsi="Times New Roman"/>
        </w:rPr>
        <w:footnoteRef/>
      </w:r>
      <w:r w:rsidRPr="008D72B8">
        <w:rPr>
          <w:rFonts w:ascii="Times New Roman" w:hAnsi="Times New Roman"/>
        </w:rPr>
        <w:t xml:space="preserve"> The priorities for the multiannual work programme for the period 2025–2028 are shaped by the opportunities and challenges arising from four mega-drivers: </w:t>
      </w:r>
      <w:r w:rsidR="005468FD">
        <w:rPr>
          <w:rFonts w:ascii="Times New Roman" w:hAnsi="Times New Roman"/>
        </w:rPr>
        <w:t>c</w:t>
      </w:r>
      <w:r w:rsidRPr="008D72B8">
        <w:rPr>
          <w:rFonts w:ascii="Times New Roman" w:hAnsi="Times New Roman"/>
        </w:rPr>
        <w:t xml:space="preserve">limate change; </w:t>
      </w:r>
      <w:r w:rsidRPr="009033E0">
        <w:rPr>
          <w:rFonts w:ascii="Times New Roman" w:hAnsi="Times New Roman"/>
        </w:rPr>
        <w:t>demographic change</w:t>
      </w:r>
      <w:r w:rsidRPr="008D72B8">
        <w:rPr>
          <w:rFonts w:ascii="Times New Roman" w:hAnsi="Times New Roman"/>
        </w:rPr>
        <w:t>; technological change; and re-globalisation and geopolitics.</w:t>
      </w:r>
      <w:r>
        <w:t xml:space="preserve"> </w:t>
      </w:r>
    </w:p>
  </w:footnote>
  <w:footnote w:id="7">
    <w:p w14:paraId="08389EE1" w14:textId="5F409E0F" w:rsidR="00B80804" w:rsidRDefault="00B80804" w:rsidP="00722C82">
      <w:pPr>
        <w:pStyle w:val="FootnoteText"/>
        <w:jc w:val="both"/>
      </w:pPr>
      <w:r>
        <w:rPr>
          <w:rStyle w:val="FootnoteReference"/>
        </w:rPr>
        <w:footnoteRef/>
      </w:r>
      <w:r>
        <w:t xml:space="preserve"> </w:t>
      </w:r>
      <w:r w:rsidRPr="00B80804">
        <w:rPr>
          <w:rFonts w:ascii="Times New Roman" w:hAnsi="Times New Roman"/>
          <w:color w:val="000000"/>
        </w:rPr>
        <w:t xml:space="preserve">E.g. </w:t>
      </w:r>
      <w:hyperlink r:id="rId6" w:history="1">
        <w:r w:rsidRPr="005342E4">
          <w:rPr>
            <w:rStyle w:val="Hyperlink"/>
            <w:rFonts w:ascii="Times New Roman" w:hAnsi="Times New Roman"/>
          </w:rPr>
          <w:t>SWD(2023)21</w:t>
        </w:r>
      </w:hyperlink>
      <w:r w:rsidR="000C761B">
        <w:rPr>
          <w:rFonts w:ascii="Times New Roman" w:hAnsi="Times New Roman"/>
          <w:color w:val="000000"/>
        </w:rPr>
        <w:t xml:space="preserve"> The impact of demographic change in a changing environment¸</w:t>
      </w:r>
      <w:r w:rsidRPr="00B80804">
        <w:rPr>
          <w:rFonts w:ascii="Times New Roman" w:hAnsi="Times New Roman"/>
          <w:color w:val="000000"/>
        </w:rPr>
        <w:t xml:space="preserve"> </w:t>
      </w:r>
      <w:hyperlink r:id="rId7" w:history="1">
        <w:r w:rsidRPr="001D05B0">
          <w:rPr>
            <w:rStyle w:val="Hyperlink"/>
            <w:rFonts w:ascii="Times New Roman" w:hAnsi="Times New Roman"/>
            <w:i/>
            <w:iCs/>
          </w:rPr>
          <w:t>Demography Report 2020</w:t>
        </w:r>
      </w:hyperlink>
      <w:r w:rsidRPr="00B80804">
        <w:rPr>
          <w:rFonts w:ascii="Times New Roman" w:hAnsi="Times New Roman"/>
          <w:color w:val="000000"/>
        </w:rPr>
        <w:t xml:space="preserve">; </w:t>
      </w:r>
      <w:r w:rsidRPr="00BD3BBB">
        <w:rPr>
          <w:color w:val="000000"/>
        </w:rPr>
        <w:t>Employment and Social Developments in Europe</w:t>
      </w:r>
      <w:r w:rsidR="00533E93">
        <w:rPr>
          <w:rFonts w:ascii="Times New Roman" w:hAnsi="Times New Roman"/>
          <w:i/>
          <w:iCs/>
          <w:color w:val="000000"/>
        </w:rPr>
        <w:t xml:space="preserve"> </w:t>
      </w:r>
      <w:r w:rsidR="00533E93" w:rsidRPr="00BD3BBB">
        <w:rPr>
          <w:rFonts w:ascii="Times New Roman" w:hAnsi="Times New Roman"/>
          <w:color w:val="000000"/>
        </w:rPr>
        <w:t>annual reports</w:t>
      </w:r>
      <w:r w:rsidR="00282CAC">
        <w:rPr>
          <w:rFonts w:ascii="Times New Roman" w:hAnsi="Times New Roman"/>
          <w:color w:val="000000"/>
        </w:rPr>
        <w:t>,</w:t>
      </w:r>
      <w:r w:rsidRPr="00B80804">
        <w:rPr>
          <w:rFonts w:ascii="Times New Roman" w:hAnsi="Times New Roman"/>
          <w:color w:val="000000"/>
        </w:rPr>
        <w:t xml:space="preserve"> </w:t>
      </w:r>
      <w:hyperlink r:id="rId8" w:history="1">
        <w:r w:rsidRPr="00125069">
          <w:rPr>
            <w:rStyle w:val="Hyperlink"/>
            <w:rFonts w:ascii="Times New Roman" w:hAnsi="Times New Roman"/>
            <w:i/>
            <w:iCs/>
          </w:rPr>
          <w:t>Labour Market and Wage Developments in Europe</w:t>
        </w:r>
        <w:r w:rsidRPr="00125069">
          <w:rPr>
            <w:rStyle w:val="Hyperlink"/>
            <w:rFonts w:ascii="Times New Roman" w:hAnsi="Times New Roman"/>
          </w:rPr>
          <w:t xml:space="preserve"> </w:t>
        </w:r>
        <w:r w:rsidR="00125069">
          <w:rPr>
            <w:rStyle w:val="Hyperlink"/>
            <w:rFonts w:ascii="Times New Roman" w:hAnsi="Times New Roman"/>
          </w:rPr>
          <w:t xml:space="preserve">annual </w:t>
        </w:r>
        <w:r w:rsidRPr="00125069">
          <w:rPr>
            <w:rStyle w:val="Hyperlink"/>
            <w:rFonts w:ascii="Times New Roman" w:hAnsi="Times New Roman"/>
          </w:rPr>
          <w:t>reports</w:t>
        </w:r>
      </w:hyperlink>
      <w:r w:rsidRPr="00B80804">
        <w:rPr>
          <w:rFonts w:ascii="Times New Roman" w:hAnsi="Times New Roman"/>
          <w:color w:val="000000"/>
        </w:rPr>
        <w:t>, etc.</w:t>
      </w:r>
    </w:p>
  </w:footnote>
  <w:footnote w:id="8">
    <w:p w14:paraId="61B31D8E" w14:textId="4CFC9039" w:rsidR="00AC31A2" w:rsidRPr="003057C4" w:rsidRDefault="00AC31A2" w:rsidP="00722C82">
      <w:pPr>
        <w:pStyle w:val="FootnoteText"/>
        <w:jc w:val="both"/>
        <w:rPr>
          <w:rFonts w:ascii="Times New Roman" w:hAnsi="Times New Roman"/>
          <w:lang w:val="pt-PT"/>
        </w:rPr>
      </w:pPr>
      <w:r w:rsidRPr="00FC266B">
        <w:rPr>
          <w:rStyle w:val="FootnoteReference"/>
          <w:rFonts w:ascii="Times New Roman" w:hAnsi="Times New Roman"/>
        </w:rPr>
        <w:footnoteRef/>
      </w:r>
      <w:r w:rsidRPr="003057C4">
        <w:rPr>
          <w:rFonts w:ascii="Times New Roman" w:hAnsi="Times New Roman"/>
          <w:lang w:val="pt-PT"/>
        </w:rPr>
        <w:t xml:space="preserve"> </w:t>
      </w:r>
      <w:hyperlink r:id="rId9" w:history="1">
        <w:r w:rsidR="00B80804" w:rsidRPr="00255980">
          <w:rPr>
            <w:rStyle w:val="Hyperlink"/>
            <w:rFonts w:ascii="Times New Roman" w:hAnsi="Times New Roman"/>
            <w:lang w:val="pt-PT"/>
          </w:rPr>
          <w:t>COM/2024/131</w:t>
        </w:r>
      </w:hyperlink>
      <w:r w:rsidR="009033E0" w:rsidRPr="003057C4">
        <w:rPr>
          <w:rFonts w:ascii="Times New Roman" w:hAnsi="Times New Roman"/>
          <w:color w:val="000000"/>
          <w:lang w:val="pt-PT"/>
        </w:rPr>
        <w:t>.</w:t>
      </w:r>
    </w:p>
  </w:footnote>
  <w:footnote w:id="9">
    <w:p w14:paraId="33145210" w14:textId="6FE18688" w:rsidR="00E36B42" w:rsidRPr="00BD3BBB" w:rsidRDefault="00E36B42">
      <w:pPr>
        <w:pStyle w:val="FootnoteText"/>
        <w:rPr>
          <w:lang w:val="ca-ES"/>
        </w:rPr>
      </w:pPr>
      <w:r>
        <w:rPr>
          <w:rStyle w:val="FootnoteReference"/>
        </w:rPr>
        <w:footnoteRef/>
      </w:r>
      <w:r>
        <w:t xml:space="preserve"> </w:t>
      </w:r>
      <w:hyperlink r:id="rId10" w:history="1">
        <w:r w:rsidRPr="00BD3BBB">
          <w:rPr>
            <w:rStyle w:val="Hyperlink"/>
            <w:rFonts w:ascii="Times New Roman" w:hAnsi="Times New Roman"/>
            <w:lang w:val="ca-ES"/>
          </w:rPr>
          <w:t xml:space="preserve">COM(2020) </w:t>
        </w:r>
        <w:r w:rsidR="007824B1">
          <w:rPr>
            <w:rStyle w:val="Hyperlink"/>
            <w:rFonts w:ascii="Times New Roman" w:hAnsi="Times New Roman"/>
            <w:lang w:val="ca-ES"/>
          </w:rPr>
          <w:t xml:space="preserve">758 </w:t>
        </w:r>
        <w:r w:rsidRPr="00BD3BBB">
          <w:rPr>
            <w:rStyle w:val="Hyperlink"/>
            <w:rFonts w:ascii="Times New Roman" w:hAnsi="Times New Roman"/>
            <w:lang w:val="ca-ES"/>
          </w:rPr>
          <w:t>final</w:t>
        </w:r>
      </w:hyperlink>
      <w:r w:rsidR="00FE7AA5">
        <w:rPr>
          <w:rFonts w:ascii="Times New Roman" w:hAnsi="Times New Roman"/>
          <w:lang w:val="ca-ES"/>
        </w:rPr>
        <w:t>.</w:t>
      </w:r>
    </w:p>
  </w:footnote>
  <w:footnote w:id="10">
    <w:p w14:paraId="2F81BCB5" w14:textId="1035AE55" w:rsidR="00AC31A2" w:rsidRPr="003057C4" w:rsidRDefault="00AC31A2" w:rsidP="00D079C8">
      <w:pPr>
        <w:pStyle w:val="FootnoteText"/>
        <w:jc w:val="both"/>
        <w:rPr>
          <w:lang w:val="pt-PT"/>
        </w:rPr>
      </w:pPr>
      <w:r w:rsidRPr="008D72B8">
        <w:rPr>
          <w:rStyle w:val="FootnoteReference"/>
          <w:rFonts w:ascii="Times New Roman" w:hAnsi="Times New Roman"/>
        </w:rPr>
        <w:footnoteRef/>
      </w:r>
      <w:r w:rsidRPr="003057C4">
        <w:rPr>
          <w:rFonts w:ascii="Times New Roman" w:hAnsi="Times New Roman"/>
          <w:lang w:val="pt-PT"/>
        </w:rPr>
        <w:t xml:space="preserve"> </w:t>
      </w:r>
      <w:hyperlink r:id="rId11" w:history="1">
        <w:r w:rsidR="00FE7AA5" w:rsidRPr="00FE7AA5">
          <w:rPr>
            <w:rStyle w:val="Hyperlink"/>
            <w:rFonts w:ascii="Times New Roman" w:hAnsi="Times New Roman"/>
            <w:lang w:val="pt-PT"/>
          </w:rPr>
          <w:t>https://op.europa.eu/en/publication-detail/-/publication/c854e35f-2eb1-11ef-a61b-01aa75ed71a1/language-en</w:t>
        </w:r>
      </w:hyperlink>
      <w:r w:rsidRPr="003057C4">
        <w:rPr>
          <w:rFonts w:ascii="Times New Roman" w:hAnsi="Times New Roman"/>
          <w:lang w:val="pt-PT"/>
        </w:rPr>
        <w:t>.</w:t>
      </w:r>
      <w:r w:rsidRPr="003057C4">
        <w:rPr>
          <w:lang w:val="pt-PT"/>
        </w:rPr>
        <w:t xml:space="preserve"> </w:t>
      </w:r>
    </w:p>
  </w:footnote>
  <w:footnote w:id="11">
    <w:p w14:paraId="39792371" w14:textId="111C62A9" w:rsidR="00937D14" w:rsidRPr="00BD3BBB" w:rsidRDefault="00937D14">
      <w:pPr>
        <w:pStyle w:val="FootnoteText"/>
        <w:rPr>
          <w:rFonts w:ascii="Times New Roman" w:hAnsi="Times New Roman"/>
          <w:lang w:val="ca-ES"/>
        </w:rPr>
      </w:pPr>
      <w:r w:rsidRPr="00BD3BBB">
        <w:rPr>
          <w:rStyle w:val="FootnoteReference"/>
          <w:rFonts w:ascii="Times New Roman" w:hAnsi="Times New Roman"/>
        </w:rPr>
        <w:footnoteRef/>
      </w:r>
      <w:r w:rsidRPr="00BD3BBB">
        <w:rPr>
          <w:rFonts w:ascii="Times New Roman" w:hAnsi="Times New Roman"/>
        </w:rPr>
        <w:t xml:space="preserve"> </w:t>
      </w:r>
      <w:r w:rsidRPr="00BD3BBB">
        <w:rPr>
          <w:rFonts w:ascii="Times New Roman" w:hAnsi="Times New Roman"/>
          <w:lang w:val="ca-ES"/>
        </w:rPr>
        <w:t>COM(</w:t>
      </w:r>
      <w:r w:rsidR="00C96E57" w:rsidRPr="00BD3BBB">
        <w:rPr>
          <w:rFonts w:ascii="Times New Roman" w:hAnsi="Times New Roman"/>
          <w:lang w:val="ca-ES"/>
        </w:rPr>
        <w:t>2022) 440 final.</w:t>
      </w:r>
    </w:p>
  </w:footnote>
  <w:footnote w:id="12">
    <w:p w14:paraId="641458D4" w14:textId="0AAAE962" w:rsidR="00597741" w:rsidRPr="00BD3BBB" w:rsidRDefault="00597741">
      <w:pPr>
        <w:pStyle w:val="FootnoteText"/>
        <w:rPr>
          <w:lang w:val="ca-ES"/>
        </w:rPr>
      </w:pPr>
      <w:r>
        <w:rPr>
          <w:rStyle w:val="FootnoteReference"/>
        </w:rPr>
        <w:footnoteRef/>
      </w:r>
      <w:r w:rsidRPr="00BD3BBB">
        <w:rPr>
          <w:rFonts w:ascii="Times New Roman" w:hAnsi="Times New Roman"/>
        </w:rPr>
        <w:t xml:space="preserve"> </w:t>
      </w:r>
      <w:hyperlink r:id="rId12" w:history="1">
        <w:r w:rsidRPr="00BD3BBB">
          <w:rPr>
            <w:rStyle w:val="Hyperlink"/>
            <w:rFonts w:ascii="Times New Roman" w:hAnsi="Times New Roman"/>
            <w:lang w:val="ca-ES"/>
          </w:rPr>
          <w:t>ST/</w:t>
        </w:r>
        <w:r w:rsidR="002A36B6" w:rsidRPr="00BD3BBB">
          <w:rPr>
            <w:rStyle w:val="Hyperlink"/>
            <w:rFonts w:ascii="Times New Roman" w:hAnsi="Times New Roman"/>
            <w:lang w:val="ca-ES"/>
          </w:rPr>
          <w:t>13948/2022/INIT.</w:t>
        </w:r>
      </w:hyperlink>
    </w:p>
  </w:footnote>
  <w:footnote w:id="13">
    <w:p w14:paraId="22E5C6FB" w14:textId="785F8E59" w:rsidR="008A76BF" w:rsidRPr="003057C4" w:rsidRDefault="008A76BF" w:rsidP="00722C82">
      <w:pPr>
        <w:pStyle w:val="FootnoteText"/>
        <w:jc w:val="both"/>
        <w:rPr>
          <w:rFonts w:ascii="Times New Roman" w:hAnsi="Times New Roman"/>
          <w:lang w:val="pt-PT"/>
        </w:rPr>
      </w:pPr>
      <w:r w:rsidRPr="009033E0">
        <w:rPr>
          <w:rStyle w:val="FootnoteReference"/>
          <w:rFonts w:ascii="Times New Roman" w:hAnsi="Times New Roman"/>
        </w:rPr>
        <w:footnoteRef/>
      </w:r>
      <w:r w:rsidRPr="003057C4">
        <w:rPr>
          <w:rFonts w:ascii="Times New Roman" w:hAnsi="Times New Roman"/>
          <w:lang w:val="pt-PT"/>
        </w:rPr>
        <w:t xml:space="preserve"> </w:t>
      </w:r>
      <w:r w:rsidR="00D079C8">
        <w:rPr>
          <w:rFonts w:ascii="Times New Roman" w:hAnsi="Times New Roman"/>
          <w:lang w:val="pt-PT"/>
        </w:rPr>
        <w:tab/>
      </w:r>
      <w:hyperlink r:id="rId13" w:history="1">
        <w:r w:rsidRPr="00A9477F">
          <w:rPr>
            <w:rStyle w:val="Hyperlink"/>
            <w:rFonts w:ascii="Times New Roman" w:hAnsi="Times New Roman"/>
            <w:lang w:val="pt-PT"/>
          </w:rPr>
          <w:t>COM(2023) 715 final.</w:t>
        </w:r>
      </w:hyperlink>
    </w:p>
  </w:footnote>
  <w:footnote w:id="14">
    <w:p w14:paraId="429E97A1" w14:textId="07484AF3" w:rsidR="008A76BF" w:rsidRPr="003057C4" w:rsidRDefault="008A76BF" w:rsidP="00722C82">
      <w:pPr>
        <w:pStyle w:val="FootnoteText"/>
        <w:jc w:val="both"/>
        <w:rPr>
          <w:rFonts w:ascii="Times New Roman" w:hAnsi="Times New Roman"/>
          <w:lang w:val="pt-PT"/>
        </w:rPr>
      </w:pPr>
      <w:r w:rsidRPr="009033E0">
        <w:rPr>
          <w:rStyle w:val="FootnoteReference"/>
          <w:rFonts w:ascii="Times New Roman" w:hAnsi="Times New Roman"/>
        </w:rPr>
        <w:footnoteRef/>
      </w:r>
      <w:r w:rsidRPr="003057C4">
        <w:rPr>
          <w:rFonts w:ascii="Times New Roman" w:hAnsi="Times New Roman"/>
          <w:lang w:val="pt-PT"/>
        </w:rPr>
        <w:t xml:space="preserve"> </w:t>
      </w:r>
      <w:r w:rsidR="00D079C8">
        <w:rPr>
          <w:rFonts w:ascii="Times New Roman" w:hAnsi="Times New Roman"/>
          <w:lang w:val="pt-PT"/>
        </w:rPr>
        <w:tab/>
      </w:r>
      <w:hyperlink r:id="rId14" w:history="1">
        <w:r w:rsidRPr="00285CC0">
          <w:rPr>
            <w:rStyle w:val="Hyperlink"/>
            <w:rFonts w:ascii="Times New Roman" w:hAnsi="Times New Roman"/>
            <w:lang w:val="pt-PT"/>
          </w:rPr>
          <w:t>COM(2023) 716 final.</w:t>
        </w:r>
      </w:hyperlink>
    </w:p>
  </w:footnote>
  <w:footnote w:id="15">
    <w:p w14:paraId="4A2EE925" w14:textId="192EEFF2" w:rsidR="008A76BF" w:rsidRPr="003057C4" w:rsidRDefault="008A76BF" w:rsidP="00722C82">
      <w:pPr>
        <w:pStyle w:val="FootnoteText"/>
        <w:jc w:val="both"/>
        <w:rPr>
          <w:lang w:val="pt-PT"/>
        </w:rPr>
      </w:pPr>
      <w:r w:rsidRPr="009033E0">
        <w:rPr>
          <w:rStyle w:val="FootnoteReference"/>
          <w:rFonts w:ascii="Times New Roman" w:hAnsi="Times New Roman"/>
        </w:rPr>
        <w:footnoteRef/>
      </w:r>
      <w:r w:rsidRPr="003057C4">
        <w:rPr>
          <w:rFonts w:ascii="Times New Roman" w:hAnsi="Times New Roman"/>
          <w:lang w:val="pt-PT"/>
        </w:rPr>
        <w:t xml:space="preserve"> </w:t>
      </w:r>
      <w:r w:rsidR="00D079C8">
        <w:rPr>
          <w:rFonts w:ascii="Times New Roman" w:hAnsi="Times New Roman"/>
          <w:lang w:val="pt-PT"/>
        </w:rPr>
        <w:tab/>
      </w:r>
      <w:hyperlink r:id="rId15" w:history="1">
        <w:r w:rsidR="00D079C8" w:rsidRPr="00DA4F7F">
          <w:rPr>
            <w:rStyle w:val="Hyperlink"/>
            <w:rFonts w:ascii="Times New Roman" w:hAnsi="Times New Roman"/>
            <w:lang w:val="pt-PT"/>
          </w:rPr>
          <w:t>https://eur-lex.europa.eu/legal-content/EN/TXT/?uri=CELEX%3A32024L1233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0456"/>
    <w:multiLevelType w:val="hybridMultilevel"/>
    <w:tmpl w:val="308A6DF2"/>
    <w:lvl w:ilvl="0" w:tplc="3BE67824">
      <w:start w:val="1"/>
      <w:numFmt w:val="bullet"/>
      <w:lvlText w:val="•"/>
      <w:lvlJc w:val="left"/>
      <w:pPr>
        <w:tabs>
          <w:tab w:val="num" w:pos="720"/>
        </w:tabs>
        <w:ind w:left="720" w:hanging="360"/>
      </w:pPr>
      <w:rPr>
        <w:rFonts w:ascii="Arial" w:hAnsi="Arial" w:hint="default"/>
      </w:rPr>
    </w:lvl>
    <w:lvl w:ilvl="1" w:tplc="70447D1A" w:tentative="1">
      <w:start w:val="1"/>
      <w:numFmt w:val="bullet"/>
      <w:lvlText w:val="•"/>
      <w:lvlJc w:val="left"/>
      <w:pPr>
        <w:tabs>
          <w:tab w:val="num" w:pos="1440"/>
        </w:tabs>
        <w:ind w:left="1440" w:hanging="360"/>
      </w:pPr>
      <w:rPr>
        <w:rFonts w:ascii="Arial" w:hAnsi="Arial" w:hint="default"/>
      </w:rPr>
    </w:lvl>
    <w:lvl w:ilvl="2" w:tplc="C7FEEA96" w:tentative="1">
      <w:start w:val="1"/>
      <w:numFmt w:val="bullet"/>
      <w:lvlText w:val="•"/>
      <w:lvlJc w:val="left"/>
      <w:pPr>
        <w:tabs>
          <w:tab w:val="num" w:pos="2160"/>
        </w:tabs>
        <w:ind w:left="2160" w:hanging="360"/>
      </w:pPr>
      <w:rPr>
        <w:rFonts w:ascii="Arial" w:hAnsi="Arial" w:hint="default"/>
      </w:rPr>
    </w:lvl>
    <w:lvl w:ilvl="3" w:tplc="FC7E2EB8" w:tentative="1">
      <w:start w:val="1"/>
      <w:numFmt w:val="bullet"/>
      <w:lvlText w:val="•"/>
      <w:lvlJc w:val="left"/>
      <w:pPr>
        <w:tabs>
          <w:tab w:val="num" w:pos="2880"/>
        </w:tabs>
        <w:ind w:left="2880" w:hanging="360"/>
      </w:pPr>
      <w:rPr>
        <w:rFonts w:ascii="Arial" w:hAnsi="Arial" w:hint="default"/>
      </w:rPr>
    </w:lvl>
    <w:lvl w:ilvl="4" w:tplc="C5EEC80E" w:tentative="1">
      <w:start w:val="1"/>
      <w:numFmt w:val="bullet"/>
      <w:lvlText w:val="•"/>
      <w:lvlJc w:val="left"/>
      <w:pPr>
        <w:tabs>
          <w:tab w:val="num" w:pos="3600"/>
        </w:tabs>
        <w:ind w:left="3600" w:hanging="360"/>
      </w:pPr>
      <w:rPr>
        <w:rFonts w:ascii="Arial" w:hAnsi="Arial" w:hint="default"/>
      </w:rPr>
    </w:lvl>
    <w:lvl w:ilvl="5" w:tplc="58E6CF82" w:tentative="1">
      <w:start w:val="1"/>
      <w:numFmt w:val="bullet"/>
      <w:lvlText w:val="•"/>
      <w:lvlJc w:val="left"/>
      <w:pPr>
        <w:tabs>
          <w:tab w:val="num" w:pos="4320"/>
        </w:tabs>
        <w:ind w:left="4320" w:hanging="360"/>
      </w:pPr>
      <w:rPr>
        <w:rFonts w:ascii="Arial" w:hAnsi="Arial" w:hint="default"/>
      </w:rPr>
    </w:lvl>
    <w:lvl w:ilvl="6" w:tplc="4F92EA3C" w:tentative="1">
      <w:start w:val="1"/>
      <w:numFmt w:val="bullet"/>
      <w:lvlText w:val="•"/>
      <w:lvlJc w:val="left"/>
      <w:pPr>
        <w:tabs>
          <w:tab w:val="num" w:pos="5040"/>
        </w:tabs>
        <w:ind w:left="5040" w:hanging="360"/>
      </w:pPr>
      <w:rPr>
        <w:rFonts w:ascii="Arial" w:hAnsi="Arial" w:hint="default"/>
      </w:rPr>
    </w:lvl>
    <w:lvl w:ilvl="7" w:tplc="B4B65302" w:tentative="1">
      <w:start w:val="1"/>
      <w:numFmt w:val="bullet"/>
      <w:lvlText w:val="•"/>
      <w:lvlJc w:val="left"/>
      <w:pPr>
        <w:tabs>
          <w:tab w:val="num" w:pos="5760"/>
        </w:tabs>
        <w:ind w:left="5760" w:hanging="360"/>
      </w:pPr>
      <w:rPr>
        <w:rFonts w:ascii="Arial" w:hAnsi="Arial" w:hint="default"/>
      </w:rPr>
    </w:lvl>
    <w:lvl w:ilvl="8" w:tplc="F0C695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AED1BE9"/>
    <w:multiLevelType w:val="hybridMultilevel"/>
    <w:tmpl w:val="DCEA7E8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619871876">
    <w:abstractNumId w:val="0"/>
  </w:num>
  <w:num w:numId="2" w16cid:durableId="117094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12A37"/>
    <w:rsid w:val="00025C86"/>
    <w:rsid w:val="00027978"/>
    <w:rsid w:val="00046B15"/>
    <w:rsid w:val="00046E50"/>
    <w:rsid w:val="00050DC7"/>
    <w:rsid w:val="00076109"/>
    <w:rsid w:val="00077C4F"/>
    <w:rsid w:val="000903C5"/>
    <w:rsid w:val="00092D74"/>
    <w:rsid w:val="00095AE0"/>
    <w:rsid w:val="000A3E44"/>
    <w:rsid w:val="000B1B26"/>
    <w:rsid w:val="000C761B"/>
    <w:rsid w:val="000F5FD8"/>
    <w:rsid w:val="00104B26"/>
    <w:rsid w:val="00104CDA"/>
    <w:rsid w:val="0010709F"/>
    <w:rsid w:val="001167C0"/>
    <w:rsid w:val="00125069"/>
    <w:rsid w:val="00135C2A"/>
    <w:rsid w:val="001518DA"/>
    <w:rsid w:val="001568EC"/>
    <w:rsid w:val="00161D7B"/>
    <w:rsid w:val="001B0E0B"/>
    <w:rsid w:val="001B36EA"/>
    <w:rsid w:val="001B5535"/>
    <w:rsid w:val="001C4138"/>
    <w:rsid w:val="001D05B0"/>
    <w:rsid w:val="001D0ECE"/>
    <w:rsid w:val="001F2EC6"/>
    <w:rsid w:val="001F65D0"/>
    <w:rsid w:val="00200173"/>
    <w:rsid w:val="0020362E"/>
    <w:rsid w:val="00217E59"/>
    <w:rsid w:val="00221035"/>
    <w:rsid w:val="002517C9"/>
    <w:rsid w:val="00255980"/>
    <w:rsid w:val="002653B4"/>
    <w:rsid w:val="00274DDD"/>
    <w:rsid w:val="00282CAC"/>
    <w:rsid w:val="00285CC0"/>
    <w:rsid w:val="00293FE1"/>
    <w:rsid w:val="002A22A7"/>
    <w:rsid w:val="002A36B6"/>
    <w:rsid w:val="002E0722"/>
    <w:rsid w:val="002F03FA"/>
    <w:rsid w:val="003004D2"/>
    <w:rsid w:val="00301E82"/>
    <w:rsid w:val="003057C4"/>
    <w:rsid w:val="003349A3"/>
    <w:rsid w:val="00334DE0"/>
    <w:rsid w:val="003402F2"/>
    <w:rsid w:val="0035011A"/>
    <w:rsid w:val="003601AD"/>
    <w:rsid w:val="00362453"/>
    <w:rsid w:val="0036557C"/>
    <w:rsid w:val="00377967"/>
    <w:rsid w:val="00377F5A"/>
    <w:rsid w:val="00386143"/>
    <w:rsid w:val="00386345"/>
    <w:rsid w:val="003A5E7A"/>
    <w:rsid w:val="003B184B"/>
    <w:rsid w:val="003B58DC"/>
    <w:rsid w:val="003C7D2B"/>
    <w:rsid w:val="003F49F2"/>
    <w:rsid w:val="003F686E"/>
    <w:rsid w:val="00416D2C"/>
    <w:rsid w:val="00442552"/>
    <w:rsid w:val="00455A1C"/>
    <w:rsid w:val="004675B5"/>
    <w:rsid w:val="004770D6"/>
    <w:rsid w:val="0049246C"/>
    <w:rsid w:val="004A6BBB"/>
    <w:rsid w:val="004B0689"/>
    <w:rsid w:val="004D2DAA"/>
    <w:rsid w:val="004F6117"/>
    <w:rsid w:val="004F63F1"/>
    <w:rsid w:val="004F651E"/>
    <w:rsid w:val="004F66C4"/>
    <w:rsid w:val="005022CC"/>
    <w:rsid w:val="00510155"/>
    <w:rsid w:val="00524619"/>
    <w:rsid w:val="0052596B"/>
    <w:rsid w:val="0053049A"/>
    <w:rsid w:val="00533E93"/>
    <w:rsid w:val="005342E4"/>
    <w:rsid w:val="005468FD"/>
    <w:rsid w:val="00554D8D"/>
    <w:rsid w:val="005609F4"/>
    <w:rsid w:val="00573835"/>
    <w:rsid w:val="00581306"/>
    <w:rsid w:val="00582CED"/>
    <w:rsid w:val="00593BED"/>
    <w:rsid w:val="00597741"/>
    <w:rsid w:val="005C3105"/>
    <w:rsid w:val="006128FD"/>
    <w:rsid w:val="00670F15"/>
    <w:rsid w:val="00672646"/>
    <w:rsid w:val="00692C2F"/>
    <w:rsid w:val="00695797"/>
    <w:rsid w:val="00696A5E"/>
    <w:rsid w:val="006A73C8"/>
    <w:rsid w:val="006B3B69"/>
    <w:rsid w:val="006D37C4"/>
    <w:rsid w:val="006D7B2A"/>
    <w:rsid w:val="006E0BFF"/>
    <w:rsid w:val="00707ACA"/>
    <w:rsid w:val="00722C82"/>
    <w:rsid w:val="0073095D"/>
    <w:rsid w:val="0073366E"/>
    <w:rsid w:val="00734613"/>
    <w:rsid w:val="00736FF8"/>
    <w:rsid w:val="00751910"/>
    <w:rsid w:val="00751B57"/>
    <w:rsid w:val="00751E60"/>
    <w:rsid w:val="007547B5"/>
    <w:rsid w:val="00765E55"/>
    <w:rsid w:val="00767B84"/>
    <w:rsid w:val="00770F17"/>
    <w:rsid w:val="007824B1"/>
    <w:rsid w:val="00795A9E"/>
    <w:rsid w:val="00796887"/>
    <w:rsid w:val="007972BB"/>
    <w:rsid w:val="007A3C50"/>
    <w:rsid w:val="007A606D"/>
    <w:rsid w:val="007B1436"/>
    <w:rsid w:val="007C2214"/>
    <w:rsid w:val="007D00A2"/>
    <w:rsid w:val="007E7E20"/>
    <w:rsid w:val="00807B48"/>
    <w:rsid w:val="008135CA"/>
    <w:rsid w:val="0081584F"/>
    <w:rsid w:val="0082165D"/>
    <w:rsid w:val="00823C6F"/>
    <w:rsid w:val="008567BA"/>
    <w:rsid w:val="008630D4"/>
    <w:rsid w:val="008703BF"/>
    <w:rsid w:val="00882053"/>
    <w:rsid w:val="008925CE"/>
    <w:rsid w:val="008A76BF"/>
    <w:rsid w:val="008A7A8E"/>
    <w:rsid w:val="008C4D41"/>
    <w:rsid w:val="008D04F2"/>
    <w:rsid w:val="008D328B"/>
    <w:rsid w:val="008D72B8"/>
    <w:rsid w:val="008E2BE9"/>
    <w:rsid w:val="008E4E29"/>
    <w:rsid w:val="008F1D44"/>
    <w:rsid w:val="008F223D"/>
    <w:rsid w:val="009033E0"/>
    <w:rsid w:val="00937D14"/>
    <w:rsid w:val="00940CB6"/>
    <w:rsid w:val="00957D60"/>
    <w:rsid w:val="00975F75"/>
    <w:rsid w:val="00981F45"/>
    <w:rsid w:val="009911CA"/>
    <w:rsid w:val="00991F7F"/>
    <w:rsid w:val="00994D12"/>
    <w:rsid w:val="009A2795"/>
    <w:rsid w:val="009B128B"/>
    <w:rsid w:val="009C2D87"/>
    <w:rsid w:val="009C7999"/>
    <w:rsid w:val="009F27CD"/>
    <w:rsid w:val="00A04607"/>
    <w:rsid w:val="00A064D3"/>
    <w:rsid w:val="00A16F07"/>
    <w:rsid w:val="00A379D2"/>
    <w:rsid w:val="00A4638C"/>
    <w:rsid w:val="00A62C7B"/>
    <w:rsid w:val="00A7709A"/>
    <w:rsid w:val="00A9477F"/>
    <w:rsid w:val="00AA51CC"/>
    <w:rsid w:val="00AB3AA6"/>
    <w:rsid w:val="00AC31A2"/>
    <w:rsid w:val="00AD1C9A"/>
    <w:rsid w:val="00AE0A70"/>
    <w:rsid w:val="00AE0FD1"/>
    <w:rsid w:val="00AE1842"/>
    <w:rsid w:val="00AE3C7C"/>
    <w:rsid w:val="00AF0EE5"/>
    <w:rsid w:val="00B256DD"/>
    <w:rsid w:val="00B31306"/>
    <w:rsid w:val="00B407AD"/>
    <w:rsid w:val="00B41369"/>
    <w:rsid w:val="00B42814"/>
    <w:rsid w:val="00B463E7"/>
    <w:rsid w:val="00B5331C"/>
    <w:rsid w:val="00B63FA5"/>
    <w:rsid w:val="00B7504D"/>
    <w:rsid w:val="00B80804"/>
    <w:rsid w:val="00B8184C"/>
    <w:rsid w:val="00B83936"/>
    <w:rsid w:val="00BC48BE"/>
    <w:rsid w:val="00BC6153"/>
    <w:rsid w:val="00BD3BBB"/>
    <w:rsid w:val="00BD6EB7"/>
    <w:rsid w:val="00C049CE"/>
    <w:rsid w:val="00C0527B"/>
    <w:rsid w:val="00C21F02"/>
    <w:rsid w:val="00C54D27"/>
    <w:rsid w:val="00C567FA"/>
    <w:rsid w:val="00C76EEB"/>
    <w:rsid w:val="00C92D6C"/>
    <w:rsid w:val="00C96E57"/>
    <w:rsid w:val="00CA7FB0"/>
    <w:rsid w:val="00D01F5A"/>
    <w:rsid w:val="00D079C8"/>
    <w:rsid w:val="00D1716E"/>
    <w:rsid w:val="00D35CDF"/>
    <w:rsid w:val="00D43D92"/>
    <w:rsid w:val="00D64E05"/>
    <w:rsid w:val="00D661F8"/>
    <w:rsid w:val="00D70595"/>
    <w:rsid w:val="00D9058A"/>
    <w:rsid w:val="00D92FD3"/>
    <w:rsid w:val="00D97A28"/>
    <w:rsid w:val="00DA3B6E"/>
    <w:rsid w:val="00DB68CC"/>
    <w:rsid w:val="00DB7581"/>
    <w:rsid w:val="00DC70C1"/>
    <w:rsid w:val="00DD1930"/>
    <w:rsid w:val="00E022CA"/>
    <w:rsid w:val="00E10B44"/>
    <w:rsid w:val="00E3498D"/>
    <w:rsid w:val="00E36B42"/>
    <w:rsid w:val="00E60810"/>
    <w:rsid w:val="00E835C3"/>
    <w:rsid w:val="00E83C12"/>
    <w:rsid w:val="00E85AEC"/>
    <w:rsid w:val="00E904C8"/>
    <w:rsid w:val="00E93632"/>
    <w:rsid w:val="00E94CA2"/>
    <w:rsid w:val="00EA1BBF"/>
    <w:rsid w:val="00EB141C"/>
    <w:rsid w:val="00EB29A9"/>
    <w:rsid w:val="00EB6481"/>
    <w:rsid w:val="00EB77D2"/>
    <w:rsid w:val="00EE239E"/>
    <w:rsid w:val="00EF6702"/>
    <w:rsid w:val="00F22D3F"/>
    <w:rsid w:val="00F241CF"/>
    <w:rsid w:val="00F316C8"/>
    <w:rsid w:val="00F632DE"/>
    <w:rsid w:val="00F642E0"/>
    <w:rsid w:val="00F66DBD"/>
    <w:rsid w:val="00F735E4"/>
    <w:rsid w:val="00F859B5"/>
    <w:rsid w:val="00FA19CA"/>
    <w:rsid w:val="00FA22F6"/>
    <w:rsid w:val="00FB7834"/>
    <w:rsid w:val="00FC266B"/>
    <w:rsid w:val="00FC3347"/>
    <w:rsid w:val="00FD4B6A"/>
    <w:rsid w:val="00FE7AA5"/>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722"/>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FootnoteText">
    <w:name w:val="footnote text"/>
    <w:basedOn w:val="Normal"/>
    <w:link w:val="FootnoteTextChar"/>
    <w:uiPriority w:val="99"/>
    <w:semiHidden/>
    <w:unhideWhenUsed/>
    <w:rsid w:val="002E0722"/>
    <w:pPr>
      <w:spacing w:after="0" w:line="240" w:lineRule="auto"/>
    </w:pPr>
    <w:rPr>
      <w:kern w:val="2"/>
      <w:sz w:val="20"/>
      <w:szCs w:val="20"/>
      <w:lang w:val="en-IE"/>
    </w:rPr>
  </w:style>
  <w:style w:type="character" w:customStyle="1" w:styleId="FootnoteTextChar">
    <w:name w:val="Footnote Text Char"/>
    <w:link w:val="FootnoteText"/>
    <w:uiPriority w:val="99"/>
    <w:semiHidden/>
    <w:rsid w:val="002E0722"/>
    <w:rPr>
      <w:kern w:val="2"/>
      <w:lang w:val="en-IE" w:eastAsia="en-US"/>
    </w:rPr>
  </w:style>
  <w:style w:type="character" w:styleId="Hyperlink">
    <w:name w:val="Hyperlink"/>
    <w:uiPriority w:val="99"/>
    <w:unhideWhenUsed/>
    <w:rsid w:val="002E0722"/>
    <w:rPr>
      <w:color w:val="0000FF"/>
      <w:u w:val="single"/>
    </w:rPr>
  </w:style>
  <w:style w:type="character" w:styleId="FootnoteReference">
    <w:name w:val="footnote reference"/>
    <w:aliases w:val="Footnote symbol,Footnote Reference Superscript,BVI fnr, BVI fnr,EN Footnote Reference,Times 10 Point,Exposant 3 Point,Footnote reference number,note TESI,stylish,SUPERS,number,no...,Ref,de nota al pie,Footnote Reference1,ftre,fr,o,FR"/>
    <w:link w:val="SUPERSChar"/>
    <w:uiPriority w:val="99"/>
    <w:unhideWhenUsed/>
    <w:qFormat/>
    <w:rsid w:val="002E0722"/>
    <w:rPr>
      <w:vertAlign w:val="superscript"/>
    </w:rPr>
  </w:style>
  <w:style w:type="paragraph" w:customStyle="1" w:styleId="SUPERSChar">
    <w:name w:val="SUPERS Char"/>
    <w:aliases w:val="EN Footnote Reference Char"/>
    <w:basedOn w:val="Normal"/>
    <w:link w:val="FootnoteReference"/>
    <w:uiPriority w:val="99"/>
    <w:rsid w:val="00EB6481"/>
    <w:pPr>
      <w:spacing w:after="160" w:line="240" w:lineRule="exact"/>
    </w:pPr>
    <w:rPr>
      <w:sz w:val="20"/>
      <w:szCs w:val="20"/>
      <w:vertAlign w:val="superscript"/>
      <w:lang w:eastAsia="en-GB"/>
    </w:rPr>
  </w:style>
  <w:style w:type="paragraph" w:styleId="CommentText">
    <w:name w:val="annotation text"/>
    <w:basedOn w:val="Normal"/>
    <w:link w:val="CommentTextChar"/>
    <w:uiPriority w:val="99"/>
    <w:unhideWhenUsed/>
    <w:rsid w:val="006D37C4"/>
    <w:rPr>
      <w:sz w:val="20"/>
      <w:szCs w:val="20"/>
    </w:rPr>
  </w:style>
  <w:style w:type="character" w:customStyle="1" w:styleId="CommentTextChar">
    <w:name w:val="Comment Text Char"/>
    <w:link w:val="CommentText"/>
    <w:uiPriority w:val="99"/>
    <w:rsid w:val="006D37C4"/>
    <w:rPr>
      <w:lang w:eastAsia="en-US"/>
    </w:rPr>
  </w:style>
  <w:style w:type="character" w:styleId="CommentReference">
    <w:name w:val="annotation reference"/>
    <w:uiPriority w:val="99"/>
    <w:semiHidden/>
    <w:unhideWhenUsed/>
    <w:rPr>
      <w:sz w:val="16"/>
      <w:szCs w:val="16"/>
    </w:rPr>
  </w:style>
  <w:style w:type="paragraph" w:customStyle="1" w:styleId="text-align-justify">
    <w:name w:val="text-align-justify"/>
    <w:basedOn w:val="Normal"/>
    <w:rsid w:val="00025C86"/>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uiPriority w:val="22"/>
    <w:qFormat/>
    <w:rsid w:val="00025C86"/>
    <w:rPr>
      <w:b/>
      <w:bCs/>
    </w:rPr>
  </w:style>
  <w:style w:type="character" w:styleId="UnresolvedMention">
    <w:name w:val="Unresolved Mention"/>
    <w:uiPriority w:val="99"/>
    <w:semiHidden/>
    <w:unhideWhenUsed/>
    <w:rsid w:val="00751B57"/>
    <w:rPr>
      <w:color w:val="605E5C"/>
      <w:shd w:val="clear" w:color="auto" w:fill="E1DFDD"/>
    </w:rPr>
  </w:style>
  <w:style w:type="paragraph" w:styleId="Revision">
    <w:name w:val="Revision"/>
    <w:hidden/>
    <w:uiPriority w:val="99"/>
    <w:semiHidden/>
    <w:rsid w:val="00FA19CA"/>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334DE0"/>
    <w:rPr>
      <w:b/>
      <w:bCs/>
    </w:rPr>
  </w:style>
  <w:style w:type="character" w:customStyle="1" w:styleId="CommentSubjectChar">
    <w:name w:val="Comment Subject Char"/>
    <w:link w:val="CommentSubject"/>
    <w:uiPriority w:val="99"/>
    <w:semiHidden/>
    <w:rsid w:val="00334DE0"/>
    <w:rPr>
      <w:b/>
      <w:bCs/>
      <w:lang w:eastAsia="en-US"/>
    </w:rPr>
  </w:style>
  <w:style w:type="character" w:styleId="FollowedHyperlink">
    <w:name w:val="FollowedHyperlink"/>
    <w:uiPriority w:val="99"/>
    <w:semiHidden/>
    <w:unhideWhenUsed/>
    <w:rsid w:val="00E36B4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related-publications?p_p_id=eu_europa_publications_portlet_search_executor_SearchExecutorPortlet_INSTANCE_AOrXQXg7DLjE&amp;p_p_lifecycle=1&amp;p_p_state=normal&amp;_publicationDetails_PublicationDetailsPortlet_cellarId=ff9a3b0c-7b6e-11ed-9887-01aa75ed71a1&amp;_publicationDetails_PublicationDetailsPortlet_language=en&amp;domain=EUPub&amp;domain=EULex&amp;domain=EUWebPage&amp;domain=EUSummariesOfLegislation&amp;facet.issn=2443-6771&amp;p_p_parallel=0" TargetMode="External"/><Relationship Id="rId13" Type="http://schemas.openxmlformats.org/officeDocument/2006/relationships/hyperlink" Target="https://eur-lex.europa.eu/legal-content/EN/ALL/?uri=COM:2023:715:FIN" TargetMode="External"/><Relationship Id="rId3" Type="http://schemas.openxmlformats.org/officeDocument/2006/relationships/hyperlink" Target="https://data.consilium.europa.eu/doc/document/ST%2011450%202012%20INIT/EN/pdf" TargetMode="External"/><Relationship Id="rId7" Type="http://schemas.openxmlformats.org/officeDocument/2006/relationships/hyperlink" Target="https://commission.europa.eu/document/d1fbb2d5-c966-4252-8d1b-63f7c5a90035_en" TargetMode="External"/><Relationship Id="rId12" Type="http://schemas.openxmlformats.org/officeDocument/2006/relationships/hyperlink" Target="https://eur-lex.europa.eu/legal-content/EN/TXT/?uri=uriserv:OJ.C_.2022.476.01.0001.01.ENG" TargetMode="External"/><Relationship Id="rId2" Type="http://schemas.openxmlformats.org/officeDocument/2006/relationships/hyperlink" Target="https://www.eesc.europa.eu/sites/default/files/files/07_eesc_follow-up_report_july_2023_gri.pdf" TargetMode="External"/><Relationship Id="rId1" Type="http://schemas.openxmlformats.org/officeDocument/2006/relationships/hyperlink" Target="https://eur-lex.europa.eu/legal-content/EN/TXT/?uri=COM%3A2023%3A577%3AFIN" TargetMode="External"/><Relationship Id="rId6" Type="http://schemas.openxmlformats.org/officeDocument/2006/relationships/hyperlink" Target="https://commission.europa.eu/system/files/2023-01/the_impact_of_demographic_change_in_a_changing_environment_2023.PDF" TargetMode="External"/><Relationship Id="rId11" Type="http://schemas.openxmlformats.org/officeDocument/2006/relationships/hyperlink" Target="https://op.europa.eu/en/publication-detail/-/publication/c854e35f-2eb1-11ef-a61b-01aa75ed71a1/language-en" TargetMode="External"/><Relationship Id="rId5" Type="http://schemas.openxmlformats.org/officeDocument/2006/relationships/hyperlink" Target="https://eur-lex.europa.eu/legal-content/EN/TXT/?uri=COM:2024:414:FIN" TargetMode="External"/><Relationship Id="rId15" Type="http://schemas.openxmlformats.org/officeDocument/2006/relationships/hyperlink" Target="https://eur-lex.europa.eu/legal-content/EN/TXT/?uri=CELEX%3A32024L1233" TargetMode="External"/><Relationship Id="rId10" Type="http://schemas.openxmlformats.org/officeDocument/2006/relationships/hyperlink" Target="https://eur-lex.europa.eu/legal-content/EN/TXT/?uri=CELEX%3A52020DC0758" TargetMode="External"/><Relationship Id="rId4" Type="http://schemas.openxmlformats.org/officeDocument/2006/relationships/hyperlink" Target="https://eur-lex.europa.eu/legal-content/EN/ALL/?uri=COM:2021:219:FIN" TargetMode="External"/><Relationship Id="rId9" Type="http://schemas.openxmlformats.org/officeDocument/2006/relationships/hyperlink" Target="https://eur-lex.europa.eu/legal-content/EN/ALL/?uri=COM:2024:131:FIN" TargetMode="External"/><Relationship Id="rId14" Type="http://schemas.openxmlformats.org/officeDocument/2006/relationships/hyperlink" Target="https://eur-lex.europa.eu/legal-content/EN/TXT/?uri=comnat%3ACOM_2023_0716_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F292-EA8C-45F7-9602-44DC88B9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9096</Characters>
  <Application>Microsoft Office Word</Application>
  <DocSecurity>0</DocSecurity>
  <Lines>128</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KRECISZ Katarzyna (SG)</cp:lastModifiedBy>
  <cp:revision>2</cp:revision>
  <cp:lastPrinted>2013-02-27T18:02:00Z</cp:lastPrinted>
  <dcterms:created xsi:type="dcterms:W3CDTF">2025-04-08T08:30:00Z</dcterms:created>
  <dcterms:modified xsi:type="dcterms:W3CDTF">2025-04-08T08:30:00Z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