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232A0" w14:textId="77777777" w:rsidR="00077C4F" w:rsidRPr="00077C4F" w:rsidRDefault="00077C4F" w:rsidP="00442552">
      <w:pPr>
        <w:rPr>
          <w:rFonts w:ascii="Times New Roman" w:hAnsi="Times New Roman"/>
          <w:b/>
          <w:sz w:val="24"/>
          <w:szCs w:val="24"/>
          <w:u w:val="single"/>
        </w:rPr>
      </w:pPr>
    </w:p>
    <w:tbl>
      <w:tblPr>
        <w:tblW w:w="979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91"/>
      </w:tblGrid>
      <w:tr w:rsidR="009E7E5A" w:rsidRPr="00AB1936" w14:paraId="5284E2DD" w14:textId="77777777" w:rsidTr="00AF76BF">
        <w:trPr>
          <w:jc w:val="center"/>
        </w:trPr>
        <w:tc>
          <w:tcPr>
            <w:tcW w:w="9791" w:type="dxa"/>
          </w:tcPr>
          <w:p w14:paraId="79A538E7" w14:textId="1147C7BB" w:rsidR="009E7E5A" w:rsidRPr="00AB1936" w:rsidRDefault="009E7E5A" w:rsidP="00AB1936">
            <w:pPr>
              <w:spacing w:before="120" w:after="120"/>
              <w:rPr>
                <w:rFonts w:ascii="Times New Roman" w:hAnsi="Times New Roman"/>
                <w:b/>
                <w:sz w:val="24"/>
                <w:szCs w:val="24"/>
              </w:rPr>
            </w:pPr>
            <w:r w:rsidRPr="00AB1936">
              <w:rPr>
                <w:rFonts w:ascii="Times New Roman" w:hAnsi="Times New Roman"/>
                <w:b/>
                <w:sz w:val="24"/>
                <w:szCs w:val="24"/>
              </w:rPr>
              <w:t xml:space="preserve">Enlargement and the EU agri-food sector: How to ensure the social, environmental and economic sustainability of the EU agri-food sector with future enlargement </w:t>
            </w:r>
            <w:r w:rsidR="0028316E" w:rsidRPr="00AB1936">
              <w:rPr>
                <w:rFonts w:ascii="Times New Roman" w:hAnsi="Times New Roman"/>
                <w:b/>
                <w:sz w:val="24"/>
                <w:szCs w:val="24"/>
              </w:rPr>
              <w:br/>
              <w:t>(exploratory opinion at the request of the European Commission)</w:t>
            </w:r>
            <w:r w:rsidR="0028316E" w:rsidRPr="00AB1936">
              <w:rPr>
                <w:rFonts w:ascii="Times New Roman" w:hAnsi="Times New Roman"/>
                <w:b/>
                <w:sz w:val="24"/>
                <w:szCs w:val="24"/>
              </w:rPr>
              <w:br/>
            </w:r>
            <w:r w:rsidRPr="00AB1936">
              <w:rPr>
                <w:rFonts w:ascii="Times New Roman" w:hAnsi="Times New Roman"/>
                <w:b/>
                <w:sz w:val="24"/>
                <w:szCs w:val="24"/>
                <w:lang w:val="en-IE"/>
              </w:rPr>
              <w:t>EESC</w:t>
            </w:r>
            <w:r w:rsidR="0028316E" w:rsidRPr="00AB1936">
              <w:rPr>
                <w:rFonts w:ascii="Times New Roman" w:hAnsi="Times New Roman"/>
                <w:b/>
                <w:sz w:val="24"/>
                <w:szCs w:val="24"/>
                <w:lang w:val="en-IE"/>
              </w:rPr>
              <w:t xml:space="preserve"> </w:t>
            </w:r>
            <w:r w:rsidRPr="00AB1936">
              <w:rPr>
                <w:rFonts w:ascii="Times New Roman" w:hAnsi="Times New Roman"/>
                <w:b/>
                <w:sz w:val="24"/>
                <w:szCs w:val="24"/>
                <w:lang w:val="en-IE"/>
              </w:rPr>
              <w:t xml:space="preserve">2024-01019 </w:t>
            </w:r>
            <w:r w:rsidRPr="00AB1936">
              <w:rPr>
                <w:rFonts w:ascii="Times New Roman" w:hAnsi="Times New Roman"/>
                <w:b/>
                <w:sz w:val="24"/>
                <w:szCs w:val="24"/>
              </w:rPr>
              <w:t>‒ NAT/924</w:t>
            </w:r>
            <w:r w:rsidRPr="00AB1936">
              <w:rPr>
                <w:rFonts w:ascii="Times New Roman" w:hAnsi="Times New Roman"/>
                <w:b/>
                <w:sz w:val="24"/>
                <w:szCs w:val="24"/>
              </w:rPr>
              <w:br/>
              <w:t>589</w:t>
            </w:r>
            <w:r w:rsidRPr="00AB1936">
              <w:rPr>
                <w:rFonts w:ascii="Times New Roman" w:hAnsi="Times New Roman"/>
                <w:b/>
                <w:sz w:val="24"/>
                <w:szCs w:val="24"/>
                <w:vertAlign w:val="superscript"/>
              </w:rPr>
              <w:t>th</w:t>
            </w:r>
            <w:r w:rsidRPr="00AB1936">
              <w:rPr>
                <w:rFonts w:ascii="Times New Roman" w:hAnsi="Times New Roman"/>
                <w:b/>
                <w:sz w:val="24"/>
                <w:szCs w:val="24"/>
              </w:rPr>
              <w:t xml:space="preserve"> Plenary Session – July 2024</w:t>
            </w:r>
            <w:r w:rsidRPr="00AB1936">
              <w:rPr>
                <w:rFonts w:ascii="Times New Roman" w:hAnsi="Times New Roman"/>
                <w:b/>
                <w:sz w:val="24"/>
                <w:szCs w:val="24"/>
              </w:rPr>
              <w:br/>
              <w:t>Rapporteur: Stoyan TCHOUKANOV (BG – III)</w:t>
            </w:r>
            <w:r w:rsidRPr="00AB1936">
              <w:rPr>
                <w:rFonts w:ascii="Times New Roman" w:hAnsi="Times New Roman"/>
                <w:b/>
                <w:sz w:val="24"/>
                <w:szCs w:val="24"/>
              </w:rPr>
              <w:br/>
              <w:t xml:space="preserve">DG AGRI – Commissioner </w:t>
            </w:r>
            <w:r w:rsidR="003C6200" w:rsidRPr="00AB1936">
              <w:rPr>
                <w:rFonts w:ascii="Times New Roman" w:hAnsi="Times New Roman"/>
                <w:b/>
                <w:sz w:val="24"/>
                <w:szCs w:val="24"/>
              </w:rPr>
              <w:t>HANSEN</w:t>
            </w:r>
          </w:p>
        </w:tc>
      </w:tr>
      <w:tr w:rsidR="00734613" w:rsidRPr="00AB1936" w14:paraId="1937071F" w14:textId="77777777" w:rsidTr="00AF76BF">
        <w:trPr>
          <w:jc w:val="center"/>
        </w:trPr>
        <w:tc>
          <w:tcPr>
            <w:tcW w:w="9791" w:type="dxa"/>
          </w:tcPr>
          <w:p w14:paraId="1E50B4DB" w14:textId="3E7D4FA1" w:rsidR="00734613" w:rsidRPr="00AB1936" w:rsidRDefault="004F6117" w:rsidP="00AB1936">
            <w:pPr>
              <w:spacing w:before="120" w:after="120"/>
              <w:jc w:val="center"/>
              <w:rPr>
                <w:rFonts w:ascii="Times New Roman" w:hAnsi="Times New Roman"/>
                <w:b/>
                <w:sz w:val="24"/>
                <w:szCs w:val="24"/>
              </w:rPr>
            </w:pPr>
            <w:r w:rsidRPr="00AB1936">
              <w:rPr>
                <w:rFonts w:ascii="Times New Roman" w:hAnsi="Times New Roman"/>
                <w:b/>
                <w:sz w:val="24"/>
                <w:szCs w:val="24"/>
              </w:rPr>
              <w:t xml:space="preserve">European Commission position on points </w:t>
            </w:r>
            <w:r w:rsidRPr="00AB1936">
              <w:rPr>
                <w:rFonts w:ascii="Times New Roman" w:hAnsi="Times New Roman"/>
                <w:b/>
                <w:sz w:val="24"/>
                <w:szCs w:val="24"/>
              </w:rPr>
              <w:br/>
              <w:t xml:space="preserve">of the European Economic and Social Committee </w:t>
            </w:r>
            <w:r w:rsidR="003A4CED" w:rsidRPr="00AB1936">
              <w:rPr>
                <w:rFonts w:ascii="Times New Roman" w:hAnsi="Times New Roman"/>
                <w:b/>
                <w:sz w:val="24"/>
                <w:szCs w:val="24"/>
              </w:rPr>
              <w:t xml:space="preserve">(EESC) </w:t>
            </w:r>
            <w:r w:rsidRPr="00AB1936">
              <w:rPr>
                <w:rFonts w:ascii="Times New Roman" w:hAnsi="Times New Roman"/>
                <w:b/>
                <w:sz w:val="24"/>
                <w:szCs w:val="24"/>
              </w:rPr>
              <w:t>opinion</w:t>
            </w:r>
            <w:r w:rsidR="00E83C12" w:rsidRPr="00AB1936">
              <w:rPr>
                <w:rFonts w:ascii="Times New Roman" w:hAnsi="Times New Roman"/>
                <w:b/>
                <w:sz w:val="24"/>
                <w:szCs w:val="24"/>
              </w:rPr>
              <w:t xml:space="preserve"> considered as essential</w:t>
            </w:r>
          </w:p>
        </w:tc>
      </w:tr>
      <w:tr w:rsidR="00734613" w:rsidRPr="00AB1936" w14:paraId="673DDC1B" w14:textId="77777777" w:rsidTr="00AF76BF">
        <w:trPr>
          <w:jc w:val="center"/>
        </w:trPr>
        <w:tc>
          <w:tcPr>
            <w:tcW w:w="9791" w:type="dxa"/>
          </w:tcPr>
          <w:p w14:paraId="24E99A4D" w14:textId="45F0E5CA" w:rsidR="00734613" w:rsidRPr="00AB1936" w:rsidRDefault="00B46BFD" w:rsidP="00AB1936">
            <w:pPr>
              <w:spacing w:before="120" w:after="120"/>
              <w:jc w:val="both"/>
              <w:rPr>
                <w:rFonts w:ascii="Times New Roman" w:hAnsi="Times New Roman"/>
                <w:sz w:val="24"/>
                <w:szCs w:val="24"/>
              </w:rPr>
            </w:pPr>
            <w:r w:rsidRPr="00AB1936">
              <w:rPr>
                <w:rFonts w:ascii="Times New Roman" w:hAnsi="Times New Roman"/>
                <w:sz w:val="24"/>
                <w:szCs w:val="24"/>
                <w:lang w:val="en-IE"/>
              </w:rPr>
              <w:t xml:space="preserve">The exploratory opinion </w:t>
            </w:r>
            <w:r w:rsidR="003A4CED" w:rsidRPr="00AB1936">
              <w:rPr>
                <w:rFonts w:ascii="Times New Roman" w:hAnsi="Times New Roman"/>
                <w:sz w:val="24"/>
                <w:szCs w:val="24"/>
                <w:lang w:val="en-IE"/>
              </w:rPr>
              <w:t xml:space="preserve">of the EESC </w:t>
            </w:r>
            <w:r w:rsidRPr="00AB1936">
              <w:rPr>
                <w:rFonts w:ascii="Times New Roman" w:hAnsi="Times New Roman"/>
                <w:sz w:val="24"/>
                <w:szCs w:val="24"/>
                <w:lang w:val="en-IE"/>
              </w:rPr>
              <w:t xml:space="preserve">is a useful and timely input to the enlargement process </w:t>
            </w:r>
            <w:r w:rsidR="00691FD2" w:rsidRPr="00AB1936">
              <w:rPr>
                <w:rFonts w:ascii="Times New Roman" w:hAnsi="Times New Roman"/>
                <w:sz w:val="24"/>
                <w:szCs w:val="24"/>
                <w:lang w:val="en-IE"/>
              </w:rPr>
              <w:t>concerning</w:t>
            </w:r>
            <w:r w:rsidRPr="00AB1936">
              <w:rPr>
                <w:rFonts w:ascii="Times New Roman" w:hAnsi="Times New Roman"/>
                <w:sz w:val="24"/>
                <w:szCs w:val="24"/>
                <w:lang w:val="en-IE"/>
              </w:rPr>
              <w:t xml:space="preserve"> the accession negotiations launched with </w:t>
            </w:r>
            <w:r w:rsidR="00691FD2" w:rsidRPr="00AB1936">
              <w:rPr>
                <w:rFonts w:ascii="Times New Roman" w:hAnsi="Times New Roman"/>
                <w:sz w:val="24"/>
                <w:szCs w:val="24"/>
                <w:lang w:val="en-IE"/>
              </w:rPr>
              <w:t>seven</w:t>
            </w:r>
            <w:r w:rsidRPr="00AB1936">
              <w:rPr>
                <w:rFonts w:ascii="Times New Roman" w:hAnsi="Times New Roman"/>
                <w:sz w:val="24"/>
                <w:szCs w:val="24"/>
                <w:lang w:val="en-IE"/>
              </w:rPr>
              <w:t xml:space="preserve"> countries, most recently with Moldova and Ukraine in June 2024. The Commission would like to offer the following observations grouped by topic</w:t>
            </w:r>
            <w:r w:rsidR="000624B1" w:rsidRPr="00AB1936">
              <w:rPr>
                <w:rFonts w:ascii="Times New Roman" w:hAnsi="Times New Roman"/>
                <w:sz w:val="24"/>
                <w:szCs w:val="24"/>
                <w:lang w:val="en-IE"/>
              </w:rPr>
              <w:t>.</w:t>
            </w:r>
          </w:p>
          <w:p w14:paraId="2BD0384E" w14:textId="64AC83A7" w:rsidR="00222F70" w:rsidRPr="00AB1936" w:rsidRDefault="00B46BFD" w:rsidP="00AB1936">
            <w:pPr>
              <w:pStyle w:val="Heading2"/>
              <w:keepNext/>
              <w:keepLines/>
              <w:numPr>
                <w:ilvl w:val="0"/>
                <w:numId w:val="0"/>
              </w:numPr>
              <w:spacing w:before="120" w:after="120" w:line="276" w:lineRule="auto"/>
              <w:rPr>
                <w:i/>
                <w:sz w:val="24"/>
                <w:szCs w:val="24"/>
              </w:rPr>
            </w:pPr>
            <w:r w:rsidRPr="00AB1936">
              <w:rPr>
                <w:i/>
                <w:sz w:val="24"/>
                <w:szCs w:val="24"/>
              </w:rPr>
              <w:t xml:space="preserve">Accession process </w:t>
            </w:r>
          </w:p>
          <w:p w14:paraId="62DBA7B9" w14:textId="3A462A31" w:rsidR="00B46BFD" w:rsidRPr="00AB1936" w:rsidRDefault="009C7247" w:rsidP="00AB1936">
            <w:pPr>
              <w:spacing w:before="120" w:after="120"/>
              <w:jc w:val="both"/>
              <w:rPr>
                <w:rFonts w:ascii="Times New Roman" w:hAnsi="Times New Roman"/>
                <w:sz w:val="24"/>
                <w:szCs w:val="24"/>
              </w:rPr>
            </w:pPr>
            <w:r w:rsidRPr="00AB1936">
              <w:rPr>
                <w:rFonts w:ascii="Times New Roman" w:hAnsi="Times New Roman"/>
                <w:sz w:val="24"/>
                <w:szCs w:val="24"/>
              </w:rPr>
              <w:t>E</w:t>
            </w:r>
            <w:r w:rsidR="008664E5" w:rsidRPr="00AB1936">
              <w:rPr>
                <w:rFonts w:ascii="Times New Roman" w:hAnsi="Times New Roman"/>
                <w:sz w:val="24"/>
                <w:szCs w:val="24"/>
              </w:rPr>
              <w:t xml:space="preserve">nlargement is a geo-strategic investment in security, stability and prosperity. </w:t>
            </w:r>
            <w:r w:rsidR="00B46BFD" w:rsidRPr="00AB1936">
              <w:rPr>
                <w:rFonts w:ascii="Times New Roman" w:hAnsi="Times New Roman"/>
                <w:sz w:val="24"/>
                <w:szCs w:val="24"/>
              </w:rPr>
              <w:t>Enlargement is a</w:t>
            </w:r>
            <w:r w:rsidR="00AF76BF">
              <w:rPr>
                <w:rFonts w:ascii="Times New Roman" w:hAnsi="Times New Roman"/>
                <w:sz w:val="24"/>
                <w:szCs w:val="24"/>
              </w:rPr>
              <w:t> </w:t>
            </w:r>
            <w:r w:rsidR="00B46BFD" w:rsidRPr="00AB1936">
              <w:rPr>
                <w:rFonts w:ascii="Times New Roman" w:hAnsi="Times New Roman"/>
                <w:sz w:val="24"/>
                <w:szCs w:val="24"/>
              </w:rPr>
              <w:t xml:space="preserve">merit-based process, which means that the candidate must be ready to apply the EU </w:t>
            </w:r>
            <w:r w:rsidR="00B46BFD" w:rsidRPr="00AB1936">
              <w:rPr>
                <w:rFonts w:ascii="Times New Roman" w:hAnsi="Times New Roman"/>
                <w:i/>
                <w:iCs/>
                <w:sz w:val="24"/>
                <w:szCs w:val="24"/>
              </w:rPr>
              <w:t>acquis</w:t>
            </w:r>
            <w:r w:rsidR="00B46BFD" w:rsidRPr="00AB1936">
              <w:rPr>
                <w:rFonts w:ascii="Times New Roman" w:hAnsi="Times New Roman"/>
                <w:sz w:val="24"/>
                <w:szCs w:val="24"/>
              </w:rPr>
              <w:t xml:space="preserve"> </w:t>
            </w:r>
            <w:r w:rsidR="00FA7557" w:rsidRPr="00AB1936">
              <w:rPr>
                <w:rFonts w:ascii="Times New Roman" w:hAnsi="Times New Roman"/>
                <w:sz w:val="24"/>
                <w:szCs w:val="24"/>
              </w:rPr>
              <w:t xml:space="preserve">by </w:t>
            </w:r>
            <w:r w:rsidR="00B46BFD" w:rsidRPr="00AB1936">
              <w:rPr>
                <w:rFonts w:ascii="Times New Roman" w:hAnsi="Times New Roman"/>
                <w:sz w:val="24"/>
                <w:szCs w:val="24"/>
              </w:rPr>
              <w:t xml:space="preserve">the </w:t>
            </w:r>
            <w:r w:rsidR="00FA7557" w:rsidRPr="00AB1936">
              <w:rPr>
                <w:rFonts w:ascii="Times New Roman" w:hAnsi="Times New Roman"/>
                <w:sz w:val="24"/>
                <w:szCs w:val="24"/>
              </w:rPr>
              <w:t xml:space="preserve">date </w:t>
            </w:r>
            <w:r w:rsidR="00B46BFD" w:rsidRPr="00AB1936">
              <w:rPr>
                <w:rFonts w:ascii="Times New Roman" w:hAnsi="Times New Roman"/>
                <w:sz w:val="24"/>
                <w:szCs w:val="24"/>
              </w:rPr>
              <w:t xml:space="preserve">of accession. </w:t>
            </w:r>
            <w:bookmarkStart w:id="0" w:name="_Hlk173854938"/>
            <w:r w:rsidR="00B46BFD" w:rsidRPr="00AB1936">
              <w:rPr>
                <w:rFonts w:ascii="Times New Roman" w:hAnsi="Times New Roman"/>
                <w:sz w:val="24"/>
                <w:szCs w:val="24"/>
              </w:rPr>
              <w:t xml:space="preserve">This means applying the regulations </w:t>
            </w:r>
            <w:r w:rsidR="002A0342" w:rsidRPr="00AB1936">
              <w:rPr>
                <w:rFonts w:ascii="Times New Roman" w:hAnsi="Times New Roman"/>
                <w:sz w:val="24"/>
                <w:szCs w:val="24"/>
              </w:rPr>
              <w:t>on</w:t>
            </w:r>
            <w:r w:rsidR="00B46BFD" w:rsidRPr="00AB1936">
              <w:rPr>
                <w:rFonts w:ascii="Times New Roman" w:hAnsi="Times New Roman"/>
                <w:sz w:val="24"/>
                <w:szCs w:val="24"/>
              </w:rPr>
              <w:t xml:space="preserve"> EU </w:t>
            </w:r>
            <w:r w:rsidR="00FA7557" w:rsidRPr="00AB1936">
              <w:rPr>
                <w:rFonts w:ascii="Times New Roman" w:hAnsi="Times New Roman"/>
                <w:sz w:val="24"/>
                <w:szCs w:val="24"/>
              </w:rPr>
              <w:t>standards,</w:t>
            </w:r>
            <w:r w:rsidR="00B46BFD" w:rsidRPr="00AB1936">
              <w:rPr>
                <w:rFonts w:ascii="Times New Roman" w:hAnsi="Times New Roman"/>
                <w:sz w:val="24"/>
                <w:szCs w:val="24"/>
              </w:rPr>
              <w:t xml:space="preserve"> including those </w:t>
            </w:r>
            <w:r w:rsidR="002A0342" w:rsidRPr="00AB1936">
              <w:rPr>
                <w:rFonts w:ascii="Times New Roman" w:hAnsi="Times New Roman"/>
                <w:sz w:val="24"/>
                <w:szCs w:val="24"/>
              </w:rPr>
              <w:t>on</w:t>
            </w:r>
            <w:r w:rsidR="00B46BFD" w:rsidRPr="00AB1936">
              <w:rPr>
                <w:rFonts w:ascii="Times New Roman" w:hAnsi="Times New Roman"/>
                <w:sz w:val="24"/>
                <w:szCs w:val="24"/>
              </w:rPr>
              <w:t xml:space="preserve"> the environment</w:t>
            </w:r>
            <w:r w:rsidR="00FA7557" w:rsidRPr="00AB1936">
              <w:rPr>
                <w:rFonts w:ascii="Times New Roman" w:hAnsi="Times New Roman"/>
                <w:sz w:val="24"/>
                <w:szCs w:val="24"/>
              </w:rPr>
              <w:t>, climate</w:t>
            </w:r>
            <w:r w:rsidR="00691FD2" w:rsidRPr="00AB1936">
              <w:rPr>
                <w:rFonts w:ascii="Times New Roman" w:hAnsi="Times New Roman"/>
                <w:sz w:val="24"/>
                <w:szCs w:val="24"/>
              </w:rPr>
              <w:t xml:space="preserve"> </w:t>
            </w:r>
            <w:r w:rsidR="00FA7557" w:rsidRPr="00AB1936">
              <w:rPr>
                <w:rFonts w:ascii="Times New Roman" w:hAnsi="Times New Roman"/>
                <w:sz w:val="24"/>
                <w:szCs w:val="24"/>
              </w:rPr>
              <w:t>change mitigation,</w:t>
            </w:r>
            <w:r w:rsidR="00B46BFD" w:rsidRPr="00AB1936">
              <w:rPr>
                <w:rFonts w:ascii="Times New Roman" w:hAnsi="Times New Roman"/>
                <w:sz w:val="24"/>
                <w:szCs w:val="24"/>
              </w:rPr>
              <w:t xml:space="preserve"> food safety, animal welfare, and animal health.</w:t>
            </w:r>
            <w:bookmarkEnd w:id="0"/>
            <w:r w:rsidR="00DF7C59" w:rsidRPr="00AB1936">
              <w:rPr>
                <w:rFonts w:ascii="Times New Roman" w:hAnsi="Times New Roman"/>
                <w:sz w:val="24"/>
                <w:szCs w:val="24"/>
              </w:rPr>
              <w:t xml:space="preserve"> A range of EU policies relating to food</w:t>
            </w:r>
            <w:r w:rsidR="002E5632" w:rsidRPr="00AB1936">
              <w:rPr>
                <w:rFonts w:ascii="Times New Roman" w:hAnsi="Times New Roman"/>
                <w:sz w:val="24"/>
                <w:szCs w:val="24"/>
              </w:rPr>
              <w:t xml:space="preserve"> security</w:t>
            </w:r>
            <w:r w:rsidR="00DF7C59" w:rsidRPr="00AB1936">
              <w:rPr>
                <w:rFonts w:ascii="Times New Roman" w:hAnsi="Times New Roman"/>
                <w:sz w:val="24"/>
                <w:szCs w:val="24"/>
              </w:rPr>
              <w:t xml:space="preserve"> and other issues, including the </w:t>
            </w:r>
            <w:r w:rsidR="002A0342" w:rsidRPr="00AB1936">
              <w:rPr>
                <w:rFonts w:ascii="Times New Roman" w:hAnsi="Times New Roman"/>
                <w:sz w:val="24"/>
                <w:szCs w:val="24"/>
              </w:rPr>
              <w:t xml:space="preserve">common agricultural policy </w:t>
            </w:r>
            <w:r w:rsidR="00DB7D2F" w:rsidRPr="00AB1936">
              <w:rPr>
                <w:rFonts w:ascii="Times New Roman" w:hAnsi="Times New Roman"/>
                <w:sz w:val="24"/>
                <w:szCs w:val="24"/>
              </w:rPr>
              <w:t>(</w:t>
            </w:r>
            <w:r w:rsidR="002A0342" w:rsidRPr="00AB1936">
              <w:rPr>
                <w:rFonts w:ascii="Times New Roman" w:hAnsi="Times New Roman"/>
                <w:sz w:val="24"/>
                <w:szCs w:val="24"/>
              </w:rPr>
              <w:t>CAP)</w:t>
            </w:r>
            <w:r w:rsidR="00DF7C59" w:rsidRPr="00AB1936">
              <w:rPr>
                <w:rFonts w:ascii="Times New Roman" w:hAnsi="Times New Roman"/>
                <w:sz w:val="24"/>
                <w:szCs w:val="24"/>
              </w:rPr>
              <w:t>, will be relevant to the Commission’s announced pre-enlargement policy reviews.</w:t>
            </w:r>
          </w:p>
          <w:p w14:paraId="62E298C6" w14:textId="30CD6A5A" w:rsidR="00B46BFD" w:rsidRPr="00AB1936" w:rsidRDefault="00010221" w:rsidP="00AB1936">
            <w:pPr>
              <w:spacing w:before="120" w:after="120"/>
              <w:jc w:val="both"/>
              <w:rPr>
                <w:rFonts w:ascii="Times New Roman" w:hAnsi="Times New Roman"/>
                <w:sz w:val="24"/>
                <w:szCs w:val="24"/>
              </w:rPr>
            </w:pPr>
            <w:r w:rsidRPr="00AB1936">
              <w:rPr>
                <w:rFonts w:ascii="Times New Roman" w:hAnsi="Times New Roman"/>
                <w:sz w:val="24"/>
                <w:szCs w:val="24"/>
              </w:rPr>
              <w:t>E</w:t>
            </w:r>
            <w:r w:rsidR="007D632E" w:rsidRPr="00AB1936">
              <w:rPr>
                <w:rFonts w:ascii="Times New Roman" w:hAnsi="Times New Roman"/>
                <w:sz w:val="24"/>
                <w:szCs w:val="24"/>
              </w:rPr>
              <w:t xml:space="preserve">ach </w:t>
            </w:r>
            <w:r w:rsidRPr="00AB1936">
              <w:rPr>
                <w:rFonts w:ascii="Times New Roman" w:hAnsi="Times New Roman"/>
                <w:sz w:val="24"/>
                <w:szCs w:val="24"/>
              </w:rPr>
              <w:t xml:space="preserve">candidate </w:t>
            </w:r>
            <w:r w:rsidR="00FA7557" w:rsidRPr="00AB1936">
              <w:rPr>
                <w:rFonts w:ascii="Times New Roman" w:hAnsi="Times New Roman"/>
                <w:sz w:val="24"/>
                <w:szCs w:val="24"/>
              </w:rPr>
              <w:t>countr</w:t>
            </w:r>
            <w:r w:rsidR="007D632E" w:rsidRPr="00AB1936">
              <w:rPr>
                <w:rFonts w:ascii="Times New Roman" w:hAnsi="Times New Roman"/>
                <w:sz w:val="24"/>
                <w:szCs w:val="24"/>
              </w:rPr>
              <w:t>y</w:t>
            </w:r>
            <w:r w:rsidRPr="00AB1936">
              <w:rPr>
                <w:rFonts w:ascii="Times New Roman" w:hAnsi="Times New Roman"/>
                <w:sz w:val="24"/>
                <w:szCs w:val="24"/>
              </w:rPr>
              <w:t xml:space="preserve"> needs to be</w:t>
            </w:r>
            <w:r w:rsidR="00FA7557" w:rsidRPr="00AB1936">
              <w:rPr>
                <w:rFonts w:ascii="Times New Roman" w:hAnsi="Times New Roman"/>
                <w:sz w:val="24"/>
                <w:szCs w:val="24"/>
              </w:rPr>
              <w:t xml:space="preserve"> </w:t>
            </w:r>
            <w:r w:rsidR="00676665" w:rsidRPr="00AB1936">
              <w:rPr>
                <w:rFonts w:ascii="Times New Roman" w:hAnsi="Times New Roman"/>
                <w:sz w:val="24"/>
                <w:szCs w:val="24"/>
              </w:rPr>
              <w:t xml:space="preserve">well </w:t>
            </w:r>
            <w:r w:rsidR="002862EC" w:rsidRPr="00AB1936">
              <w:rPr>
                <w:rFonts w:ascii="Times New Roman" w:hAnsi="Times New Roman"/>
                <w:sz w:val="24"/>
                <w:szCs w:val="24"/>
              </w:rPr>
              <w:t>prepar</w:t>
            </w:r>
            <w:r w:rsidR="00FA7557" w:rsidRPr="00AB1936">
              <w:rPr>
                <w:rFonts w:ascii="Times New Roman" w:hAnsi="Times New Roman"/>
                <w:sz w:val="24"/>
                <w:szCs w:val="24"/>
              </w:rPr>
              <w:t xml:space="preserve">ed and </w:t>
            </w:r>
            <w:r w:rsidR="00B46BFD" w:rsidRPr="00AB1936">
              <w:rPr>
                <w:rFonts w:ascii="Times New Roman" w:hAnsi="Times New Roman"/>
                <w:sz w:val="24"/>
                <w:szCs w:val="24"/>
              </w:rPr>
              <w:t xml:space="preserve">ready to become </w:t>
            </w:r>
            <w:r w:rsidR="006C3BA5" w:rsidRPr="00AB1936">
              <w:rPr>
                <w:rFonts w:ascii="Times New Roman" w:hAnsi="Times New Roman"/>
                <w:sz w:val="24"/>
                <w:szCs w:val="24"/>
              </w:rPr>
              <w:t>M</w:t>
            </w:r>
            <w:r w:rsidR="00B46BFD" w:rsidRPr="00AB1936">
              <w:rPr>
                <w:rFonts w:ascii="Times New Roman" w:hAnsi="Times New Roman"/>
                <w:sz w:val="24"/>
                <w:szCs w:val="24"/>
              </w:rPr>
              <w:t xml:space="preserve">ember </w:t>
            </w:r>
            <w:r w:rsidR="006C3BA5" w:rsidRPr="00AB1936">
              <w:rPr>
                <w:rFonts w:ascii="Times New Roman" w:hAnsi="Times New Roman"/>
                <w:sz w:val="24"/>
                <w:szCs w:val="24"/>
              </w:rPr>
              <w:t>S</w:t>
            </w:r>
            <w:r w:rsidR="00FA7557" w:rsidRPr="00AB1936">
              <w:rPr>
                <w:rFonts w:ascii="Times New Roman" w:hAnsi="Times New Roman"/>
                <w:sz w:val="24"/>
                <w:szCs w:val="24"/>
              </w:rPr>
              <w:t xml:space="preserve">tate. </w:t>
            </w:r>
            <w:r w:rsidR="00FA74A4" w:rsidRPr="00AB1936">
              <w:rPr>
                <w:rFonts w:ascii="Times New Roman" w:hAnsi="Times New Roman"/>
                <w:sz w:val="24"/>
                <w:szCs w:val="24"/>
              </w:rPr>
              <w:t>The EU will continue to strengthen and intensify its support at all levels to the future EU members’ political, economic and social transformation, based on tangible progress on rule of law and socio-economic reforms, as well as on partners’ adherence to EU values</w:t>
            </w:r>
            <w:r w:rsidR="00FA62EF" w:rsidRPr="00AB1936">
              <w:rPr>
                <w:rFonts w:ascii="Times New Roman" w:hAnsi="Times New Roman"/>
                <w:sz w:val="24"/>
                <w:szCs w:val="24"/>
              </w:rPr>
              <w:t xml:space="preserve"> and</w:t>
            </w:r>
            <w:r w:rsidR="00FA74A4" w:rsidRPr="00AB1936">
              <w:rPr>
                <w:rFonts w:ascii="Times New Roman" w:hAnsi="Times New Roman"/>
                <w:sz w:val="24"/>
                <w:szCs w:val="24"/>
              </w:rPr>
              <w:t xml:space="preserve"> rule</w:t>
            </w:r>
            <w:r w:rsidR="00FA62EF" w:rsidRPr="00AB1936">
              <w:rPr>
                <w:rFonts w:ascii="Times New Roman" w:hAnsi="Times New Roman"/>
                <w:sz w:val="24"/>
                <w:szCs w:val="24"/>
              </w:rPr>
              <w:t>s</w:t>
            </w:r>
            <w:r w:rsidR="00FA74A4" w:rsidRPr="00AB1936">
              <w:rPr>
                <w:rFonts w:ascii="Times New Roman" w:hAnsi="Times New Roman"/>
                <w:sz w:val="24"/>
                <w:szCs w:val="24"/>
              </w:rPr>
              <w:t xml:space="preserve">. </w:t>
            </w:r>
            <w:r w:rsidR="00691FD2" w:rsidRPr="00AB1936">
              <w:rPr>
                <w:rFonts w:ascii="Times New Roman" w:hAnsi="Times New Roman"/>
                <w:sz w:val="24"/>
                <w:szCs w:val="24"/>
              </w:rPr>
              <w:t>EU financial pre-accession support and c</w:t>
            </w:r>
            <w:r w:rsidR="00676665" w:rsidRPr="00AB1936">
              <w:rPr>
                <w:rFonts w:ascii="Times New Roman" w:hAnsi="Times New Roman"/>
                <w:sz w:val="24"/>
                <w:szCs w:val="24"/>
              </w:rPr>
              <w:t xml:space="preserve">omprehensive data </w:t>
            </w:r>
            <w:r w:rsidR="00425034" w:rsidRPr="00AB1936">
              <w:rPr>
                <w:rFonts w:ascii="Times New Roman" w:hAnsi="Times New Roman"/>
                <w:sz w:val="24"/>
                <w:szCs w:val="24"/>
              </w:rPr>
              <w:t>to feed policy</w:t>
            </w:r>
            <w:r w:rsidR="00691FD2" w:rsidRPr="00AB1936">
              <w:rPr>
                <w:rFonts w:ascii="Times New Roman" w:hAnsi="Times New Roman"/>
                <w:sz w:val="24"/>
                <w:szCs w:val="24"/>
              </w:rPr>
              <w:t>-</w:t>
            </w:r>
            <w:r w:rsidR="00425034" w:rsidRPr="00AB1936">
              <w:rPr>
                <w:rFonts w:ascii="Times New Roman" w:hAnsi="Times New Roman"/>
                <w:sz w:val="24"/>
                <w:szCs w:val="24"/>
              </w:rPr>
              <w:t xml:space="preserve">making </w:t>
            </w:r>
            <w:r w:rsidR="00FA7557" w:rsidRPr="00AB1936">
              <w:rPr>
                <w:rFonts w:ascii="Times New Roman" w:hAnsi="Times New Roman"/>
                <w:sz w:val="24"/>
                <w:szCs w:val="24"/>
              </w:rPr>
              <w:t>will be key</w:t>
            </w:r>
            <w:r w:rsidRPr="00AB1936">
              <w:rPr>
                <w:rFonts w:ascii="Times New Roman" w:hAnsi="Times New Roman"/>
                <w:sz w:val="24"/>
                <w:szCs w:val="24"/>
              </w:rPr>
              <w:t>.</w:t>
            </w:r>
          </w:p>
          <w:p w14:paraId="49A54A51" w14:textId="094850E1" w:rsidR="005736FF" w:rsidRPr="00AB1936" w:rsidRDefault="005736FF" w:rsidP="00AB1936">
            <w:pPr>
              <w:spacing w:before="120" w:after="120"/>
              <w:jc w:val="both"/>
              <w:rPr>
                <w:rFonts w:ascii="Times New Roman" w:hAnsi="Times New Roman"/>
                <w:i/>
                <w:iCs/>
                <w:sz w:val="24"/>
                <w:szCs w:val="24"/>
              </w:rPr>
            </w:pPr>
            <w:r w:rsidRPr="00AB1936">
              <w:rPr>
                <w:rFonts w:ascii="Times New Roman" w:hAnsi="Times New Roman"/>
                <w:i/>
                <w:iCs/>
                <w:sz w:val="24"/>
                <w:szCs w:val="24"/>
              </w:rPr>
              <w:t>Variety of EU candidate countries</w:t>
            </w:r>
          </w:p>
          <w:p w14:paraId="2A0BD17A" w14:textId="5375BC49" w:rsidR="00B46BFD" w:rsidRPr="00AB1936" w:rsidRDefault="005704FF" w:rsidP="00AB1936">
            <w:pPr>
              <w:spacing w:before="120" w:after="120"/>
              <w:jc w:val="both"/>
              <w:rPr>
                <w:rFonts w:ascii="Times New Roman" w:hAnsi="Times New Roman"/>
                <w:sz w:val="24"/>
                <w:szCs w:val="24"/>
              </w:rPr>
            </w:pPr>
            <w:r w:rsidRPr="00AB1936">
              <w:rPr>
                <w:rFonts w:ascii="Times New Roman" w:hAnsi="Times New Roman"/>
                <w:sz w:val="24"/>
                <w:szCs w:val="24"/>
              </w:rPr>
              <w:t xml:space="preserve">The </w:t>
            </w:r>
            <w:r w:rsidR="003A4CED" w:rsidRPr="00AB1936">
              <w:rPr>
                <w:rFonts w:ascii="Times New Roman" w:hAnsi="Times New Roman"/>
                <w:sz w:val="24"/>
                <w:szCs w:val="24"/>
              </w:rPr>
              <w:t xml:space="preserve">opinion </w:t>
            </w:r>
            <w:r w:rsidR="00B46BFD" w:rsidRPr="00AB1936">
              <w:rPr>
                <w:rFonts w:ascii="Times New Roman" w:hAnsi="Times New Roman"/>
                <w:sz w:val="24"/>
                <w:szCs w:val="24"/>
              </w:rPr>
              <w:t xml:space="preserve">underlines that </w:t>
            </w:r>
            <w:r w:rsidR="002E12A2" w:rsidRPr="00AB1936">
              <w:rPr>
                <w:rFonts w:ascii="Times New Roman" w:hAnsi="Times New Roman"/>
                <w:sz w:val="24"/>
                <w:szCs w:val="24"/>
              </w:rPr>
              <w:t xml:space="preserve">in previous </w:t>
            </w:r>
            <w:r w:rsidR="00B46BFD" w:rsidRPr="00AB1936">
              <w:rPr>
                <w:rFonts w:ascii="Times New Roman" w:hAnsi="Times New Roman"/>
                <w:sz w:val="24"/>
                <w:szCs w:val="24"/>
              </w:rPr>
              <w:t>enlargement</w:t>
            </w:r>
            <w:r w:rsidR="002E12A2" w:rsidRPr="00AB1936">
              <w:rPr>
                <w:rFonts w:ascii="Times New Roman" w:hAnsi="Times New Roman"/>
                <w:sz w:val="24"/>
                <w:szCs w:val="24"/>
              </w:rPr>
              <w:t>s</w:t>
            </w:r>
            <w:r w:rsidR="00B46BFD" w:rsidRPr="00AB1936">
              <w:rPr>
                <w:rFonts w:ascii="Times New Roman" w:hAnsi="Times New Roman"/>
                <w:sz w:val="24"/>
                <w:szCs w:val="24"/>
              </w:rPr>
              <w:t xml:space="preserve"> </w:t>
            </w:r>
            <w:r w:rsidR="002E12A2" w:rsidRPr="00AB1936">
              <w:rPr>
                <w:rFonts w:ascii="Times New Roman" w:hAnsi="Times New Roman"/>
                <w:sz w:val="24"/>
                <w:szCs w:val="24"/>
              </w:rPr>
              <w:t xml:space="preserve">there were not only </w:t>
            </w:r>
            <w:r w:rsidR="00B46BFD" w:rsidRPr="00AB1936">
              <w:rPr>
                <w:rFonts w:ascii="Times New Roman" w:hAnsi="Times New Roman"/>
                <w:sz w:val="24"/>
                <w:szCs w:val="24"/>
              </w:rPr>
              <w:t>winners</w:t>
            </w:r>
            <w:r w:rsidR="00691FD2" w:rsidRPr="00AB1936">
              <w:rPr>
                <w:rFonts w:ascii="Times New Roman" w:hAnsi="Times New Roman"/>
                <w:sz w:val="24"/>
                <w:szCs w:val="24"/>
              </w:rPr>
              <w:t xml:space="preserve">: </w:t>
            </w:r>
            <w:r w:rsidR="00B46BFD" w:rsidRPr="00AB1936">
              <w:rPr>
                <w:rFonts w:ascii="Times New Roman" w:hAnsi="Times New Roman"/>
                <w:sz w:val="24"/>
                <w:szCs w:val="24"/>
              </w:rPr>
              <w:t>family farms and small agri-</w:t>
            </w:r>
            <w:r w:rsidR="00691FD2" w:rsidRPr="00AB1936">
              <w:rPr>
                <w:rFonts w:ascii="Times New Roman" w:hAnsi="Times New Roman"/>
                <w:sz w:val="24"/>
                <w:szCs w:val="24"/>
              </w:rPr>
              <w:t xml:space="preserve">food </w:t>
            </w:r>
            <w:r w:rsidR="00B46BFD" w:rsidRPr="00AB1936">
              <w:rPr>
                <w:rFonts w:ascii="Times New Roman" w:hAnsi="Times New Roman"/>
                <w:sz w:val="24"/>
                <w:szCs w:val="24"/>
              </w:rPr>
              <w:t xml:space="preserve">producers </w:t>
            </w:r>
            <w:r w:rsidR="007D632E" w:rsidRPr="00AB1936">
              <w:rPr>
                <w:rFonts w:ascii="Times New Roman" w:hAnsi="Times New Roman"/>
                <w:sz w:val="24"/>
                <w:szCs w:val="24"/>
              </w:rPr>
              <w:t xml:space="preserve">in particular </w:t>
            </w:r>
            <w:r w:rsidR="00691FD2" w:rsidRPr="00AB1936">
              <w:rPr>
                <w:rFonts w:ascii="Times New Roman" w:hAnsi="Times New Roman"/>
                <w:sz w:val="24"/>
                <w:szCs w:val="24"/>
              </w:rPr>
              <w:t xml:space="preserve">may see their </w:t>
            </w:r>
            <w:r w:rsidR="00B46BFD" w:rsidRPr="00AB1936">
              <w:rPr>
                <w:rFonts w:ascii="Times New Roman" w:hAnsi="Times New Roman"/>
                <w:sz w:val="24"/>
                <w:szCs w:val="24"/>
              </w:rPr>
              <w:t xml:space="preserve">livelihoods challenged both in the EU and the candidate countries. </w:t>
            </w:r>
            <w:r w:rsidRPr="00AB1936">
              <w:rPr>
                <w:rFonts w:ascii="Times New Roman" w:hAnsi="Times New Roman"/>
                <w:sz w:val="24"/>
                <w:szCs w:val="24"/>
              </w:rPr>
              <w:t xml:space="preserve">The Commission agrees that </w:t>
            </w:r>
            <w:r w:rsidR="009D0BB6" w:rsidRPr="00AB1936">
              <w:rPr>
                <w:rFonts w:ascii="Times New Roman" w:hAnsi="Times New Roman"/>
                <w:sz w:val="24"/>
                <w:szCs w:val="24"/>
              </w:rPr>
              <w:t>th</w:t>
            </w:r>
            <w:r w:rsidR="007560F6" w:rsidRPr="00AB1936">
              <w:rPr>
                <w:rFonts w:ascii="Times New Roman" w:hAnsi="Times New Roman"/>
                <w:sz w:val="24"/>
                <w:szCs w:val="24"/>
              </w:rPr>
              <w:t xml:space="preserve">e economic viability </w:t>
            </w:r>
            <w:r w:rsidRPr="00AB1936">
              <w:rPr>
                <w:rFonts w:ascii="Times New Roman" w:hAnsi="Times New Roman"/>
                <w:sz w:val="24"/>
                <w:szCs w:val="24"/>
              </w:rPr>
              <w:t xml:space="preserve">of those producers should be addressed </w:t>
            </w:r>
            <w:r w:rsidR="007560F6" w:rsidRPr="00AB1936">
              <w:rPr>
                <w:rFonts w:ascii="Times New Roman" w:hAnsi="Times New Roman"/>
                <w:sz w:val="24"/>
                <w:szCs w:val="24"/>
              </w:rPr>
              <w:t>as a</w:t>
            </w:r>
            <w:r w:rsidR="002E12A2" w:rsidRPr="00AB1936">
              <w:rPr>
                <w:rFonts w:ascii="Times New Roman" w:hAnsi="Times New Roman"/>
                <w:sz w:val="24"/>
                <w:szCs w:val="24"/>
              </w:rPr>
              <w:t xml:space="preserve"> very important </w:t>
            </w:r>
            <w:r w:rsidR="007560F6" w:rsidRPr="00AB1936">
              <w:rPr>
                <w:rFonts w:ascii="Times New Roman" w:hAnsi="Times New Roman"/>
                <w:sz w:val="24"/>
                <w:szCs w:val="24"/>
              </w:rPr>
              <w:t xml:space="preserve">element </w:t>
            </w:r>
            <w:r w:rsidR="002E12A2" w:rsidRPr="00AB1936">
              <w:rPr>
                <w:rFonts w:ascii="Times New Roman" w:hAnsi="Times New Roman"/>
                <w:sz w:val="24"/>
                <w:szCs w:val="24"/>
              </w:rPr>
              <w:t xml:space="preserve">of </w:t>
            </w:r>
            <w:r w:rsidR="007560F6" w:rsidRPr="00AB1936">
              <w:rPr>
                <w:rFonts w:ascii="Times New Roman" w:hAnsi="Times New Roman"/>
                <w:sz w:val="24"/>
                <w:szCs w:val="24"/>
              </w:rPr>
              <w:t>the sustainable development of agriculture and rural areas.</w:t>
            </w:r>
            <w:r w:rsidR="002B374F" w:rsidRPr="00AB1936">
              <w:rPr>
                <w:rFonts w:ascii="Times New Roman" w:hAnsi="Times New Roman"/>
                <w:sz w:val="24"/>
                <w:szCs w:val="24"/>
              </w:rPr>
              <w:t xml:space="preserve"> </w:t>
            </w:r>
            <w:r w:rsidR="00E053FC" w:rsidRPr="00AB1936">
              <w:rPr>
                <w:rFonts w:ascii="Times New Roman" w:hAnsi="Times New Roman"/>
                <w:sz w:val="24"/>
                <w:szCs w:val="24"/>
              </w:rPr>
              <w:t>Policy reviews in view of e</w:t>
            </w:r>
            <w:r w:rsidR="002B374F" w:rsidRPr="00AB1936">
              <w:rPr>
                <w:rFonts w:ascii="Times New Roman" w:hAnsi="Times New Roman"/>
                <w:sz w:val="24"/>
                <w:szCs w:val="24"/>
              </w:rPr>
              <w:t>nlargement</w:t>
            </w:r>
            <w:r w:rsidR="00E053FC" w:rsidRPr="00AB1936">
              <w:rPr>
                <w:rFonts w:ascii="Times New Roman" w:hAnsi="Times New Roman"/>
                <w:sz w:val="24"/>
                <w:szCs w:val="24"/>
              </w:rPr>
              <w:t>, focussing among others on food security and territorial convergence,</w:t>
            </w:r>
            <w:r w:rsidR="002B374F" w:rsidRPr="00AB1936">
              <w:rPr>
                <w:rFonts w:ascii="Times New Roman" w:hAnsi="Times New Roman"/>
                <w:sz w:val="24"/>
                <w:szCs w:val="24"/>
              </w:rPr>
              <w:t xml:space="preserve"> will be </w:t>
            </w:r>
            <w:r w:rsidR="00E053FC" w:rsidRPr="00AB1936">
              <w:rPr>
                <w:rFonts w:ascii="Times New Roman" w:hAnsi="Times New Roman"/>
                <w:sz w:val="24"/>
                <w:szCs w:val="24"/>
              </w:rPr>
              <w:t xml:space="preserve">undertaken </w:t>
            </w:r>
            <w:r w:rsidR="002B374F" w:rsidRPr="00AB1936">
              <w:rPr>
                <w:rFonts w:ascii="Times New Roman" w:hAnsi="Times New Roman"/>
                <w:sz w:val="24"/>
                <w:szCs w:val="24"/>
              </w:rPr>
              <w:t xml:space="preserve">in the first 100 days of the </w:t>
            </w:r>
            <w:r w:rsidR="003A4CED" w:rsidRPr="00AB1936">
              <w:rPr>
                <w:rFonts w:ascii="Times New Roman" w:hAnsi="Times New Roman"/>
                <w:sz w:val="24"/>
                <w:szCs w:val="24"/>
              </w:rPr>
              <w:t>v</w:t>
            </w:r>
            <w:r w:rsidR="002B374F" w:rsidRPr="00AB1936">
              <w:rPr>
                <w:rFonts w:ascii="Times New Roman" w:hAnsi="Times New Roman"/>
                <w:sz w:val="24"/>
                <w:szCs w:val="24"/>
              </w:rPr>
              <w:t xml:space="preserve">on der Leyen </w:t>
            </w:r>
            <w:r w:rsidR="003A4CED" w:rsidRPr="00AB1936">
              <w:rPr>
                <w:rFonts w:ascii="Times New Roman" w:hAnsi="Times New Roman"/>
                <w:sz w:val="24"/>
                <w:szCs w:val="24"/>
              </w:rPr>
              <w:t xml:space="preserve">II </w:t>
            </w:r>
            <w:r w:rsidR="002B374F" w:rsidRPr="00AB1936">
              <w:rPr>
                <w:rFonts w:ascii="Times New Roman" w:hAnsi="Times New Roman"/>
                <w:sz w:val="24"/>
                <w:szCs w:val="24"/>
              </w:rPr>
              <w:t>Commission.</w:t>
            </w:r>
          </w:p>
          <w:p w14:paraId="77BE9A95" w14:textId="66C52232" w:rsidR="00691FD2" w:rsidRPr="00AB1936" w:rsidRDefault="005704FF" w:rsidP="00AB1936">
            <w:pPr>
              <w:spacing w:before="120" w:after="120"/>
              <w:jc w:val="both"/>
              <w:rPr>
                <w:rFonts w:ascii="Times New Roman" w:hAnsi="Times New Roman"/>
                <w:sz w:val="24"/>
                <w:szCs w:val="24"/>
                <w:lang w:val="en-US"/>
              </w:rPr>
            </w:pPr>
            <w:r w:rsidRPr="00AB1936">
              <w:rPr>
                <w:rFonts w:ascii="Times New Roman" w:hAnsi="Times New Roman"/>
                <w:sz w:val="24"/>
                <w:szCs w:val="24"/>
              </w:rPr>
              <w:t xml:space="preserve">The Commission </w:t>
            </w:r>
            <w:r w:rsidR="00B46BFD" w:rsidRPr="00AB1936">
              <w:rPr>
                <w:rFonts w:ascii="Times New Roman" w:hAnsi="Times New Roman"/>
                <w:sz w:val="24"/>
                <w:szCs w:val="24"/>
              </w:rPr>
              <w:t>concurs with the view that enlargement</w:t>
            </w:r>
            <w:r w:rsidR="00E33A21" w:rsidRPr="00AB1936">
              <w:rPr>
                <w:rFonts w:ascii="Times New Roman" w:hAnsi="Times New Roman"/>
                <w:sz w:val="24"/>
                <w:szCs w:val="24"/>
              </w:rPr>
              <w:t>, especially in case of Ukraine,</w:t>
            </w:r>
            <w:r w:rsidR="00B46BFD" w:rsidRPr="00AB1936">
              <w:rPr>
                <w:rFonts w:ascii="Times New Roman" w:hAnsi="Times New Roman"/>
                <w:sz w:val="24"/>
                <w:szCs w:val="24"/>
              </w:rPr>
              <w:t xml:space="preserve"> increases the EU’s strategic autonomy </w:t>
            </w:r>
            <w:r w:rsidR="00A51B22" w:rsidRPr="00AB1936">
              <w:rPr>
                <w:rFonts w:ascii="Times New Roman" w:hAnsi="Times New Roman"/>
                <w:sz w:val="24"/>
                <w:szCs w:val="24"/>
              </w:rPr>
              <w:t xml:space="preserve">(e.g. in feed grains and vegetable protein) </w:t>
            </w:r>
            <w:r w:rsidR="00B46BFD" w:rsidRPr="00AB1936">
              <w:rPr>
                <w:rFonts w:ascii="Times New Roman" w:hAnsi="Times New Roman"/>
                <w:sz w:val="24"/>
                <w:szCs w:val="24"/>
              </w:rPr>
              <w:t xml:space="preserve">as well as offering opportunities for </w:t>
            </w:r>
            <w:r w:rsidR="00691FD2" w:rsidRPr="00AB1936">
              <w:rPr>
                <w:rFonts w:ascii="Times New Roman" w:hAnsi="Times New Roman"/>
                <w:sz w:val="24"/>
                <w:szCs w:val="24"/>
              </w:rPr>
              <w:t xml:space="preserve">the </w:t>
            </w:r>
            <w:r w:rsidR="00B46BFD" w:rsidRPr="00AB1936">
              <w:rPr>
                <w:rFonts w:ascii="Times New Roman" w:hAnsi="Times New Roman"/>
                <w:sz w:val="24"/>
                <w:szCs w:val="24"/>
              </w:rPr>
              <w:t xml:space="preserve">bio-economy, with beneficial effects on the environment. It will </w:t>
            </w:r>
            <w:r w:rsidR="005F629E" w:rsidRPr="00AB1936">
              <w:rPr>
                <w:rFonts w:ascii="Times New Roman" w:hAnsi="Times New Roman"/>
                <w:sz w:val="24"/>
                <w:szCs w:val="24"/>
              </w:rPr>
              <w:t xml:space="preserve">reinforce </w:t>
            </w:r>
            <w:r w:rsidR="00B46BFD" w:rsidRPr="00AB1936">
              <w:rPr>
                <w:rFonts w:ascii="Times New Roman" w:hAnsi="Times New Roman"/>
                <w:sz w:val="24"/>
                <w:szCs w:val="24"/>
              </w:rPr>
              <w:t xml:space="preserve">the role of the EU </w:t>
            </w:r>
            <w:r w:rsidR="0073435F" w:rsidRPr="00AB1936">
              <w:rPr>
                <w:rFonts w:ascii="Times New Roman" w:hAnsi="Times New Roman"/>
                <w:sz w:val="24"/>
                <w:szCs w:val="24"/>
              </w:rPr>
              <w:t xml:space="preserve">in </w:t>
            </w:r>
            <w:r w:rsidR="00676665" w:rsidRPr="00AB1936">
              <w:rPr>
                <w:rFonts w:ascii="Times New Roman" w:hAnsi="Times New Roman"/>
                <w:sz w:val="24"/>
                <w:szCs w:val="24"/>
              </w:rPr>
              <w:t xml:space="preserve">addressing </w:t>
            </w:r>
            <w:r w:rsidR="00B46BFD" w:rsidRPr="00AB1936">
              <w:rPr>
                <w:rFonts w:ascii="Times New Roman" w:hAnsi="Times New Roman"/>
                <w:sz w:val="24"/>
                <w:szCs w:val="24"/>
              </w:rPr>
              <w:t>global food security</w:t>
            </w:r>
            <w:r w:rsidR="00425034" w:rsidRPr="00AB1936">
              <w:rPr>
                <w:rFonts w:ascii="Times New Roman" w:hAnsi="Times New Roman"/>
                <w:sz w:val="24"/>
                <w:szCs w:val="24"/>
              </w:rPr>
              <w:t xml:space="preserve"> challenges</w:t>
            </w:r>
            <w:r w:rsidR="00B46BFD" w:rsidRPr="00AB1936">
              <w:rPr>
                <w:rFonts w:ascii="Times New Roman" w:hAnsi="Times New Roman"/>
                <w:sz w:val="24"/>
                <w:szCs w:val="24"/>
              </w:rPr>
              <w:t>.</w:t>
            </w:r>
          </w:p>
          <w:p w14:paraId="01DCE3B8" w14:textId="33BDC4A9" w:rsidR="00222F70" w:rsidRPr="00AB1936" w:rsidRDefault="00222CAC" w:rsidP="00AB1936">
            <w:pPr>
              <w:spacing w:before="120" w:after="120"/>
              <w:jc w:val="both"/>
              <w:rPr>
                <w:rFonts w:ascii="Times New Roman" w:hAnsi="Times New Roman"/>
                <w:sz w:val="24"/>
                <w:szCs w:val="24"/>
              </w:rPr>
            </w:pPr>
            <w:r w:rsidRPr="00AB1936">
              <w:rPr>
                <w:rFonts w:ascii="Times New Roman" w:hAnsi="Times New Roman"/>
                <w:sz w:val="24"/>
                <w:szCs w:val="24"/>
              </w:rPr>
              <w:lastRenderedPageBreak/>
              <w:t>The</w:t>
            </w:r>
            <w:r w:rsidR="005704FF" w:rsidRPr="00AB1936">
              <w:rPr>
                <w:rFonts w:ascii="Times New Roman" w:hAnsi="Times New Roman"/>
                <w:sz w:val="24"/>
                <w:szCs w:val="24"/>
              </w:rPr>
              <w:t>re are</w:t>
            </w:r>
            <w:r w:rsidRPr="00AB1936">
              <w:rPr>
                <w:rFonts w:ascii="Times New Roman" w:hAnsi="Times New Roman"/>
                <w:sz w:val="24"/>
                <w:szCs w:val="24"/>
              </w:rPr>
              <w:t xml:space="preserve"> many different candidate countries, each </w:t>
            </w:r>
            <w:r w:rsidR="005704FF" w:rsidRPr="00AB1936">
              <w:rPr>
                <w:rFonts w:ascii="Times New Roman" w:hAnsi="Times New Roman"/>
                <w:sz w:val="24"/>
                <w:szCs w:val="24"/>
              </w:rPr>
              <w:t xml:space="preserve">with </w:t>
            </w:r>
            <w:r w:rsidRPr="00AB1936">
              <w:rPr>
                <w:rFonts w:ascii="Times New Roman" w:hAnsi="Times New Roman"/>
                <w:sz w:val="24"/>
                <w:szCs w:val="24"/>
              </w:rPr>
              <w:t xml:space="preserve">their own </w:t>
            </w:r>
            <w:r w:rsidR="00691FD2" w:rsidRPr="00AB1936">
              <w:rPr>
                <w:rFonts w:ascii="Times New Roman" w:hAnsi="Times New Roman"/>
                <w:sz w:val="24"/>
                <w:szCs w:val="24"/>
              </w:rPr>
              <w:t xml:space="preserve">particular features. </w:t>
            </w:r>
            <w:r w:rsidR="006C58A3" w:rsidRPr="00AB1936">
              <w:rPr>
                <w:rFonts w:ascii="Times New Roman" w:hAnsi="Times New Roman"/>
                <w:sz w:val="24"/>
                <w:szCs w:val="24"/>
              </w:rPr>
              <w:t xml:space="preserve">In addition to Ukraine’s larger farms, it also </w:t>
            </w:r>
            <w:r w:rsidR="006C3BA5" w:rsidRPr="00AB1936">
              <w:rPr>
                <w:rFonts w:ascii="Times New Roman" w:hAnsi="Times New Roman"/>
                <w:sz w:val="24"/>
                <w:szCs w:val="24"/>
              </w:rPr>
              <w:t>includ</w:t>
            </w:r>
            <w:r w:rsidR="006C58A3" w:rsidRPr="00AB1936">
              <w:rPr>
                <w:rFonts w:ascii="Times New Roman" w:hAnsi="Times New Roman"/>
                <w:sz w:val="24"/>
                <w:szCs w:val="24"/>
              </w:rPr>
              <w:t>es</w:t>
            </w:r>
            <w:r w:rsidR="006C3BA5" w:rsidRPr="00AB1936">
              <w:rPr>
                <w:rFonts w:ascii="Times New Roman" w:hAnsi="Times New Roman"/>
                <w:sz w:val="24"/>
                <w:szCs w:val="24"/>
              </w:rPr>
              <w:t xml:space="preserve"> a high </w:t>
            </w:r>
            <w:r w:rsidR="005704FF" w:rsidRPr="00AB1936">
              <w:rPr>
                <w:rFonts w:ascii="Times New Roman" w:hAnsi="Times New Roman"/>
                <w:sz w:val="24"/>
                <w:szCs w:val="24"/>
              </w:rPr>
              <w:t>number of small-scale farms</w:t>
            </w:r>
            <w:r w:rsidR="006C58A3" w:rsidRPr="00AB1936">
              <w:rPr>
                <w:rFonts w:ascii="Times New Roman" w:hAnsi="Times New Roman"/>
                <w:sz w:val="24"/>
                <w:szCs w:val="24"/>
              </w:rPr>
              <w:t>. Like the relatively small-scale farmers in the Western Balkans, these will also face challenges in a more competitive environment.</w:t>
            </w:r>
            <w:r w:rsidR="005704FF" w:rsidRPr="00AB1936">
              <w:rPr>
                <w:rFonts w:ascii="Times New Roman" w:hAnsi="Times New Roman"/>
                <w:sz w:val="24"/>
                <w:szCs w:val="24"/>
              </w:rPr>
              <w:t xml:space="preserve"> </w:t>
            </w:r>
            <w:r w:rsidR="002E12A2" w:rsidRPr="00AB1936">
              <w:rPr>
                <w:rFonts w:ascii="Times New Roman" w:hAnsi="Times New Roman"/>
                <w:sz w:val="24"/>
                <w:szCs w:val="24"/>
              </w:rPr>
              <w:t xml:space="preserve">It will be important to accompany the transition process of agriculture and rural areas in </w:t>
            </w:r>
            <w:r w:rsidR="00A51B22" w:rsidRPr="00AB1936">
              <w:rPr>
                <w:rFonts w:ascii="Times New Roman" w:hAnsi="Times New Roman"/>
                <w:sz w:val="24"/>
                <w:szCs w:val="24"/>
              </w:rPr>
              <w:t>the enlarged Union through application and where necessary reform of EU policies.</w:t>
            </w:r>
          </w:p>
          <w:p w14:paraId="04F42226" w14:textId="77777777" w:rsidR="00222F70" w:rsidRPr="00AB1936" w:rsidRDefault="00222F70" w:rsidP="00AB1936">
            <w:pPr>
              <w:pStyle w:val="Heading2"/>
              <w:keepNext/>
              <w:keepLines/>
              <w:numPr>
                <w:ilvl w:val="0"/>
                <w:numId w:val="0"/>
              </w:numPr>
              <w:spacing w:before="120" w:after="120" w:line="276" w:lineRule="auto"/>
              <w:ind w:hanging="567"/>
              <w:rPr>
                <w:i/>
                <w:sz w:val="24"/>
                <w:szCs w:val="24"/>
                <w:lang w:val="en-GB"/>
              </w:rPr>
            </w:pPr>
            <w:r w:rsidRPr="00AB1936">
              <w:rPr>
                <w:i/>
                <w:sz w:val="24"/>
                <w:szCs w:val="24"/>
                <w:lang w:val="en-GB"/>
              </w:rPr>
              <w:t>Economic sustainability</w:t>
            </w:r>
          </w:p>
          <w:p w14:paraId="4BFAB530" w14:textId="2C93F931" w:rsidR="009F4C24" w:rsidRPr="00AF76BF" w:rsidRDefault="005704FF" w:rsidP="00AB1936">
            <w:pPr>
              <w:spacing w:before="120" w:after="120"/>
              <w:jc w:val="both"/>
              <w:rPr>
                <w:rFonts w:ascii="Times New Roman" w:hAnsi="Times New Roman"/>
                <w:vanish/>
                <w:sz w:val="24"/>
                <w:szCs w:val="24"/>
                <w:lang w:val="en-US"/>
                <w:specVanish/>
              </w:rPr>
            </w:pPr>
            <w:r w:rsidRPr="00AB1936">
              <w:rPr>
                <w:rFonts w:ascii="Times New Roman" w:hAnsi="Times New Roman"/>
                <w:sz w:val="24"/>
                <w:szCs w:val="24"/>
              </w:rPr>
              <w:t>The Commission shares the view that f</w:t>
            </w:r>
            <w:r w:rsidR="009E6EAC" w:rsidRPr="00AB1936">
              <w:rPr>
                <w:rFonts w:ascii="Times New Roman" w:hAnsi="Times New Roman"/>
                <w:sz w:val="24"/>
                <w:szCs w:val="24"/>
              </w:rPr>
              <w:t xml:space="preserve">or farmers to keep farming, they have to earn </w:t>
            </w:r>
            <w:r w:rsidR="000624B1" w:rsidRPr="00AB1936">
              <w:rPr>
                <w:rFonts w:ascii="Times New Roman" w:hAnsi="Times New Roman"/>
                <w:sz w:val="24"/>
                <w:szCs w:val="24"/>
              </w:rPr>
              <w:t xml:space="preserve">first and foremost </w:t>
            </w:r>
            <w:r w:rsidR="009E6EAC" w:rsidRPr="00AB1936">
              <w:rPr>
                <w:rFonts w:ascii="Times New Roman" w:hAnsi="Times New Roman"/>
                <w:sz w:val="24"/>
                <w:szCs w:val="24"/>
              </w:rPr>
              <w:t>enough income from their activitie</w:t>
            </w:r>
            <w:r w:rsidR="000624B1" w:rsidRPr="00AB1936">
              <w:rPr>
                <w:rFonts w:ascii="Times New Roman" w:hAnsi="Times New Roman"/>
                <w:sz w:val="24"/>
                <w:szCs w:val="24"/>
              </w:rPr>
              <w:t>s</w:t>
            </w:r>
            <w:r w:rsidR="009E6EAC" w:rsidRPr="00AB1936">
              <w:rPr>
                <w:rFonts w:ascii="Times New Roman" w:hAnsi="Times New Roman"/>
                <w:sz w:val="24"/>
                <w:szCs w:val="24"/>
              </w:rPr>
              <w:t>. Special attention is needed for small farmers, family farmers and farmers in disadvantaged areas. Differences in competitiveness need to be addressed</w:t>
            </w:r>
            <w:r w:rsidR="00007BE4" w:rsidRPr="00AB1936">
              <w:rPr>
                <w:rFonts w:ascii="Times New Roman" w:hAnsi="Times New Roman"/>
                <w:sz w:val="24"/>
                <w:szCs w:val="24"/>
              </w:rPr>
              <w:t xml:space="preserve"> and managed in a</w:t>
            </w:r>
            <w:r w:rsidR="00AF76BF">
              <w:rPr>
                <w:rFonts w:ascii="Times New Roman" w:hAnsi="Times New Roman"/>
                <w:sz w:val="24"/>
                <w:szCs w:val="24"/>
              </w:rPr>
              <w:t> </w:t>
            </w:r>
            <w:r w:rsidR="00007BE4" w:rsidRPr="00AB1936">
              <w:rPr>
                <w:rFonts w:ascii="Times New Roman" w:hAnsi="Times New Roman"/>
                <w:sz w:val="24"/>
                <w:szCs w:val="24"/>
              </w:rPr>
              <w:t>balanced and sustainable manner</w:t>
            </w:r>
            <w:r w:rsidR="009E6EAC" w:rsidRPr="00AB1936">
              <w:rPr>
                <w:rFonts w:ascii="Times New Roman" w:hAnsi="Times New Roman"/>
                <w:sz w:val="24"/>
                <w:szCs w:val="24"/>
              </w:rPr>
              <w:t xml:space="preserve">. </w:t>
            </w:r>
            <w:r w:rsidR="00C61F76" w:rsidRPr="00AB1936">
              <w:rPr>
                <w:rFonts w:ascii="Times New Roman" w:hAnsi="Times New Roman"/>
                <w:sz w:val="24"/>
                <w:szCs w:val="24"/>
              </w:rPr>
              <w:t xml:space="preserve">Degressive payments and capping have featured in all recent CAP reform proposals and increases of direct payments for the first hectares is standing policy. </w:t>
            </w:r>
          </w:p>
          <w:p w14:paraId="269B8EA0" w14:textId="122E61D6" w:rsidR="005704FF" w:rsidRPr="00AB1936" w:rsidRDefault="00AF76BF" w:rsidP="00AB1936">
            <w:pPr>
              <w:spacing w:before="120" w:after="120"/>
              <w:jc w:val="both"/>
              <w:rPr>
                <w:rFonts w:ascii="Times New Roman" w:hAnsi="Times New Roman"/>
                <w:sz w:val="24"/>
                <w:szCs w:val="24"/>
                <w:lang w:val="en-US"/>
              </w:rPr>
            </w:pPr>
            <w:r>
              <w:rPr>
                <w:rFonts w:ascii="Times New Roman" w:hAnsi="Times New Roman"/>
                <w:sz w:val="24"/>
                <w:szCs w:val="24"/>
              </w:rPr>
              <w:t xml:space="preserve"> </w:t>
            </w:r>
            <w:r w:rsidR="00F15A28" w:rsidRPr="00AB1936">
              <w:rPr>
                <w:rFonts w:ascii="Times New Roman" w:hAnsi="Times New Roman"/>
                <w:sz w:val="24"/>
                <w:szCs w:val="24"/>
              </w:rPr>
              <w:t>During</w:t>
            </w:r>
            <w:r w:rsidR="00007BE4" w:rsidRPr="00AB1936">
              <w:rPr>
                <w:rFonts w:ascii="Times New Roman" w:hAnsi="Times New Roman"/>
                <w:sz w:val="24"/>
                <w:szCs w:val="24"/>
              </w:rPr>
              <w:t xml:space="preserve"> ongoing global challenges, </w:t>
            </w:r>
            <w:r w:rsidR="005704FF" w:rsidRPr="00AB1936">
              <w:rPr>
                <w:rFonts w:ascii="Times New Roman" w:hAnsi="Times New Roman"/>
                <w:sz w:val="24"/>
                <w:szCs w:val="24"/>
              </w:rPr>
              <w:t xml:space="preserve">the Commission believes it is essential to ensure that </w:t>
            </w:r>
            <w:r w:rsidR="00007BE4" w:rsidRPr="00AB1936">
              <w:rPr>
                <w:rFonts w:ascii="Times New Roman" w:hAnsi="Times New Roman"/>
                <w:sz w:val="24"/>
                <w:szCs w:val="24"/>
              </w:rPr>
              <w:t xml:space="preserve">all regions of the EU have the capacity to sustain agricultural production, securing the future of the EU’s agricultural sector. </w:t>
            </w:r>
            <w:r w:rsidR="00657035" w:rsidRPr="00AB1936">
              <w:rPr>
                <w:rFonts w:ascii="Times New Roman" w:hAnsi="Times New Roman"/>
                <w:sz w:val="24"/>
                <w:szCs w:val="24"/>
              </w:rPr>
              <w:t>Previous enlargements offer positive evidence in this respect (and others): a</w:t>
            </w:r>
            <w:r w:rsidR="00B46BFD" w:rsidRPr="00AB1936">
              <w:rPr>
                <w:rFonts w:ascii="Times New Roman" w:hAnsi="Times New Roman"/>
                <w:sz w:val="24"/>
                <w:szCs w:val="24"/>
              </w:rPr>
              <w:t>ccession generally brings economic growth</w:t>
            </w:r>
            <w:r w:rsidR="00657035" w:rsidRPr="00AB1936">
              <w:rPr>
                <w:rFonts w:ascii="Times New Roman" w:hAnsi="Times New Roman"/>
                <w:sz w:val="24"/>
                <w:szCs w:val="24"/>
              </w:rPr>
              <w:t>, and</w:t>
            </w:r>
            <w:r w:rsidR="00F966DB" w:rsidRPr="00AB1936">
              <w:rPr>
                <w:rFonts w:ascii="Times New Roman" w:hAnsi="Times New Roman"/>
                <w:sz w:val="24"/>
                <w:szCs w:val="24"/>
              </w:rPr>
              <w:t xml:space="preserve"> </w:t>
            </w:r>
            <w:r w:rsidR="00657035" w:rsidRPr="00AB1936">
              <w:rPr>
                <w:rFonts w:ascii="Times New Roman" w:hAnsi="Times New Roman"/>
                <w:sz w:val="24"/>
                <w:szCs w:val="24"/>
              </w:rPr>
              <w:t>i</w:t>
            </w:r>
            <w:r w:rsidR="005704FF" w:rsidRPr="00AB1936">
              <w:rPr>
                <w:rFonts w:ascii="Times New Roman" w:hAnsi="Times New Roman"/>
                <w:sz w:val="24"/>
                <w:szCs w:val="24"/>
              </w:rPr>
              <w:t xml:space="preserve">t may be expected that </w:t>
            </w:r>
            <w:r w:rsidR="00B46BFD" w:rsidRPr="00AB1936">
              <w:rPr>
                <w:rFonts w:ascii="Times New Roman" w:hAnsi="Times New Roman"/>
                <w:sz w:val="24"/>
                <w:szCs w:val="24"/>
              </w:rPr>
              <w:t>labour costs</w:t>
            </w:r>
            <w:r w:rsidR="009E6EAC" w:rsidRPr="00AB1936">
              <w:rPr>
                <w:rFonts w:ascii="Times New Roman" w:hAnsi="Times New Roman"/>
                <w:sz w:val="24"/>
                <w:szCs w:val="24"/>
              </w:rPr>
              <w:t xml:space="preserve"> will converge</w:t>
            </w:r>
            <w:r w:rsidR="006C3BA5" w:rsidRPr="00AB1936">
              <w:rPr>
                <w:rFonts w:ascii="Times New Roman" w:hAnsi="Times New Roman"/>
                <w:sz w:val="24"/>
                <w:szCs w:val="24"/>
              </w:rPr>
              <w:t xml:space="preserve"> and </w:t>
            </w:r>
            <w:r w:rsidR="00B46BFD" w:rsidRPr="00AB1936">
              <w:rPr>
                <w:rFonts w:ascii="Times New Roman" w:hAnsi="Times New Roman"/>
                <w:sz w:val="24"/>
                <w:szCs w:val="24"/>
              </w:rPr>
              <w:t>demand</w:t>
            </w:r>
            <w:r w:rsidR="009E6EAC" w:rsidRPr="00AB1936">
              <w:rPr>
                <w:rFonts w:ascii="Times New Roman" w:hAnsi="Times New Roman"/>
                <w:sz w:val="24"/>
                <w:szCs w:val="24"/>
              </w:rPr>
              <w:t xml:space="preserve"> i</w:t>
            </w:r>
            <w:r w:rsidR="000624B1" w:rsidRPr="00AB1936">
              <w:rPr>
                <w:rFonts w:ascii="Times New Roman" w:hAnsi="Times New Roman"/>
                <w:sz w:val="24"/>
                <w:szCs w:val="24"/>
              </w:rPr>
              <w:t>n</w:t>
            </w:r>
            <w:r w:rsidR="009E6EAC" w:rsidRPr="00AB1936">
              <w:rPr>
                <w:rFonts w:ascii="Times New Roman" w:hAnsi="Times New Roman"/>
                <w:sz w:val="24"/>
                <w:szCs w:val="24"/>
              </w:rPr>
              <w:t xml:space="preserve"> the new Member States</w:t>
            </w:r>
            <w:r w:rsidR="000624B1" w:rsidRPr="00AB1936">
              <w:rPr>
                <w:rFonts w:ascii="Times New Roman" w:hAnsi="Times New Roman"/>
                <w:sz w:val="24"/>
                <w:szCs w:val="24"/>
              </w:rPr>
              <w:t xml:space="preserve"> will rise, which will </w:t>
            </w:r>
            <w:r w:rsidR="00657035" w:rsidRPr="00AB1936">
              <w:rPr>
                <w:rFonts w:ascii="Times New Roman" w:hAnsi="Times New Roman"/>
                <w:sz w:val="24"/>
                <w:szCs w:val="24"/>
              </w:rPr>
              <w:t>help</w:t>
            </w:r>
            <w:r w:rsidR="000624B1" w:rsidRPr="00AB1936">
              <w:rPr>
                <w:rFonts w:ascii="Times New Roman" w:hAnsi="Times New Roman"/>
                <w:sz w:val="24"/>
                <w:szCs w:val="24"/>
              </w:rPr>
              <w:t xml:space="preserve"> farmers adapt to the new situation.</w:t>
            </w:r>
          </w:p>
          <w:p w14:paraId="333097AD" w14:textId="77777777" w:rsidR="00222F70" w:rsidRPr="00AB1936" w:rsidRDefault="00222F70" w:rsidP="00AB1936">
            <w:pPr>
              <w:pStyle w:val="Heading2"/>
              <w:keepNext/>
              <w:keepLines/>
              <w:numPr>
                <w:ilvl w:val="0"/>
                <w:numId w:val="0"/>
              </w:numPr>
              <w:spacing w:before="120" w:after="120" w:line="276" w:lineRule="auto"/>
              <w:rPr>
                <w:i/>
                <w:sz w:val="24"/>
                <w:szCs w:val="24"/>
              </w:rPr>
            </w:pPr>
            <w:r w:rsidRPr="00AB1936">
              <w:rPr>
                <w:i/>
                <w:sz w:val="24"/>
                <w:szCs w:val="24"/>
              </w:rPr>
              <w:t>Environmental sustainability</w:t>
            </w:r>
          </w:p>
          <w:p w14:paraId="76198511" w14:textId="777E0763" w:rsidR="00222CAC" w:rsidRPr="00AB1936" w:rsidRDefault="00A34555" w:rsidP="00AB1936">
            <w:pPr>
              <w:pStyle w:val="Heading2"/>
              <w:keepNext/>
              <w:keepLines/>
              <w:numPr>
                <w:ilvl w:val="0"/>
                <w:numId w:val="0"/>
              </w:numPr>
              <w:spacing w:before="120" w:after="120" w:line="276" w:lineRule="auto"/>
              <w:rPr>
                <w:rFonts w:eastAsia="Calibri"/>
                <w:sz w:val="24"/>
                <w:szCs w:val="24"/>
                <w:lang w:val="en-GB"/>
              </w:rPr>
            </w:pPr>
            <w:r w:rsidRPr="00AB1936">
              <w:rPr>
                <w:rFonts w:eastAsia="Calibri"/>
                <w:sz w:val="24"/>
                <w:szCs w:val="24"/>
                <w:lang w:val="en-GB"/>
              </w:rPr>
              <w:t>It is important to make agriculture more resilient to climate change</w:t>
            </w:r>
            <w:r w:rsidR="006C3BA5" w:rsidRPr="00AB1936">
              <w:rPr>
                <w:rFonts w:eastAsia="Calibri"/>
                <w:sz w:val="24"/>
                <w:szCs w:val="24"/>
                <w:lang w:val="en-GB"/>
              </w:rPr>
              <w:t>,</w:t>
            </w:r>
            <w:r w:rsidRPr="00AB1936">
              <w:rPr>
                <w:rFonts w:eastAsia="Calibri"/>
                <w:sz w:val="24"/>
                <w:szCs w:val="24"/>
                <w:lang w:val="en-GB"/>
              </w:rPr>
              <w:t xml:space="preserve"> and to support agricultural production to </w:t>
            </w:r>
            <w:r w:rsidR="009E6EAC" w:rsidRPr="00AB1936">
              <w:rPr>
                <w:rFonts w:eastAsia="Calibri"/>
                <w:sz w:val="24"/>
                <w:szCs w:val="24"/>
                <w:lang w:val="en-GB"/>
              </w:rPr>
              <w:t xml:space="preserve">reduce </w:t>
            </w:r>
            <w:r w:rsidR="006C3BA5" w:rsidRPr="00AB1936">
              <w:rPr>
                <w:rFonts w:eastAsia="Calibri"/>
                <w:sz w:val="24"/>
                <w:szCs w:val="24"/>
                <w:lang w:val="en-GB"/>
              </w:rPr>
              <w:t xml:space="preserve">negative </w:t>
            </w:r>
            <w:r w:rsidR="009E6EAC" w:rsidRPr="00AB1936">
              <w:rPr>
                <w:rFonts w:eastAsia="Calibri"/>
                <w:sz w:val="24"/>
                <w:szCs w:val="24"/>
                <w:lang w:val="en-GB"/>
              </w:rPr>
              <w:t>impact</w:t>
            </w:r>
            <w:r w:rsidR="006C3BA5" w:rsidRPr="00AB1936">
              <w:rPr>
                <w:rFonts w:eastAsia="Calibri"/>
                <w:sz w:val="24"/>
                <w:szCs w:val="24"/>
                <w:lang w:val="en-GB"/>
              </w:rPr>
              <w:t>s</w:t>
            </w:r>
            <w:r w:rsidR="009E6EAC" w:rsidRPr="00AB1936">
              <w:rPr>
                <w:rFonts w:eastAsia="Calibri"/>
                <w:sz w:val="24"/>
                <w:szCs w:val="24"/>
                <w:lang w:val="en-GB"/>
              </w:rPr>
              <w:t xml:space="preserve"> on the environment. Enlargement will increase the area to which </w:t>
            </w:r>
            <w:r w:rsidR="00DF7C59" w:rsidRPr="00AB1936">
              <w:rPr>
                <w:rFonts w:eastAsia="Calibri"/>
                <w:sz w:val="24"/>
                <w:szCs w:val="24"/>
                <w:lang w:val="en-GB"/>
              </w:rPr>
              <w:t>related</w:t>
            </w:r>
            <w:r w:rsidR="009E6EAC" w:rsidRPr="00AB1936">
              <w:rPr>
                <w:rFonts w:eastAsia="Calibri"/>
                <w:sz w:val="24"/>
                <w:szCs w:val="24"/>
                <w:lang w:val="en-GB"/>
              </w:rPr>
              <w:t xml:space="preserve"> conditions apply</w:t>
            </w:r>
            <w:r w:rsidR="006C3BA5" w:rsidRPr="00AB1936">
              <w:rPr>
                <w:rFonts w:eastAsia="Calibri"/>
                <w:sz w:val="24"/>
                <w:szCs w:val="24"/>
                <w:lang w:val="en-GB"/>
              </w:rPr>
              <w:t>. It</w:t>
            </w:r>
            <w:r w:rsidR="00DF7C59" w:rsidRPr="00AB1936">
              <w:rPr>
                <w:rFonts w:eastAsia="Calibri"/>
                <w:sz w:val="24"/>
                <w:szCs w:val="24"/>
                <w:lang w:val="en-GB"/>
              </w:rPr>
              <w:t xml:space="preserve"> </w:t>
            </w:r>
            <w:r w:rsidR="005704FF" w:rsidRPr="00AB1936">
              <w:rPr>
                <w:rFonts w:eastAsia="Calibri"/>
                <w:sz w:val="24"/>
                <w:szCs w:val="24"/>
                <w:lang w:val="en-GB"/>
              </w:rPr>
              <w:t xml:space="preserve">will </w:t>
            </w:r>
            <w:r w:rsidR="009E6EAC" w:rsidRPr="00AB1936">
              <w:rPr>
                <w:rFonts w:eastAsia="Calibri"/>
                <w:sz w:val="24"/>
                <w:szCs w:val="24"/>
                <w:lang w:val="en-GB"/>
              </w:rPr>
              <w:t xml:space="preserve">also increase </w:t>
            </w:r>
            <w:r w:rsidR="006C3BA5" w:rsidRPr="00AB1936">
              <w:rPr>
                <w:rFonts w:eastAsia="Calibri"/>
                <w:sz w:val="24"/>
                <w:szCs w:val="24"/>
                <w:lang w:val="en-GB"/>
              </w:rPr>
              <w:t xml:space="preserve">the </w:t>
            </w:r>
            <w:r w:rsidR="009E6EAC" w:rsidRPr="00AB1936">
              <w:rPr>
                <w:rFonts w:eastAsia="Calibri"/>
                <w:sz w:val="24"/>
                <w:szCs w:val="24"/>
                <w:lang w:val="en-GB"/>
              </w:rPr>
              <w:t>EU</w:t>
            </w:r>
            <w:r w:rsidR="000624B1" w:rsidRPr="00AB1936">
              <w:rPr>
                <w:rFonts w:eastAsia="Calibri"/>
                <w:sz w:val="24"/>
                <w:szCs w:val="24"/>
                <w:lang w:val="en-GB"/>
              </w:rPr>
              <w:t xml:space="preserve"> area </w:t>
            </w:r>
            <w:r w:rsidR="006C3BA5" w:rsidRPr="00AB1936">
              <w:rPr>
                <w:rFonts w:eastAsia="Calibri"/>
                <w:sz w:val="24"/>
                <w:szCs w:val="24"/>
                <w:lang w:val="en-GB"/>
              </w:rPr>
              <w:t xml:space="preserve">used </w:t>
            </w:r>
            <w:r w:rsidR="000624B1" w:rsidRPr="00AB1936">
              <w:rPr>
                <w:rFonts w:eastAsia="Calibri"/>
                <w:sz w:val="24"/>
                <w:szCs w:val="24"/>
                <w:lang w:val="en-GB"/>
              </w:rPr>
              <w:t xml:space="preserve">to produce food/biomass that might be needed in view of the </w:t>
            </w:r>
            <w:r w:rsidR="009E6EAC" w:rsidRPr="00AB1936">
              <w:rPr>
                <w:rFonts w:eastAsia="Calibri"/>
                <w:sz w:val="24"/>
                <w:szCs w:val="24"/>
                <w:lang w:val="en-GB"/>
              </w:rPr>
              <w:t xml:space="preserve">expected reductions in certain </w:t>
            </w:r>
            <w:r w:rsidR="000624B1" w:rsidRPr="00AB1936">
              <w:rPr>
                <w:rFonts w:eastAsia="Calibri"/>
                <w:sz w:val="24"/>
                <w:szCs w:val="24"/>
                <w:lang w:val="en-GB"/>
              </w:rPr>
              <w:t>areas due to climate change.</w:t>
            </w:r>
          </w:p>
          <w:p w14:paraId="0FCF9FD8" w14:textId="7863F953" w:rsidR="00186772" w:rsidRPr="00AB1936" w:rsidRDefault="00186772" w:rsidP="00AB1936">
            <w:pPr>
              <w:pStyle w:val="Heading2"/>
              <w:keepNext/>
              <w:keepLines/>
              <w:numPr>
                <w:ilvl w:val="0"/>
                <w:numId w:val="0"/>
              </w:numPr>
              <w:spacing w:before="120" w:after="120" w:line="276" w:lineRule="auto"/>
              <w:rPr>
                <w:iCs/>
                <w:sz w:val="24"/>
                <w:szCs w:val="24"/>
                <w:lang w:val="en-GB"/>
              </w:rPr>
            </w:pPr>
            <w:r w:rsidRPr="00AB1936">
              <w:rPr>
                <w:sz w:val="24"/>
                <w:szCs w:val="24"/>
              </w:rPr>
              <w:t xml:space="preserve">The mission letter of Commissioner Hansen requests re-targeting of agricultural support to promote positive environmental and social outcomes through rewards and incentives for ecosystem services. </w:t>
            </w:r>
            <w:r w:rsidR="00C61F76" w:rsidRPr="00AB1936">
              <w:rPr>
                <w:sz w:val="24"/>
                <w:szCs w:val="24"/>
              </w:rPr>
              <w:t>M</w:t>
            </w:r>
            <w:r w:rsidRPr="00AB1936">
              <w:rPr>
                <w:sz w:val="24"/>
                <w:szCs w:val="24"/>
              </w:rPr>
              <w:t>ost environmental support schemes will most likely remain areas based.</w:t>
            </w:r>
          </w:p>
          <w:p w14:paraId="5C1AE9D4" w14:textId="50FEF67F" w:rsidR="00222F70" w:rsidRPr="00AB1936" w:rsidRDefault="00222F70" w:rsidP="00AB1936">
            <w:pPr>
              <w:pStyle w:val="Heading2"/>
              <w:keepNext/>
              <w:keepLines/>
              <w:numPr>
                <w:ilvl w:val="0"/>
                <w:numId w:val="0"/>
              </w:numPr>
              <w:spacing w:before="120" w:after="120" w:line="276" w:lineRule="auto"/>
              <w:rPr>
                <w:i/>
                <w:sz w:val="24"/>
                <w:szCs w:val="24"/>
                <w:lang w:val="en-GB"/>
              </w:rPr>
            </w:pPr>
            <w:r w:rsidRPr="00AB1936">
              <w:rPr>
                <w:i/>
                <w:sz w:val="24"/>
                <w:szCs w:val="24"/>
                <w:lang w:val="en-GB"/>
              </w:rPr>
              <w:t>Social sustainability</w:t>
            </w:r>
          </w:p>
          <w:p w14:paraId="35D434F5" w14:textId="38DF9348" w:rsidR="00222CAC" w:rsidRPr="00AB1936" w:rsidRDefault="005704FF" w:rsidP="00AB1936">
            <w:pPr>
              <w:pStyle w:val="Heading2"/>
              <w:keepNext/>
              <w:keepLines/>
              <w:numPr>
                <w:ilvl w:val="0"/>
                <w:numId w:val="0"/>
              </w:numPr>
              <w:spacing w:before="120" w:after="120" w:line="276" w:lineRule="auto"/>
              <w:rPr>
                <w:rFonts w:eastAsia="Calibri"/>
                <w:sz w:val="24"/>
                <w:szCs w:val="24"/>
                <w:lang w:val="en-GB"/>
              </w:rPr>
            </w:pPr>
            <w:r w:rsidRPr="00AB1936">
              <w:rPr>
                <w:rFonts w:eastAsia="Calibri"/>
                <w:sz w:val="24"/>
                <w:szCs w:val="24"/>
                <w:lang w:val="en-GB"/>
              </w:rPr>
              <w:t>The Commission</w:t>
            </w:r>
            <w:r w:rsidR="00A34555" w:rsidRPr="00AB1936">
              <w:rPr>
                <w:rFonts w:eastAsia="Calibri"/>
                <w:sz w:val="24"/>
                <w:szCs w:val="24"/>
                <w:lang w:val="en-GB"/>
              </w:rPr>
              <w:t xml:space="preserve"> agrees with the</w:t>
            </w:r>
            <w:r w:rsidR="006C3BA5" w:rsidRPr="00AB1936">
              <w:rPr>
                <w:rFonts w:eastAsia="Calibri"/>
                <w:sz w:val="24"/>
                <w:szCs w:val="24"/>
                <w:lang w:val="en-GB"/>
              </w:rPr>
              <w:t xml:space="preserve"> </w:t>
            </w:r>
            <w:r w:rsidR="00F2504C" w:rsidRPr="00AB1936">
              <w:rPr>
                <w:rFonts w:eastAsia="Calibri"/>
                <w:sz w:val="24"/>
                <w:szCs w:val="24"/>
                <w:lang w:val="en-GB"/>
              </w:rPr>
              <w:t>social aspects of enlargement</w:t>
            </w:r>
            <w:r w:rsidR="00A34555" w:rsidRPr="00AB1936">
              <w:rPr>
                <w:rFonts w:eastAsia="Calibri"/>
                <w:sz w:val="24"/>
                <w:szCs w:val="24"/>
                <w:lang w:val="en-GB"/>
              </w:rPr>
              <w:t xml:space="preserve"> mentioned in the report</w:t>
            </w:r>
            <w:r w:rsidRPr="00AB1936">
              <w:rPr>
                <w:rFonts w:eastAsia="Calibri"/>
                <w:sz w:val="24"/>
                <w:szCs w:val="24"/>
                <w:lang w:val="en-GB"/>
              </w:rPr>
              <w:t>, n</w:t>
            </w:r>
            <w:r w:rsidR="00F2504C" w:rsidRPr="00AB1936">
              <w:rPr>
                <w:rFonts w:eastAsia="Calibri"/>
                <w:sz w:val="24"/>
                <w:szCs w:val="24"/>
                <w:lang w:val="en-GB"/>
              </w:rPr>
              <w:t>otably the position of small farmers both in the E</w:t>
            </w:r>
            <w:r w:rsidR="00A34555" w:rsidRPr="00AB1936">
              <w:rPr>
                <w:rFonts w:eastAsia="Calibri"/>
                <w:sz w:val="24"/>
                <w:szCs w:val="24"/>
                <w:lang w:val="en-GB"/>
              </w:rPr>
              <w:t>U</w:t>
            </w:r>
            <w:r w:rsidR="00F2504C" w:rsidRPr="00AB1936">
              <w:rPr>
                <w:rFonts w:eastAsia="Calibri"/>
                <w:sz w:val="24"/>
                <w:szCs w:val="24"/>
                <w:lang w:val="en-GB"/>
              </w:rPr>
              <w:t xml:space="preserve"> and in the candidate cou</w:t>
            </w:r>
            <w:r w:rsidR="00A34555" w:rsidRPr="00AB1936">
              <w:rPr>
                <w:rFonts w:eastAsia="Calibri"/>
                <w:sz w:val="24"/>
                <w:szCs w:val="24"/>
                <w:lang w:val="en-GB"/>
              </w:rPr>
              <w:t>n</w:t>
            </w:r>
            <w:r w:rsidR="00F2504C" w:rsidRPr="00AB1936">
              <w:rPr>
                <w:rFonts w:eastAsia="Calibri"/>
                <w:sz w:val="24"/>
                <w:szCs w:val="24"/>
                <w:lang w:val="en-GB"/>
              </w:rPr>
              <w:t>tries</w:t>
            </w:r>
            <w:r w:rsidRPr="00AB1936">
              <w:rPr>
                <w:rFonts w:eastAsia="Calibri"/>
                <w:sz w:val="24"/>
                <w:szCs w:val="24"/>
                <w:lang w:val="en-GB"/>
              </w:rPr>
              <w:t>, and</w:t>
            </w:r>
            <w:r w:rsidR="00F2504C" w:rsidRPr="00AB1936">
              <w:rPr>
                <w:rFonts w:eastAsia="Calibri"/>
                <w:sz w:val="24"/>
                <w:szCs w:val="24"/>
                <w:lang w:val="en-GB"/>
              </w:rPr>
              <w:t xml:space="preserve"> </w:t>
            </w:r>
            <w:r w:rsidRPr="00AB1936">
              <w:rPr>
                <w:rFonts w:eastAsia="Calibri"/>
                <w:sz w:val="24"/>
                <w:szCs w:val="24"/>
                <w:lang w:val="en-GB"/>
              </w:rPr>
              <w:t>t</w:t>
            </w:r>
            <w:r w:rsidR="00F2504C" w:rsidRPr="00AB1936">
              <w:rPr>
                <w:rFonts w:eastAsia="Calibri"/>
                <w:sz w:val="24"/>
                <w:szCs w:val="24"/>
                <w:lang w:val="en-GB"/>
              </w:rPr>
              <w:t>he role of labour conditions</w:t>
            </w:r>
            <w:r w:rsidR="006C3BA5" w:rsidRPr="00AB1936">
              <w:rPr>
                <w:rFonts w:eastAsia="Calibri"/>
                <w:sz w:val="24"/>
                <w:szCs w:val="24"/>
                <w:lang w:val="en-GB"/>
              </w:rPr>
              <w:t xml:space="preserve"> – which </w:t>
            </w:r>
            <w:r w:rsidR="00F2504C" w:rsidRPr="00AB1936">
              <w:rPr>
                <w:rFonts w:eastAsia="Calibri"/>
                <w:sz w:val="24"/>
                <w:szCs w:val="24"/>
                <w:lang w:val="en-GB"/>
              </w:rPr>
              <w:t xml:space="preserve">are currently part of the social conditionality </w:t>
            </w:r>
            <w:r w:rsidR="00A34555" w:rsidRPr="00AB1936">
              <w:rPr>
                <w:rFonts w:eastAsia="Calibri"/>
                <w:sz w:val="24"/>
                <w:szCs w:val="24"/>
                <w:lang w:val="en-GB"/>
              </w:rPr>
              <w:t>of the CAP</w:t>
            </w:r>
            <w:r w:rsidR="006C3BA5" w:rsidRPr="00AB1936">
              <w:rPr>
                <w:rFonts w:eastAsia="Calibri"/>
                <w:sz w:val="24"/>
                <w:szCs w:val="24"/>
                <w:lang w:val="en-GB"/>
              </w:rPr>
              <w:t xml:space="preserve"> – as well as</w:t>
            </w:r>
            <w:r w:rsidR="00F2504C" w:rsidRPr="00AB1936">
              <w:rPr>
                <w:rFonts w:eastAsia="Calibri"/>
                <w:sz w:val="24"/>
                <w:szCs w:val="24"/>
                <w:lang w:val="en-GB"/>
              </w:rPr>
              <w:t xml:space="preserve"> the role of women in agriculture</w:t>
            </w:r>
            <w:r w:rsidR="00A34555" w:rsidRPr="00AB1936">
              <w:rPr>
                <w:rFonts w:eastAsia="Calibri"/>
                <w:sz w:val="24"/>
                <w:szCs w:val="24"/>
                <w:lang w:val="en-GB"/>
              </w:rPr>
              <w:t>.</w:t>
            </w:r>
          </w:p>
          <w:p w14:paraId="1E8860EB" w14:textId="29006CD4" w:rsidR="00222F70" w:rsidRPr="00AB1936" w:rsidRDefault="00222F70" w:rsidP="00AB1936">
            <w:pPr>
              <w:pStyle w:val="Heading2"/>
              <w:keepNext/>
              <w:keepLines/>
              <w:numPr>
                <w:ilvl w:val="0"/>
                <w:numId w:val="0"/>
              </w:numPr>
              <w:spacing w:before="120" w:after="120" w:line="276" w:lineRule="auto"/>
              <w:rPr>
                <w:i/>
                <w:sz w:val="24"/>
                <w:szCs w:val="24"/>
                <w:lang w:val="en-GB"/>
              </w:rPr>
            </w:pPr>
            <w:r w:rsidRPr="00AB1936">
              <w:rPr>
                <w:i/>
                <w:sz w:val="24"/>
                <w:szCs w:val="24"/>
                <w:lang w:val="en-GB"/>
              </w:rPr>
              <w:t>Administrative capacity</w:t>
            </w:r>
          </w:p>
          <w:p w14:paraId="29C42B08" w14:textId="031D2F22" w:rsidR="009F4C24" w:rsidRPr="00AB1936" w:rsidRDefault="00A51B22" w:rsidP="00AB1936">
            <w:pPr>
              <w:spacing w:before="120" w:after="120"/>
              <w:jc w:val="both"/>
              <w:rPr>
                <w:rFonts w:ascii="Times New Roman" w:hAnsi="Times New Roman"/>
                <w:sz w:val="24"/>
                <w:szCs w:val="24"/>
              </w:rPr>
            </w:pPr>
            <w:r w:rsidRPr="00AB1936">
              <w:rPr>
                <w:rFonts w:ascii="Times New Roman" w:hAnsi="Times New Roman"/>
                <w:sz w:val="24"/>
                <w:szCs w:val="24"/>
              </w:rPr>
              <w:t xml:space="preserve">The Instrument for Pre-Accession Assistance for Rural Development (IPARD) supports candidate countries </w:t>
            </w:r>
            <w:r w:rsidR="007C73B6" w:rsidRPr="00AB1936">
              <w:rPr>
                <w:rFonts w:ascii="Times New Roman" w:hAnsi="Times New Roman"/>
                <w:sz w:val="24"/>
                <w:szCs w:val="24"/>
              </w:rPr>
              <w:t xml:space="preserve">in </w:t>
            </w:r>
            <w:r w:rsidRPr="00AB1936">
              <w:rPr>
                <w:rFonts w:ascii="Times New Roman" w:hAnsi="Times New Roman"/>
                <w:sz w:val="24"/>
                <w:szCs w:val="24"/>
              </w:rPr>
              <w:t xml:space="preserve">implementation of agricultural measures while preparing for the shared management and control of future EU funding under the CAP. </w:t>
            </w:r>
            <w:r w:rsidR="007C73B6" w:rsidRPr="00AB1936">
              <w:rPr>
                <w:rFonts w:ascii="Times New Roman" w:hAnsi="Times New Roman"/>
                <w:sz w:val="24"/>
                <w:szCs w:val="24"/>
              </w:rPr>
              <w:t xml:space="preserve">Continued </w:t>
            </w:r>
            <w:r w:rsidR="00FA7557" w:rsidRPr="00AB1936">
              <w:rPr>
                <w:rFonts w:ascii="Times New Roman" w:hAnsi="Times New Roman"/>
                <w:sz w:val="24"/>
                <w:szCs w:val="24"/>
              </w:rPr>
              <w:t>EU support, in the form of pre-accession assistance to the agriculture and rural development sector, will be essential to upgrade the agricultural sector in the</w:t>
            </w:r>
            <w:r w:rsidR="0062359D" w:rsidRPr="00AB1936">
              <w:rPr>
                <w:rFonts w:ascii="Times New Roman" w:hAnsi="Times New Roman"/>
                <w:sz w:val="24"/>
                <w:szCs w:val="24"/>
              </w:rPr>
              <w:t xml:space="preserve"> candidate </w:t>
            </w:r>
            <w:r w:rsidR="00FA7557" w:rsidRPr="00AB1936">
              <w:rPr>
                <w:rFonts w:ascii="Times New Roman" w:hAnsi="Times New Roman"/>
                <w:sz w:val="24"/>
                <w:szCs w:val="24"/>
              </w:rPr>
              <w:t xml:space="preserve">countries and to align with EU standards. </w:t>
            </w:r>
          </w:p>
          <w:p w14:paraId="3724B51B" w14:textId="79AF7EB5" w:rsidR="00222F70" w:rsidRPr="00AB1936" w:rsidRDefault="00222F70" w:rsidP="00AB1936">
            <w:pPr>
              <w:pStyle w:val="Heading2"/>
              <w:keepNext/>
              <w:keepLines/>
              <w:numPr>
                <w:ilvl w:val="0"/>
                <w:numId w:val="0"/>
              </w:numPr>
              <w:spacing w:before="120" w:after="120" w:line="276" w:lineRule="auto"/>
              <w:ind w:left="567" w:hanging="567"/>
              <w:rPr>
                <w:i/>
                <w:sz w:val="24"/>
                <w:szCs w:val="24"/>
                <w:lang w:val="en-GB"/>
              </w:rPr>
            </w:pPr>
            <w:r w:rsidRPr="00AB1936">
              <w:rPr>
                <w:i/>
                <w:sz w:val="24"/>
                <w:szCs w:val="24"/>
                <w:lang w:val="en-GB"/>
              </w:rPr>
              <w:t>Trade flows</w:t>
            </w:r>
            <w:r w:rsidR="00B46BFD" w:rsidRPr="00AB1936">
              <w:rPr>
                <w:i/>
                <w:sz w:val="24"/>
                <w:szCs w:val="24"/>
                <w:lang w:val="en-GB"/>
              </w:rPr>
              <w:t>/ market disturbance</w:t>
            </w:r>
          </w:p>
          <w:p w14:paraId="1C0ECAAB" w14:textId="77777777" w:rsidR="0049246C" w:rsidRPr="00AB1936" w:rsidRDefault="00E57A7D" w:rsidP="00AB1936">
            <w:pPr>
              <w:pStyle w:val="ListParagraph"/>
              <w:spacing w:before="120" w:after="120"/>
              <w:ind w:left="0"/>
              <w:contextualSpacing w:val="0"/>
              <w:jc w:val="both"/>
              <w:rPr>
                <w:rFonts w:ascii="Times New Roman" w:hAnsi="Times New Roman"/>
                <w:sz w:val="24"/>
                <w:szCs w:val="24"/>
              </w:rPr>
            </w:pPr>
            <w:r w:rsidRPr="00AB1936">
              <w:rPr>
                <w:rFonts w:ascii="Times New Roman" w:hAnsi="Times New Roman"/>
                <w:sz w:val="24"/>
                <w:szCs w:val="24"/>
              </w:rPr>
              <w:t>T</w:t>
            </w:r>
            <w:r w:rsidR="00B46BFD" w:rsidRPr="00AB1936">
              <w:rPr>
                <w:rFonts w:ascii="Times New Roman" w:hAnsi="Times New Roman"/>
                <w:sz w:val="24"/>
                <w:szCs w:val="24"/>
              </w:rPr>
              <w:t>he</w:t>
            </w:r>
            <w:r w:rsidR="00F05060" w:rsidRPr="00AB1936">
              <w:rPr>
                <w:rFonts w:ascii="Times New Roman" w:hAnsi="Times New Roman"/>
                <w:sz w:val="24"/>
                <w:szCs w:val="24"/>
              </w:rPr>
              <w:t xml:space="preserve">re </w:t>
            </w:r>
            <w:r w:rsidRPr="00AB1936">
              <w:rPr>
                <w:rFonts w:ascii="Times New Roman" w:hAnsi="Times New Roman"/>
                <w:sz w:val="24"/>
                <w:szCs w:val="24"/>
              </w:rPr>
              <w:t xml:space="preserve">may </w:t>
            </w:r>
            <w:r w:rsidR="00F05060" w:rsidRPr="00AB1936">
              <w:rPr>
                <w:rFonts w:ascii="Times New Roman" w:hAnsi="Times New Roman"/>
                <w:sz w:val="24"/>
                <w:szCs w:val="24"/>
              </w:rPr>
              <w:t xml:space="preserve">be challenges </w:t>
            </w:r>
            <w:r w:rsidR="00B46BFD" w:rsidRPr="00AB1936">
              <w:rPr>
                <w:rFonts w:ascii="Times New Roman" w:hAnsi="Times New Roman"/>
                <w:sz w:val="24"/>
                <w:szCs w:val="24"/>
              </w:rPr>
              <w:t>f</w:t>
            </w:r>
            <w:r w:rsidRPr="00AB1936">
              <w:rPr>
                <w:rFonts w:ascii="Times New Roman" w:hAnsi="Times New Roman"/>
                <w:sz w:val="24"/>
                <w:szCs w:val="24"/>
              </w:rPr>
              <w:t xml:space="preserve">or </w:t>
            </w:r>
            <w:r w:rsidR="00DB7D2F" w:rsidRPr="00AB1936">
              <w:rPr>
                <w:rFonts w:ascii="Times New Roman" w:hAnsi="Times New Roman"/>
                <w:sz w:val="24"/>
                <w:szCs w:val="24"/>
              </w:rPr>
              <w:t xml:space="preserve">EU </w:t>
            </w:r>
            <w:r w:rsidR="00B46BFD" w:rsidRPr="00AB1936">
              <w:rPr>
                <w:rFonts w:ascii="Times New Roman" w:hAnsi="Times New Roman"/>
                <w:sz w:val="24"/>
                <w:szCs w:val="24"/>
              </w:rPr>
              <w:t xml:space="preserve">market </w:t>
            </w:r>
            <w:r w:rsidRPr="00AB1936">
              <w:rPr>
                <w:rFonts w:ascii="Times New Roman" w:hAnsi="Times New Roman"/>
                <w:sz w:val="24"/>
                <w:szCs w:val="24"/>
              </w:rPr>
              <w:t xml:space="preserve">integration, </w:t>
            </w:r>
            <w:r w:rsidR="00AC5685" w:rsidRPr="00AB1936">
              <w:rPr>
                <w:rFonts w:ascii="Times New Roman" w:hAnsi="Times New Roman"/>
                <w:sz w:val="24"/>
                <w:szCs w:val="24"/>
              </w:rPr>
              <w:t>notably in some</w:t>
            </w:r>
            <w:r w:rsidR="00B46BFD" w:rsidRPr="00AB1936">
              <w:rPr>
                <w:rFonts w:ascii="Times New Roman" w:hAnsi="Times New Roman"/>
                <w:sz w:val="24"/>
                <w:szCs w:val="24"/>
              </w:rPr>
              <w:t xml:space="preserve"> sectors</w:t>
            </w:r>
            <w:r w:rsidR="00D414A7" w:rsidRPr="00AB1936">
              <w:rPr>
                <w:rFonts w:ascii="Times New Roman" w:hAnsi="Times New Roman"/>
                <w:sz w:val="24"/>
                <w:szCs w:val="24"/>
              </w:rPr>
              <w:t>, which should be monitored</w:t>
            </w:r>
            <w:r w:rsidR="007A0CC5" w:rsidRPr="00AB1936">
              <w:rPr>
                <w:rFonts w:ascii="Times New Roman" w:hAnsi="Times New Roman"/>
                <w:sz w:val="24"/>
                <w:szCs w:val="24"/>
              </w:rPr>
              <w:t xml:space="preserve">. The accession negotiations will address the need for transitional measures to allow for </w:t>
            </w:r>
            <w:r w:rsidR="007A0CC5" w:rsidRPr="00AB1936">
              <w:rPr>
                <w:rFonts w:ascii="Times New Roman" w:hAnsi="Times New Roman"/>
                <w:sz w:val="24"/>
                <w:szCs w:val="24"/>
              </w:rPr>
              <w:lastRenderedPageBreak/>
              <w:t xml:space="preserve">integration into the EU while </w:t>
            </w:r>
            <w:r w:rsidR="005F629E" w:rsidRPr="00AB1936">
              <w:rPr>
                <w:rFonts w:ascii="Times New Roman" w:hAnsi="Times New Roman"/>
                <w:sz w:val="24"/>
                <w:szCs w:val="24"/>
              </w:rPr>
              <w:t>considering any</w:t>
            </w:r>
            <w:r w:rsidR="007A0CC5" w:rsidRPr="00AB1936">
              <w:rPr>
                <w:rFonts w:ascii="Times New Roman" w:hAnsi="Times New Roman"/>
                <w:sz w:val="24"/>
                <w:szCs w:val="24"/>
              </w:rPr>
              <w:t xml:space="preserve"> disruptions on the EU market</w:t>
            </w:r>
            <w:r w:rsidR="005F629E" w:rsidRPr="00AB1936">
              <w:rPr>
                <w:rFonts w:ascii="Times New Roman" w:hAnsi="Times New Roman"/>
                <w:sz w:val="24"/>
                <w:szCs w:val="24"/>
              </w:rPr>
              <w:t xml:space="preserve">. </w:t>
            </w:r>
          </w:p>
          <w:p w14:paraId="30D14481" w14:textId="5329A38D" w:rsidR="009A75F2" w:rsidRPr="00AB1936" w:rsidRDefault="009A75F2" w:rsidP="00AB1936">
            <w:pPr>
              <w:pStyle w:val="ListParagraph"/>
              <w:spacing w:before="120" w:after="120"/>
              <w:ind w:left="0"/>
              <w:contextualSpacing w:val="0"/>
              <w:jc w:val="both"/>
              <w:rPr>
                <w:rFonts w:ascii="Times New Roman" w:hAnsi="Times New Roman"/>
                <w:sz w:val="24"/>
                <w:szCs w:val="24"/>
              </w:rPr>
            </w:pPr>
            <w:r w:rsidRPr="00AB1936">
              <w:rPr>
                <w:rFonts w:ascii="Times New Roman" w:hAnsi="Times New Roman"/>
                <w:sz w:val="24"/>
                <w:szCs w:val="24"/>
              </w:rPr>
              <w:t>In order to avoid disinformation</w:t>
            </w:r>
            <w:r w:rsidR="006A2D15" w:rsidRPr="00AB1936">
              <w:rPr>
                <w:rFonts w:ascii="Times New Roman" w:hAnsi="Times New Roman"/>
                <w:sz w:val="24"/>
                <w:szCs w:val="24"/>
              </w:rPr>
              <w:t xml:space="preserve"> as much as possible</w:t>
            </w:r>
            <w:r w:rsidRPr="00AB1936">
              <w:rPr>
                <w:rFonts w:ascii="Times New Roman" w:hAnsi="Times New Roman"/>
                <w:sz w:val="24"/>
                <w:szCs w:val="24"/>
              </w:rPr>
              <w:t xml:space="preserve">, the Commission provides up to date information </w:t>
            </w:r>
            <w:r w:rsidR="006A2D15" w:rsidRPr="00AB1936">
              <w:rPr>
                <w:rFonts w:ascii="Times New Roman" w:hAnsi="Times New Roman"/>
                <w:sz w:val="24"/>
                <w:szCs w:val="24"/>
              </w:rPr>
              <w:t xml:space="preserve">on production and trade volumes and prices </w:t>
            </w:r>
            <w:r w:rsidRPr="00AB1936">
              <w:rPr>
                <w:rFonts w:ascii="Times New Roman" w:hAnsi="Times New Roman"/>
                <w:sz w:val="24"/>
                <w:szCs w:val="24"/>
              </w:rPr>
              <w:t>o</w:t>
            </w:r>
            <w:r w:rsidR="006A2D15" w:rsidRPr="00AB1936">
              <w:rPr>
                <w:rFonts w:ascii="Times New Roman" w:hAnsi="Times New Roman"/>
                <w:sz w:val="24"/>
                <w:szCs w:val="24"/>
              </w:rPr>
              <w:t>f</w:t>
            </w:r>
            <w:r w:rsidRPr="00AB1936">
              <w:rPr>
                <w:rFonts w:ascii="Times New Roman" w:hAnsi="Times New Roman"/>
                <w:sz w:val="24"/>
                <w:szCs w:val="24"/>
              </w:rPr>
              <w:t xml:space="preserve"> agricultural markets</w:t>
            </w:r>
            <w:r w:rsidR="006A2D15" w:rsidRPr="00AB1936">
              <w:rPr>
                <w:rFonts w:ascii="Times New Roman" w:hAnsi="Times New Roman"/>
                <w:sz w:val="24"/>
                <w:szCs w:val="24"/>
              </w:rPr>
              <w:t>, with a special section called “Ukraine spotlight”</w:t>
            </w:r>
            <w:r w:rsidR="00AB1936">
              <w:rPr>
                <w:rStyle w:val="FootnoteReference"/>
                <w:rFonts w:ascii="Times New Roman" w:hAnsi="Times New Roman"/>
                <w:sz w:val="24"/>
                <w:szCs w:val="24"/>
              </w:rPr>
              <w:footnoteReference w:id="2"/>
            </w:r>
            <w:r w:rsidR="006A2D15" w:rsidRPr="00AB1936">
              <w:rPr>
                <w:rFonts w:ascii="Times New Roman" w:hAnsi="Times New Roman"/>
                <w:sz w:val="24"/>
                <w:szCs w:val="24"/>
              </w:rPr>
              <w:t>.</w:t>
            </w:r>
          </w:p>
        </w:tc>
      </w:tr>
    </w:tbl>
    <w:p w14:paraId="6AF07B14" w14:textId="26AEAB66" w:rsidR="004F6117" w:rsidRPr="00AB1936" w:rsidRDefault="004F6117" w:rsidP="00AB1936">
      <w:pPr>
        <w:spacing w:before="120" w:after="120"/>
        <w:jc w:val="both"/>
        <w:rPr>
          <w:rFonts w:ascii="Times New Roman" w:hAnsi="Times New Roman"/>
          <w:b/>
          <w:strike/>
          <w:sz w:val="24"/>
          <w:szCs w:val="24"/>
          <w:u w:val="single"/>
        </w:rPr>
      </w:pPr>
    </w:p>
    <w:sectPr w:rsidR="004F6117" w:rsidRPr="00AB19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362F2" w14:textId="77777777" w:rsidR="003624F4" w:rsidRDefault="003624F4" w:rsidP="00FF63EA">
      <w:pPr>
        <w:spacing w:after="0" w:line="240" w:lineRule="auto"/>
      </w:pPr>
      <w:r>
        <w:separator/>
      </w:r>
    </w:p>
  </w:endnote>
  <w:endnote w:type="continuationSeparator" w:id="0">
    <w:p w14:paraId="3B301044" w14:textId="77777777" w:rsidR="003624F4" w:rsidRDefault="003624F4" w:rsidP="00FF63EA">
      <w:pPr>
        <w:spacing w:after="0" w:line="240" w:lineRule="auto"/>
      </w:pPr>
      <w:r>
        <w:continuationSeparator/>
      </w:r>
    </w:p>
  </w:endnote>
  <w:endnote w:type="continuationNotice" w:id="1">
    <w:p w14:paraId="1FD9D0F0" w14:textId="77777777" w:rsidR="009359B5" w:rsidRDefault="009359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E197B" w14:textId="77777777" w:rsidR="003624F4" w:rsidRDefault="003624F4" w:rsidP="00FF63EA">
      <w:pPr>
        <w:spacing w:after="0" w:line="240" w:lineRule="auto"/>
      </w:pPr>
      <w:r>
        <w:separator/>
      </w:r>
    </w:p>
  </w:footnote>
  <w:footnote w:type="continuationSeparator" w:id="0">
    <w:p w14:paraId="76486D05" w14:textId="77777777" w:rsidR="003624F4" w:rsidRDefault="003624F4" w:rsidP="00FF63EA">
      <w:pPr>
        <w:spacing w:after="0" w:line="240" w:lineRule="auto"/>
      </w:pPr>
      <w:r>
        <w:continuationSeparator/>
      </w:r>
    </w:p>
  </w:footnote>
  <w:footnote w:type="continuationNotice" w:id="1">
    <w:p w14:paraId="48153E21" w14:textId="77777777" w:rsidR="009359B5" w:rsidRDefault="009359B5">
      <w:pPr>
        <w:spacing w:after="0" w:line="240" w:lineRule="auto"/>
      </w:pPr>
    </w:p>
  </w:footnote>
  <w:footnote w:id="2">
    <w:p w14:paraId="5EB2C447" w14:textId="1B6E37CF" w:rsidR="00AB1936" w:rsidRPr="00AB1936" w:rsidRDefault="00AB1936" w:rsidP="00AB1936">
      <w:pPr>
        <w:pStyle w:val="FootnoteText"/>
        <w:jc w:val="both"/>
        <w:rPr>
          <w:rFonts w:ascii="Times New Roman" w:hAnsi="Times New Roman"/>
          <w:lang w:val="en-IE"/>
        </w:rPr>
      </w:pPr>
      <w:r w:rsidRPr="00AB1936">
        <w:rPr>
          <w:rStyle w:val="FootnoteReference"/>
          <w:rFonts w:ascii="Times New Roman" w:hAnsi="Times New Roman"/>
        </w:rPr>
        <w:footnoteRef/>
      </w:r>
      <w:r w:rsidRPr="00AB1936">
        <w:rPr>
          <w:rFonts w:ascii="Times New Roman" w:hAnsi="Times New Roman"/>
        </w:rPr>
        <w:t xml:space="preserve"> </w:t>
      </w:r>
      <w:r w:rsidRPr="00AB1936">
        <w:rPr>
          <w:rFonts w:ascii="Times New Roman" w:hAnsi="Times New Roman"/>
          <w:lang w:val="en-IE"/>
        </w:rPr>
        <w:tab/>
        <w:t>https://agridata.ec.europa.eu/extensions/DataPortal/home.html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DFC775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i w:val="0"/>
        <w:iCs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44535450"/>
    <w:multiLevelType w:val="hybridMultilevel"/>
    <w:tmpl w:val="A6C8E1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518032895">
    <w:abstractNumId w:val="0"/>
  </w:num>
  <w:num w:numId="2" w16cid:durableId="323944932">
    <w:abstractNumId w:val="1"/>
  </w:num>
  <w:num w:numId="3" w16cid:durableId="1461920021">
    <w:abstractNumId w:val="0"/>
  </w:num>
  <w:num w:numId="4" w16cid:durableId="987133417">
    <w:abstractNumId w:val="0"/>
  </w:num>
  <w:num w:numId="5" w16cid:durableId="897085566">
    <w:abstractNumId w:val="0"/>
  </w:num>
  <w:num w:numId="6" w16cid:durableId="1166896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77C4F"/>
    <w:rsid w:val="00007BE4"/>
    <w:rsid w:val="00010221"/>
    <w:rsid w:val="0001102C"/>
    <w:rsid w:val="00012A37"/>
    <w:rsid w:val="00046B15"/>
    <w:rsid w:val="00050DC7"/>
    <w:rsid w:val="000624B1"/>
    <w:rsid w:val="00062BD8"/>
    <w:rsid w:val="00071501"/>
    <w:rsid w:val="00076109"/>
    <w:rsid w:val="00077C4F"/>
    <w:rsid w:val="00080894"/>
    <w:rsid w:val="000927FA"/>
    <w:rsid w:val="000F5FD8"/>
    <w:rsid w:val="0010098A"/>
    <w:rsid w:val="001167C0"/>
    <w:rsid w:val="00135C2A"/>
    <w:rsid w:val="001408FB"/>
    <w:rsid w:val="00145ADE"/>
    <w:rsid w:val="00185DE5"/>
    <w:rsid w:val="00186772"/>
    <w:rsid w:val="001B024F"/>
    <w:rsid w:val="001B0E0B"/>
    <w:rsid w:val="001D1B39"/>
    <w:rsid w:val="001E155C"/>
    <w:rsid w:val="001F2EC6"/>
    <w:rsid w:val="001F65D0"/>
    <w:rsid w:val="00217E59"/>
    <w:rsid w:val="00222CAC"/>
    <w:rsid w:val="00222F70"/>
    <w:rsid w:val="0028316E"/>
    <w:rsid w:val="002862EC"/>
    <w:rsid w:val="002A0342"/>
    <w:rsid w:val="002B034D"/>
    <w:rsid w:val="002B374F"/>
    <w:rsid w:val="002B78E8"/>
    <w:rsid w:val="002C6081"/>
    <w:rsid w:val="002E12A2"/>
    <w:rsid w:val="002E5632"/>
    <w:rsid w:val="002F03FA"/>
    <w:rsid w:val="002F7267"/>
    <w:rsid w:val="003004D2"/>
    <w:rsid w:val="0031236D"/>
    <w:rsid w:val="003228CF"/>
    <w:rsid w:val="003349A3"/>
    <w:rsid w:val="003624F4"/>
    <w:rsid w:val="00377967"/>
    <w:rsid w:val="00380966"/>
    <w:rsid w:val="00386143"/>
    <w:rsid w:val="003A4CED"/>
    <w:rsid w:val="003B58DC"/>
    <w:rsid w:val="003C6200"/>
    <w:rsid w:val="003D1A82"/>
    <w:rsid w:val="003D44A0"/>
    <w:rsid w:val="003F0AAD"/>
    <w:rsid w:val="003F1CE6"/>
    <w:rsid w:val="003F686E"/>
    <w:rsid w:val="004144B6"/>
    <w:rsid w:val="00425034"/>
    <w:rsid w:val="00425B21"/>
    <w:rsid w:val="00442552"/>
    <w:rsid w:val="00455A1C"/>
    <w:rsid w:val="004675B5"/>
    <w:rsid w:val="004770D6"/>
    <w:rsid w:val="00486842"/>
    <w:rsid w:val="0049246C"/>
    <w:rsid w:val="0049270D"/>
    <w:rsid w:val="004946D9"/>
    <w:rsid w:val="004C4931"/>
    <w:rsid w:val="004F6117"/>
    <w:rsid w:val="004F63F1"/>
    <w:rsid w:val="004F651E"/>
    <w:rsid w:val="0052596B"/>
    <w:rsid w:val="00536043"/>
    <w:rsid w:val="0054769F"/>
    <w:rsid w:val="00554D8D"/>
    <w:rsid w:val="005704FF"/>
    <w:rsid w:val="005736FF"/>
    <w:rsid w:val="00573835"/>
    <w:rsid w:val="00581306"/>
    <w:rsid w:val="005A6D91"/>
    <w:rsid w:val="005C3105"/>
    <w:rsid w:val="005D02B1"/>
    <w:rsid w:val="005E2A46"/>
    <w:rsid w:val="005F1822"/>
    <w:rsid w:val="005F629E"/>
    <w:rsid w:val="0062359D"/>
    <w:rsid w:val="00631181"/>
    <w:rsid w:val="0065465A"/>
    <w:rsid w:val="00657035"/>
    <w:rsid w:val="00676665"/>
    <w:rsid w:val="00691FD2"/>
    <w:rsid w:val="00692C2F"/>
    <w:rsid w:val="00695797"/>
    <w:rsid w:val="00696632"/>
    <w:rsid w:val="00696A5E"/>
    <w:rsid w:val="00696AC2"/>
    <w:rsid w:val="006A2D15"/>
    <w:rsid w:val="006B1399"/>
    <w:rsid w:val="006B3B69"/>
    <w:rsid w:val="006B79A6"/>
    <w:rsid w:val="006C3BA5"/>
    <w:rsid w:val="006C58A3"/>
    <w:rsid w:val="006E392F"/>
    <w:rsid w:val="006E4941"/>
    <w:rsid w:val="00703DCC"/>
    <w:rsid w:val="00715F18"/>
    <w:rsid w:val="00716BF7"/>
    <w:rsid w:val="0073435F"/>
    <w:rsid w:val="00734613"/>
    <w:rsid w:val="00751910"/>
    <w:rsid w:val="00751E60"/>
    <w:rsid w:val="007547B5"/>
    <w:rsid w:val="007560F6"/>
    <w:rsid w:val="00770EAB"/>
    <w:rsid w:val="00780FC9"/>
    <w:rsid w:val="00787894"/>
    <w:rsid w:val="00795A9E"/>
    <w:rsid w:val="007A0CC5"/>
    <w:rsid w:val="007A606D"/>
    <w:rsid w:val="007A6A00"/>
    <w:rsid w:val="007C2214"/>
    <w:rsid w:val="007C73B6"/>
    <w:rsid w:val="007D632E"/>
    <w:rsid w:val="007E4AC4"/>
    <w:rsid w:val="00807B48"/>
    <w:rsid w:val="008135CA"/>
    <w:rsid w:val="0081584F"/>
    <w:rsid w:val="00863C70"/>
    <w:rsid w:val="008664E5"/>
    <w:rsid w:val="008703BF"/>
    <w:rsid w:val="00870D20"/>
    <w:rsid w:val="008925CE"/>
    <w:rsid w:val="008C41D0"/>
    <w:rsid w:val="008C4D41"/>
    <w:rsid w:val="008D00FE"/>
    <w:rsid w:val="0092003E"/>
    <w:rsid w:val="00920AEF"/>
    <w:rsid w:val="009359B5"/>
    <w:rsid w:val="00975AAA"/>
    <w:rsid w:val="0097760B"/>
    <w:rsid w:val="00981F45"/>
    <w:rsid w:val="00991C3A"/>
    <w:rsid w:val="00994D12"/>
    <w:rsid w:val="009A75F2"/>
    <w:rsid w:val="009B07CB"/>
    <w:rsid w:val="009B128B"/>
    <w:rsid w:val="009C7247"/>
    <w:rsid w:val="009D0BB6"/>
    <w:rsid w:val="009E6EAC"/>
    <w:rsid w:val="009E7E5A"/>
    <w:rsid w:val="009F094F"/>
    <w:rsid w:val="009F4C24"/>
    <w:rsid w:val="00A00A6B"/>
    <w:rsid w:val="00A16F07"/>
    <w:rsid w:val="00A23A8E"/>
    <w:rsid w:val="00A34555"/>
    <w:rsid w:val="00A51B22"/>
    <w:rsid w:val="00A62C7B"/>
    <w:rsid w:val="00A64D7F"/>
    <w:rsid w:val="00A654BB"/>
    <w:rsid w:val="00A7709A"/>
    <w:rsid w:val="00AB1936"/>
    <w:rsid w:val="00AC5685"/>
    <w:rsid w:val="00AE1842"/>
    <w:rsid w:val="00AE3C7C"/>
    <w:rsid w:val="00AF76BF"/>
    <w:rsid w:val="00B31306"/>
    <w:rsid w:val="00B42814"/>
    <w:rsid w:val="00B46B58"/>
    <w:rsid w:val="00B46BFD"/>
    <w:rsid w:val="00B5062A"/>
    <w:rsid w:val="00B83936"/>
    <w:rsid w:val="00B91472"/>
    <w:rsid w:val="00BD6EB7"/>
    <w:rsid w:val="00BE34AF"/>
    <w:rsid w:val="00BE48B5"/>
    <w:rsid w:val="00C54D27"/>
    <w:rsid w:val="00C61F76"/>
    <w:rsid w:val="00C76EEB"/>
    <w:rsid w:val="00C82C24"/>
    <w:rsid w:val="00C86287"/>
    <w:rsid w:val="00CA0AC1"/>
    <w:rsid w:val="00CA4635"/>
    <w:rsid w:val="00CE211F"/>
    <w:rsid w:val="00D01F5A"/>
    <w:rsid w:val="00D1716E"/>
    <w:rsid w:val="00D27A57"/>
    <w:rsid w:val="00D34E1D"/>
    <w:rsid w:val="00D414A7"/>
    <w:rsid w:val="00D64E05"/>
    <w:rsid w:val="00D82109"/>
    <w:rsid w:val="00D92FD3"/>
    <w:rsid w:val="00DA3B6E"/>
    <w:rsid w:val="00DB7581"/>
    <w:rsid w:val="00DB7D2F"/>
    <w:rsid w:val="00DC4A73"/>
    <w:rsid w:val="00DC70C1"/>
    <w:rsid w:val="00DD61EA"/>
    <w:rsid w:val="00DE28F6"/>
    <w:rsid w:val="00DF7C59"/>
    <w:rsid w:val="00E053FC"/>
    <w:rsid w:val="00E106DE"/>
    <w:rsid w:val="00E236B3"/>
    <w:rsid w:val="00E33A21"/>
    <w:rsid w:val="00E57A7D"/>
    <w:rsid w:val="00E83C12"/>
    <w:rsid w:val="00E904C8"/>
    <w:rsid w:val="00EA1BBF"/>
    <w:rsid w:val="00EB29A9"/>
    <w:rsid w:val="00EB77D2"/>
    <w:rsid w:val="00EC4F00"/>
    <w:rsid w:val="00EF0A21"/>
    <w:rsid w:val="00F05060"/>
    <w:rsid w:val="00F15A28"/>
    <w:rsid w:val="00F2504C"/>
    <w:rsid w:val="00F316C8"/>
    <w:rsid w:val="00F508F0"/>
    <w:rsid w:val="00F632DE"/>
    <w:rsid w:val="00F735E4"/>
    <w:rsid w:val="00F966DB"/>
    <w:rsid w:val="00FA62EF"/>
    <w:rsid w:val="00FA74A4"/>
    <w:rsid w:val="00FA7557"/>
    <w:rsid w:val="00FB1599"/>
    <w:rsid w:val="00FB7834"/>
    <w:rsid w:val="00FC17A7"/>
    <w:rsid w:val="00FD4B6A"/>
    <w:rsid w:val="00FF03A8"/>
    <w:rsid w:val="00FF63EA"/>
    <w:rsid w:val="10CEC173"/>
    <w:rsid w:val="64421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BB5451C6-C796-4FF7-9A72-A7A4E4DE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qFormat/>
    <w:rsid w:val="00222F70"/>
    <w:pPr>
      <w:numPr>
        <w:numId w:val="1"/>
      </w:numPr>
      <w:spacing w:after="0" w:line="288" w:lineRule="auto"/>
      <w:ind w:left="567" w:hanging="567"/>
      <w:jc w:val="both"/>
      <w:outlineLvl w:val="0"/>
    </w:pPr>
    <w:rPr>
      <w:rFonts w:ascii="Times New Roman" w:eastAsia="Times New Roman" w:hAnsi="Times New Roman"/>
      <w:kern w:val="28"/>
      <w:lang w:val="en-US"/>
    </w:rPr>
  </w:style>
  <w:style w:type="paragraph" w:styleId="Heading2">
    <w:name w:val="heading 2"/>
    <w:basedOn w:val="Normal"/>
    <w:next w:val="Normal"/>
    <w:link w:val="Heading2Char"/>
    <w:qFormat/>
    <w:rsid w:val="00222F70"/>
    <w:pPr>
      <w:numPr>
        <w:ilvl w:val="1"/>
        <w:numId w:val="1"/>
      </w:numPr>
      <w:spacing w:after="0" w:line="288" w:lineRule="auto"/>
      <w:jc w:val="both"/>
      <w:outlineLvl w:val="1"/>
    </w:pPr>
    <w:rPr>
      <w:rFonts w:ascii="Times New Roman" w:eastAsia="Times New Roman" w:hAnsi="Times New Roman"/>
      <w:lang w:val="en-US"/>
    </w:rPr>
  </w:style>
  <w:style w:type="paragraph" w:styleId="Heading3">
    <w:name w:val="heading 3"/>
    <w:basedOn w:val="Normal"/>
    <w:next w:val="Normal"/>
    <w:link w:val="Heading3Char"/>
    <w:qFormat/>
    <w:rsid w:val="00222F70"/>
    <w:pPr>
      <w:numPr>
        <w:ilvl w:val="2"/>
        <w:numId w:val="1"/>
      </w:numPr>
      <w:spacing w:after="0" w:line="288" w:lineRule="auto"/>
      <w:ind w:left="567" w:hanging="567"/>
      <w:jc w:val="both"/>
      <w:outlineLvl w:val="2"/>
    </w:pPr>
    <w:rPr>
      <w:rFonts w:ascii="Times New Roman" w:eastAsia="Times New Roman" w:hAnsi="Times New Roman"/>
      <w:lang w:val="en-US"/>
    </w:rPr>
  </w:style>
  <w:style w:type="paragraph" w:styleId="Heading4">
    <w:name w:val="heading 4"/>
    <w:basedOn w:val="Normal"/>
    <w:next w:val="Normal"/>
    <w:link w:val="Heading4Char"/>
    <w:qFormat/>
    <w:rsid w:val="00222F70"/>
    <w:pPr>
      <w:numPr>
        <w:ilvl w:val="3"/>
        <w:numId w:val="1"/>
      </w:numPr>
      <w:spacing w:after="0" w:line="288" w:lineRule="auto"/>
      <w:ind w:left="567" w:hanging="567"/>
      <w:jc w:val="both"/>
      <w:outlineLvl w:val="3"/>
    </w:pPr>
    <w:rPr>
      <w:rFonts w:ascii="Times New Roman" w:eastAsia="Times New Roman" w:hAnsi="Times New Roman"/>
      <w:lang w:val="en-US"/>
    </w:rPr>
  </w:style>
  <w:style w:type="paragraph" w:styleId="Heading5">
    <w:name w:val="heading 5"/>
    <w:basedOn w:val="Normal"/>
    <w:next w:val="Normal"/>
    <w:link w:val="Heading5Char"/>
    <w:qFormat/>
    <w:rsid w:val="00222F70"/>
    <w:pPr>
      <w:numPr>
        <w:ilvl w:val="4"/>
        <w:numId w:val="1"/>
      </w:numPr>
      <w:spacing w:after="0" w:line="288" w:lineRule="auto"/>
      <w:ind w:left="567" w:hanging="567"/>
      <w:jc w:val="both"/>
      <w:outlineLvl w:val="4"/>
    </w:pPr>
    <w:rPr>
      <w:rFonts w:ascii="Times New Roman" w:eastAsia="Times New Roman" w:hAnsi="Times New Roman"/>
      <w:lang w:val="en-US"/>
    </w:rPr>
  </w:style>
  <w:style w:type="paragraph" w:styleId="Heading6">
    <w:name w:val="heading 6"/>
    <w:basedOn w:val="Normal"/>
    <w:next w:val="Normal"/>
    <w:link w:val="Heading6Char"/>
    <w:qFormat/>
    <w:rsid w:val="00222F70"/>
    <w:pPr>
      <w:numPr>
        <w:ilvl w:val="5"/>
        <w:numId w:val="1"/>
      </w:numPr>
      <w:spacing w:after="0" w:line="288" w:lineRule="auto"/>
      <w:ind w:left="567" w:hanging="567"/>
      <w:jc w:val="both"/>
      <w:outlineLvl w:val="5"/>
    </w:pPr>
    <w:rPr>
      <w:rFonts w:ascii="Times New Roman" w:eastAsia="Times New Roman" w:hAnsi="Times New Roman"/>
      <w:lang w:val="en-US"/>
    </w:rPr>
  </w:style>
  <w:style w:type="paragraph" w:styleId="Heading7">
    <w:name w:val="heading 7"/>
    <w:basedOn w:val="Normal"/>
    <w:next w:val="Normal"/>
    <w:link w:val="Heading7Char"/>
    <w:qFormat/>
    <w:rsid w:val="00222F70"/>
    <w:pPr>
      <w:numPr>
        <w:ilvl w:val="6"/>
        <w:numId w:val="1"/>
      </w:numPr>
      <w:spacing w:after="0" w:line="288" w:lineRule="auto"/>
      <w:ind w:left="567" w:hanging="567"/>
      <w:jc w:val="both"/>
      <w:outlineLvl w:val="6"/>
    </w:pPr>
    <w:rPr>
      <w:rFonts w:ascii="Times New Roman" w:eastAsia="Times New Roman" w:hAnsi="Times New Roman"/>
      <w:lang w:val="en-US"/>
    </w:rPr>
  </w:style>
  <w:style w:type="paragraph" w:styleId="Heading8">
    <w:name w:val="heading 8"/>
    <w:basedOn w:val="Normal"/>
    <w:next w:val="Normal"/>
    <w:link w:val="Heading8Char"/>
    <w:qFormat/>
    <w:rsid w:val="00222F70"/>
    <w:pPr>
      <w:numPr>
        <w:ilvl w:val="7"/>
        <w:numId w:val="1"/>
      </w:numPr>
      <w:spacing w:after="0" w:line="288" w:lineRule="auto"/>
      <w:ind w:left="567" w:hanging="567"/>
      <w:jc w:val="both"/>
      <w:outlineLvl w:val="7"/>
    </w:pPr>
    <w:rPr>
      <w:rFonts w:ascii="Times New Roman" w:eastAsia="Times New Roman" w:hAnsi="Times New Roman"/>
      <w:lang w:val="en-US"/>
    </w:rPr>
  </w:style>
  <w:style w:type="paragraph" w:styleId="Heading9">
    <w:name w:val="heading 9"/>
    <w:basedOn w:val="Normal"/>
    <w:next w:val="Normal"/>
    <w:link w:val="Heading9Char"/>
    <w:qFormat/>
    <w:rsid w:val="00222F70"/>
    <w:pPr>
      <w:numPr>
        <w:ilvl w:val="8"/>
        <w:numId w:val="1"/>
      </w:numPr>
      <w:spacing w:after="0" w:line="288" w:lineRule="auto"/>
      <w:ind w:left="567" w:hanging="567"/>
      <w:jc w:val="both"/>
      <w:outlineLvl w:val="8"/>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2F70"/>
    <w:rPr>
      <w:rFonts w:ascii="Times New Roman" w:eastAsia="Times New Roman" w:hAnsi="Times New Roman"/>
      <w:kern w:val="28"/>
      <w:sz w:val="22"/>
      <w:szCs w:val="22"/>
      <w:lang w:val="en-US" w:eastAsia="en-US"/>
    </w:rPr>
  </w:style>
  <w:style w:type="character" w:customStyle="1" w:styleId="Heading2Char">
    <w:name w:val="Heading 2 Char"/>
    <w:link w:val="Heading2"/>
    <w:rsid w:val="00222F70"/>
    <w:rPr>
      <w:rFonts w:ascii="Times New Roman" w:eastAsia="Times New Roman" w:hAnsi="Times New Roman"/>
      <w:sz w:val="22"/>
      <w:szCs w:val="22"/>
      <w:lang w:val="en-US" w:eastAsia="en-US"/>
    </w:rPr>
  </w:style>
  <w:style w:type="character" w:customStyle="1" w:styleId="Heading3Char">
    <w:name w:val="Heading 3 Char"/>
    <w:link w:val="Heading3"/>
    <w:rsid w:val="00222F70"/>
    <w:rPr>
      <w:rFonts w:ascii="Times New Roman" w:eastAsia="Times New Roman" w:hAnsi="Times New Roman"/>
      <w:sz w:val="22"/>
      <w:szCs w:val="22"/>
      <w:lang w:val="en-US" w:eastAsia="en-US"/>
    </w:rPr>
  </w:style>
  <w:style w:type="character" w:customStyle="1" w:styleId="Heading4Char">
    <w:name w:val="Heading 4 Char"/>
    <w:link w:val="Heading4"/>
    <w:rsid w:val="00222F70"/>
    <w:rPr>
      <w:rFonts w:ascii="Times New Roman" w:eastAsia="Times New Roman" w:hAnsi="Times New Roman"/>
      <w:sz w:val="22"/>
      <w:szCs w:val="22"/>
      <w:lang w:val="en-US" w:eastAsia="en-US"/>
    </w:rPr>
  </w:style>
  <w:style w:type="character" w:customStyle="1" w:styleId="Heading5Char">
    <w:name w:val="Heading 5 Char"/>
    <w:link w:val="Heading5"/>
    <w:rsid w:val="00222F70"/>
    <w:rPr>
      <w:rFonts w:ascii="Times New Roman" w:eastAsia="Times New Roman" w:hAnsi="Times New Roman"/>
      <w:sz w:val="22"/>
      <w:szCs w:val="22"/>
      <w:lang w:val="en-US" w:eastAsia="en-US"/>
    </w:rPr>
  </w:style>
  <w:style w:type="character" w:customStyle="1" w:styleId="Heading6Char">
    <w:name w:val="Heading 6 Char"/>
    <w:link w:val="Heading6"/>
    <w:rsid w:val="00222F70"/>
    <w:rPr>
      <w:rFonts w:ascii="Times New Roman" w:eastAsia="Times New Roman" w:hAnsi="Times New Roman"/>
      <w:sz w:val="22"/>
      <w:szCs w:val="22"/>
      <w:lang w:val="en-US" w:eastAsia="en-US"/>
    </w:rPr>
  </w:style>
  <w:style w:type="character" w:customStyle="1" w:styleId="Heading7Char">
    <w:name w:val="Heading 7 Char"/>
    <w:link w:val="Heading7"/>
    <w:rsid w:val="00222F70"/>
    <w:rPr>
      <w:rFonts w:ascii="Times New Roman" w:eastAsia="Times New Roman" w:hAnsi="Times New Roman"/>
      <w:sz w:val="22"/>
      <w:szCs w:val="22"/>
      <w:lang w:val="en-US" w:eastAsia="en-US"/>
    </w:rPr>
  </w:style>
  <w:style w:type="character" w:customStyle="1" w:styleId="Heading8Char">
    <w:name w:val="Heading 8 Char"/>
    <w:link w:val="Heading8"/>
    <w:rsid w:val="00222F70"/>
    <w:rPr>
      <w:rFonts w:ascii="Times New Roman" w:eastAsia="Times New Roman" w:hAnsi="Times New Roman"/>
      <w:sz w:val="22"/>
      <w:szCs w:val="22"/>
      <w:lang w:val="en-US" w:eastAsia="en-US"/>
    </w:rPr>
  </w:style>
  <w:style w:type="character" w:customStyle="1" w:styleId="Heading9Char">
    <w:name w:val="Heading 9 Char"/>
    <w:link w:val="Heading9"/>
    <w:rsid w:val="00222F70"/>
    <w:rPr>
      <w:rFonts w:ascii="Times New Roman" w:eastAsia="Times New Roman" w:hAnsi="Times New Roman"/>
      <w:sz w:val="22"/>
      <w:szCs w:val="22"/>
      <w:lang w:val="en-US" w:eastAsia="en-US"/>
    </w:rPr>
  </w:style>
  <w:style w:type="paragraph" w:styleId="ListParagraph">
    <w:name w:val="List Paragraph"/>
    <w:aliases w:val="Table/Figure Heading,Colorful List - Accent 11,Dot pt,F5 List Paragraph,List Paragraph1,No Spacing1,List Paragraph Char Char Char,Indicator Text,Numbered Para 1,Bullet 1,Bullet Points,MAIN CONTENT,List Paragraph11,List Paragraph12,L"/>
    <w:basedOn w:val="Normal"/>
    <w:link w:val="ListParagraphChar"/>
    <w:uiPriority w:val="34"/>
    <w:qFormat/>
    <w:rsid w:val="00B46BFD"/>
    <w:pPr>
      <w:ind w:left="720"/>
      <w:contextualSpacing/>
    </w:pPr>
  </w:style>
  <w:style w:type="character" w:customStyle="1" w:styleId="ListParagraphChar">
    <w:name w:val="List Paragraph Char"/>
    <w:aliases w:val="Table/Figure Heading Char,Colorful List - Accent 11 Char,Dot pt Char,F5 List Paragraph Char,List Paragraph1 Char,No Spacing1 Char,List Paragraph Char Char Char Char,Indicator Text Char,Numbered Para 1 Char,Bullet 1 Char,L Char"/>
    <w:link w:val="ListParagraph"/>
    <w:uiPriority w:val="34"/>
    <w:qFormat/>
    <w:locked/>
    <w:rsid w:val="00B46BFD"/>
    <w:rPr>
      <w:sz w:val="22"/>
      <w:szCs w:val="22"/>
      <w:lang w:eastAsia="en-US"/>
    </w:rPr>
  </w:style>
  <w:style w:type="paragraph" w:styleId="Revision">
    <w:name w:val="Revision"/>
    <w:hidden/>
    <w:uiPriority w:val="99"/>
    <w:semiHidden/>
    <w:rsid w:val="009D0BB6"/>
    <w:rPr>
      <w:sz w:val="22"/>
      <w:szCs w:val="22"/>
      <w:lang w:val="en-GB" w:eastAsia="en-US"/>
    </w:rPr>
  </w:style>
  <w:style w:type="character" w:styleId="CommentReference">
    <w:name w:val="annotation reference"/>
    <w:uiPriority w:val="99"/>
    <w:semiHidden/>
    <w:unhideWhenUsed/>
    <w:rsid w:val="0031236D"/>
    <w:rPr>
      <w:sz w:val="16"/>
      <w:szCs w:val="16"/>
    </w:rPr>
  </w:style>
  <w:style w:type="paragraph" w:styleId="CommentText">
    <w:name w:val="annotation text"/>
    <w:basedOn w:val="Normal"/>
    <w:link w:val="CommentTextChar"/>
    <w:uiPriority w:val="99"/>
    <w:unhideWhenUsed/>
    <w:rsid w:val="0031236D"/>
    <w:rPr>
      <w:sz w:val="20"/>
      <w:szCs w:val="20"/>
    </w:rPr>
  </w:style>
  <w:style w:type="character" w:customStyle="1" w:styleId="CommentTextChar">
    <w:name w:val="Comment Text Char"/>
    <w:link w:val="CommentText"/>
    <w:uiPriority w:val="99"/>
    <w:rsid w:val="0031236D"/>
    <w:rPr>
      <w:lang w:val="en-GB" w:eastAsia="en-US"/>
    </w:rPr>
  </w:style>
  <w:style w:type="paragraph" w:styleId="CommentSubject">
    <w:name w:val="annotation subject"/>
    <w:basedOn w:val="CommentText"/>
    <w:next w:val="CommentText"/>
    <w:link w:val="CommentSubjectChar"/>
    <w:uiPriority w:val="99"/>
    <w:semiHidden/>
    <w:unhideWhenUsed/>
    <w:rsid w:val="0031236D"/>
    <w:rPr>
      <w:b/>
      <w:bCs/>
    </w:rPr>
  </w:style>
  <w:style w:type="character" w:customStyle="1" w:styleId="CommentSubjectChar">
    <w:name w:val="Comment Subject Char"/>
    <w:link w:val="CommentSubject"/>
    <w:uiPriority w:val="99"/>
    <w:semiHidden/>
    <w:rsid w:val="0031236D"/>
    <w:rPr>
      <w:b/>
      <w:bCs/>
      <w:lang w:val="en-GB" w:eastAsia="en-US"/>
    </w:rPr>
  </w:style>
  <w:style w:type="character" w:styleId="Hyperlink">
    <w:name w:val="Hyperlink"/>
    <w:uiPriority w:val="99"/>
    <w:unhideWhenUsed/>
    <w:rsid w:val="00CA4635"/>
    <w:rPr>
      <w:color w:val="0563C1"/>
      <w:u w:val="single"/>
    </w:rPr>
  </w:style>
  <w:style w:type="character" w:styleId="UnresolvedMention">
    <w:name w:val="Unresolved Mention"/>
    <w:uiPriority w:val="99"/>
    <w:semiHidden/>
    <w:unhideWhenUsed/>
    <w:rsid w:val="00CA4635"/>
    <w:rPr>
      <w:color w:val="605E5C"/>
      <w:shd w:val="clear" w:color="auto" w:fill="E1DFDD"/>
    </w:rPr>
  </w:style>
  <w:style w:type="paragraph" w:styleId="Header">
    <w:name w:val="header"/>
    <w:basedOn w:val="Normal"/>
    <w:link w:val="HeaderChar"/>
    <w:uiPriority w:val="99"/>
    <w:semiHidden/>
    <w:unhideWhenUsed/>
    <w:rsid w:val="009359B5"/>
    <w:pPr>
      <w:tabs>
        <w:tab w:val="center" w:pos="4513"/>
        <w:tab w:val="right" w:pos="9026"/>
      </w:tabs>
    </w:pPr>
  </w:style>
  <w:style w:type="character" w:customStyle="1" w:styleId="HeaderChar">
    <w:name w:val="Header Char"/>
    <w:basedOn w:val="DefaultParagraphFont"/>
    <w:link w:val="Header"/>
    <w:uiPriority w:val="99"/>
    <w:semiHidden/>
    <w:rsid w:val="009359B5"/>
    <w:rPr>
      <w:sz w:val="22"/>
      <w:szCs w:val="22"/>
      <w:lang w:val="en-GB" w:eastAsia="en-US"/>
    </w:rPr>
  </w:style>
  <w:style w:type="paragraph" w:styleId="Footer">
    <w:name w:val="footer"/>
    <w:basedOn w:val="Normal"/>
    <w:link w:val="FooterChar"/>
    <w:uiPriority w:val="99"/>
    <w:semiHidden/>
    <w:unhideWhenUsed/>
    <w:rsid w:val="009359B5"/>
    <w:pPr>
      <w:tabs>
        <w:tab w:val="center" w:pos="4513"/>
        <w:tab w:val="right" w:pos="9026"/>
      </w:tabs>
    </w:pPr>
  </w:style>
  <w:style w:type="character" w:customStyle="1" w:styleId="FooterChar">
    <w:name w:val="Footer Char"/>
    <w:basedOn w:val="DefaultParagraphFont"/>
    <w:link w:val="Footer"/>
    <w:uiPriority w:val="99"/>
    <w:semiHidden/>
    <w:rsid w:val="009359B5"/>
    <w:rPr>
      <w:sz w:val="22"/>
      <w:szCs w:val="22"/>
      <w:lang w:val="en-GB" w:eastAsia="en-US"/>
    </w:rPr>
  </w:style>
  <w:style w:type="paragraph" w:styleId="FootnoteText">
    <w:name w:val="footnote text"/>
    <w:basedOn w:val="Normal"/>
    <w:link w:val="FootnoteTextChar"/>
    <w:uiPriority w:val="99"/>
    <w:semiHidden/>
    <w:unhideWhenUsed/>
    <w:rsid w:val="00AB1936"/>
    <w:rPr>
      <w:sz w:val="20"/>
      <w:szCs w:val="20"/>
    </w:rPr>
  </w:style>
  <w:style w:type="character" w:customStyle="1" w:styleId="FootnoteTextChar">
    <w:name w:val="Footnote Text Char"/>
    <w:basedOn w:val="DefaultParagraphFont"/>
    <w:link w:val="FootnoteText"/>
    <w:uiPriority w:val="99"/>
    <w:semiHidden/>
    <w:rsid w:val="00AB1936"/>
    <w:rPr>
      <w:lang w:val="en-GB" w:eastAsia="en-US"/>
    </w:rPr>
  </w:style>
  <w:style w:type="character" w:styleId="FootnoteReference">
    <w:name w:val="footnote reference"/>
    <w:basedOn w:val="DefaultParagraphFont"/>
    <w:uiPriority w:val="99"/>
    <w:semiHidden/>
    <w:unhideWhenUsed/>
    <w:rsid w:val="00AB1936"/>
    <w:rPr>
      <w:vertAlign w:val="superscript"/>
    </w:rPr>
  </w:style>
  <w:style w:type="character" w:styleId="FollowedHyperlink">
    <w:name w:val="FollowedHyperlink"/>
    <w:basedOn w:val="DefaultParagraphFont"/>
    <w:uiPriority w:val="99"/>
    <w:semiHidden/>
    <w:unhideWhenUsed/>
    <w:rsid w:val="00AB19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019448">
      <w:bodyDiv w:val="1"/>
      <w:marLeft w:val="0"/>
      <w:marRight w:val="0"/>
      <w:marTop w:val="0"/>
      <w:marBottom w:val="0"/>
      <w:divBdr>
        <w:top w:val="none" w:sz="0" w:space="0" w:color="auto"/>
        <w:left w:val="none" w:sz="0" w:space="0" w:color="auto"/>
        <w:bottom w:val="none" w:sz="0" w:space="0" w:color="auto"/>
        <w:right w:val="none" w:sz="0" w:space="0" w:color="auto"/>
      </w:divBdr>
    </w:div>
    <w:div w:id="1159661147">
      <w:bodyDiv w:val="1"/>
      <w:marLeft w:val="0"/>
      <w:marRight w:val="0"/>
      <w:marTop w:val="0"/>
      <w:marBottom w:val="0"/>
      <w:divBdr>
        <w:top w:val="none" w:sz="0" w:space="0" w:color="auto"/>
        <w:left w:val="none" w:sz="0" w:space="0" w:color="auto"/>
        <w:bottom w:val="none" w:sz="0" w:space="0" w:color="auto"/>
        <w:right w:val="none" w:sz="0" w:space="0" w:color="auto"/>
      </w:divBdr>
    </w:div>
    <w:div w:id="212927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B821FD596CA4199F5E15CA8AF115B" ma:contentTypeVersion="16" ma:contentTypeDescription="Create a new document." ma:contentTypeScope="" ma:versionID="01553f68f61ea4e0b0fd6c5eeb5116ae">
  <xsd:schema xmlns:xsd="http://www.w3.org/2001/XMLSchema" xmlns:xs="http://www.w3.org/2001/XMLSchema" xmlns:p="http://schemas.microsoft.com/office/2006/metadata/properties" xmlns:ns2="6d5ad584-533d-4d9e-8d12-f1eda2044479" xmlns:ns3="93584799-4ddd-4bd3-91b5-fd19e73f04ec" targetNamespace="http://schemas.microsoft.com/office/2006/metadata/properties" ma:root="true" ma:fieldsID="039e51d55bc7845308b967621d5ec12e" ns2:_="" ns3:_="">
    <xsd:import namespace="6d5ad584-533d-4d9e-8d12-f1eda2044479"/>
    <xsd:import namespace="93584799-4ddd-4bd3-91b5-fd19e73f04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ad584-533d-4d9e-8d12-f1eda2044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584799-4ddd-4bd3-91b5-fd19e73f04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f2a1e42-208f-43bc-ba0e-2c0b5f9b1fb8}" ma:internalName="TaxCatchAll" ma:showField="CatchAllData" ma:web="93584799-4ddd-4bd3-91b5-fd19e73f04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3584799-4ddd-4bd3-91b5-fd19e73f04ec" xsi:nil="true"/>
    <lcf76f155ced4ddcb4097134ff3c332f xmlns="6d5ad584-533d-4d9e-8d12-f1eda204447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6813E2-1AB7-4AF3-A503-17477A182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ad584-533d-4d9e-8d12-f1eda2044479"/>
    <ds:schemaRef ds:uri="93584799-4ddd-4bd3-91b5-fd19e73f04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77A193-E33B-4169-9C00-2FA1C004FE1C}">
  <ds:schemaRefs>
    <ds:schemaRef ds:uri="http://schemas.openxmlformats.org/officeDocument/2006/bibliography"/>
  </ds:schemaRefs>
</ds:datastoreItem>
</file>

<file path=customXml/itemProps3.xml><?xml version="1.0" encoding="utf-8"?>
<ds:datastoreItem xmlns:ds="http://schemas.openxmlformats.org/officeDocument/2006/customXml" ds:itemID="{4E05EF61-4BC9-4F6F-AAE8-2CF46EE78D71}">
  <ds:schemaRefs>
    <ds:schemaRef ds:uri="http://schemas.microsoft.com/office/infopath/2007/PartnerControls"/>
    <ds:schemaRef ds:uri="http://schemas.microsoft.com/office/2006/documentManagement/types"/>
    <ds:schemaRef ds:uri="93584799-4ddd-4bd3-91b5-fd19e73f04ec"/>
    <ds:schemaRef ds:uri="http://www.w3.org/XML/1998/namespace"/>
    <ds:schemaRef ds:uri="http://schemas.openxmlformats.org/package/2006/metadata/core-properties"/>
    <ds:schemaRef ds:uri="http://purl.org/dc/terms/"/>
    <ds:schemaRef ds:uri="http://purl.org/dc/dcmitype/"/>
    <ds:schemaRef ds:uri="6d5ad584-533d-4d9e-8d12-f1eda2044479"/>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2F74825A-14CB-4067-A3F7-95508FAC56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948</Words>
  <Characters>5370</Characters>
  <Application>Microsoft Office Word</Application>
  <DocSecurity>0</DocSecurity>
  <Lines>82</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STEPIEN Beata (SG)</cp:lastModifiedBy>
  <cp:revision>3</cp:revision>
  <cp:lastPrinted>2024-07-24T17:36:00Z</cp:lastPrinted>
  <dcterms:created xsi:type="dcterms:W3CDTF">2025-04-25T07:18:00Z</dcterms:created>
  <dcterms:modified xsi:type="dcterms:W3CDTF">2025-04-25T07:22:00Z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0x010100852B821FD596CA4199F5E15CA8AF115B</vt:lpwstr>
  </property>
  <property fmtid="{D5CDD505-2E9C-101B-9397-08002B2CF9AE}" pid="10" name="MediaServiceImageTags">
    <vt:lpwstr/>
  </property>
</Properties>
</file>