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4D4F00" w14:paraId="02555730" w14:textId="38F7BF27">
      <w:pPr>
        <w:jc w:val="right"/>
      </w:pPr>
      <w:r>
        <w:rPr>
          <w:b/>
        </w:rPr>
        <w:t>SOC</w:t>
      </w:r>
      <w:r w:rsidRPr="0082636E" w:rsidR="0015330A">
        <w:rPr>
          <w:b/>
        </w:rPr>
        <w:t>/</w:t>
      </w:r>
      <w:r>
        <w:rPr>
          <w:b/>
        </w:rPr>
        <w:t>817</w:t>
      </w:r>
    </w:p>
    <w:p w:rsidRPr="00A67235" w:rsidR="000E4B6B" w:rsidP="0015330A" w:rsidRDefault="004D4F00" w14:paraId="1EFE7F2B" w14:textId="37531101">
      <w:pPr>
        <w:jc w:val="right"/>
      </w:pPr>
      <w:r w:rsidRPr="004D4F00">
        <w:rPr>
          <w:b/>
        </w:rPr>
        <w:t>Older people in employment</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4C7F2224">
      <w:pPr>
        <w:jc w:val="right"/>
      </w:pPr>
      <w:r w:rsidRPr="00A67235">
        <w:t xml:space="preserve">Brussels, </w:t>
      </w:r>
      <w:r w:rsidR="004D4F00">
        <w:t>27 February 2025</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4D4F00" w:rsidR="00964A13" w:rsidP="004D4F00" w:rsidRDefault="00964A13" w14:paraId="1CA7DBC6" w14:textId="0FA935E5">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bookmarkStart w:name="_Hlk191553780" w:id="1"/>
      <w:r w:rsidRPr="004D4F00" w:rsidR="004D4F00">
        <w:rPr>
          <w:b/>
          <w:bCs/>
        </w:rPr>
        <w:t>Older people in employment – systemic factors in choosing to work for longer</w:t>
      </w:r>
      <w:r w:rsidRPr="00A67235">
        <w:rPr>
          <w:b/>
          <w:bCs/>
        </w:rPr>
        <w:br/>
      </w:r>
      <w:r w:rsidRPr="004D4F00" w:rsidR="004D4F00">
        <w:t>(exploratory opinion requested by the Polish Presidency of the Council of the EU)</w:t>
      </w:r>
      <w:bookmarkEnd w:id="1"/>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4D4F00" w14:paraId="0FA745B1" w14:textId="063419CB">
      <w:pPr>
        <w:jc w:val="center"/>
        <w:rPr>
          <w:bCs/>
        </w:rPr>
      </w:pPr>
      <w:r>
        <w:t>594</w:t>
      </w:r>
      <w:r w:rsidR="00177DAC">
        <w:t xml:space="preserve"> </w:t>
      </w:r>
      <w:r w:rsidR="0015330A">
        <w:t>plenary session</w:t>
      </w:r>
      <w:r w:rsidR="009E138D">
        <w:br/>
      </w:r>
      <w:r w:rsidR="009E138D">
        <w:rPr>
          <w:bCs/>
        </w:rPr>
        <w:br/>
      </w:r>
      <w:r w:rsidRPr="00A67235" w:rsidR="00964A13">
        <w:rPr>
          <w:bCs/>
        </w:rPr>
        <w:t>Brussels</w:t>
      </w:r>
      <w:r w:rsidR="009E138D">
        <w:rPr>
          <w:bCs/>
        </w:rPr>
        <w:br/>
      </w:r>
      <w:r>
        <w:rPr>
          <w:bCs/>
        </w:rPr>
        <w:t>26</w:t>
      </w:r>
      <w:r w:rsidR="0015330A">
        <w:rPr>
          <w:bCs/>
        </w:rPr>
        <w:t>-</w:t>
      </w:r>
      <w:r>
        <w:rPr>
          <w:bCs/>
        </w:rPr>
        <w:t>27 February 2025</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6CFA7CDF">
      <w:pPr>
        <w:jc w:val="center"/>
      </w:pPr>
      <w:r w:rsidRPr="00A67235">
        <w:t xml:space="preserve">Meeting of </w:t>
      </w:r>
      <w:r w:rsidRPr="004D4F00" w:rsidR="004D4F00">
        <w:t>27 February</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6222F7EC">
      <w:pPr>
        <w:pStyle w:val="Footer"/>
        <w:jc w:val="center"/>
      </w:pPr>
      <w:r w:rsidRPr="00A67235">
        <w:t>Agenda item</w:t>
      </w:r>
      <w:r w:rsidR="00177DAC">
        <w:t xml:space="preserve"> </w:t>
      </w:r>
      <w:r w:rsidR="004D4F00">
        <w:t>18</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32F5CFD6">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4D4F00">
        <w:t>18</w:t>
      </w:r>
      <w:r w:rsidRPr="00A67235" w:rsidR="000E4B6B">
        <w:t xml:space="preserve"> - adoption of an opinion on the</w:t>
      </w:r>
    </w:p>
    <w:p w:rsidRPr="00A67235" w:rsidR="000E4B6B" w:rsidP="00EC0F0F" w:rsidRDefault="000E4B6B" w14:paraId="037DAC87" w14:textId="77777777"/>
    <w:p w:rsidRPr="004D4F00" w:rsidR="004D4F00" w:rsidP="004D4F00" w:rsidRDefault="004D4F00" w14:paraId="5F5BCE90" w14:textId="77777777">
      <w:pPr>
        <w:ind w:left="1430"/>
        <w:rPr>
          <w:i/>
          <w:iCs/>
        </w:rPr>
      </w:pPr>
      <w:r w:rsidRPr="004D4F00">
        <w:rPr>
          <w:i/>
          <w:iCs/>
        </w:rPr>
        <w:t>Older people in employment – systemic factors in choosing to work for longer</w:t>
      </w:r>
    </w:p>
    <w:p w:rsidRPr="00A67235" w:rsidR="000E4B6B" w:rsidP="00EC0F0F" w:rsidRDefault="004D4F00" w14:paraId="305301AD" w14:textId="5040B190">
      <w:pPr>
        <w:ind w:left="1430"/>
      </w:pPr>
      <w:r w:rsidRPr="004D4F00">
        <w:t>(exploratory opinion requested by the Polish Presidency of the Council of the EU)</w:t>
      </w:r>
      <w:r w:rsidRPr="00A67235" w:rsidR="000E4B6B">
        <w:t>.</w:t>
      </w:r>
    </w:p>
    <w:p w:rsidRPr="00A67235" w:rsidR="000E4B6B" w:rsidP="00EC0F0F" w:rsidRDefault="000E4B6B" w14:paraId="7B740915" w14:textId="77777777"/>
    <w:p w:rsidR="000E4B6B" w:rsidP="00EC0F0F" w:rsidRDefault="000E4B6B" w14:paraId="2D8D7685" w14:textId="4D7EC1CB">
      <w:r w:rsidRPr="00A67235">
        <w:t xml:space="preserve">The preliminary work had been carried out by the Section for </w:t>
      </w:r>
      <w:r w:rsidRPr="004D4F00" w:rsidR="004D4F00">
        <w:t xml:space="preserve">Employment, Social Affairs and Citizenship </w:t>
      </w:r>
      <w:r w:rsidRPr="00A67235">
        <w:t>(president:</w:t>
      </w:r>
      <w:r w:rsidR="00177DAC">
        <w:t xml:space="preserve"> </w:t>
      </w:r>
      <w:r w:rsidRPr="004D4F00" w:rsidR="004D4F00">
        <w:t>Cinzia DEL RIO</w:t>
      </w:r>
      <w:r w:rsidRPr="00A67235">
        <w:t>). The rapporteur was</w:t>
      </w:r>
      <w:r w:rsidRPr="00A67235">
        <w:rPr>
          <w:b/>
          <w:bCs/>
        </w:rPr>
        <w:t xml:space="preserve"> </w:t>
      </w:r>
      <w:r w:rsidRPr="004D4F00" w:rsidR="004D4F00">
        <w:rPr>
          <w:b/>
          <w:bCs/>
        </w:rPr>
        <w:t>Krzysztof BALON</w:t>
      </w:r>
      <w:r w:rsidRPr="00A67235">
        <w:t>.</w:t>
      </w:r>
    </w:p>
    <w:p w:rsidR="00CC3A04" w:rsidP="00EC0F0F" w:rsidRDefault="00CC3A04" w14:paraId="5EAF7256" w14:textId="77777777"/>
    <w:p w:rsidR="00CC3A04" w:rsidP="00CC3A04" w:rsidRDefault="00732429" w14:paraId="6E1359EC" w14:textId="30A23CAB">
      <w:pPr>
        <w:spacing w:line="360" w:lineRule="auto"/>
      </w:pPr>
      <w:r>
        <w:t>The Rapporteur</w:t>
      </w:r>
      <w:r w:rsidR="00CC3A04">
        <w:t xml:space="preserve"> explained that the main purpose of this </w:t>
      </w:r>
      <w:r>
        <w:t>o</w:t>
      </w:r>
      <w:r w:rsidR="00CC3A04">
        <w:t xml:space="preserve">pinion </w:t>
      </w:r>
      <w:r>
        <w:t xml:space="preserve">was </w:t>
      </w:r>
      <w:r w:rsidR="00CC3A04">
        <w:t xml:space="preserve">to find </w:t>
      </w:r>
      <w:r w:rsidR="00B80138">
        <w:t xml:space="preserve">ways how to promote </w:t>
      </w:r>
      <w:r w:rsidR="00CC3A04">
        <w:t xml:space="preserve"> </w:t>
      </w:r>
      <w:r w:rsidRPr="00B80138" w:rsidR="00B80138">
        <w:t xml:space="preserve">voluntary extension of working lives </w:t>
      </w:r>
      <w:r w:rsidR="00CC3A04">
        <w:t xml:space="preserve">of older people, which </w:t>
      </w:r>
      <w:r w:rsidR="00A1331C">
        <w:t xml:space="preserve">was </w:t>
      </w:r>
      <w:r w:rsidR="00CC3A04">
        <w:t xml:space="preserve">not subject to legislative or economic pressure. </w:t>
      </w:r>
      <w:r w:rsidR="00B80138">
        <w:t xml:space="preserve">He pointed out that </w:t>
      </w:r>
      <w:r w:rsidRPr="00B80138" w:rsidR="00B80138">
        <w:t xml:space="preserve">the professional activity of older people </w:t>
      </w:r>
      <w:r w:rsidR="00B80138">
        <w:t>could</w:t>
      </w:r>
      <w:r w:rsidRPr="00B80138" w:rsidR="00B80138">
        <w:t xml:space="preserve"> positively influence not only the economic development but also intergenerational solidarity in society</w:t>
      </w:r>
      <w:r w:rsidR="00706BF7">
        <w:t>.</w:t>
      </w:r>
      <w:r>
        <w:t xml:space="preserve"> </w:t>
      </w:r>
      <w:r w:rsidR="00991BCE">
        <w:t xml:space="preserve">However, </w:t>
      </w:r>
      <w:r w:rsidR="00CC3A04">
        <w:t xml:space="preserve">in some Member States pension levels </w:t>
      </w:r>
      <w:r w:rsidR="0057692A">
        <w:t xml:space="preserve">were </w:t>
      </w:r>
      <w:r w:rsidR="00CC3A04">
        <w:t>too low</w:t>
      </w:r>
      <w:r w:rsidR="0057692A">
        <w:t xml:space="preserve"> to allow </w:t>
      </w:r>
      <w:r w:rsidRPr="008177EA" w:rsidR="0057692A">
        <w:t>for life in dignity</w:t>
      </w:r>
      <w:r w:rsidR="00CC3A04">
        <w:t>.</w:t>
      </w:r>
      <w:r w:rsidR="00706BF7">
        <w:t xml:space="preserve"> </w:t>
      </w:r>
      <w:r w:rsidR="00B80138">
        <w:t>He stressed that</w:t>
      </w:r>
      <w:r w:rsidR="00CC3A04">
        <w:t xml:space="preserve"> the </w:t>
      </w:r>
      <w:r w:rsidR="00B80138">
        <w:t xml:space="preserve">15th </w:t>
      </w:r>
      <w:r w:rsidR="00CC3A04">
        <w:t xml:space="preserve">principle of the European Pillar of Social Rights </w:t>
      </w:r>
      <w:r w:rsidRPr="00EB2D50" w:rsidR="00EB2D50">
        <w:t>(the right to a pension commensurate to their contributions and ensuring an adequate income to a dignified life in old age)</w:t>
      </w:r>
      <w:r w:rsidR="00EB2D50">
        <w:t xml:space="preserve"> </w:t>
      </w:r>
      <w:r w:rsidR="00CC3A04">
        <w:t xml:space="preserve">should be fully implemented. </w:t>
      </w:r>
      <w:r w:rsidR="00EB2D50">
        <w:t>The opinion described instruments supporting the employment of older people, for example</w:t>
      </w:r>
      <w:r w:rsidR="007E3A33">
        <w:t xml:space="preserve"> </w:t>
      </w:r>
      <w:r w:rsidR="00EB2D50">
        <w:t>creating an enabling working environment that encourage</w:t>
      </w:r>
      <w:r w:rsidR="007E3A33">
        <w:t xml:space="preserve">d </w:t>
      </w:r>
      <w:r w:rsidR="00EB2D50">
        <w:t>seniors to stay longer on the labour market where they wish to do so</w:t>
      </w:r>
      <w:r w:rsidR="007E3A33">
        <w:t xml:space="preserve">, </w:t>
      </w:r>
      <w:r w:rsidR="00EB2D50">
        <w:t>measures which allow</w:t>
      </w:r>
      <w:r w:rsidR="007E3A33">
        <w:t>ed</w:t>
      </w:r>
      <w:r w:rsidR="00EB2D50">
        <w:t xml:space="preserve"> the combination of work and care responsibilities for elderly relatives and combatting age related discrimination and other factors that prevent older workers from remaining in the labour</w:t>
      </w:r>
      <w:r w:rsidR="007E3A33">
        <w:t xml:space="preserve">. </w:t>
      </w:r>
      <w:r w:rsidR="00991BCE">
        <w:t xml:space="preserve">In this opinion, the EESC </w:t>
      </w:r>
      <w:r w:rsidR="00A1331C">
        <w:t>suggested that</w:t>
      </w:r>
      <w:r w:rsidR="00CC3A04">
        <w:t xml:space="preserve"> the European Commission </w:t>
      </w:r>
      <w:r w:rsidR="00991BCE">
        <w:t>should create</w:t>
      </w:r>
      <w:r w:rsidR="00CC3A04">
        <w:t xml:space="preserve"> together with the EESC,</w:t>
      </w:r>
      <w:r w:rsidR="00A1331C">
        <w:t xml:space="preserve"> </w:t>
      </w:r>
      <w:r w:rsidRPr="00A1331C" w:rsidR="00A1331C">
        <w:t>social partners and other civil society organisations</w:t>
      </w:r>
      <w:r w:rsidR="00CC3A04">
        <w:t xml:space="preserve"> a forum </w:t>
      </w:r>
      <w:r w:rsidR="00A1331C">
        <w:t>fo</w:t>
      </w:r>
      <w:r w:rsidR="00706BF7">
        <w:t>r</w:t>
      </w:r>
      <w:r w:rsidRPr="00A1331C" w:rsidR="00A1331C">
        <w:t xml:space="preserve"> the exchange of good practices between </w:t>
      </w:r>
      <w:r w:rsidR="00CC3A04">
        <w:t>Member States.</w:t>
      </w:r>
      <w:r w:rsidRPr="00EB2D50" w:rsidR="00EB2D50">
        <w:t xml:space="preserve"> </w:t>
      </w:r>
    </w:p>
    <w:p w:rsidR="00C20EAB" w:rsidP="00EC0F0F" w:rsidRDefault="00C20EAB" w14:paraId="12DD7578" w14:textId="33B04B84"/>
    <w:p w:rsidR="00C20EAB" w:rsidP="00C20EAB" w:rsidRDefault="00C20EAB" w14:paraId="173CB184" w14:textId="77777777">
      <w:r>
        <w:t>The following members took the floor during the debate:</w:t>
      </w:r>
    </w:p>
    <w:p w:rsidR="00CC3A04" w:rsidP="00C20EAB" w:rsidRDefault="00CC3A04" w14:paraId="5A7E0F8A" w14:textId="77777777"/>
    <w:p w:rsidR="00CC3A04" w:rsidP="00CC3A04" w:rsidRDefault="00CC3A04" w14:paraId="7EB75D39" w14:textId="078C3D67">
      <w:pPr>
        <w:spacing w:line="360" w:lineRule="auto"/>
      </w:pPr>
      <w:r>
        <w:t xml:space="preserve">Ms </w:t>
      </w:r>
      <w:r w:rsidRPr="00CC3A04">
        <w:rPr>
          <w:b/>
          <w:bCs/>
        </w:rPr>
        <w:t>Kinga Joo</w:t>
      </w:r>
      <w:r>
        <w:t xml:space="preserve"> supported </w:t>
      </w:r>
      <w:r w:rsidR="00706BF7">
        <w:t>the o</w:t>
      </w:r>
      <w:r>
        <w:t>pinion, which complement</w:t>
      </w:r>
      <w:r w:rsidR="00706BF7">
        <w:t>ed</w:t>
      </w:r>
      <w:r>
        <w:t xml:space="preserve"> previous </w:t>
      </w:r>
      <w:r w:rsidR="00706BF7">
        <w:t xml:space="preserve">opinions </w:t>
      </w:r>
      <w:r>
        <w:t xml:space="preserve">on intergenerational fairness, demographic challenges and work-life balance. She underlined that </w:t>
      </w:r>
      <w:r w:rsidR="00706BF7">
        <w:t xml:space="preserve">it was crucial to </w:t>
      </w:r>
      <w:r>
        <w:t>ensur</w:t>
      </w:r>
      <w:r w:rsidR="00706BF7">
        <w:t>e</w:t>
      </w:r>
      <w:r>
        <w:t xml:space="preserve"> quality jobs encourag</w:t>
      </w:r>
      <w:r w:rsidR="00706BF7">
        <w:t xml:space="preserve">ing </w:t>
      </w:r>
      <w:r>
        <w:t xml:space="preserve">participation and retention of all age groups in the </w:t>
      </w:r>
      <w:r w:rsidR="00ED3C7B">
        <w:t>labour</w:t>
      </w:r>
      <w:r>
        <w:t xml:space="preserve"> marke</w:t>
      </w:r>
      <w:r w:rsidR="00ED3C7B">
        <w:t>t</w:t>
      </w:r>
      <w:r>
        <w:t xml:space="preserve">. However, she emphasized that the employment of older workers </w:t>
      </w:r>
      <w:r w:rsidR="0015063A">
        <w:t xml:space="preserve">was </w:t>
      </w:r>
      <w:r>
        <w:t xml:space="preserve">only possible if they </w:t>
      </w:r>
      <w:r w:rsidR="0015063A">
        <w:t xml:space="preserve">were </w:t>
      </w:r>
      <w:r>
        <w:t>in good physical and mental health</w:t>
      </w:r>
      <w:r w:rsidR="0015063A">
        <w:t xml:space="preserve"> and</w:t>
      </w:r>
      <w:r>
        <w:t xml:space="preserve"> she called for policies that enable</w:t>
      </w:r>
      <w:r w:rsidR="0015063A">
        <w:t>d</w:t>
      </w:r>
      <w:r>
        <w:t xml:space="preserve"> people to remain active.</w:t>
      </w:r>
    </w:p>
    <w:p w:rsidR="00CC3A04" w:rsidP="00CC3A04" w:rsidRDefault="00CC3A04" w14:paraId="7CB9D322" w14:textId="77777777">
      <w:pPr>
        <w:spacing w:line="360" w:lineRule="auto"/>
      </w:pPr>
    </w:p>
    <w:p w:rsidR="00CC3A04" w:rsidP="00CC3A04" w:rsidRDefault="00CC3A04" w14:paraId="5B805E9F" w14:textId="12C90797">
      <w:pPr>
        <w:spacing w:line="360" w:lineRule="auto"/>
      </w:pPr>
      <w:r w:rsidRPr="00CC3A04">
        <w:rPr>
          <w:b/>
          <w:bCs/>
        </w:rPr>
        <w:t>Maria Nikolopoulou</w:t>
      </w:r>
      <w:r>
        <w:t xml:space="preserve"> highlighted that there </w:t>
      </w:r>
      <w:r w:rsidR="0015063A">
        <w:t xml:space="preserve">were </w:t>
      </w:r>
      <w:r>
        <w:t xml:space="preserve">other projects for older people to contribute to society. Efforts should be focused on finding solutions and addressing the root causes to provide appropriate solutions. For instance, </w:t>
      </w:r>
      <w:r w:rsidR="00ED3C7B">
        <w:t>if the aim was to tackle</w:t>
      </w:r>
      <w:r>
        <w:t xml:space="preserve"> skill shortages, the difficulties young people face</w:t>
      </w:r>
      <w:r w:rsidR="0015063A">
        <w:t>d</w:t>
      </w:r>
      <w:r>
        <w:t xml:space="preserve"> in finding jobs</w:t>
      </w:r>
      <w:r w:rsidR="0015063A">
        <w:t xml:space="preserve"> needed to be addressed and training young people </w:t>
      </w:r>
      <w:r>
        <w:t xml:space="preserve">should be considered. </w:t>
      </w:r>
    </w:p>
    <w:p w:rsidR="00CC3A04" w:rsidP="00CC3A04" w:rsidRDefault="00CC3A04" w14:paraId="28F2FECA" w14:textId="77777777">
      <w:pPr>
        <w:spacing w:line="360" w:lineRule="auto"/>
      </w:pPr>
    </w:p>
    <w:p w:rsidR="00CC3A04" w:rsidP="00CC3A04" w:rsidRDefault="00CC3A04" w14:paraId="346B4388" w14:textId="7E948112">
      <w:pPr>
        <w:spacing w:line="360" w:lineRule="auto"/>
      </w:pPr>
      <w:r w:rsidRPr="00CC3A04">
        <w:rPr>
          <w:b/>
          <w:bCs/>
        </w:rPr>
        <w:t>Ágnes Cser</w:t>
      </w:r>
      <w:r>
        <w:t xml:space="preserve"> congratulate</w:t>
      </w:r>
      <w:r w:rsidR="00405240">
        <w:t>d</w:t>
      </w:r>
      <w:r>
        <w:t xml:space="preserve"> the rapporteur</w:t>
      </w:r>
      <w:r w:rsidR="00405240">
        <w:t xml:space="preserve"> for an excellent opinion. She stressed that there were people who wished to continue working after </w:t>
      </w:r>
      <w:r>
        <w:t>reaching</w:t>
      </w:r>
      <w:r w:rsidR="00405240">
        <w:t xml:space="preserve"> the</w:t>
      </w:r>
      <w:r>
        <w:t xml:space="preserve"> retirement age </w:t>
      </w:r>
      <w:r w:rsidR="00405240">
        <w:t>and</w:t>
      </w:r>
      <w:r w:rsidR="008B0756">
        <w:t xml:space="preserve"> it was important to give them the opportunity as the labour market needed them</w:t>
      </w:r>
      <w:r>
        <w:t>.</w:t>
      </w:r>
    </w:p>
    <w:p w:rsidR="00C20EAB" w:rsidP="00C20EAB" w:rsidRDefault="00C20EAB" w14:paraId="0E72CAC1" w14:textId="77777777"/>
    <w:p w:rsidR="00C20EAB" w:rsidP="00C20EAB" w:rsidRDefault="00C20EAB" w14:paraId="0D4DC5D2" w14:textId="4B24D13B">
      <w:r>
        <w:t>The following amendments had been tabled to opinion SOC/817.</w:t>
      </w:r>
    </w:p>
    <w:p w:rsidR="001557ED" w:rsidP="00C20EAB" w:rsidRDefault="001557ED" w14:paraId="5E7B98F4" w14:textId="46A79E49"/>
    <w:p w:rsidR="001557ED" w:rsidP="001557ED" w:rsidRDefault="001557ED" w14:paraId="75F7F0F0" w14:textId="3D6B9AFF">
      <w:pPr>
        <w:jc w:val="left"/>
      </w:pPr>
      <w:bookmarkStart w:name="_Hlk191573871" w:id="2"/>
      <w:r>
        <w:rPr>
          <w:b/>
        </w:rPr>
        <w:t xml:space="preserve">Amendment 1 </w:t>
      </w:r>
      <w:r>
        <w:rPr>
          <w:bCs/>
        </w:rPr>
        <w:t>(tabled by</w:t>
      </w:r>
      <w:r w:rsidRPr="001557ED">
        <w:t xml:space="preserve"> </w:t>
      </w:r>
      <w:r w:rsidR="00C2508B">
        <w:t xml:space="preserve">Tatjana </w:t>
      </w:r>
      <w:r>
        <w:t xml:space="preserve">BABRAUSKIENĖ, </w:t>
      </w:r>
      <w:r w:rsidR="00C2508B">
        <w:t xml:space="preserve">Giulia </w:t>
      </w:r>
      <w:r>
        <w:t xml:space="preserve">BARBUCCI, </w:t>
      </w:r>
      <w:r w:rsidR="00C2508B">
        <w:t xml:space="preserve">Veselin </w:t>
      </w:r>
      <w:r>
        <w:t xml:space="preserve">MITOV, </w:t>
      </w:r>
      <w:r w:rsidR="00C2508B">
        <w:t xml:space="preserve">Andrej </w:t>
      </w:r>
      <w:r>
        <w:t>ZORKO)</w:t>
      </w:r>
      <w:r w:rsidR="00C2508B">
        <w:t>.</w:t>
      </w:r>
    </w:p>
    <w:bookmarkEnd w:id="2"/>
    <w:p w:rsidR="001557ED" w:rsidP="001557ED" w:rsidRDefault="001557ED" w14:paraId="08D53605" w14:textId="77777777">
      <w:pPr>
        <w:jc w:val="left"/>
      </w:pPr>
    </w:p>
    <w:p w:rsidRPr="001557ED" w:rsidR="001557ED" w:rsidP="001557ED" w:rsidRDefault="001557ED" w14:paraId="21753C77" w14:textId="76860EE4">
      <w:pPr>
        <w:rPr>
          <w:b/>
          <w:bCs/>
        </w:rPr>
      </w:pPr>
      <w:r w:rsidRPr="001557ED">
        <w:rPr>
          <w:b/>
          <w:bCs/>
        </w:rPr>
        <w:t>Point 2.4</w:t>
      </w:r>
    </w:p>
    <w:p w:rsidRPr="001557ED" w:rsidR="001557ED" w:rsidP="001557ED" w:rsidRDefault="001557ED" w14:paraId="27702199" w14:textId="299D6544">
      <w:pPr>
        <w:rPr>
          <w:b/>
          <w:bCs/>
        </w:rPr>
      </w:pPr>
      <w:r w:rsidRPr="001557ED">
        <w:rPr>
          <w:b/>
          <w:bCs/>
        </w:rPr>
        <w:t>Amend as follows</w:t>
      </w:r>
    </w:p>
    <w:p w:rsidR="00C20EAB" w:rsidP="00C20EAB" w:rsidRDefault="00C20EAB" w14:paraId="2327D769" w14:textId="3D41D44D"/>
    <w:p w:rsidR="00C20EAB" w:rsidP="00C20EAB" w:rsidRDefault="00C20EAB" w14:paraId="55EFB32F"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C20EAB" w:rsidTr="00AB00DC" w14:paraId="549E2ED2" w14:textId="77777777">
        <w:tc>
          <w:tcPr>
            <w:tcW w:w="2500" w:type="pct"/>
            <w:tcBorders>
              <w:top w:val="single" w:color="auto" w:sz="4" w:space="0"/>
              <w:left w:val="single" w:color="auto" w:sz="4" w:space="0"/>
              <w:bottom w:val="single" w:color="auto" w:sz="4" w:space="0"/>
              <w:right w:val="single" w:color="auto" w:sz="4" w:space="0"/>
            </w:tcBorders>
            <w:hideMark/>
          </w:tcPr>
          <w:p w:rsidR="00C20EAB" w:rsidP="00AB00DC" w:rsidRDefault="00C20EAB" w14:paraId="67B9F08F"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C20EAB" w:rsidP="00AB00DC" w:rsidRDefault="00C20EAB" w14:paraId="634E79A9" w14:textId="77777777">
            <w:pPr>
              <w:jc w:val="center"/>
              <w:rPr>
                <w:b/>
                <w:bCs/>
                <w:i/>
              </w:rPr>
            </w:pPr>
            <w:r>
              <w:rPr>
                <w:b/>
                <w:bCs/>
                <w:i/>
              </w:rPr>
              <w:t>Amendment</w:t>
            </w:r>
          </w:p>
        </w:tc>
      </w:tr>
      <w:tr w:rsidR="00C20EAB" w:rsidTr="00AB00DC" w14:paraId="58C99ED5" w14:textId="77777777">
        <w:tc>
          <w:tcPr>
            <w:tcW w:w="2500" w:type="pct"/>
            <w:tcBorders>
              <w:top w:val="single" w:color="auto" w:sz="4" w:space="0"/>
              <w:left w:val="single" w:color="auto" w:sz="4" w:space="0"/>
              <w:bottom w:val="single" w:color="auto" w:sz="4" w:space="0"/>
              <w:right w:val="single" w:color="auto" w:sz="4" w:space="0"/>
            </w:tcBorders>
            <w:hideMark/>
          </w:tcPr>
          <w:p w:rsidR="00C20EAB" w:rsidP="00AB00DC" w:rsidRDefault="00C20EAB" w14:paraId="537713BE" w14:textId="77777777">
            <w:pPr>
              <w:spacing w:before="120" w:after="40"/>
              <w:ind w:left="120" w:right="120"/>
            </w:pPr>
            <w:r>
              <w:t xml:space="preserve">There is an increase in both the average life and the average healthy life expectancy. Therefore, as the EESC pointed out in one of its previously adopted opinions </w:t>
            </w:r>
            <w:r>
              <w:rPr>
                <w:b/>
                <w:bCs/>
                <w:i/>
              </w:rPr>
              <w:t>[1]</w:t>
            </w:r>
            <w:r>
              <w:t>, it is worth considering, whether those additional healthy years could be spent not only in retirement, but also in longer working lives, granted the individual wants to work longer. However, raising the retirement age would not be feasible in the case of highly physically and psychologically demanding labour</w:t>
            </w:r>
            <w:r>
              <w:rPr>
                <w:b/>
                <w:bCs/>
                <w:i/>
              </w:rPr>
              <w:t>.</w:t>
            </w:r>
          </w:p>
          <w:p w:rsidR="00C20EAB" w:rsidP="00AB00DC" w:rsidRDefault="00C20EAB" w14:paraId="1A3D379E" w14:textId="77777777">
            <w:pPr>
              <w:spacing w:before="40" w:after="40"/>
              <w:ind w:left="120" w:right="120"/>
              <w:rPr>
                <w:b/>
                <w:bCs/>
                <w:i/>
              </w:rPr>
            </w:pPr>
            <w:r>
              <w:rPr>
                <w:b/>
                <w:bCs/>
                <w:i/>
              </w:rPr>
              <w:t>[1] See also EESC opinion on Promoting European intergenerational solidarity (OJ C, C/2024/6869, 28.11.2024)</w:t>
            </w:r>
          </w:p>
          <w:p w:rsidR="00C20EAB" w:rsidP="00AB00DC" w:rsidRDefault="00C20EAB" w14:paraId="398B68D6" w14:textId="77777777">
            <w:pPr>
              <w:spacing w:before="40" w:after="120"/>
              <w:ind w:left="120" w:right="120"/>
            </w:pPr>
            <w:r>
              <w:t>.</w:t>
            </w:r>
          </w:p>
        </w:tc>
        <w:tc>
          <w:tcPr>
            <w:tcW w:w="2500" w:type="pct"/>
            <w:tcBorders>
              <w:top w:val="single" w:color="auto" w:sz="4" w:space="0"/>
              <w:left w:val="single" w:color="auto" w:sz="4" w:space="0"/>
              <w:bottom w:val="single" w:color="auto" w:sz="4" w:space="0"/>
              <w:right w:val="single" w:color="auto" w:sz="4" w:space="0"/>
            </w:tcBorders>
            <w:hideMark/>
          </w:tcPr>
          <w:p w:rsidR="00C20EAB" w:rsidP="00AB00DC" w:rsidRDefault="00C20EAB" w14:paraId="3441BBAD" w14:textId="77777777">
            <w:pPr>
              <w:spacing w:before="80" w:after="80"/>
              <w:ind w:left="80" w:right="80"/>
            </w:pPr>
            <w:r>
              <w:t>There is an increase in both the average life and the average healthy life expectancy</w:t>
            </w:r>
            <w:r>
              <w:rPr>
                <w:b/>
                <w:bCs/>
                <w:i/>
              </w:rPr>
              <w:t>, despite variations in the Member States</w:t>
            </w:r>
            <w:r>
              <w:t>. Therefore, as the EESC pointed out in one of its previously adopted opinions, it is worth considering, whether those additional healthy years could be spent not only in retirement, but also in longer working lives, granted the individual wants to work longer. However, raising the retirement age would not be feasible in the case of highly physically and psychologically demanding labour.</w:t>
            </w:r>
          </w:p>
        </w:tc>
      </w:tr>
    </w:tbl>
    <w:p w:rsidR="00C20EAB" w:rsidP="00C20EAB" w:rsidRDefault="00C20EAB" w14:paraId="217A5D19" w14:textId="43BF97E4"/>
    <w:p w:rsidR="00C20EAB" w:rsidP="00C20EAB" w:rsidRDefault="00C20EAB" w14:paraId="2832DCAC" w14:textId="4F338178">
      <w:r w:rsidRPr="00C20EAB">
        <w:t>The amendment was accepted</w:t>
      </w:r>
      <w:r w:rsidR="001557ED">
        <w:t xml:space="preserve"> </w:t>
      </w:r>
      <w:r w:rsidRPr="001557ED" w:rsidR="001557ED">
        <w:t>by the rapporteur</w:t>
      </w:r>
      <w:r w:rsidRPr="00C20EAB">
        <w:t>.</w:t>
      </w:r>
    </w:p>
    <w:p w:rsidR="00C20EAB" w:rsidP="00C20EAB" w:rsidRDefault="00C20EAB" w14:paraId="719FD522" w14:textId="1BC07AC1"/>
    <w:p w:rsidR="00C2508B" w:rsidP="00C2508B" w:rsidRDefault="00C2508B" w14:paraId="18A68551" w14:textId="77777777">
      <w:pPr>
        <w:jc w:val="left"/>
        <w:rPr>
          <w:b/>
        </w:rPr>
      </w:pPr>
    </w:p>
    <w:p w:rsidR="00C2508B" w:rsidP="00C2508B" w:rsidRDefault="00C2508B" w14:paraId="56611D17" w14:textId="22C5C86B">
      <w:pPr>
        <w:jc w:val="left"/>
      </w:pPr>
      <w:r>
        <w:rPr>
          <w:b/>
        </w:rPr>
        <w:t xml:space="preserve">Amendment 2 </w:t>
      </w:r>
      <w:r>
        <w:rPr>
          <w:bCs/>
        </w:rPr>
        <w:t>(tabled by</w:t>
      </w:r>
      <w:r w:rsidRPr="001557ED">
        <w:t xml:space="preserve"> </w:t>
      </w:r>
      <w:r>
        <w:t>Tatjana BABRAUSKIENĖ, Giulia BARBUCCI, Veselin MITOV, Andrej ZORKO).</w:t>
      </w:r>
    </w:p>
    <w:p w:rsidR="00C20EAB" w:rsidP="00C20EAB" w:rsidRDefault="00C20EAB" w14:paraId="3AFBF882" w14:textId="6F7973BB"/>
    <w:p w:rsidR="00C2508B" w:rsidP="00C2508B" w:rsidRDefault="00C2508B" w14:paraId="622E623D" w14:textId="0F74DD6B">
      <w:pPr>
        <w:rPr>
          <w:b/>
          <w:bCs/>
        </w:rPr>
      </w:pPr>
      <w:r>
        <w:rPr>
          <w:b/>
          <w:bCs/>
        </w:rPr>
        <w:t>Point 3.7</w:t>
      </w:r>
    </w:p>
    <w:p w:rsidR="00C20EAB" w:rsidP="00C20EAB" w:rsidRDefault="00C2508B" w14:paraId="58FE1CAC" w14:textId="1FC9FB98">
      <w:r>
        <w:rPr>
          <w:b/>
          <w:bCs/>
        </w:rPr>
        <w:t>Amend as follows</w:t>
      </w:r>
    </w:p>
    <w:p w:rsidR="00C20EAB" w:rsidP="00C20EAB" w:rsidRDefault="00C20EAB" w14:paraId="000DE1B6"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C20EAB" w:rsidTr="00AB00DC" w14:paraId="5A572B39" w14:textId="77777777">
        <w:tc>
          <w:tcPr>
            <w:tcW w:w="2500" w:type="pct"/>
            <w:tcBorders>
              <w:top w:val="single" w:color="auto" w:sz="4" w:space="0"/>
              <w:left w:val="single" w:color="auto" w:sz="4" w:space="0"/>
              <w:bottom w:val="single" w:color="auto" w:sz="4" w:space="0"/>
              <w:right w:val="single" w:color="auto" w:sz="4" w:space="0"/>
            </w:tcBorders>
            <w:hideMark/>
          </w:tcPr>
          <w:p w:rsidR="00C20EAB" w:rsidP="00AB00DC" w:rsidRDefault="00C20EAB" w14:paraId="2F98AECD"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C20EAB" w:rsidP="00AB00DC" w:rsidRDefault="00C20EAB" w14:paraId="0F76C458" w14:textId="77777777">
            <w:pPr>
              <w:jc w:val="center"/>
              <w:rPr>
                <w:b/>
                <w:bCs/>
                <w:i/>
              </w:rPr>
            </w:pPr>
            <w:r>
              <w:rPr>
                <w:b/>
                <w:bCs/>
                <w:i/>
              </w:rPr>
              <w:t>Compromise</w:t>
            </w:r>
          </w:p>
        </w:tc>
      </w:tr>
      <w:tr w:rsidR="00C20EAB" w:rsidTr="00AB00DC" w14:paraId="35DA765C" w14:textId="77777777">
        <w:tc>
          <w:tcPr>
            <w:tcW w:w="2500" w:type="pct"/>
            <w:tcBorders>
              <w:top w:val="single" w:color="auto" w:sz="4" w:space="0"/>
              <w:left w:val="single" w:color="auto" w:sz="4" w:space="0"/>
              <w:bottom w:val="single" w:color="auto" w:sz="4" w:space="0"/>
              <w:right w:val="single" w:color="auto" w:sz="4" w:space="0"/>
            </w:tcBorders>
            <w:hideMark/>
          </w:tcPr>
          <w:p w:rsidR="00C20EAB" w:rsidP="00AB00DC" w:rsidRDefault="00C20EAB" w14:paraId="5D221FF1" w14:textId="77777777">
            <w:pPr>
              <w:spacing w:before="80" w:after="80"/>
              <w:ind w:left="80" w:right="80"/>
            </w:pPr>
            <w:r>
              <w:t xml:space="preserve">The pension systems should be designed in a way that facilitates remaining in employment for longer, if a worker wishes to do so. Many countries are already introducing incentives to remain in employment beyond the statutory pensionable age, including increases in future pensions, tax measures, such as tax breaks for those extending their working lives, as well as solutions to enable combining work and family responsibilities. People over the age of 60, especially women, increasingly provide everyday care for their elderly parents. Access to quality and affordable services </w:t>
            </w:r>
            <w:r>
              <w:rPr>
                <w:b/>
                <w:bCs/>
                <w:i/>
              </w:rPr>
              <w:t>of general interest</w:t>
            </w:r>
            <w:r>
              <w:t>, notably long-term care and fair distribution of family care responsibilities between men and women, are key to extending working lives. In this context, services for older people provided by NGOs and social economy entities can play a key role alongside quality public services.</w:t>
            </w:r>
          </w:p>
        </w:tc>
        <w:tc>
          <w:tcPr>
            <w:tcW w:w="2500" w:type="pct"/>
            <w:tcBorders>
              <w:top w:val="single" w:color="auto" w:sz="4" w:space="0"/>
              <w:left w:val="single" w:color="auto" w:sz="4" w:space="0"/>
              <w:bottom w:val="single" w:color="auto" w:sz="4" w:space="0"/>
              <w:right w:val="single" w:color="auto" w:sz="4" w:space="0"/>
            </w:tcBorders>
            <w:hideMark/>
          </w:tcPr>
          <w:p w:rsidR="00C20EAB" w:rsidP="00AB00DC" w:rsidRDefault="00C20EAB" w14:paraId="01305285" w14:textId="77777777">
            <w:pPr>
              <w:spacing w:before="80" w:after="80"/>
              <w:ind w:left="80" w:right="80"/>
            </w:pPr>
            <w:r>
              <w:t>The pension systems should be designed in a way that facilitates remaining in employment for longer, if a worker wishes to do so. Many countries are already introducing incentives to remain in employment beyond the statutory pensionable age, including increases in future pensions, tax measures, such as tax breaks for those extending their working lives, as well as solutions to enable combining work and family responsibilities. People over the age of 60, especially women, increasingly provide everyday care for their elderly parents. Access to quality and affordable services, notably long-term care and fair distribution of family care responsibilities between men and women, are key to extending working lives. In this context, services for older people provided by NGOs and social economy entities can play a key role alongside quality public services.</w:t>
            </w:r>
          </w:p>
        </w:tc>
      </w:tr>
    </w:tbl>
    <w:p w:rsidR="00625E71" w:rsidP="00625E71" w:rsidRDefault="00625E71" w14:paraId="6E374790" w14:textId="77777777"/>
    <w:p w:rsidRPr="00625E71" w:rsidR="00625E71" w:rsidP="00BD00B0" w:rsidRDefault="00BD00B0" w14:paraId="00256C50" w14:textId="511265E6">
      <w:pPr>
        <w:sectPr w:rsidRPr="00625E71" w:rsidR="00625E71">
          <w:pgSz w:w="11907" w:h="16839" w:code="9"/>
          <w:pgMar w:top="1417" w:right="1417" w:bottom="1417" w:left="1417" w:header="709" w:footer="709" w:gutter="0"/>
          <w:cols w:space="720"/>
          <w:docGrid w:linePitch="299"/>
        </w:sectPr>
      </w:pPr>
      <w:r>
        <w:t>A compromise was proposed and accepted by the Assembly</w:t>
      </w:r>
      <w:r w:rsidR="00705A8F">
        <w:t>.</w:t>
      </w:r>
    </w:p>
    <w:p w:rsidR="00C2508B" w:rsidP="00C2508B" w:rsidRDefault="00C2508B" w14:paraId="09F5C473" w14:textId="29140EC3">
      <w:pPr>
        <w:jc w:val="left"/>
      </w:pPr>
      <w:r>
        <w:rPr>
          <w:b/>
        </w:rPr>
        <w:t xml:space="preserve">Amendment 3 </w:t>
      </w:r>
      <w:r>
        <w:rPr>
          <w:bCs/>
        </w:rPr>
        <w:t>(tabled by</w:t>
      </w:r>
      <w:r w:rsidRPr="001557ED">
        <w:t xml:space="preserve"> </w:t>
      </w:r>
      <w:r>
        <w:t>Tatjana BABRAUSKIENĖ, Giulia BARBUCCI, Veselin MITOV, Andrej ZORKO).</w:t>
      </w:r>
    </w:p>
    <w:p w:rsidR="00C2508B" w:rsidP="00C2508B" w:rsidRDefault="00C2508B" w14:paraId="347E28A6" w14:textId="77777777"/>
    <w:p w:rsidR="00C2508B" w:rsidP="00C2508B" w:rsidRDefault="00C2508B" w14:paraId="66EA3CF9" w14:textId="3A5BDD4F">
      <w:pPr>
        <w:rPr>
          <w:b/>
          <w:bCs/>
        </w:rPr>
      </w:pPr>
      <w:r>
        <w:rPr>
          <w:b/>
          <w:bCs/>
        </w:rPr>
        <w:t>Point 1.9</w:t>
      </w:r>
    </w:p>
    <w:p w:rsidR="00C20EAB" w:rsidP="00C2508B" w:rsidRDefault="00C2508B" w14:paraId="26C0D58B" w14:textId="41EF2D0D">
      <w:pPr>
        <w:jc w:val="left"/>
        <w:rPr>
          <w:b/>
          <w:bCs/>
        </w:rPr>
      </w:pPr>
      <w:r>
        <w:rPr>
          <w:b/>
          <w:bCs/>
        </w:rPr>
        <w:t>Amend as follows</w:t>
      </w:r>
    </w:p>
    <w:p w:rsidR="00C2508B" w:rsidP="00C2508B" w:rsidRDefault="00C2508B" w14:paraId="0FA02C9C" w14:textId="77777777">
      <w:pPr>
        <w:jc w:val="left"/>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C20EAB" w:rsidTr="00AB00DC" w14:paraId="6A2D8406" w14:textId="77777777">
        <w:tc>
          <w:tcPr>
            <w:tcW w:w="2500" w:type="pct"/>
            <w:tcBorders>
              <w:top w:val="single" w:color="auto" w:sz="4" w:space="0"/>
              <w:left w:val="single" w:color="auto" w:sz="4" w:space="0"/>
              <w:bottom w:val="single" w:color="auto" w:sz="4" w:space="0"/>
              <w:right w:val="single" w:color="auto" w:sz="4" w:space="0"/>
            </w:tcBorders>
            <w:hideMark/>
          </w:tcPr>
          <w:p w:rsidR="00C20EAB" w:rsidP="00AB00DC" w:rsidRDefault="00C20EAB" w14:paraId="4ECCF63C"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C20EAB" w:rsidP="00AB00DC" w:rsidRDefault="00C20EAB" w14:paraId="280F333D" w14:textId="77777777">
            <w:pPr>
              <w:jc w:val="center"/>
              <w:rPr>
                <w:b/>
                <w:bCs/>
                <w:i/>
              </w:rPr>
            </w:pPr>
            <w:r>
              <w:rPr>
                <w:b/>
                <w:bCs/>
                <w:i/>
              </w:rPr>
              <w:t>Compromise</w:t>
            </w:r>
          </w:p>
        </w:tc>
      </w:tr>
      <w:tr w:rsidR="00C20EAB" w:rsidTr="00AB00DC" w14:paraId="6D18C1F6" w14:textId="77777777">
        <w:tc>
          <w:tcPr>
            <w:tcW w:w="2500" w:type="pct"/>
            <w:tcBorders>
              <w:top w:val="single" w:color="auto" w:sz="4" w:space="0"/>
              <w:left w:val="single" w:color="auto" w:sz="4" w:space="0"/>
              <w:bottom w:val="single" w:color="auto" w:sz="4" w:space="0"/>
              <w:right w:val="single" w:color="auto" w:sz="4" w:space="0"/>
            </w:tcBorders>
            <w:hideMark/>
          </w:tcPr>
          <w:p w:rsidR="00C20EAB" w:rsidP="00AB00DC" w:rsidRDefault="00C20EAB" w14:paraId="6F2EC45A" w14:textId="77777777">
            <w:pPr>
              <w:spacing w:before="80" w:after="80"/>
              <w:ind w:left="80" w:right="80"/>
            </w:pPr>
            <w:r>
              <w:t xml:space="preserve">Taking the above into account and considering that public policy in these areas falls primarily within the competence of the Member States, the Committee suggests that the European Commission, in cooperation with the EESC, social partners and other civil society organisations, creates a forum for the exchange of good practices between Member States. Such practices could include: (a) removing obstacles to combining a pension with paid work, (b) tax breaks for those who decide to extend their working life, (c) support measures for employment services to assist older job-seekers and for companies to create jobs and to promote employment opportunities for older people, (d) promoting the advantages of longer working lives where possible, or (e) provision of services </w:t>
            </w:r>
            <w:r>
              <w:rPr>
                <w:b/>
                <w:bCs/>
                <w:i/>
              </w:rPr>
              <w:t>of general interest</w:t>
            </w:r>
            <w:r>
              <w:t xml:space="preserve"> which allow to combine work with care for elderly relatives.</w:t>
            </w:r>
          </w:p>
        </w:tc>
        <w:tc>
          <w:tcPr>
            <w:tcW w:w="2500" w:type="pct"/>
            <w:tcBorders>
              <w:top w:val="single" w:color="auto" w:sz="4" w:space="0"/>
              <w:left w:val="single" w:color="auto" w:sz="4" w:space="0"/>
              <w:bottom w:val="single" w:color="auto" w:sz="4" w:space="0"/>
              <w:right w:val="single" w:color="auto" w:sz="4" w:space="0"/>
            </w:tcBorders>
            <w:hideMark/>
          </w:tcPr>
          <w:p w:rsidR="00C20EAB" w:rsidP="00AB00DC" w:rsidRDefault="00C20EAB" w14:paraId="702F994B" w14:textId="77777777">
            <w:pPr>
              <w:spacing w:before="80" w:after="80"/>
              <w:ind w:left="80" w:right="80"/>
            </w:pPr>
            <w:r>
              <w:t>Taking the above into account and considering that public policy in these areas falls primarily within the competence of the Member States, the Committee suggests that the European Commission, in cooperation with the EESC, social partners and other civil society organisations, creates a forum for the exchange of good practices between Member States. Such practices could include: (a) removing obstacles to combining a pension with paid work, (b) tax breaks for those who decide to extend their working life, (c) support measures for employment services to assist older job-seekers and for companies to create jobs and to promote employment opportunities for older people, (d) promoting the advantages of longer working lives where possible, or (e) provision of services which allow to combine work with care for elderly relatives.</w:t>
            </w:r>
          </w:p>
        </w:tc>
      </w:tr>
    </w:tbl>
    <w:p w:rsidR="00BD00B0" w:rsidP="00C20EAB" w:rsidRDefault="00BD00B0" w14:paraId="407FCFAC" w14:textId="77777777"/>
    <w:p w:rsidRPr="00A67235" w:rsidR="00C20EAB" w:rsidP="00C20EAB" w:rsidRDefault="00BD00B0" w14:paraId="069903D9" w14:textId="49DC0444">
      <w:r w:rsidRPr="00BD00B0">
        <w:t>A compromise was proposed and accepted by the Assembly</w:t>
      </w:r>
      <w:r w:rsidR="00705A8F">
        <w:t>.</w:t>
      </w:r>
    </w:p>
    <w:p w:rsidRPr="00A67235" w:rsidR="000E4B6B" w:rsidP="00EC0F0F" w:rsidRDefault="000E4B6B" w14:paraId="2FBD0349" w14:textId="77777777"/>
    <w:p w:rsidRPr="00A67235" w:rsidR="000E4B6B" w:rsidP="00EC0F0F" w:rsidRDefault="000E4B6B" w14:paraId="0133C75D" w14:textId="62F301B5">
      <w:r w:rsidRPr="00A67235">
        <w:t>The opinion was adopted by</w:t>
      </w:r>
      <w:r w:rsidR="00177DAC">
        <w:t xml:space="preserve"> </w:t>
      </w:r>
      <w:r w:rsidR="004D4F00">
        <w:t xml:space="preserve">146 votes, </w:t>
      </w:r>
      <w:r w:rsidR="00C20EAB">
        <w:t>3</w:t>
      </w:r>
      <w:r w:rsidR="004D4F00">
        <w:t xml:space="preserve"> against and </w:t>
      </w:r>
      <w:r w:rsidR="00C20EAB">
        <w:t>4</w:t>
      </w:r>
      <w:r w:rsidR="004D4F00">
        <w:t xml:space="preserve"> abstentions.</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175D4" w14:textId="77777777" w:rsidR="000D6AA3" w:rsidRDefault="000D6AA3">
      <w:r>
        <w:separator/>
      </w:r>
    </w:p>
  </w:endnote>
  <w:endnote w:type="continuationSeparator" w:id="0">
    <w:p w14:paraId="6DA1D292" w14:textId="77777777" w:rsidR="000D6AA3" w:rsidRDefault="000D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242AEB6D" w:rsidR="00964A13" w:rsidRPr="00506C78" w:rsidRDefault="00506C78" w:rsidP="00964A13">
    <w:pPr>
      <w:pStyle w:val="Footer"/>
      <w:rPr>
        <w:caps/>
      </w:rPr>
    </w:pPr>
    <w:r w:rsidRPr="00506C78">
      <w:rPr>
        <w:caps/>
      </w:rPr>
      <w:t>eesc-2024-03788-00-00-</w:t>
    </w:r>
    <w:r w:rsidR="00964A13" w:rsidRPr="00506C78">
      <w:rPr>
        <w:caps/>
      </w:rPr>
      <w:t>CR-REF (</w:t>
    </w:r>
    <w:r w:rsidRPr="00506C78">
      <w:rPr>
        <w:caps/>
      </w:rPr>
      <w:t>EN</w:t>
    </w:r>
    <w:r w:rsidR="00964A13" w:rsidRPr="00506C78">
      <w:rPr>
        <w:caps/>
      </w:rPr>
      <w:t xml:space="preserve">) </w:t>
    </w:r>
    <w:r w:rsidR="00964A13" w:rsidRPr="00506C78">
      <w:rPr>
        <w:caps/>
      </w:rPr>
      <w:fldChar w:fldCharType="begin"/>
    </w:r>
    <w:r w:rsidR="00964A13" w:rsidRPr="00506C78">
      <w:rPr>
        <w:caps/>
      </w:rPr>
      <w:instrText xml:space="preserve"> PAGE  \* Arabic  \* MERGEFORMAT </w:instrText>
    </w:r>
    <w:r w:rsidR="00964A13" w:rsidRPr="00506C78">
      <w:rPr>
        <w:caps/>
      </w:rPr>
      <w:fldChar w:fldCharType="separate"/>
    </w:r>
    <w:r w:rsidR="003C15D7" w:rsidRPr="00506C78">
      <w:rPr>
        <w:caps/>
        <w:noProof/>
      </w:rPr>
      <w:t>1</w:t>
    </w:r>
    <w:r w:rsidR="00964A13" w:rsidRPr="00506C78">
      <w:rPr>
        <w:caps/>
      </w:rPr>
      <w:fldChar w:fldCharType="end"/>
    </w:r>
    <w:r w:rsidR="00964A13" w:rsidRPr="00506C78">
      <w:rPr>
        <w:caps/>
      </w:rPr>
      <w:t>/</w:t>
    </w:r>
    <w:r w:rsidR="00964A13" w:rsidRPr="00506C78">
      <w:rPr>
        <w:caps/>
      </w:rPr>
      <w:fldChar w:fldCharType="begin"/>
    </w:r>
    <w:r w:rsidR="00964A13" w:rsidRPr="00506C78">
      <w:rPr>
        <w:caps/>
      </w:rPr>
      <w:instrText xml:space="preserve"> = </w:instrText>
    </w:r>
    <w:r w:rsidR="00964A13" w:rsidRPr="00506C78">
      <w:rPr>
        <w:caps/>
      </w:rPr>
      <w:fldChar w:fldCharType="begin"/>
    </w:r>
    <w:r w:rsidR="00964A13" w:rsidRPr="00506C78">
      <w:rPr>
        <w:caps/>
      </w:rPr>
      <w:instrText xml:space="preserve"> NUMPAGES </w:instrText>
    </w:r>
    <w:r w:rsidR="00964A13" w:rsidRPr="00506C78">
      <w:rPr>
        <w:caps/>
      </w:rPr>
      <w:fldChar w:fldCharType="separate"/>
    </w:r>
    <w:r w:rsidR="00114B56">
      <w:rPr>
        <w:caps/>
        <w:noProof/>
      </w:rPr>
      <w:instrText>5</w:instrText>
    </w:r>
    <w:r w:rsidR="00964A13" w:rsidRPr="00506C78">
      <w:rPr>
        <w:caps/>
      </w:rPr>
      <w:fldChar w:fldCharType="end"/>
    </w:r>
    <w:r w:rsidR="00964A13" w:rsidRPr="00506C78">
      <w:rPr>
        <w:caps/>
      </w:rPr>
      <w:instrText xml:space="preserve"> -0 </w:instrText>
    </w:r>
    <w:r w:rsidR="00964A13" w:rsidRPr="00506C78">
      <w:rPr>
        <w:caps/>
      </w:rPr>
      <w:fldChar w:fldCharType="separate"/>
    </w:r>
    <w:r w:rsidR="00114B56">
      <w:rPr>
        <w:caps/>
        <w:noProof/>
      </w:rPr>
      <w:t>5</w:t>
    </w:r>
    <w:r w:rsidR="00964A13" w:rsidRPr="00506C78">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299F0" w14:textId="77777777" w:rsidR="000D6AA3" w:rsidRDefault="000D6AA3">
      <w:r>
        <w:separator/>
      </w:r>
    </w:p>
  </w:footnote>
  <w:footnote w:type="continuationSeparator" w:id="0">
    <w:p w14:paraId="36EE9532" w14:textId="77777777" w:rsidR="000D6AA3" w:rsidRDefault="000D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B3441"/>
    <w:rsid w:val="000D6AA3"/>
    <w:rsid w:val="000E4B6B"/>
    <w:rsid w:val="000F03D6"/>
    <w:rsid w:val="00107189"/>
    <w:rsid w:val="00114B56"/>
    <w:rsid w:val="00143A71"/>
    <w:rsid w:val="0015063A"/>
    <w:rsid w:val="0015330A"/>
    <w:rsid w:val="001557ED"/>
    <w:rsid w:val="00165632"/>
    <w:rsid w:val="001766AB"/>
    <w:rsid w:val="00177DAC"/>
    <w:rsid w:val="001C7254"/>
    <w:rsid w:val="002346F9"/>
    <w:rsid w:val="002601CF"/>
    <w:rsid w:val="00273FDB"/>
    <w:rsid w:val="002925F3"/>
    <w:rsid w:val="00297572"/>
    <w:rsid w:val="00320C0B"/>
    <w:rsid w:val="003439B0"/>
    <w:rsid w:val="003876B5"/>
    <w:rsid w:val="00392924"/>
    <w:rsid w:val="003C15D7"/>
    <w:rsid w:val="003C2604"/>
    <w:rsid w:val="003E1619"/>
    <w:rsid w:val="00405240"/>
    <w:rsid w:val="00413095"/>
    <w:rsid w:val="00423299"/>
    <w:rsid w:val="00440123"/>
    <w:rsid w:val="00460CC5"/>
    <w:rsid w:val="004A0843"/>
    <w:rsid w:val="004D4F00"/>
    <w:rsid w:val="00506C78"/>
    <w:rsid w:val="00564B0D"/>
    <w:rsid w:val="0057692A"/>
    <w:rsid w:val="00590C1E"/>
    <w:rsid w:val="005E1A79"/>
    <w:rsid w:val="00625E71"/>
    <w:rsid w:val="00646E27"/>
    <w:rsid w:val="00705A8F"/>
    <w:rsid w:val="00706BF7"/>
    <w:rsid w:val="00732429"/>
    <w:rsid w:val="0073571F"/>
    <w:rsid w:val="007C6A55"/>
    <w:rsid w:val="007E3A33"/>
    <w:rsid w:val="00815851"/>
    <w:rsid w:val="00826375"/>
    <w:rsid w:val="008531DF"/>
    <w:rsid w:val="00862EFF"/>
    <w:rsid w:val="008A371F"/>
    <w:rsid w:val="008B0756"/>
    <w:rsid w:val="008E0097"/>
    <w:rsid w:val="008F2211"/>
    <w:rsid w:val="00901F3D"/>
    <w:rsid w:val="00911202"/>
    <w:rsid w:val="009326E3"/>
    <w:rsid w:val="00961F04"/>
    <w:rsid w:val="00964A13"/>
    <w:rsid w:val="00991BCE"/>
    <w:rsid w:val="009E138D"/>
    <w:rsid w:val="00A1331C"/>
    <w:rsid w:val="00A14D3A"/>
    <w:rsid w:val="00A53158"/>
    <w:rsid w:val="00A64D59"/>
    <w:rsid w:val="00A67235"/>
    <w:rsid w:val="00A8760D"/>
    <w:rsid w:val="00B80138"/>
    <w:rsid w:val="00BD00B0"/>
    <w:rsid w:val="00BE7410"/>
    <w:rsid w:val="00C05B64"/>
    <w:rsid w:val="00C20EAB"/>
    <w:rsid w:val="00C2508B"/>
    <w:rsid w:val="00C4683E"/>
    <w:rsid w:val="00C87758"/>
    <w:rsid w:val="00CC3A04"/>
    <w:rsid w:val="00D54F5F"/>
    <w:rsid w:val="00D652FF"/>
    <w:rsid w:val="00D806A2"/>
    <w:rsid w:val="00D91D06"/>
    <w:rsid w:val="00DD05A8"/>
    <w:rsid w:val="00E24886"/>
    <w:rsid w:val="00E55BBF"/>
    <w:rsid w:val="00E70261"/>
    <w:rsid w:val="00EB2D50"/>
    <w:rsid w:val="00EC0F0F"/>
    <w:rsid w:val="00ED3C7B"/>
    <w:rsid w:val="00ED6BB4"/>
    <w:rsid w:val="00F01E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08B"/>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customStyle="1" w:styleId="TableGrid1">
    <w:name w:val="Table Grid1"/>
    <w:basedOn w:val="TableNormal"/>
    <w:next w:val="TableGrid"/>
    <w:rsid w:val="00C20EAB"/>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2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F7M6YNZUATRX-2090047846-9379</_dlc_DocId>
    <_dlc_DocIdUrl xmlns="59ace41b-6786-4ce3-be71-52c27066c6ef">
      <Url>http://dm/eesc/2024/_layouts/15/DocIdRedir.aspx?ID=F7M6YNZUATRX-2090047846-9379</Url>
      <Description>F7M6YNZUATRX-2090047846-9379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2025-03-04T12:00:00+00:00</ProductionDate>
    <FicheYear xmlns="59ace41b-6786-4ce3-be71-52c27066c6ef">2024</FicheYear>
    <DocumentNumber xmlns="699f5230-8002-47b7-b3bd-c7b6c8cbc844">3788</DocumentNumber>
    <DossierNumber xmlns="59ace41b-6786-4ce3-be71-52c27066c6ef">817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49</Value>
      <Value>8</Value>
      <Value>6</Value>
      <Value>5</Value>
      <Value>38</Value>
      <Value>71</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59ace41b-6786-4ce3-be71-52c27066c6ef">BALON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10477</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2025-02-27T12:00:00+00:00</AdoptionDate>
    <RequestingService xmlns="59ace41b-6786-4ce3-be71-52c27066c6ef">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Props1.xml><?xml version="1.0" encoding="utf-8"?>
<ds:datastoreItem xmlns:ds="http://schemas.openxmlformats.org/officeDocument/2006/customXml" ds:itemID="{04E91559-180D-48D4-9EDC-7470452A4D00}"/>
</file>

<file path=customXml/itemProps2.xml><?xml version="1.0" encoding="utf-8"?>
<ds:datastoreItem xmlns:ds="http://schemas.openxmlformats.org/officeDocument/2006/customXml" ds:itemID="{60E3CC7B-797C-4C14-AEEF-EB61417EEC43}"/>
</file>

<file path=customXml/itemProps3.xml><?xml version="1.0" encoding="utf-8"?>
<ds:datastoreItem xmlns:ds="http://schemas.openxmlformats.org/officeDocument/2006/customXml" ds:itemID="{B8A32631-BC47-4C8F-B71A-C1BB7ED51692}"/>
</file>

<file path=customXml/itemProps4.xml><?xml version="1.0" encoding="utf-8"?>
<ds:datastoreItem xmlns:ds="http://schemas.openxmlformats.org/officeDocument/2006/customXml" ds:itemID="{E1CE7792-0095-4C3E-829B-00598AC9CD56}"/>
</file>

<file path=docProps/app.xml><?xml version="1.0" encoding="utf-8"?>
<Properties xmlns="http://schemas.openxmlformats.org/officeDocument/2006/extended-properties" xmlns:vt="http://schemas.openxmlformats.org/officeDocument/2006/docPropsVTypes">
  <Template>Normal</Template>
  <TotalTime>6</TotalTime>
  <Pages>2</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Older people in employment</dc:title>
  <dc:subject>Record of proceedings</dc:subject>
  <dc:creator>Hilary Morris</dc:creator>
  <cp:keywords>EESC-2024-03788-00-00-CR-TRA-EN</cp:keywords>
  <dc:description>Rapporteur: - BALON Original language: - EN Date of document: - 04/03/2025 Date of meeting: -  External documents: -  Administrator responsible: - Mme AASMAA Triin</dc:description>
  <cp:lastModifiedBy>TDriveSVCUserProd</cp:lastModifiedBy>
  <cp:revision>8</cp:revision>
  <cp:lastPrinted>2004-02-16T15:16:00Z</cp:lastPrinted>
  <dcterms:created xsi:type="dcterms:W3CDTF">2025-03-04T11:11:00Z</dcterms:created>
  <dcterms:modified xsi:type="dcterms:W3CDTF">2025-03-04T14:18:00Z</dcterms:modified>
  <cp:category>SOC/817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0x010100EA97B91038054C99906057A708A1480A00B06661FC727DF04D98883761B3120F64</vt:lpwstr>
  </property>
  <property fmtid="{D5CDD505-2E9C-101B-9397-08002B2CF9AE}" pid="8" name="_dlc_DocIdItemGuid">
    <vt:lpwstr>f1ee91d6-c9eb-4c75-a12b-84548c78c4b0</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3788</vt:i4>
  </property>
  <property fmtid="{D5CDD505-2E9C-101B-9397-08002B2CF9AE}" pid="14" name="FicheYear">
    <vt:i4>2024</vt:i4>
  </property>
  <property fmtid="{D5CDD505-2E9C-101B-9397-08002B2CF9AE}" pid="15" name="DocumentVersion">
    <vt:i4>0</vt:i4>
  </property>
  <property fmtid="{D5CDD505-2E9C-101B-9397-08002B2CF9AE}" pid="16" name="DossierNumber">
    <vt:i4>817</vt:i4>
  </property>
  <property fmtid="{D5CDD505-2E9C-101B-9397-08002B2CF9AE}" pid="17" name="DocumentStatus">
    <vt:lpwstr>38;#REF|722611fd-7eaf-44e3-8780-a3226646f5f0</vt:lpwstr>
  </property>
  <property fmtid="{D5CDD505-2E9C-101B-9397-08002B2CF9AE}" pid="18" name="DossierName">
    <vt:lpwstr>49;#SOC|13795804-ecbd-4ce5-9693-9b8be1981b20</vt:lpwstr>
  </property>
  <property fmtid="{D5CDD505-2E9C-101B-9397-08002B2CF9AE}" pid="19" name="RequestingService">
    <vt:lpwstr>Emploi, affaires sociales, citoyenneté</vt:lpwstr>
  </property>
  <property fmtid="{D5CDD505-2E9C-101B-9397-08002B2CF9AE}" pid="20" name="Confidentiality">
    <vt:lpwstr>6;#Unrestricted|826e22d7-d029-4ec0-a450-0c28ff673572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49;#SOC|13795804-ecbd-4ce5-9693-9b8be1981b20;#8;#Final|ea5e6674-7b27-4bac-b091-73adbb394efe;#6;#Unrestricted|826e22d7-d029-4ec0-a450-0c28ff673572;#5;#EN|f2175f21-25d7-44a3-96da-d6a61b075e1b;#38;#REF|722611fd-7eaf-44e3-8780-a3226646f5f0;#71;#CR|3d8a0a7b-557a-49c4-997f-22056dbd9ff4;#1;#EESC|422833ec-8d7e-4e65-8e4e-8bed07ffb729</vt:lpwstr>
  </property>
  <property fmtid="{D5CDD505-2E9C-101B-9397-08002B2CF9AE}" pid="30" name="Rapporteur">
    <vt:lpwstr>BALON</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2024</vt:i4>
  </property>
  <property fmtid="{D5CDD505-2E9C-101B-9397-08002B2CF9AE}" pid="34" name="FicheNumber">
    <vt:i4>10477</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2025-02-27T12:00:00Z</vt:filetime>
  </property>
  <property fmtid="{D5CDD505-2E9C-101B-9397-08002B2CF9AE}" pid="38" name="DocumentType">
    <vt:lpwstr>71;#CR|3d8a0a7b-557a-49c4-997f-22056dbd9ff4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