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BE1F8F" w:rsidRDefault="00DE572D" w14:paraId="4982DD4D" w14:textId="5A7D913C">
      <w:pPr>
        <w:jc w:val="center"/>
      </w:pPr>
      <w:r>
        <w:rPr>
          <w:noProof/>
        </w:rPr>
        <w:drawing>
          <wp:inline distT="0" distB="0" distL="0" distR="0" wp14:anchorId="2FAE0964" wp14:editId="1B31A46C">
            <wp:extent cx="1792605" cy="1239520"/>
            <wp:effectExtent l="0" t="0" r="0" b="0"/>
            <wp:docPr id="1" name="Picture 1" title="EESCLogo_SV"/>
            <wp:cNvGraphicFramePr/>
            <a:graphic xmlns:a="http://schemas.openxmlformats.org/drawingml/2006/main">
              <a:graphicData uri="http://schemas.openxmlformats.org/drawingml/2006/picture">
                <pic:pic xmlns:pic="http://schemas.openxmlformats.org/drawingml/2006/picture">
                  <pic:nvPicPr>
                    <pic:cNvPr id="1" name="Picture 1" title="EESCLogo_SV"/>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rFonts w:ascii="Arial" w:hAnsi="Arial"/>
          <w:b/>
          <w:noProof/>
          <w:sz w:val="20"/>
        </w:rPr>
        <mc:AlternateContent>
          <mc:Choice Requires="wps">
            <w:drawing>
              <wp:anchor distT="0" distB="0" distL="114300" distR="114300" simplePos="0" relativeHeight="251659264" behindDoc="1" locked="0" layoutInCell="0" allowOverlap="1" wp14:editId="1E398803" wp14:anchorId="4B97899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8354A" w:rsidRDefault="0018354A" w14:paraId="40261324" w14:textId="77777777">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978990">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18354A" w:rsidRDefault="0018354A" w14:paraId="40261324" w14:textId="77777777">
                      <w:pPr>
                        <w:jc w:val="center"/>
                        <w:rPr>
                          <w:rFonts w:ascii="Arial" w:hAnsi="Arial" w:cs="Arial"/>
                          <w:b/>
                          <w:bCs/>
                          <w:sz w:val="48"/>
                        </w:rPr>
                      </w:pPr>
                      <w:r>
                        <w:rPr>
                          <w:rFonts w:ascii="Arial" w:hAnsi="Arial"/>
                          <w:b/>
                          <w:sz w:val="48"/>
                        </w:rPr>
                        <w:t>SV</w:t>
                      </w:r>
                    </w:p>
                  </w:txbxContent>
                </v:textbox>
                <w10:wrap anchorx="page" anchory="page"/>
              </v:shape>
            </w:pict>
          </mc:Fallback>
        </mc:AlternateContent>
      </w:r>
    </w:p>
    <w:p w:rsidR="004D7AC0" w:rsidP="00BE1F8F" w:rsidRDefault="004D7AC0" w14:paraId="4982DD4E" w14:textId="77777777"/>
    <w:p w:rsidR="004D7AC0" w:rsidP="00BE1F8F" w:rsidRDefault="004D7AC0" w14:paraId="4982DD4F" w14:textId="6D24C8E5">
      <w:pPr>
        <w:jc w:val="right"/>
      </w:pPr>
      <w:r>
        <w:t>Bryssel, den 14 mars 2025</w:t>
      </w:r>
    </w:p>
    <w:p w:rsidR="004D7AC0" w:rsidP="00BE1F8F" w:rsidRDefault="004D7AC0" w14:paraId="4982DD50" w14:textId="77777777"/>
    <w:p w:rsidR="004D7AC0" w:rsidP="00BE1F8F" w:rsidRDefault="004D7AC0" w14:paraId="4982DD51" w14:textId="77777777"/>
    <w:p w:rsidR="004D7AC0" w:rsidP="00BE1F8F"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BE1F8F" w:rsidRDefault="006C6ECE" w14:paraId="4982DD53" w14:textId="527E0554">
            <w:pPr>
              <w:snapToGrid w:val="0"/>
              <w:jc w:val="center"/>
              <w:rPr>
                <w:b/>
                <w:sz w:val="32"/>
                <w:szCs w:val="32"/>
              </w:rPr>
            </w:pPr>
            <w:r>
              <w:rPr>
                <w:b/>
                <w:sz w:val="32"/>
              </w:rPr>
              <w:t>594:e PLENARSESSIONEN</w:t>
            </w:r>
          </w:p>
          <w:p w:rsidR="003066BE" w:rsidP="00BE1F8F" w:rsidRDefault="003066BE" w14:paraId="4982DD54" w14:textId="77777777">
            <w:pPr>
              <w:snapToGrid w:val="0"/>
              <w:jc w:val="center"/>
              <w:rPr>
                <w:b/>
                <w:sz w:val="32"/>
                <w:szCs w:val="32"/>
              </w:rPr>
            </w:pPr>
          </w:p>
          <w:p w:rsidR="003066BE" w:rsidP="00BE1F8F" w:rsidRDefault="00850929" w14:paraId="4982DD55" w14:textId="094CA4B9">
            <w:pPr>
              <w:snapToGrid w:val="0"/>
              <w:jc w:val="center"/>
              <w:rPr>
                <w:b/>
                <w:sz w:val="32"/>
                <w:szCs w:val="32"/>
              </w:rPr>
            </w:pPr>
            <w:r>
              <w:rPr>
                <w:b/>
                <w:sz w:val="32"/>
              </w:rPr>
              <w:t>26–27 februari 2025</w:t>
            </w:r>
          </w:p>
          <w:p w:rsidR="003066BE" w:rsidP="00BE1F8F" w:rsidRDefault="003066BE" w14:paraId="4982DD56" w14:textId="77777777">
            <w:pPr>
              <w:snapToGrid w:val="0"/>
              <w:jc w:val="center"/>
              <w:rPr>
                <w:b/>
                <w:sz w:val="32"/>
                <w:szCs w:val="32"/>
              </w:rPr>
            </w:pPr>
          </w:p>
          <w:p w:rsidRPr="0081153B" w:rsidR="004D7AC0" w:rsidP="00BE1F8F" w:rsidRDefault="00754027" w14:paraId="4982DD57" w14:textId="5A35E792">
            <w:pPr>
              <w:snapToGrid w:val="0"/>
              <w:jc w:val="center"/>
              <w:rPr>
                <w:rFonts w:eastAsia="MS Mincho"/>
                <w:b/>
                <w:sz w:val="32"/>
                <w:szCs w:val="32"/>
              </w:rPr>
            </w:pPr>
            <w:r>
              <w:rPr>
                <w:b/>
                <w:sz w:val="32"/>
              </w:rPr>
              <w:t>SAMMANFATTNING AV ANTAGNA YTTRANDEN, RESOLUTIONER OCH INFORMATIONS- OCH UTVÄRDERINGSRAPPORTER</w:t>
            </w:r>
          </w:p>
          <w:p w:rsidR="004D7AC0" w:rsidP="00BE1F8F"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00726351" w:rsidP="00BE1F8F" w:rsidRDefault="004D7AC0" w14:paraId="05F5C867" w14:textId="77777777">
            <w:pPr>
              <w:snapToGrid w:val="0"/>
              <w:jc w:val="center"/>
            </w:pPr>
            <w:r>
              <w:t xml:space="preserve">Detta dokument finns tillgängligt på Europeiska unionens alla officiella språk på </w:t>
            </w:r>
            <w:proofErr w:type="spellStart"/>
            <w:r>
              <w:t>EESK:s</w:t>
            </w:r>
            <w:proofErr w:type="spellEnd"/>
            <w:r>
              <w:t xml:space="preserve"> webbplats på följande adress:</w:t>
            </w:r>
          </w:p>
          <w:p w:rsidR="00726351" w:rsidP="00BE1F8F" w:rsidRDefault="00726351" w14:paraId="65F2BC50" w14:textId="77777777">
            <w:pPr>
              <w:snapToGrid w:val="0"/>
              <w:jc w:val="center"/>
            </w:pPr>
          </w:p>
          <w:p w:rsidRPr="0081153B" w:rsidR="004D7AC0" w:rsidP="00BE1F8F" w:rsidRDefault="008B5D7D" w14:paraId="4982DD5A" w14:textId="4DF10D40">
            <w:pPr>
              <w:snapToGrid w:val="0"/>
              <w:jc w:val="center"/>
            </w:pPr>
            <w:hyperlink w:history="1" r:id="rId13">
              <w:r w:rsidR="00DE572D">
                <w:rPr>
                  <w:rStyle w:val="Hyperlink"/>
                </w:rPr>
                <w:t>https://www.eesc.europa.eu/sv/our-work/opinions-information-reports/plenary-session-summaries</w:t>
              </w:r>
            </w:hyperlink>
          </w:p>
          <w:p w:rsidRPr="0081153B" w:rsidR="004D7AC0" w:rsidP="00BE1F8F" w:rsidRDefault="004D7AC0" w14:paraId="4982DD5B" w14:textId="77777777">
            <w:pPr>
              <w:snapToGrid w:val="0"/>
              <w:jc w:val="center"/>
            </w:pPr>
          </w:p>
          <w:p w:rsidRPr="0081153B" w:rsidR="004D7AC0" w:rsidP="00BE1F8F" w:rsidRDefault="004D7AC0" w14:paraId="4982DD5C" w14:textId="77777777">
            <w:pPr>
              <w:snapToGrid w:val="0"/>
              <w:jc w:val="center"/>
              <w:rPr>
                <w:rFonts w:eastAsia="SimSun"/>
              </w:rPr>
            </w:pPr>
          </w:p>
          <w:p w:rsidR="00726351" w:rsidP="00BE1F8F" w:rsidRDefault="004D7AC0" w14:paraId="64A40D96" w14:textId="77777777">
            <w:pPr>
              <w:snapToGrid w:val="0"/>
              <w:jc w:val="center"/>
            </w:pPr>
            <w:r>
              <w:t xml:space="preserve">De yttranden som tas upp finns tillgängliga på internet via </w:t>
            </w:r>
            <w:proofErr w:type="spellStart"/>
            <w:r>
              <w:t>EESK:s</w:t>
            </w:r>
            <w:proofErr w:type="spellEnd"/>
            <w:r>
              <w:t xml:space="preserve"> sökmotor:</w:t>
            </w:r>
          </w:p>
          <w:p w:rsidR="00726351" w:rsidP="00BE1F8F" w:rsidRDefault="00726351" w14:paraId="0E196128" w14:textId="77777777">
            <w:pPr>
              <w:snapToGrid w:val="0"/>
              <w:jc w:val="center"/>
            </w:pPr>
          </w:p>
          <w:p w:rsidRPr="00044561" w:rsidR="004D7AC0" w:rsidP="00BE1F8F" w:rsidRDefault="008B5D7D" w14:paraId="4982DD5D" w14:textId="339632B5">
            <w:pPr>
              <w:snapToGrid w:val="0"/>
              <w:jc w:val="center"/>
            </w:pPr>
            <w:hyperlink w:history="1" r:id="rId14">
              <w:r w:rsidR="00DE572D">
                <w:rPr>
                  <w:rStyle w:val="Hyperlink"/>
                </w:rPr>
                <w:t>https://dmsearch.eesc.europa.eu/search/opinion</w:t>
              </w:r>
            </w:hyperlink>
          </w:p>
          <w:p w:rsidRPr="00044561" w:rsidR="004D7AC0" w:rsidP="00BE1F8F" w:rsidRDefault="004D7AC0" w14:paraId="4982DD5E" w14:textId="77777777">
            <w:pPr>
              <w:snapToGrid w:val="0"/>
              <w:jc w:val="center"/>
            </w:pPr>
          </w:p>
        </w:tc>
      </w:tr>
    </w:tbl>
    <w:p w:rsidR="004D7AC0" w:rsidP="00BE1F8F" w:rsidRDefault="004D7AC0" w14:paraId="4982DD60" w14:textId="77777777"/>
    <w:p w:rsidR="004D7AC0" w:rsidP="00BE1F8F" w:rsidRDefault="004D7AC0" w14:paraId="4982DD61" w14:textId="77777777"/>
    <w:p w:rsidR="004D7AC0" w:rsidP="00BE1F8F" w:rsidRDefault="004D7AC0" w14:paraId="4982DD62" w14:textId="77777777">
      <w:pPr>
        <w:sectPr w:rsidR="004D7AC0" w:rsidSect="00BE1F8F">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BE1F8F" w:rsidRDefault="004D7AC0" w14:paraId="4982DD63" w14:textId="77777777">
      <w:pPr>
        <w:rPr>
          <w:b/>
        </w:rPr>
      </w:pPr>
      <w:r>
        <w:rPr>
          <w:b/>
        </w:rPr>
        <w:lastRenderedPageBreak/>
        <w:t>Innehåll:</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BE1F8F" w:rsidRDefault="004D7AC0" w14:paraId="4982DD64" w14:textId="77777777">
          <w:pPr>
            <w:pStyle w:val="TOCHeading"/>
            <w:spacing w:before="0" w:line="288" w:lineRule="auto"/>
            <w:rPr>
              <w:rFonts w:ascii="Times New Roman" w:hAnsi="Times New Roman" w:cs="Times New Roman"/>
              <w:color w:val="auto"/>
              <w:sz w:val="22"/>
              <w:szCs w:val="22"/>
            </w:rPr>
          </w:pPr>
        </w:p>
        <w:p w:rsidR="004E0A41" w:rsidP="004E0A41" w:rsidRDefault="004D7AC0" w14:paraId="5FFA8F2B" w14:textId="45DF30C5">
          <w:pPr>
            <w:pStyle w:val="TOC1"/>
            <w:rPr>
              <w:rFonts w:asciiTheme="minorHAnsi" w:hAnsiTheme="minorHAnsi" w:eastAsiaTheme="minorEastAsia"/>
              <w:noProof/>
              <w:szCs w:val="20"/>
              <w:lang w:val="en-US" w:bidi="hi-x-bh-SDL"/>
            </w:rPr>
          </w:pPr>
          <w:r>
            <w:fldChar w:fldCharType="begin"/>
          </w:r>
          <w:r>
            <w:instrText xml:space="preserve"> TOC \o "1-3" \h \z \u </w:instrText>
          </w:r>
          <w:r>
            <w:fldChar w:fldCharType="separate"/>
          </w:r>
          <w:hyperlink w:history="1" w:anchor="_Toc192683399">
            <w:r w:rsidRPr="00A35233" w:rsidR="004E0A41">
              <w:rPr>
                <w:rStyle w:val="Hyperlink"/>
                <w:bCs/>
                <w:noProof/>
              </w:rPr>
              <w:t>1.</w:t>
            </w:r>
            <w:r w:rsidR="004E0A41">
              <w:rPr>
                <w:rFonts w:asciiTheme="minorHAnsi" w:hAnsiTheme="minorHAnsi" w:eastAsiaTheme="minorEastAsia"/>
                <w:noProof/>
                <w:szCs w:val="20"/>
                <w:lang w:val="en-US" w:bidi="hi-x-bh-SDL"/>
              </w:rPr>
              <w:tab/>
            </w:r>
            <w:r w:rsidRPr="00A35233" w:rsidR="004E0A41">
              <w:rPr>
                <w:rStyle w:val="Hyperlink"/>
                <w:b/>
                <w:noProof/>
              </w:rPr>
              <w:t xml:space="preserve">EKONOMISKA OCH MONETÄRA UNIONEN, EKONOMISK OCH SOCIAL </w:t>
            </w:r>
            <w:r w:rsidR="004E0A41">
              <w:rPr>
                <w:rStyle w:val="Hyperlink"/>
                <w:b/>
                <w:noProof/>
              </w:rPr>
              <w:t xml:space="preserve">  </w:t>
            </w:r>
            <w:r w:rsidR="004E0A41">
              <w:rPr>
                <w:rStyle w:val="Hyperlink"/>
                <w:b/>
                <w:noProof/>
              </w:rPr>
              <w:tab/>
            </w:r>
            <w:r w:rsidRPr="00A35233" w:rsidR="004E0A41">
              <w:rPr>
                <w:rStyle w:val="Hyperlink"/>
                <w:b/>
                <w:noProof/>
              </w:rPr>
              <w:t>SAMMANHÅLLNING</w:t>
            </w:r>
            <w:r w:rsidR="004E0A41">
              <w:rPr>
                <w:noProof/>
                <w:webHidden/>
              </w:rPr>
              <w:tab/>
            </w:r>
            <w:r w:rsidR="004E0A41">
              <w:rPr>
                <w:noProof/>
                <w:webHidden/>
              </w:rPr>
              <w:fldChar w:fldCharType="begin"/>
            </w:r>
            <w:r w:rsidR="004E0A41">
              <w:rPr>
                <w:noProof/>
                <w:webHidden/>
              </w:rPr>
              <w:instrText xml:space="preserve"> PAGEREF _Toc192683399 \h </w:instrText>
            </w:r>
            <w:r w:rsidR="004E0A41">
              <w:rPr>
                <w:noProof/>
                <w:webHidden/>
              </w:rPr>
            </w:r>
            <w:r w:rsidR="004E0A41">
              <w:rPr>
                <w:noProof/>
                <w:webHidden/>
              </w:rPr>
              <w:fldChar w:fldCharType="separate"/>
            </w:r>
            <w:r w:rsidR="004E0A41">
              <w:rPr>
                <w:noProof/>
                <w:webHidden/>
              </w:rPr>
              <w:t>3</w:t>
            </w:r>
            <w:r w:rsidR="004E0A41">
              <w:rPr>
                <w:noProof/>
                <w:webHidden/>
              </w:rPr>
              <w:fldChar w:fldCharType="end"/>
            </w:r>
          </w:hyperlink>
        </w:p>
        <w:p w:rsidR="004E0A41" w:rsidP="004E0A41" w:rsidRDefault="004E0A41" w14:paraId="2A5356BD" w14:textId="70BBEF00">
          <w:pPr>
            <w:pStyle w:val="TOC1"/>
            <w:rPr>
              <w:rFonts w:asciiTheme="minorHAnsi" w:hAnsiTheme="minorHAnsi" w:eastAsiaTheme="minorEastAsia"/>
              <w:noProof/>
              <w:szCs w:val="20"/>
              <w:lang w:val="en-US" w:bidi="hi-x-bh-SDL"/>
            </w:rPr>
          </w:pPr>
          <w:hyperlink w:history="1" w:anchor="_Toc192683400">
            <w:r w:rsidRPr="00A35233">
              <w:rPr>
                <w:rStyle w:val="Hyperlink"/>
                <w:bCs/>
                <w:noProof/>
              </w:rPr>
              <w:t>2.</w:t>
            </w:r>
            <w:r>
              <w:rPr>
                <w:rFonts w:asciiTheme="minorHAnsi" w:hAnsiTheme="minorHAnsi" w:eastAsiaTheme="minorEastAsia"/>
                <w:noProof/>
                <w:szCs w:val="20"/>
                <w:lang w:val="en-US" w:bidi="hi-x-bh-SDL"/>
              </w:rPr>
              <w:tab/>
            </w:r>
            <w:r w:rsidRPr="00A35233">
              <w:rPr>
                <w:rStyle w:val="Hyperlink"/>
                <w:b/>
                <w:noProof/>
              </w:rPr>
              <w:t>SYSSELSÄTTNING, SOCIALA FRÅGOR OCH MEDBORGARNA</w:t>
            </w:r>
            <w:r>
              <w:rPr>
                <w:noProof/>
                <w:webHidden/>
              </w:rPr>
              <w:tab/>
            </w:r>
            <w:r>
              <w:rPr>
                <w:noProof/>
                <w:webHidden/>
              </w:rPr>
              <w:fldChar w:fldCharType="begin"/>
            </w:r>
            <w:r>
              <w:rPr>
                <w:noProof/>
                <w:webHidden/>
              </w:rPr>
              <w:instrText xml:space="preserve"> PAGEREF _Toc192683400 \h </w:instrText>
            </w:r>
            <w:r>
              <w:rPr>
                <w:noProof/>
                <w:webHidden/>
              </w:rPr>
            </w:r>
            <w:r>
              <w:rPr>
                <w:noProof/>
                <w:webHidden/>
              </w:rPr>
              <w:fldChar w:fldCharType="separate"/>
            </w:r>
            <w:r>
              <w:rPr>
                <w:noProof/>
                <w:webHidden/>
              </w:rPr>
              <w:t>10</w:t>
            </w:r>
            <w:r>
              <w:rPr>
                <w:noProof/>
                <w:webHidden/>
              </w:rPr>
              <w:fldChar w:fldCharType="end"/>
            </w:r>
          </w:hyperlink>
        </w:p>
        <w:p w:rsidR="004E0A41" w:rsidP="004E0A41" w:rsidRDefault="004E0A41" w14:paraId="5A335CA3" w14:textId="11BAF1AB">
          <w:pPr>
            <w:pStyle w:val="TOC1"/>
            <w:rPr>
              <w:rFonts w:asciiTheme="minorHAnsi" w:hAnsiTheme="minorHAnsi" w:eastAsiaTheme="minorEastAsia"/>
              <w:noProof/>
              <w:szCs w:val="20"/>
              <w:lang w:val="en-US" w:bidi="hi-x-bh-SDL"/>
            </w:rPr>
          </w:pPr>
          <w:hyperlink w:history="1" w:anchor="_Toc192683401">
            <w:r w:rsidRPr="00A35233">
              <w:rPr>
                <w:rStyle w:val="Hyperlink"/>
                <w:bCs/>
                <w:noProof/>
              </w:rPr>
              <w:t>3.</w:t>
            </w:r>
            <w:r>
              <w:rPr>
                <w:rFonts w:asciiTheme="minorHAnsi" w:hAnsiTheme="minorHAnsi" w:eastAsiaTheme="minorEastAsia"/>
                <w:noProof/>
                <w:szCs w:val="20"/>
                <w:lang w:val="en-US" w:bidi="hi-x-bh-SDL"/>
              </w:rPr>
              <w:tab/>
            </w:r>
            <w:r w:rsidRPr="00A35233">
              <w:rPr>
                <w:rStyle w:val="Hyperlink"/>
                <w:b/>
                <w:noProof/>
              </w:rPr>
              <w:t>TRANSPORTER, ENERGI, INFRASTRUKTUR OCH INFORMATIONSSAMHÄLLET</w:t>
            </w:r>
            <w:r>
              <w:rPr>
                <w:noProof/>
                <w:webHidden/>
              </w:rPr>
              <w:tab/>
            </w:r>
            <w:r>
              <w:rPr>
                <w:noProof/>
                <w:webHidden/>
              </w:rPr>
              <w:fldChar w:fldCharType="begin"/>
            </w:r>
            <w:r>
              <w:rPr>
                <w:noProof/>
                <w:webHidden/>
              </w:rPr>
              <w:instrText xml:space="preserve"> PAGEREF _Toc192683401 \h </w:instrText>
            </w:r>
            <w:r>
              <w:rPr>
                <w:noProof/>
                <w:webHidden/>
              </w:rPr>
            </w:r>
            <w:r>
              <w:rPr>
                <w:noProof/>
                <w:webHidden/>
              </w:rPr>
              <w:fldChar w:fldCharType="separate"/>
            </w:r>
            <w:r>
              <w:rPr>
                <w:noProof/>
                <w:webHidden/>
              </w:rPr>
              <w:t>15</w:t>
            </w:r>
            <w:r>
              <w:rPr>
                <w:noProof/>
                <w:webHidden/>
              </w:rPr>
              <w:fldChar w:fldCharType="end"/>
            </w:r>
          </w:hyperlink>
        </w:p>
        <w:p w:rsidR="004E0A41" w:rsidP="004E0A41" w:rsidRDefault="004E0A41" w14:paraId="7F75BA18" w14:textId="54D17031">
          <w:pPr>
            <w:pStyle w:val="TOC1"/>
            <w:rPr>
              <w:rFonts w:asciiTheme="minorHAnsi" w:hAnsiTheme="minorHAnsi" w:eastAsiaTheme="minorEastAsia"/>
              <w:noProof/>
              <w:szCs w:val="20"/>
              <w:lang w:val="en-US" w:bidi="hi-x-bh-SDL"/>
            </w:rPr>
          </w:pPr>
          <w:hyperlink w:history="1" w:anchor="_Toc192683402">
            <w:r w:rsidRPr="00A35233">
              <w:rPr>
                <w:rStyle w:val="Hyperlink"/>
                <w:bCs/>
                <w:noProof/>
              </w:rPr>
              <w:t>4.</w:t>
            </w:r>
            <w:r>
              <w:rPr>
                <w:rFonts w:asciiTheme="minorHAnsi" w:hAnsiTheme="minorHAnsi" w:eastAsiaTheme="minorEastAsia"/>
                <w:noProof/>
                <w:szCs w:val="20"/>
                <w:lang w:val="en-US" w:bidi="hi-x-bh-SDL"/>
              </w:rPr>
              <w:tab/>
            </w:r>
            <w:r w:rsidRPr="00A35233">
              <w:rPr>
                <w:rStyle w:val="Hyperlink"/>
                <w:b/>
                <w:noProof/>
              </w:rPr>
              <w:t>INRE MARKNADEN, PRODUKTION OCH KONSUMTION</w:t>
            </w:r>
            <w:r>
              <w:rPr>
                <w:noProof/>
                <w:webHidden/>
              </w:rPr>
              <w:tab/>
            </w:r>
            <w:r>
              <w:rPr>
                <w:noProof/>
                <w:webHidden/>
              </w:rPr>
              <w:fldChar w:fldCharType="begin"/>
            </w:r>
            <w:r>
              <w:rPr>
                <w:noProof/>
                <w:webHidden/>
              </w:rPr>
              <w:instrText xml:space="preserve"> PAGEREF _Toc192683402 \h </w:instrText>
            </w:r>
            <w:r>
              <w:rPr>
                <w:noProof/>
                <w:webHidden/>
              </w:rPr>
            </w:r>
            <w:r>
              <w:rPr>
                <w:noProof/>
                <w:webHidden/>
              </w:rPr>
              <w:fldChar w:fldCharType="separate"/>
            </w:r>
            <w:r>
              <w:rPr>
                <w:noProof/>
                <w:webHidden/>
              </w:rPr>
              <w:t>16</w:t>
            </w:r>
            <w:r>
              <w:rPr>
                <w:noProof/>
                <w:webHidden/>
              </w:rPr>
              <w:fldChar w:fldCharType="end"/>
            </w:r>
          </w:hyperlink>
        </w:p>
        <w:p w:rsidR="004E0A41" w:rsidP="004E0A41" w:rsidRDefault="004E0A41" w14:paraId="62712599" w14:textId="0D3E43EA">
          <w:pPr>
            <w:pStyle w:val="TOC1"/>
            <w:rPr>
              <w:rFonts w:asciiTheme="minorHAnsi" w:hAnsiTheme="minorHAnsi" w:eastAsiaTheme="minorEastAsia"/>
              <w:noProof/>
              <w:szCs w:val="20"/>
              <w:lang w:val="en-US" w:bidi="hi-x-bh-SDL"/>
            </w:rPr>
          </w:pPr>
          <w:hyperlink w:history="1" w:anchor="_Toc192683403">
            <w:r w:rsidRPr="00A35233">
              <w:rPr>
                <w:rStyle w:val="Hyperlink"/>
                <w:bCs/>
                <w:noProof/>
              </w:rPr>
              <w:t>5.</w:t>
            </w:r>
            <w:r>
              <w:rPr>
                <w:rFonts w:asciiTheme="minorHAnsi" w:hAnsiTheme="minorHAnsi" w:eastAsiaTheme="minorEastAsia"/>
                <w:noProof/>
                <w:szCs w:val="20"/>
                <w:lang w:val="en-US" w:bidi="hi-x-bh-SDL"/>
              </w:rPr>
              <w:tab/>
            </w:r>
            <w:r w:rsidRPr="00A35233">
              <w:rPr>
                <w:rStyle w:val="Hyperlink"/>
                <w:b/>
                <w:noProof/>
              </w:rPr>
              <w:t>JORDBRUK, LANDSBYGDSUTVECKLING OCH MILJÖ</w:t>
            </w:r>
            <w:r>
              <w:rPr>
                <w:noProof/>
                <w:webHidden/>
              </w:rPr>
              <w:tab/>
            </w:r>
            <w:r>
              <w:rPr>
                <w:noProof/>
                <w:webHidden/>
              </w:rPr>
              <w:fldChar w:fldCharType="begin"/>
            </w:r>
            <w:r>
              <w:rPr>
                <w:noProof/>
                <w:webHidden/>
              </w:rPr>
              <w:instrText xml:space="preserve"> PAGEREF _Toc192683403 \h </w:instrText>
            </w:r>
            <w:r>
              <w:rPr>
                <w:noProof/>
                <w:webHidden/>
              </w:rPr>
            </w:r>
            <w:r>
              <w:rPr>
                <w:noProof/>
                <w:webHidden/>
              </w:rPr>
              <w:fldChar w:fldCharType="separate"/>
            </w:r>
            <w:r>
              <w:rPr>
                <w:noProof/>
                <w:webHidden/>
              </w:rPr>
              <w:t>22</w:t>
            </w:r>
            <w:r>
              <w:rPr>
                <w:noProof/>
                <w:webHidden/>
              </w:rPr>
              <w:fldChar w:fldCharType="end"/>
            </w:r>
          </w:hyperlink>
        </w:p>
        <w:p w:rsidR="004E0A41" w:rsidP="004E0A41" w:rsidRDefault="004E0A41" w14:paraId="29BC5A97" w14:textId="7AC80823">
          <w:pPr>
            <w:pStyle w:val="TOC1"/>
            <w:rPr>
              <w:rFonts w:asciiTheme="minorHAnsi" w:hAnsiTheme="minorHAnsi" w:eastAsiaTheme="minorEastAsia"/>
              <w:noProof/>
              <w:szCs w:val="20"/>
              <w:lang w:val="en-US" w:bidi="hi-x-bh-SDL"/>
            </w:rPr>
          </w:pPr>
          <w:hyperlink w:history="1" w:anchor="_Toc192683404">
            <w:r w:rsidRPr="00A35233">
              <w:rPr>
                <w:rStyle w:val="Hyperlink"/>
                <w:bCs/>
                <w:noProof/>
              </w:rPr>
              <w:t>6.</w:t>
            </w:r>
            <w:r>
              <w:rPr>
                <w:rFonts w:asciiTheme="minorHAnsi" w:hAnsiTheme="minorHAnsi" w:eastAsiaTheme="minorEastAsia"/>
                <w:noProof/>
                <w:szCs w:val="20"/>
                <w:lang w:val="en-US" w:bidi="hi-x-bh-SDL"/>
              </w:rPr>
              <w:tab/>
            </w:r>
            <w:r w:rsidRPr="00A35233">
              <w:rPr>
                <w:rStyle w:val="Hyperlink"/>
                <w:b/>
                <w:noProof/>
              </w:rPr>
              <w:t>RÅDGIVANDE UTSKOTTET FÖR INDUSTRIELL OMVANDLING</w:t>
            </w:r>
            <w:r>
              <w:rPr>
                <w:noProof/>
                <w:webHidden/>
              </w:rPr>
              <w:tab/>
            </w:r>
            <w:r>
              <w:rPr>
                <w:noProof/>
                <w:webHidden/>
              </w:rPr>
              <w:fldChar w:fldCharType="begin"/>
            </w:r>
            <w:r>
              <w:rPr>
                <w:noProof/>
                <w:webHidden/>
              </w:rPr>
              <w:instrText xml:space="preserve"> PAGEREF _Toc192683404 \h </w:instrText>
            </w:r>
            <w:r>
              <w:rPr>
                <w:noProof/>
                <w:webHidden/>
              </w:rPr>
            </w:r>
            <w:r>
              <w:rPr>
                <w:noProof/>
                <w:webHidden/>
              </w:rPr>
              <w:fldChar w:fldCharType="separate"/>
            </w:r>
            <w:r>
              <w:rPr>
                <w:noProof/>
                <w:webHidden/>
              </w:rPr>
              <w:t>24</w:t>
            </w:r>
            <w:r>
              <w:rPr>
                <w:noProof/>
                <w:webHidden/>
              </w:rPr>
              <w:fldChar w:fldCharType="end"/>
            </w:r>
          </w:hyperlink>
        </w:p>
        <w:p w:rsidR="004D7AC0" w:rsidP="00BE1F8F" w:rsidRDefault="004D7AC0" w14:paraId="4982DD6A" w14:textId="39EC1DEF">
          <w:r>
            <w:rPr>
              <w:b/>
            </w:rPr>
            <w:fldChar w:fldCharType="end"/>
          </w:r>
        </w:p>
      </w:sdtContent>
    </w:sdt>
    <w:p w:rsidR="004D7AC0" w:rsidP="00BE1F8F" w:rsidRDefault="004D7AC0" w14:paraId="4982DD6B" w14:textId="77777777"/>
    <w:p w:rsidR="004D7AC0" w:rsidP="00BE1F8F" w:rsidRDefault="004D7AC0" w14:paraId="4982DD6C" w14:textId="77777777">
      <w:pPr>
        <w:jc w:val="left"/>
      </w:pPr>
      <w:r>
        <w:br w:type="page"/>
      </w:r>
    </w:p>
    <w:p w:rsidR="004D7AC0" w:rsidP="00BE1F8F" w:rsidRDefault="004D7AC0" w14:paraId="4982DD6D" w14:textId="77777777">
      <w:pPr>
        <w:pStyle w:val="Heading1"/>
        <w:rPr>
          <w:b/>
        </w:rPr>
      </w:pPr>
      <w:bookmarkStart w:name="_Toc192683399" w:id="0"/>
      <w:r>
        <w:rPr>
          <w:b/>
        </w:rPr>
        <w:lastRenderedPageBreak/>
        <w:t>EKONOMISKA OCH MONETÄRA UNIONEN, EKONOMISK OCH SOCIAL SAMMANHÅLLNING</w:t>
      </w:r>
      <w:bookmarkEnd w:id="0"/>
    </w:p>
    <w:p w:rsidR="004D7AC0" w:rsidP="00BE1F8F" w:rsidRDefault="004D7AC0" w14:paraId="4982DD6E" w14:textId="77777777"/>
    <w:p w:rsidRPr="00BE1F8F" w:rsidR="00BE1F8F" w:rsidP="00BE1F8F" w:rsidRDefault="008B5D7D" w14:paraId="1ECDFE60" w14:textId="77777777">
      <w:pPr>
        <w:widowControl w:val="0"/>
        <w:numPr>
          <w:ilvl w:val="0"/>
          <w:numId w:val="20"/>
        </w:numPr>
        <w:ind w:left="567" w:hanging="567"/>
        <w:jc w:val="left"/>
        <w:rPr>
          <w:bCs/>
          <w:iCs/>
        </w:rPr>
      </w:pPr>
      <w:hyperlink w:history="1" r:id="rId21">
        <w:r w:rsidR="00DE572D">
          <w:rPr>
            <w:b/>
            <w:i/>
            <w:color w:val="0000FF"/>
            <w:sz w:val="28"/>
            <w:u w:val="single"/>
          </w:rPr>
          <w:t xml:space="preserve">Europeiska planeringsterminen 2025 – </w:t>
        </w:r>
        <w:r w:rsidR="00DE572D">
          <w:rPr>
            <w:b/>
            <w:i/>
            <w:color w:val="0000FF"/>
            <w:sz w:val="28"/>
            <w:u w:val="single"/>
          </w:rPr>
          <w:t>H</w:t>
        </w:r>
        <w:r w:rsidR="00DE572D">
          <w:rPr>
            <w:b/>
            <w:i/>
            <w:color w:val="0000FF"/>
            <w:sz w:val="28"/>
            <w:u w:val="single"/>
          </w:rPr>
          <w:t>östpaketet</w:t>
        </w:r>
      </w:hyperlink>
    </w:p>
    <w:p w:rsidRPr="00795836" w:rsidR="009B199C" w:rsidP="00BE1F8F" w:rsidRDefault="009B199C" w14:paraId="475281DB" w14:textId="0688FCBB">
      <w:pPr>
        <w:widowControl w:val="0"/>
        <w:ind w:left="567"/>
        <w:jc w:val="left"/>
        <w:rPr>
          <w:bCs/>
          <w:iCs/>
        </w:rPr>
      </w:pPr>
    </w:p>
    <w:tbl>
      <w:tblPr>
        <w:tblW w:w="5000" w:type="pct"/>
        <w:tblLook w:val="04A0" w:firstRow="1" w:lastRow="0" w:firstColumn="1" w:lastColumn="0" w:noHBand="0" w:noVBand="1"/>
      </w:tblPr>
      <w:tblGrid>
        <w:gridCol w:w="2074"/>
        <w:gridCol w:w="7213"/>
      </w:tblGrid>
      <w:tr w:rsidRPr="005C4571" w:rsidR="009B199C" w:rsidTr="00BE1F8F" w14:paraId="7E2330F9" w14:textId="77777777">
        <w:trPr>
          <w:trHeight w:val="269"/>
        </w:trPr>
        <w:tc>
          <w:tcPr>
            <w:tcW w:w="898" w:type="pct"/>
          </w:tcPr>
          <w:p w:rsidRPr="005C4571" w:rsidR="009B199C" w:rsidP="00BE1F8F" w:rsidRDefault="009B199C" w14:paraId="11357475" w14:textId="5FA4627E">
            <w:pPr>
              <w:tabs>
                <w:tab w:val="center" w:pos="284"/>
              </w:tabs>
              <w:ind w:left="266" w:hanging="266"/>
              <w:rPr>
                <w:b/>
              </w:rPr>
            </w:pPr>
            <w:r>
              <w:rPr>
                <w:b/>
              </w:rPr>
              <w:t>Föredragande:</w:t>
            </w:r>
          </w:p>
        </w:tc>
        <w:tc>
          <w:tcPr>
            <w:tcW w:w="4102" w:type="pct"/>
          </w:tcPr>
          <w:p w:rsidRPr="00BE1F8F" w:rsidR="009B199C" w:rsidP="00BE1F8F" w:rsidRDefault="009B199C" w14:paraId="7707B7CD" w14:textId="40636FC3">
            <w:pPr>
              <w:tabs>
                <w:tab w:val="center" w:pos="284"/>
              </w:tabs>
              <w:ind w:left="266" w:hanging="266"/>
              <w:rPr>
                <w:bCs/>
              </w:rPr>
            </w:pPr>
            <w:proofErr w:type="spellStart"/>
            <w:r>
              <w:t>Petru</w:t>
            </w:r>
            <w:proofErr w:type="spellEnd"/>
            <w:r>
              <w:t xml:space="preserve"> </w:t>
            </w:r>
            <w:proofErr w:type="spellStart"/>
            <w:r>
              <w:t>Sorin</w:t>
            </w:r>
            <w:proofErr w:type="spellEnd"/>
            <w:r>
              <w:t xml:space="preserve"> </w:t>
            </w:r>
            <w:proofErr w:type="spellStart"/>
            <w:r>
              <w:t>Dandea</w:t>
            </w:r>
            <w:proofErr w:type="spellEnd"/>
            <w:r>
              <w:t xml:space="preserve"> (Arbetstagargruppen – RO)</w:t>
            </w:r>
          </w:p>
        </w:tc>
      </w:tr>
      <w:tr w:rsidRPr="005C4571" w:rsidR="009B199C" w:rsidTr="00BE1F8F" w14:paraId="78616870" w14:textId="77777777">
        <w:trPr>
          <w:trHeight w:val="484"/>
        </w:trPr>
        <w:tc>
          <w:tcPr>
            <w:tcW w:w="898" w:type="pct"/>
          </w:tcPr>
          <w:p w:rsidRPr="005C4571" w:rsidR="009B199C" w:rsidP="00BE1F8F" w:rsidRDefault="009B199C" w14:paraId="271ACA41" w14:textId="77777777">
            <w:pPr>
              <w:tabs>
                <w:tab w:val="center" w:pos="284"/>
              </w:tabs>
              <w:ind w:left="266" w:hanging="266"/>
              <w:rPr>
                <w:b/>
              </w:rPr>
            </w:pPr>
            <w:r>
              <w:rPr>
                <w:b/>
              </w:rPr>
              <w:t>Referensdokument:</w:t>
            </w:r>
          </w:p>
        </w:tc>
        <w:tc>
          <w:tcPr>
            <w:tcW w:w="4102" w:type="pct"/>
          </w:tcPr>
          <w:p w:rsidR="00FA7642" w:rsidP="00BE1F8F" w:rsidRDefault="009B199C" w14:paraId="3B2FCABD" w14:textId="77777777">
            <w:pPr>
              <w:tabs>
                <w:tab w:val="center" w:pos="284"/>
              </w:tabs>
              <w:ind w:left="266" w:hanging="266"/>
            </w:pPr>
            <w:proofErr w:type="gramStart"/>
            <w:r>
              <w:t>COM(</w:t>
            </w:r>
            <w:proofErr w:type="gramEnd"/>
            <w:r>
              <w:t>2024) 700 final</w:t>
            </w:r>
          </w:p>
          <w:p w:rsidRPr="005C4571" w:rsidR="009B199C" w:rsidP="00BE1F8F" w:rsidRDefault="009B199C" w14:paraId="49CDD496" w14:textId="3FA98205">
            <w:pPr>
              <w:tabs>
                <w:tab w:val="center" w:pos="284"/>
              </w:tabs>
              <w:ind w:left="266" w:hanging="266"/>
            </w:pPr>
            <w:r>
              <w:t>EESC-2024-04138-00-00-AC</w:t>
            </w:r>
          </w:p>
        </w:tc>
      </w:tr>
    </w:tbl>
    <w:p w:rsidR="00BE1F8F" w:rsidP="00BE1F8F" w:rsidRDefault="00BE1F8F" w14:paraId="012909FD" w14:textId="77777777">
      <w:pPr>
        <w:keepNext/>
        <w:keepLines/>
        <w:tabs>
          <w:tab w:val="center" w:pos="284"/>
        </w:tabs>
        <w:ind w:left="266" w:hanging="266"/>
        <w:rPr>
          <w:b/>
        </w:rPr>
      </w:pPr>
    </w:p>
    <w:p w:rsidRPr="005C4571" w:rsidR="009B199C" w:rsidP="00BE1F8F" w:rsidRDefault="009B199C" w14:paraId="4BF08ABF" w14:textId="41C36C93">
      <w:pPr>
        <w:keepNext/>
        <w:keepLines/>
        <w:tabs>
          <w:tab w:val="center" w:pos="284"/>
        </w:tabs>
        <w:ind w:left="266" w:hanging="266"/>
        <w:rPr>
          <w:b/>
        </w:rPr>
      </w:pPr>
      <w:r>
        <w:rPr>
          <w:b/>
        </w:rPr>
        <w:t>Huvudpunkter</w:t>
      </w:r>
    </w:p>
    <w:p w:rsidRPr="005C4571" w:rsidR="009B199C" w:rsidP="00BE1F8F" w:rsidRDefault="009B199C" w14:paraId="6607972D" w14:textId="77777777">
      <w:pPr>
        <w:keepNext/>
        <w:keepLines/>
        <w:tabs>
          <w:tab w:val="center" w:pos="284"/>
        </w:tabs>
        <w:ind w:left="266" w:hanging="266"/>
        <w:rPr>
          <w:b/>
        </w:rPr>
      </w:pPr>
    </w:p>
    <w:p w:rsidR="009B199C" w:rsidP="00BE1F8F" w:rsidRDefault="009B199C" w14:paraId="4C3F98BA" w14:textId="77777777">
      <w:pPr>
        <w:rPr>
          <w:bCs/>
          <w:iCs/>
        </w:rPr>
      </w:pPr>
      <w:r>
        <w:t>Europeiska ekonomiska och sociala kommitténs (EESK) ståndpunkt:</w:t>
      </w:r>
    </w:p>
    <w:p w:rsidRPr="005C4571" w:rsidR="009B199C" w:rsidP="00BE1F8F" w:rsidRDefault="009B199C" w14:paraId="3ED2E951" w14:textId="77777777">
      <w:pPr>
        <w:numPr>
          <w:ilvl w:val="0"/>
          <w:numId w:val="19"/>
        </w:numPr>
        <w:ind w:left="284" w:hanging="284"/>
        <w:contextualSpacing/>
      </w:pPr>
      <w:r>
        <w:t>Kommittén anser det djupt beklagligt och obegripligt att kommissionen i ett turbulent politiskt, socialt och ekonomiskt globalt sammanhang har valt att inte offentliggöra den årliga översikten över hållbar tillväxt.</w:t>
      </w:r>
    </w:p>
    <w:p w:rsidRPr="005C4571" w:rsidR="009B199C" w:rsidP="00BE1F8F" w:rsidRDefault="009B199C" w14:paraId="3C4DA8C9" w14:textId="77777777">
      <w:pPr>
        <w:numPr>
          <w:ilvl w:val="0"/>
          <w:numId w:val="19"/>
        </w:numPr>
        <w:ind w:left="284" w:hanging="284"/>
        <w:contextualSpacing/>
      </w:pPr>
      <w:r>
        <w:t>Vi anser att de allvarliga och växande geopolitiska riskerna och försämringen av multilaterala institutioner så småningom kan få allvarliga konsekvenser för Europas ekonomier, handel, inflation och tillväxt.</w:t>
      </w:r>
    </w:p>
    <w:p w:rsidRPr="005C4571" w:rsidR="009B199C" w:rsidP="00BE1F8F" w:rsidRDefault="009B199C" w14:paraId="0A50F121" w14:textId="77777777">
      <w:pPr>
        <w:numPr>
          <w:ilvl w:val="0"/>
          <w:numId w:val="19"/>
        </w:numPr>
        <w:ind w:left="284" w:hanging="284"/>
        <w:contextualSpacing/>
      </w:pPr>
      <w:r>
        <w:t>Vi välkomnar kommissionens insatser för att inleda genomförandecykeln för det nya ramverket för ekonomisk styrning och uppmuntrar kommissionen att slutföra denna process så snart som möjligt.</w:t>
      </w:r>
    </w:p>
    <w:p w:rsidRPr="005C4571" w:rsidR="009B199C" w:rsidP="00BE1F8F" w:rsidRDefault="009B199C" w14:paraId="5E3F24C0" w14:textId="77777777">
      <w:pPr>
        <w:numPr>
          <w:ilvl w:val="0"/>
          <w:numId w:val="19"/>
        </w:numPr>
        <w:ind w:left="284" w:hanging="284"/>
        <w:contextualSpacing/>
      </w:pPr>
      <w:r>
        <w:t>Kommittén vill uttrycka det civila samhällets ståndpunkt: även om tonvikten i höstpaketet läggs på intressenternas engagemang finns det en upplevd brist på konkreta mekanismer för att på ett adekvat och effektivt sätt involvera arbetsmarknadens parter och det civila samhällets organisationer på nationell nivå.</w:t>
      </w:r>
    </w:p>
    <w:p w:rsidRPr="005C4571" w:rsidR="009B199C" w:rsidP="00BE1F8F" w:rsidRDefault="009B199C" w14:paraId="3771C892" w14:textId="77777777">
      <w:pPr>
        <w:numPr>
          <w:ilvl w:val="0"/>
          <w:numId w:val="19"/>
        </w:numPr>
        <w:ind w:left="284" w:hanging="284"/>
        <w:contextualSpacing/>
      </w:pPr>
      <w:r>
        <w:t>Kommittén ställer sig bakom kommissionens förslag att lansera konkurrenskraftskompassen.</w:t>
      </w:r>
    </w:p>
    <w:p w:rsidRPr="005C4571" w:rsidR="009B199C" w:rsidP="00BE1F8F" w:rsidRDefault="009B199C" w14:paraId="23285551" w14:textId="77777777">
      <w:pPr>
        <w:numPr>
          <w:ilvl w:val="0"/>
          <w:numId w:val="19"/>
        </w:numPr>
        <w:ind w:left="284" w:hanging="284"/>
        <w:contextualSpacing/>
      </w:pPr>
      <w:r>
        <w:t xml:space="preserve">Kommittén instämmer i </w:t>
      </w:r>
      <w:proofErr w:type="spellStart"/>
      <w:r>
        <w:t>Draghirapportens</w:t>
      </w:r>
      <w:proofErr w:type="spellEnd"/>
      <w:r>
        <w:t xml:space="preserve"> slutsats om att den huvudsakliga faktorn bakom de negativa skillnaderna i produktivitet och konkurrenskraft i EU:s ekonomi jämfört med USA och Kina är det stora investeringsunderskott som ackumulerats under de senaste två årtiondena.</w:t>
      </w:r>
    </w:p>
    <w:p w:rsidRPr="005C4571" w:rsidR="009B199C" w:rsidP="00BE1F8F" w:rsidRDefault="009B199C" w14:paraId="5D5DDAD1" w14:textId="77777777">
      <w:pPr>
        <w:numPr>
          <w:ilvl w:val="0"/>
          <w:numId w:val="19"/>
        </w:numPr>
        <w:ind w:left="284" w:hanging="284"/>
        <w:contextualSpacing/>
      </w:pPr>
      <w:r>
        <w:t>Kommittén anser att investeringarna måste finansieras med offentligt, privat, nationellt och europeiskt kapital.</w:t>
      </w:r>
    </w:p>
    <w:p w:rsidRPr="005C4571" w:rsidR="009B199C" w:rsidP="00BE1F8F" w:rsidRDefault="009B199C" w14:paraId="74A06E52" w14:textId="77777777">
      <w:pPr>
        <w:numPr>
          <w:ilvl w:val="0"/>
          <w:numId w:val="19"/>
        </w:numPr>
        <w:ind w:left="284" w:hanging="284"/>
        <w:contextualSpacing/>
      </w:pPr>
      <w:r>
        <w:t xml:space="preserve">Kommittén noterar kommissionens förslag om att de </w:t>
      </w:r>
      <w:proofErr w:type="spellStart"/>
      <w:r>
        <w:t>landsspecifika</w:t>
      </w:r>
      <w:proofErr w:type="spellEnd"/>
      <w:r>
        <w:t xml:space="preserve"> rekommendationerna bör inriktas på ett bättre genomförande av de reformer och investeringar som ingår i faciliteten för återhämtning och </w:t>
      </w:r>
      <w:proofErr w:type="spellStart"/>
      <w:r>
        <w:t>resiliens</w:t>
      </w:r>
      <w:proofErr w:type="spellEnd"/>
      <w:r>
        <w:t xml:space="preserve"> och den fleråriga budgetramen, eftersom båda kommer att avslutas inom en inte alltför avlägsen framtid, 2026 respektive 2027.</w:t>
      </w:r>
    </w:p>
    <w:p w:rsidRPr="005C4571" w:rsidR="009B199C" w:rsidP="00BE1F8F" w:rsidRDefault="009B199C" w14:paraId="49B53D4B" w14:textId="5E929575">
      <w:pPr>
        <w:numPr>
          <w:ilvl w:val="0"/>
          <w:numId w:val="19"/>
        </w:numPr>
        <w:ind w:left="284" w:hanging="284"/>
        <w:contextualSpacing/>
      </w:pPr>
      <w:r>
        <w:t>Vi anser att ett bättre samarbete mellan medlemsstaterna är nyckeln till att övervinna dessa hinder i</w:t>
      </w:r>
      <w:r w:rsidR="00025614">
        <w:t> </w:t>
      </w:r>
      <w:r>
        <w:t>den svåra politiska och ekonomiska situation som EU befinner sig i.</w:t>
      </w:r>
    </w:p>
    <w:p w:rsidRPr="005C4571" w:rsidR="009B199C" w:rsidP="00BE1F8F" w:rsidRDefault="009B199C" w14:paraId="48FD49AD" w14:textId="77777777">
      <w:pPr>
        <w:numPr>
          <w:ilvl w:val="0"/>
          <w:numId w:val="19"/>
        </w:numPr>
        <w:ind w:left="284" w:hanging="284"/>
        <w:contextualSpacing/>
      </w:pPr>
      <w:r>
        <w:t xml:space="preserve">Vi anser att kommissionens analyser och slutsatser i den gemensamma sysselsättningsrapporten är korrekta och med viss försiktighet kan omvandlas till </w:t>
      </w:r>
      <w:proofErr w:type="spellStart"/>
      <w:r>
        <w:t>landsspecifika</w:t>
      </w:r>
      <w:proofErr w:type="spellEnd"/>
      <w:r>
        <w:t xml:space="preserve"> rekommendationer.</w:t>
      </w:r>
    </w:p>
    <w:p w:rsidRPr="005C4571" w:rsidR="009B199C" w:rsidP="00BE1F8F" w:rsidRDefault="009B199C" w14:paraId="38004D1C" w14:textId="77777777">
      <w:pPr>
        <w:numPr>
          <w:ilvl w:val="0"/>
          <w:numId w:val="19"/>
        </w:numPr>
        <w:ind w:left="284" w:hanging="284"/>
        <w:contextualSpacing/>
      </w:pPr>
      <w:r>
        <w:t xml:space="preserve">Vi uppmuntrar kommissionen att fortsätta med programmet för att minska den börda som överdriven reglering innebär för europeiska företag och som minskar deras förmåga att konkurrera globalt. </w:t>
      </w:r>
    </w:p>
    <w:p w:rsidRPr="005C4571" w:rsidR="009B199C" w:rsidP="00BE1F8F" w:rsidRDefault="009B199C" w14:paraId="7E9B0E26" w14:textId="77777777">
      <w:pPr>
        <w:widowControl w:val="0"/>
        <w:numPr>
          <w:ilvl w:val="0"/>
          <w:numId w:val="19"/>
        </w:numPr>
        <w:ind w:left="284" w:hanging="284"/>
        <w:rPr>
          <w:bCs/>
          <w:iCs/>
        </w:rPr>
      </w:pPr>
      <w:r>
        <w:t xml:space="preserve">Vi anser att investerings- och reformförslag i de </w:t>
      </w:r>
      <w:proofErr w:type="spellStart"/>
      <w:r>
        <w:t>landsspecifika</w:t>
      </w:r>
      <w:proofErr w:type="spellEnd"/>
      <w:r>
        <w:t xml:space="preserve"> rekommendationerna bör prioritera hanteringen av det allvarliga bostadsproblemet.</w:t>
      </w:r>
    </w:p>
    <w:p w:rsidR="00025614" w:rsidRDefault="00025614" w14:paraId="1D7AC5FD" w14:textId="387C93E7">
      <w:pPr>
        <w:spacing w:after="160" w:line="259" w:lineRule="auto"/>
        <w:jc w:val="left"/>
      </w:pPr>
      <w:r>
        <w:br w:type="page"/>
      </w:r>
    </w:p>
    <w:p w:rsidRPr="005C4571" w:rsidR="009B199C" w:rsidP="00BE1F8F" w:rsidRDefault="009B199C" w14:paraId="1E42DC10" w14:textId="77777777">
      <w:pPr>
        <w:widowControl w:val="0"/>
        <w:ind w:left="709"/>
      </w:pPr>
    </w:p>
    <w:tbl>
      <w:tblPr>
        <w:tblW w:w="4942" w:type="pct"/>
        <w:tblLook w:val="04A0" w:firstRow="1" w:lastRow="0" w:firstColumn="1" w:lastColumn="0" w:noHBand="0" w:noVBand="1"/>
      </w:tblPr>
      <w:tblGrid>
        <w:gridCol w:w="1729"/>
        <w:gridCol w:w="7450"/>
      </w:tblGrid>
      <w:tr w:rsidRPr="005C4571" w:rsidR="009B199C" w:rsidTr="00A3780E" w14:paraId="6E6E3E29" w14:textId="77777777">
        <w:tc>
          <w:tcPr>
            <w:tcW w:w="942" w:type="pct"/>
          </w:tcPr>
          <w:p w:rsidRPr="005C4571" w:rsidR="009B199C" w:rsidP="00BE1F8F" w:rsidRDefault="009B199C" w14:paraId="0A0A29E5" w14:textId="77777777">
            <w:pPr>
              <w:rPr>
                <w:b/>
                <w:i/>
              </w:rPr>
            </w:pPr>
            <w:r>
              <w:rPr>
                <w:b/>
                <w:i/>
              </w:rPr>
              <w:t>Kontaktperson:</w:t>
            </w:r>
          </w:p>
        </w:tc>
        <w:tc>
          <w:tcPr>
            <w:tcW w:w="4058" w:type="pct"/>
          </w:tcPr>
          <w:p w:rsidRPr="005C4571" w:rsidR="009B199C" w:rsidP="00BE1F8F" w:rsidRDefault="009B199C" w14:paraId="42F5E565" w14:textId="370BC39C">
            <w:pPr>
              <w:rPr>
                <w:b/>
                <w:i/>
              </w:rPr>
            </w:pPr>
            <w:r>
              <w:rPr>
                <w:i/>
              </w:rPr>
              <w:t xml:space="preserve">Anna </w:t>
            </w:r>
            <w:proofErr w:type="spellStart"/>
            <w:r>
              <w:rPr>
                <w:i/>
              </w:rPr>
              <w:t>Pantazi</w:t>
            </w:r>
            <w:proofErr w:type="spellEnd"/>
          </w:p>
        </w:tc>
      </w:tr>
      <w:tr w:rsidRPr="005C4571" w:rsidR="009B199C" w:rsidTr="00A3780E" w14:paraId="552BEC45" w14:textId="77777777">
        <w:tc>
          <w:tcPr>
            <w:tcW w:w="942" w:type="pct"/>
          </w:tcPr>
          <w:p w:rsidRPr="005C4571" w:rsidR="009B199C" w:rsidP="00BE1F8F" w:rsidRDefault="009B199C" w14:paraId="1653AF5F" w14:textId="200B9860">
            <w:pPr>
              <w:rPr>
                <w:i/>
              </w:rPr>
            </w:pPr>
            <w:r>
              <w:rPr>
                <w:i/>
              </w:rPr>
              <w:t>Tfn</w:t>
            </w:r>
            <w:r w:rsidR="00FE0350">
              <w:rPr>
                <w:i/>
              </w:rPr>
              <w:t>:</w:t>
            </w:r>
          </w:p>
        </w:tc>
        <w:tc>
          <w:tcPr>
            <w:tcW w:w="4058" w:type="pct"/>
          </w:tcPr>
          <w:p w:rsidRPr="005C4571" w:rsidR="009B199C" w:rsidP="00BE1F8F" w:rsidRDefault="009B199C" w14:paraId="237B8862" w14:textId="77777777">
            <w:pPr>
              <w:rPr>
                <w:i/>
              </w:rPr>
            </w:pPr>
            <w:r>
              <w:rPr>
                <w:i/>
              </w:rPr>
              <w:t>+32 25469231</w:t>
            </w:r>
          </w:p>
        </w:tc>
      </w:tr>
      <w:tr w:rsidRPr="005C4571" w:rsidR="009B199C" w:rsidTr="00A3780E" w14:paraId="3D3A9CD1" w14:textId="77777777">
        <w:tc>
          <w:tcPr>
            <w:tcW w:w="942" w:type="pct"/>
          </w:tcPr>
          <w:p w:rsidRPr="005C4571" w:rsidR="009B199C" w:rsidP="00BE1F8F" w:rsidRDefault="009B199C" w14:paraId="1113F6A6" w14:textId="77777777">
            <w:pPr>
              <w:rPr>
                <w:i/>
              </w:rPr>
            </w:pPr>
            <w:r>
              <w:rPr>
                <w:i/>
              </w:rPr>
              <w:t>E-post:</w:t>
            </w:r>
          </w:p>
        </w:tc>
        <w:tc>
          <w:tcPr>
            <w:tcW w:w="4058" w:type="pct"/>
          </w:tcPr>
          <w:p w:rsidRPr="005C4571" w:rsidR="009B199C" w:rsidP="00BE1F8F" w:rsidRDefault="008B5D7D" w14:paraId="45EA0124" w14:textId="77777777">
            <w:pPr>
              <w:rPr>
                <w:i/>
              </w:rPr>
            </w:pPr>
            <w:hyperlink w:history="1" r:id="rId22">
              <w:r w:rsidR="00DE572D">
                <w:rPr>
                  <w:i/>
                  <w:color w:val="0000FF"/>
                  <w:u w:val="single"/>
                </w:rPr>
                <w:t>Anna.Pantazi@eesc.europa.eu</w:t>
              </w:r>
            </w:hyperlink>
          </w:p>
        </w:tc>
      </w:tr>
    </w:tbl>
    <w:p w:rsidR="009B199C" w:rsidP="00BE1F8F" w:rsidRDefault="009B199C" w14:paraId="44976E13" w14:textId="77777777">
      <w:pPr>
        <w:jc w:val="left"/>
      </w:pPr>
      <w:r>
        <w:br w:type="page"/>
      </w:r>
    </w:p>
    <w:p w:rsidRPr="003442FB" w:rsidR="009B199C" w:rsidP="00BE1F8F" w:rsidRDefault="008B5D7D" w14:paraId="0066A1A1" w14:textId="4EB1C679">
      <w:pPr>
        <w:numPr>
          <w:ilvl w:val="0"/>
          <w:numId w:val="20"/>
        </w:numPr>
        <w:overflowPunct w:val="0"/>
        <w:autoSpaceDE w:val="0"/>
        <w:autoSpaceDN w:val="0"/>
        <w:adjustRightInd w:val="0"/>
        <w:ind w:left="567" w:hanging="567"/>
        <w:textAlignment w:val="baseline"/>
        <w:rPr>
          <w:sz w:val="28"/>
          <w:szCs w:val="28"/>
        </w:rPr>
      </w:pPr>
      <w:hyperlink w:history="1" r:id="rId23">
        <w:r w:rsidR="00DE572D">
          <w:rPr>
            <w:b/>
            <w:i/>
            <w:color w:val="0000FF"/>
            <w:sz w:val="28"/>
            <w:u w:val="single"/>
          </w:rPr>
          <w:t xml:space="preserve">Administrativt </w:t>
        </w:r>
        <w:r w:rsidR="00DE572D">
          <w:rPr>
            <w:b/>
            <w:i/>
            <w:color w:val="0000FF"/>
            <w:sz w:val="28"/>
            <w:u w:val="single"/>
          </w:rPr>
          <w:t>s</w:t>
        </w:r>
        <w:r w:rsidR="00DE572D">
          <w:rPr>
            <w:b/>
            <w:i/>
            <w:color w:val="0000FF"/>
            <w:sz w:val="28"/>
            <w:u w:val="single"/>
          </w:rPr>
          <w:t>amarbete i fråga om beskattning (DAC9)</w:t>
        </w:r>
      </w:hyperlink>
    </w:p>
    <w:p w:rsidRPr="00EF5B43" w:rsidR="009B199C" w:rsidP="00BE1F8F" w:rsidRDefault="009B199C" w14:paraId="7C533EFA" w14:textId="77777777">
      <w:pPr>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2074"/>
        <w:gridCol w:w="7103"/>
      </w:tblGrid>
      <w:tr w:rsidRPr="00EF5B43" w:rsidR="009B199C" w:rsidTr="00BE1F8F" w14:paraId="15407EEF" w14:textId="77777777">
        <w:tc>
          <w:tcPr>
            <w:tcW w:w="908" w:type="pct"/>
          </w:tcPr>
          <w:p w:rsidRPr="00EF5B43" w:rsidR="009B199C" w:rsidP="00BE1F8F" w:rsidRDefault="009B199C" w14:paraId="20A40472" w14:textId="77777777">
            <w:pPr>
              <w:tabs>
                <w:tab w:val="center" w:pos="284"/>
              </w:tabs>
              <w:overflowPunct w:val="0"/>
              <w:autoSpaceDE w:val="0"/>
              <w:autoSpaceDN w:val="0"/>
              <w:adjustRightInd w:val="0"/>
              <w:ind w:left="266" w:hanging="266"/>
              <w:textAlignment w:val="baseline"/>
              <w:rPr>
                <w:b/>
              </w:rPr>
            </w:pPr>
            <w:r>
              <w:rPr>
                <w:b/>
              </w:rPr>
              <w:t>Föredragande:</w:t>
            </w:r>
          </w:p>
        </w:tc>
        <w:tc>
          <w:tcPr>
            <w:tcW w:w="4092" w:type="pct"/>
          </w:tcPr>
          <w:p w:rsidRPr="00EF5B43" w:rsidR="009B199C" w:rsidP="00BE1F8F" w:rsidRDefault="009B199C" w14:paraId="4F4B426F" w14:textId="77777777">
            <w:pPr>
              <w:tabs>
                <w:tab w:val="center" w:pos="284"/>
              </w:tabs>
              <w:overflowPunct w:val="0"/>
              <w:autoSpaceDE w:val="0"/>
              <w:autoSpaceDN w:val="0"/>
              <w:adjustRightInd w:val="0"/>
              <w:ind w:left="266" w:hanging="266"/>
              <w:textAlignment w:val="baseline"/>
            </w:pPr>
            <w:r>
              <w:t>Krister Andersson (Arbetsgivargruppen – SE)</w:t>
            </w:r>
          </w:p>
        </w:tc>
      </w:tr>
      <w:tr w:rsidRPr="00EF5B43" w:rsidR="009B199C" w:rsidTr="00BE1F8F" w14:paraId="721BA5E2" w14:textId="77777777">
        <w:tc>
          <w:tcPr>
            <w:tcW w:w="908" w:type="pct"/>
            <w:vMerge w:val="restart"/>
          </w:tcPr>
          <w:p w:rsidRPr="00EF5B43" w:rsidR="009B199C" w:rsidP="00BE1F8F" w:rsidRDefault="009B199C" w14:paraId="7B3F0224" w14:textId="77777777">
            <w:pPr>
              <w:tabs>
                <w:tab w:val="center" w:pos="284"/>
              </w:tabs>
              <w:overflowPunct w:val="0"/>
              <w:autoSpaceDE w:val="0"/>
              <w:autoSpaceDN w:val="0"/>
              <w:adjustRightInd w:val="0"/>
              <w:ind w:left="266" w:hanging="266"/>
              <w:textAlignment w:val="baseline"/>
              <w:rPr>
                <w:b/>
              </w:rPr>
            </w:pPr>
            <w:r>
              <w:rPr>
                <w:b/>
              </w:rPr>
              <w:t>Referensdokument:</w:t>
            </w:r>
          </w:p>
        </w:tc>
        <w:tc>
          <w:tcPr>
            <w:tcW w:w="4092" w:type="pct"/>
          </w:tcPr>
          <w:p w:rsidRPr="00EF5B43" w:rsidR="009B199C" w:rsidP="00BE1F8F" w:rsidRDefault="009B199C" w14:paraId="3B421B3C" w14:textId="5FD96ECD">
            <w:pPr>
              <w:tabs>
                <w:tab w:val="center" w:pos="284"/>
              </w:tabs>
              <w:overflowPunct w:val="0"/>
              <w:autoSpaceDE w:val="0"/>
              <w:autoSpaceDN w:val="0"/>
              <w:adjustRightInd w:val="0"/>
              <w:ind w:left="266" w:hanging="266"/>
              <w:textAlignment w:val="baseline"/>
            </w:pPr>
            <w:proofErr w:type="gramStart"/>
            <w:r>
              <w:t>COM(</w:t>
            </w:r>
            <w:proofErr w:type="gramEnd"/>
            <w:r>
              <w:t xml:space="preserve">2024) 497 final </w:t>
            </w:r>
          </w:p>
        </w:tc>
      </w:tr>
      <w:tr w:rsidRPr="00EF5B43" w:rsidR="009B199C" w:rsidTr="00BE1F8F" w14:paraId="0644B2C3" w14:textId="77777777">
        <w:tc>
          <w:tcPr>
            <w:tcW w:w="908" w:type="pct"/>
            <w:vMerge/>
          </w:tcPr>
          <w:p w:rsidRPr="00EF5B43" w:rsidR="009B199C" w:rsidP="00BE1F8F" w:rsidRDefault="009B199C" w14:paraId="29B7CE2E" w14:textId="77777777">
            <w:pPr>
              <w:tabs>
                <w:tab w:val="center" w:pos="284"/>
              </w:tabs>
              <w:overflowPunct w:val="0"/>
              <w:autoSpaceDE w:val="0"/>
              <w:autoSpaceDN w:val="0"/>
              <w:adjustRightInd w:val="0"/>
              <w:ind w:left="266" w:hanging="266"/>
              <w:textAlignment w:val="baseline"/>
              <w:rPr>
                <w:b/>
              </w:rPr>
            </w:pPr>
          </w:p>
        </w:tc>
        <w:tc>
          <w:tcPr>
            <w:tcW w:w="4092" w:type="pct"/>
          </w:tcPr>
          <w:p w:rsidRPr="00EF5B43" w:rsidR="009B199C" w:rsidP="00BE1F8F" w:rsidRDefault="009B199C" w14:paraId="0B6D96F4" w14:textId="337C89A9">
            <w:pPr>
              <w:tabs>
                <w:tab w:val="center" w:pos="284"/>
              </w:tabs>
              <w:overflowPunct w:val="0"/>
              <w:autoSpaceDE w:val="0"/>
              <w:autoSpaceDN w:val="0"/>
              <w:adjustRightInd w:val="0"/>
              <w:ind w:left="266" w:hanging="266"/>
              <w:textAlignment w:val="baseline"/>
            </w:pPr>
            <w:r>
              <w:t>EESC-2024-04551-00-00-AC</w:t>
            </w:r>
          </w:p>
        </w:tc>
      </w:tr>
    </w:tbl>
    <w:p w:rsidRPr="00EF5B43" w:rsidR="009B199C" w:rsidP="00BE1F8F" w:rsidRDefault="009B199C" w14:paraId="148A8516" w14:textId="77777777">
      <w:pPr>
        <w:tabs>
          <w:tab w:val="center" w:pos="284"/>
        </w:tabs>
        <w:overflowPunct w:val="0"/>
        <w:autoSpaceDE w:val="0"/>
        <w:autoSpaceDN w:val="0"/>
        <w:adjustRightInd w:val="0"/>
        <w:ind w:left="266" w:hanging="266"/>
        <w:textAlignment w:val="baseline"/>
        <w:rPr>
          <w:lang w:val="en-GB"/>
        </w:rPr>
      </w:pPr>
    </w:p>
    <w:p w:rsidRPr="00EF5B43" w:rsidR="009B199C" w:rsidP="00BE1F8F" w:rsidRDefault="009B199C" w14:paraId="212050D8"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EF5B43" w:rsidR="009B199C" w:rsidP="00BE1F8F" w:rsidRDefault="009B199C" w14:paraId="6FCA3C9E" w14:textId="77777777">
      <w:pPr>
        <w:keepNext/>
        <w:keepLines/>
        <w:tabs>
          <w:tab w:val="center" w:pos="284"/>
        </w:tabs>
        <w:overflowPunct w:val="0"/>
        <w:autoSpaceDE w:val="0"/>
        <w:autoSpaceDN w:val="0"/>
        <w:adjustRightInd w:val="0"/>
        <w:ind w:left="266" w:hanging="266"/>
        <w:textAlignment w:val="baseline"/>
        <w:rPr>
          <w:b/>
          <w:lang w:val="en-GB"/>
        </w:rPr>
      </w:pPr>
    </w:p>
    <w:p w:rsidRPr="00EF5B43" w:rsidR="009B199C" w:rsidP="00BE1F8F" w:rsidRDefault="009B199C" w14:paraId="3C84648C" w14:textId="77777777">
      <w:pPr>
        <w:overflowPunct w:val="0"/>
        <w:autoSpaceDE w:val="0"/>
        <w:autoSpaceDN w:val="0"/>
        <w:adjustRightInd w:val="0"/>
        <w:textAlignment w:val="baseline"/>
        <w:rPr>
          <w:bCs/>
          <w:iCs/>
        </w:rPr>
      </w:pPr>
      <w:r>
        <w:t>Europeiska ekonomiska och sociala kommitténs (EESK) ståndpunkt:</w:t>
      </w:r>
    </w:p>
    <w:p w:rsidRPr="00EF5B43" w:rsidR="009B199C" w:rsidP="00BE1F8F" w:rsidRDefault="009B199C" w14:paraId="58403D40" w14:textId="77777777">
      <w:pPr>
        <w:widowControl w:val="0"/>
        <w:numPr>
          <w:ilvl w:val="0"/>
          <w:numId w:val="18"/>
        </w:numPr>
        <w:overflowPunct w:val="0"/>
        <w:autoSpaceDE w:val="0"/>
        <w:autoSpaceDN w:val="0"/>
        <w:adjustRightInd w:val="0"/>
        <w:ind w:left="284" w:hanging="284"/>
        <w:textAlignment w:val="baseline"/>
        <w:rPr>
          <w:bCs/>
          <w:iCs/>
        </w:rPr>
      </w:pPr>
      <w:r>
        <w:t>EESK välkomnar förslaget till rådets direktiv om ändring av direktiv 2011/16/EU om administrativt samarbete i fråga om beskattning (DAC9).</w:t>
      </w:r>
    </w:p>
    <w:p w:rsidRPr="00EF5B43" w:rsidR="009B199C" w:rsidP="00BE1F8F" w:rsidRDefault="009B199C" w14:paraId="337AB66A" w14:textId="77777777">
      <w:pPr>
        <w:widowControl w:val="0"/>
        <w:numPr>
          <w:ilvl w:val="0"/>
          <w:numId w:val="18"/>
        </w:numPr>
        <w:overflowPunct w:val="0"/>
        <w:autoSpaceDE w:val="0"/>
        <w:autoSpaceDN w:val="0"/>
        <w:adjustRightInd w:val="0"/>
        <w:ind w:left="284" w:hanging="284"/>
        <w:textAlignment w:val="baseline"/>
        <w:rPr>
          <w:bCs/>
          <w:iCs/>
        </w:rPr>
      </w:pPr>
      <w:r>
        <w:t>Vi noterar att det rör sig om ett införlivande av OECD:s/G20:s inkluderande ramverk, vilket man redan har enats om.</w:t>
      </w:r>
    </w:p>
    <w:p w:rsidRPr="00EF5B43" w:rsidR="009B199C" w:rsidP="00BE1F8F" w:rsidRDefault="009B199C" w14:paraId="05B4C525" w14:textId="77777777">
      <w:pPr>
        <w:widowControl w:val="0"/>
        <w:numPr>
          <w:ilvl w:val="0"/>
          <w:numId w:val="18"/>
        </w:numPr>
        <w:overflowPunct w:val="0"/>
        <w:autoSpaceDE w:val="0"/>
        <w:autoSpaceDN w:val="0"/>
        <w:adjustRightInd w:val="0"/>
        <w:ind w:left="284" w:hanging="284"/>
        <w:textAlignment w:val="baseline"/>
        <w:rPr>
          <w:bCs/>
          <w:iCs/>
        </w:rPr>
      </w:pPr>
      <w:r>
        <w:t>Rättslig säkerhet och tydlighet för multinationella företag och skattemyndigheter kan endast säkerställas genom att det skapas en enda regeluppsättning som gäller för alla medlemsstater.</w:t>
      </w:r>
    </w:p>
    <w:p w:rsidRPr="00EF5B43" w:rsidR="009B199C" w:rsidP="00BE1F8F" w:rsidRDefault="009B199C" w14:paraId="02FBDE9B" w14:textId="77777777">
      <w:pPr>
        <w:widowControl w:val="0"/>
        <w:numPr>
          <w:ilvl w:val="0"/>
          <w:numId w:val="18"/>
        </w:numPr>
        <w:overflowPunct w:val="0"/>
        <w:autoSpaceDE w:val="0"/>
        <w:autoSpaceDN w:val="0"/>
        <w:adjustRightInd w:val="0"/>
        <w:ind w:left="284" w:hanging="284"/>
        <w:textAlignment w:val="baseline"/>
        <w:rPr>
          <w:bCs/>
          <w:iCs/>
        </w:rPr>
      </w:pPr>
      <w:r>
        <w:t>Det är mycket viktigt att information som samlas in inom ramen för DAC9 endast används på det sätt som avses i kommissionens förslag och inte för andra ändamål som kan göra det möjligt för företag i tredjeländer att få tillgång till känslig information och därmed skada de europeiska företagens konkurrenskraft.</w:t>
      </w:r>
    </w:p>
    <w:p w:rsidRPr="00EF5B43" w:rsidR="009B199C" w:rsidP="00BE1F8F" w:rsidRDefault="009B199C" w14:paraId="1397A2B3" w14:textId="77777777">
      <w:pPr>
        <w:widowControl w:val="0"/>
        <w:numPr>
          <w:ilvl w:val="0"/>
          <w:numId w:val="18"/>
        </w:numPr>
        <w:overflowPunct w:val="0"/>
        <w:autoSpaceDE w:val="0"/>
        <w:autoSpaceDN w:val="0"/>
        <w:adjustRightInd w:val="0"/>
        <w:ind w:left="284" w:hanging="284"/>
        <w:textAlignment w:val="baseline"/>
        <w:rPr>
          <w:bCs/>
          <w:iCs/>
        </w:rPr>
      </w:pPr>
      <w:r>
        <w:t>Kommittén beklagar att ingen konsekvensbedömning eller konkurrenskraftskontroll har genomförts för detta förslag. Det skulle ha varit intressant att kunna fastställa om man genom förslaget kommer närmare kommissionens allmänna mål att minska den administrativa bördan med 25 %.</w:t>
      </w:r>
    </w:p>
    <w:p w:rsidRPr="00EF5B43" w:rsidR="009B199C" w:rsidP="00BE1F8F" w:rsidRDefault="009B199C" w14:paraId="3B495DF5" w14:textId="77777777">
      <w:pPr>
        <w:widowControl w:val="0"/>
        <w:numPr>
          <w:ilvl w:val="0"/>
          <w:numId w:val="18"/>
        </w:numPr>
        <w:overflowPunct w:val="0"/>
        <w:autoSpaceDE w:val="0"/>
        <w:autoSpaceDN w:val="0"/>
        <w:adjustRightInd w:val="0"/>
        <w:ind w:left="284" w:hanging="284"/>
        <w:textAlignment w:val="baseline"/>
        <w:rPr>
          <w:bCs/>
          <w:iCs/>
        </w:rPr>
      </w:pPr>
      <w:r>
        <w:t xml:space="preserve">Vi understryker behovet av att reglerna fullt ut hålls i linje med OECD:s pågående arbete. </w:t>
      </w:r>
    </w:p>
    <w:p w:rsidRPr="00EF5B43" w:rsidR="009B199C" w:rsidP="00BE1F8F" w:rsidRDefault="009B199C" w14:paraId="7207F72C" w14:textId="77777777">
      <w:pPr>
        <w:widowControl w:val="0"/>
        <w:overflowPunct w:val="0"/>
        <w:autoSpaceDE w:val="0"/>
        <w:autoSpaceDN w:val="0"/>
        <w:adjustRightInd w:val="0"/>
        <w:ind w:left="709"/>
        <w:textAlignment w:val="baseline"/>
        <w:rPr>
          <w:szCs w:val="20"/>
          <w:lang w:val="en-GB"/>
        </w:rPr>
      </w:pPr>
    </w:p>
    <w:tbl>
      <w:tblPr>
        <w:tblW w:w="4941" w:type="pct"/>
        <w:tblLook w:val="04A0" w:firstRow="1" w:lastRow="0" w:firstColumn="1" w:lastColumn="0" w:noHBand="0" w:noVBand="1"/>
      </w:tblPr>
      <w:tblGrid>
        <w:gridCol w:w="1667"/>
        <w:gridCol w:w="7510"/>
      </w:tblGrid>
      <w:tr w:rsidRPr="00EF5B43" w:rsidR="009B199C" w:rsidTr="00BE1F8F" w14:paraId="51274BC3" w14:textId="77777777">
        <w:tc>
          <w:tcPr>
            <w:tcW w:w="908" w:type="pct"/>
          </w:tcPr>
          <w:p w:rsidRPr="00EF5B43" w:rsidR="009B199C" w:rsidP="00BE1F8F" w:rsidRDefault="009B199C" w14:paraId="36A23BA9" w14:textId="77777777">
            <w:pPr>
              <w:overflowPunct w:val="0"/>
              <w:autoSpaceDE w:val="0"/>
              <w:autoSpaceDN w:val="0"/>
              <w:adjustRightInd w:val="0"/>
              <w:textAlignment w:val="baseline"/>
              <w:rPr>
                <w:i/>
              </w:rPr>
            </w:pPr>
            <w:r>
              <w:rPr>
                <w:b/>
                <w:i/>
              </w:rPr>
              <w:t>Kontaktperson:</w:t>
            </w:r>
          </w:p>
        </w:tc>
        <w:tc>
          <w:tcPr>
            <w:tcW w:w="4092" w:type="pct"/>
          </w:tcPr>
          <w:p w:rsidRPr="00EF5B43" w:rsidR="009B199C" w:rsidP="00BE1F8F" w:rsidRDefault="009B199C" w14:paraId="08D792CC" w14:textId="77777777">
            <w:pPr>
              <w:overflowPunct w:val="0"/>
              <w:autoSpaceDE w:val="0"/>
              <w:autoSpaceDN w:val="0"/>
              <w:adjustRightInd w:val="0"/>
              <w:textAlignment w:val="baseline"/>
              <w:rPr>
                <w:i/>
              </w:rPr>
            </w:pPr>
            <w:proofErr w:type="spellStart"/>
            <w:r>
              <w:rPr>
                <w:i/>
              </w:rPr>
              <w:t>Jüri</w:t>
            </w:r>
            <w:proofErr w:type="spellEnd"/>
            <w:r>
              <w:rPr>
                <w:i/>
              </w:rPr>
              <w:t> </w:t>
            </w:r>
            <w:proofErr w:type="spellStart"/>
            <w:r>
              <w:rPr>
                <w:i/>
              </w:rPr>
              <w:t>Soosaar</w:t>
            </w:r>
            <w:proofErr w:type="spellEnd"/>
          </w:p>
        </w:tc>
      </w:tr>
      <w:tr w:rsidRPr="00EF5B43" w:rsidR="009B199C" w:rsidTr="00BE1F8F" w14:paraId="1A8CFF57" w14:textId="77777777">
        <w:tc>
          <w:tcPr>
            <w:tcW w:w="908" w:type="pct"/>
          </w:tcPr>
          <w:p w:rsidRPr="00EF5B43" w:rsidR="009B199C" w:rsidP="00BE1F8F" w:rsidRDefault="009B199C" w14:paraId="6B9265C2" w14:textId="77E16EDE">
            <w:pPr>
              <w:overflowPunct w:val="0"/>
              <w:autoSpaceDE w:val="0"/>
              <w:autoSpaceDN w:val="0"/>
              <w:adjustRightInd w:val="0"/>
              <w:textAlignment w:val="baseline"/>
              <w:rPr>
                <w:i/>
              </w:rPr>
            </w:pPr>
            <w:r>
              <w:rPr>
                <w:i/>
              </w:rPr>
              <w:t>Tfn</w:t>
            </w:r>
            <w:r w:rsidR="00FE0350">
              <w:rPr>
                <w:i/>
              </w:rPr>
              <w:t>:</w:t>
            </w:r>
          </w:p>
        </w:tc>
        <w:tc>
          <w:tcPr>
            <w:tcW w:w="4092" w:type="pct"/>
          </w:tcPr>
          <w:p w:rsidRPr="00EF5B43" w:rsidR="009B199C" w:rsidP="00BE1F8F" w:rsidRDefault="009B199C" w14:paraId="6A56AF39" w14:textId="14C529D3">
            <w:pPr>
              <w:overflowPunct w:val="0"/>
              <w:autoSpaceDE w:val="0"/>
              <w:autoSpaceDN w:val="0"/>
              <w:adjustRightInd w:val="0"/>
              <w:textAlignment w:val="baseline"/>
              <w:rPr>
                <w:i/>
              </w:rPr>
            </w:pPr>
            <w:r>
              <w:rPr>
                <w:i/>
              </w:rPr>
              <w:t>+32 25469628</w:t>
            </w:r>
          </w:p>
        </w:tc>
      </w:tr>
      <w:tr w:rsidRPr="00EF5B43" w:rsidR="009B199C" w:rsidTr="00BE1F8F" w14:paraId="6BB8066B" w14:textId="77777777">
        <w:tc>
          <w:tcPr>
            <w:tcW w:w="908" w:type="pct"/>
          </w:tcPr>
          <w:p w:rsidRPr="00EF5B43" w:rsidR="009B199C" w:rsidP="00BE1F8F" w:rsidRDefault="007A0964" w14:paraId="2E2C7A15" w14:textId="4BB9F468">
            <w:pPr>
              <w:overflowPunct w:val="0"/>
              <w:autoSpaceDE w:val="0"/>
              <w:autoSpaceDN w:val="0"/>
              <w:adjustRightInd w:val="0"/>
              <w:textAlignment w:val="baseline"/>
              <w:rPr>
                <w:i/>
              </w:rPr>
            </w:pPr>
            <w:r>
              <w:rPr>
                <w:i/>
              </w:rPr>
              <w:t>E-post:</w:t>
            </w:r>
          </w:p>
        </w:tc>
        <w:tc>
          <w:tcPr>
            <w:tcW w:w="4092" w:type="pct"/>
          </w:tcPr>
          <w:p w:rsidRPr="00EF5B43" w:rsidR="009B199C" w:rsidP="00BE1F8F" w:rsidRDefault="008B5D7D" w14:paraId="7B544A6C" w14:textId="195BC3BF">
            <w:pPr>
              <w:overflowPunct w:val="0"/>
              <w:autoSpaceDE w:val="0"/>
              <w:autoSpaceDN w:val="0"/>
              <w:adjustRightInd w:val="0"/>
              <w:textAlignment w:val="baseline"/>
              <w:rPr>
                <w:i/>
              </w:rPr>
            </w:pPr>
            <w:hyperlink w:history="1" r:id="rId24">
              <w:r w:rsidR="00DE572D">
                <w:rPr>
                  <w:i/>
                  <w:color w:val="0000FF"/>
                  <w:u w:val="single"/>
                </w:rPr>
                <w:t>Juri.Soosaar@eesc.europa.eu</w:t>
              </w:r>
            </w:hyperlink>
          </w:p>
        </w:tc>
      </w:tr>
    </w:tbl>
    <w:p w:rsidR="009B199C" w:rsidP="00BE1F8F" w:rsidRDefault="009B199C" w14:paraId="0DDB3A60" w14:textId="77777777">
      <w:pPr>
        <w:jc w:val="left"/>
      </w:pPr>
    </w:p>
    <w:p w:rsidR="009B199C" w:rsidP="00BE1F8F" w:rsidRDefault="009B199C" w14:paraId="2E5B1FF6" w14:textId="77777777">
      <w:pPr>
        <w:jc w:val="left"/>
      </w:pPr>
      <w:r>
        <w:br w:type="page"/>
      </w:r>
    </w:p>
    <w:p w:rsidRPr="008171FA" w:rsidR="00773E8D" w:rsidP="00BE1F8F" w:rsidRDefault="008B5D7D" w14:paraId="5A8B385C" w14:textId="56009D42">
      <w:pPr>
        <w:widowControl w:val="0"/>
        <w:numPr>
          <w:ilvl w:val="0"/>
          <w:numId w:val="7"/>
        </w:numPr>
        <w:overflowPunct w:val="0"/>
        <w:autoSpaceDE w:val="0"/>
        <w:autoSpaceDN w:val="0"/>
        <w:adjustRightInd w:val="0"/>
        <w:ind w:left="567" w:hanging="567"/>
        <w:contextualSpacing/>
        <w:jc w:val="left"/>
        <w:textAlignment w:val="baseline"/>
      </w:pPr>
      <w:hyperlink w:history="1" r:id="rId25">
        <w:r w:rsidR="00773E8D">
          <w:rPr>
            <w:b/>
            <w:i/>
            <w:color w:val="0000FF"/>
            <w:sz w:val="28"/>
            <w:u w:val="single"/>
          </w:rPr>
          <w:t>Försvarsfinansiering i EU</w:t>
        </w:r>
      </w:hyperlink>
    </w:p>
    <w:p w:rsidRPr="00773E8D" w:rsidR="00773E8D" w:rsidP="008171FA" w:rsidRDefault="00773E8D" w14:paraId="3EB22D3F" w14:textId="77777777">
      <w:pPr>
        <w:widowControl w:val="0"/>
        <w:overflowPunct w:val="0"/>
        <w:autoSpaceDE w:val="0"/>
        <w:autoSpaceDN w:val="0"/>
        <w:adjustRightInd w:val="0"/>
        <w:contextualSpacing/>
        <w:jc w:val="left"/>
        <w:textAlignment w:val="baseline"/>
        <w:rPr>
          <w:rFonts w:ascii="Calibri" w:hAnsi="Calibri"/>
          <w:b/>
          <w:lang w:val="en-GB" w:eastAsia="zh-CN"/>
        </w:rPr>
      </w:pPr>
    </w:p>
    <w:tbl>
      <w:tblPr>
        <w:tblW w:w="0" w:type="auto"/>
        <w:tblLook w:val="04A0" w:firstRow="1" w:lastRow="0" w:firstColumn="1" w:lastColumn="0" w:noHBand="0" w:noVBand="1"/>
      </w:tblPr>
      <w:tblGrid>
        <w:gridCol w:w="1966"/>
        <w:gridCol w:w="7088"/>
      </w:tblGrid>
      <w:tr w:rsidRPr="00773E8D" w:rsidR="00773E8D" w:rsidTr="00257E74" w14:paraId="7736047E" w14:textId="77777777">
        <w:tc>
          <w:tcPr>
            <w:tcW w:w="1701" w:type="dxa"/>
          </w:tcPr>
          <w:p w:rsidRPr="00773E8D" w:rsidR="00773E8D" w:rsidP="00BE1F8F" w:rsidRDefault="00773E8D" w14:paraId="29FDFBF0" w14:textId="77777777">
            <w:pPr>
              <w:overflowPunct w:val="0"/>
              <w:autoSpaceDE w:val="0"/>
              <w:autoSpaceDN w:val="0"/>
              <w:adjustRightInd w:val="0"/>
              <w:ind w:left="176" w:hanging="284"/>
              <w:textAlignment w:val="baseline"/>
              <w:rPr>
                <w:b/>
              </w:rPr>
            </w:pPr>
            <w:r>
              <w:rPr>
                <w:b/>
              </w:rPr>
              <w:t>Föredragande:</w:t>
            </w:r>
          </w:p>
        </w:tc>
        <w:tc>
          <w:tcPr>
            <w:tcW w:w="7088" w:type="dxa"/>
          </w:tcPr>
          <w:p w:rsidRPr="00773E8D" w:rsidR="00773E8D" w:rsidP="00BE1F8F" w:rsidRDefault="00773E8D" w14:paraId="0FB6E9DA" w14:textId="77777777">
            <w:pPr>
              <w:tabs>
                <w:tab w:val="center" w:pos="284"/>
              </w:tabs>
              <w:overflowPunct w:val="0"/>
              <w:autoSpaceDE w:val="0"/>
              <w:autoSpaceDN w:val="0"/>
              <w:adjustRightInd w:val="0"/>
              <w:textAlignment w:val="baseline"/>
            </w:pPr>
            <w:proofErr w:type="spellStart"/>
            <w:r>
              <w:t>Marcin</w:t>
            </w:r>
            <w:proofErr w:type="spellEnd"/>
            <w:r>
              <w:t xml:space="preserve"> </w:t>
            </w:r>
            <w:proofErr w:type="spellStart"/>
            <w:r>
              <w:t>Nowacki</w:t>
            </w:r>
            <w:proofErr w:type="spellEnd"/>
            <w:r>
              <w:t xml:space="preserve"> (Arbetsgivargruppen – PL)</w:t>
            </w:r>
          </w:p>
        </w:tc>
      </w:tr>
      <w:tr w:rsidRPr="00773E8D" w:rsidR="00773E8D" w:rsidTr="00257E74" w14:paraId="1DEF454E" w14:textId="77777777">
        <w:tc>
          <w:tcPr>
            <w:tcW w:w="1701" w:type="dxa"/>
          </w:tcPr>
          <w:p w:rsidRPr="00773E8D" w:rsidR="00773E8D" w:rsidP="00BE1F8F" w:rsidRDefault="00773E8D" w14:paraId="18280023" w14:textId="49E04DB4">
            <w:pPr>
              <w:tabs>
                <w:tab w:val="center" w:pos="284"/>
              </w:tabs>
              <w:overflowPunct w:val="0"/>
              <w:autoSpaceDE w:val="0"/>
              <w:autoSpaceDN w:val="0"/>
              <w:adjustRightInd w:val="0"/>
              <w:ind w:left="266" w:hanging="374"/>
              <w:textAlignment w:val="baseline"/>
              <w:rPr>
                <w:b/>
              </w:rPr>
            </w:pPr>
            <w:r>
              <w:rPr>
                <w:b/>
              </w:rPr>
              <w:t>Referensdokument:</w:t>
            </w:r>
          </w:p>
        </w:tc>
        <w:tc>
          <w:tcPr>
            <w:tcW w:w="7088" w:type="dxa"/>
          </w:tcPr>
          <w:p w:rsidRPr="00773E8D" w:rsidR="00773E8D" w:rsidP="00BE1F8F" w:rsidRDefault="00773E8D" w14:paraId="519A0CF0" w14:textId="0E3E4972">
            <w:pPr>
              <w:tabs>
                <w:tab w:val="center" w:pos="284"/>
              </w:tabs>
              <w:overflowPunct w:val="0"/>
              <w:autoSpaceDE w:val="0"/>
              <w:autoSpaceDN w:val="0"/>
              <w:adjustRightInd w:val="0"/>
              <w:textAlignment w:val="baseline"/>
              <w:rPr>
                <w:highlight w:val="yellow"/>
              </w:rPr>
            </w:pPr>
            <w:r>
              <w:t>Förberedande yttrande – EESC-2024-03643-00-01-AC</w:t>
            </w:r>
          </w:p>
        </w:tc>
      </w:tr>
    </w:tbl>
    <w:p w:rsidRPr="00773E8D" w:rsidR="00773E8D" w:rsidP="00BE1F8F" w:rsidRDefault="00773E8D" w14:paraId="7F428D4F" w14:textId="77777777">
      <w:pPr>
        <w:keepNext/>
        <w:keepLines/>
        <w:tabs>
          <w:tab w:val="center" w:pos="284"/>
        </w:tabs>
        <w:overflowPunct w:val="0"/>
        <w:autoSpaceDE w:val="0"/>
        <w:autoSpaceDN w:val="0"/>
        <w:adjustRightInd w:val="0"/>
        <w:ind w:left="266" w:hanging="266"/>
        <w:textAlignment w:val="baseline"/>
        <w:rPr>
          <w:b/>
          <w:lang w:val="en-GB"/>
        </w:rPr>
      </w:pPr>
    </w:p>
    <w:p w:rsidRPr="00773E8D" w:rsidR="00773E8D" w:rsidP="00BE1F8F" w:rsidRDefault="00773E8D" w14:paraId="373416F2"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773E8D" w:rsidR="00773E8D" w:rsidP="00BE1F8F" w:rsidRDefault="00773E8D" w14:paraId="64611682" w14:textId="77777777">
      <w:pPr>
        <w:keepNext/>
        <w:keepLines/>
        <w:tabs>
          <w:tab w:val="center" w:pos="284"/>
        </w:tabs>
        <w:overflowPunct w:val="0"/>
        <w:autoSpaceDE w:val="0"/>
        <w:autoSpaceDN w:val="0"/>
        <w:adjustRightInd w:val="0"/>
        <w:ind w:left="266" w:hanging="266"/>
        <w:textAlignment w:val="baseline"/>
        <w:rPr>
          <w:b/>
          <w:lang w:val="en-GB"/>
        </w:rPr>
      </w:pPr>
    </w:p>
    <w:p w:rsidR="00773E8D" w:rsidP="00BE1F8F" w:rsidRDefault="00773E8D" w14:paraId="7BA955D6" w14:textId="77777777">
      <w:pPr>
        <w:overflowPunct w:val="0"/>
        <w:autoSpaceDE w:val="0"/>
        <w:autoSpaceDN w:val="0"/>
        <w:adjustRightInd w:val="0"/>
        <w:ind w:left="425" w:hanging="425"/>
        <w:textAlignment w:val="baseline"/>
        <w:rPr>
          <w:szCs w:val="20"/>
        </w:rPr>
      </w:pPr>
      <w:r>
        <w:t>Europeiska ekonomiska och sociala kommitténs (EESK) ståndpunkt:</w:t>
      </w:r>
    </w:p>
    <w:p w:rsidRPr="00773E8D" w:rsidR="00773E8D" w:rsidP="008171FA" w:rsidRDefault="00773E8D" w14:paraId="2A4EE010" w14:textId="77777777">
      <w:pPr>
        <w:numPr>
          <w:ilvl w:val="0"/>
          <w:numId w:val="44"/>
        </w:numPr>
        <w:overflowPunct w:val="0"/>
        <w:autoSpaceDE w:val="0"/>
        <w:autoSpaceDN w:val="0"/>
        <w:adjustRightInd w:val="0"/>
        <w:ind w:left="284" w:hanging="284"/>
        <w:contextualSpacing/>
        <w:textAlignment w:val="baseline"/>
      </w:pPr>
      <w:r>
        <w:t>Europeiska ekonomiska och sociala kommittén (EESK) understryker det akuta behovet av att med robusta och enhetliga försvarsfinansieringsmekanismer ta sig an det föränderliga säkerhetslandskapet i Europa. På grund av geopolitiska utmaningar, inte minst Rysslands angrepp mot Ukraina, behövs det omedelbara och strategiska investeringar i försvarsförmåga, såväl civil som militär beredskap, för att värna EU:s grundläggande värden, fred, säkerhet och ekonomiska intressen.</w:t>
      </w:r>
    </w:p>
    <w:p w:rsidRPr="00773E8D" w:rsidR="00773E8D" w:rsidP="008171FA" w:rsidRDefault="00773E8D" w14:paraId="2EF6A041" w14:textId="77777777">
      <w:pPr>
        <w:numPr>
          <w:ilvl w:val="0"/>
          <w:numId w:val="44"/>
        </w:numPr>
        <w:overflowPunct w:val="0"/>
        <w:autoSpaceDE w:val="0"/>
        <w:autoSpaceDN w:val="0"/>
        <w:adjustRightInd w:val="0"/>
        <w:ind w:left="284" w:hanging="284"/>
        <w:contextualSpacing/>
        <w:textAlignment w:val="baseline"/>
      </w:pPr>
      <w:r>
        <w:t>EU måste tydligt fastställa sina försvarspolitiska mål och stärka den europeiska pelaren för försvar, vars resurser och operativa kapacitet måste kopplas till Nato. Försvarspolitiken är en del av EU:s utrikes- och säkerhetspolitik, och måste främja fred, demokrati och mänskliga rättigheter i vår världsdel, i dess närområde och i övriga världen, samt försvara FN-systemets multilaterala institutioner.</w:t>
      </w:r>
    </w:p>
    <w:p w:rsidRPr="00773E8D" w:rsidR="00773E8D" w:rsidP="008171FA" w:rsidRDefault="00773E8D" w14:paraId="466E9A4E" w14:textId="77777777">
      <w:pPr>
        <w:numPr>
          <w:ilvl w:val="0"/>
          <w:numId w:val="44"/>
        </w:numPr>
        <w:overflowPunct w:val="0"/>
        <w:autoSpaceDE w:val="0"/>
        <w:autoSpaceDN w:val="0"/>
        <w:adjustRightInd w:val="0"/>
        <w:ind w:left="284" w:hanging="284"/>
        <w:contextualSpacing/>
        <w:textAlignment w:val="baseline"/>
      </w:pPr>
      <w:r>
        <w:t>Kommittén understryker behovet av att hitta sätt att stärka EU:s försvarsförmåga, i enlighet med fördraget.</w:t>
      </w:r>
    </w:p>
    <w:p w:rsidRPr="00773E8D" w:rsidR="00773E8D" w:rsidP="008171FA" w:rsidRDefault="00773E8D" w14:paraId="1C22811F" w14:textId="6AE23E05">
      <w:pPr>
        <w:numPr>
          <w:ilvl w:val="0"/>
          <w:numId w:val="44"/>
        </w:numPr>
        <w:overflowPunct w:val="0"/>
        <w:autoSpaceDE w:val="0"/>
        <w:autoSpaceDN w:val="0"/>
        <w:adjustRightInd w:val="0"/>
        <w:ind w:left="284" w:hanging="284"/>
        <w:contextualSpacing/>
        <w:textAlignment w:val="baseline"/>
      </w:pPr>
      <w:r>
        <w:t>Det är viktigt att fördjupa samarbetet mellan EU och Nato för att säkerställa en enhetlig försvars</w:t>
      </w:r>
      <w:r w:rsidR="00FE0350">
        <w:softHyphen/>
      </w:r>
      <w:r>
        <w:t>strategi.</w:t>
      </w:r>
    </w:p>
    <w:p w:rsidRPr="00773E8D" w:rsidR="00773E8D" w:rsidP="008171FA" w:rsidRDefault="00773E8D" w14:paraId="72C0537B" w14:textId="77777777">
      <w:pPr>
        <w:numPr>
          <w:ilvl w:val="0"/>
          <w:numId w:val="44"/>
        </w:numPr>
        <w:overflowPunct w:val="0"/>
        <w:autoSpaceDE w:val="0"/>
        <w:autoSpaceDN w:val="0"/>
        <w:adjustRightInd w:val="0"/>
        <w:ind w:left="284" w:hanging="284"/>
        <w:contextualSpacing/>
        <w:textAlignment w:val="baseline"/>
      </w:pPr>
      <w:r>
        <w:t>EESK understryker vikten av att EU:s Natomedlemmar åtar sig att lägga minst 2,5 % av sin BNP på försvaret.</w:t>
      </w:r>
    </w:p>
    <w:p w:rsidRPr="00773E8D" w:rsidR="00773E8D" w:rsidP="008171FA" w:rsidRDefault="00773E8D" w14:paraId="574F91FD" w14:textId="77777777">
      <w:pPr>
        <w:numPr>
          <w:ilvl w:val="0"/>
          <w:numId w:val="44"/>
        </w:numPr>
        <w:overflowPunct w:val="0"/>
        <w:autoSpaceDE w:val="0"/>
        <w:autoSpaceDN w:val="0"/>
        <w:adjustRightInd w:val="0"/>
        <w:ind w:left="284" w:hanging="284"/>
        <w:contextualSpacing/>
        <w:textAlignment w:val="baseline"/>
      </w:pPr>
      <w:r>
        <w:t>De omedelbara finansieringsprioriteringarna bör omfatta utveckling och produktion av moderna försvarssystem. Ökade satsningar på sådan teknik bör ske snarast, även under innevarande budgetperiod.</w:t>
      </w:r>
    </w:p>
    <w:p w:rsidRPr="00773E8D" w:rsidR="00773E8D" w:rsidP="008171FA" w:rsidRDefault="00773E8D" w14:paraId="22A07DF0" w14:textId="77777777">
      <w:pPr>
        <w:numPr>
          <w:ilvl w:val="0"/>
          <w:numId w:val="44"/>
        </w:numPr>
        <w:overflowPunct w:val="0"/>
        <w:autoSpaceDE w:val="0"/>
        <w:autoSpaceDN w:val="0"/>
        <w:adjustRightInd w:val="0"/>
        <w:ind w:left="284" w:hanging="284"/>
        <w:contextualSpacing/>
        <w:textAlignment w:val="baseline"/>
      </w:pPr>
      <w:r>
        <w:t>Det är viktigt att stärka den europeiska försvarstekniska och försvarsindustriella basen för att minska beroendet av externa leverantörer och främja innovation inom EU.</w:t>
      </w:r>
    </w:p>
    <w:p w:rsidRPr="00773E8D" w:rsidR="00773E8D" w:rsidP="008171FA" w:rsidRDefault="00773E8D" w14:paraId="020C30AA" w14:textId="77777777">
      <w:pPr>
        <w:numPr>
          <w:ilvl w:val="0"/>
          <w:numId w:val="44"/>
        </w:numPr>
        <w:overflowPunct w:val="0"/>
        <w:autoSpaceDE w:val="0"/>
        <w:autoSpaceDN w:val="0"/>
        <w:adjustRightInd w:val="0"/>
        <w:ind w:left="284" w:hanging="284"/>
        <w:contextualSpacing/>
        <w:textAlignment w:val="baseline"/>
      </w:pPr>
      <w:r>
        <w:t>Kommittén förespråkar att de gemensamma upphandlingsmekanismerna utökas, däribland den europeiska fredsfaciliteten, för att maximera resurseffektiviteten och stärka strategiska partnerskap. Initiativ såsom förordningen om stöd för ammunitionstillverkning och instrumentet för förstärkning av den europeiska försvarsindustrin genom gemensam upphandling (</w:t>
      </w:r>
      <w:proofErr w:type="spellStart"/>
      <w:r>
        <w:t>Edirpa</w:t>
      </w:r>
      <w:proofErr w:type="spellEnd"/>
      <w:r>
        <w:t>) bör skalas upp för att ta itu med flaskhalsar i produktionen och öka den operativa beredskapen.</w:t>
      </w:r>
    </w:p>
    <w:p w:rsidRPr="00BE1F8F" w:rsidR="00773E8D" w:rsidP="008171FA" w:rsidRDefault="00773E8D" w14:paraId="28B3A062" w14:textId="77777777">
      <w:pPr>
        <w:numPr>
          <w:ilvl w:val="0"/>
          <w:numId w:val="44"/>
        </w:numPr>
        <w:overflowPunct w:val="0"/>
        <w:autoSpaceDE w:val="0"/>
        <w:autoSpaceDN w:val="0"/>
        <w:adjustRightInd w:val="0"/>
        <w:ind w:left="284" w:hanging="284"/>
        <w:contextualSpacing/>
        <w:textAlignment w:val="baseline"/>
      </w:pPr>
      <w:r>
        <w:t xml:space="preserve">Partnerskap med tredjeländer bör eftersträvas för att främja gemensamma insatser inom säkerhetsinfrastruktur och teknisk innovation. </w:t>
      </w:r>
    </w:p>
    <w:p w:rsidRPr="00BE1F8F" w:rsidR="00773E8D" w:rsidP="008171FA" w:rsidRDefault="00773E8D" w14:paraId="0E1C930B" w14:textId="77777777">
      <w:pPr>
        <w:numPr>
          <w:ilvl w:val="0"/>
          <w:numId w:val="44"/>
        </w:numPr>
        <w:overflowPunct w:val="0"/>
        <w:autoSpaceDE w:val="0"/>
        <w:autoSpaceDN w:val="0"/>
        <w:adjustRightInd w:val="0"/>
        <w:ind w:left="284" w:hanging="284"/>
        <w:contextualSpacing/>
        <w:textAlignment w:val="baseline"/>
      </w:pPr>
      <w:r>
        <w:t>EESK understryker vikten av offentlig-privata partnerskap som ett kompletterande verktyg för att uppbåda expertis och resurser och påskynda innovation och idrifttagande på kritiska områden.</w:t>
      </w:r>
    </w:p>
    <w:p w:rsidRPr="00773E8D" w:rsidR="00773E8D" w:rsidP="008171FA" w:rsidRDefault="00773E8D" w14:paraId="7941C364" w14:textId="77777777">
      <w:pPr>
        <w:numPr>
          <w:ilvl w:val="0"/>
          <w:numId w:val="44"/>
        </w:numPr>
        <w:overflowPunct w:val="0"/>
        <w:autoSpaceDE w:val="0"/>
        <w:autoSpaceDN w:val="0"/>
        <w:adjustRightInd w:val="0"/>
        <w:ind w:left="284" w:hanging="284"/>
        <w:contextualSpacing/>
        <w:textAlignment w:val="baseline"/>
      </w:pPr>
      <w:r>
        <w:t>Inom försvarsfinansiering bör stöd till de EU-länder vid de yttre gränserna som påverkas mest direkt av regionala konflikter prioriteras under förutsättning att de strikt iakttar EU:s och Natos gemensamma mål och principer.</w:t>
      </w:r>
    </w:p>
    <w:p w:rsidRPr="00773E8D" w:rsidR="00773E8D" w:rsidP="008171FA" w:rsidRDefault="00773E8D" w14:paraId="6AF1CE95" w14:textId="78553DF9">
      <w:pPr>
        <w:numPr>
          <w:ilvl w:val="0"/>
          <w:numId w:val="44"/>
        </w:numPr>
        <w:overflowPunct w:val="0"/>
        <w:autoSpaceDE w:val="0"/>
        <w:autoSpaceDN w:val="0"/>
        <w:adjustRightInd w:val="0"/>
        <w:ind w:left="284" w:hanging="284"/>
        <w:contextualSpacing/>
        <w:textAlignment w:val="baseline"/>
      </w:pPr>
      <w:r>
        <w:t>EESK betonar vikten av att integrera försvarsfinansieringen i EU:s allmänna finansierings</w:t>
      </w:r>
      <w:r w:rsidR="00AD372D">
        <w:softHyphen/>
      </w:r>
      <w:r>
        <w:t>mekanismer, inklusive nästa fleråriga budgetram, utan att man gör avkall på andra viktiga EU-</w:t>
      </w:r>
      <w:r>
        <w:lastRenderedPageBreak/>
        <w:t>prioriteringar såsom sammanhållningspolitiken, den gröna omställningen och den europeiska pelaren för sociala rättigheter.</w:t>
      </w:r>
    </w:p>
    <w:p w:rsidRPr="00773E8D" w:rsidR="00773E8D" w:rsidP="008171FA" w:rsidRDefault="00773E8D" w14:paraId="598F22B0" w14:textId="77777777">
      <w:pPr>
        <w:numPr>
          <w:ilvl w:val="0"/>
          <w:numId w:val="44"/>
        </w:numPr>
        <w:overflowPunct w:val="0"/>
        <w:autoSpaceDE w:val="0"/>
        <w:autoSpaceDN w:val="0"/>
        <w:adjustRightInd w:val="0"/>
        <w:ind w:left="284" w:hanging="284"/>
        <w:contextualSpacing/>
        <w:textAlignment w:val="baseline"/>
      </w:pPr>
      <w:r>
        <w:t>Upplysningskampanjer för allmänheten bör genomföras för att belysa hur viktig försvarsfinansieringen är för att trygga freden och säkerheten i EU samt EU:s demokratiska livsstil och sociala sammanhållning.</w:t>
      </w:r>
    </w:p>
    <w:p w:rsidRPr="00773E8D" w:rsidR="00773E8D" w:rsidP="008171FA" w:rsidRDefault="00773E8D" w14:paraId="63329DD1" w14:textId="77777777">
      <w:pPr>
        <w:numPr>
          <w:ilvl w:val="0"/>
          <w:numId w:val="44"/>
        </w:numPr>
        <w:overflowPunct w:val="0"/>
        <w:autoSpaceDE w:val="0"/>
        <w:autoSpaceDN w:val="0"/>
        <w:adjustRightInd w:val="0"/>
        <w:ind w:left="284" w:hanging="284"/>
        <w:contextualSpacing/>
        <w:textAlignment w:val="baseline"/>
      </w:pPr>
      <w:r>
        <w:t xml:space="preserve">EU måste upprätta en gemensam försvarspolitik, inom ramen för en gemensam utrikes- och säkerhetspolitik, skapa en stark europeisk </w:t>
      </w:r>
      <w:proofErr w:type="spellStart"/>
      <w:r>
        <w:t>försvarspelare</w:t>
      </w:r>
      <w:proofErr w:type="spellEnd"/>
      <w:r>
        <w:t xml:space="preserve"> och vidta nödvändiga lagstiftningsåtgärder och finansiella åtgärder i detta syfte.</w:t>
      </w:r>
    </w:p>
    <w:p w:rsidR="00773E8D" w:rsidP="008171FA" w:rsidRDefault="00773E8D" w14:paraId="27DD39A3" w14:textId="77777777">
      <w:pPr>
        <w:numPr>
          <w:ilvl w:val="0"/>
          <w:numId w:val="44"/>
        </w:numPr>
        <w:overflowPunct w:val="0"/>
        <w:autoSpaceDE w:val="0"/>
        <w:autoSpaceDN w:val="0"/>
        <w:adjustRightInd w:val="0"/>
        <w:ind w:left="284" w:hanging="284"/>
        <w:contextualSpacing/>
        <w:textAlignment w:val="baseline"/>
      </w:pPr>
      <w:r>
        <w:t>EU måste också spela en aktiv diplomatisk roll för att en rättvis fred ska kunna uppnås i Ukraina.</w:t>
      </w:r>
    </w:p>
    <w:p w:rsidRPr="00773E8D" w:rsidR="00773E8D" w:rsidP="008171FA" w:rsidRDefault="00773E8D" w14:paraId="1D56F3F6" w14:textId="77777777">
      <w:pPr>
        <w:overflowPunct w:val="0"/>
        <w:autoSpaceDE w:val="0"/>
        <w:autoSpaceDN w:val="0"/>
        <w:adjustRightInd w:val="0"/>
        <w:ind w:left="284"/>
        <w:contextualSpacing/>
        <w:textAlignment w:val="baseline"/>
        <w:rPr>
          <w:lang w:val="en-GB" w:eastAsia="zh-CN"/>
        </w:rPr>
      </w:pPr>
    </w:p>
    <w:tbl>
      <w:tblPr>
        <w:tblW w:w="9180" w:type="dxa"/>
        <w:tblLook w:val="04A0" w:firstRow="1" w:lastRow="0" w:firstColumn="1" w:lastColumn="0" w:noHBand="0" w:noVBand="1"/>
      </w:tblPr>
      <w:tblGrid>
        <w:gridCol w:w="1668"/>
        <w:gridCol w:w="7512"/>
      </w:tblGrid>
      <w:tr w:rsidRPr="00773E8D" w:rsidR="00773E8D" w:rsidTr="00BE1F8F" w14:paraId="72A4C0C1" w14:textId="77777777">
        <w:tc>
          <w:tcPr>
            <w:tcW w:w="1668" w:type="dxa"/>
          </w:tcPr>
          <w:p w:rsidRPr="00AD372D" w:rsidR="00773E8D" w:rsidP="00BE1F8F" w:rsidRDefault="00773E8D" w14:paraId="6CF8EC77" w14:textId="77777777">
            <w:pPr>
              <w:overflowPunct w:val="0"/>
              <w:autoSpaceDE w:val="0"/>
              <w:autoSpaceDN w:val="0"/>
              <w:adjustRightInd w:val="0"/>
              <w:textAlignment w:val="baseline"/>
              <w:rPr>
                <w:b/>
                <w:bCs/>
                <w:i/>
              </w:rPr>
            </w:pPr>
            <w:r w:rsidRPr="00AD372D">
              <w:rPr>
                <w:b/>
                <w:bCs/>
                <w:i/>
              </w:rPr>
              <w:t>Kontaktperson:</w:t>
            </w:r>
          </w:p>
        </w:tc>
        <w:tc>
          <w:tcPr>
            <w:tcW w:w="7512" w:type="dxa"/>
          </w:tcPr>
          <w:p w:rsidRPr="00C77862" w:rsidR="00773E8D" w:rsidP="00BE1F8F" w:rsidRDefault="00773E8D" w14:paraId="249491A9" w14:textId="3ED401E0">
            <w:pPr>
              <w:overflowPunct w:val="0"/>
              <w:autoSpaceDE w:val="0"/>
              <w:autoSpaceDN w:val="0"/>
              <w:adjustRightInd w:val="0"/>
              <w:textAlignment w:val="baseline"/>
              <w:rPr>
                <w:bCs/>
                <w:i/>
                <w:iCs/>
              </w:rPr>
            </w:pPr>
            <w:r>
              <w:rPr>
                <w:i/>
              </w:rPr>
              <w:t xml:space="preserve">Gerald </w:t>
            </w:r>
            <w:proofErr w:type="spellStart"/>
            <w:r>
              <w:rPr>
                <w:i/>
              </w:rPr>
              <w:t>Klec</w:t>
            </w:r>
            <w:proofErr w:type="spellEnd"/>
          </w:p>
        </w:tc>
      </w:tr>
      <w:tr w:rsidRPr="00773E8D" w:rsidR="00773E8D" w:rsidTr="00BE1F8F" w14:paraId="2C039993" w14:textId="77777777">
        <w:tc>
          <w:tcPr>
            <w:tcW w:w="1668" w:type="dxa"/>
          </w:tcPr>
          <w:p w:rsidRPr="00773E8D" w:rsidR="00773E8D" w:rsidP="00BE1F8F" w:rsidRDefault="00773E8D" w14:paraId="3583AD71" w14:textId="047232C4">
            <w:pPr>
              <w:overflowPunct w:val="0"/>
              <w:autoSpaceDE w:val="0"/>
              <w:autoSpaceDN w:val="0"/>
              <w:adjustRightInd w:val="0"/>
              <w:textAlignment w:val="baseline"/>
              <w:rPr>
                <w:i/>
              </w:rPr>
            </w:pPr>
            <w:r>
              <w:rPr>
                <w:i/>
              </w:rPr>
              <w:t>Tfn</w:t>
            </w:r>
            <w:r w:rsidR="00FE0350">
              <w:rPr>
                <w:i/>
              </w:rPr>
              <w:t>:</w:t>
            </w:r>
          </w:p>
        </w:tc>
        <w:tc>
          <w:tcPr>
            <w:tcW w:w="7512" w:type="dxa"/>
          </w:tcPr>
          <w:p w:rsidRPr="00C77862" w:rsidR="00773E8D" w:rsidP="00BE1F8F" w:rsidRDefault="00773E8D" w14:paraId="17A18F4F" w14:textId="77777777">
            <w:pPr>
              <w:overflowPunct w:val="0"/>
              <w:autoSpaceDE w:val="0"/>
              <w:autoSpaceDN w:val="0"/>
              <w:adjustRightInd w:val="0"/>
              <w:textAlignment w:val="baseline"/>
              <w:rPr>
                <w:i/>
                <w:iCs/>
              </w:rPr>
            </w:pPr>
            <w:r>
              <w:rPr>
                <w:i/>
              </w:rPr>
              <w:t>+32 25469909</w:t>
            </w:r>
          </w:p>
        </w:tc>
      </w:tr>
      <w:tr w:rsidRPr="00773E8D" w:rsidR="00773E8D" w:rsidTr="00BE1F8F" w14:paraId="161B9255" w14:textId="77777777">
        <w:tc>
          <w:tcPr>
            <w:tcW w:w="1668" w:type="dxa"/>
          </w:tcPr>
          <w:p w:rsidRPr="00773E8D" w:rsidR="00773E8D" w:rsidP="00BE1F8F" w:rsidRDefault="00773E8D" w14:paraId="21276802" w14:textId="77777777">
            <w:pPr>
              <w:overflowPunct w:val="0"/>
              <w:autoSpaceDE w:val="0"/>
              <w:autoSpaceDN w:val="0"/>
              <w:adjustRightInd w:val="0"/>
              <w:textAlignment w:val="baseline"/>
              <w:rPr>
                <w:i/>
              </w:rPr>
            </w:pPr>
            <w:r>
              <w:rPr>
                <w:i/>
              </w:rPr>
              <w:t>E-post:</w:t>
            </w:r>
          </w:p>
        </w:tc>
        <w:tc>
          <w:tcPr>
            <w:tcW w:w="7512" w:type="dxa"/>
          </w:tcPr>
          <w:p w:rsidRPr="00C77862" w:rsidR="00773E8D" w:rsidP="00BE1F8F" w:rsidRDefault="008B5D7D" w14:paraId="7FCDD2C3" w14:textId="2AECDE8E">
            <w:pPr>
              <w:overflowPunct w:val="0"/>
              <w:autoSpaceDE w:val="0"/>
              <w:autoSpaceDN w:val="0"/>
              <w:adjustRightInd w:val="0"/>
              <w:textAlignment w:val="baseline"/>
              <w:rPr>
                <w:i/>
                <w:iCs/>
              </w:rPr>
            </w:pPr>
            <w:hyperlink w:history="1" r:id="rId26">
              <w:r w:rsidR="00773E8D">
                <w:rPr>
                  <w:i/>
                  <w:color w:val="0000FF"/>
                  <w:u w:val="single"/>
                </w:rPr>
                <w:t>Gerald.Klec@eesc.europa.eu</w:t>
              </w:r>
            </w:hyperlink>
          </w:p>
        </w:tc>
      </w:tr>
    </w:tbl>
    <w:p w:rsidR="009B199C" w:rsidP="00BE1F8F" w:rsidRDefault="009B199C" w14:paraId="26817FC4" w14:textId="77777777">
      <w:pPr>
        <w:jc w:val="left"/>
      </w:pPr>
      <w:r>
        <w:br w:type="page"/>
      </w:r>
    </w:p>
    <w:p w:rsidRPr="00BE1F8F" w:rsidR="009B199C" w:rsidP="00BE1F8F" w:rsidRDefault="008B5D7D" w14:paraId="510F45CA" w14:textId="58C2B1AF">
      <w:pPr>
        <w:widowControl w:val="0"/>
        <w:numPr>
          <w:ilvl w:val="0"/>
          <w:numId w:val="2"/>
        </w:numPr>
        <w:overflowPunct w:val="0"/>
        <w:autoSpaceDE w:val="0"/>
        <w:autoSpaceDN w:val="0"/>
        <w:adjustRightInd w:val="0"/>
        <w:ind w:hanging="567"/>
        <w:textAlignment w:val="baseline"/>
      </w:pPr>
      <w:hyperlink w:history="1" r:id="rId27">
        <w:r w:rsidR="00DE572D">
          <w:rPr>
            <w:b/>
            <w:i/>
            <w:color w:val="0000FF"/>
            <w:sz w:val="28"/>
            <w:u w:val="single"/>
          </w:rPr>
          <w:t>Att stärka resultatinriktningen i sammanhållningspolitiken efter 2027 – utmaningar, risker och möjligheter</w:t>
        </w:r>
      </w:hyperlink>
    </w:p>
    <w:p w:rsidRPr="00BE1F8F" w:rsidR="009B199C" w:rsidP="00BE1F8F" w:rsidRDefault="009B199C" w14:paraId="51F52A14" w14:textId="77777777">
      <w:pPr>
        <w:widowControl w:val="0"/>
        <w:overflowPunct w:val="0"/>
        <w:autoSpaceDE w:val="0"/>
        <w:autoSpaceDN w:val="0"/>
        <w:adjustRightInd w:val="0"/>
        <w:ind w:left="283"/>
        <w:textAlignment w:val="baseline"/>
        <w:rPr>
          <w:b/>
          <w:i/>
          <w:iCs/>
          <w:sz w:val="12"/>
          <w:szCs w:val="12"/>
          <w:lang w:val="en-GB"/>
        </w:rPr>
      </w:pPr>
    </w:p>
    <w:tbl>
      <w:tblPr>
        <w:tblW w:w="0" w:type="auto"/>
        <w:tblLook w:val="04A0" w:firstRow="1" w:lastRow="0" w:firstColumn="1" w:lastColumn="0" w:noHBand="0" w:noVBand="1"/>
      </w:tblPr>
      <w:tblGrid>
        <w:gridCol w:w="2074"/>
        <w:gridCol w:w="7213"/>
      </w:tblGrid>
      <w:tr w:rsidRPr="00792ABA" w:rsidR="009B199C" w:rsidTr="00A3780E" w14:paraId="5BC5C730" w14:textId="77777777">
        <w:tc>
          <w:tcPr>
            <w:tcW w:w="1701" w:type="dxa"/>
          </w:tcPr>
          <w:p w:rsidRPr="00792ABA" w:rsidR="009B199C" w:rsidP="00BE1F8F" w:rsidRDefault="009B199C" w14:paraId="455C16FC" w14:textId="77777777">
            <w:pPr>
              <w:tabs>
                <w:tab w:val="center" w:pos="284"/>
              </w:tabs>
              <w:overflowPunct w:val="0"/>
              <w:autoSpaceDE w:val="0"/>
              <w:autoSpaceDN w:val="0"/>
              <w:adjustRightInd w:val="0"/>
              <w:ind w:left="266" w:hanging="266"/>
              <w:textAlignment w:val="baseline"/>
              <w:rPr>
                <w:b/>
              </w:rPr>
            </w:pPr>
            <w:r>
              <w:rPr>
                <w:b/>
              </w:rPr>
              <w:t>Föredragande:</w:t>
            </w:r>
          </w:p>
          <w:p w:rsidRPr="00792ABA" w:rsidR="009B199C" w:rsidP="00BE1F8F" w:rsidRDefault="009B199C" w14:paraId="78EA9397" w14:textId="77777777">
            <w:pPr>
              <w:tabs>
                <w:tab w:val="center" w:pos="284"/>
              </w:tabs>
              <w:overflowPunct w:val="0"/>
              <w:autoSpaceDE w:val="0"/>
              <w:autoSpaceDN w:val="0"/>
              <w:adjustRightInd w:val="0"/>
              <w:ind w:left="266" w:hanging="266"/>
              <w:textAlignment w:val="baseline"/>
              <w:rPr>
                <w:b/>
              </w:rPr>
            </w:pPr>
            <w:r>
              <w:rPr>
                <w:b/>
              </w:rPr>
              <w:t>Medföredragande:</w:t>
            </w:r>
          </w:p>
        </w:tc>
        <w:tc>
          <w:tcPr>
            <w:tcW w:w="7479" w:type="dxa"/>
          </w:tcPr>
          <w:p w:rsidRPr="009B596B" w:rsidR="009B199C" w:rsidP="00BE1F8F" w:rsidRDefault="009B199C" w14:paraId="5A2D0416" w14:textId="40276D4D">
            <w:pPr>
              <w:tabs>
                <w:tab w:val="center" w:pos="284"/>
              </w:tabs>
              <w:overflowPunct w:val="0"/>
              <w:autoSpaceDE w:val="0"/>
              <w:autoSpaceDN w:val="0"/>
              <w:adjustRightInd w:val="0"/>
              <w:ind w:left="266" w:hanging="266"/>
              <w:textAlignment w:val="baseline"/>
            </w:pPr>
            <w:r>
              <w:t xml:space="preserve">David </w:t>
            </w:r>
            <w:proofErr w:type="spellStart"/>
            <w:r>
              <w:t>Sventek</w:t>
            </w:r>
            <w:proofErr w:type="spellEnd"/>
            <w:r>
              <w:t xml:space="preserve"> (Arbetsgivargruppen – CZ)</w:t>
            </w:r>
          </w:p>
          <w:p w:rsidRPr="00792ABA" w:rsidR="005F41D0" w:rsidP="00BE1F8F" w:rsidRDefault="009B199C" w14:paraId="0C02A021" w14:textId="4BEC0AEE">
            <w:pPr>
              <w:tabs>
                <w:tab w:val="center" w:pos="284"/>
              </w:tabs>
              <w:overflowPunct w:val="0"/>
              <w:autoSpaceDE w:val="0"/>
              <w:autoSpaceDN w:val="0"/>
              <w:adjustRightInd w:val="0"/>
              <w:ind w:left="266" w:hanging="266"/>
              <w:textAlignment w:val="baseline"/>
              <w:rPr>
                <w:bCs/>
              </w:rPr>
            </w:pPr>
            <w:r>
              <w:t>Florian Marin (Arbetstagargruppen – RO)</w:t>
            </w:r>
          </w:p>
        </w:tc>
      </w:tr>
      <w:tr w:rsidRPr="00792ABA" w:rsidR="009B199C" w:rsidTr="00A3780E" w14:paraId="4A10BF69" w14:textId="77777777">
        <w:tc>
          <w:tcPr>
            <w:tcW w:w="1701" w:type="dxa"/>
          </w:tcPr>
          <w:p w:rsidRPr="00792ABA" w:rsidR="009B199C" w:rsidP="00BE1F8F" w:rsidRDefault="009B199C" w14:paraId="4D7754ED" w14:textId="396C246D">
            <w:pPr>
              <w:tabs>
                <w:tab w:val="center" w:pos="284"/>
              </w:tabs>
              <w:overflowPunct w:val="0"/>
              <w:autoSpaceDE w:val="0"/>
              <w:autoSpaceDN w:val="0"/>
              <w:adjustRightInd w:val="0"/>
              <w:ind w:left="266" w:hanging="266"/>
              <w:textAlignment w:val="baseline"/>
              <w:rPr>
                <w:b/>
              </w:rPr>
            </w:pPr>
            <w:r>
              <w:rPr>
                <w:b/>
              </w:rPr>
              <w:t>Referensdokument:</w:t>
            </w:r>
          </w:p>
        </w:tc>
        <w:tc>
          <w:tcPr>
            <w:tcW w:w="7479" w:type="dxa"/>
          </w:tcPr>
          <w:p w:rsidRPr="00792ABA" w:rsidR="009B199C" w:rsidP="00BE1F8F" w:rsidRDefault="009B199C" w14:paraId="7601F5CA" w14:textId="00E8D08D">
            <w:pPr>
              <w:overflowPunct w:val="0"/>
              <w:autoSpaceDE w:val="0"/>
              <w:autoSpaceDN w:val="0"/>
              <w:adjustRightInd w:val="0"/>
              <w:ind w:left="266" w:hanging="266"/>
              <w:textAlignment w:val="baseline"/>
            </w:pPr>
            <w:r>
              <w:t>(förberedande yttrande på begäran av det polska rådsordförandeskapet)</w:t>
            </w:r>
          </w:p>
          <w:p w:rsidRPr="00792ABA" w:rsidR="009B199C" w:rsidP="00BE1F8F" w:rsidRDefault="009B199C" w14:paraId="443F4397" w14:textId="7E955EB3">
            <w:pPr>
              <w:overflowPunct w:val="0"/>
              <w:autoSpaceDE w:val="0"/>
              <w:autoSpaceDN w:val="0"/>
              <w:adjustRightInd w:val="0"/>
              <w:ind w:left="266" w:hanging="266"/>
              <w:textAlignment w:val="baseline"/>
            </w:pPr>
            <w:r>
              <w:t>EESC-2024-03481-00-00-AC</w:t>
            </w:r>
          </w:p>
        </w:tc>
      </w:tr>
    </w:tbl>
    <w:p w:rsidRPr="00C43D3E" w:rsidR="009B199C" w:rsidP="00BE1F8F" w:rsidRDefault="009B199C" w14:paraId="7F8C0AE3"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792ABA" w:rsidR="009B199C" w:rsidP="00BE1F8F" w:rsidRDefault="009B199C" w14:paraId="3A8AAE4F"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C43D3E" w:rsidR="009B199C" w:rsidP="00BE1F8F" w:rsidRDefault="009B199C" w14:paraId="754DF2AC"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9B199C" w:rsidP="00BE1F8F" w:rsidRDefault="009B199C" w14:paraId="4A63B8DB" w14:textId="77777777">
      <w:pPr>
        <w:keepNext/>
        <w:keepLines/>
        <w:tabs>
          <w:tab w:val="center" w:pos="284"/>
        </w:tabs>
        <w:overflowPunct w:val="0"/>
        <w:autoSpaceDE w:val="0"/>
        <w:autoSpaceDN w:val="0"/>
        <w:adjustRightInd w:val="0"/>
        <w:ind w:left="266" w:hanging="266"/>
        <w:textAlignment w:val="baseline"/>
        <w:rPr>
          <w:bCs/>
          <w:iCs/>
          <w:szCs w:val="20"/>
        </w:rPr>
      </w:pPr>
      <w:r>
        <w:t>Europeiska ekonomiska och sociala kommitténs (EESK) ståndpunkt:</w:t>
      </w:r>
    </w:p>
    <w:p w:rsidRPr="00792ABA" w:rsidR="009B199C" w:rsidP="00BE1F8F" w:rsidRDefault="009B199C" w14:paraId="6EB77383" w14:textId="77777777">
      <w:pPr>
        <w:keepNext/>
        <w:keepLines/>
        <w:numPr>
          <w:ilvl w:val="0"/>
          <w:numId w:val="22"/>
        </w:numPr>
        <w:overflowPunct w:val="0"/>
        <w:autoSpaceDE w:val="0"/>
        <w:autoSpaceDN w:val="0"/>
        <w:adjustRightInd w:val="0"/>
        <w:ind w:left="284" w:hanging="284"/>
        <w:contextualSpacing/>
        <w:textAlignment w:val="baseline"/>
        <w:rPr>
          <w:bCs/>
          <w:iCs/>
        </w:rPr>
      </w:pPr>
      <w:r>
        <w:t>Europeiska ekonomiska och sociala kommittén (EESK) stöder helhjärtat en fortsättning av EU:s sammanhållningspolitik och anser att det finns tydliga, rationella och legitima skäl till denna politik. Å andra sidan konstaterar kommittén att sammanhållningspolitiken måste moderniseras och anpassas för att återspegla utvecklingstendenser och utvecklingsbehov.</w:t>
      </w:r>
    </w:p>
    <w:p w:rsidRPr="00792ABA" w:rsidR="009B199C" w:rsidP="00BE1F8F" w:rsidRDefault="009B199C" w14:paraId="0ED74D26" w14:textId="77777777">
      <w:pPr>
        <w:keepNext/>
        <w:keepLines/>
        <w:numPr>
          <w:ilvl w:val="0"/>
          <w:numId w:val="22"/>
        </w:numPr>
        <w:overflowPunct w:val="0"/>
        <w:autoSpaceDE w:val="0"/>
        <w:autoSpaceDN w:val="0"/>
        <w:adjustRightInd w:val="0"/>
        <w:ind w:left="284" w:hanging="284"/>
        <w:contextualSpacing/>
        <w:textAlignment w:val="baseline"/>
        <w:rPr>
          <w:rFonts w:ascii="Calibri" w:hAnsi="Calibri"/>
          <w:bCs/>
          <w:iCs/>
        </w:rPr>
      </w:pPr>
      <w:r>
        <w:t>Den andel av EU:s budget som nu avsätts för sammanhållningspolitik får inte minskas i nästa fleråriga budgetram, utan bör tvärtom ökas.</w:t>
      </w:r>
    </w:p>
    <w:p w:rsidRPr="00792ABA" w:rsidR="009B199C" w:rsidP="00BE1F8F" w:rsidRDefault="009B199C" w14:paraId="74B75549" w14:textId="77777777">
      <w:pPr>
        <w:numPr>
          <w:ilvl w:val="0"/>
          <w:numId w:val="22"/>
        </w:numPr>
        <w:overflowPunct w:val="0"/>
        <w:autoSpaceDE w:val="0"/>
        <w:autoSpaceDN w:val="0"/>
        <w:adjustRightInd w:val="0"/>
        <w:ind w:left="284" w:hanging="284"/>
        <w:contextualSpacing/>
        <w:textAlignment w:val="baseline"/>
        <w:rPr>
          <w:bCs/>
          <w:iCs/>
        </w:rPr>
      </w:pPr>
      <w:r>
        <w:t xml:space="preserve">EESK rekommenderar att sammanhållningspolitiken i framtiden förvaltas i enlighet med följande principer: partnerskap (inbegripet det organiserade civila samhällets aktiva bidrag); delad förvaltning (balanserat deltagande mellan myndigheter på EU-nivå samt nationella och regionala myndigheter; flernivåstyre (inklusive regioner, kommuner, lokala myndigheter och berörda parter); en </w:t>
      </w:r>
      <w:proofErr w:type="spellStart"/>
      <w:r>
        <w:t>platsbaserad</w:t>
      </w:r>
      <w:proofErr w:type="spellEnd"/>
      <w:r>
        <w:t xml:space="preserve"> strategi (genomförande av en nedifrån-och-upp-strategi); tematisk koncentration (som hänger samman med processen för den europeiska planeringsterminen); territoriell målinriktning (även baserad på regionala särdrag); resultatinriktning (att det finns verkliga och kvantifierade resultat och fördelar); förenkling (av regler och förfaranden) och sociala grundvillkor för de investeringar som finansieras.</w:t>
      </w:r>
    </w:p>
    <w:p w:rsidRPr="00792ABA" w:rsidR="009B199C" w:rsidP="00BE1F8F" w:rsidRDefault="009B199C" w14:paraId="384FD159" w14:textId="2C1240E0">
      <w:pPr>
        <w:numPr>
          <w:ilvl w:val="0"/>
          <w:numId w:val="22"/>
        </w:numPr>
        <w:overflowPunct w:val="0"/>
        <w:autoSpaceDE w:val="0"/>
        <w:autoSpaceDN w:val="0"/>
        <w:adjustRightInd w:val="0"/>
        <w:ind w:left="284" w:hanging="284"/>
        <w:contextualSpacing/>
        <w:textAlignment w:val="baseline"/>
        <w:rPr>
          <w:bCs/>
          <w:iCs/>
        </w:rPr>
      </w:pPr>
      <w:r>
        <w:t>EESK anser att i en framtida, resultatinriktad sammanhållningspolitik bör geopolitiska utmaningar beaktas tydligt. Det finns ett behov av investeringar i kapacitetsuppbyggnad och partnerskaps</w:t>
      </w:r>
      <w:r w:rsidR="00FE0350">
        <w:softHyphen/>
      </w:r>
      <w:r>
        <w:t>principen bör konsolideras.</w:t>
      </w:r>
    </w:p>
    <w:p w:rsidRPr="00792ABA" w:rsidR="009B199C" w:rsidP="00BE1F8F" w:rsidRDefault="009B199C" w14:paraId="691F18AC" w14:textId="77777777">
      <w:pPr>
        <w:numPr>
          <w:ilvl w:val="0"/>
          <w:numId w:val="22"/>
        </w:numPr>
        <w:overflowPunct w:val="0"/>
        <w:autoSpaceDE w:val="0"/>
        <w:autoSpaceDN w:val="0"/>
        <w:adjustRightInd w:val="0"/>
        <w:ind w:left="284" w:hanging="284"/>
        <w:contextualSpacing/>
        <w:textAlignment w:val="baseline"/>
        <w:rPr>
          <w:bCs/>
          <w:iCs/>
        </w:rPr>
      </w:pPr>
      <w:r>
        <w:t>Att ha en resultatbaserad strategi som grundläggande princip kommer att bidra till en effektivare fördelning av begränsade sammanhållningspolitiska resurser och medföra synliga och transparenta fördelar.</w:t>
      </w:r>
    </w:p>
    <w:p w:rsidRPr="00792ABA" w:rsidR="009B199C" w:rsidP="00BE1F8F" w:rsidRDefault="009B199C" w14:paraId="69027A6A" w14:textId="534FA9A4">
      <w:pPr>
        <w:numPr>
          <w:ilvl w:val="0"/>
          <w:numId w:val="22"/>
        </w:numPr>
        <w:overflowPunct w:val="0"/>
        <w:autoSpaceDE w:val="0"/>
        <w:autoSpaceDN w:val="0"/>
        <w:adjustRightInd w:val="0"/>
        <w:ind w:left="284" w:hanging="284"/>
        <w:contextualSpacing/>
        <w:textAlignment w:val="baseline"/>
        <w:rPr>
          <w:bCs/>
          <w:iCs/>
        </w:rPr>
      </w:pPr>
      <w:r>
        <w:t>EESK anser att de skyldigheter som följer av införandet av en resultatbaserad strategi inte bör adderas till de befintliga kontroll- och revisionsprocesserna för att kontrollera ändamålsenlighet, effektivitet och hushållning i fråga om utgifterna för projekt som finansieras av sammanhållnings</w:t>
      </w:r>
      <w:r w:rsidR="00FE0350">
        <w:softHyphen/>
      </w:r>
      <w:r>
        <w:t>fonderna.</w:t>
      </w:r>
    </w:p>
    <w:p w:rsidRPr="00792ABA" w:rsidR="009B199C" w:rsidP="00BE1F8F" w:rsidRDefault="009B199C" w14:paraId="1F1F1EFC" w14:textId="77777777">
      <w:pPr>
        <w:numPr>
          <w:ilvl w:val="0"/>
          <w:numId w:val="22"/>
        </w:numPr>
        <w:overflowPunct w:val="0"/>
        <w:autoSpaceDE w:val="0"/>
        <w:autoSpaceDN w:val="0"/>
        <w:adjustRightInd w:val="0"/>
        <w:ind w:left="284" w:hanging="284"/>
        <w:contextualSpacing/>
        <w:textAlignment w:val="baseline"/>
        <w:rPr>
          <w:bCs/>
          <w:iCs/>
        </w:rPr>
      </w:pPr>
      <w:r>
        <w:t xml:space="preserve">Kommittén är fast övertygad om att regionerna och deras särskilda utvecklings- och </w:t>
      </w:r>
      <w:proofErr w:type="spellStart"/>
      <w:r>
        <w:t>resiliensbehov</w:t>
      </w:r>
      <w:proofErr w:type="spellEnd"/>
      <w:r>
        <w:t xml:space="preserve"> måste förbli kärnan i sammanhållningspolitiken, trots alla nödvändiga förändringar av politikens innehåll och inriktning, samtidigt som man strävar efter att minska ojämlikheten.</w:t>
      </w:r>
    </w:p>
    <w:p w:rsidRPr="00792ABA" w:rsidR="009B199C" w:rsidP="00BE1F8F" w:rsidRDefault="009B199C" w14:paraId="07F4614C" w14:textId="77777777">
      <w:pPr>
        <w:numPr>
          <w:ilvl w:val="0"/>
          <w:numId w:val="22"/>
        </w:numPr>
        <w:overflowPunct w:val="0"/>
        <w:autoSpaceDE w:val="0"/>
        <w:autoSpaceDN w:val="0"/>
        <w:adjustRightInd w:val="0"/>
        <w:ind w:left="284" w:hanging="284"/>
        <w:contextualSpacing/>
        <w:textAlignment w:val="baseline"/>
        <w:rPr>
          <w:bCs/>
          <w:iCs/>
        </w:rPr>
      </w:pPr>
      <w:r>
        <w:t xml:space="preserve">EESK anser att större uppmärksamhet bör ägnas åt sociala investeringar, bland annat i bostäder, som strukturella beståndsdelar för territoriell utveckling, åt tillgång till offentliga tjänster av hög kvalitet och åt demografiska utmaningar. </w:t>
      </w:r>
    </w:p>
    <w:p w:rsidRPr="00792ABA" w:rsidR="009B199C" w:rsidP="00BE1F8F" w:rsidRDefault="009B199C" w14:paraId="4545597B" w14:textId="77777777">
      <w:pPr>
        <w:numPr>
          <w:ilvl w:val="0"/>
          <w:numId w:val="22"/>
        </w:numPr>
        <w:overflowPunct w:val="0"/>
        <w:autoSpaceDE w:val="0"/>
        <w:autoSpaceDN w:val="0"/>
        <w:adjustRightInd w:val="0"/>
        <w:ind w:left="284" w:hanging="284"/>
        <w:contextualSpacing/>
        <w:textAlignment w:val="baseline"/>
        <w:rPr>
          <w:bCs/>
          <w:iCs/>
        </w:rPr>
      </w:pPr>
      <w:r>
        <w:t>EESK rekommenderar att det skapas en öppen politisk miljö där specifika intressenter, inbegripet företrädare för det organiserade civila samhället, har en tydligt definierad ställning.</w:t>
      </w:r>
    </w:p>
    <w:p w:rsidRPr="00C43D3E" w:rsidR="009B199C" w:rsidP="00BE1F8F" w:rsidRDefault="009B199C" w14:paraId="1086985B" w14:textId="77777777">
      <w:pPr>
        <w:numPr>
          <w:ilvl w:val="0"/>
          <w:numId w:val="22"/>
        </w:numPr>
        <w:overflowPunct w:val="0"/>
        <w:autoSpaceDE w:val="0"/>
        <w:autoSpaceDN w:val="0"/>
        <w:adjustRightInd w:val="0"/>
        <w:ind w:left="284" w:hanging="284"/>
        <w:contextualSpacing/>
        <w:textAlignment w:val="baseline"/>
        <w:rPr>
          <w:bCs/>
          <w:iCs/>
          <w:spacing w:val="-2"/>
        </w:rPr>
      </w:pPr>
      <w:r>
        <w:t>Kommittén är medveten om systemets komplexitet, och anser att det måste förenklas avsevärt och bli mer transparent.</w:t>
      </w:r>
    </w:p>
    <w:p w:rsidRPr="00792ABA" w:rsidR="009B199C" w:rsidP="00BE1F8F" w:rsidRDefault="009B199C" w14:paraId="168F9847" w14:textId="77777777">
      <w:pPr>
        <w:numPr>
          <w:ilvl w:val="0"/>
          <w:numId w:val="22"/>
        </w:numPr>
        <w:overflowPunct w:val="0"/>
        <w:autoSpaceDE w:val="0"/>
        <w:autoSpaceDN w:val="0"/>
        <w:adjustRightInd w:val="0"/>
        <w:ind w:left="284" w:hanging="284"/>
        <w:contextualSpacing/>
        <w:textAlignment w:val="baseline"/>
        <w:rPr>
          <w:rFonts w:ascii="Calibri" w:hAnsi="Calibri"/>
          <w:bCs/>
          <w:iCs/>
        </w:rPr>
      </w:pPr>
      <w:r>
        <w:lastRenderedPageBreak/>
        <w:t>EESK understryker att konvergens och hållbar konkurrenskraft inte står i motsats till varandra, framför allt inte under den nuvarande och kommande perioden av ekonomisk och social utveckling i EU.</w:t>
      </w:r>
    </w:p>
    <w:p w:rsidR="009B199C" w:rsidP="00BE1F8F" w:rsidRDefault="009B199C" w14:paraId="1DD19EA2" w14:textId="66A2333D">
      <w:pPr>
        <w:ind w:left="360"/>
        <w:contextualSpacing/>
        <w:rPr>
          <w:rFonts w:ascii="Calibri" w:hAnsi="Calibri"/>
          <w:bCs/>
          <w:iCs/>
          <w:sz w:val="16"/>
          <w:szCs w:val="16"/>
          <w:lang w:val="en-GB" w:eastAsia="zh-CN"/>
        </w:rPr>
      </w:pPr>
    </w:p>
    <w:tbl>
      <w:tblPr>
        <w:tblW w:w="9322" w:type="dxa"/>
        <w:tblLook w:val="04A0" w:firstRow="1" w:lastRow="0" w:firstColumn="1" w:lastColumn="0" w:noHBand="0" w:noVBand="1"/>
      </w:tblPr>
      <w:tblGrid>
        <w:gridCol w:w="1668"/>
        <w:gridCol w:w="7654"/>
      </w:tblGrid>
      <w:tr w:rsidRPr="00792ABA" w:rsidR="00E14D8E" w:rsidTr="00BE1F8F" w14:paraId="6547EFA9" w14:textId="77777777">
        <w:tc>
          <w:tcPr>
            <w:tcW w:w="1668" w:type="dxa"/>
          </w:tcPr>
          <w:p w:rsidRPr="00792ABA" w:rsidR="00E14D8E" w:rsidP="00BE1F8F" w:rsidRDefault="00E14D8E" w14:paraId="4258610F" w14:textId="77777777">
            <w:pPr>
              <w:overflowPunct w:val="0"/>
              <w:autoSpaceDE w:val="0"/>
              <w:autoSpaceDN w:val="0"/>
              <w:adjustRightInd w:val="0"/>
              <w:textAlignment w:val="baseline"/>
              <w:rPr>
                <w:i/>
              </w:rPr>
            </w:pPr>
            <w:r>
              <w:rPr>
                <w:b/>
                <w:i/>
              </w:rPr>
              <w:t>Kontaktperson:</w:t>
            </w:r>
          </w:p>
        </w:tc>
        <w:tc>
          <w:tcPr>
            <w:tcW w:w="7654" w:type="dxa"/>
          </w:tcPr>
          <w:p w:rsidRPr="00792ABA" w:rsidR="00E14D8E" w:rsidP="00BE1F8F" w:rsidRDefault="00E14D8E" w14:paraId="5390638D" w14:textId="77777777">
            <w:pPr>
              <w:overflowPunct w:val="0"/>
              <w:autoSpaceDE w:val="0"/>
              <w:autoSpaceDN w:val="0"/>
              <w:adjustRightInd w:val="0"/>
              <w:textAlignment w:val="baseline"/>
              <w:rPr>
                <w:i/>
              </w:rPr>
            </w:pPr>
            <w:r>
              <w:rPr>
                <w:i/>
              </w:rPr>
              <w:t xml:space="preserve">Georgios </w:t>
            </w:r>
            <w:proofErr w:type="spellStart"/>
            <w:r>
              <w:rPr>
                <w:i/>
              </w:rPr>
              <w:t>Meleas</w:t>
            </w:r>
            <w:proofErr w:type="spellEnd"/>
          </w:p>
        </w:tc>
      </w:tr>
      <w:tr w:rsidRPr="00792ABA" w:rsidR="00E14D8E" w:rsidTr="00BE1F8F" w14:paraId="5F576F6C" w14:textId="77777777">
        <w:tc>
          <w:tcPr>
            <w:tcW w:w="1668" w:type="dxa"/>
          </w:tcPr>
          <w:p w:rsidRPr="00792ABA" w:rsidR="00E14D8E" w:rsidP="00BE1F8F" w:rsidRDefault="00E14D8E" w14:paraId="13C225A0" w14:textId="77777777">
            <w:pPr>
              <w:overflowPunct w:val="0"/>
              <w:autoSpaceDE w:val="0"/>
              <w:autoSpaceDN w:val="0"/>
              <w:adjustRightInd w:val="0"/>
              <w:textAlignment w:val="baseline"/>
              <w:rPr>
                <w:i/>
              </w:rPr>
            </w:pPr>
            <w:r>
              <w:rPr>
                <w:i/>
              </w:rPr>
              <w:t>Tfn:</w:t>
            </w:r>
          </w:p>
        </w:tc>
        <w:tc>
          <w:tcPr>
            <w:tcW w:w="7654" w:type="dxa"/>
          </w:tcPr>
          <w:p w:rsidRPr="00792ABA" w:rsidR="00E14D8E" w:rsidP="00BE1F8F" w:rsidRDefault="00E14D8E" w14:paraId="1A2A2EF0" w14:textId="322BD15F">
            <w:pPr>
              <w:overflowPunct w:val="0"/>
              <w:autoSpaceDE w:val="0"/>
              <w:autoSpaceDN w:val="0"/>
              <w:adjustRightInd w:val="0"/>
              <w:textAlignment w:val="baseline"/>
              <w:rPr>
                <w:i/>
              </w:rPr>
            </w:pPr>
            <w:r>
              <w:rPr>
                <w:i/>
              </w:rPr>
              <w:t>+32 25469795</w:t>
            </w:r>
          </w:p>
        </w:tc>
      </w:tr>
      <w:tr w:rsidRPr="00792ABA" w:rsidR="00E14D8E" w:rsidTr="00BE1F8F" w14:paraId="243EA6DE" w14:textId="77777777">
        <w:tc>
          <w:tcPr>
            <w:tcW w:w="1668" w:type="dxa"/>
          </w:tcPr>
          <w:p w:rsidRPr="00792ABA" w:rsidR="00E14D8E" w:rsidP="00BE1F8F" w:rsidRDefault="00E14D8E" w14:paraId="385A71F4" w14:textId="77777777">
            <w:pPr>
              <w:overflowPunct w:val="0"/>
              <w:autoSpaceDE w:val="0"/>
              <w:autoSpaceDN w:val="0"/>
              <w:adjustRightInd w:val="0"/>
              <w:textAlignment w:val="baseline"/>
              <w:rPr>
                <w:i/>
              </w:rPr>
            </w:pPr>
            <w:r>
              <w:rPr>
                <w:i/>
              </w:rPr>
              <w:t>E-post:</w:t>
            </w:r>
          </w:p>
        </w:tc>
        <w:tc>
          <w:tcPr>
            <w:tcW w:w="7654" w:type="dxa"/>
          </w:tcPr>
          <w:p w:rsidRPr="00792ABA" w:rsidR="00E14D8E" w:rsidP="00BE1F8F" w:rsidRDefault="008B5D7D" w14:paraId="00D270D1" w14:textId="77777777">
            <w:pPr>
              <w:overflowPunct w:val="0"/>
              <w:autoSpaceDE w:val="0"/>
              <w:autoSpaceDN w:val="0"/>
              <w:adjustRightInd w:val="0"/>
              <w:textAlignment w:val="baseline"/>
              <w:rPr>
                <w:i/>
                <w:iCs/>
              </w:rPr>
            </w:pPr>
            <w:hyperlink w:history="1" r:id="rId28">
              <w:r w:rsidR="00DE572D">
                <w:rPr>
                  <w:i/>
                  <w:color w:val="0000FF"/>
                  <w:u w:val="single"/>
                </w:rPr>
                <w:t>Georgios.Meleas@eesc.europa.eu</w:t>
              </w:r>
            </w:hyperlink>
          </w:p>
        </w:tc>
      </w:tr>
    </w:tbl>
    <w:p w:rsidR="00E14D8E" w:rsidP="00BE1F8F" w:rsidRDefault="00E14D8E" w14:paraId="14382163" w14:textId="77777777">
      <w:pPr>
        <w:jc w:val="left"/>
        <w:rPr>
          <w:rFonts w:ascii="Calibri" w:hAnsi="Calibri"/>
          <w:bCs/>
          <w:iCs/>
          <w:sz w:val="16"/>
          <w:szCs w:val="16"/>
        </w:rPr>
      </w:pPr>
      <w:r>
        <w:br w:type="page"/>
      </w:r>
    </w:p>
    <w:p w:rsidR="004D7AC0" w:rsidP="00BE1F8F" w:rsidRDefault="004D7AC0" w14:paraId="4982DD99" w14:textId="77777777">
      <w:pPr>
        <w:pStyle w:val="Heading1"/>
        <w:keepNext/>
        <w:keepLines/>
        <w:rPr>
          <w:b/>
        </w:rPr>
      </w:pPr>
      <w:bookmarkStart w:name="_Toc192059218" w:id="1"/>
      <w:bookmarkStart w:name="_Toc192059438" w:id="2"/>
      <w:bookmarkStart w:name="_Toc192060291" w:id="3"/>
      <w:bookmarkStart w:name="_Toc192060608" w:id="4"/>
      <w:bookmarkStart w:name="_Toc192059219" w:id="5"/>
      <w:bookmarkStart w:name="_Toc192059439" w:id="6"/>
      <w:bookmarkStart w:name="_Toc192060292" w:id="7"/>
      <w:bookmarkStart w:name="_Toc192060609" w:id="8"/>
      <w:bookmarkStart w:name="_Toc75527081" w:id="9"/>
      <w:bookmarkStart w:name="_Toc192683400" w:id="10"/>
      <w:bookmarkEnd w:id="1"/>
      <w:bookmarkEnd w:id="2"/>
      <w:bookmarkEnd w:id="3"/>
      <w:bookmarkEnd w:id="4"/>
      <w:bookmarkEnd w:id="5"/>
      <w:bookmarkEnd w:id="6"/>
      <w:bookmarkEnd w:id="7"/>
      <w:bookmarkEnd w:id="8"/>
      <w:r>
        <w:rPr>
          <w:b/>
        </w:rPr>
        <w:lastRenderedPageBreak/>
        <w:t>SYSSELSÄTTNING, SOCIALA FRÅGOR OCH MEDBORGARNA</w:t>
      </w:r>
      <w:bookmarkEnd w:id="9"/>
      <w:bookmarkEnd w:id="10"/>
    </w:p>
    <w:p w:rsidR="004D7AC0" w:rsidP="00BE1F8F" w:rsidRDefault="004D7AC0" w14:paraId="4982DD9A" w14:textId="77777777">
      <w:pPr>
        <w:keepNext/>
        <w:keepLines/>
      </w:pPr>
    </w:p>
    <w:p w:rsidRPr="00B4456F" w:rsidR="005820A0" w:rsidP="00BE1F8F" w:rsidRDefault="008B5D7D" w14:paraId="1351645C" w14:textId="5889E847">
      <w:pPr>
        <w:widowControl w:val="0"/>
        <w:numPr>
          <w:ilvl w:val="0"/>
          <w:numId w:val="10"/>
        </w:numPr>
        <w:overflowPunct w:val="0"/>
        <w:autoSpaceDE w:val="0"/>
        <w:autoSpaceDN w:val="0"/>
        <w:adjustRightInd w:val="0"/>
        <w:ind w:left="567" w:hanging="567"/>
        <w:textAlignment w:val="baseline"/>
        <w:rPr>
          <w:sz w:val="24"/>
          <w:szCs w:val="24"/>
        </w:rPr>
      </w:pPr>
      <w:hyperlink w:history="1" r:id="rId29">
        <w:r w:rsidR="00DE572D">
          <w:rPr>
            <w:rStyle w:val="Hyperlink"/>
            <w:b/>
            <w:i/>
            <w:sz w:val="28"/>
          </w:rPr>
          <w:t>Att få bukt med ensamhet: förstärkta åtgärder för demografisk sammanhållning</w:t>
        </w:r>
      </w:hyperlink>
    </w:p>
    <w:p w:rsidRPr="00B4456F" w:rsidR="005820A0" w:rsidP="00BE1F8F" w:rsidRDefault="005820A0" w14:paraId="3483E009"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4"/>
        <w:gridCol w:w="7213"/>
      </w:tblGrid>
      <w:tr w:rsidRPr="00AD372D" w:rsidR="005820A0" w:rsidTr="00A3780E" w14:paraId="67BD490D" w14:textId="77777777">
        <w:tc>
          <w:tcPr>
            <w:tcW w:w="1607" w:type="dxa"/>
          </w:tcPr>
          <w:p w:rsidRPr="00AD372D" w:rsidR="005820A0" w:rsidP="00BE1F8F" w:rsidRDefault="005820A0" w14:paraId="42367F1A" w14:textId="701C1F82">
            <w:pPr>
              <w:tabs>
                <w:tab w:val="center" w:pos="284"/>
              </w:tabs>
              <w:ind w:left="266" w:hanging="266"/>
              <w:rPr>
                <w:b/>
              </w:rPr>
            </w:pPr>
            <w:r w:rsidRPr="00AD372D">
              <w:rPr>
                <w:b/>
              </w:rPr>
              <w:t>Föredragande</w:t>
            </w:r>
          </w:p>
        </w:tc>
        <w:tc>
          <w:tcPr>
            <w:tcW w:w="7573" w:type="dxa"/>
          </w:tcPr>
          <w:p w:rsidRPr="00AD372D" w:rsidR="005820A0" w:rsidP="00BE1F8F" w:rsidRDefault="005820A0" w14:paraId="3FB6ED60" w14:textId="3DA0CD80">
            <w:pPr>
              <w:tabs>
                <w:tab w:val="center" w:pos="284"/>
              </w:tabs>
              <w:ind w:left="266" w:hanging="266"/>
            </w:pPr>
            <w:r w:rsidRPr="00AD372D">
              <w:t xml:space="preserve">Miguel </w:t>
            </w:r>
            <w:proofErr w:type="spellStart"/>
            <w:r w:rsidRPr="00AD372D">
              <w:t>Ángel</w:t>
            </w:r>
            <w:proofErr w:type="spellEnd"/>
            <w:r w:rsidRPr="00AD372D">
              <w:t xml:space="preserve"> </w:t>
            </w:r>
            <w:proofErr w:type="spellStart"/>
            <w:r w:rsidRPr="00AD372D">
              <w:t>Cabra</w:t>
            </w:r>
            <w:proofErr w:type="spellEnd"/>
            <w:r w:rsidRPr="00AD372D">
              <w:t xml:space="preserve"> de Luna (ES–III)</w:t>
            </w:r>
          </w:p>
        </w:tc>
      </w:tr>
      <w:tr w:rsidRPr="00AD372D" w:rsidR="005820A0" w:rsidTr="00A3780E" w14:paraId="6076883C" w14:textId="77777777">
        <w:tc>
          <w:tcPr>
            <w:tcW w:w="1607" w:type="dxa"/>
            <w:vMerge w:val="restart"/>
          </w:tcPr>
          <w:p w:rsidRPr="00AD372D" w:rsidR="005820A0" w:rsidP="00BE1F8F" w:rsidRDefault="005820A0" w14:paraId="544AEDE8" w14:textId="4C4437C3">
            <w:pPr>
              <w:tabs>
                <w:tab w:val="center" w:pos="284"/>
              </w:tabs>
              <w:ind w:left="266" w:hanging="266"/>
              <w:rPr>
                <w:b/>
              </w:rPr>
            </w:pPr>
            <w:r w:rsidRPr="00AD372D">
              <w:rPr>
                <w:b/>
              </w:rPr>
              <w:t>Referensdokument:</w:t>
            </w:r>
          </w:p>
        </w:tc>
        <w:tc>
          <w:tcPr>
            <w:tcW w:w="7573" w:type="dxa"/>
          </w:tcPr>
          <w:p w:rsidRPr="00AD372D" w:rsidR="005820A0" w:rsidP="00BE1F8F" w:rsidRDefault="005820A0" w14:paraId="5995BCBD" w14:textId="77777777">
            <w:pPr>
              <w:tabs>
                <w:tab w:val="center" w:pos="284"/>
              </w:tabs>
              <w:ind w:left="266" w:hanging="266"/>
            </w:pPr>
            <w:r w:rsidRPr="00AD372D">
              <w:t>Yttrande på eget initiativ</w:t>
            </w:r>
          </w:p>
        </w:tc>
      </w:tr>
      <w:tr w:rsidRPr="00AD372D" w:rsidR="005820A0" w:rsidTr="00A3780E" w14:paraId="4CBB60AE" w14:textId="77777777">
        <w:tc>
          <w:tcPr>
            <w:tcW w:w="1607" w:type="dxa"/>
            <w:vMerge/>
          </w:tcPr>
          <w:p w:rsidRPr="00AD372D" w:rsidR="005820A0" w:rsidP="00BE1F8F" w:rsidRDefault="005820A0" w14:paraId="3E553D04" w14:textId="77777777">
            <w:pPr>
              <w:tabs>
                <w:tab w:val="center" w:pos="284"/>
              </w:tabs>
              <w:ind w:left="266" w:hanging="266"/>
              <w:rPr>
                <w:b/>
              </w:rPr>
            </w:pPr>
          </w:p>
        </w:tc>
        <w:tc>
          <w:tcPr>
            <w:tcW w:w="7573" w:type="dxa"/>
          </w:tcPr>
          <w:p w:rsidRPr="00AD372D" w:rsidR="005820A0" w:rsidP="00BE1F8F" w:rsidRDefault="005820A0" w14:paraId="67128669" w14:textId="77777777">
            <w:pPr>
              <w:tabs>
                <w:tab w:val="center" w:pos="284"/>
              </w:tabs>
              <w:ind w:left="266" w:hanging="266"/>
            </w:pPr>
            <w:r w:rsidRPr="00AD372D">
              <w:t>EESC-2024-03264-00-00-AC</w:t>
            </w:r>
          </w:p>
        </w:tc>
      </w:tr>
    </w:tbl>
    <w:p w:rsidRPr="00B4456F" w:rsidR="005820A0" w:rsidP="00BE1F8F" w:rsidRDefault="005820A0" w14:paraId="4B78DAB0" w14:textId="77777777">
      <w:pPr>
        <w:tabs>
          <w:tab w:val="center" w:pos="284"/>
        </w:tabs>
        <w:ind w:left="266" w:hanging="266"/>
      </w:pPr>
    </w:p>
    <w:p w:rsidRPr="00B4456F" w:rsidR="005820A0" w:rsidP="00BE1F8F" w:rsidRDefault="005820A0" w14:paraId="766A65DB" w14:textId="77777777">
      <w:pPr>
        <w:keepNext/>
        <w:keepLines/>
        <w:tabs>
          <w:tab w:val="center" w:pos="284"/>
        </w:tabs>
        <w:ind w:left="266" w:hanging="266"/>
        <w:rPr>
          <w:b/>
        </w:rPr>
      </w:pPr>
      <w:r>
        <w:rPr>
          <w:b/>
        </w:rPr>
        <w:t>Huvudpunkter</w:t>
      </w:r>
    </w:p>
    <w:p w:rsidRPr="00B4456F" w:rsidR="005820A0" w:rsidP="00BE1F8F" w:rsidRDefault="005820A0" w14:paraId="6AD26D2E" w14:textId="77777777">
      <w:pPr>
        <w:keepNext/>
        <w:keepLines/>
        <w:tabs>
          <w:tab w:val="center" w:pos="284"/>
        </w:tabs>
        <w:ind w:left="266" w:hanging="266"/>
        <w:rPr>
          <w:b/>
        </w:rPr>
      </w:pPr>
    </w:p>
    <w:p w:rsidRPr="00B4456F" w:rsidR="005820A0" w:rsidP="00BE1F8F" w:rsidRDefault="005820A0" w14:paraId="25B369D6" w14:textId="77777777">
      <w:pPr>
        <w:rPr>
          <w:bCs/>
          <w:iCs/>
        </w:rPr>
      </w:pPr>
      <w:proofErr w:type="spellStart"/>
      <w:r>
        <w:t>EESK:s</w:t>
      </w:r>
      <w:proofErr w:type="spellEnd"/>
      <w:r>
        <w:t xml:space="preserve"> ståndpunkt:</w:t>
      </w:r>
    </w:p>
    <w:p w:rsidRPr="00393DF5" w:rsidR="005820A0" w:rsidP="00BE1F8F" w:rsidRDefault="005820A0" w14:paraId="6EEFEE69" w14:textId="77777777">
      <w:pPr>
        <w:widowControl w:val="0"/>
        <w:numPr>
          <w:ilvl w:val="0"/>
          <w:numId w:val="23"/>
        </w:numPr>
        <w:overflowPunct w:val="0"/>
        <w:autoSpaceDE w:val="0"/>
        <w:autoSpaceDN w:val="0"/>
        <w:adjustRightInd w:val="0"/>
        <w:ind w:left="284" w:hanging="284"/>
        <w:textAlignment w:val="baseline"/>
      </w:pPr>
      <w:r>
        <w:t xml:space="preserve">Europeiska ekonomiska och sociala kommittén (EESK) uppmanar kommissionen att anta en europeisk strategi mot ensamhet under mandatperioden 2025–2029 i syfte att konsolidera kunskapen om ensamhet, analysera och utvärdera befintliga insatser, införa ett </w:t>
      </w:r>
      <w:proofErr w:type="spellStart"/>
      <w:r>
        <w:t>intersektionellt</w:t>
      </w:r>
      <w:proofErr w:type="spellEnd"/>
      <w:r>
        <w:t xml:space="preserve"> förhållningssätt, ta itu med de bakomliggande orsakerna till ensamhet genom en förebyggande strategi, öka medvetenheten och undanröja stigman, minska trycket på hälso- och sjukvårdssystemen och mobilisera ekonomiskt stöd.</w:t>
      </w:r>
    </w:p>
    <w:p w:rsidRPr="00393DF5" w:rsidR="005820A0" w:rsidP="00BE1F8F" w:rsidRDefault="005820A0" w14:paraId="059A30C7" w14:textId="77777777">
      <w:pPr>
        <w:widowControl w:val="0"/>
        <w:numPr>
          <w:ilvl w:val="0"/>
          <w:numId w:val="23"/>
        </w:numPr>
        <w:overflowPunct w:val="0"/>
        <w:autoSpaceDE w:val="0"/>
        <w:autoSpaceDN w:val="0"/>
        <w:adjustRightInd w:val="0"/>
        <w:ind w:left="284" w:hanging="284"/>
        <w:textAlignment w:val="baseline"/>
      </w:pPr>
      <w:r>
        <w:t>EESK framhåller den viktiga roll som det civila samhällets organisationer spelar i kampen mot ensamhet, och erkänner att arbetsmarknadens parter också kan bidra i detta avseende.</w:t>
      </w:r>
    </w:p>
    <w:p w:rsidRPr="00393DF5" w:rsidR="005820A0" w:rsidP="00BE1F8F" w:rsidRDefault="005820A0" w14:paraId="074DF4E0" w14:textId="77777777">
      <w:pPr>
        <w:widowControl w:val="0"/>
        <w:numPr>
          <w:ilvl w:val="0"/>
          <w:numId w:val="23"/>
        </w:numPr>
        <w:overflowPunct w:val="0"/>
        <w:autoSpaceDE w:val="0"/>
        <w:autoSpaceDN w:val="0"/>
        <w:adjustRightInd w:val="0"/>
        <w:ind w:left="284" w:hanging="284"/>
        <w:textAlignment w:val="baseline"/>
      </w:pPr>
      <w:r>
        <w:t>Kommittén efterlyser särskilda åtgärder på EU-nivå mot oönskad ensamhet som en del av den europeiska strategin för äldre (yttrande SOC/757) och den framtida europeiska strategin för solidaritet mellan generationerna (yttrande SOC/800), inbegripet nationella planer.</w:t>
      </w:r>
    </w:p>
    <w:p w:rsidRPr="00393DF5" w:rsidR="005820A0" w:rsidP="00BE1F8F" w:rsidRDefault="005820A0" w14:paraId="54B7D9CA" w14:textId="77777777">
      <w:pPr>
        <w:widowControl w:val="0"/>
        <w:numPr>
          <w:ilvl w:val="0"/>
          <w:numId w:val="23"/>
        </w:numPr>
        <w:overflowPunct w:val="0"/>
        <w:autoSpaceDE w:val="0"/>
        <w:autoSpaceDN w:val="0"/>
        <w:adjustRightInd w:val="0"/>
        <w:ind w:left="284" w:hanging="284"/>
        <w:textAlignment w:val="baseline"/>
      </w:pPr>
      <w:r>
        <w:t>Strategierna bör omfatta ensamhet under hela livet, med fokus på livsomställningar. För strategierna krävs också ledarskap på hög nivå och medverkan alla berörda aktörer, inbegripet offentliga myndigheter (särskilt på lokal nivå), det organiserade civila samhället, arbetsmarknadens parter, den sociala ekonomin och medierna.</w:t>
      </w:r>
    </w:p>
    <w:p w:rsidRPr="00393DF5" w:rsidR="005820A0" w:rsidP="00BE1F8F" w:rsidRDefault="005820A0" w14:paraId="2C2AFEDD" w14:textId="77777777">
      <w:pPr>
        <w:widowControl w:val="0"/>
        <w:numPr>
          <w:ilvl w:val="0"/>
          <w:numId w:val="23"/>
        </w:numPr>
        <w:overflowPunct w:val="0"/>
        <w:autoSpaceDE w:val="0"/>
        <w:autoSpaceDN w:val="0"/>
        <w:adjustRightInd w:val="0"/>
        <w:ind w:left="284" w:hanging="284"/>
        <w:textAlignment w:val="baseline"/>
      </w:pPr>
      <w:r>
        <w:t>EESK uppmanar kommissionen att fortsätta pilotprojektet om oönskad ensamhet, som inleddes på begäran av Europaparlamentet 2022.</w:t>
      </w:r>
    </w:p>
    <w:p w:rsidRPr="00393DF5" w:rsidR="005820A0" w:rsidP="00BE1F8F" w:rsidRDefault="005820A0" w14:paraId="08802E05" w14:textId="77777777">
      <w:pPr>
        <w:widowControl w:val="0"/>
        <w:numPr>
          <w:ilvl w:val="0"/>
          <w:numId w:val="23"/>
        </w:numPr>
        <w:overflowPunct w:val="0"/>
        <w:autoSpaceDE w:val="0"/>
        <w:autoSpaceDN w:val="0"/>
        <w:adjustRightInd w:val="0"/>
        <w:ind w:left="284" w:hanging="284"/>
        <w:textAlignment w:val="baseline"/>
      </w:pPr>
      <w:r>
        <w:t xml:space="preserve">Vi anser också att oönskad ensamhet bör inkluderas som en dimension i det framtida initiativet ”EU:s </w:t>
      </w:r>
      <w:proofErr w:type="spellStart"/>
      <w:r>
        <w:t>ungdomstest</w:t>
      </w:r>
      <w:proofErr w:type="spellEnd"/>
      <w:r>
        <w:t>”.</w:t>
      </w:r>
    </w:p>
    <w:p w:rsidRPr="00393DF5" w:rsidR="005820A0" w:rsidP="00BE1F8F" w:rsidRDefault="005820A0" w14:paraId="38721F1A" w14:textId="77777777">
      <w:pPr>
        <w:widowControl w:val="0"/>
        <w:numPr>
          <w:ilvl w:val="0"/>
          <w:numId w:val="23"/>
        </w:numPr>
        <w:overflowPunct w:val="0"/>
        <w:autoSpaceDE w:val="0"/>
        <w:autoSpaceDN w:val="0"/>
        <w:adjustRightInd w:val="0"/>
        <w:ind w:left="284" w:hanging="284"/>
        <w:textAlignment w:val="baseline"/>
      </w:pPr>
      <w:r>
        <w:t>Vi uppmuntrar Europeiska regionkommittén att delta i den föreslagna strategin.</w:t>
      </w:r>
    </w:p>
    <w:p w:rsidRPr="00AD372D" w:rsidR="005820A0" w:rsidP="00BE1F8F" w:rsidRDefault="005820A0" w14:paraId="0D200582"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7512"/>
      </w:tblGrid>
      <w:tr w:rsidRPr="00AD372D" w:rsidR="005820A0" w:rsidTr="00BE1F8F" w14:paraId="7592C7BE" w14:textId="77777777">
        <w:tc>
          <w:tcPr>
            <w:tcW w:w="1668" w:type="dxa"/>
          </w:tcPr>
          <w:p w:rsidRPr="00AD372D" w:rsidR="005820A0" w:rsidP="00BE1F8F" w:rsidRDefault="005820A0" w14:paraId="208016A2" w14:textId="1F0D0448">
            <w:pPr>
              <w:rPr>
                <w:i/>
              </w:rPr>
            </w:pPr>
            <w:r w:rsidRPr="00AD372D">
              <w:rPr>
                <w:b/>
                <w:i/>
              </w:rPr>
              <w:t>Kontaktperson</w:t>
            </w:r>
            <w:r w:rsidRPr="00AD372D" w:rsidR="00AD372D">
              <w:rPr>
                <w:b/>
                <w:i/>
              </w:rPr>
              <w:t>:</w:t>
            </w:r>
          </w:p>
        </w:tc>
        <w:tc>
          <w:tcPr>
            <w:tcW w:w="7512" w:type="dxa"/>
          </w:tcPr>
          <w:p w:rsidRPr="00AD372D" w:rsidR="005820A0" w:rsidP="00BE1F8F" w:rsidRDefault="005820A0" w14:paraId="6CF1067D" w14:textId="712D966F">
            <w:pPr>
              <w:rPr>
                <w:i/>
              </w:rPr>
            </w:pPr>
            <w:r w:rsidRPr="00AD372D">
              <w:rPr>
                <w:i/>
              </w:rPr>
              <w:t xml:space="preserve">Valeria </w:t>
            </w:r>
            <w:proofErr w:type="spellStart"/>
            <w:r w:rsidRPr="00AD372D">
              <w:rPr>
                <w:i/>
              </w:rPr>
              <w:t>Atzori</w:t>
            </w:r>
            <w:proofErr w:type="spellEnd"/>
          </w:p>
        </w:tc>
      </w:tr>
      <w:tr w:rsidRPr="00AD372D" w:rsidR="005820A0" w:rsidTr="00BE1F8F" w14:paraId="6C8121C6" w14:textId="77777777">
        <w:tc>
          <w:tcPr>
            <w:tcW w:w="1668" w:type="dxa"/>
          </w:tcPr>
          <w:p w:rsidRPr="00AD372D" w:rsidR="005820A0" w:rsidP="00BE1F8F" w:rsidRDefault="005820A0" w14:paraId="1B05B83D" w14:textId="516A038A">
            <w:pPr>
              <w:rPr>
                <w:i/>
              </w:rPr>
            </w:pPr>
            <w:r w:rsidRPr="00AD372D">
              <w:rPr>
                <w:i/>
              </w:rPr>
              <w:t>Tfn</w:t>
            </w:r>
            <w:r w:rsidRPr="00AD372D" w:rsidR="00AD372D">
              <w:rPr>
                <w:i/>
              </w:rPr>
              <w:t>:</w:t>
            </w:r>
          </w:p>
        </w:tc>
        <w:tc>
          <w:tcPr>
            <w:tcW w:w="7512" w:type="dxa"/>
          </w:tcPr>
          <w:p w:rsidRPr="00AD372D" w:rsidR="005820A0" w:rsidP="00BE1F8F" w:rsidRDefault="005820A0" w14:paraId="4579CB82" w14:textId="77777777">
            <w:pPr>
              <w:rPr>
                <w:i/>
              </w:rPr>
            </w:pPr>
            <w:r w:rsidRPr="00AD372D">
              <w:rPr>
                <w:i/>
              </w:rPr>
              <w:t>+32 25468774</w:t>
            </w:r>
          </w:p>
        </w:tc>
      </w:tr>
      <w:tr w:rsidRPr="00AD372D" w:rsidR="005820A0" w:rsidTr="00BE1F8F" w14:paraId="7DF31CE8" w14:textId="77777777">
        <w:trPr>
          <w:trHeight w:val="285"/>
        </w:trPr>
        <w:tc>
          <w:tcPr>
            <w:tcW w:w="1668" w:type="dxa"/>
          </w:tcPr>
          <w:p w:rsidRPr="00AD372D" w:rsidR="005820A0" w:rsidP="00BE1F8F" w:rsidRDefault="005820A0" w14:paraId="30F9AA2F" w14:textId="7B8A8D0D">
            <w:pPr>
              <w:rPr>
                <w:i/>
              </w:rPr>
            </w:pPr>
            <w:r w:rsidRPr="00AD372D">
              <w:rPr>
                <w:i/>
              </w:rPr>
              <w:t>E-post:</w:t>
            </w:r>
          </w:p>
        </w:tc>
        <w:tc>
          <w:tcPr>
            <w:tcW w:w="7512" w:type="dxa"/>
          </w:tcPr>
          <w:p w:rsidRPr="00AD372D" w:rsidR="005820A0" w:rsidP="00BE1F8F" w:rsidRDefault="008B5D7D" w14:paraId="75028D49" w14:textId="77777777">
            <w:pPr>
              <w:rPr>
                <w:i/>
                <w:iCs/>
              </w:rPr>
            </w:pPr>
            <w:hyperlink w:history="1" r:id="rId30">
              <w:r w:rsidRPr="00AD372D" w:rsidR="00DE572D">
                <w:rPr>
                  <w:rStyle w:val="Hyperlink"/>
                  <w:i/>
                </w:rPr>
                <w:t>Valeria.Atzori@eesc.europa.eu</w:t>
              </w:r>
            </w:hyperlink>
          </w:p>
        </w:tc>
      </w:tr>
    </w:tbl>
    <w:p w:rsidR="005820A0" w:rsidP="00BE1F8F" w:rsidRDefault="005820A0" w14:paraId="1C8B6452" w14:textId="77777777">
      <w:pPr>
        <w:jc w:val="left"/>
      </w:pPr>
    </w:p>
    <w:p w:rsidR="005820A0" w:rsidP="00BE1F8F" w:rsidRDefault="005820A0" w14:paraId="18575FDC" w14:textId="77777777">
      <w:pPr>
        <w:jc w:val="left"/>
      </w:pPr>
      <w:r>
        <w:br w:type="page"/>
      </w:r>
    </w:p>
    <w:p w:rsidRPr="00BE1F8F" w:rsidR="006D1DFA" w:rsidP="00BE1F8F" w:rsidRDefault="008B5D7D" w14:paraId="4A9CF9A9" w14:textId="0D522BB4">
      <w:pPr>
        <w:widowControl w:val="0"/>
        <w:numPr>
          <w:ilvl w:val="0"/>
          <w:numId w:val="3"/>
        </w:numPr>
        <w:overflowPunct w:val="0"/>
        <w:autoSpaceDE w:val="0"/>
        <w:autoSpaceDN w:val="0"/>
        <w:adjustRightInd w:val="0"/>
        <w:ind w:left="567" w:hanging="567"/>
        <w:textAlignment w:val="baseline"/>
      </w:pPr>
      <w:hyperlink w:history="1" r:id="rId31">
        <w:r w:rsidR="00DE572D">
          <w:rPr>
            <w:b/>
            <w:i/>
            <w:color w:val="0000FF"/>
            <w:sz w:val="28"/>
            <w:u w:val="single"/>
          </w:rPr>
          <w:t>Våld mot kvinnor som en människorättsfråga: lägesrapport om de åtgärder som vidtagits inom EU</w:t>
        </w:r>
      </w:hyperlink>
    </w:p>
    <w:p w:rsidRPr="006D1DFA" w:rsidR="006D1DFA" w:rsidP="00BE1F8F" w:rsidRDefault="006D1DFA" w14:paraId="0322A41C" w14:textId="77777777">
      <w:pPr>
        <w:tabs>
          <w:tab w:val="center" w:pos="284"/>
        </w:tabs>
        <w:overflowPunct w:val="0"/>
        <w:autoSpaceDE w:val="0"/>
        <w:autoSpaceDN w:val="0"/>
        <w:adjustRightInd w:val="0"/>
        <w:ind w:left="567" w:hanging="567"/>
        <w:textAlignment w:val="baseline"/>
        <w:rPr>
          <w:sz w:val="16"/>
          <w:szCs w:val="16"/>
          <w:lang w:val="en-GB"/>
        </w:rPr>
      </w:pPr>
    </w:p>
    <w:tbl>
      <w:tblPr>
        <w:tblW w:w="9322" w:type="dxa"/>
        <w:tblLook w:val="04A0" w:firstRow="1" w:lastRow="0" w:firstColumn="1" w:lastColumn="0" w:noHBand="0" w:noVBand="1"/>
      </w:tblPr>
      <w:tblGrid>
        <w:gridCol w:w="2074"/>
        <w:gridCol w:w="7248"/>
      </w:tblGrid>
      <w:tr w:rsidRPr="00BA71AC" w:rsidR="006D1DFA" w:rsidTr="00BE1F8F" w14:paraId="4E8132D8" w14:textId="77777777">
        <w:tc>
          <w:tcPr>
            <w:tcW w:w="1834" w:type="dxa"/>
          </w:tcPr>
          <w:p w:rsidRPr="006D1DFA" w:rsidR="006D1DFA" w:rsidP="00BE1F8F" w:rsidRDefault="006D1DFA" w14:paraId="62FE863C" w14:textId="77777777">
            <w:pPr>
              <w:tabs>
                <w:tab w:val="center" w:pos="284"/>
              </w:tabs>
              <w:overflowPunct w:val="0"/>
              <w:autoSpaceDE w:val="0"/>
              <w:autoSpaceDN w:val="0"/>
              <w:adjustRightInd w:val="0"/>
              <w:ind w:left="567" w:hanging="567"/>
              <w:textAlignment w:val="baseline"/>
              <w:rPr>
                <w:b/>
              </w:rPr>
            </w:pPr>
            <w:r>
              <w:rPr>
                <w:b/>
              </w:rPr>
              <w:t>Föredragande:</w:t>
            </w:r>
          </w:p>
        </w:tc>
        <w:tc>
          <w:tcPr>
            <w:tcW w:w="7488" w:type="dxa"/>
          </w:tcPr>
          <w:p w:rsidRPr="006D1DFA" w:rsidR="006D1DFA" w:rsidP="00BE1F8F" w:rsidRDefault="006D1DFA" w14:paraId="59709140" w14:textId="77777777">
            <w:pPr>
              <w:overflowPunct w:val="0"/>
              <w:autoSpaceDE w:val="0"/>
              <w:autoSpaceDN w:val="0"/>
              <w:adjustRightInd w:val="0"/>
              <w:textAlignment w:val="baseline"/>
            </w:pPr>
            <w:r>
              <w:t>José Antonio Moreno </w:t>
            </w:r>
            <w:proofErr w:type="spellStart"/>
            <w:r>
              <w:t>Díaz</w:t>
            </w:r>
            <w:proofErr w:type="spellEnd"/>
            <w:r>
              <w:t xml:space="preserve"> (Arbetstagargruppen – ES)</w:t>
            </w:r>
          </w:p>
        </w:tc>
      </w:tr>
      <w:tr w:rsidRPr="006D1DFA" w:rsidR="006D1DFA" w:rsidTr="00BE1F8F" w14:paraId="30BC9238" w14:textId="77777777">
        <w:tc>
          <w:tcPr>
            <w:tcW w:w="1834" w:type="dxa"/>
          </w:tcPr>
          <w:p w:rsidRPr="006D1DFA" w:rsidR="006D1DFA" w:rsidP="00BE1F8F" w:rsidRDefault="006D1DFA" w14:paraId="4D886634" w14:textId="77777777">
            <w:pPr>
              <w:tabs>
                <w:tab w:val="center" w:pos="284"/>
              </w:tabs>
              <w:overflowPunct w:val="0"/>
              <w:autoSpaceDE w:val="0"/>
              <w:autoSpaceDN w:val="0"/>
              <w:adjustRightInd w:val="0"/>
              <w:ind w:left="567" w:hanging="567"/>
              <w:textAlignment w:val="baseline"/>
              <w:rPr>
                <w:b/>
              </w:rPr>
            </w:pPr>
            <w:r>
              <w:rPr>
                <w:b/>
              </w:rPr>
              <w:t>Medföredragande</w:t>
            </w:r>
          </w:p>
        </w:tc>
        <w:tc>
          <w:tcPr>
            <w:tcW w:w="7488" w:type="dxa"/>
          </w:tcPr>
          <w:p w:rsidRPr="006D1DFA" w:rsidR="006D1DFA" w:rsidP="00BE1F8F" w:rsidRDefault="006D1DFA" w14:paraId="04C5BBA6" w14:textId="24635529">
            <w:pPr>
              <w:overflowPunct w:val="0"/>
              <w:autoSpaceDE w:val="0"/>
              <w:autoSpaceDN w:val="0"/>
              <w:adjustRightInd w:val="0"/>
              <w:textAlignment w:val="baseline"/>
            </w:pPr>
            <w:proofErr w:type="spellStart"/>
            <w:r>
              <w:t>Dovilė</w:t>
            </w:r>
            <w:proofErr w:type="spellEnd"/>
            <w:r>
              <w:t xml:space="preserve"> </w:t>
            </w:r>
            <w:proofErr w:type="spellStart"/>
            <w:r>
              <w:t>Juodkaitė</w:t>
            </w:r>
            <w:proofErr w:type="spellEnd"/>
            <w:r>
              <w:t xml:space="preserve"> (Gruppen för civilsamhällesorganisationer – LT)</w:t>
            </w:r>
          </w:p>
        </w:tc>
      </w:tr>
      <w:tr w:rsidRPr="006D1DFA" w:rsidR="006D1DFA" w:rsidTr="00BE1F8F" w14:paraId="51A5C160" w14:textId="77777777">
        <w:tc>
          <w:tcPr>
            <w:tcW w:w="1834" w:type="dxa"/>
          </w:tcPr>
          <w:p w:rsidRPr="006D1DFA" w:rsidR="006D1DFA" w:rsidP="00BE1F8F" w:rsidRDefault="006D1DFA" w14:paraId="1546DA25" w14:textId="112DF30C">
            <w:pPr>
              <w:tabs>
                <w:tab w:val="center" w:pos="284"/>
              </w:tabs>
              <w:overflowPunct w:val="0"/>
              <w:autoSpaceDE w:val="0"/>
              <w:autoSpaceDN w:val="0"/>
              <w:adjustRightInd w:val="0"/>
              <w:ind w:left="567" w:hanging="567"/>
              <w:textAlignment w:val="baseline"/>
              <w:rPr>
                <w:b/>
              </w:rPr>
            </w:pPr>
            <w:r>
              <w:rPr>
                <w:b/>
              </w:rPr>
              <w:t>Referensdokument:</w:t>
            </w:r>
          </w:p>
        </w:tc>
        <w:tc>
          <w:tcPr>
            <w:tcW w:w="7488" w:type="dxa"/>
          </w:tcPr>
          <w:p w:rsidRPr="00C43D3E" w:rsidR="00C87D91" w:rsidP="00BE1F8F" w:rsidRDefault="00C87D91" w14:paraId="4F80F6D2" w14:textId="5951F9F7">
            <w:pPr>
              <w:tabs>
                <w:tab w:val="center" w:pos="284"/>
              </w:tabs>
              <w:overflowPunct w:val="0"/>
              <w:autoSpaceDE w:val="0"/>
              <w:autoSpaceDN w:val="0"/>
              <w:adjustRightInd w:val="0"/>
              <w:ind w:left="567" w:hanging="567"/>
              <w:textAlignment w:val="baseline"/>
            </w:pPr>
            <w:r>
              <w:t>Yttrande på eget initiativ</w:t>
            </w:r>
          </w:p>
          <w:p w:rsidRPr="00C43D3E" w:rsidR="006D1DFA" w:rsidP="00BE1F8F" w:rsidRDefault="006D1DFA" w14:paraId="5A2B7EA1" w14:textId="6B30F056">
            <w:pPr>
              <w:tabs>
                <w:tab w:val="center" w:pos="284"/>
              </w:tabs>
              <w:overflowPunct w:val="0"/>
              <w:autoSpaceDE w:val="0"/>
              <w:autoSpaceDN w:val="0"/>
              <w:adjustRightInd w:val="0"/>
              <w:ind w:left="567" w:hanging="567"/>
              <w:textAlignment w:val="baseline"/>
            </w:pPr>
            <w:r>
              <w:t>EESC-2024-01831-00-00-AC</w:t>
            </w:r>
          </w:p>
        </w:tc>
      </w:tr>
    </w:tbl>
    <w:p w:rsidRPr="00BE1F8F" w:rsidR="0083181F" w:rsidP="00BE1F8F" w:rsidRDefault="0083181F" w14:paraId="2171E13E"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6D1DFA" w:rsidR="006D1DFA" w:rsidP="00BE1F8F" w:rsidRDefault="006D1DFA" w14:paraId="5EF86660" w14:textId="2D834EC7">
      <w:pPr>
        <w:keepNext/>
        <w:keepLines/>
        <w:tabs>
          <w:tab w:val="center" w:pos="284"/>
        </w:tabs>
        <w:overflowPunct w:val="0"/>
        <w:autoSpaceDE w:val="0"/>
        <w:autoSpaceDN w:val="0"/>
        <w:adjustRightInd w:val="0"/>
        <w:ind w:left="266" w:hanging="266"/>
        <w:textAlignment w:val="baseline"/>
        <w:rPr>
          <w:b/>
        </w:rPr>
      </w:pPr>
      <w:r>
        <w:rPr>
          <w:b/>
        </w:rPr>
        <w:t>Huvudpunkter</w:t>
      </w:r>
    </w:p>
    <w:p w:rsidRPr="00BE1F8F" w:rsidR="006D1DFA" w:rsidP="00BE1F8F" w:rsidRDefault="006D1DFA" w14:paraId="7A7C5D4B" w14:textId="77777777">
      <w:pPr>
        <w:overflowPunct w:val="0"/>
        <w:autoSpaceDE w:val="0"/>
        <w:autoSpaceDN w:val="0"/>
        <w:adjustRightInd w:val="0"/>
        <w:textAlignment w:val="baseline"/>
        <w:rPr>
          <w:sz w:val="16"/>
          <w:szCs w:val="16"/>
          <w:lang w:val="en-GB"/>
        </w:rPr>
      </w:pPr>
    </w:p>
    <w:p w:rsidR="006D1DFA" w:rsidP="00BE1F8F" w:rsidRDefault="006D1DFA" w14:paraId="10140015" w14:textId="77777777">
      <w:pPr>
        <w:overflowPunct w:val="0"/>
        <w:autoSpaceDE w:val="0"/>
        <w:autoSpaceDN w:val="0"/>
        <w:adjustRightInd w:val="0"/>
        <w:textAlignment w:val="baseline"/>
        <w:rPr>
          <w:szCs w:val="20"/>
        </w:rPr>
      </w:pPr>
      <w:r>
        <w:t>Europeiska ekonomiska och sociala kommitténs (EESK) ståndpunkt:</w:t>
      </w:r>
    </w:p>
    <w:p w:rsidRPr="006D1DFA" w:rsidR="006D1DFA" w:rsidP="00BE1F8F" w:rsidRDefault="006D1DFA" w14:paraId="6A53E697" w14:textId="51708CDA">
      <w:pPr>
        <w:numPr>
          <w:ilvl w:val="0"/>
          <w:numId w:val="24"/>
        </w:numPr>
        <w:overflowPunct w:val="0"/>
        <w:autoSpaceDE w:val="0"/>
        <w:autoSpaceDN w:val="0"/>
        <w:adjustRightInd w:val="0"/>
        <w:ind w:left="284" w:hanging="284"/>
        <w:contextualSpacing/>
        <w:textAlignment w:val="baseline"/>
      </w:pPr>
      <w:r>
        <w:t>Våld mot kvinnor och flickor är en kränkning av de mänskliga rättigheterna och en av de mest ihållande formerna av könsdiskriminering. Det är mycket viktigt att ratificera och genomföra Europarådets konvention om förebyggande och bekämpning av våld mot kvinnor och av våld i</w:t>
      </w:r>
      <w:r w:rsidR="00FE0350">
        <w:t> </w:t>
      </w:r>
      <w:r>
        <w:t>hemmet (Istanbulkonventionen) och Internationella arbetsorganisationens konvention nr 190 om våld och trakasserier (särskilt dess rekommendation 206). Båda dessa konventioner måste lyftas fram och genomföras i alla medlemsstater och av EU självt.</w:t>
      </w:r>
    </w:p>
    <w:p w:rsidRPr="006D1DFA" w:rsidR="006D1DFA" w:rsidP="00BE1F8F" w:rsidRDefault="006D1DFA" w14:paraId="2FC21B34" w14:textId="77777777">
      <w:pPr>
        <w:numPr>
          <w:ilvl w:val="0"/>
          <w:numId w:val="24"/>
        </w:numPr>
        <w:overflowPunct w:val="0"/>
        <w:autoSpaceDE w:val="0"/>
        <w:autoSpaceDN w:val="0"/>
        <w:adjustRightInd w:val="0"/>
        <w:ind w:left="284" w:hanging="284"/>
        <w:contextualSpacing/>
        <w:textAlignment w:val="baseline"/>
      </w:pPr>
      <w:r>
        <w:t>Direktiv (EU) 2024/1385 om bekämpning av våld mot kvinnor och våld i nära relationer bör inbegripa alla former av våld mot kvinnor, såsom institutionellt våld, prostitution, kommersiell pornografi och pornografi utan samtycke, reproduktiv exploatering, indirekt våld, fenomenet att försätta någon i vanmakt genom droger och trakasserier i offentlig miljö samt sexuella och könsrelaterade trakasserier och tvångssterilisering av kvinnor med funktionsnedsättning.</w:t>
      </w:r>
    </w:p>
    <w:p w:rsidRPr="006D1DFA" w:rsidR="006D1DFA" w:rsidP="00BE1F8F" w:rsidRDefault="006D1DFA" w14:paraId="449A6664" w14:textId="560BE65A">
      <w:pPr>
        <w:numPr>
          <w:ilvl w:val="0"/>
          <w:numId w:val="24"/>
        </w:numPr>
        <w:overflowPunct w:val="0"/>
        <w:autoSpaceDE w:val="0"/>
        <w:autoSpaceDN w:val="0"/>
        <w:adjustRightInd w:val="0"/>
        <w:ind w:left="284" w:hanging="284"/>
        <w:contextualSpacing/>
        <w:textAlignment w:val="baseline"/>
      </w:pPr>
      <w:r>
        <w:t>Sexuellt våld och våldtäkt bör inkluderas i direktivet som en form av våld och kriminaliseras när samtycke inte getts. Det behövs en definition av ”samtycke” i samband med sexuellt våld. Våld mot kvinnor och flickor, inbegripet våldtäkt, bör ingå i de områden av brottslighet med ett gränsöverskridande inslag som anges i artikel 83.1 i fördraget om Europeiska unionens funktions</w:t>
      </w:r>
      <w:r w:rsidR="00FE0350">
        <w:softHyphen/>
      </w:r>
      <w:r>
        <w:t>sätt (EUF-fördraget).</w:t>
      </w:r>
    </w:p>
    <w:p w:rsidRPr="006D1DFA" w:rsidR="006D1DFA" w:rsidP="00BE1F8F" w:rsidRDefault="006D1DFA" w14:paraId="7256F59F" w14:textId="77777777">
      <w:pPr>
        <w:numPr>
          <w:ilvl w:val="0"/>
          <w:numId w:val="24"/>
        </w:numPr>
        <w:overflowPunct w:val="0"/>
        <w:autoSpaceDE w:val="0"/>
        <w:autoSpaceDN w:val="0"/>
        <w:adjustRightInd w:val="0"/>
        <w:ind w:left="284" w:hanging="284"/>
        <w:contextualSpacing/>
        <w:textAlignment w:val="baseline"/>
      </w:pPr>
      <w:r>
        <w:t xml:space="preserve">Vi ser med oro på att fysiskt, psykiskt och sexuellt våld som är en del av prostitution inte har inkluderats som en form av våld mot kvinnor. Detsamma gäller begränsningarna av ett fritt och säkert frivilligt avbrytande av en graviditet. </w:t>
      </w:r>
    </w:p>
    <w:p w:rsidRPr="006D1DFA" w:rsidR="006D1DFA" w:rsidP="00BE1F8F" w:rsidRDefault="006D1DFA" w14:paraId="0D19D92A" w14:textId="77777777">
      <w:pPr>
        <w:numPr>
          <w:ilvl w:val="0"/>
          <w:numId w:val="24"/>
        </w:numPr>
        <w:overflowPunct w:val="0"/>
        <w:autoSpaceDE w:val="0"/>
        <w:autoSpaceDN w:val="0"/>
        <w:adjustRightInd w:val="0"/>
        <w:ind w:left="284" w:hanging="284"/>
        <w:contextualSpacing/>
        <w:textAlignment w:val="baseline"/>
      </w:pPr>
      <w:r>
        <w:t xml:space="preserve">Alla former av våld mot kvinnor är ett stort problem för såväl folkhälsan som den kliniska hälsan. Kommittén vill framför allt lyfta fram den flerfaldiga och </w:t>
      </w:r>
      <w:proofErr w:type="spellStart"/>
      <w:r>
        <w:t>intersektionella</w:t>
      </w:r>
      <w:proofErr w:type="spellEnd"/>
      <w:r>
        <w:t xml:space="preserve"> diskriminering som kvinnor med funktionsnedsättning utsätts för, framför allt kvinnor som lider av psykisk ohälsa och kvinnor med psykosociala problem och/eller intellektuell funktionsnedsättning. Dessa former av våld bör betraktas som en folkhälsofråga med långsiktiga konsekvenser. Kommittén efterlyser statistik som delas upp med avseende på funktionsnedsättning.</w:t>
      </w:r>
    </w:p>
    <w:p w:rsidRPr="006D1DFA" w:rsidR="006D1DFA" w:rsidP="00BE1F8F" w:rsidRDefault="006D1DFA" w14:paraId="33ACD23C" w14:textId="3896AD60">
      <w:pPr>
        <w:numPr>
          <w:ilvl w:val="0"/>
          <w:numId w:val="24"/>
        </w:numPr>
        <w:overflowPunct w:val="0"/>
        <w:autoSpaceDE w:val="0"/>
        <w:autoSpaceDN w:val="0"/>
        <w:adjustRightInd w:val="0"/>
        <w:ind w:left="284" w:hanging="284"/>
        <w:contextualSpacing/>
        <w:textAlignment w:val="baseline"/>
      </w:pPr>
      <w:r>
        <w:t>Vi är djupt oroade över de uppfattningar som förnekar våld mot kvinnor som en särskild form av våld på grund av att de är kvinnor. Detta utgör ett angrepp mot värdena och principerna i artikel 2 i</w:t>
      </w:r>
      <w:r w:rsidR="00FE0350">
        <w:t> </w:t>
      </w:r>
      <w:r>
        <w:t>EUF-fördraget. Undervisningen, även sexualundervisningen, spelar en mycket viktig roll när det gäller att forma könsroller och stereotyper. Utbildningsväsendet, organisationerna i det civila samhället och arbetsmarknadens parter bör inkluderas i det institutionella samarbetet för att förebygga och bekämpa könsrelaterat våld.</w:t>
      </w:r>
    </w:p>
    <w:p w:rsidRPr="00C43D3E" w:rsidR="006D1DFA" w:rsidP="00BE1F8F" w:rsidRDefault="006D1DFA" w14:paraId="080A278F" w14:textId="77777777">
      <w:pPr>
        <w:numPr>
          <w:ilvl w:val="0"/>
          <w:numId w:val="24"/>
        </w:numPr>
        <w:overflowPunct w:val="0"/>
        <w:autoSpaceDE w:val="0"/>
        <w:autoSpaceDN w:val="0"/>
        <w:adjustRightInd w:val="0"/>
        <w:ind w:left="284" w:hanging="284"/>
        <w:contextualSpacing/>
        <w:textAlignment w:val="baseline"/>
        <w:rPr>
          <w:rFonts w:ascii="Calibri" w:hAnsi="Calibri"/>
        </w:rPr>
      </w:pPr>
      <w:r>
        <w:t>Särskilda åtgärder på områdena social dialog, kollektivförhandlingar och nödvändiga förhandlingar med arbetsmarknadens parter bör inkluderas i direktivet för att öka sysselsättningen bland och främja anställbarheten för personer som fallit offer för könsrelaterat våld.</w:t>
      </w:r>
    </w:p>
    <w:p w:rsidRPr="00BE1F8F" w:rsidR="0083181F" w:rsidP="00BE1F8F" w:rsidRDefault="0083181F" w14:paraId="1D0159F4" w14:textId="77777777">
      <w:pPr>
        <w:overflowPunct w:val="0"/>
        <w:autoSpaceDE w:val="0"/>
        <w:autoSpaceDN w:val="0"/>
        <w:adjustRightInd w:val="0"/>
        <w:ind w:left="360"/>
        <w:contextualSpacing/>
        <w:textAlignment w:val="baseline"/>
        <w:rPr>
          <w:rFonts w:ascii="Calibri" w:hAnsi="Calibri"/>
          <w:sz w:val="16"/>
          <w:szCs w:val="16"/>
          <w:lang w:val="en-GB" w:eastAsia="zh-CN"/>
        </w:rPr>
      </w:pPr>
    </w:p>
    <w:tbl>
      <w:tblPr>
        <w:tblW w:w="5000" w:type="pct"/>
        <w:tblLook w:val="04A0" w:firstRow="1" w:lastRow="0" w:firstColumn="1" w:lastColumn="0" w:noHBand="0" w:noVBand="1"/>
      </w:tblPr>
      <w:tblGrid>
        <w:gridCol w:w="1668"/>
        <w:gridCol w:w="7619"/>
      </w:tblGrid>
      <w:tr w:rsidRPr="006D1DFA" w:rsidR="006D1DFA" w:rsidTr="00BE1F8F" w14:paraId="4A8CFBCD" w14:textId="77777777">
        <w:trPr>
          <w:trHeight w:val="60"/>
        </w:trPr>
        <w:tc>
          <w:tcPr>
            <w:tcW w:w="898" w:type="pct"/>
            <w:hideMark/>
          </w:tcPr>
          <w:p w:rsidRPr="006D1DFA" w:rsidR="006D1DFA" w:rsidP="00BE1F8F" w:rsidRDefault="006D1DFA" w14:paraId="089C51AC" w14:textId="77777777">
            <w:pPr>
              <w:overflowPunct w:val="0"/>
              <w:autoSpaceDE w:val="0"/>
              <w:autoSpaceDN w:val="0"/>
              <w:adjustRightInd w:val="0"/>
              <w:textAlignment w:val="baseline"/>
              <w:rPr>
                <w:i/>
              </w:rPr>
            </w:pPr>
            <w:r>
              <w:rPr>
                <w:b/>
                <w:i/>
              </w:rPr>
              <w:lastRenderedPageBreak/>
              <w:t>Kontaktperson:</w:t>
            </w:r>
          </w:p>
        </w:tc>
        <w:tc>
          <w:tcPr>
            <w:tcW w:w="4102" w:type="pct"/>
            <w:hideMark/>
          </w:tcPr>
          <w:p w:rsidRPr="006D1DFA" w:rsidR="006D1DFA" w:rsidP="00BE1F8F" w:rsidRDefault="006D1DFA" w14:paraId="6FF5FA37" w14:textId="11C6C549">
            <w:pPr>
              <w:overflowPunct w:val="0"/>
              <w:autoSpaceDE w:val="0"/>
              <w:autoSpaceDN w:val="0"/>
              <w:adjustRightInd w:val="0"/>
              <w:textAlignment w:val="baseline"/>
              <w:rPr>
                <w:i/>
                <w:iCs/>
              </w:rPr>
            </w:pPr>
            <w:r>
              <w:rPr>
                <w:i/>
              </w:rPr>
              <w:t xml:space="preserve">Gabriela </w:t>
            </w:r>
            <w:proofErr w:type="spellStart"/>
            <w:r>
              <w:rPr>
                <w:i/>
              </w:rPr>
              <w:t>Grasu</w:t>
            </w:r>
            <w:proofErr w:type="spellEnd"/>
          </w:p>
        </w:tc>
      </w:tr>
      <w:tr w:rsidRPr="006D1DFA" w:rsidR="006D1DFA" w:rsidTr="00BE1F8F" w14:paraId="77817741" w14:textId="77777777">
        <w:tc>
          <w:tcPr>
            <w:tcW w:w="898" w:type="pct"/>
            <w:hideMark/>
          </w:tcPr>
          <w:p w:rsidRPr="006D1DFA" w:rsidR="006D1DFA" w:rsidP="00BE1F8F" w:rsidRDefault="006D1DFA" w14:paraId="1DA4D000" w14:textId="77777777">
            <w:pPr>
              <w:overflowPunct w:val="0"/>
              <w:autoSpaceDE w:val="0"/>
              <w:autoSpaceDN w:val="0"/>
              <w:adjustRightInd w:val="0"/>
              <w:textAlignment w:val="baseline"/>
              <w:rPr>
                <w:i/>
              </w:rPr>
            </w:pPr>
            <w:r>
              <w:rPr>
                <w:i/>
              </w:rPr>
              <w:t>Tfn:</w:t>
            </w:r>
          </w:p>
        </w:tc>
        <w:tc>
          <w:tcPr>
            <w:tcW w:w="4102" w:type="pct"/>
            <w:hideMark/>
          </w:tcPr>
          <w:p w:rsidRPr="006D1DFA" w:rsidR="006D1DFA" w:rsidP="00BE1F8F" w:rsidRDefault="006D1DFA" w14:paraId="56CC5263" w14:textId="77777777">
            <w:pPr>
              <w:overflowPunct w:val="0"/>
              <w:autoSpaceDE w:val="0"/>
              <w:autoSpaceDN w:val="0"/>
              <w:adjustRightInd w:val="0"/>
              <w:textAlignment w:val="baseline"/>
              <w:rPr>
                <w:i/>
              </w:rPr>
            </w:pPr>
            <w:r>
              <w:rPr>
                <w:i/>
              </w:rPr>
              <w:t>+32 25469162</w:t>
            </w:r>
          </w:p>
        </w:tc>
      </w:tr>
      <w:tr w:rsidRPr="006D1DFA" w:rsidR="006D1DFA" w:rsidTr="00BE1F8F" w14:paraId="6F84E5BA" w14:textId="77777777">
        <w:tc>
          <w:tcPr>
            <w:tcW w:w="898" w:type="pct"/>
            <w:hideMark/>
          </w:tcPr>
          <w:p w:rsidRPr="006D1DFA" w:rsidR="006D1DFA" w:rsidP="00BE1F8F" w:rsidRDefault="006D1DFA" w14:paraId="3CC8E9E8" w14:textId="77777777">
            <w:pPr>
              <w:overflowPunct w:val="0"/>
              <w:autoSpaceDE w:val="0"/>
              <w:autoSpaceDN w:val="0"/>
              <w:adjustRightInd w:val="0"/>
              <w:textAlignment w:val="baseline"/>
              <w:rPr>
                <w:i/>
              </w:rPr>
            </w:pPr>
            <w:r>
              <w:rPr>
                <w:i/>
              </w:rPr>
              <w:t>E-post:</w:t>
            </w:r>
          </w:p>
        </w:tc>
        <w:tc>
          <w:tcPr>
            <w:tcW w:w="4102" w:type="pct"/>
            <w:hideMark/>
          </w:tcPr>
          <w:p w:rsidRPr="006D1DFA" w:rsidR="006D1DFA" w:rsidP="00BE1F8F" w:rsidRDefault="008B5D7D" w14:paraId="02C23556" w14:textId="4AC0EB0F">
            <w:pPr>
              <w:overflowPunct w:val="0"/>
              <w:autoSpaceDE w:val="0"/>
              <w:autoSpaceDN w:val="0"/>
              <w:adjustRightInd w:val="0"/>
              <w:textAlignment w:val="baseline"/>
              <w:rPr>
                <w:i/>
              </w:rPr>
            </w:pPr>
            <w:hyperlink w:history="1" r:id="rId32">
              <w:r w:rsidR="00DE572D">
                <w:rPr>
                  <w:i/>
                  <w:color w:val="0000FF"/>
                  <w:u w:val="single"/>
                </w:rPr>
                <w:t>Grasu.Gabriela@eesc.europa.eu</w:t>
              </w:r>
            </w:hyperlink>
          </w:p>
        </w:tc>
      </w:tr>
    </w:tbl>
    <w:p w:rsidR="00E14D8E" w:rsidP="00BE1F8F" w:rsidRDefault="00E14D8E" w14:paraId="7F936985" w14:textId="77777777">
      <w:pPr>
        <w:jc w:val="left"/>
      </w:pPr>
      <w:r>
        <w:br w:type="page"/>
      </w:r>
    </w:p>
    <w:p w:rsidRPr="001826A4" w:rsidR="00910C90" w:rsidP="009B596B" w:rsidRDefault="008B5D7D" w14:paraId="6D8670E5" w14:textId="28540015">
      <w:pPr>
        <w:widowControl w:val="0"/>
        <w:numPr>
          <w:ilvl w:val="0"/>
          <w:numId w:val="10"/>
        </w:numPr>
        <w:overflowPunct w:val="0"/>
        <w:autoSpaceDE w:val="0"/>
        <w:autoSpaceDN w:val="0"/>
        <w:adjustRightInd w:val="0"/>
        <w:ind w:left="567" w:hanging="567"/>
        <w:textAlignment w:val="baseline"/>
        <w:rPr>
          <w:sz w:val="24"/>
          <w:szCs w:val="24"/>
        </w:rPr>
      </w:pPr>
      <w:hyperlink w:history="1" r:id="rId33">
        <w:proofErr w:type="spellStart"/>
        <w:r w:rsidR="00DE572D">
          <w:rPr>
            <w:b/>
            <w:i/>
            <w:color w:val="0000FF"/>
            <w:sz w:val="28"/>
            <w:u w:val="single"/>
          </w:rPr>
          <w:t>EESK:s</w:t>
        </w:r>
        <w:proofErr w:type="spellEnd"/>
        <w:r w:rsidR="00DE572D">
          <w:rPr>
            <w:b/>
            <w:i/>
            <w:color w:val="0000FF"/>
            <w:sz w:val="28"/>
            <w:u w:val="single"/>
          </w:rPr>
          <w:t xml:space="preserve"> bidrag till EU:s prioriteringar vid FN:s kvinnokommission – 69:e sessionen</w:t>
        </w:r>
      </w:hyperlink>
    </w:p>
    <w:p w:rsidRPr="00910C90" w:rsidR="00910C90" w:rsidP="00BE1F8F" w:rsidRDefault="00910C90" w14:paraId="59A5F3E8"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074"/>
        <w:gridCol w:w="7213"/>
      </w:tblGrid>
      <w:tr w:rsidRPr="00910C90" w:rsidR="00910C90" w:rsidTr="00BE1F8F" w14:paraId="465F2FF7" w14:textId="77777777">
        <w:tc>
          <w:tcPr>
            <w:tcW w:w="1701" w:type="dxa"/>
          </w:tcPr>
          <w:p w:rsidRPr="00910C90" w:rsidR="00910C90" w:rsidP="00BE1F8F" w:rsidRDefault="00910C90" w14:paraId="4E8AE8B7" w14:textId="77777777">
            <w:pPr>
              <w:tabs>
                <w:tab w:val="center" w:pos="284"/>
              </w:tabs>
              <w:overflowPunct w:val="0"/>
              <w:autoSpaceDE w:val="0"/>
              <w:autoSpaceDN w:val="0"/>
              <w:adjustRightInd w:val="0"/>
              <w:ind w:left="266" w:hanging="266"/>
              <w:textAlignment w:val="baseline"/>
              <w:rPr>
                <w:b/>
              </w:rPr>
            </w:pPr>
            <w:r>
              <w:rPr>
                <w:b/>
              </w:rPr>
              <w:t>Föredragande:</w:t>
            </w:r>
          </w:p>
        </w:tc>
        <w:tc>
          <w:tcPr>
            <w:tcW w:w="7479" w:type="dxa"/>
          </w:tcPr>
          <w:p w:rsidRPr="00910C90" w:rsidR="00910C90" w:rsidP="00BE1F8F" w:rsidRDefault="00910C90" w14:paraId="420EA1BA" w14:textId="3993E2B2">
            <w:pPr>
              <w:tabs>
                <w:tab w:val="center" w:pos="284"/>
              </w:tabs>
              <w:overflowPunct w:val="0"/>
              <w:autoSpaceDE w:val="0"/>
              <w:autoSpaceDN w:val="0"/>
              <w:adjustRightInd w:val="0"/>
              <w:ind w:left="266" w:hanging="266"/>
              <w:textAlignment w:val="baseline"/>
            </w:pPr>
            <w:r>
              <w:t xml:space="preserve">Maria </w:t>
            </w:r>
            <w:proofErr w:type="spellStart"/>
            <w:r>
              <w:t>Nikolopoulou</w:t>
            </w:r>
            <w:proofErr w:type="spellEnd"/>
            <w:r>
              <w:t xml:space="preserve"> (Arbetstagargruppen – ES)</w:t>
            </w:r>
          </w:p>
        </w:tc>
      </w:tr>
      <w:tr w:rsidRPr="00910C90" w:rsidR="00910C90" w:rsidTr="00BE1F8F" w14:paraId="417FB600" w14:textId="77777777">
        <w:tc>
          <w:tcPr>
            <w:tcW w:w="1701" w:type="dxa"/>
            <w:vMerge w:val="restart"/>
          </w:tcPr>
          <w:p w:rsidRPr="00910C90" w:rsidR="00910C90" w:rsidP="00BE1F8F" w:rsidRDefault="00910C90" w14:paraId="41736237" w14:textId="3B749ABF">
            <w:pPr>
              <w:tabs>
                <w:tab w:val="center" w:pos="284"/>
              </w:tabs>
              <w:overflowPunct w:val="0"/>
              <w:autoSpaceDE w:val="0"/>
              <w:autoSpaceDN w:val="0"/>
              <w:adjustRightInd w:val="0"/>
              <w:ind w:left="266" w:hanging="266"/>
              <w:textAlignment w:val="baseline"/>
              <w:rPr>
                <w:b/>
              </w:rPr>
            </w:pPr>
            <w:r>
              <w:rPr>
                <w:b/>
              </w:rPr>
              <w:t>Referensdokument:</w:t>
            </w:r>
          </w:p>
        </w:tc>
        <w:tc>
          <w:tcPr>
            <w:tcW w:w="7479" w:type="dxa"/>
          </w:tcPr>
          <w:p w:rsidRPr="00910C90" w:rsidR="00910C90" w:rsidP="00BE1F8F" w:rsidRDefault="00910C90" w14:paraId="028B9FD7" w14:textId="77777777">
            <w:pPr>
              <w:tabs>
                <w:tab w:val="center" w:pos="284"/>
              </w:tabs>
              <w:overflowPunct w:val="0"/>
              <w:autoSpaceDE w:val="0"/>
              <w:autoSpaceDN w:val="0"/>
              <w:adjustRightInd w:val="0"/>
              <w:ind w:left="266" w:hanging="266"/>
              <w:textAlignment w:val="baseline"/>
            </w:pPr>
            <w:r>
              <w:t>Yttrande på eget initiativ</w:t>
            </w:r>
          </w:p>
        </w:tc>
      </w:tr>
      <w:tr w:rsidRPr="00910C90" w:rsidR="00910C90" w:rsidTr="00BE1F8F" w14:paraId="08D488E3" w14:textId="77777777">
        <w:tc>
          <w:tcPr>
            <w:tcW w:w="1701" w:type="dxa"/>
            <w:vMerge/>
          </w:tcPr>
          <w:p w:rsidRPr="00910C90" w:rsidR="00910C90" w:rsidP="00BE1F8F" w:rsidRDefault="00910C90" w14:paraId="5B75EF00" w14:textId="77777777">
            <w:pPr>
              <w:tabs>
                <w:tab w:val="center" w:pos="284"/>
              </w:tabs>
              <w:overflowPunct w:val="0"/>
              <w:autoSpaceDE w:val="0"/>
              <w:autoSpaceDN w:val="0"/>
              <w:adjustRightInd w:val="0"/>
              <w:ind w:left="266" w:hanging="266"/>
              <w:textAlignment w:val="baseline"/>
              <w:rPr>
                <w:b/>
                <w:lang w:val="en-GB"/>
              </w:rPr>
            </w:pPr>
          </w:p>
        </w:tc>
        <w:tc>
          <w:tcPr>
            <w:tcW w:w="7479" w:type="dxa"/>
          </w:tcPr>
          <w:p w:rsidRPr="00910C90" w:rsidR="00910C90" w:rsidP="00BE1F8F" w:rsidRDefault="00910C90" w14:paraId="565EAB0A" w14:textId="77777777">
            <w:pPr>
              <w:tabs>
                <w:tab w:val="center" w:pos="284"/>
              </w:tabs>
              <w:overflowPunct w:val="0"/>
              <w:autoSpaceDE w:val="0"/>
              <w:autoSpaceDN w:val="0"/>
              <w:adjustRightInd w:val="0"/>
              <w:ind w:left="266" w:hanging="266"/>
              <w:textAlignment w:val="baseline"/>
            </w:pPr>
            <w:r>
              <w:t>EESC-2024-03990-00-00-AC</w:t>
            </w:r>
          </w:p>
        </w:tc>
      </w:tr>
    </w:tbl>
    <w:p w:rsidRPr="00910C90" w:rsidR="00910C90" w:rsidP="00BE1F8F" w:rsidRDefault="00910C90" w14:paraId="5C940F4E" w14:textId="77777777">
      <w:pPr>
        <w:keepNext/>
        <w:keepLines/>
        <w:tabs>
          <w:tab w:val="center" w:pos="284"/>
        </w:tabs>
        <w:overflowPunct w:val="0"/>
        <w:autoSpaceDE w:val="0"/>
        <w:autoSpaceDN w:val="0"/>
        <w:adjustRightInd w:val="0"/>
        <w:ind w:left="266" w:hanging="266"/>
        <w:textAlignment w:val="baseline"/>
        <w:rPr>
          <w:b/>
          <w:lang w:val="en-GB"/>
        </w:rPr>
      </w:pPr>
    </w:p>
    <w:p w:rsidRPr="00910C90" w:rsidR="00910C90" w:rsidP="00BE1F8F" w:rsidRDefault="00910C90" w14:paraId="371C0EEF" w14:textId="4AB8EF1C">
      <w:pPr>
        <w:keepNext/>
        <w:keepLines/>
        <w:tabs>
          <w:tab w:val="center" w:pos="284"/>
        </w:tabs>
        <w:overflowPunct w:val="0"/>
        <w:autoSpaceDE w:val="0"/>
        <w:autoSpaceDN w:val="0"/>
        <w:adjustRightInd w:val="0"/>
        <w:ind w:left="266" w:hanging="266"/>
        <w:textAlignment w:val="baseline"/>
        <w:rPr>
          <w:b/>
        </w:rPr>
      </w:pPr>
      <w:r>
        <w:rPr>
          <w:b/>
        </w:rPr>
        <w:t>Huvudpunkter:</w:t>
      </w:r>
    </w:p>
    <w:p w:rsidRPr="00910C90" w:rsidR="00910C90" w:rsidP="00BE1F8F" w:rsidRDefault="00910C90" w14:paraId="4A75BA5E" w14:textId="77777777">
      <w:pPr>
        <w:keepNext/>
        <w:keepLines/>
        <w:tabs>
          <w:tab w:val="center" w:pos="284"/>
        </w:tabs>
        <w:overflowPunct w:val="0"/>
        <w:autoSpaceDE w:val="0"/>
        <w:autoSpaceDN w:val="0"/>
        <w:adjustRightInd w:val="0"/>
        <w:ind w:left="266" w:hanging="266"/>
        <w:textAlignment w:val="baseline"/>
        <w:rPr>
          <w:b/>
          <w:lang w:val="en-GB"/>
        </w:rPr>
      </w:pPr>
    </w:p>
    <w:p w:rsidR="00910C90" w:rsidP="00BE1F8F" w:rsidRDefault="00910C90" w14:paraId="217B964C" w14:textId="77777777">
      <w:pPr>
        <w:overflowPunct w:val="0"/>
        <w:autoSpaceDE w:val="0"/>
        <w:autoSpaceDN w:val="0"/>
        <w:adjustRightInd w:val="0"/>
        <w:textAlignment w:val="baseline"/>
        <w:rPr>
          <w:bCs/>
          <w:iCs/>
        </w:rPr>
      </w:pPr>
      <w:r>
        <w:t>Europeiska ekonomiska och sociala kommitténs (EESK) ståndpunkt:</w:t>
      </w:r>
    </w:p>
    <w:p w:rsidRPr="00910C90" w:rsidR="00910C90" w:rsidP="00BE1F8F" w:rsidRDefault="00910C90" w14:paraId="1D41958A" w14:textId="77777777">
      <w:pPr>
        <w:widowControl w:val="0"/>
        <w:numPr>
          <w:ilvl w:val="0"/>
          <w:numId w:val="26"/>
        </w:numPr>
        <w:overflowPunct w:val="0"/>
        <w:autoSpaceDE w:val="0"/>
        <w:autoSpaceDN w:val="0"/>
        <w:adjustRightInd w:val="0"/>
        <w:ind w:left="284" w:hanging="284"/>
        <w:textAlignment w:val="baseline"/>
      </w:pPr>
      <w:r>
        <w:t>EESK uppmanar EU och medlemsstaterna att höja takten i jämställdhetsarbetet, vara ambitiösare, starkt kritisera det krympande utrymmet för det civila samhället och motsätta sig eventuella bakslag för kvinnors rättigheter, eftersom dessa rättigheter hotas av framför allt högerextrema politiska partier.</w:t>
      </w:r>
    </w:p>
    <w:p w:rsidRPr="00910C90" w:rsidR="00910C90" w:rsidP="00BE1F8F" w:rsidRDefault="00910C90" w14:paraId="78127DE3" w14:textId="77777777">
      <w:pPr>
        <w:widowControl w:val="0"/>
        <w:numPr>
          <w:ilvl w:val="0"/>
          <w:numId w:val="26"/>
        </w:numPr>
        <w:overflowPunct w:val="0"/>
        <w:autoSpaceDE w:val="0"/>
        <w:autoSpaceDN w:val="0"/>
        <w:adjustRightInd w:val="0"/>
        <w:ind w:left="284" w:hanging="284"/>
        <w:textAlignment w:val="baseline"/>
      </w:pPr>
      <w:r>
        <w:t>EESK föreslår att EU, medlemsstaterna och de politiska partierna åtar sig att locka kvinnor till politiken, t.ex. genom att överväga åtgärder för att uppmuntra val och tillsättning av kvinnor till nyckelbefattningar, såsom kvoter, varvade listor, medordförandeskap, delade mandatperioder och förslag på både manliga och kvinnliga kandidater.</w:t>
      </w:r>
    </w:p>
    <w:p w:rsidRPr="00910C90" w:rsidR="00910C90" w:rsidP="00BE1F8F" w:rsidRDefault="00910C90" w14:paraId="7874547D" w14:textId="77777777">
      <w:pPr>
        <w:widowControl w:val="0"/>
        <w:numPr>
          <w:ilvl w:val="0"/>
          <w:numId w:val="26"/>
        </w:numPr>
        <w:overflowPunct w:val="0"/>
        <w:autoSpaceDE w:val="0"/>
        <w:autoSpaceDN w:val="0"/>
        <w:adjustRightInd w:val="0"/>
        <w:ind w:left="284" w:hanging="284"/>
        <w:contextualSpacing/>
        <w:textAlignment w:val="baseline"/>
      </w:pPr>
      <w:r>
        <w:t xml:space="preserve">Medlemsstaterna uppmanas att anslå tillräckliga resurser till sina nationella handlingsplaner mot våld mot kvinnor och att utforma dessa planer i samråd med organisationer i det civila samhället. EESK vill se fler åtgärder för att bekämpa våld på nätet och ekonomiskt våld, sörja för kvinnors fysiska och psykiska hälsa och se till att kvinnors sexuella och reproduktiva hälsa och rättigheter respekteras. </w:t>
      </w:r>
    </w:p>
    <w:p w:rsidRPr="00910C90" w:rsidR="00910C90" w:rsidP="00BE1F8F" w:rsidRDefault="00910C90" w14:paraId="21DA3653" w14:textId="77777777">
      <w:pPr>
        <w:widowControl w:val="0"/>
        <w:numPr>
          <w:ilvl w:val="0"/>
          <w:numId w:val="26"/>
        </w:numPr>
        <w:overflowPunct w:val="0"/>
        <w:autoSpaceDE w:val="0"/>
        <w:autoSpaceDN w:val="0"/>
        <w:adjustRightInd w:val="0"/>
        <w:ind w:left="284" w:hanging="284"/>
        <w:contextualSpacing/>
        <w:textAlignment w:val="baseline"/>
      </w:pPr>
      <w:r>
        <w:t>EESK anser att EU:s ram för en rättvis omställning bör omfatta en kompetensstrategi för att ta itu med befintliga ojämlikheter mellan könen, samtidigt som man beaktar kvinnor och flickor i det globala syd och i landsbygdsområden, som drabbas oproportionerligt hårt av den tredubbla världsomspännande krisen.</w:t>
      </w:r>
    </w:p>
    <w:p w:rsidRPr="00910C90" w:rsidR="00910C90" w:rsidP="00BE1F8F" w:rsidRDefault="00910C90" w14:paraId="4B62CBD1" w14:textId="3B1C0043">
      <w:pPr>
        <w:widowControl w:val="0"/>
        <w:numPr>
          <w:ilvl w:val="0"/>
          <w:numId w:val="26"/>
        </w:numPr>
        <w:overflowPunct w:val="0"/>
        <w:autoSpaceDE w:val="0"/>
        <w:autoSpaceDN w:val="0"/>
        <w:adjustRightInd w:val="0"/>
        <w:ind w:left="284" w:hanging="284"/>
        <w:contextualSpacing/>
        <w:textAlignment w:val="baseline"/>
      </w:pPr>
      <w:r>
        <w:t>EESK uppmanar till att överbrygga den digitala könsklyftan och inkludera kvinnors perspektiv i</w:t>
      </w:r>
      <w:r w:rsidR="00FE0350">
        <w:t> </w:t>
      </w:r>
      <w:r>
        <w:t>utformningen, utvecklingen och spridningen av artificiell intelligens (AI) och algoritmer, för att se till att socialt känsliga frågor och inkludering beaktas.</w:t>
      </w:r>
    </w:p>
    <w:p w:rsidRPr="00910C90" w:rsidR="00910C90" w:rsidP="00BE1F8F" w:rsidRDefault="00910C90" w14:paraId="2831FD93" w14:textId="77777777">
      <w:pPr>
        <w:widowControl w:val="0"/>
        <w:numPr>
          <w:ilvl w:val="0"/>
          <w:numId w:val="26"/>
        </w:numPr>
        <w:overflowPunct w:val="0"/>
        <w:autoSpaceDE w:val="0"/>
        <w:autoSpaceDN w:val="0"/>
        <w:adjustRightInd w:val="0"/>
        <w:ind w:left="284" w:hanging="284"/>
        <w:contextualSpacing/>
        <w:textAlignment w:val="baseline"/>
      </w:pPr>
      <w:r>
        <w:t>EESK efterlyser åtgärder för att överbrygga klyftan mellan könen inom obetalt omsorgsansvar och hjälpa kvinnor att stanna kvar på arbetsmarknaden, inklusive genom att tillhandahålla hälso- och sjukvård och omsorgstjänster av god kvalitet till rimliga priser, samt skyddsnät, i enlighet med nationella regler.</w:t>
      </w:r>
    </w:p>
    <w:p w:rsidRPr="00910C90" w:rsidR="00910C90" w:rsidP="00BE1F8F" w:rsidRDefault="00910C90" w14:paraId="20D9B26B" w14:textId="77777777">
      <w:pPr>
        <w:widowControl w:val="0"/>
        <w:numPr>
          <w:ilvl w:val="0"/>
          <w:numId w:val="26"/>
        </w:numPr>
        <w:overflowPunct w:val="0"/>
        <w:autoSpaceDE w:val="0"/>
        <w:autoSpaceDN w:val="0"/>
        <w:adjustRightInd w:val="0"/>
        <w:ind w:left="284" w:hanging="284"/>
        <w:contextualSpacing/>
        <w:textAlignment w:val="baseline"/>
      </w:pPr>
      <w:r>
        <w:t>EESK efterlyser en kraftfull och ambitiös långsiktig EU-strategi för en inkluderande utrikespolitik som sätter jämställdhet, mänskliga rättigheter, feministisk diplomati och social rättvisa i centrum.</w:t>
      </w:r>
    </w:p>
    <w:p w:rsidR="00910C90" w:rsidP="00BE1F8F" w:rsidRDefault="00910C90" w14:paraId="5A9E6752" w14:textId="6A476C44">
      <w:pPr>
        <w:widowControl w:val="0"/>
        <w:numPr>
          <w:ilvl w:val="0"/>
          <w:numId w:val="26"/>
        </w:numPr>
        <w:overflowPunct w:val="0"/>
        <w:autoSpaceDE w:val="0"/>
        <w:autoSpaceDN w:val="0"/>
        <w:adjustRightInd w:val="0"/>
        <w:ind w:left="284" w:hanging="284"/>
        <w:contextualSpacing/>
        <w:textAlignment w:val="baseline"/>
      </w:pPr>
      <w:r>
        <w:t xml:space="preserve">Det finns ett behov av mer könsuppdelade </w:t>
      </w:r>
      <w:proofErr w:type="spellStart"/>
      <w:r>
        <w:t>intersektionella</w:t>
      </w:r>
      <w:proofErr w:type="spellEnd"/>
      <w:r>
        <w:t xml:space="preserve"> data för att utforma och följa upp strategier, av användning av verktyg för jämställdhetsbudgetering och av ett könsperspektiv i</w:t>
      </w:r>
      <w:r w:rsidR="00FE0350">
        <w:t> </w:t>
      </w:r>
      <w:r>
        <w:t>finanspolitiken.</w:t>
      </w:r>
    </w:p>
    <w:p w:rsidRPr="00910C90" w:rsidR="008B7F9B" w:rsidP="00BE1F8F" w:rsidRDefault="008B7F9B" w14:paraId="0A0E47B6" w14:textId="77777777">
      <w:pPr>
        <w:widowControl w:val="0"/>
        <w:overflowPunct w:val="0"/>
        <w:autoSpaceDE w:val="0"/>
        <w:autoSpaceDN w:val="0"/>
        <w:adjustRightInd w:val="0"/>
        <w:contextualSpacing/>
        <w:textAlignment w:val="baseline"/>
        <w:rPr>
          <w:lang w:val="en-GB" w:eastAsia="zh-CN"/>
        </w:rPr>
      </w:pPr>
    </w:p>
    <w:tbl>
      <w:tblPr>
        <w:tblW w:w="0" w:type="auto"/>
        <w:tblLook w:val="04A0" w:firstRow="1" w:lastRow="0" w:firstColumn="1" w:lastColumn="0" w:noHBand="0" w:noVBand="1"/>
      </w:tblPr>
      <w:tblGrid>
        <w:gridCol w:w="1668"/>
        <w:gridCol w:w="7512"/>
      </w:tblGrid>
      <w:tr w:rsidRPr="00910C90" w:rsidR="00910C90" w:rsidTr="00713105" w14:paraId="0D75D5FA" w14:textId="77777777">
        <w:tc>
          <w:tcPr>
            <w:tcW w:w="1668" w:type="dxa"/>
          </w:tcPr>
          <w:p w:rsidRPr="00910C90" w:rsidR="00910C90" w:rsidP="00BE1F8F" w:rsidRDefault="00910C90" w14:paraId="09EE9454" w14:textId="7F78169E">
            <w:pPr>
              <w:overflowPunct w:val="0"/>
              <w:autoSpaceDE w:val="0"/>
              <w:autoSpaceDN w:val="0"/>
              <w:adjustRightInd w:val="0"/>
              <w:textAlignment w:val="baseline"/>
              <w:rPr>
                <w:i/>
              </w:rPr>
            </w:pPr>
            <w:r>
              <w:rPr>
                <w:b/>
                <w:i/>
              </w:rPr>
              <w:t>Kontaktperson</w:t>
            </w:r>
            <w:r w:rsidR="00AD372D">
              <w:rPr>
                <w:b/>
                <w:i/>
              </w:rPr>
              <w:t>:</w:t>
            </w:r>
          </w:p>
        </w:tc>
        <w:tc>
          <w:tcPr>
            <w:tcW w:w="7512" w:type="dxa"/>
          </w:tcPr>
          <w:p w:rsidRPr="00910C90" w:rsidR="00910C90" w:rsidP="00BE1F8F" w:rsidRDefault="00910C90" w14:paraId="20BCFE55" w14:textId="48EB87B0">
            <w:pPr>
              <w:overflowPunct w:val="0"/>
              <w:autoSpaceDE w:val="0"/>
              <w:autoSpaceDN w:val="0"/>
              <w:adjustRightInd w:val="0"/>
              <w:textAlignment w:val="baseline"/>
              <w:rPr>
                <w:i/>
              </w:rPr>
            </w:pPr>
            <w:r>
              <w:rPr>
                <w:i/>
              </w:rPr>
              <w:t xml:space="preserve">Gabriela </w:t>
            </w:r>
            <w:proofErr w:type="spellStart"/>
            <w:r>
              <w:rPr>
                <w:i/>
              </w:rPr>
              <w:t>Grasu</w:t>
            </w:r>
            <w:proofErr w:type="spellEnd"/>
          </w:p>
        </w:tc>
      </w:tr>
      <w:tr w:rsidRPr="00910C90" w:rsidR="00910C90" w:rsidTr="00713105" w14:paraId="10BE1906" w14:textId="77777777">
        <w:tc>
          <w:tcPr>
            <w:tcW w:w="1668" w:type="dxa"/>
          </w:tcPr>
          <w:p w:rsidRPr="00910C90" w:rsidR="00910C90" w:rsidP="00BE1F8F" w:rsidRDefault="00910C90" w14:paraId="7C9E9C27" w14:textId="578CE414">
            <w:pPr>
              <w:overflowPunct w:val="0"/>
              <w:autoSpaceDE w:val="0"/>
              <w:autoSpaceDN w:val="0"/>
              <w:adjustRightInd w:val="0"/>
              <w:textAlignment w:val="baseline"/>
              <w:rPr>
                <w:i/>
              </w:rPr>
            </w:pPr>
            <w:r>
              <w:rPr>
                <w:i/>
              </w:rPr>
              <w:t>Tfn:</w:t>
            </w:r>
          </w:p>
        </w:tc>
        <w:tc>
          <w:tcPr>
            <w:tcW w:w="7512" w:type="dxa"/>
          </w:tcPr>
          <w:p w:rsidRPr="00910C90" w:rsidR="00910C90" w:rsidP="00BE1F8F" w:rsidRDefault="00910C90" w14:paraId="6BD9772E" w14:textId="77777777">
            <w:pPr>
              <w:overflowPunct w:val="0"/>
              <w:autoSpaceDE w:val="0"/>
              <w:autoSpaceDN w:val="0"/>
              <w:adjustRightInd w:val="0"/>
              <w:textAlignment w:val="baseline"/>
              <w:rPr>
                <w:i/>
              </w:rPr>
            </w:pPr>
            <w:r>
              <w:rPr>
                <w:i/>
              </w:rPr>
              <w:t>+32 25469162</w:t>
            </w:r>
          </w:p>
        </w:tc>
      </w:tr>
      <w:tr w:rsidRPr="00910C90" w:rsidR="00910C90" w:rsidTr="00713105" w14:paraId="378A4268" w14:textId="77777777">
        <w:tc>
          <w:tcPr>
            <w:tcW w:w="1668" w:type="dxa"/>
          </w:tcPr>
          <w:p w:rsidRPr="00910C90" w:rsidR="00910C90" w:rsidP="00BE1F8F" w:rsidRDefault="00910C90" w14:paraId="67D2B1A7" w14:textId="5316AB28">
            <w:pPr>
              <w:overflowPunct w:val="0"/>
              <w:autoSpaceDE w:val="0"/>
              <w:autoSpaceDN w:val="0"/>
              <w:adjustRightInd w:val="0"/>
              <w:textAlignment w:val="baseline"/>
              <w:rPr>
                <w:i/>
              </w:rPr>
            </w:pPr>
            <w:r>
              <w:rPr>
                <w:i/>
              </w:rPr>
              <w:t>E-post:</w:t>
            </w:r>
          </w:p>
        </w:tc>
        <w:tc>
          <w:tcPr>
            <w:tcW w:w="7512" w:type="dxa"/>
          </w:tcPr>
          <w:p w:rsidRPr="00910C90" w:rsidR="00910C90" w:rsidP="00BE1F8F" w:rsidRDefault="008B5D7D" w14:paraId="18F62F88" w14:textId="03616BAE">
            <w:pPr>
              <w:overflowPunct w:val="0"/>
              <w:autoSpaceDE w:val="0"/>
              <w:autoSpaceDN w:val="0"/>
              <w:adjustRightInd w:val="0"/>
              <w:textAlignment w:val="baseline"/>
              <w:rPr>
                <w:i/>
                <w:iCs/>
              </w:rPr>
            </w:pPr>
            <w:hyperlink w:history="1" r:id="rId34">
              <w:r w:rsidR="00DE572D">
                <w:rPr>
                  <w:i/>
                  <w:color w:val="0000FF"/>
                  <w:u w:val="single"/>
                </w:rPr>
                <w:t>Gabriela.Grasu@eesc.europa.eu</w:t>
              </w:r>
            </w:hyperlink>
          </w:p>
        </w:tc>
      </w:tr>
    </w:tbl>
    <w:p w:rsidR="00D5795F" w:rsidP="00BE1F8F" w:rsidRDefault="00D5795F" w14:paraId="0F5B3C36" w14:textId="77777777">
      <w:pPr>
        <w:jc w:val="left"/>
      </w:pPr>
      <w:r>
        <w:br w:type="page"/>
      </w:r>
    </w:p>
    <w:p w:rsidRPr="00713105" w:rsidR="00981AAC" w:rsidP="00BE1F8F" w:rsidRDefault="00981AAC" w14:paraId="48226001" w14:textId="27B0F9D8">
      <w:pPr>
        <w:widowControl w:val="0"/>
        <w:numPr>
          <w:ilvl w:val="0"/>
          <w:numId w:val="2"/>
        </w:numPr>
        <w:overflowPunct w:val="0"/>
        <w:autoSpaceDE w:val="0"/>
        <w:autoSpaceDN w:val="0"/>
        <w:adjustRightInd w:val="0"/>
        <w:ind w:hanging="567"/>
        <w:textAlignment w:val="baseline"/>
      </w:pPr>
      <w:r w:rsidRPr="00981AAC">
        <w:rPr>
          <w:b/>
          <w:i/>
          <w:sz w:val="28"/>
        </w:rPr>
        <w:lastRenderedPageBreak/>
        <w:fldChar w:fldCharType="begin"/>
      </w:r>
      <w:r w:rsidRPr="00981AAC">
        <w:rPr>
          <w:b/>
          <w:i/>
          <w:sz w:val="28"/>
        </w:rPr>
        <w:instrText>HYPERLINK "https://www.eesc.europa.eu/sv/our-work/opinions-information-reports/opinions/older-people-employment-systemic-factors-choosing-work-longer"</w:instrText>
      </w:r>
      <w:r w:rsidRPr="00981AAC">
        <w:rPr>
          <w:b/>
          <w:i/>
          <w:sz w:val="28"/>
        </w:rPr>
        <w:fldChar w:fldCharType="separate"/>
      </w:r>
      <w:r>
        <w:rPr>
          <w:b/>
          <w:i/>
          <w:color w:val="0000FF"/>
          <w:sz w:val="28"/>
          <w:u w:val="single"/>
        </w:rPr>
        <w:t>Äldre i sysselsättning – systemrelaterade faktorer vid valet att arbeta längre</w:t>
      </w:r>
    </w:p>
    <w:p w:rsidRPr="00C77862" w:rsidR="00981AAC" w:rsidP="00BE1F8F" w:rsidRDefault="00981AAC" w14:paraId="69C9F195" w14:textId="77777777">
      <w:pPr>
        <w:widowControl w:val="0"/>
        <w:overflowPunct w:val="0"/>
        <w:autoSpaceDE w:val="0"/>
        <w:autoSpaceDN w:val="0"/>
        <w:adjustRightInd w:val="0"/>
        <w:ind w:left="567"/>
        <w:textAlignment w:val="baseline"/>
        <w:rPr>
          <w:b/>
          <w:i/>
          <w:sz w:val="20"/>
        </w:rPr>
      </w:pPr>
      <w:r w:rsidRPr="00981AAC">
        <w:rPr>
          <w:b/>
          <w:i/>
          <w:sz w:val="28"/>
        </w:rPr>
        <w:fldChar w:fldCharType="end"/>
      </w:r>
    </w:p>
    <w:tbl>
      <w:tblPr>
        <w:tblW w:w="5000" w:type="pct"/>
        <w:tblLook w:val="04A0" w:firstRow="1" w:lastRow="0" w:firstColumn="1" w:lastColumn="0" w:noHBand="0" w:noVBand="1"/>
      </w:tblPr>
      <w:tblGrid>
        <w:gridCol w:w="1961"/>
        <w:gridCol w:w="7326"/>
      </w:tblGrid>
      <w:tr w:rsidRPr="00652335" w:rsidR="00981AAC" w:rsidTr="00713105" w14:paraId="564BEBA9" w14:textId="77777777">
        <w:tc>
          <w:tcPr>
            <w:tcW w:w="898" w:type="pct"/>
          </w:tcPr>
          <w:p w:rsidRPr="00C43D3E" w:rsidR="00981AAC" w:rsidP="00BE1F8F" w:rsidRDefault="00981AAC" w14:paraId="0345DE90" w14:textId="77777777">
            <w:pPr>
              <w:overflowPunct w:val="0"/>
              <w:autoSpaceDE w:val="0"/>
              <w:autoSpaceDN w:val="0"/>
              <w:adjustRightInd w:val="0"/>
              <w:ind w:left="-113"/>
              <w:textAlignment w:val="baseline"/>
              <w:rPr>
                <w:b/>
              </w:rPr>
            </w:pPr>
            <w:r>
              <w:rPr>
                <w:b/>
              </w:rPr>
              <w:t>Föredragande:</w:t>
            </w:r>
          </w:p>
        </w:tc>
        <w:tc>
          <w:tcPr>
            <w:tcW w:w="4102" w:type="pct"/>
          </w:tcPr>
          <w:p w:rsidRPr="00C43D3E" w:rsidR="00382A22" w:rsidP="00BE1F8F" w:rsidRDefault="00981AAC" w14:paraId="2A77F056" w14:textId="351CBDDF">
            <w:pPr>
              <w:tabs>
                <w:tab w:val="left" w:pos="4572"/>
              </w:tabs>
              <w:overflowPunct w:val="0"/>
              <w:autoSpaceDE w:val="0"/>
              <w:autoSpaceDN w:val="0"/>
              <w:adjustRightInd w:val="0"/>
              <w:ind w:left="-113" w:right="-823"/>
              <w:textAlignment w:val="baseline"/>
            </w:pPr>
            <w:r>
              <w:t xml:space="preserve">Krzysztof </w:t>
            </w:r>
            <w:proofErr w:type="spellStart"/>
            <w:r>
              <w:t>Balon</w:t>
            </w:r>
            <w:proofErr w:type="spellEnd"/>
            <w:r>
              <w:t xml:space="preserve"> (Gruppen för civilsamhällesorganisationer – PL)</w:t>
            </w:r>
          </w:p>
        </w:tc>
      </w:tr>
      <w:tr w:rsidRPr="00652335" w:rsidR="00981AAC" w:rsidTr="00713105" w14:paraId="3AF74D98" w14:textId="77777777">
        <w:tc>
          <w:tcPr>
            <w:tcW w:w="898" w:type="pct"/>
          </w:tcPr>
          <w:p w:rsidRPr="00C43D3E" w:rsidR="00981AAC" w:rsidP="00BE1F8F" w:rsidRDefault="00981AAC" w14:paraId="399C89C3" w14:textId="7F5F6409">
            <w:pPr>
              <w:overflowPunct w:val="0"/>
              <w:autoSpaceDE w:val="0"/>
              <w:autoSpaceDN w:val="0"/>
              <w:adjustRightInd w:val="0"/>
              <w:ind w:left="-113"/>
              <w:textAlignment w:val="baseline"/>
              <w:rPr>
                <w:b/>
              </w:rPr>
            </w:pPr>
            <w:r>
              <w:rPr>
                <w:b/>
              </w:rPr>
              <w:t>Referensdokument:</w:t>
            </w:r>
          </w:p>
        </w:tc>
        <w:tc>
          <w:tcPr>
            <w:tcW w:w="4102" w:type="pct"/>
          </w:tcPr>
          <w:p w:rsidRPr="00C43D3E" w:rsidR="00382A22" w:rsidP="00BE1F8F" w:rsidRDefault="00382A22" w14:paraId="15365992" w14:textId="791A85F1">
            <w:pPr>
              <w:tabs>
                <w:tab w:val="left" w:pos="4430"/>
              </w:tabs>
              <w:overflowPunct w:val="0"/>
              <w:autoSpaceDE w:val="0"/>
              <w:autoSpaceDN w:val="0"/>
              <w:adjustRightInd w:val="0"/>
              <w:ind w:left="-113" w:right="-823"/>
              <w:textAlignment w:val="baseline"/>
            </w:pPr>
            <w:r>
              <w:t>(förberedande yttrande på begäran av det polska rådsordförandeskapet)</w:t>
            </w:r>
          </w:p>
          <w:p w:rsidRPr="00C43D3E" w:rsidR="00981AAC" w:rsidP="00BE1F8F" w:rsidRDefault="00981AAC" w14:paraId="455DCFBD" w14:textId="0C759088">
            <w:pPr>
              <w:tabs>
                <w:tab w:val="left" w:pos="4430"/>
              </w:tabs>
              <w:overflowPunct w:val="0"/>
              <w:autoSpaceDE w:val="0"/>
              <w:autoSpaceDN w:val="0"/>
              <w:adjustRightInd w:val="0"/>
              <w:ind w:left="-113" w:right="-823"/>
              <w:textAlignment w:val="baseline"/>
            </w:pPr>
            <w:r>
              <w:t>EESC-2024-03788-00-00-AC</w:t>
            </w:r>
          </w:p>
        </w:tc>
      </w:tr>
    </w:tbl>
    <w:p w:rsidR="00652335" w:rsidP="00BE1F8F" w:rsidRDefault="00652335" w14:paraId="789D81F8" w14:textId="77777777">
      <w:pPr>
        <w:keepNext/>
        <w:keepLines/>
        <w:tabs>
          <w:tab w:val="center" w:pos="284"/>
        </w:tabs>
        <w:overflowPunct w:val="0"/>
        <w:autoSpaceDE w:val="0"/>
        <w:autoSpaceDN w:val="0"/>
        <w:adjustRightInd w:val="0"/>
        <w:ind w:left="266" w:hanging="266"/>
        <w:textAlignment w:val="baseline"/>
        <w:rPr>
          <w:b/>
          <w:lang w:val="en-GB"/>
        </w:rPr>
      </w:pPr>
    </w:p>
    <w:p w:rsidRPr="00981AAC" w:rsidR="00981AAC" w:rsidP="00BE1F8F" w:rsidRDefault="00981AAC" w14:paraId="4B8CB502" w14:textId="1F116006">
      <w:pPr>
        <w:keepNext/>
        <w:keepLines/>
        <w:tabs>
          <w:tab w:val="center" w:pos="284"/>
        </w:tabs>
        <w:overflowPunct w:val="0"/>
        <w:autoSpaceDE w:val="0"/>
        <w:autoSpaceDN w:val="0"/>
        <w:adjustRightInd w:val="0"/>
        <w:ind w:left="266" w:hanging="266"/>
        <w:textAlignment w:val="baseline"/>
        <w:rPr>
          <w:b/>
        </w:rPr>
      </w:pPr>
      <w:r>
        <w:rPr>
          <w:b/>
        </w:rPr>
        <w:t>Huvudpunkter</w:t>
      </w:r>
    </w:p>
    <w:p w:rsidRPr="00981AAC" w:rsidR="00981AAC" w:rsidP="00BE1F8F" w:rsidRDefault="00981AAC" w14:paraId="7008E7DD" w14:textId="77777777">
      <w:pPr>
        <w:keepNext/>
        <w:keepLines/>
        <w:tabs>
          <w:tab w:val="center" w:pos="284"/>
        </w:tabs>
        <w:overflowPunct w:val="0"/>
        <w:autoSpaceDE w:val="0"/>
        <w:autoSpaceDN w:val="0"/>
        <w:adjustRightInd w:val="0"/>
        <w:ind w:left="266" w:hanging="266"/>
        <w:textAlignment w:val="baseline"/>
        <w:rPr>
          <w:b/>
          <w:lang w:val="en-GB"/>
        </w:rPr>
      </w:pPr>
    </w:p>
    <w:p w:rsidRPr="00981AAC" w:rsidR="00E83667" w:rsidP="00BE1F8F" w:rsidRDefault="00981AAC" w14:paraId="7F206CE5" w14:textId="098D975F">
      <w:pPr>
        <w:keepNext/>
        <w:keepLines/>
        <w:tabs>
          <w:tab w:val="center" w:pos="284"/>
        </w:tabs>
        <w:overflowPunct w:val="0"/>
        <w:autoSpaceDE w:val="0"/>
        <w:autoSpaceDN w:val="0"/>
        <w:adjustRightInd w:val="0"/>
        <w:ind w:left="266" w:hanging="266"/>
        <w:textAlignment w:val="baseline"/>
        <w:rPr>
          <w:szCs w:val="20"/>
        </w:rPr>
      </w:pPr>
      <w:r>
        <w:t>Europeiska ekonomiska och sociala kommitténs (EESK) ståndpunkt:</w:t>
      </w:r>
    </w:p>
    <w:p w:rsidRPr="00981AAC" w:rsidR="00981AAC" w:rsidP="00713105" w:rsidRDefault="00981AAC" w14:paraId="3311126F" w14:textId="77777777">
      <w:pPr>
        <w:pStyle w:val="ListParagraph"/>
        <w:numPr>
          <w:ilvl w:val="0"/>
          <w:numId w:val="42"/>
        </w:numPr>
        <w:ind w:left="567" w:hanging="567"/>
      </w:pPr>
      <w:bookmarkStart w:name="_Toc191974009" w:id="11"/>
      <w:r>
        <w:t xml:space="preserve">EESK delar det polska rådsordförandeskapets uppfattning att </w:t>
      </w:r>
      <w:r>
        <w:rPr>
          <w:b/>
        </w:rPr>
        <w:t>äldres deltagande i arbetslivet</w:t>
      </w:r>
      <w:r>
        <w:t xml:space="preserve"> har blivit en av den </w:t>
      </w:r>
      <w:r>
        <w:rPr>
          <w:b/>
        </w:rPr>
        <w:t>offentliga politikens viktigaste utmaningar</w:t>
      </w:r>
      <w:r>
        <w:t xml:space="preserve">. Eftersom den genomsnittliga förväntade friska livslängden ökar i EU har </w:t>
      </w:r>
      <w:r>
        <w:rPr>
          <w:b/>
        </w:rPr>
        <w:t>äldre människors yrkesverksamhet</w:t>
      </w:r>
      <w:r>
        <w:t xml:space="preserve"> potential att </w:t>
      </w:r>
      <w:r>
        <w:rPr>
          <w:b/>
        </w:rPr>
        <w:t>inverka positivt</w:t>
      </w:r>
      <w:r>
        <w:t xml:space="preserve"> inte bara på den </w:t>
      </w:r>
      <w:r>
        <w:rPr>
          <w:b/>
        </w:rPr>
        <w:t>ekonomiska utvecklingen</w:t>
      </w:r>
      <w:r>
        <w:t xml:space="preserve"> utan även på </w:t>
      </w:r>
      <w:r>
        <w:rPr>
          <w:b/>
        </w:rPr>
        <w:t>deras välbefinnande</w:t>
      </w:r>
      <w:r>
        <w:t xml:space="preserve"> tack vare bättre </w:t>
      </w:r>
      <w:r>
        <w:rPr>
          <w:b/>
        </w:rPr>
        <w:t>ekonomiska, sociala och hälsomässiga villkor</w:t>
      </w:r>
      <w:r>
        <w:t>, samt på solidariteten mellan generationerna i samhället.</w:t>
      </w:r>
      <w:bookmarkEnd w:id="11"/>
    </w:p>
    <w:p w:rsidRPr="00652335" w:rsidR="00981AAC" w:rsidP="00713105" w:rsidRDefault="00981AAC" w14:paraId="30FD09FC" w14:textId="77777777">
      <w:pPr>
        <w:pStyle w:val="ListParagraph"/>
        <w:numPr>
          <w:ilvl w:val="0"/>
          <w:numId w:val="42"/>
        </w:numPr>
        <w:ind w:left="567" w:hanging="567"/>
      </w:pPr>
      <w:bookmarkStart w:name="_Toc191974010" w:id="12"/>
      <w:r>
        <w:t xml:space="preserve">EESK noterar att den </w:t>
      </w:r>
      <w:r>
        <w:rPr>
          <w:b/>
        </w:rPr>
        <w:t>15:e principen i den europeiska pelaren för sociala rättigheter</w:t>
      </w:r>
      <w:r>
        <w:t xml:space="preserve"> (rätt till en pension som motsvarar deras avgiftsinbetalningar och som säkerställer en tillräcklig inkomst för ett värdigt liv för var och en i hög ålder) </w:t>
      </w:r>
      <w:r>
        <w:rPr>
          <w:b/>
        </w:rPr>
        <w:t>bör genomföras fullt ut</w:t>
      </w:r>
      <w:r>
        <w:t>.</w:t>
      </w:r>
      <w:bookmarkEnd w:id="12"/>
    </w:p>
    <w:p w:rsidRPr="00652335" w:rsidR="00981AAC" w:rsidP="00713105" w:rsidRDefault="00981AAC" w14:paraId="7674E455" w14:textId="77777777">
      <w:pPr>
        <w:pStyle w:val="ListParagraph"/>
        <w:numPr>
          <w:ilvl w:val="0"/>
          <w:numId w:val="42"/>
        </w:numPr>
        <w:ind w:left="567" w:hanging="567"/>
      </w:pPr>
      <w:bookmarkStart w:name="_Toc191974011" w:id="13"/>
      <w:r>
        <w:t xml:space="preserve">Kommittén påpekar att det är viktigt att </w:t>
      </w:r>
      <w:r>
        <w:rPr>
          <w:b/>
        </w:rPr>
        <w:t>skapa</w:t>
      </w:r>
      <w:r>
        <w:t xml:space="preserve"> </w:t>
      </w:r>
      <w:r>
        <w:rPr>
          <w:b/>
        </w:rPr>
        <w:t>arbetstillfällen av hög kvalitet med</w:t>
      </w:r>
      <w:r>
        <w:t xml:space="preserve"> en </w:t>
      </w:r>
      <w:r>
        <w:rPr>
          <w:b/>
        </w:rPr>
        <w:t>arbetsmiljö</w:t>
      </w:r>
      <w:r>
        <w:t xml:space="preserve"> som uppmuntrar människor i alla åldersgrupper att </w:t>
      </w:r>
      <w:r>
        <w:rPr>
          <w:b/>
        </w:rPr>
        <w:t>komma in på och stanna kvar på arbetsmarknaden</w:t>
      </w:r>
      <w:r>
        <w:t>.</w:t>
      </w:r>
      <w:bookmarkEnd w:id="13"/>
      <w:r>
        <w:t xml:space="preserve"> </w:t>
      </w:r>
    </w:p>
    <w:p w:rsidRPr="00652335" w:rsidR="00981AAC" w:rsidP="00713105" w:rsidRDefault="00981AAC" w14:paraId="7D687E45" w14:textId="77777777">
      <w:pPr>
        <w:pStyle w:val="ListParagraph"/>
        <w:numPr>
          <w:ilvl w:val="0"/>
          <w:numId w:val="41"/>
        </w:numPr>
        <w:ind w:left="567" w:hanging="567"/>
      </w:pPr>
      <w:bookmarkStart w:name="_Toc191974012" w:id="14"/>
      <w:r>
        <w:t xml:space="preserve">Vi konstaterar att en annan faktor som kan bidra till att öka sysselsättningen bland äldre är </w:t>
      </w:r>
      <w:r>
        <w:rPr>
          <w:b/>
        </w:rPr>
        <w:t>inrättandet av arbetslag som består av flera generationer</w:t>
      </w:r>
      <w:r>
        <w:t xml:space="preserve">, och </w:t>
      </w:r>
      <w:r>
        <w:rPr>
          <w:b/>
        </w:rPr>
        <w:t>upprepar</w:t>
      </w:r>
      <w:r>
        <w:t xml:space="preserve"> vår uppmaning till </w:t>
      </w:r>
      <w:r>
        <w:rPr>
          <w:b/>
        </w:rPr>
        <w:t>kommissionen</w:t>
      </w:r>
      <w:r>
        <w:t xml:space="preserve"> att anta en </w:t>
      </w:r>
      <w:r>
        <w:rPr>
          <w:b/>
        </w:rPr>
        <w:t>rekommendation</w:t>
      </w:r>
      <w:r>
        <w:t xml:space="preserve"> där medlemsstaterna uppmanas att </w:t>
      </w:r>
      <w:r>
        <w:rPr>
          <w:b/>
        </w:rPr>
        <w:t>se till att det på arbetsplatsen finns arbetstagare från olika generationer och att de samarbetar med varandra</w:t>
      </w:r>
      <w:r>
        <w:t>.</w:t>
      </w:r>
      <w:bookmarkEnd w:id="14"/>
    </w:p>
    <w:p w:rsidRPr="00652335" w:rsidR="00981AAC" w:rsidP="00713105" w:rsidRDefault="00981AAC" w14:paraId="2CC124C3" w14:textId="77777777">
      <w:pPr>
        <w:pStyle w:val="ListParagraph"/>
        <w:numPr>
          <w:ilvl w:val="0"/>
          <w:numId w:val="40"/>
        </w:numPr>
        <w:ind w:left="567" w:hanging="567"/>
      </w:pPr>
      <w:bookmarkStart w:name="_Toc191974013" w:id="15"/>
      <w:r>
        <w:t xml:space="preserve">EESK påpekar att följande instrument hör till dem som stöder sysselsättningen bland äldre: a) </w:t>
      </w:r>
      <w:r>
        <w:rPr>
          <w:b/>
        </w:rPr>
        <w:t>skapande av en gynnsam arbetsmiljö</w:t>
      </w:r>
      <w:r>
        <w:t xml:space="preserve"> som uppmuntrar äldre att stanna kvar längre på arbetsmarknaden om de så önskar; b) </w:t>
      </w:r>
      <w:r>
        <w:rPr>
          <w:b/>
        </w:rPr>
        <w:t>bibehållande och förbättring av kvalifikationer</w:t>
      </w:r>
      <w:r>
        <w:t xml:space="preserve"> genom </w:t>
      </w:r>
      <w:r>
        <w:rPr>
          <w:b/>
        </w:rPr>
        <w:t>strategier för livslångt lärande</w:t>
      </w:r>
      <w:r>
        <w:t xml:space="preserve">; c) åtgärder som gör det möjligt att </w:t>
      </w:r>
      <w:r>
        <w:rPr>
          <w:b/>
        </w:rPr>
        <w:t>kombinera förvärvsarbete och omsorgsansvar</w:t>
      </w:r>
      <w:r>
        <w:t xml:space="preserve"> för äldre anhöriga; d) </w:t>
      </w:r>
      <w:r>
        <w:rPr>
          <w:b/>
        </w:rPr>
        <w:t>främjande av längre arbetsliv</w:t>
      </w:r>
      <w:r>
        <w:t xml:space="preserve">; e) </w:t>
      </w:r>
      <w:r>
        <w:rPr>
          <w:b/>
        </w:rPr>
        <w:t>motverkande av åldersdiskriminering</w:t>
      </w:r>
      <w:r>
        <w:t xml:space="preserve"> och andra faktorer som hindrar äldre arbetstagare från att stanna kvar på arbetsmarknaden. På alla dessa områden spelar aktörer inom den sociala ekonomin, det civila samhällets organisationer och arbetsmarknadens parter en viktig roll.</w:t>
      </w:r>
      <w:bookmarkEnd w:id="15"/>
    </w:p>
    <w:p w:rsidRPr="00652335" w:rsidR="00981AAC" w:rsidP="00713105" w:rsidRDefault="00981AAC" w14:paraId="08AC24E2" w14:textId="1F8F8B60">
      <w:pPr>
        <w:pStyle w:val="ListParagraph"/>
        <w:numPr>
          <w:ilvl w:val="0"/>
          <w:numId w:val="39"/>
        </w:numPr>
        <w:ind w:left="567" w:hanging="567"/>
      </w:pPr>
      <w:bookmarkStart w:name="_Toc191974014" w:id="16"/>
      <w:r>
        <w:t xml:space="preserve">Kommittén föreslår att </w:t>
      </w:r>
      <w:r>
        <w:rPr>
          <w:b/>
        </w:rPr>
        <w:t>kommissionen</w:t>
      </w:r>
      <w:r>
        <w:t xml:space="preserve">, i samarbete med EESK, arbetsmarknadens parter och andra civilsamhällesorganisationer, </w:t>
      </w:r>
      <w:r>
        <w:rPr>
          <w:b/>
        </w:rPr>
        <w:t>inrättar ett forum för utbyte av god praxis</w:t>
      </w:r>
      <w:r>
        <w:t xml:space="preserve"> mellan medlemsstaterna. Därefter kan kommissionen, med beaktande av resultaten av diskussionerna i</w:t>
      </w:r>
      <w:r w:rsidR="00FE0350">
        <w:t> </w:t>
      </w:r>
      <w:r>
        <w:t>forumet, offentliggöra en ”verktygslåda” med bästa praxis.</w:t>
      </w:r>
      <w:bookmarkEnd w:id="16"/>
    </w:p>
    <w:p w:rsidRPr="00981AAC" w:rsidR="00981AAC" w:rsidP="00BE1F8F" w:rsidRDefault="00981AAC" w14:paraId="4F0FB5FC" w14:textId="77777777">
      <w:pPr>
        <w:overflowPunct w:val="0"/>
        <w:autoSpaceDE w:val="0"/>
        <w:autoSpaceDN w:val="0"/>
        <w:adjustRightInd w:val="0"/>
        <w:textAlignment w:val="baseline"/>
        <w:rPr>
          <w:szCs w:val="20"/>
          <w:lang w:val="en-GB"/>
        </w:rPr>
      </w:pPr>
    </w:p>
    <w:tbl>
      <w:tblPr>
        <w:tblW w:w="4941" w:type="pct"/>
        <w:tblLook w:val="04A0" w:firstRow="1" w:lastRow="0" w:firstColumn="1" w:lastColumn="0" w:noHBand="0" w:noVBand="1"/>
      </w:tblPr>
      <w:tblGrid>
        <w:gridCol w:w="1668"/>
        <w:gridCol w:w="7509"/>
      </w:tblGrid>
      <w:tr w:rsidRPr="00981AAC" w:rsidR="00981AAC" w:rsidTr="00713105" w14:paraId="561BB3E5" w14:textId="77777777">
        <w:tc>
          <w:tcPr>
            <w:tcW w:w="909" w:type="pct"/>
          </w:tcPr>
          <w:p w:rsidRPr="00981AAC" w:rsidR="00981AAC" w:rsidP="00BE1F8F" w:rsidRDefault="00981AAC" w14:paraId="28C5741E" w14:textId="77777777">
            <w:pPr>
              <w:overflowPunct w:val="0"/>
              <w:autoSpaceDE w:val="0"/>
              <w:autoSpaceDN w:val="0"/>
              <w:adjustRightInd w:val="0"/>
              <w:textAlignment w:val="baseline"/>
              <w:rPr>
                <w:i/>
              </w:rPr>
            </w:pPr>
            <w:r>
              <w:rPr>
                <w:b/>
                <w:i/>
              </w:rPr>
              <w:t>Kontaktperson:</w:t>
            </w:r>
          </w:p>
        </w:tc>
        <w:tc>
          <w:tcPr>
            <w:tcW w:w="4091" w:type="pct"/>
          </w:tcPr>
          <w:p w:rsidRPr="00981AAC" w:rsidR="00981AAC" w:rsidP="00BE1F8F" w:rsidRDefault="00981AAC" w14:paraId="3A046822" w14:textId="6C427D2F">
            <w:pPr>
              <w:overflowPunct w:val="0"/>
              <w:autoSpaceDE w:val="0"/>
              <w:autoSpaceDN w:val="0"/>
              <w:adjustRightInd w:val="0"/>
              <w:textAlignment w:val="baseline"/>
              <w:rPr>
                <w:i/>
              </w:rPr>
            </w:pPr>
            <w:proofErr w:type="spellStart"/>
            <w:r>
              <w:rPr>
                <w:i/>
              </w:rPr>
              <w:t>Triin</w:t>
            </w:r>
            <w:proofErr w:type="spellEnd"/>
            <w:r>
              <w:rPr>
                <w:i/>
              </w:rPr>
              <w:t xml:space="preserve"> </w:t>
            </w:r>
            <w:proofErr w:type="spellStart"/>
            <w:r>
              <w:rPr>
                <w:i/>
              </w:rPr>
              <w:t>Aasmaa</w:t>
            </w:r>
            <w:proofErr w:type="spellEnd"/>
            <w:r>
              <w:rPr>
                <w:i/>
              </w:rPr>
              <w:t xml:space="preserve"> Gomes</w:t>
            </w:r>
          </w:p>
        </w:tc>
      </w:tr>
      <w:tr w:rsidRPr="00981AAC" w:rsidR="00981AAC" w:rsidTr="00713105" w14:paraId="5B86D599" w14:textId="77777777">
        <w:tc>
          <w:tcPr>
            <w:tcW w:w="909" w:type="pct"/>
          </w:tcPr>
          <w:p w:rsidRPr="00981AAC" w:rsidR="00981AAC" w:rsidP="00BE1F8F" w:rsidRDefault="00981AAC" w14:paraId="7FD14655" w14:textId="60E2AF93">
            <w:pPr>
              <w:overflowPunct w:val="0"/>
              <w:autoSpaceDE w:val="0"/>
              <w:autoSpaceDN w:val="0"/>
              <w:adjustRightInd w:val="0"/>
              <w:textAlignment w:val="baseline"/>
              <w:rPr>
                <w:i/>
              </w:rPr>
            </w:pPr>
            <w:r>
              <w:rPr>
                <w:i/>
              </w:rPr>
              <w:t>Tfn</w:t>
            </w:r>
            <w:r w:rsidR="00FE0350">
              <w:rPr>
                <w:i/>
              </w:rPr>
              <w:t>:</w:t>
            </w:r>
          </w:p>
        </w:tc>
        <w:tc>
          <w:tcPr>
            <w:tcW w:w="4091" w:type="pct"/>
          </w:tcPr>
          <w:p w:rsidRPr="00981AAC" w:rsidR="00981AAC" w:rsidP="00BE1F8F" w:rsidRDefault="00981AAC" w14:paraId="1A842B89" w14:textId="77777777">
            <w:pPr>
              <w:overflowPunct w:val="0"/>
              <w:autoSpaceDE w:val="0"/>
              <w:autoSpaceDN w:val="0"/>
              <w:adjustRightInd w:val="0"/>
              <w:textAlignment w:val="baseline"/>
              <w:rPr>
                <w:i/>
              </w:rPr>
            </w:pPr>
            <w:r>
              <w:rPr>
                <w:i/>
              </w:rPr>
              <w:t>+32 25469524</w:t>
            </w:r>
          </w:p>
        </w:tc>
      </w:tr>
      <w:tr w:rsidRPr="00981AAC" w:rsidR="00981AAC" w:rsidTr="00713105" w14:paraId="4FA7AC41" w14:textId="77777777">
        <w:tc>
          <w:tcPr>
            <w:tcW w:w="909" w:type="pct"/>
          </w:tcPr>
          <w:p w:rsidRPr="00981AAC" w:rsidR="00981AAC" w:rsidP="00BE1F8F" w:rsidRDefault="00981AAC" w14:paraId="5EBD3C93" w14:textId="77777777">
            <w:pPr>
              <w:overflowPunct w:val="0"/>
              <w:autoSpaceDE w:val="0"/>
              <w:autoSpaceDN w:val="0"/>
              <w:adjustRightInd w:val="0"/>
              <w:textAlignment w:val="baseline"/>
              <w:rPr>
                <w:i/>
              </w:rPr>
            </w:pPr>
            <w:r>
              <w:rPr>
                <w:i/>
              </w:rPr>
              <w:t>E-post:</w:t>
            </w:r>
          </w:p>
        </w:tc>
        <w:tc>
          <w:tcPr>
            <w:tcW w:w="4091" w:type="pct"/>
          </w:tcPr>
          <w:p w:rsidRPr="00713105" w:rsidR="00981AAC" w:rsidP="00BE1F8F" w:rsidRDefault="008B5D7D" w14:paraId="03C24A43" w14:textId="0AF7A5D3">
            <w:pPr>
              <w:overflowPunct w:val="0"/>
              <w:autoSpaceDE w:val="0"/>
              <w:autoSpaceDN w:val="0"/>
              <w:adjustRightInd w:val="0"/>
              <w:textAlignment w:val="baseline"/>
            </w:pPr>
            <w:hyperlink w:history="1" r:id="rId35">
              <w:r w:rsidR="00DE572D">
                <w:rPr>
                  <w:i/>
                  <w:color w:val="0000FF"/>
                  <w:u w:val="single"/>
                </w:rPr>
                <w:t>Triin.AasmaaGomes@eesc.europa.eu</w:t>
              </w:r>
            </w:hyperlink>
          </w:p>
        </w:tc>
      </w:tr>
    </w:tbl>
    <w:p w:rsidRPr="00713105" w:rsidR="000D43E1" w:rsidP="00BE1F8F" w:rsidRDefault="000D43E1" w14:paraId="4982DDC2" w14:textId="686E2E23">
      <w:pPr>
        <w:jc w:val="left"/>
      </w:pPr>
      <w:r>
        <w:br w:type="page"/>
      </w:r>
    </w:p>
    <w:p w:rsidRPr="00DC45BC" w:rsidR="004D7AC0" w:rsidP="00BE1F8F" w:rsidRDefault="004D7AC0" w14:paraId="4982DDC5" w14:textId="3495F80F">
      <w:pPr>
        <w:jc w:val="left"/>
        <w:rPr>
          <w:sz w:val="8"/>
          <w:szCs w:val="8"/>
        </w:rPr>
      </w:pPr>
    </w:p>
    <w:p w:rsidR="004D7AC0" w:rsidP="00BE1F8F" w:rsidRDefault="004D7AC0" w14:paraId="4982DDC6" w14:textId="77777777">
      <w:pPr>
        <w:pStyle w:val="Heading1"/>
        <w:keepNext/>
        <w:keepLines/>
        <w:rPr>
          <w:b/>
        </w:rPr>
      </w:pPr>
      <w:bookmarkStart w:name="_Toc24617160" w:id="17"/>
      <w:bookmarkStart w:name="_Toc75527082" w:id="18"/>
      <w:bookmarkStart w:name="_Toc192683401" w:id="19"/>
      <w:r>
        <w:rPr>
          <w:b/>
        </w:rPr>
        <w:t>TRANSPORTER, ENERGI, INFRASTRUKTUR OCH INFORMATIONSSAMHÄLLET</w:t>
      </w:r>
      <w:bookmarkEnd w:id="17"/>
      <w:bookmarkEnd w:id="18"/>
      <w:bookmarkEnd w:id="19"/>
    </w:p>
    <w:p w:rsidR="004D7AC0" w:rsidP="00BE1F8F" w:rsidRDefault="004D7AC0" w14:paraId="4982DDF1" w14:textId="77777777"/>
    <w:p w:rsidRPr="00A230A4" w:rsidR="00A230A4" w:rsidP="00BE1F8F" w:rsidRDefault="008B5D7D" w14:paraId="64C335F9" w14:textId="3ECD80EF">
      <w:pPr>
        <w:widowControl w:val="0"/>
        <w:numPr>
          <w:ilvl w:val="0"/>
          <w:numId w:val="2"/>
        </w:numPr>
        <w:overflowPunct w:val="0"/>
        <w:autoSpaceDE w:val="0"/>
        <w:autoSpaceDN w:val="0"/>
        <w:adjustRightInd w:val="0"/>
        <w:ind w:hanging="567"/>
        <w:textAlignment w:val="baseline"/>
        <w:rPr>
          <w:b/>
          <w:bCs/>
          <w:i/>
          <w:iCs/>
          <w:sz w:val="28"/>
          <w:szCs w:val="28"/>
        </w:rPr>
      </w:pPr>
      <w:hyperlink w:history="1" r:id="rId36">
        <w:r w:rsidR="00DE572D">
          <w:rPr>
            <w:b/>
            <w:i/>
            <w:color w:val="0000FF"/>
            <w:sz w:val="28"/>
            <w:u w:val="single"/>
          </w:rPr>
          <w:t>Det fysiska fullbordandet av EU:s inre marknad i ett nytt geopolitiskt läge</w:t>
        </w:r>
      </w:hyperlink>
    </w:p>
    <w:p w:rsidRPr="00A230A4" w:rsidR="00A230A4" w:rsidP="00BE1F8F" w:rsidRDefault="00A230A4" w14:paraId="2FFA7CD5"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074"/>
        <w:gridCol w:w="7213"/>
      </w:tblGrid>
      <w:tr w:rsidRPr="00A230A4" w:rsidR="00A230A4" w:rsidTr="00713105" w14:paraId="6D4A0388" w14:textId="77777777">
        <w:tc>
          <w:tcPr>
            <w:tcW w:w="1701" w:type="dxa"/>
          </w:tcPr>
          <w:p w:rsidRPr="00A230A4" w:rsidR="00A230A4" w:rsidP="00BE1F8F" w:rsidRDefault="00A230A4" w14:paraId="3793B605" w14:textId="77777777">
            <w:pPr>
              <w:tabs>
                <w:tab w:val="center" w:pos="284"/>
              </w:tabs>
              <w:overflowPunct w:val="0"/>
              <w:autoSpaceDE w:val="0"/>
              <w:autoSpaceDN w:val="0"/>
              <w:adjustRightInd w:val="0"/>
              <w:ind w:left="266" w:hanging="266"/>
              <w:textAlignment w:val="baseline"/>
              <w:rPr>
                <w:b/>
              </w:rPr>
            </w:pPr>
            <w:r>
              <w:rPr>
                <w:b/>
              </w:rPr>
              <w:t>Föredragande:</w:t>
            </w:r>
          </w:p>
        </w:tc>
        <w:tc>
          <w:tcPr>
            <w:tcW w:w="7479" w:type="dxa"/>
          </w:tcPr>
          <w:p w:rsidRPr="00A230A4" w:rsidR="00A230A4" w:rsidP="00BE1F8F" w:rsidRDefault="00A230A4" w14:paraId="38BAB1F6" w14:textId="6CD83440">
            <w:pPr>
              <w:tabs>
                <w:tab w:val="center" w:pos="284"/>
              </w:tabs>
              <w:overflowPunct w:val="0"/>
              <w:autoSpaceDE w:val="0"/>
              <w:autoSpaceDN w:val="0"/>
              <w:adjustRightInd w:val="0"/>
              <w:ind w:left="266" w:hanging="266"/>
              <w:textAlignment w:val="baseline"/>
            </w:pPr>
            <w:r>
              <w:t>Päivi Elina Wood (Arbetsgivargruppen – FI)</w:t>
            </w:r>
          </w:p>
        </w:tc>
      </w:tr>
      <w:tr w:rsidRPr="00A230A4" w:rsidR="00A230A4" w:rsidTr="00713105" w14:paraId="19E7978D" w14:textId="77777777">
        <w:tc>
          <w:tcPr>
            <w:tcW w:w="1701" w:type="dxa"/>
          </w:tcPr>
          <w:p w:rsidRPr="00A230A4" w:rsidR="00A230A4" w:rsidP="00BE1F8F" w:rsidRDefault="00A230A4" w14:paraId="21EBC6AF" w14:textId="1650C1F5">
            <w:pPr>
              <w:tabs>
                <w:tab w:val="center" w:pos="284"/>
              </w:tabs>
              <w:overflowPunct w:val="0"/>
              <w:autoSpaceDE w:val="0"/>
              <w:autoSpaceDN w:val="0"/>
              <w:adjustRightInd w:val="0"/>
              <w:ind w:left="266" w:hanging="266"/>
              <w:textAlignment w:val="baseline"/>
              <w:rPr>
                <w:b/>
              </w:rPr>
            </w:pPr>
            <w:r>
              <w:rPr>
                <w:b/>
              </w:rPr>
              <w:t>Referensdokument:</w:t>
            </w:r>
          </w:p>
        </w:tc>
        <w:tc>
          <w:tcPr>
            <w:tcW w:w="7479" w:type="dxa"/>
          </w:tcPr>
          <w:p w:rsidRPr="00A230A4" w:rsidR="00A230A4" w:rsidP="00BE1F8F" w:rsidRDefault="00A230A4" w14:paraId="6D31E889" w14:textId="77777777">
            <w:pPr>
              <w:tabs>
                <w:tab w:val="center" w:pos="284"/>
              </w:tabs>
              <w:overflowPunct w:val="0"/>
              <w:autoSpaceDE w:val="0"/>
              <w:autoSpaceDN w:val="0"/>
              <w:adjustRightInd w:val="0"/>
              <w:ind w:left="266" w:hanging="266"/>
              <w:textAlignment w:val="baseline"/>
            </w:pPr>
            <w:r>
              <w:t>Yttrande på eget initiativ</w:t>
            </w:r>
          </w:p>
          <w:p w:rsidRPr="00A230A4" w:rsidR="00A230A4" w:rsidP="00BE1F8F" w:rsidRDefault="00A230A4" w14:paraId="2EB2BC1E" w14:textId="77777777">
            <w:pPr>
              <w:tabs>
                <w:tab w:val="center" w:pos="284"/>
              </w:tabs>
              <w:overflowPunct w:val="0"/>
              <w:autoSpaceDE w:val="0"/>
              <w:autoSpaceDN w:val="0"/>
              <w:adjustRightInd w:val="0"/>
              <w:ind w:left="266" w:hanging="266"/>
              <w:textAlignment w:val="baseline"/>
            </w:pPr>
            <w:r>
              <w:t>EESC-2024-03902-00-00-AC</w:t>
            </w:r>
          </w:p>
        </w:tc>
      </w:tr>
    </w:tbl>
    <w:p w:rsidRPr="00A230A4" w:rsidR="00A230A4" w:rsidP="00BE1F8F" w:rsidRDefault="00A230A4" w14:paraId="1945C70F" w14:textId="77777777">
      <w:pPr>
        <w:tabs>
          <w:tab w:val="center" w:pos="284"/>
        </w:tabs>
        <w:overflowPunct w:val="0"/>
        <w:autoSpaceDE w:val="0"/>
        <w:autoSpaceDN w:val="0"/>
        <w:adjustRightInd w:val="0"/>
        <w:ind w:left="266" w:hanging="266"/>
        <w:textAlignment w:val="baseline"/>
        <w:rPr>
          <w:lang w:val="en-GB"/>
        </w:rPr>
      </w:pPr>
    </w:p>
    <w:p w:rsidRPr="00A230A4" w:rsidR="00A230A4" w:rsidP="00BE1F8F" w:rsidRDefault="00A230A4" w14:paraId="24F24472"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A230A4" w:rsidR="00A230A4" w:rsidP="00BE1F8F" w:rsidRDefault="00A230A4" w14:paraId="7D389384" w14:textId="77777777">
      <w:pPr>
        <w:keepNext/>
        <w:keepLines/>
        <w:tabs>
          <w:tab w:val="center" w:pos="284"/>
        </w:tabs>
        <w:overflowPunct w:val="0"/>
        <w:autoSpaceDE w:val="0"/>
        <w:autoSpaceDN w:val="0"/>
        <w:adjustRightInd w:val="0"/>
        <w:ind w:left="266" w:hanging="266"/>
        <w:textAlignment w:val="baseline"/>
        <w:rPr>
          <w:b/>
          <w:lang w:val="en-GB"/>
        </w:rPr>
      </w:pPr>
    </w:p>
    <w:p w:rsidRPr="00A230A4" w:rsidR="00A230A4" w:rsidP="00BE1F8F" w:rsidRDefault="00A230A4" w14:paraId="7E802171" w14:textId="77777777">
      <w:pPr>
        <w:overflowPunct w:val="0"/>
        <w:autoSpaceDE w:val="0"/>
        <w:autoSpaceDN w:val="0"/>
        <w:adjustRightInd w:val="0"/>
        <w:textAlignment w:val="baseline"/>
        <w:rPr>
          <w:bCs/>
          <w:iCs/>
        </w:rPr>
      </w:pPr>
      <w:r>
        <w:t>Europeiska ekonomiska och sociala kommitténs (EESK) ståndpunkt:</w:t>
      </w:r>
    </w:p>
    <w:p w:rsidRPr="00A230A4" w:rsidR="00A230A4" w:rsidP="00BE1F8F" w:rsidRDefault="00A230A4" w14:paraId="6DCC695C" w14:textId="77777777">
      <w:pPr>
        <w:widowControl w:val="0"/>
        <w:numPr>
          <w:ilvl w:val="0"/>
          <w:numId w:val="28"/>
        </w:numPr>
        <w:overflowPunct w:val="0"/>
        <w:autoSpaceDE w:val="0"/>
        <w:autoSpaceDN w:val="0"/>
        <w:adjustRightInd w:val="0"/>
        <w:ind w:left="284" w:hanging="284"/>
        <w:textAlignment w:val="baseline"/>
        <w:rPr>
          <w:bCs/>
          <w:iCs/>
        </w:rPr>
      </w:pPr>
      <w:r>
        <w:t xml:space="preserve">EESK anser att det är mycket viktigt att fokusera mer på att förbättra transportsystemens </w:t>
      </w:r>
      <w:proofErr w:type="spellStart"/>
      <w:r>
        <w:t>resiliens</w:t>
      </w:r>
      <w:proofErr w:type="spellEnd"/>
      <w:r>
        <w:t xml:space="preserve"> och tillförlitlighet. Vi framhåller behovet av en ordentlig analys av konsekvenserna av kriser för alla transportsätt och eventuella nya problem i förbindelserna mellan olika områden inom EU.</w:t>
      </w:r>
    </w:p>
    <w:p w:rsidRPr="00A230A4" w:rsidR="00A230A4" w:rsidP="00BE1F8F" w:rsidRDefault="00A230A4" w14:paraId="55F2F225" w14:textId="77777777">
      <w:pPr>
        <w:widowControl w:val="0"/>
        <w:numPr>
          <w:ilvl w:val="0"/>
          <w:numId w:val="28"/>
        </w:numPr>
        <w:overflowPunct w:val="0"/>
        <w:autoSpaceDE w:val="0"/>
        <w:autoSpaceDN w:val="0"/>
        <w:adjustRightInd w:val="0"/>
        <w:ind w:left="284" w:hanging="284"/>
        <w:textAlignment w:val="baseline"/>
      </w:pPr>
      <w:r>
        <w:t>Det är absolut nödvändigt att nästa fleråriga budgetram innehåller lämpliga och välriktade anslag för investeringar i utveckling och underhåll av transportinfrastruktur, med utgångspunkt i målet att färdigställa TEN-T-stomnätet senast 2030.</w:t>
      </w:r>
    </w:p>
    <w:p w:rsidRPr="00A230A4" w:rsidR="00A230A4" w:rsidP="00BE1F8F" w:rsidRDefault="00A230A4" w14:paraId="64405BDE" w14:textId="77777777">
      <w:pPr>
        <w:widowControl w:val="0"/>
        <w:numPr>
          <w:ilvl w:val="0"/>
          <w:numId w:val="28"/>
        </w:numPr>
        <w:overflowPunct w:val="0"/>
        <w:autoSpaceDE w:val="0"/>
        <w:autoSpaceDN w:val="0"/>
        <w:adjustRightInd w:val="0"/>
        <w:ind w:left="284" w:hanging="284"/>
        <w:textAlignment w:val="baseline"/>
      </w:pPr>
      <w:r>
        <w:t>EESK anser att större vikt måste läggas vid dubbel användning av infrastruktur och militär rörlighet, samtidigt som man också samarbetar med Nato.</w:t>
      </w:r>
    </w:p>
    <w:p w:rsidRPr="00A230A4" w:rsidR="00A230A4" w:rsidP="00BE1F8F" w:rsidRDefault="00A230A4" w14:paraId="1411391B" w14:textId="77777777">
      <w:pPr>
        <w:widowControl w:val="0"/>
        <w:numPr>
          <w:ilvl w:val="0"/>
          <w:numId w:val="28"/>
        </w:numPr>
        <w:overflowPunct w:val="0"/>
        <w:autoSpaceDE w:val="0"/>
        <w:autoSpaceDN w:val="0"/>
        <w:adjustRightInd w:val="0"/>
        <w:ind w:left="284" w:hanging="284"/>
        <w:textAlignment w:val="baseline"/>
        <w:rPr>
          <w:szCs w:val="20"/>
        </w:rPr>
      </w:pPr>
      <w:r>
        <w:t>Kommittén betonar att det ur ett övergripande säkerhetsperspektiv är viktigt att göra EU:s gränsregioner mer dynamiska och förbättra deras förbindelser till den inre marknaden.</w:t>
      </w:r>
    </w:p>
    <w:p w:rsidRPr="00A230A4" w:rsidR="00A230A4" w:rsidP="00BE1F8F" w:rsidRDefault="00A230A4" w14:paraId="73C87209" w14:textId="77777777">
      <w:pPr>
        <w:widowControl w:val="0"/>
        <w:numPr>
          <w:ilvl w:val="0"/>
          <w:numId w:val="28"/>
        </w:numPr>
        <w:overflowPunct w:val="0"/>
        <w:autoSpaceDE w:val="0"/>
        <w:autoSpaceDN w:val="0"/>
        <w:adjustRightInd w:val="0"/>
        <w:ind w:left="284" w:hanging="284"/>
        <w:textAlignment w:val="baseline"/>
        <w:rPr>
          <w:szCs w:val="20"/>
        </w:rPr>
      </w:pPr>
      <w:r>
        <w:t>Vi efterlyser åtgärder för att underlätta arbetskraftens rörlighet, stärka kompetens och färdigheter och göra transportsektorn mer attraktiv.</w:t>
      </w:r>
    </w:p>
    <w:p w:rsidRPr="00A230A4" w:rsidR="00A230A4" w:rsidP="00713105" w:rsidRDefault="00A230A4" w14:paraId="7F485678" w14:textId="77777777">
      <w:pPr>
        <w:widowControl w:val="0"/>
        <w:overflowPunct w:val="0"/>
        <w:autoSpaceDE w:val="0"/>
        <w:autoSpaceDN w:val="0"/>
        <w:adjustRightInd w:val="0"/>
        <w:textAlignment w:val="baseline"/>
        <w:rPr>
          <w:szCs w:val="20"/>
          <w:lang w:val="en-GB"/>
        </w:rPr>
      </w:pPr>
    </w:p>
    <w:tbl>
      <w:tblPr>
        <w:tblW w:w="9322" w:type="dxa"/>
        <w:tblLook w:val="04A0" w:firstRow="1" w:lastRow="0" w:firstColumn="1" w:lastColumn="0" w:noHBand="0" w:noVBand="1"/>
      </w:tblPr>
      <w:tblGrid>
        <w:gridCol w:w="1668"/>
        <w:gridCol w:w="7654"/>
      </w:tblGrid>
      <w:tr w:rsidRPr="00A230A4" w:rsidR="00A230A4" w:rsidTr="00713105" w14:paraId="4840AB28" w14:textId="77777777">
        <w:tc>
          <w:tcPr>
            <w:tcW w:w="1668" w:type="dxa"/>
          </w:tcPr>
          <w:p w:rsidRPr="00A230A4" w:rsidR="00A230A4" w:rsidP="00BE1F8F" w:rsidRDefault="00A230A4" w14:paraId="152A2305" w14:textId="0FD46E52">
            <w:pPr>
              <w:overflowPunct w:val="0"/>
              <w:autoSpaceDE w:val="0"/>
              <w:autoSpaceDN w:val="0"/>
              <w:adjustRightInd w:val="0"/>
              <w:textAlignment w:val="baseline"/>
              <w:rPr>
                <w:i/>
              </w:rPr>
            </w:pPr>
            <w:r>
              <w:rPr>
                <w:b/>
                <w:i/>
              </w:rPr>
              <w:t>Kontaktperson</w:t>
            </w:r>
            <w:r w:rsidR="00AD372D">
              <w:rPr>
                <w:b/>
                <w:i/>
              </w:rPr>
              <w:t>:</w:t>
            </w:r>
          </w:p>
        </w:tc>
        <w:tc>
          <w:tcPr>
            <w:tcW w:w="7654" w:type="dxa"/>
          </w:tcPr>
          <w:p w:rsidRPr="00A230A4" w:rsidR="00A230A4" w:rsidP="00BE1F8F" w:rsidRDefault="00A230A4" w14:paraId="0C8E402D" w14:textId="2EF89DD1">
            <w:pPr>
              <w:overflowPunct w:val="0"/>
              <w:autoSpaceDE w:val="0"/>
              <w:autoSpaceDN w:val="0"/>
              <w:adjustRightInd w:val="0"/>
              <w:textAlignment w:val="baseline"/>
              <w:rPr>
                <w:i/>
              </w:rPr>
            </w:pPr>
            <w:r>
              <w:rPr>
                <w:i/>
              </w:rPr>
              <w:t xml:space="preserve">Albert </w:t>
            </w:r>
            <w:proofErr w:type="spellStart"/>
            <w:r>
              <w:rPr>
                <w:i/>
              </w:rPr>
              <w:t>Precup</w:t>
            </w:r>
            <w:proofErr w:type="spellEnd"/>
          </w:p>
        </w:tc>
      </w:tr>
      <w:tr w:rsidRPr="00A230A4" w:rsidR="00A230A4" w:rsidTr="00713105" w14:paraId="19BEAAAD" w14:textId="77777777">
        <w:tc>
          <w:tcPr>
            <w:tcW w:w="1668" w:type="dxa"/>
          </w:tcPr>
          <w:p w:rsidRPr="00A230A4" w:rsidR="00A230A4" w:rsidP="00BE1F8F" w:rsidRDefault="00A230A4" w14:paraId="73F2E8D5" w14:textId="3D08A5FB">
            <w:pPr>
              <w:overflowPunct w:val="0"/>
              <w:autoSpaceDE w:val="0"/>
              <w:autoSpaceDN w:val="0"/>
              <w:adjustRightInd w:val="0"/>
              <w:textAlignment w:val="baseline"/>
              <w:rPr>
                <w:i/>
              </w:rPr>
            </w:pPr>
            <w:r>
              <w:rPr>
                <w:i/>
              </w:rPr>
              <w:t>Tfn</w:t>
            </w:r>
            <w:r w:rsidR="00AD372D">
              <w:rPr>
                <w:i/>
              </w:rPr>
              <w:t>:</w:t>
            </w:r>
          </w:p>
        </w:tc>
        <w:tc>
          <w:tcPr>
            <w:tcW w:w="7654" w:type="dxa"/>
          </w:tcPr>
          <w:p w:rsidRPr="00A230A4" w:rsidR="00A230A4" w:rsidP="00BE1F8F" w:rsidRDefault="00A230A4" w14:paraId="48DB2246" w14:textId="44656696">
            <w:pPr>
              <w:overflowPunct w:val="0"/>
              <w:autoSpaceDE w:val="0"/>
              <w:autoSpaceDN w:val="0"/>
              <w:adjustRightInd w:val="0"/>
              <w:textAlignment w:val="baseline"/>
              <w:rPr>
                <w:i/>
              </w:rPr>
            </w:pPr>
            <w:r>
              <w:rPr>
                <w:i/>
              </w:rPr>
              <w:t>+32 25469326</w:t>
            </w:r>
          </w:p>
        </w:tc>
      </w:tr>
      <w:tr w:rsidRPr="00A230A4" w:rsidR="00A230A4" w:rsidTr="00713105" w14:paraId="0708081C" w14:textId="77777777">
        <w:tc>
          <w:tcPr>
            <w:tcW w:w="1668" w:type="dxa"/>
          </w:tcPr>
          <w:p w:rsidRPr="00A230A4" w:rsidR="00A230A4" w:rsidP="00BE1F8F" w:rsidRDefault="0005257A" w14:paraId="42A6811E" w14:textId="3D597CE0">
            <w:pPr>
              <w:overflowPunct w:val="0"/>
              <w:autoSpaceDE w:val="0"/>
              <w:autoSpaceDN w:val="0"/>
              <w:adjustRightInd w:val="0"/>
              <w:textAlignment w:val="baseline"/>
              <w:rPr>
                <w:i/>
              </w:rPr>
            </w:pPr>
            <w:r>
              <w:rPr>
                <w:i/>
              </w:rPr>
              <w:t>E-post:</w:t>
            </w:r>
          </w:p>
        </w:tc>
        <w:tc>
          <w:tcPr>
            <w:tcW w:w="7654" w:type="dxa"/>
          </w:tcPr>
          <w:p w:rsidRPr="00A230A4" w:rsidR="00A230A4" w:rsidP="00BE1F8F" w:rsidRDefault="008B5D7D" w14:paraId="08B446AD" w14:textId="03934908">
            <w:pPr>
              <w:overflowPunct w:val="0"/>
              <w:autoSpaceDE w:val="0"/>
              <w:autoSpaceDN w:val="0"/>
              <w:adjustRightInd w:val="0"/>
              <w:textAlignment w:val="baseline"/>
              <w:rPr>
                <w:i/>
              </w:rPr>
            </w:pPr>
            <w:hyperlink w:history="1" r:id="rId37">
              <w:r w:rsidR="00DE572D">
                <w:rPr>
                  <w:i/>
                  <w:color w:val="0000FF"/>
                  <w:u w:val="single"/>
                </w:rPr>
                <w:t>Albert.Precup@eesc.europa.eu</w:t>
              </w:r>
            </w:hyperlink>
          </w:p>
        </w:tc>
      </w:tr>
    </w:tbl>
    <w:p w:rsidR="004D7AC0" w:rsidP="00BE1F8F" w:rsidRDefault="004D7AC0" w14:paraId="4982DDF2" w14:textId="77777777">
      <w:pPr>
        <w:jc w:val="left"/>
      </w:pPr>
      <w:r>
        <w:br w:type="page"/>
      </w:r>
    </w:p>
    <w:p w:rsidR="004D7AC0" w:rsidP="00BE1F8F" w:rsidRDefault="004D7AC0" w14:paraId="4982DDF3" w14:textId="77777777">
      <w:pPr>
        <w:pStyle w:val="Heading1"/>
        <w:rPr>
          <w:b/>
        </w:rPr>
      </w:pPr>
      <w:bookmarkStart w:name="_Toc75527083" w:id="20"/>
      <w:bookmarkStart w:name="_Toc192683402" w:id="21"/>
      <w:r>
        <w:rPr>
          <w:b/>
        </w:rPr>
        <w:lastRenderedPageBreak/>
        <w:t>INRE MARKNADEN, PRODUKTION OCH KONSUMTION</w:t>
      </w:r>
      <w:bookmarkEnd w:id="20"/>
      <w:bookmarkEnd w:id="21"/>
    </w:p>
    <w:p w:rsidR="004D7AC0" w:rsidP="00BE1F8F" w:rsidRDefault="004D7AC0" w14:paraId="4982DDF4" w14:textId="77777777"/>
    <w:p w:rsidRPr="001131B6" w:rsidR="009D7E2D" w:rsidP="001131B6" w:rsidRDefault="008B5D7D" w14:paraId="4C3E6230" w14:textId="2999EF33">
      <w:pPr>
        <w:widowControl w:val="0"/>
        <w:numPr>
          <w:ilvl w:val="0"/>
          <w:numId w:val="2"/>
        </w:numPr>
        <w:overflowPunct w:val="0"/>
        <w:autoSpaceDE w:val="0"/>
        <w:autoSpaceDN w:val="0"/>
        <w:adjustRightInd w:val="0"/>
        <w:ind w:hanging="567"/>
        <w:textAlignment w:val="baseline"/>
        <w:rPr>
          <w:b/>
          <w:bCs/>
          <w:i/>
          <w:iCs/>
          <w:sz w:val="28"/>
          <w:szCs w:val="28"/>
        </w:rPr>
      </w:pPr>
      <w:hyperlink w:history="1" r:id="rId38">
        <w:r w:rsidR="00DE572D">
          <w:rPr>
            <w:rStyle w:val="Hyperlink"/>
            <w:b/>
            <w:i/>
            <w:sz w:val="28"/>
          </w:rPr>
          <w:t>Konsumentskydd och den dubbla digitala och gröna omställningens konsekvenser för konsumenterna</w:t>
        </w:r>
      </w:hyperlink>
    </w:p>
    <w:p w:rsidRPr="009D7E2D" w:rsidR="009D7E2D" w:rsidP="00BE1F8F" w:rsidRDefault="009D7E2D" w14:paraId="1049AE1F" w14:textId="77777777">
      <w:pPr>
        <w:widowControl w:val="0"/>
        <w:overflowPunct w:val="0"/>
        <w:autoSpaceDE w:val="0"/>
        <w:autoSpaceDN w:val="0"/>
        <w:adjustRightInd w:val="0"/>
        <w:ind w:left="266"/>
        <w:textAlignment w:val="baseline"/>
        <w:rPr>
          <w:b/>
          <w:lang w:val="en-GB"/>
        </w:rPr>
      </w:pPr>
    </w:p>
    <w:tbl>
      <w:tblPr>
        <w:tblW w:w="4941" w:type="pct"/>
        <w:tblLook w:val="04A0" w:firstRow="1" w:lastRow="0" w:firstColumn="1" w:lastColumn="0" w:noHBand="0" w:noVBand="1"/>
      </w:tblPr>
      <w:tblGrid>
        <w:gridCol w:w="2074"/>
        <w:gridCol w:w="7103"/>
      </w:tblGrid>
      <w:tr w:rsidRPr="009D7E2D" w:rsidR="009D7E2D" w:rsidTr="00B51A72" w14:paraId="436EE5FD" w14:textId="77777777">
        <w:tc>
          <w:tcPr>
            <w:tcW w:w="909" w:type="pct"/>
          </w:tcPr>
          <w:p w:rsidRPr="009D7E2D" w:rsidR="009D7E2D" w:rsidP="00BE1F8F" w:rsidRDefault="009D7E2D" w14:paraId="75A99734" w14:textId="77777777">
            <w:pPr>
              <w:tabs>
                <w:tab w:val="center" w:pos="284"/>
              </w:tabs>
              <w:overflowPunct w:val="0"/>
              <w:autoSpaceDE w:val="0"/>
              <w:autoSpaceDN w:val="0"/>
              <w:adjustRightInd w:val="0"/>
              <w:ind w:left="266" w:hanging="266"/>
              <w:textAlignment w:val="baseline"/>
              <w:rPr>
                <w:b/>
              </w:rPr>
            </w:pPr>
            <w:r>
              <w:rPr>
                <w:b/>
              </w:rPr>
              <w:t>Föredragande:</w:t>
            </w:r>
          </w:p>
        </w:tc>
        <w:tc>
          <w:tcPr>
            <w:tcW w:w="4091" w:type="pct"/>
          </w:tcPr>
          <w:p w:rsidRPr="009D7E2D" w:rsidR="009D7E2D" w:rsidP="00BE1F8F" w:rsidRDefault="009D7E2D" w14:paraId="061A8BB9" w14:textId="77777777">
            <w:pPr>
              <w:overflowPunct w:val="0"/>
              <w:autoSpaceDE w:val="0"/>
              <w:autoSpaceDN w:val="0"/>
              <w:adjustRightInd w:val="0"/>
              <w:textAlignment w:val="baseline"/>
            </w:pPr>
            <w:proofErr w:type="spellStart"/>
            <w:r>
              <w:t>Ileana</w:t>
            </w:r>
            <w:proofErr w:type="spellEnd"/>
            <w:r>
              <w:t xml:space="preserve"> </w:t>
            </w:r>
            <w:proofErr w:type="spellStart"/>
            <w:r>
              <w:t>Izverniceanu</w:t>
            </w:r>
            <w:proofErr w:type="spellEnd"/>
            <w:r>
              <w:t xml:space="preserve"> de la </w:t>
            </w:r>
            <w:proofErr w:type="spellStart"/>
            <w:r>
              <w:t>Iglesia</w:t>
            </w:r>
            <w:proofErr w:type="spellEnd"/>
            <w:r>
              <w:t xml:space="preserve"> (Gruppen för civilsamhällesorganisationer – ES)</w:t>
            </w:r>
          </w:p>
        </w:tc>
      </w:tr>
      <w:tr w:rsidRPr="009D7E2D" w:rsidR="009D7E2D" w:rsidTr="00B51A72" w14:paraId="61B6CD20" w14:textId="77777777">
        <w:tc>
          <w:tcPr>
            <w:tcW w:w="909" w:type="pct"/>
            <w:vMerge w:val="restart"/>
          </w:tcPr>
          <w:p w:rsidRPr="009D7E2D" w:rsidR="009D7E2D" w:rsidP="00BE1F8F" w:rsidRDefault="009D7E2D" w14:paraId="4A0DBE9C" w14:textId="011D688E">
            <w:pPr>
              <w:tabs>
                <w:tab w:val="center" w:pos="284"/>
              </w:tabs>
              <w:overflowPunct w:val="0"/>
              <w:autoSpaceDE w:val="0"/>
              <w:autoSpaceDN w:val="0"/>
              <w:adjustRightInd w:val="0"/>
              <w:ind w:left="266" w:hanging="266"/>
              <w:textAlignment w:val="baseline"/>
              <w:rPr>
                <w:b/>
              </w:rPr>
            </w:pPr>
            <w:r>
              <w:rPr>
                <w:b/>
              </w:rPr>
              <w:t>Referensdokument:</w:t>
            </w:r>
          </w:p>
        </w:tc>
        <w:tc>
          <w:tcPr>
            <w:tcW w:w="4091" w:type="pct"/>
          </w:tcPr>
          <w:p w:rsidRPr="009D7E2D" w:rsidR="009D7E2D" w:rsidP="00B51A72" w:rsidRDefault="009D7E2D" w14:paraId="0C563187" w14:textId="052EB171">
            <w:pPr>
              <w:overflowPunct w:val="0"/>
              <w:autoSpaceDE w:val="0"/>
              <w:autoSpaceDN w:val="0"/>
              <w:adjustRightInd w:val="0"/>
              <w:textAlignment w:val="baseline"/>
            </w:pPr>
            <w:r>
              <w:t>(förberedande yttrande på begäran av det polska rådsordförandeskapet)</w:t>
            </w:r>
          </w:p>
        </w:tc>
      </w:tr>
      <w:tr w:rsidRPr="009D7E2D" w:rsidR="009D7E2D" w:rsidTr="00B51A72" w14:paraId="52EB6CD9" w14:textId="77777777">
        <w:tc>
          <w:tcPr>
            <w:tcW w:w="909" w:type="pct"/>
            <w:vMerge/>
          </w:tcPr>
          <w:p w:rsidRPr="009D7E2D" w:rsidR="009D7E2D" w:rsidP="00BE1F8F" w:rsidRDefault="009D7E2D" w14:paraId="3CE83099" w14:textId="77777777">
            <w:pPr>
              <w:tabs>
                <w:tab w:val="center" w:pos="284"/>
              </w:tabs>
              <w:overflowPunct w:val="0"/>
              <w:autoSpaceDE w:val="0"/>
              <w:autoSpaceDN w:val="0"/>
              <w:adjustRightInd w:val="0"/>
              <w:ind w:left="266" w:hanging="266"/>
              <w:textAlignment w:val="baseline"/>
              <w:rPr>
                <w:b/>
              </w:rPr>
            </w:pPr>
          </w:p>
        </w:tc>
        <w:tc>
          <w:tcPr>
            <w:tcW w:w="4091" w:type="pct"/>
          </w:tcPr>
          <w:p w:rsidRPr="009D7E2D" w:rsidR="009D7E2D" w:rsidP="00BE1F8F" w:rsidRDefault="009D7E2D" w14:paraId="329D2D9B" w14:textId="77777777">
            <w:pPr>
              <w:tabs>
                <w:tab w:val="center" w:pos="284"/>
              </w:tabs>
              <w:overflowPunct w:val="0"/>
              <w:autoSpaceDE w:val="0"/>
              <w:autoSpaceDN w:val="0"/>
              <w:adjustRightInd w:val="0"/>
              <w:ind w:left="266" w:hanging="266"/>
              <w:textAlignment w:val="baseline"/>
            </w:pPr>
            <w:r>
              <w:t>EESC-2024-03566-00-00-AC</w:t>
            </w:r>
          </w:p>
        </w:tc>
      </w:tr>
    </w:tbl>
    <w:p w:rsidRPr="009D7E2D" w:rsidR="009D7E2D" w:rsidP="00BE1F8F" w:rsidRDefault="009D7E2D" w14:paraId="2CBB9CFF" w14:textId="77777777">
      <w:pPr>
        <w:tabs>
          <w:tab w:val="center" w:pos="284"/>
        </w:tabs>
        <w:overflowPunct w:val="0"/>
        <w:autoSpaceDE w:val="0"/>
        <w:autoSpaceDN w:val="0"/>
        <w:adjustRightInd w:val="0"/>
        <w:ind w:left="266" w:hanging="266"/>
        <w:textAlignment w:val="baseline"/>
        <w:rPr>
          <w:lang w:val="en-GB"/>
        </w:rPr>
      </w:pPr>
    </w:p>
    <w:p w:rsidRPr="009D7E2D" w:rsidR="009D7E2D" w:rsidP="00BE1F8F" w:rsidRDefault="009D7E2D" w14:paraId="3482A626"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9D7E2D" w:rsidR="009D7E2D" w:rsidP="00BE1F8F" w:rsidRDefault="009D7E2D" w14:paraId="132CCC89" w14:textId="77777777">
      <w:pPr>
        <w:keepNext/>
        <w:keepLines/>
        <w:tabs>
          <w:tab w:val="center" w:pos="284"/>
        </w:tabs>
        <w:overflowPunct w:val="0"/>
        <w:autoSpaceDE w:val="0"/>
        <w:autoSpaceDN w:val="0"/>
        <w:adjustRightInd w:val="0"/>
        <w:ind w:left="266" w:hanging="266"/>
        <w:textAlignment w:val="baseline"/>
        <w:rPr>
          <w:b/>
          <w:lang w:val="en-GB"/>
        </w:rPr>
      </w:pPr>
    </w:p>
    <w:p w:rsidRPr="009D7E2D" w:rsidR="009D7E2D" w:rsidP="00BE1F8F" w:rsidRDefault="008B5D7D" w14:paraId="38AF573F" w14:textId="77777777">
      <w:pPr>
        <w:overflowPunct w:val="0"/>
        <w:autoSpaceDE w:val="0"/>
        <w:autoSpaceDN w:val="0"/>
        <w:adjustRightInd w:val="0"/>
        <w:textAlignment w:val="baseline"/>
        <w:rPr>
          <w:i/>
          <w:iCs/>
          <w:sz w:val="24"/>
          <w:szCs w:val="24"/>
        </w:rPr>
      </w:pPr>
      <w:hyperlink w:history="1" r:id="rId39">
        <w:r w:rsidR="009D7E2D">
          <w:rPr>
            <w:i/>
            <w:color w:val="0000FF"/>
            <w:u w:val="single"/>
          </w:rPr>
          <w:t xml:space="preserve">EU:s </w:t>
        </w:r>
        <w:proofErr w:type="spellStart"/>
        <w:r w:rsidR="009D7E2D">
          <w:rPr>
            <w:i/>
            <w:color w:val="0000FF"/>
            <w:u w:val="single"/>
          </w:rPr>
          <w:t>ungdomstest</w:t>
        </w:r>
        <w:proofErr w:type="spellEnd"/>
        <w:r w:rsidR="009D7E2D">
          <w:rPr>
            <w:i/>
            <w:color w:val="0000FF"/>
            <w:u w:val="single"/>
          </w:rPr>
          <w:t xml:space="preserve"> vid EESK</w:t>
        </w:r>
      </w:hyperlink>
      <w:r w:rsidR="009D7E2D">
        <w:rPr>
          <w:i/>
        </w:rPr>
        <w:t xml:space="preserve"> tillämpas på detta yttrande. Det europeiska ungdomsnätverket för energi valdes ut av en grupp intresserade ungdomsorganisationer för att företräda dem i samband med utarbetandet av yttrandet.</w:t>
      </w:r>
    </w:p>
    <w:p w:rsidRPr="009D7E2D" w:rsidR="009D7E2D" w:rsidP="00BE1F8F" w:rsidRDefault="009D7E2D" w14:paraId="39B2DD8F" w14:textId="77777777">
      <w:pPr>
        <w:keepNext/>
        <w:keepLines/>
        <w:tabs>
          <w:tab w:val="center" w:pos="284"/>
        </w:tabs>
        <w:overflowPunct w:val="0"/>
        <w:autoSpaceDE w:val="0"/>
        <w:autoSpaceDN w:val="0"/>
        <w:adjustRightInd w:val="0"/>
        <w:ind w:left="266" w:hanging="266"/>
        <w:textAlignment w:val="baseline"/>
        <w:rPr>
          <w:b/>
          <w:lang w:val="en-GB"/>
        </w:rPr>
      </w:pPr>
    </w:p>
    <w:p w:rsidR="009D7E2D" w:rsidP="00BE1F8F" w:rsidRDefault="009D7E2D" w14:paraId="1DEA9057"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9D7E2D" w:rsidR="009D7E2D" w:rsidP="00BE1F8F" w:rsidRDefault="009D7E2D" w14:paraId="4AB027D5" w14:textId="77777777">
      <w:pPr>
        <w:widowControl w:val="0"/>
        <w:numPr>
          <w:ilvl w:val="0"/>
          <w:numId w:val="29"/>
        </w:numPr>
        <w:overflowPunct w:val="0"/>
        <w:autoSpaceDE w:val="0"/>
        <w:autoSpaceDN w:val="0"/>
        <w:adjustRightInd w:val="0"/>
        <w:ind w:left="284" w:hanging="284"/>
        <w:textAlignment w:val="baseline"/>
        <w:rPr>
          <w:bCs/>
          <w:iCs/>
        </w:rPr>
      </w:pPr>
      <w:r>
        <w:t>EESK anser att det är nödvändigt att på EU-nivå harmonisera obligatoriska och frivilliga produktinformationskrav, undvika överflödig information och säkerställa att märkningen är tillförlitlig så att konsumenterna kan välja mer hållbara konsumtionsmönster.</w:t>
      </w:r>
    </w:p>
    <w:p w:rsidRPr="009D7E2D" w:rsidR="009D7E2D" w:rsidP="00BE1F8F" w:rsidRDefault="009D7E2D" w14:paraId="62F4E221" w14:textId="77777777">
      <w:pPr>
        <w:widowControl w:val="0"/>
        <w:numPr>
          <w:ilvl w:val="0"/>
          <w:numId w:val="29"/>
        </w:numPr>
        <w:overflowPunct w:val="0"/>
        <w:autoSpaceDE w:val="0"/>
        <w:autoSpaceDN w:val="0"/>
        <w:adjustRightInd w:val="0"/>
        <w:ind w:left="284" w:hanging="284"/>
        <w:textAlignment w:val="baseline"/>
        <w:rPr>
          <w:bCs/>
          <w:iCs/>
        </w:rPr>
      </w:pPr>
      <w:r>
        <w:t>Produkter bör märkas på ett sätt som underlättar välgrundade inköp och tillhandahåller information om produkternas livscykelkostnader, energieffektivitet, hållbarhet och reparerbarhet.</w:t>
      </w:r>
    </w:p>
    <w:p w:rsidRPr="009D7E2D" w:rsidR="009D7E2D" w:rsidP="00BE1F8F" w:rsidRDefault="009D7E2D" w14:paraId="6793FE54" w14:textId="77777777">
      <w:pPr>
        <w:widowControl w:val="0"/>
        <w:numPr>
          <w:ilvl w:val="0"/>
          <w:numId w:val="29"/>
        </w:numPr>
        <w:overflowPunct w:val="0"/>
        <w:autoSpaceDE w:val="0"/>
        <w:autoSpaceDN w:val="0"/>
        <w:adjustRightInd w:val="0"/>
        <w:ind w:left="284" w:hanging="284"/>
        <w:textAlignment w:val="baseline"/>
        <w:rPr>
          <w:bCs/>
          <w:iCs/>
        </w:rPr>
      </w:pPr>
      <w:r>
        <w:t>Kommissionen och de nationella myndigheterna bör utveckla en lämplig ram för att säkerställa tillgång till hållbara produkter genom skatteincitament och, i vissa fall, direkta subventioner för att minska prisskillnaden.</w:t>
      </w:r>
    </w:p>
    <w:p w:rsidRPr="009D7E2D" w:rsidR="009D7E2D" w:rsidP="00BE1F8F" w:rsidRDefault="009D7E2D" w14:paraId="3390BD66" w14:textId="77777777">
      <w:pPr>
        <w:widowControl w:val="0"/>
        <w:numPr>
          <w:ilvl w:val="0"/>
          <w:numId w:val="29"/>
        </w:numPr>
        <w:overflowPunct w:val="0"/>
        <w:autoSpaceDE w:val="0"/>
        <w:autoSpaceDN w:val="0"/>
        <w:adjustRightInd w:val="0"/>
        <w:ind w:left="284" w:hanging="284"/>
        <w:textAlignment w:val="baseline"/>
        <w:rPr>
          <w:bCs/>
          <w:iCs/>
        </w:rPr>
      </w:pPr>
      <w:r>
        <w:t>Ändamålsenlig politik bör genomföras för att säkerställa tillgång till den digitala marknaden, särskilt på landsbygden och i glesbefolkade områden, samt för att integrera konsumenter med lägre digital kompetens.</w:t>
      </w:r>
    </w:p>
    <w:p w:rsidRPr="009D7E2D" w:rsidR="009D7E2D" w:rsidP="00BE1F8F" w:rsidRDefault="009D7E2D" w14:paraId="52BEC693" w14:textId="77777777">
      <w:pPr>
        <w:widowControl w:val="0"/>
        <w:numPr>
          <w:ilvl w:val="0"/>
          <w:numId w:val="29"/>
        </w:numPr>
        <w:overflowPunct w:val="0"/>
        <w:autoSpaceDE w:val="0"/>
        <w:autoSpaceDN w:val="0"/>
        <w:adjustRightInd w:val="0"/>
        <w:ind w:left="284" w:hanging="284"/>
        <w:textAlignment w:val="baseline"/>
      </w:pPr>
      <w:r>
        <w:t>Det är viktigt att utbilda konsumenterna så att de kan fatta välgrundade beslut.</w:t>
      </w:r>
    </w:p>
    <w:p w:rsidRPr="009D7E2D" w:rsidR="009D7E2D" w:rsidP="00BE1F8F" w:rsidRDefault="009D7E2D" w14:paraId="7BD4CB0B" w14:textId="77777777">
      <w:pPr>
        <w:widowControl w:val="0"/>
        <w:numPr>
          <w:ilvl w:val="0"/>
          <w:numId w:val="29"/>
        </w:numPr>
        <w:overflowPunct w:val="0"/>
        <w:autoSpaceDE w:val="0"/>
        <w:autoSpaceDN w:val="0"/>
        <w:adjustRightInd w:val="0"/>
        <w:ind w:left="284" w:hanging="284"/>
        <w:textAlignment w:val="baseline"/>
      </w:pPr>
      <w:r>
        <w:t>Vi understryker att konsumentorganisationernas roll är viktig i den dubbla digitala och gröna omställningen och att de behöver säker finansiering.</w:t>
      </w:r>
    </w:p>
    <w:p w:rsidRPr="009D7E2D" w:rsidR="009D7E2D" w:rsidP="00BE1F8F" w:rsidRDefault="009D7E2D" w14:paraId="2D7E5670" w14:textId="77777777">
      <w:pPr>
        <w:widowControl w:val="0"/>
        <w:numPr>
          <w:ilvl w:val="0"/>
          <w:numId w:val="29"/>
        </w:numPr>
        <w:overflowPunct w:val="0"/>
        <w:autoSpaceDE w:val="0"/>
        <w:autoSpaceDN w:val="0"/>
        <w:adjustRightInd w:val="0"/>
        <w:ind w:left="284" w:hanging="284"/>
        <w:textAlignment w:val="baseline"/>
      </w:pPr>
      <w:r>
        <w:t>Även sårbara konsumenter behöver tillgång till hållbara produkter till överkomliga priser och det är viktigt att ha i åtanke att sårbarheten kan vara av olika karaktär och förändras över tid.</w:t>
      </w:r>
    </w:p>
    <w:p w:rsidRPr="009D7E2D" w:rsidR="009D7E2D" w:rsidP="00BE1F8F" w:rsidRDefault="009D7E2D" w14:paraId="62C6E0D3"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Dessutom bör EU ta itu med de negativa effekterna av plattformar från tredjeländer som erbjuder produkter till låga priser, samt införa ett striktare regelverk inbegripet effektiva tullar.</w:t>
      </w:r>
    </w:p>
    <w:p w:rsidRPr="009D7E2D" w:rsidR="009D7E2D" w:rsidP="00BE1F8F" w:rsidRDefault="009D7E2D" w14:paraId="02ABEC34"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995"/>
        <w:gridCol w:w="7292"/>
      </w:tblGrid>
      <w:tr w:rsidRPr="009D7E2D" w:rsidR="009D7E2D" w:rsidTr="00A3780E" w14:paraId="5FEB6264" w14:textId="77777777">
        <w:tc>
          <w:tcPr>
            <w:tcW w:w="1074" w:type="pct"/>
          </w:tcPr>
          <w:p w:rsidRPr="009D7E2D" w:rsidR="009D7E2D" w:rsidP="00BE1F8F" w:rsidRDefault="009D7E2D" w14:paraId="1891296F" w14:textId="332D9305">
            <w:pPr>
              <w:overflowPunct w:val="0"/>
              <w:autoSpaceDE w:val="0"/>
              <w:autoSpaceDN w:val="0"/>
              <w:adjustRightInd w:val="0"/>
              <w:textAlignment w:val="baseline"/>
              <w:rPr>
                <w:i/>
              </w:rPr>
            </w:pPr>
            <w:r>
              <w:rPr>
                <w:b/>
                <w:i/>
              </w:rPr>
              <w:t>Kontaktpersoner:</w:t>
            </w:r>
          </w:p>
        </w:tc>
        <w:tc>
          <w:tcPr>
            <w:tcW w:w="3926" w:type="pct"/>
          </w:tcPr>
          <w:p w:rsidR="00713105" w:rsidP="00BE1F8F" w:rsidRDefault="009D7E2D" w14:paraId="2EBED78A" w14:textId="77777777">
            <w:pPr>
              <w:overflowPunct w:val="0"/>
              <w:autoSpaceDE w:val="0"/>
              <w:autoSpaceDN w:val="0"/>
              <w:adjustRightInd w:val="0"/>
              <w:textAlignment w:val="baseline"/>
              <w:rPr>
                <w:bCs/>
                <w:i/>
              </w:rPr>
            </w:pPr>
            <w:r>
              <w:rPr>
                <w:i/>
              </w:rPr>
              <w:t xml:space="preserve">Radoslava </w:t>
            </w:r>
            <w:proofErr w:type="spellStart"/>
            <w:r>
              <w:rPr>
                <w:i/>
              </w:rPr>
              <w:t>Štefanková</w:t>
            </w:r>
            <w:proofErr w:type="spellEnd"/>
          </w:p>
          <w:p w:rsidRPr="009D7E2D" w:rsidR="009D7E2D" w:rsidP="00BE1F8F" w:rsidRDefault="009D7E2D" w14:paraId="13EF570E" w14:textId="166D0132">
            <w:pPr>
              <w:overflowPunct w:val="0"/>
              <w:autoSpaceDE w:val="0"/>
              <w:autoSpaceDN w:val="0"/>
              <w:adjustRightInd w:val="0"/>
              <w:textAlignment w:val="baseline"/>
              <w:rPr>
                <w:bCs/>
                <w:i/>
              </w:rPr>
            </w:pPr>
            <w:proofErr w:type="spellStart"/>
            <w:r>
              <w:rPr>
                <w:i/>
              </w:rPr>
              <w:t>Yousra</w:t>
            </w:r>
            <w:proofErr w:type="spellEnd"/>
            <w:r>
              <w:rPr>
                <w:i/>
              </w:rPr>
              <w:t xml:space="preserve"> </w:t>
            </w:r>
            <w:proofErr w:type="spellStart"/>
            <w:r>
              <w:rPr>
                <w:i/>
              </w:rPr>
              <w:t>Asbouni</w:t>
            </w:r>
            <w:proofErr w:type="spellEnd"/>
            <w:r>
              <w:rPr>
                <w:i/>
              </w:rPr>
              <w:t xml:space="preserve"> El </w:t>
            </w:r>
            <w:proofErr w:type="spellStart"/>
            <w:r>
              <w:rPr>
                <w:i/>
              </w:rPr>
              <w:t>Ouahabi</w:t>
            </w:r>
            <w:proofErr w:type="spellEnd"/>
          </w:p>
        </w:tc>
      </w:tr>
      <w:tr w:rsidRPr="009D7E2D" w:rsidR="009D7E2D" w:rsidTr="00A3780E" w14:paraId="56CD236C" w14:textId="77777777">
        <w:tc>
          <w:tcPr>
            <w:tcW w:w="1074" w:type="pct"/>
          </w:tcPr>
          <w:p w:rsidRPr="009D7E2D" w:rsidR="009D7E2D" w:rsidP="00BE1F8F" w:rsidRDefault="009D7E2D" w14:paraId="642A79E8" w14:textId="77777777">
            <w:pPr>
              <w:overflowPunct w:val="0"/>
              <w:autoSpaceDE w:val="0"/>
              <w:autoSpaceDN w:val="0"/>
              <w:adjustRightInd w:val="0"/>
              <w:textAlignment w:val="baseline"/>
              <w:rPr>
                <w:i/>
              </w:rPr>
            </w:pPr>
            <w:r>
              <w:rPr>
                <w:i/>
              </w:rPr>
              <w:t>Tfn:</w:t>
            </w:r>
          </w:p>
        </w:tc>
        <w:tc>
          <w:tcPr>
            <w:tcW w:w="3926" w:type="pct"/>
          </w:tcPr>
          <w:p w:rsidR="00866666" w:rsidP="00BE1F8F" w:rsidRDefault="009D7E2D" w14:paraId="6BF80798" w14:textId="77777777">
            <w:pPr>
              <w:overflowPunct w:val="0"/>
              <w:autoSpaceDE w:val="0"/>
              <w:autoSpaceDN w:val="0"/>
              <w:adjustRightInd w:val="0"/>
              <w:textAlignment w:val="baseline"/>
              <w:rPr>
                <w:i/>
              </w:rPr>
            </w:pPr>
            <w:r>
              <w:rPr>
                <w:i/>
              </w:rPr>
              <w:t>+32 25468188</w:t>
            </w:r>
          </w:p>
          <w:p w:rsidRPr="009D7E2D" w:rsidR="009D7E2D" w:rsidP="00BE1F8F" w:rsidRDefault="009D7E2D" w14:paraId="4C93A27B" w14:textId="441660D1">
            <w:pPr>
              <w:overflowPunct w:val="0"/>
              <w:autoSpaceDE w:val="0"/>
              <w:autoSpaceDN w:val="0"/>
              <w:adjustRightInd w:val="0"/>
              <w:textAlignment w:val="baseline"/>
              <w:rPr>
                <w:i/>
              </w:rPr>
            </w:pPr>
            <w:r>
              <w:rPr>
                <w:i/>
              </w:rPr>
              <w:t>+32 25468485</w:t>
            </w:r>
          </w:p>
        </w:tc>
      </w:tr>
      <w:tr w:rsidRPr="009D7E2D" w:rsidR="009D7E2D" w:rsidTr="00A3780E" w14:paraId="79FB8085" w14:textId="77777777">
        <w:tc>
          <w:tcPr>
            <w:tcW w:w="1074" w:type="pct"/>
          </w:tcPr>
          <w:p w:rsidRPr="009D7E2D" w:rsidR="009D7E2D" w:rsidP="00BE1F8F" w:rsidRDefault="009D7E2D" w14:paraId="16D4BECD" w14:textId="766DF770">
            <w:pPr>
              <w:overflowPunct w:val="0"/>
              <w:autoSpaceDE w:val="0"/>
              <w:autoSpaceDN w:val="0"/>
              <w:adjustRightInd w:val="0"/>
              <w:textAlignment w:val="baseline"/>
              <w:rPr>
                <w:i/>
              </w:rPr>
            </w:pPr>
            <w:r>
              <w:rPr>
                <w:i/>
              </w:rPr>
              <w:t>E-post:</w:t>
            </w:r>
          </w:p>
        </w:tc>
        <w:tc>
          <w:tcPr>
            <w:tcW w:w="3926" w:type="pct"/>
          </w:tcPr>
          <w:p w:rsidRPr="009D7E2D" w:rsidR="009D7E2D" w:rsidP="00BE1F8F" w:rsidRDefault="008B5D7D" w14:paraId="7AA88CC5" w14:textId="77777777">
            <w:pPr>
              <w:overflowPunct w:val="0"/>
              <w:autoSpaceDE w:val="0"/>
              <w:autoSpaceDN w:val="0"/>
              <w:adjustRightInd w:val="0"/>
              <w:textAlignment w:val="baseline"/>
            </w:pPr>
            <w:hyperlink w:history="1" r:id="rId40">
              <w:r w:rsidR="00DE572D">
                <w:rPr>
                  <w:i/>
                  <w:color w:val="0000FF"/>
                  <w:u w:val="single"/>
                </w:rPr>
                <w:t>Radoslava.Stefankova@eesc.europa.eu</w:t>
              </w:r>
            </w:hyperlink>
          </w:p>
          <w:p w:rsidRPr="009D7E2D" w:rsidR="009D7E2D" w:rsidP="00BE1F8F" w:rsidRDefault="008B5D7D" w14:paraId="2F2D5AA7" w14:textId="77777777">
            <w:pPr>
              <w:overflowPunct w:val="0"/>
              <w:autoSpaceDE w:val="0"/>
              <w:autoSpaceDN w:val="0"/>
              <w:adjustRightInd w:val="0"/>
              <w:textAlignment w:val="baseline"/>
              <w:rPr>
                <w:i/>
              </w:rPr>
            </w:pPr>
            <w:hyperlink w:history="1" r:id="rId41">
              <w:r w:rsidR="00DE572D">
                <w:rPr>
                  <w:i/>
                  <w:color w:val="0000FF"/>
                  <w:u w:val="single"/>
                </w:rPr>
                <w:t>Yousra.Asbounielouahabi@eesc.europa.eu</w:t>
              </w:r>
            </w:hyperlink>
          </w:p>
        </w:tc>
      </w:tr>
    </w:tbl>
    <w:p w:rsidR="009D7E2D" w:rsidP="00BE1F8F" w:rsidRDefault="009D7E2D" w14:paraId="1988C04D" w14:textId="77777777">
      <w:pPr>
        <w:jc w:val="left"/>
      </w:pPr>
      <w:r>
        <w:br w:type="page"/>
      </w:r>
    </w:p>
    <w:p w:rsidRPr="00C43D3E" w:rsidR="00FD106B" w:rsidP="00C77862" w:rsidRDefault="008B5D7D" w14:paraId="3CC025EB" w14:textId="298D155B">
      <w:pPr>
        <w:widowControl w:val="0"/>
        <w:numPr>
          <w:ilvl w:val="0"/>
          <w:numId w:val="2"/>
        </w:numPr>
        <w:overflowPunct w:val="0"/>
        <w:autoSpaceDE w:val="0"/>
        <w:autoSpaceDN w:val="0"/>
        <w:adjustRightInd w:val="0"/>
        <w:ind w:hanging="567"/>
        <w:textAlignment w:val="baseline"/>
        <w:rPr>
          <w:b/>
        </w:rPr>
      </w:pPr>
      <w:hyperlink w:tgtFrame="_blank" w:history="1" r:id="rId42">
        <w:r w:rsidR="00DE572D">
          <w:rPr>
            <w:b/>
            <w:i/>
            <w:color w:val="0000FF"/>
            <w:sz w:val="28"/>
            <w:u w:val="single"/>
          </w:rPr>
          <w:t xml:space="preserve">Utvärdering av </w:t>
        </w:r>
        <w:proofErr w:type="spellStart"/>
        <w:r w:rsidR="00DE572D">
          <w:rPr>
            <w:b/>
            <w:i/>
            <w:color w:val="0000FF"/>
            <w:sz w:val="28"/>
            <w:u w:val="single"/>
          </w:rPr>
          <w:t>Letta</w:t>
        </w:r>
        <w:proofErr w:type="spellEnd"/>
        <w:r w:rsidR="00DE572D">
          <w:rPr>
            <w:b/>
            <w:i/>
            <w:color w:val="0000FF"/>
            <w:sz w:val="28"/>
            <w:u w:val="single"/>
          </w:rPr>
          <w:t xml:space="preserve">- och </w:t>
        </w:r>
        <w:proofErr w:type="spellStart"/>
        <w:r w:rsidR="00DE572D">
          <w:rPr>
            <w:b/>
            <w:i/>
            <w:color w:val="0000FF"/>
            <w:sz w:val="28"/>
            <w:u w:val="single"/>
          </w:rPr>
          <w:t>Draghi</w:t>
        </w:r>
        <w:proofErr w:type="spellEnd"/>
        <w:r w:rsidR="00DE572D">
          <w:rPr>
            <w:b/>
            <w:i/>
            <w:color w:val="0000FF"/>
            <w:sz w:val="28"/>
            <w:u w:val="single"/>
          </w:rPr>
          <w:t>-rapporterna om den inre marknadens funktionssätt och konkurrenskraft</w:t>
        </w:r>
      </w:hyperlink>
    </w:p>
    <w:p w:rsidRPr="00FD106B" w:rsidR="00627052" w:rsidP="00BE1F8F" w:rsidRDefault="00627052" w14:paraId="13CC97A0" w14:textId="77777777">
      <w:pPr>
        <w:widowControl w:val="0"/>
        <w:overflowPunct w:val="0"/>
        <w:autoSpaceDE w:val="0"/>
        <w:autoSpaceDN w:val="0"/>
        <w:adjustRightInd w:val="0"/>
        <w:ind w:left="284"/>
        <w:textAlignment w:val="baseline"/>
        <w:rPr>
          <w:b/>
          <w:lang w:val="en-GB"/>
        </w:rPr>
      </w:pPr>
    </w:p>
    <w:tbl>
      <w:tblPr>
        <w:tblW w:w="4941" w:type="pct"/>
        <w:tblLook w:val="04A0" w:firstRow="1" w:lastRow="0" w:firstColumn="1" w:lastColumn="0" w:noHBand="0" w:noVBand="1"/>
      </w:tblPr>
      <w:tblGrid>
        <w:gridCol w:w="2074"/>
        <w:gridCol w:w="7103"/>
      </w:tblGrid>
      <w:tr w:rsidRPr="00FD106B" w:rsidR="00FD106B" w:rsidTr="00713105" w14:paraId="6CE7B306" w14:textId="77777777">
        <w:tc>
          <w:tcPr>
            <w:tcW w:w="1107" w:type="pct"/>
          </w:tcPr>
          <w:p w:rsidRPr="00FD106B" w:rsidR="00FD106B" w:rsidP="00BE1F8F" w:rsidRDefault="00FD106B" w14:paraId="327B6AE9" w14:textId="77777777">
            <w:pPr>
              <w:tabs>
                <w:tab w:val="center" w:pos="284"/>
              </w:tabs>
              <w:overflowPunct w:val="0"/>
              <w:autoSpaceDE w:val="0"/>
              <w:autoSpaceDN w:val="0"/>
              <w:adjustRightInd w:val="0"/>
              <w:ind w:left="266" w:hanging="266"/>
              <w:textAlignment w:val="baseline"/>
              <w:rPr>
                <w:b/>
              </w:rPr>
            </w:pPr>
            <w:r>
              <w:rPr>
                <w:b/>
              </w:rPr>
              <w:t>Föredragande:</w:t>
            </w:r>
          </w:p>
        </w:tc>
        <w:tc>
          <w:tcPr>
            <w:tcW w:w="3893" w:type="pct"/>
          </w:tcPr>
          <w:p w:rsidR="00FD106B" w:rsidP="00BE1F8F" w:rsidRDefault="00FD106B" w14:paraId="43C12B82" w14:textId="24791F53">
            <w:pPr>
              <w:tabs>
                <w:tab w:val="center" w:pos="284"/>
              </w:tabs>
              <w:overflowPunct w:val="0"/>
              <w:autoSpaceDE w:val="0"/>
              <w:autoSpaceDN w:val="0"/>
              <w:adjustRightInd w:val="0"/>
              <w:ind w:left="266" w:hanging="266"/>
              <w:textAlignment w:val="baseline"/>
            </w:pPr>
            <w:r>
              <w:t xml:space="preserve">Matteo Carlo </w:t>
            </w:r>
            <w:proofErr w:type="spellStart"/>
            <w:r>
              <w:t>Borsani</w:t>
            </w:r>
            <w:proofErr w:type="spellEnd"/>
            <w:r>
              <w:t xml:space="preserve"> (Arbetsgivargruppen – IT)</w:t>
            </w:r>
          </w:p>
          <w:p w:rsidRPr="00FD106B" w:rsidR="009A2569" w:rsidP="00BE1F8F" w:rsidRDefault="009A2569" w14:paraId="550E4016" w14:textId="61E3CEA7">
            <w:pPr>
              <w:tabs>
                <w:tab w:val="center" w:pos="284"/>
              </w:tabs>
              <w:overflowPunct w:val="0"/>
              <w:autoSpaceDE w:val="0"/>
              <w:autoSpaceDN w:val="0"/>
              <w:adjustRightInd w:val="0"/>
              <w:ind w:left="266" w:hanging="266"/>
              <w:textAlignment w:val="baseline"/>
            </w:pPr>
            <w:r>
              <w:t>Stefano Palmieri (Arbetstagargruppen – IT)</w:t>
            </w:r>
          </w:p>
          <w:p w:rsidRPr="00FD106B" w:rsidR="00FD106B" w:rsidP="00BE1F8F" w:rsidRDefault="00FD106B" w14:paraId="291D8799" w14:textId="6ED3A591">
            <w:pPr>
              <w:tabs>
                <w:tab w:val="center" w:pos="284"/>
              </w:tabs>
              <w:overflowPunct w:val="0"/>
              <w:autoSpaceDE w:val="0"/>
              <w:autoSpaceDN w:val="0"/>
              <w:adjustRightInd w:val="0"/>
              <w:ind w:left="266" w:hanging="266"/>
              <w:textAlignment w:val="baseline"/>
            </w:pPr>
            <w:r>
              <w:t xml:space="preserve">Giuseppe </w:t>
            </w:r>
            <w:proofErr w:type="spellStart"/>
            <w:r>
              <w:t>Guerini</w:t>
            </w:r>
            <w:proofErr w:type="spellEnd"/>
            <w:r>
              <w:t xml:space="preserve"> (Gruppen för civilsamhällesorganisationer – IT)</w:t>
            </w:r>
          </w:p>
        </w:tc>
      </w:tr>
      <w:tr w:rsidRPr="00FD106B" w:rsidR="00FD106B" w:rsidTr="00713105" w14:paraId="63D5E164" w14:textId="77777777">
        <w:tc>
          <w:tcPr>
            <w:tcW w:w="1107" w:type="pct"/>
            <w:vMerge w:val="restart"/>
          </w:tcPr>
          <w:p w:rsidRPr="00FD106B" w:rsidR="00FD106B" w:rsidP="00BE1F8F" w:rsidRDefault="00FD106B" w14:paraId="2C38529F" w14:textId="7DEB39C5">
            <w:pPr>
              <w:tabs>
                <w:tab w:val="center" w:pos="284"/>
              </w:tabs>
              <w:overflowPunct w:val="0"/>
              <w:autoSpaceDE w:val="0"/>
              <w:autoSpaceDN w:val="0"/>
              <w:adjustRightInd w:val="0"/>
              <w:ind w:left="266" w:hanging="266"/>
              <w:textAlignment w:val="baseline"/>
              <w:rPr>
                <w:b/>
              </w:rPr>
            </w:pPr>
            <w:r>
              <w:rPr>
                <w:b/>
              </w:rPr>
              <w:t>Referensdokument:</w:t>
            </w:r>
          </w:p>
        </w:tc>
        <w:tc>
          <w:tcPr>
            <w:tcW w:w="3893" w:type="pct"/>
          </w:tcPr>
          <w:p w:rsidRPr="00FD106B" w:rsidR="00FD106B" w:rsidP="00BE1F8F" w:rsidRDefault="00FD106B" w14:paraId="07C67728" w14:textId="77777777">
            <w:pPr>
              <w:tabs>
                <w:tab w:val="center" w:pos="284"/>
              </w:tabs>
              <w:overflowPunct w:val="0"/>
              <w:autoSpaceDE w:val="0"/>
              <w:autoSpaceDN w:val="0"/>
              <w:adjustRightInd w:val="0"/>
              <w:ind w:left="266" w:hanging="266"/>
              <w:textAlignment w:val="baseline"/>
            </w:pPr>
            <w:r>
              <w:t>Yttrande på eget initiativ</w:t>
            </w:r>
          </w:p>
        </w:tc>
      </w:tr>
      <w:tr w:rsidRPr="00FD106B" w:rsidR="00FD106B" w:rsidTr="00713105" w14:paraId="5BF5DD36" w14:textId="77777777">
        <w:tc>
          <w:tcPr>
            <w:tcW w:w="1107" w:type="pct"/>
            <w:vMerge/>
          </w:tcPr>
          <w:p w:rsidRPr="00FD106B" w:rsidR="00FD106B" w:rsidP="00BE1F8F" w:rsidRDefault="00FD106B" w14:paraId="1F34AB72" w14:textId="77777777">
            <w:pPr>
              <w:tabs>
                <w:tab w:val="center" w:pos="284"/>
              </w:tabs>
              <w:overflowPunct w:val="0"/>
              <w:autoSpaceDE w:val="0"/>
              <w:autoSpaceDN w:val="0"/>
              <w:adjustRightInd w:val="0"/>
              <w:ind w:left="266" w:hanging="266"/>
              <w:textAlignment w:val="baseline"/>
              <w:rPr>
                <w:b/>
              </w:rPr>
            </w:pPr>
          </w:p>
        </w:tc>
        <w:tc>
          <w:tcPr>
            <w:tcW w:w="3893" w:type="pct"/>
          </w:tcPr>
          <w:p w:rsidRPr="00FD106B" w:rsidR="00FD106B" w:rsidP="00BE1F8F" w:rsidRDefault="00FD106B" w14:paraId="42A20064" w14:textId="77777777">
            <w:pPr>
              <w:tabs>
                <w:tab w:val="center" w:pos="284"/>
              </w:tabs>
              <w:overflowPunct w:val="0"/>
              <w:autoSpaceDE w:val="0"/>
              <w:autoSpaceDN w:val="0"/>
              <w:adjustRightInd w:val="0"/>
              <w:ind w:left="266" w:hanging="266"/>
              <w:textAlignment w:val="baseline"/>
            </w:pPr>
            <w:r>
              <w:t>EESC-2024-03441-00-00-AC</w:t>
            </w:r>
          </w:p>
        </w:tc>
      </w:tr>
    </w:tbl>
    <w:p w:rsidRPr="00FD106B" w:rsidR="00FD106B" w:rsidP="00BE1F8F" w:rsidRDefault="00FD106B" w14:paraId="02343524" w14:textId="77777777">
      <w:pPr>
        <w:tabs>
          <w:tab w:val="center" w:pos="284"/>
        </w:tabs>
        <w:overflowPunct w:val="0"/>
        <w:autoSpaceDE w:val="0"/>
        <w:autoSpaceDN w:val="0"/>
        <w:adjustRightInd w:val="0"/>
        <w:ind w:left="266" w:hanging="266"/>
        <w:textAlignment w:val="baseline"/>
        <w:rPr>
          <w:lang w:val="en-GB"/>
        </w:rPr>
      </w:pPr>
    </w:p>
    <w:p w:rsidRPr="00FD106B" w:rsidR="00FD106B" w:rsidP="00BE1F8F" w:rsidRDefault="00FD106B" w14:paraId="27E7555C"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FD106B" w:rsidR="00FD106B" w:rsidP="00BE1F8F" w:rsidRDefault="00FD106B" w14:paraId="70C27580" w14:textId="77777777">
      <w:pPr>
        <w:keepNext/>
        <w:keepLines/>
        <w:tabs>
          <w:tab w:val="center" w:pos="284"/>
        </w:tabs>
        <w:overflowPunct w:val="0"/>
        <w:autoSpaceDE w:val="0"/>
        <w:autoSpaceDN w:val="0"/>
        <w:adjustRightInd w:val="0"/>
        <w:ind w:left="266" w:hanging="266"/>
        <w:textAlignment w:val="baseline"/>
        <w:rPr>
          <w:b/>
          <w:lang w:val="en-GB"/>
        </w:rPr>
      </w:pPr>
    </w:p>
    <w:p w:rsidR="00FD106B" w:rsidP="00BE1F8F" w:rsidRDefault="00FD106B" w14:paraId="6F22A07D" w14:textId="77777777">
      <w:pPr>
        <w:overflowPunct w:val="0"/>
        <w:autoSpaceDE w:val="0"/>
        <w:autoSpaceDN w:val="0"/>
        <w:adjustRightInd w:val="0"/>
        <w:textAlignment w:val="baseline"/>
        <w:rPr>
          <w:bCs/>
          <w:iCs/>
        </w:rPr>
      </w:pPr>
      <w:r>
        <w:t>Europeiska ekonomiska och sociala kommitténs (EESK) ståndpunkt:</w:t>
      </w:r>
    </w:p>
    <w:p w:rsidRPr="00FD106B" w:rsidR="00FD106B" w:rsidP="00BE1F8F" w:rsidRDefault="00FD106B" w14:paraId="1E73D851" w14:textId="77777777">
      <w:pPr>
        <w:widowControl w:val="0"/>
        <w:numPr>
          <w:ilvl w:val="0"/>
          <w:numId w:val="30"/>
        </w:numPr>
        <w:overflowPunct w:val="0"/>
        <w:autoSpaceDE w:val="0"/>
        <w:autoSpaceDN w:val="0"/>
        <w:adjustRightInd w:val="0"/>
        <w:ind w:left="284" w:hanging="284"/>
        <w:textAlignment w:val="baseline"/>
        <w:rPr>
          <w:szCs w:val="20"/>
        </w:rPr>
      </w:pPr>
      <w:r>
        <w:t xml:space="preserve">EESK betonar det akuta behovet av att </w:t>
      </w:r>
      <w:r>
        <w:rPr>
          <w:b/>
        </w:rPr>
        <w:t>stärka den europeiska konkurrenskraften och samtidigt säkerställa hållbarhet och social sammanhållning</w:t>
      </w:r>
      <w:r>
        <w:t>. EU står inför ökande global konkurrens och måste vidta beslutsamma åtgärder för att stärka sin ekonomiska ställning. Detta bör dock inte ske på bekostnad av miljömässig hållbarhet, arbetstagares rättigheter eller regional balans. EESK efterlyser en strategi som integrerar ekonomisk tillväxt med principerna om social och territoriell sammanhållning.</w:t>
      </w:r>
    </w:p>
    <w:p w:rsidRPr="00FD106B" w:rsidR="00FD106B" w:rsidP="00BE1F8F" w:rsidRDefault="00FD106B" w14:paraId="5D3E6D79" w14:textId="77777777">
      <w:pPr>
        <w:widowControl w:val="0"/>
        <w:numPr>
          <w:ilvl w:val="0"/>
          <w:numId w:val="30"/>
        </w:numPr>
        <w:overflowPunct w:val="0"/>
        <w:autoSpaceDE w:val="0"/>
        <w:autoSpaceDN w:val="0"/>
        <w:adjustRightInd w:val="0"/>
        <w:ind w:left="284" w:hanging="284"/>
        <w:textAlignment w:val="baseline"/>
        <w:rPr>
          <w:szCs w:val="20"/>
        </w:rPr>
      </w:pPr>
      <w:r>
        <w:t xml:space="preserve">EESK efterlyser </w:t>
      </w:r>
      <w:r>
        <w:rPr>
          <w:b/>
        </w:rPr>
        <w:t>ökade investeringar på viktiga områden såsom social infrastruktur, digital omställning och energiomställning</w:t>
      </w:r>
      <w:r>
        <w:t>. Med tanke på att konkurrenskraften förutsätter en stabil grund betonar EESK behovet av betydande investeringar i modern infrastruktur, inbegripet utbildning, forskning, digitalisering och förnybar energi. Dessa investeringar är avgörande för att upprätthålla EU:s ekonomiska styrka och samtidigt ta itu med de demografiska förändringarna, den tekniska utvecklingen och klimatutmaningarna.</w:t>
      </w:r>
    </w:p>
    <w:p w:rsidRPr="00FD106B" w:rsidR="00FD106B" w:rsidP="00BE1F8F" w:rsidRDefault="00FD106B" w14:paraId="3EFA90D3" w14:textId="77777777">
      <w:pPr>
        <w:widowControl w:val="0"/>
        <w:numPr>
          <w:ilvl w:val="0"/>
          <w:numId w:val="30"/>
        </w:numPr>
        <w:overflowPunct w:val="0"/>
        <w:autoSpaceDE w:val="0"/>
        <w:autoSpaceDN w:val="0"/>
        <w:adjustRightInd w:val="0"/>
        <w:ind w:left="284" w:hanging="284"/>
        <w:textAlignment w:val="baseline"/>
        <w:rPr>
          <w:szCs w:val="20"/>
        </w:rPr>
      </w:pPr>
      <w:r>
        <w:t xml:space="preserve">EESK betonar att EU aktivt måste forma den globala ekonomiska omvandlingen i stället för att bara slå vakt om sina tidigare resultat. EU står vid ett vägskäl: vi kan antingen spela en proaktiv roll i den globala ekonomiska omvandlingen, eller riskera att hamna på efterkälken. Detta innebär att vi behöver </w:t>
      </w:r>
      <w:r>
        <w:rPr>
          <w:b/>
        </w:rPr>
        <w:t>anpassa den inre marknaden till ett nytt geopolitiskt läge</w:t>
      </w:r>
      <w:r>
        <w:t xml:space="preserve">, minska det strategiska beroendet av leveranskedjor utanför EU, och stärka EU:s position inom strategiska näringsgrenar. </w:t>
      </w:r>
    </w:p>
    <w:p w:rsidRPr="00FD106B" w:rsidR="00FD106B" w:rsidP="00BE1F8F" w:rsidRDefault="00FD106B" w14:paraId="2D92CEA3"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2025"/>
        <w:gridCol w:w="7262"/>
      </w:tblGrid>
      <w:tr w:rsidRPr="00FD106B" w:rsidR="00FD106B" w:rsidTr="00A3780E" w14:paraId="221C8BB2" w14:textId="77777777">
        <w:tc>
          <w:tcPr>
            <w:tcW w:w="1090" w:type="pct"/>
          </w:tcPr>
          <w:p w:rsidRPr="00FD106B" w:rsidR="00FD106B" w:rsidP="00BE1F8F" w:rsidRDefault="00FD106B" w14:paraId="740E10D6" w14:textId="77777777">
            <w:pPr>
              <w:overflowPunct w:val="0"/>
              <w:autoSpaceDE w:val="0"/>
              <w:autoSpaceDN w:val="0"/>
              <w:adjustRightInd w:val="0"/>
              <w:textAlignment w:val="baseline"/>
              <w:rPr>
                <w:i/>
              </w:rPr>
            </w:pPr>
            <w:r>
              <w:rPr>
                <w:b/>
                <w:i/>
              </w:rPr>
              <w:t>Kontaktpersoner:</w:t>
            </w:r>
          </w:p>
        </w:tc>
        <w:tc>
          <w:tcPr>
            <w:tcW w:w="3910" w:type="pct"/>
          </w:tcPr>
          <w:p w:rsidRPr="00FD106B" w:rsidR="00FD106B" w:rsidP="00BE1F8F" w:rsidRDefault="00FD106B" w14:paraId="5AA8E8D6" w14:textId="77777777">
            <w:pPr>
              <w:overflowPunct w:val="0"/>
              <w:autoSpaceDE w:val="0"/>
              <w:autoSpaceDN w:val="0"/>
              <w:adjustRightInd w:val="0"/>
              <w:textAlignment w:val="baseline"/>
              <w:rPr>
                <w:i/>
              </w:rPr>
            </w:pPr>
            <w:r>
              <w:rPr>
                <w:i/>
              </w:rPr>
              <w:t xml:space="preserve">Annalisa </w:t>
            </w:r>
            <w:proofErr w:type="spellStart"/>
            <w:r>
              <w:rPr>
                <w:i/>
              </w:rPr>
              <w:t>Tessarolo</w:t>
            </w:r>
            <w:proofErr w:type="spellEnd"/>
          </w:p>
          <w:p w:rsidRPr="00FD106B" w:rsidR="00FD106B" w:rsidP="00BE1F8F" w:rsidRDefault="00FD106B" w14:paraId="1CF946C4" w14:textId="77777777">
            <w:pPr>
              <w:overflowPunct w:val="0"/>
              <w:autoSpaceDE w:val="0"/>
              <w:autoSpaceDN w:val="0"/>
              <w:adjustRightInd w:val="0"/>
              <w:textAlignment w:val="baseline"/>
              <w:rPr>
                <w:i/>
              </w:rPr>
            </w:pPr>
            <w:r>
              <w:rPr>
                <w:i/>
              </w:rPr>
              <w:t xml:space="preserve">Silvia </w:t>
            </w:r>
            <w:proofErr w:type="spellStart"/>
            <w:r>
              <w:rPr>
                <w:i/>
              </w:rPr>
              <w:t>Staffa</w:t>
            </w:r>
            <w:proofErr w:type="spellEnd"/>
          </w:p>
        </w:tc>
      </w:tr>
      <w:tr w:rsidRPr="00FD106B" w:rsidR="00FD106B" w:rsidTr="00A3780E" w14:paraId="7C7B09FE" w14:textId="77777777">
        <w:tc>
          <w:tcPr>
            <w:tcW w:w="1090" w:type="pct"/>
          </w:tcPr>
          <w:p w:rsidRPr="00FD106B" w:rsidR="00FD106B" w:rsidP="00BE1F8F" w:rsidRDefault="00FD106B" w14:paraId="3C27F1DF" w14:textId="6398F4FC">
            <w:pPr>
              <w:overflowPunct w:val="0"/>
              <w:autoSpaceDE w:val="0"/>
              <w:autoSpaceDN w:val="0"/>
              <w:adjustRightInd w:val="0"/>
              <w:textAlignment w:val="baseline"/>
              <w:rPr>
                <w:i/>
              </w:rPr>
            </w:pPr>
            <w:r>
              <w:rPr>
                <w:i/>
              </w:rPr>
              <w:t>Tfn</w:t>
            </w:r>
            <w:r w:rsidR="00AD372D">
              <w:rPr>
                <w:i/>
              </w:rPr>
              <w:t>:</w:t>
            </w:r>
          </w:p>
        </w:tc>
        <w:tc>
          <w:tcPr>
            <w:tcW w:w="3910" w:type="pct"/>
          </w:tcPr>
          <w:p w:rsidRPr="00FD106B" w:rsidR="00FD106B" w:rsidP="00BE1F8F" w:rsidRDefault="00FD106B" w14:paraId="6376D96B" w14:textId="3B90C632">
            <w:pPr>
              <w:overflowPunct w:val="0"/>
              <w:autoSpaceDE w:val="0"/>
              <w:autoSpaceDN w:val="0"/>
              <w:adjustRightInd w:val="0"/>
              <w:textAlignment w:val="baseline"/>
              <w:rPr>
                <w:i/>
              </w:rPr>
            </w:pPr>
            <w:r>
              <w:rPr>
                <w:i/>
              </w:rPr>
              <w:t>+32 25469732</w:t>
            </w:r>
          </w:p>
          <w:p w:rsidRPr="00FD106B" w:rsidR="00FD106B" w:rsidP="00BE1F8F" w:rsidRDefault="00FD106B" w14:paraId="617FBCCE" w14:textId="4867BDED">
            <w:pPr>
              <w:overflowPunct w:val="0"/>
              <w:autoSpaceDE w:val="0"/>
              <w:autoSpaceDN w:val="0"/>
              <w:adjustRightInd w:val="0"/>
              <w:textAlignment w:val="baseline"/>
              <w:rPr>
                <w:i/>
              </w:rPr>
            </w:pPr>
            <w:r>
              <w:rPr>
                <w:i/>
              </w:rPr>
              <w:t>+32 25468378</w:t>
            </w:r>
          </w:p>
        </w:tc>
      </w:tr>
      <w:tr w:rsidRPr="00FD106B" w:rsidR="00FD106B" w:rsidTr="00A3780E" w14:paraId="28A6E007" w14:textId="77777777">
        <w:tc>
          <w:tcPr>
            <w:tcW w:w="1090" w:type="pct"/>
          </w:tcPr>
          <w:p w:rsidRPr="00FD106B" w:rsidR="00FD106B" w:rsidP="00BE1F8F" w:rsidRDefault="00FD106B" w14:paraId="173B4957" w14:textId="77777777">
            <w:pPr>
              <w:overflowPunct w:val="0"/>
              <w:autoSpaceDE w:val="0"/>
              <w:autoSpaceDN w:val="0"/>
              <w:adjustRightInd w:val="0"/>
              <w:textAlignment w:val="baseline"/>
              <w:rPr>
                <w:i/>
              </w:rPr>
            </w:pPr>
            <w:r>
              <w:rPr>
                <w:i/>
              </w:rPr>
              <w:t>E-post:</w:t>
            </w:r>
          </w:p>
        </w:tc>
        <w:tc>
          <w:tcPr>
            <w:tcW w:w="3910" w:type="pct"/>
          </w:tcPr>
          <w:p w:rsidRPr="00FD106B" w:rsidR="00FD106B" w:rsidP="00BE1F8F" w:rsidRDefault="008B5D7D" w14:paraId="58795004" w14:textId="77777777">
            <w:pPr>
              <w:overflowPunct w:val="0"/>
              <w:autoSpaceDE w:val="0"/>
              <w:autoSpaceDN w:val="0"/>
              <w:adjustRightInd w:val="0"/>
              <w:textAlignment w:val="baseline"/>
              <w:rPr>
                <w:i/>
                <w:iCs/>
              </w:rPr>
            </w:pPr>
            <w:hyperlink w:history="1" r:id="rId43">
              <w:r w:rsidR="00DE572D">
                <w:rPr>
                  <w:i/>
                  <w:color w:val="0000FF"/>
                  <w:u w:val="single"/>
                </w:rPr>
                <w:t>Annalisa.Tessarolo@eesc.europa.eu</w:t>
              </w:r>
            </w:hyperlink>
          </w:p>
          <w:p w:rsidRPr="00FD106B" w:rsidR="00FD106B" w:rsidP="00BE1F8F" w:rsidRDefault="008B5D7D" w14:paraId="40FF993F" w14:textId="77777777">
            <w:pPr>
              <w:overflowPunct w:val="0"/>
              <w:autoSpaceDE w:val="0"/>
              <w:autoSpaceDN w:val="0"/>
              <w:adjustRightInd w:val="0"/>
              <w:textAlignment w:val="baseline"/>
              <w:rPr>
                <w:i/>
              </w:rPr>
            </w:pPr>
            <w:hyperlink w:history="1" r:id="rId44">
              <w:r w:rsidR="00DE572D">
                <w:rPr>
                  <w:i/>
                  <w:color w:val="0000FF"/>
                  <w:u w:val="single"/>
                </w:rPr>
                <w:t>Silvia.Staffa@eesc.europa.eu</w:t>
              </w:r>
            </w:hyperlink>
          </w:p>
        </w:tc>
      </w:tr>
    </w:tbl>
    <w:p w:rsidR="00FD106B" w:rsidP="00BE1F8F" w:rsidRDefault="00FD106B" w14:paraId="6389C470" w14:textId="77777777">
      <w:pPr>
        <w:jc w:val="left"/>
      </w:pPr>
    </w:p>
    <w:p w:rsidR="00FD106B" w:rsidP="00BE1F8F" w:rsidRDefault="00FD106B" w14:paraId="78591677" w14:textId="77777777">
      <w:pPr>
        <w:jc w:val="left"/>
      </w:pPr>
      <w:r>
        <w:br w:type="page"/>
      </w:r>
    </w:p>
    <w:p w:rsidRPr="00D03AEC" w:rsidR="00D03AEC" w:rsidP="00BE1F8F" w:rsidRDefault="008B5D7D" w14:paraId="5D829D13" w14:textId="2B5C8229">
      <w:pPr>
        <w:widowControl w:val="0"/>
        <w:numPr>
          <w:ilvl w:val="0"/>
          <w:numId w:val="2"/>
        </w:numPr>
        <w:overflowPunct w:val="0"/>
        <w:autoSpaceDE w:val="0"/>
        <w:autoSpaceDN w:val="0"/>
        <w:adjustRightInd w:val="0"/>
        <w:ind w:hanging="567"/>
        <w:textAlignment w:val="baseline"/>
        <w:rPr>
          <w:sz w:val="20"/>
          <w:szCs w:val="20"/>
        </w:rPr>
      </w:pPr>
      <w:hyperlink w:history="1" r:id="rId45">
        <w:r w:rsidR="00DE572D">
          <w:rPr>
            <w:b/>
            <w:i/>
            <w:color w:val="0000FF"/>
            <w:sz w:val="28"/>
            <w:u w:val="single"/>
          </w:rPr>
          <w:t>Konkurrenskraften hos EU:s små och medelstora företag mot bakgrund av nya administrativa</w:t>
        </w:r>
      </w:hyperlink>
      <w:r w:rsidR="00DE572D">
        <w:t xml:space="preserve"> </w:t>
      </w:r>
      <w:r w:rsidR="00DE572D">
        <w:rPr>
          <w:b/>
          <w:i/>
          <w:color w:val="0000FF"/>
          <w:sz w:val="28"/>
          <w:u w:val="single"/>
        </w:rPr>
        <w:t>bördor/skyldigheter</w:t>
      </w:r>
    </w:p>
    <w:p w:rsidRPr="00D03AEC" w:rsidR="00D03AEC" w:rsidP="00BE1F8F" w:rsidRDefault="00D03AEC" w14:paraId="76D0C029" w14:textId="77777777">
      <w:pPr>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2074"/>
        <w:gridCol w:w="7103"/>
      </w:tblGrid>
      <w:tr w:rsidRPr="00D03AEC" w:rsidR="00D03AEC" w:rsidTr="00713105" w14:paraId="385F137A" w14:textId="77777777">
        <w:trPr>
          <w:trHeight w:val="323"/>
        </w:trPr>
        <w:tc>
          <w:tcPr>
            <w:tcW w:w="791" w:type="pct"/>
          </w:tcPr>
          <w:p w:rsidRPr="00D03AEC" w:rsidR="00D03AEC" w:rsidP="00BE1F8F" w:rsidRDefault="00D03AEC" w14:paraId="6D4FA2AD" w14:textId="44144662">
            <w:pPr>
              <w:tabs>
                <w:tab w:val="center" w:pos="284"/>
              </w:tabs>
              <w:overflowPunct w:val="0"/>
              <w:autoSpaceDE w:val="0"/>
              <w:autoSpaceDN w:val="0"/>
              <w:adjustRightInd w:val="0"/>
              <w:ind w:left="266" w:hanging="266"/>
              <w:textAlignment w:val="baseline"/>
              <w:rPr>
                <w:b/>
              </w:rPr>
            </w:pPr>
            <w:r>
              <w:rPr>
                <w:b/>
              </w:rPr>
              <w:t>Föredragande:</w:t>
            </w:r>
          </w:p>
        </w:tc>
        <w:tc>
          <w:tcPr>
            <w:tcW w:w="4209" w:type="pct"/>
          </w:tcPr>
          <w:p w:rsidRPr="00D03AEC" w:rsidR="00D03AEC" w:rsidP="00BE1F8F" w:rsidRDefault="00D03AEC" w14:paraId="2320B226" w14:textId="16FA16A5">
            <w:pPr>
              <w:tabs>
                <w:tab w:val="center" w:pos="0"/>
              </w:tabs>
              <w:overflowPunct w:val="0"/>
              <w:autoSpaceDE w:val="0"/>
              <w:autoSpaceDN w:val="0"/>
              <w:adjustRightInd w:val="0"/>
              <w:ind w:left="266" w:right="-387" w:hanging="266"/>
              <w:textAlignment w:val="baseline"/>
            </w:pPr>
            <w:r>
              <w:t xml:space="preserve">Paul </w:t>
            </w:r>
            <w:proofErr w:type="spellStart"/>
            <w:r>
              <w:t>Rübig</w:t>
            </w:r>
            <w:proofErr w:type="spellEnd"/>
            <w:r>
              <w:t xml:space="preserve"> (Arbetsgivargruppen – AT)</w:t>
            </w:r>
          </w:p>
        </w:tc>
      </w:tr>
      <w:tr w:rsidRPr="00D03AEC" w:rsidR="00D03AEC" w:rsidTr="00713105" w14:paraId="2544DD25" w14:textId="77777777">
        <w:tc>
          <w:tcPr>
            <w:tcW w:w="791" w:type="pct"/>
          </w:tcPr>
          <w:p w:rsidRPr="00D03AEC" w:rsidR="00D03AEC" w:rsidP="00BE1F8F" w:rsidRDefault="00D03AEC" w14:paraId="327B0796" w14:textId="569A93C2">
            <w:pPr>
              <w:tabs>
                <w:tab w:val="center" w:pos="284"/>
              </w:tabs>
              <w:overflowPunct w:val="0"/>
              <w:autoSpaceDE w:val="0"/>
              <w:autoSpaceDN w:val="0"/>
              <w:adjustRightInd w:val="0"/>
              <w:ind w:left="266" w:hanging="266"/>
              <w:textAlignment w:val="baseline"/>
              <w:rPr>
                <w:b/>
              </w:rPr>
            </w:pPr>
            <w:r>
              <w:rPr>
                <w:b/>
              </w:rPr>
              <w:t>Referensdokument:</w:t>
            </w:r>
          </w:p>
        </w:tc>
        <w:tc>
          <w:tcPr>
            <w:tcW w:w="4209" w:type="pct"/>
          </w:tcPr>
          <w:p w:rsidRPr="00D03AEC" w:rsidR="00D03AEC" w:rsidP="00BE1F8F" w:rsidRDefault="00D03AEC" w14:paraId="34DEDE49" w14:textId="588F8405">
            <w:pPr>
              <w:tabs>
                <w:tab w:val="center" w:pos="284"/>
              </w:tabs>
              <w:overflowPunct w:val="0"/>
              <w:autoSpaceDE w:val="0"/>
              <w:autoSpaceDN w:val="0"/>
              <w:adjustRightInd w:val="0"/>
              <w:ind w:left="266" w:right="-387" w:hanging="266"/>
              <w:textAlignment w:val="baseline"/>
            </w:pPr>
            <w:r>
              <w:t>(förberedande yttrande på begäran av det polska rådsordförandeskapet)</w:t>
            </w:r>
          </w:p>
          <w:p w:rsidRPr="00D03AEC" w:rsidR="00D03AEC" w:rsidP="00BE1F8F" w:rsidRDefault="00D03AEC" w14:paraId="6502535C" w14:textId="77777777">
            <w:pPr>
              <w:tabs>
                <w:tab w:val="center" w:pos="284"/>
              </w:tabs>
              <w:overflowPunct w:val="0"/>
              <w:autoSpaceDE w:val="0"/>
              <w:autoSpaceDN w:val="0"/>
              <w:adjustRightInd w:val="0"/>
              <w:ind w:left="266" w:right="-387" w:hanging="266"/>
              <w:textAlignment w:val="baseline"/>
            </w:pPr>
            <w:r>
              <w:t>EESC-2024-03549-00-00-AC</w:t>
            </w:r>
          </w:p>
        </w:tc>
      </w:tr>
    </w:tbl>
    <w:p w:rsidRPr="00D03AEC" w:rsidR="00D03AEC" w:rsidP="00BE1F8F" w:rsidRDefault="00D03AEC" w14:paraId="5DE49D6C" w14:textId="77777777">
      <w:pPr>
        <w:tabs>
          <w:tab w:val="center" w:pos="284"/>
        </w:tabs>
        <w:overflowPunct w:val="0"/>
        <w:autoSpaceDE w:val="0"/>
        <w:autoSpaceDN w:val="0"/>
        <w:adjustRightInd w:val="0"/>
        <w:ind w:left="266" w:hanging="266"/>
        <w:textAlignment w:val="baseline"/>
        <w:rPr>
          <w:b/>
          <w:lang w:val="en-GB"/>
        </w:rPr>
      </w:pPr>
    </w:p>
    <w:p w:rsidRPr="00D03AEC" w:rsidR="00D03AEC" w:rsidP="00BE1F8F" w:rsidRDefault="00D03AEC" w14:paraId="26780EEE" w14:textId="77777777">
      <w:pPr>
        <w:tabs>
          <w:tab w:val="center" w:pos="284"/>
        </w:tabs>
        <w:overflowPunct w:val="0"/>
        <w:autoSpaceDE w:val="0"/>
        <w:autoSpaceDN w:val="0"/>
        <w:adjustRightInd w:val="0"/>
        <w:ind w:left="266" w:hanging="266"/>
        <w:textAlignment w:val="baseline"/>
        <w:rPr>
          <w:b/>
        </w:rPr>
      </w:pPr>
      <w:r>
        <w:rPr>
          <w:b/>
        </w:rPr>
        <w:t>Huvudpunkter</w:t>
      </w:r>
    </w:p>
    <w:p w:rsidRPr="00D03AEC" w:rsidR="00D03AEC" w:rsidP="00BE1F8F" w:rsidRDefault="00D03AEC" w14:paraId="66E17A01" w14:textId="77777777">
      <w:pPr>
        <w:tabs>
          <w:tab w:val="center" w:pos="284"/>
        </w:tabs>
        <w:overflowPunct w:val="0"/>
        <w:autoSpaceDE w:val="0"/>
        <w:autoSpaceDN w:val="0"/>
        <w:adjustRightInd w:val="0"/>
        <w:ind w:left="266" w:hanging="266"/>
        <w:textAlignment w:val="baseline"/>
        <w:rPr>
          <w:bCs/>
          <w:lang w:val="en-GB"/>
        </w:rPr>
      </w:pPr>
    </w:p>
    <w:p w:rsidRPr="00D03AEC" w:rsidR="00D03AEC" w:rsidP="00BE1F8F" w:rsidRDefault="00D03AEC" w14:paraId="73126562" w14:textId="77777777">
      <w:pPr>
        <w:overflowPunct w:val="0"/>
        <w:autoSpaceDE w:val="0"/>
        <w:autoSpaceDN w:val="0"/>
        <w:adjustRightInd w:val="0"/>
        <w:textAlignment w:val="baseline"/>
        <w:rPr>
          <w:bCs/>
          <w:iCs/>
        </w:rPr>
      </w:pPr>
      <w:r>
        <w:t>Europeiska ekonomiska och sociala kommitténs (EESK) ståndpunkt:</w:t>
      </w:r>
    </w:p>
    <w:p w:rsidRPr="00D03AEC" w:rsidR="00D03AEC" w:rsidP="00BE1F8F" w:rsidRDefault="00D03AEC" w14:paraId="551D5FDC" w14:textId="77777777">
      <w:pPr>
        <w:numPr>
          <w:ilvl w:val="0"/>
          <w:numId w:val="31"/>
        </w:numPr>
        <w:overflowPunct w:val="0"/>
        <w:autoSpaceDE w:val="0"/>
        <w:autoSpaceDN w:val="0"/>
        <w:adjustRightInd w:val="0"/>
        <w:ind w:left="284" w:hanging="284"/>
        <w:contextualSpacing/>
        <w:textAlignment w:val="baseline"/>
        <w:rPr>
          <w:bCs/>
          <w:iCs/>
        </w:rPr>
      </w:pPr>
      <w:r>
        <w:t>Trots att olika EU-initiativ har tagits tidigare krävs fortfarande ytterligare förbättringar när det gäller att minska regelbördan, eftersom små och medelstora företag ställs inför dubbla och tredubbla lagstiftningskrav till följd av den ytterligare vågen av lagstiftning och befintliga krav, bl.a. med koppling till den gröna given.</w:t>
      </w:r>
    </w:p>
    <w:p w:rsidRPr="00D03AEC" w:rsidR="00D03AEC" w:rsidP="00BE1F8F" w:rsidRDefault="00D03AEC" w14:paraId="62F36A43" w14:textId="77777777">
      <w:pPr>
        <w:numPr>
          <w:ilvl w:val="0"/>
          <w:numId w:val="31"/>
        </w:numPr>
        <w:overflowPunct w:val="0"/>
        <w:autoSpaceDE w:val="0"/>
        <w:autoSpaceDN w:val="0"/>
        <w:adjustRightInd w:val="0"/>
        <w:ind w:left="284" w:hanging="284"/>
        <w:contextualSpacing/>
        <w:textAlignment w:val="baseline"/>
        <w:rPr>
          <w:bCs/>
          <w:iCs/>
        </w:rPr>
      </w:pPr>
      <w:r>
        <w:t>Samtidigt får en minskning av regelbördan inte äventyra efterlevnaden av sociala, miljömässiga och konsumentsäkerhetsrelaterade rättigheter och normer som fastställts på internationell nivå och EU-nivå, eller av öppenhetsprincipen och rättsstatsprincipen i EU.</w:t>
      </w:r>
    </w:p>
    <w:p w:rsidRPr="00D03AEC" w:rsidR="00D03AEC" w:rsidP="00BE1F8F" w:rsidRDefault="00D03AEC" w14:paraId="2F408966" w14:textId="77777777">
      <w:pPr>
        <w:numPr>
          <w:ilvl w:val="0"/>
          <w:numId w:val="31"/>
        </w:numPr>
        <w:overflowPunct w:val="0"/>
        <w:autoSpaceDE w:val="0"/>
        <w:autoSpaceDN w:val="0"/>
        <w:adjustRightInd w:val="0"/>
        <w:ind w:left="284" w:hanging="284"/>
        <w:contextualSpacing/>
        <w:textAlignment w:val="baseline"/>
        <w:rPr>
          <w:bCs/>
          <w:iCs/>
        </w:rPr>
      </w:pPr>
      <w:r>
        <w:t>Nämnden för lagstiftningskontroll bör stärkas avsevärt och göras mer oberoende genom att den genomför en ”konsekvens- och subsidiaritetskontroll” i början av varje lagstiftningsprocess och ges lämplig översyns- och rådgivningsrätt.</w:t>
      </w:r>
    </w:p>
    <w:p w:rsidRPr="00D03AEC" w:rsidR="00D03AEC" w:rsidP="00BE1F8F" w:rsidRDefault="00D03AEC" w14:paraId="59E3C799" w14:textId="77777777">
      <w:pPr>
        <w:numPr>
          <w:ilvl w:val="0"/>
          <w:numId w:val="31"/>
        </w:numPr>
        <w:overflowPunct w:val="0"/>
        <w:autoSpaceDE w:val="0"/>
        <w:autoSpaceDN w:val="0"/>
        <w:adjustRightInd w:val="0"/>
        <w:ind w:left="284" w:hanging="284"/>
        <w:contextualSpacing/>
        <w:textAlignment w:val="baseline"/>
        <w:rPr>
          <w:bCs/>
          <w:iCs/>
        </w:rPr>
      </w:pPr>
      <w:r>
        <w:t>Testet för små och medelstora företag och konkurrenskraftskontrollen bör slås samman till ett enda förfarande.</w:t>
      </w:r>
    </w:p>
    <w:p w:rsidRPr="00D03AEC" w:rsidR="00D03AEC" w:rsidP="00BE1F8F" w:rsidRDefault="00D03AEC" w14:paraId="126D259B" w14:textId="77777777">
      <w:pPr>
        <w:numPr>
          <w:ilvl w:val="0"/>
          <w:numId w:val="31"/>
        </w:numPr>
        <w:overflowPunct w:val="0"/>
        <w:autoSpaceDE w:val="0"/>
        <w:autoSpaceDN w:val="0"/>
        <w:adjustRightInd w:val="0"/>
        <w:ind w:left="284" w:hanging="284"/>
        <w:contextualSpacing/>
        <w:textAlignment w:val="baseline"/>
        <w:rPr>
          <w:bCs/>
          <w:iCs/>
        </w:rPr>
      </w:pPr>
      <w:r>
        <w:t xml:space="preserve">Man bör använda artificiell intelligens och maskininlärningsverktyg för att skapa ett lättanvänt ”enda rapporteringsverktyg” som kan förse små och medelstora företag, </w:t>
      </w:r>
      <w:proofErr w:type="spellStart"/>
      <w:r>
        <w:t>midcap</w:t>
      </w:r>
      <w:proofErr w:type="spellEnd"/>
      <w:r>
        <w:t>-bolag och andra företag med alla EU-relevanta rapporteringsskyldigheter, tidsfrister och sanktioner.</w:t>
      </w:r>
    </w:p>
    <w:p w:rsidRPr="00D03AEC" w:rsidR="00D03AEC" w:rsidP="00BE1F8F" w:rsidRDefault="00D03AEC" w14:paraId="004869CE" w14:textId="77777777">
      <w:pPr>
        <w:numPr>
          <w:ilvl w:val="0"/>
          <w:numId w:val="31"/>
        </w:numPr>
        <w:overflowPunct w:val="0"/>
        <w:autoSpaceDE w:val="0"/>
        <w:autoSpaceDN w:val="0"/>
        <w:adjustRightInd w:val="0"/>
        <w:ind w:left="284" w:hanging="284"/>
        <w:contextualSpacing/>
        <w:textAlignment w:val="baseline"/>
        <w:rPr>
          <w:bCs/>
          <w:iCs/>
        </w:rPr>
      </w:pPr>
      <w:r>
        <w:t>Europaparlamentet och rådet måste utveckla ett påskyndat förfarande för konsekvens- och riskbedömningar som utförs av deras egna utredningsavdelningar i händelse av ändringar som väsentligt skulle omforma de förslag som kommissionen antagit.</w:t>
      </w:r>
    </w:p>
    <w:p w:rsidR="00D03AEC" w:rsidP="00BE1F8F" w:rsidRDefault="00D03AEC" w14:paraId="750FA3AD" w14:textId="77777777">
      <w:pPr>
        <w:numPr>
          <w:ilvl w:val="0"/>
          <w:numId w:val="31"/>
        </w:numPr>
        <w:overflowPunct w:val="0"/>
        <w:autoSpaceDE w:val="0"/>
        <w:autoSpaceDN w:val="0"/>
        <w:adjustRightInd w:val="0"/>
        <w:ind w:left="284" w:hanging="284"/>
        <w:contextualSpacing/>
        <w:textAlignment w:val="baseline"/>
        <w:rPr>
          <w:bCs/>
          <w:iCs/>
        </w:rPr>
      </w:pPr>
      <w:r>
        <w:t>Rådet och de nationella myndigheterna bör också i större utsträckning utnyttja möjligheterna att se över ansvarsområdena (subsidiaritet), särskilt när det gäller konsekvenserna för små och medelstora företag, konsumenter, förvaltning och rättsväsende.</w:t>
      </w:r>
    </w:p>
    <w:p w:rsidRPr="00D03AEC" w:rsidR="00860DE0" w:rsidP="00BE1F8F" w:rsidRDefault="00860DE0" w14:paraId="70E7E138" w14:textId="77777777">
      <w:pPr>
        <w:overflowPunct w:val="0"/>
        <w:autoSpaceDE w:val="0"/>
        <w:autoSpaceDN w:val="0"/>
        <w:adjustRightInd w:val="0"/>
        <w:ind w:left="284"/>
        <w:contextualSpacing/>
        <w:textAlignment w:val="baseline"/>
        <w:rPr>
          <w:bCs/>
          <w:iCs/>
          <w:lang w:val="en-GB"/>
        </w:rPr>
      </w:pPr>
    </w:p>
    <w:tbl>
      <w:tblPr>
        <w:tblW w:w="5000" w:type="pct"/>
        <w:tblLook w:val="04A0" w:firstRow="1" w:lastRow="0" w:firstColumn="1" w:lastColumn="0" w:noHBand="0" w:noVBand="1"/>
      </w:tblPr>
      <w:tblGrid>
        <w:gridCol w:w="1662"/>
        <w:gridCol w:w="7625"/>
      </w:tblGrid>
      <w:tr w:rsidRPr="00D03AEC" w:rsidR="00D03AEC" w:rsidTr="00713105" w14:paraId="5FB02248" w14:textId="77777777">
        <w:tc>
          <w:tcPr>
            <w:tcW w:w="895" w:type="pct"/>
          </w:tcPr>
          <w:p w:rsidRPr="00D03AEC" w:rsidR="00D03AEC" w:rsidP="00BE1F8F" w:rsidRDefault="00D03AEC" w14:paraId="74072B9E" w14:textId="77777777">
            <w:pPr>
              <w:overflowPunct w:val="0"/>
              <w:autoSpaceDE w:val="0"/>
              <w:autoSpaceDN w:val="0"/>
              <w:adjustRightInd w:val="0"/>
              <w:textAlignment w:val="baseline"/>
              <w:rPr>
                <w:i/>
              </w:rPr>
            </w:pPr>
            <w:r>
              <w:rPr>
                <w:b/>
                <w:i/>
              </w:rPr>
              <w:t>Kontaktperson:</w:t>
            </w:r>
          </w:p>
        </w:tc>
        <w:tc>
          <w:tcPr>
            <w:tcW w:w="4105" w:type="pct"/>
          </w:tcPr>
          <w:p w:rsidRPr="00D03AEC" w:rsidR="00D03AEC" w:rsidP="00BE1F8F" w:rsidRDefault="00D03AEC" w14:paraId="522139B8" w14:textId="781982F3">
            <w:pPr>
              <w:overflowPunct w:val="0"/>
              <w:autoSpaceDE w:val="0"/>
              <w:autoSpaceDN w:val="0"/>
              <w:adjustRightInd w:val="0"/>
              <w:textAlignment w:val="baseline"/>
              <w:rPr>
                <w:i/>
              </w:rPr>
            </w:pPr>
            <w:r>
              <w:rPr>
                <w:i/>
              </w:rPr>
              <w:t xml:space="preserve">Marco </w:t>
            </w:r>
            <w:proofErr w:type="spellStart"/>
            <w:r>
              <w:rPr>
                <w:i/>
              </w:rPr>
              <w:t>Manfroni</w:t>
            </w:r>
            <w:proofErr w:type="spellEnd"/>
          </w:p>
        </w:tc>
      </w:tr>
      <w:tr w:rsidRPr="00D03AEC" w:rsidR="00D03AEC" w:rsidTr="00713105" w14:paraId="608E1DA4" w14:textId="77777777">
        <w:tc>
          <w:tcPr>
            <w:tcW w:w="895" w:type="pct"/>
          </w:tcPr>
          <w:p w:rsidRPr="00D03AEC" w:rsidR="00D03AEC" w:rsidP="00BE1F8F" w:rsidRDefault="00D03AEC" w14:paraId="03200737" w14:textId="7DFB6666">
            <w:pPr>
              <w:overflowPunct w:val="0"/>
              <w:autoSpaceDE w:val="0"/>
              <w:autoSpaceDN w:val="0"/>
              <w:adjustRightInd w:val="0"/>
              <w:textAlignment w:val="baseline"/>
              <w:rPr>
                <w:i/>
              </w:rPr>
            </w:pPr>
            <w:r>
              <w:rPr>
                <w:i/>
              </w:rPr>
              <w:t>Tfn</w:t>
            </w:r>
            <w:r w:rsidR="00AD372D">
              <w:rPr>
                <w:i/>
              </w:rPr>
              <w:t>:</w:t>
            </w:r>
          </w:p>
        </w:tc>
        <w:tc>
          <w:tcPr>
            <w:tcW w:w="4105" w:type="pct"/>
          </w:tcPr>
          <w:p w:rsidRPr="00D03AEC" w:rsidR="00D03AEC" w:rsidP="00BE1F8F" w:rsidRDefault="00D03AEC" w14:paraId="7EC18166" w14:textId="03235857">
            <w:pPr>
              <w:overflowPunct w:val="0"/>
              <w:autoSpaceDE w:val="0"/>
              <w:autoSpaceDN w:val="0"/>
              <w:adjustRightInd w:val="0"/>
              <w:textAlignment w:val="baseline"/>
              <w:rPr>
                <w:i/>
              </w:rPr>
            </w:pPr>
            <w:r>
              <w:rPr>
                <w:i/>
              </w:rPr>
              <w:t>+32 25469140</w:t>
            </w:r>
          </w:p>
        </w:tc>
      </w:tr>
      <w:tr w:rsidRPr="00D03AEC" w:rsidR="00D03AEC" w:rsidTr="00713105" w14:paraId="18ACE9E6" w14:textId="77777777">
        <w:tc>
          <w:tcPr>
            <w:tcW w:w="895" w:type="pct"/>
          </w:tcPr>
          <w:p w:rsidRPr="00D03AEC" w:rsidR="00D03AEC" w:rsidP="00BE1F8F" w:rsidRDefault="00D03AEC" w14:paraId="47140999" w14:textId="77777777">
            <w:pPr>
              <w:overflowPunct w:val="0"/>
              <w:autoSpaceDE w:val="0"/>
              <w:autoSpaceDN w:val="0"/>
              <w:adjustRightInd w:val="0"/>
              <w:textAlignment w:val="baseline"/>
              <w:rPr>
                <w:i/>
              </w:rPr>
            </w:pPr>
            <w:r>
              <w:rPr>
                <w:i/>
              </w:rPr>
              <w:t>E-post:</w:t>
            </w:r>
          </w:p>
        </w:tc>
        <w:tc>
          <w:tcPr>
            <w:tcW w:w="4105" w:type="pct"/>
          </w:tcPr>
          <w:p w:rsidRPr="00D03AEC" w:rsidR="00D03AEC" w:rsidP="00BE1F8F" w:rsidRDefault="008B5D7D" w14:paraId="66C1176F" w14:textId="6F5AA9D0">
            <w:pPr>
              <w:overflowPunct w:val="0"/>
              <w:autoSpaceDE w:val="0"/>
              <w:autoSpaceDN w:val="0"/>
              <w:adjustRightInd w:val="0"/>
              <w:textAlignment w:val="baseline"/>
              <w:rPr>
                <w:i/>
                <w:iCs/>
              </w:rPr>
            </w:pPr>
            <w:hyperlink w:history="1" r:id="rId46">
              <w:r w:rsidR="00DE572D">
                <w:rPr>
                  <w:i/>
                  <w:color w:val="0000FF"/>
                  <w:u w:val="single"/>
                </w:rPr>
                <w:t>Marco.Manfroni@eesc.europa.eu</w:t>
              </w:r>
            </w:hyperlink>
          </w:p>
        </w:tc>
      </w:tr>
    </w:tbl>
    <w:p w:rsidR="00D03AEC" w:rsidP="00BE1F8F" w:rsidRDefault="00D03AEC" w14:paraId="20B99FD5" w14:textId="77777777">
      <w:pPr>
        <w:jc w:val="left"/>
      </w:pPr>
      <w:r>
        <w:br w:type="page"/>
      </w:r>
    </w:p>
    <w:p w:rsidRPr="008413EF" w:rsidR="008413EF" w:rsidP="00BE1F8F" w:rsidRDefault="008B5D7D" w14:paraId="70DDD8A1" w14:textId="1D4BB03C">
      <w:pPr>
        <w:widowControl w:val="0"/>
        <w:numPr>
          <w:ilvl w:val="0"/>
          <w:numId w:val="2"/>
        </w:numPr>
        <w:overflowPunct w:val="0"/>
        <w:autoSpaceDE w:val="0"/>
        <w:autoSpaceDN w:val="0"/>
        <w:adjustRightInd w:val="0"/>
        <w:ind w:hanging="567"/>
        <w:textAlignment w:val="baseline"/>
        <w:rPr>
          <w:b/>
        </w:rPr>
      </w:pPr>
      <w:hyperlink w:tgtFrame="_blank" w:history="1" r:id="rId47">
        <w:r w:rsidR="00DE572D">
          <w:rPr>
            <w:b/>
            <w:i/>
            <w:color w:val="0000FF"/>
            <w:sz w:val="28"/>
            <w:u w:val="single"/>
          </w:rPr>
          <w:t>Tjänstesektorn i Europeiska unionen</w:t>
        </w:r>
      </w:hyperlink>
    </w:p>
    <w:p w:rsidRPr="008413EF" w:rsidR="008413EF" w:rsidP="00713105" w:rsidRDefault="008413EF" w14:paraId="09CC9878" w14:textId="77777777">
      <w:pPr>
        <w:widowControl w:val="0"/>
        <w:overflowPunct w:val="0"/>
        <w:autoSpaceDE w:val="0"/>
        <w:autoSpaceDN w:val="0"/>
        <w:adjustRightInd w:val="0"/>
        <w:textAlignment w:val="baseline"/>
        <w:rPr>
          <w:b/>
          <w:lang w:val="en-GB"/>
        </w:rPr>
      </w:pPr>
    </w:p>
    <w:tbl>
      <w:tblPr>
        <w:tblW w:w="0" w:type="auto"/>
        <w:tblLook w:val="04A0" w:firstRow="1" w:lastRow="0" w:firstColumn="1" w:lastColumn="0" w:noHBand="0" w:noVBand="1"/>
      </w:tblPr>
      <w:tblGrid>
        <w:gridCol w:w="2074"/>
        <w:gridCol w:w="7213"/>
      </w:tblGrid>
      <w:tr w:rsidRPr="008413EF" w:rsidR="008413EF" w:rsidTr="00713105" w14:paraId="7A748E72" w14:textId="77777777">
        <w:tc>
          <w:tcPr>
            <w:tcW w:w="1701" w:type="dxa"/>
          </w:tcPr>
          <w:p w:rsidRPr="008413EF" w:rsidR="008413EF" w:rsidP="00BE1F8F" w:rsidRDefault="008413EF" w14:paraId="0901F05D" w14:textId="77777777">
            <w:pPr>
              <w:tabs>
                <w:tab w:val="center" w:pos="284"/>
              </w:tabs>
              <w:overflowPunct w:val="0"/>
              <w:autoSpaceDE w:val="0"/>
              <w:autoSpaceDN w:val="0"/>
              <w:adjustRightInd w:val="0"/>
              <w:ind w:left="266" w:hanging="266"/>
              <w:textAlignment w:val="baseline"/>
              <w:rPr>
                <w:b/>
              </w:rPr>
            </w:pPr>
            <w:r>
              <w:rPr>
                <w:b/>
              </w:rPr>
              <w:t>Föredragande:</w:t>
            </w:r>
          </w:p>
        </w:tc>
        <w:tc>
          <w:tcPr>
            <w:tcW w:w="7479" w:type="dxa"/>
          </w:tcPr>
          <w:p w:rsidRPr="008413EF" w:rsidR="008413EF" w:rsidP="00BE1F8F" w:rsidRDefault="008413EF" w14:paraId="2A6EDF2D" w14:textId="7BB4AB03">
            <w:pPr>
              <w:tabs>
                <w:tab w:val="center" w:pos="284"/>
              </w:tabs>
              <w:overflowPunct w:val="0"/>
              <w:autoSpaceDE w:val="0"/>
              <w:autoSpaceDN w:val="0"/>
              <w:adjustRightInd w:val="0"/>
              <w:ind w:left="266" w:hanging="266"/>
              <w:textAlignment w:val="baseline"/>
            </w:pPr>
            <w:proofErr w:type="spellStart"/>
            <w:r>
              <w:t>Marcin</w:t>
            </w:r>
            <w:proofErr w:type="spellEnd"/>
            <w:r>
              <w:t xml:space="preserve"> </w:t>
            </w:r>
            <w:proofErr w:type="spellStart"/>
            <w:r>
              <w:t>Nowacki</w:t>
            </w:r>
            <w:proofErr w:type="spellEnd"/>
            <w:r>
              <w:t xml:space="preserve"> (Arbetsgivargruppen – PL)</w:t>
            </w:r>
          </w:p>
        </w:tc>
      </w:tr>
      <w:tr w:rsidRPr="008413EF" w:rsidR="008413EF" w:rsidTr="00713105" w14:paraId="6A5323D9" w14:textId="77777777">
        <w:tc>
          <w:tcPr>
            <w:tcW w:w="1701" w:type="dxa"/>
            <w:vMerge w:val="restart"/>
          </w:tcPr>
          <w:p w:rsidRPr="008413EF" w:rsidR="008413EF" w:rsidP="00BE1F8F" w:rsidRDefault="008413EF" w14:paraId="037595AE" w14:textId="7E00B36E">
            <w:pPr>
              <w:tabs>
                <w:tab w:val="center" w:pos="284"/>
              </w:tabs>
              <w:overflowPunct w:val="0"/>
              <w:autoSpaceDE w:val="0"/>
              <w:autoSpaceDN w:val="0"/>
              <w:adjustRightInd w:val="0"/>
              <w:ind w:left="266" w:hanging="266"/>
              <w:textAlignment w:val="baseline"/>
              <w:rPr>
                <w:b/>
              </w:rPr>
            </w:pPr>
            <w:r>
              <w:rPr>
                <w:b/>
              </w:rPr>
              <w:t>Referensdokument:</w:t>
            </w:r>
          </w:p>
        </w:tc>
        <w:tc>
          <w:tcPr>
            <w:tcW w:w="7479" w:type="dxa"/>
          </w:tcPr>
          <w:p w:rsidRPr="008413EF" w:rsidR="008413EF" w:rsidP="00713105" w:rsidRDefault="008413EF" w14:paraId="50FBE37D" w14:textId="5D117B4A">
            <w:pPr>
              <w:overflowPunct w:val="0"/>
              <w:autoSpaceDE w:val="0"/>
              <w:autoSpaceDN w:val="0"/>
              <w:adjustRightInd w:val="0"/>
              <w:textAlignment w:val="baseline"/>
            </w:pPr>
            <w:r>
              <w:t>(förberedande yttrande på begäran av det polska rådsordförandeskapet)</w:t>
            </w:r>
          </w:p>
        </w:tc>
      </w:tr>
      <w:tr w:rsidRPr="008413EF" w:rsidR="008413EF" w:rsidTr="00713105" w14:paraId="730528B8" w14:textId="77777777">
        <w:tc>
          <w:tcPr>
            <w:tcW w:w="1701" w:type="dxa"/>
            <w:vMerge/>
          </w:tcPr>
          <w:p w:rsidRPr="008413EF" w:rsidR="008413EF" w:rsidP="00BE1F8F" w:rsidRDefault="008413EF" w14:paraId="12933C30" w14:textId="77777777">
            <w:pPr>
              <w:tabs>
                <w:tab w:val="center" w:pos="284"/>
              </w:tabs>
              <w:overflowPunct w:val="0"/>
              <w:autoSpaceDE w:val="0"/>
              <w:autoSpaceDN w:val="0"/>
              <w:adjustRightInd w:val="0"/>
              <w:ind w:left="266" w:hanging="266"/>
              <w:textAlignment w:val="baseline"/>
              <w:rPr>
                <w:b/>
              </w:rPr>
            </w:pPr>
          </w:p>
        </w:tc>
        <w:tc>
          <w:tcPr>
            <w:tcW w:w="7479" w:type="dxa"/>
          </w:tcPr>
          <w:p w:rsidRPr="008413EF" w:rsidR="008413EF" w:rsidP="00BE1F8F" w:rsidRDefault="008413EF" w14:paraId="3578B6AF" w14:textId="02B3A0A0">
            <w:pPr>
              <w:tabs>
                <w:tab w:val="center" w:pos="284"/>
              </w:tabs>
              <w:overflowPunct w:val="0"/>
              <w:autoSpaceDE w:val="0"/>
              <w:autoSpaceDN w:val="0"/>
              <w:adjustRightInd w:val="0"/>
              <w:ind w:left="266" w:hanging="266"/>
              <w:textAlignment w:val="baseline"/>
            </w:pPr>
            <w:r>
              <w:t>EESC-2024-03619-00-00-AC</w:t>
            </w:r>
          </w:p>
        </w:tc>
      </w:tr>
    </w:tbl>
    <w:p w:rsidRPr="008413EF" w:rsidR="008413EF" w:rsidP="00BE1F8F" w:rsidRDefault="008413EF" w14:paraId="27F8102F" w14:textId="77777777">
      <w:pPr>
        <w:tabs>
          <w:tab w:val="center" w:pos="284"/>
        </w:tabs>
        <w:overflowPunct w:val="0"/>
        <w:autoSpaceDE w:val="0"/>
        <w:autoSpaceDN w:val="0"/>
        <w:adjustRightInd w:val="0"/>
        <w:ind w:left="266" w:hanging="266"/>
        <w:textAlignment w:val="baseline"/>
        <w:rPr>
          <w:sz w:val="20"/>
          <w:szCs w:val="20"/>
          <w:lang w:val="en-GB"/>
        </w:rPr>
      </w:pPr>
    </w:p>
    <w:p w:rsidRPr="008413EF" w:rsidR="008413EF" w:rsidP="00BE1F8F" w:rsidRDefault="008413EF" w14:paraId="72919FEE"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8413EF" w:rsidR="008413EF" w:rsidP="00BE1F8F" w:rsidRDefault="008413EF" w14:paraId="57B16AE4" w14:textId="77777777">
      <w:pPr>
        <w:keepNext/>
        <w:keepLines/>
        <w:tabs>
          <w:tab w:val="center" w:pos="284"/>
        </w:tabs>
        <w:overflowPunct w:val="0"/>
        <w:autoSpaceDE w:val="0"/>
        <w:autoSpaceDN w:val="0"/>
        <w:adjustRightInd w:val="0"/>
        <w:ind w:left="266" w:hanging="266"/>
        <w:textAlignment w:val="baseline"/>
        <w:rPr>
          <w:b/>
          <w:lang w:val="en-GB"/>
        </w:rPr>
      </w:pPr>
    </w:p>
    <w:p w:rsidRPr="008413EF" w:rsidR="008413EF" w:rsidP="00BE1F8F" w:rsidRDefault="008413EF" w14:paraId="4C5E895D" w14:textId="77777777">
      <w:pPr>
        <w:overflowPunct w:val="0"/>
        <w:autoSpaceDE w:val="0"/>
        <w:autoSpaceDN w:val="0"/>
        <w:adjustRightInd w:val="0"/>
        <w:textAlignment w:val="baseline"/>
        <w:rPr>
          <w:bCs/>
          <w:iCs/>
        </w:rPr>
      </w:pPr>
      <w:r>
        <w:t>Europeiska ekonomiska och sociala kommitténs (EESK) ståndpunkt:</w:t>
      </w:r>
    </w:p>
    <w:p w:rsidRPr="008413EF" w:rsidR="008413EF" w:rsidP="00BE1F8F" w:rsidRDefault="008413EF" w14:paraId="67F46C33" w14:textId="4EEE14A6">
      <w:pPr>
        <w:numPr>
          <w:ilvl w:val="0"/>
          <w:numId w:val="32"/>
        </w:numPr>
        <w:overflowPunct w:val="0"/>
        <w:autoSpaceDE w:val="0"/>
        <w:autoSpaceDN w:val="0"/>
        <w:adjustRightInd w:val="0"/>
        <w:ind w:left="284" w:hanging="284"/>
        <w:contextualSpacing/>
        <w:textAlignment w:val="baseline"/>
        <w:rPr>
          <w:bCs/>
          <w:iCs/>
        </w:rPr>
      </w:pPr>
      <w:r>
        <w:t>Kommittén betonar behovet av att harmonisera tjänstedirektivet och direktivet om yrkes</w:t>
      </w:r>
      <w:r w:rsidR="00AB7440">
        <w:softHyphen/>
      </w:r>
      <w:r>
        <w:t>kvalifikationer för att komma till rätta med fragmenteringen av EU:s tjänstesektor.</w:t>
      </w:r>
    </w:p>
    <w:p w:rsidRPr="008413EF" w:rsidR="008413EF" w:rsidP="00BE1F8F" w:rsidRDefault="008413EF" w14:paraId="232D5697" w14:textId="3B3CE14E">
      <w:pPr>
        <w:numPr>
          <w:ilvl w:val="0"/>
          <w:numId w:val="32"/>
        </w:numPr>
        <w:overflowPunct w:val="0"/>
        <w:autoSpaceDE w:val="0"/>
        <w:autoSpaceDN w:val="0"/>
        <w:adjustRightInd w:val="0"/>
        <w:ind w:left="284" w:hanging="284"/>
        <w:contextualSpacing/>
        <w:textAlignment w:val="baseline"/>
        <w:rPr>
          <w:bCs/>
          <w:iCs/>
        </w:rPr>
      </w:pPr>
      <w:r>
        <w:t>Ett ”paket för 100 yrken” bör införas för att komma till rätta med de största rättsliga hindren i</w:t>
      </w:r>
      <w:r w:rsidR="00AB7440">
        <w:t> </w:t>
      </w:r>
      <w:r>
        <w:t>medlemsstaterna.</w:t>
      </w:r>
    </w:p>
    <w:p w:rsidRPr="008413EF" w:rsidR="008413EF" w:rsidP="00BE1F8F" w:rsidRDefault="008413EF" w14:paraId="783B2481" w14:textId="77777777">
      <w:pPr>
        <w:numPr>
          <w:ilvl w:val="0"/>
          <w:numId w:val="32"/>
        </w:numPr>
        <w:overflowPunct w:val="0"/>
        <w:autoSpaceDE w:val="0"/>
        <w:autoSpaceDN w:val="0"/>
        <w:adjustRightInd w:val="0"/>
        <w:ind w:left="284" w:hanging="284"/>
        <w:contextualSpacing/>
        <w:textAlignment w:val="baseline"/>
        <w:rPr>
          <w:bCs/>
          <w:iCs/>
        </w:rPr>
      </w:pPr>
      <w:r>
        <w:t>Digitalisering bör spela en central roll när de administrativa förfarandena moderniseras. Att införa en enda digital deklarationsportal och få till stånd en digitalisering av intyg A1 kommer inte bara att minska den administrativa bördan för små och medelstora företag, utan också bidra till att gränsöverskridande tjänster tillhandahålls på ett effektivt sätt samtidigt som både företag och konsumenter ges tillgång till snabbare och mer lättillgängliga tjänster.</w:t>
      </w:r>
    </w:p>
    <w:p w:rsidRPr="008413EF" w:rsidR="008413EF" w:rsidP="00BE1F8F" w:rsidRDefault="008413EF" w14:paraId="2AA10EB1" w14:textId="77777777">
      <w:pPr>
        <w:numPr>
          <w:ilvl w:val="0"/>
          <w:numId w:val="32"/>
        </w:numPr>
        <w:overflowPunct w:val="0"/>
        <w:autoSpaceDE w:val="0"/>
        <w:autoSpaceDN w:val="0"/>
        <w:adjustRightInd w:val="0"/>
        <w:ind w:left="284" w:hanging="284"/>
        <w:contextualSpacing/>
        <w:textAlignment w:val="baseline"/>
        <w:rPr>
          <w:bCs/>
          <w:iCs/>
        </w:rPr>
      </w:pPr>
      <w:r>
        <w:t>Riktade sektorsspecifika reformer är nödvändiga för att komma till rätta med hindren inom branscher såsom byggbranschen, detaljhandeln och sektorn för finansiella tjänster.</w:t>
      </w:r>
    </w:p>
    <w:p w:rsidRPr="008413EF" w:rsidR="008413EF" w:rsidP="00BE1F8F" w:rsidRDefault="008413EF" w14:paraId="1EFD5C32" w14:textId="77777777">
      <w:pPr>
        <w:numPr>
          <w:ilvl w:val="0"/>
          <w:numId w:val="32"/>
        </w:numPr>
        <w:overflowPunct w:val="0"/>
        <w:autoSpaceDE w:val="0"/>
        <w:autoSpaceDN w:val="0"/>
        <w:adjustRightInd w:val="0"/>
        <w:ind w:left="284" w:hanging="284"/>
        <w:contextualSpacing/>
        <w:textAlignment w:val="baseline"/>
        <w:rPr>
          <w:bCs/>
          <w:iCs/>
        </w:rPr>
      </w:pPr>
      <w:r>
        <w:t>Skydd av arbetstagare, kollektivförhandlingar och kollektivavtal får inte uppfattas som onödiga bördor.</w:t>
      </w:r>
    </w:p>
    <w:p w:rsidRPr="008413EF" w:rsidR="008413EF" w:rsidP="00BE1F8F" w:rsidRDefault="008413EF" w14:paraId="7AEFFC54" w14:textId="77777777">
      <w:pPr>
        <w:numPr>
          <w:ilvl w:val="0"/>
          <w:numId w:val="32"/>
        </w:numPr>
        <w:overflowPunct w:val="0"/>
        <w:autoSpaceDE w:val="0"/>
        <w:autoSpaceDN w:val="0"/>
        <w:adjustRightInd w:val="0"/>
        <w:ind w:left="284" w:hanging="284"/>
        <w:contextualSpacing/>
        <w:textAlignment w:val="baseline"/>
        <w:rPr>
          <w:bCs/>
          <w:iCs/>
        </w:rPr>
      </w:pPr>
      <w:r>
        <w:t>Kommittén betonar behovet av datainsamling om tjänstesektorn, särskilt om små och medelstora företag, som ett stöd för beslutsfattandet och för att undanröja hinder på den inre marknaden.</w:t>
      </w:r>
    </w:p>
    <w:p w:rsidRPr="008413EF" w:rsidR="008413EF" w:rsidP="00BE1F8F" w:rsidRDefault="008413EF" w14:paraId="74735E25" w14:textId="686C7D29">
      <w:pPr>
        <w:numPr>
          <w:ilvl w:val="0"/>
          <w:numId w:val="32"/>
        </w:numPr>
        <w:overflowPunct w:val="0"/>
        <w:autoSpaceDE w:val="0"/>
        <w:autoSpaceDN w:val="0"/>
        <w:adjustRightInd w:val="0"/>
        <w:ind w:left="284" w:hanging="284"/>
        <w:contextualSpacing/>
        <w:textAlignment w:val="baseline"/>
        <w:rPr>
          <w:bCs/>
          <w:iCs/>
        </w:rPr>
      </w:pPr>
      <w:r>
        <w:t>En övergripande sektorspecifik handlingsplan för integration av tjänstemarknaden bör inkluderas i</w:t>
      </w:r>
      <w:r w:rsidR="00AB7440">
        <w:t> </w:t>
      </w:r>
      <w:r>
        <w:t xml:space="preserve">den uppdaterade strategin för den inre marknaden. </w:t>
      </w:r>
    </w:p>
    <w:p w:rsidRPr="008413EF" w:rsidR="008413EF" w:rsidP="00BE1F8F" w:rsidRDefault="008413EF" w14:paraId="08EF99E5" w14:textId="77777777">
      <w:pPr>
        <w:overflowPunct w:val="0"/>
        <w:autoSpaceDE w:val="0"/>
        <w:autoSpaceDN w:val="0"/>
        <w:adjustRightInd w:val="0"/>
        <w:textAlignment w:val="baseline"/>
        <w:rPr>
          <w:bCs/>
          <w:iCs/>
          <w:lang w:val="en-GB"/>
        </w:rPr>
      </w:pPr>
    </w:p>
    <w:tbl>
      <w:tblPr>
        <w:tblW w:w="0" w:type="auto"/>
        <w:tblLook w:val="04A0" w:firstRow="1" w:lastRow="0" w:firstColumn="1" w:lastColumn="0" w:noHBand="0" w:noVBand="1"/>
      </w:tblPr>
      <w:tblGrid>
        <w:gridCol w:w="1668"/>
        <w:gridCol w:w="7512"/>
      </w:tblGrid>
      <w:tr w:rsidRPr="008413EF" w:rsidR="008413EF" w:rsidTr="00713105" w14:paraId="33B11F7A" w14:textId="77777777">
        <w:tc>
          <w:tcPr>
            <w:tcW w:w="1668" w:type="dxa"/>
          </w:tcPr>
          <w:p w:rsidRPr="00713105" w:rsidR="008413EF" w:rsidP="00BE1F8F" w:rsidRDefault="008413EF" w14:paraId="6AEFA1C2" w14:textId="77777777">
            <w:pPr>
              <w:overflowPunct w:val="0"/>
              <w:autoSpaceDE w:val="0"/>
              <w:autoSpaceDN w:val="0"/>
              <w:adjustRightInd w:val="0"/>
              <w:textAlignment w:val="baseline"/>
              <w:rPr>
                <w:i/>
              </w:rPr>
            </w:pPr>
            <w:r>
              <w:rPr>
                <w:b/>
                <w:i/>
              </w:rPr>
              <w:t>Kontaktperson:</w:t>
            </w:r>
          </w:p>
        </w:tc>
        <w:tc>
          <w:tcPr>
            <w:tcW w:w="7512" w:type="dxa"/>
          </w:tcPr>
          <w:p w:rsidRPr="00713105" w:rsidR="008413EF" w:rsidP="00BE1F8F" w:rsidRDefault="008413EF" w14:paraId="061D78D4" w14:textId="77777777">
            <w:pPr>
              <w:overflowPunct w:val="0"/>
              <w:autoSpaceDE w:val="0"/>
              <w:autoSpaceDN w:val="0"/>
              <w:adjustRightInd w:val="0"/>
              <w:textAlignment w:val="baseline"/>
              <w:rPr>
                <w:i/>
              </w:rPr>
            </w:pPr>
            <w:r>
              <w:rPr>
                <w:i/>
              </w:rPr>
              <w:t xml:space="preserve">Annalisa </w:t>
            </w:r>
            <w:proofErr w:type="spellStart"/>
            <w:r>
              <w:rPr>
                <w:i/>
              </w:rPr>
              <w:t>Tessarolo</w:t>
            </w:r>
            <w:proofErr w:type="spellEnd"/>
          </w:p>
        </w:tc>
      </w:tr>
      <w:tr w:rsidRPr="008413EF" w:rsidR="008413EF" w:rsidTr="00713105" w14:paraId="40FDA69D" w14:textId="77777777">
        <w:tc>
          <w:tcPr>
            <w:tcW w:w="1668" w:type="dxa"/>
          </w:tcPr>
          <w:p w:rsidRPr="00713105" w:rsidR="008413EF" w:rsidP="00BE1F8F" w:rsidRDefault="008413EF" w14:paraId="2D116995" w14:textId="309444C0">
            <w:pPr>
              <w:overflowPunct w:val="0"/>
              <w:autoSpaceDE w:val="0"/>
              <w:autoSpaceDN w:val="0"/>
              <w:adjustRightInd w:val="0"/>
              <w:textAlignment w:val="baseline"/>
              <w:rPr>
                <w:i/>
              </w:rPr>
            </w:pPr>
            <w:r>
              <w:rPr>
                <w:i/>
              </w:rPr>
              <w:t>Tfn</w:t>
            </w:r>
            <w:r w:rsidR="00AD372D">
              <w:rPr>
                <w:i/>
              </w:rPr>
              <w:t>:</w:t>
            </w:r>
          </w:p>
        </w:tc>
        <w:tc>
          <w:tcPr>
            <w:tcW w:w="7512" w:type="dxa"/>
          </w:tcPr>
          <w:p w:rsidRPr="00713105" w:rsidR="008413EF" w:rsidP="00BE1F8F" w:rsidRDefault="008413EF" w14:paraId="100C3FF0" w14:textId="4D96929A">
            <w:pPr>
              <w:overflowPunct w:val="0"/>
              <w:autoSpaceDE w:val="0"/>
              <w:autoSpaceDN w:val="0"/>
              <w:adjustRightInd w:val="0"/>
              <w:textAlignment w:val="baseline"/>
              <w:rPr>
                <w:i/>
              </w:rPr>
            </w:pPr>
            <w:r>
              <w:rPr>
                <w:i/>
              </w:rPr>
              <w:t>+32 254697432</w:t>
            </w:r>
          </w:p>
        </w:tc>
      </w:tr>
      <w:tr w:rsidRPr="008413EF" w:rsidR="008413EF" w:rsidTr="00713105" w14:paraId="37302371" w14:textId="77777777">
        <w:tc>
          <w:tcPr>
            <w:tcW w:w="1668" w:type="dxa"/>
          </w:tcPr>
          <w:p w:rsidRPr="00713105" w:rsidR="008413EF" w:rsidP="00BE1F8F" w:rsidRDefault="00AD28C9" w14:paraId="5DEDB95D" w14:textId="431E5098">
            <w:pPr>
              <w:overflowPunct w:val="0"/>
              <w:autoSpaceDE w:val="0"/>
              <w:autoSpaceDN w:val="0"/>
              <w:adjustRightInd w:val="0"/>
              <w:textAlignment w:val="baseline"/>
              <w:rPr>
                <w:i/>
              </w:rPr>
            </w:pPr>
            <w:r>
              <w:rPr>
                <w:i/>
              </w:rPr>
              <w:t>E-postadress</w:t>
            </w:r>
            <w:r w:rsidR="00AD372D">
              <w:rPr>
                <w:i/>
              </w:rPr>
              <w:t>:</w:t>
            </w:r>
          </w:p>
        </w:tc>
        <w:tc>
          <w:tcPr>
            <w:tcW w:w="7512" w:type="dxa"/>
          </w:tcPr>
          <w:p w:rsidRPr="00713105" w:rsidR="008413EF" w:rsidP="00BE1F8F" w:rsidRDefault="008B5D7D" w14:paraId="03ED06F2" w14:textId="4676909C">
            <w:pPr>
              <w:overflowPunct w:val="0"/>
              <w:autoSpaceDE w:val="0"/>
              <w:autoSpaceDN w:val="0"/>
              <w:adjustRightInd w:val="0"/>
              <w:textAlignment w:val="baseline"/>
              <w:rPr>
                <w:i/>
              </w:rPr>
            </w:pPr>
            <w:hyperlink w:history="1" r:id="rId48">
              <w:r w:rsidR="00DE572D">
                <w:rPr>
                  <w:rStyle w:val="Hyperlink"/>
                  <w:i/>
                </w:rPr>
                <w:t>Annalisa.Tessarolo@eesc.europa.eu</w:t>
              </w:r>
            </w:hyperlink>
          </w:p>
        </w:tc>
      </w:tr>
    </w:tbl>
    <w:p w:rsidR="008413EF" w:rsidP="00BE1F8F" w:rsidRDefault="008413EF" w14:paraId="617BC9EE" w14:textId="77777777">
      <w:pPr>
        <w:jc w:val="left"/>
        <w:rPr>
          <w:lang w:val="en-GB"/>
        </w:rPr>
      </w:pPr>
    </w:p>
    <w:p w:rsidR="008413EF" w:rsidP="00BE1F8F" w:rsidRDefault="008413EF" w14:paraId="191624E6" w14:textId="77777777">
      <w:pPr>
        <w:jc w:val="left"/>
      </w:pPr>
      <w:r>
        <w:br w:type="page"/>
      </w:r>
    </w:p>
    <w:p w:rsidRPr="00713105" w:rsidR="001C0AB9" w:rsidP="00BE1F8F" w:rsidRDefault="008B5D7D" w14:paraId="42F00AC9" w14:textId="3186BBA7">
      <w:pPr>
        <w:widowControl w:val="0"/>
        <w:numPr>
          <w:ilvl w:val="0"/>
          <w:numId w:val="2"/>
        </w:numPr>
        <w:overflowPunct w:val="0"/>
        <w:autoSpaceDE w:val="0"/>
        <w:autoSpaceDN w:val="0"/>
        <w:adjustRightInd w:val="0"/>
        <w:ind w:left="284" w:hanging="284"/>
        <w:textAlignment w:val="baseline"/>
      </w:pPr>
      <w:hyperlink w:tgtFrame="_blank" w:history="1" r:id="rId49">
        <w:r w:rsidR="00DE572D">
          <w:rPr>
            <w:b/>
            <w:i/>
            <w:color w:val="0000FF"/>
            <w:sz w:val="28"/>
            <w:u w:val="single"/>
          </w:rPr>
          <w:t>Framtiden för EU:s industri mot bakgrund av höga energipriser och omställningskostnader</w:t>
        </w:r>
      </w:hyperlink>
    </w:p>
    <w:p w:rsidRPr="001C0AB9" w:rsidR="001C0AB9" w:rsidP="00BE1F8F" w:rsidRDefault="001C0AB9" w14:paraId="0DDA99F6" w14:textId="77777777">
      <w:pPr>
        <w:widowControl w:val="0"/>
        <w:overflowPunct w:val="0"/>
        <w:autoSpaceDE w:val="0"/>
        <w:autoSpaceDN w:val="0"/>
        <w:adjustRightInd w:val="0"/>
        <w:ind w:left="284"/>
        <w:textAlignment w:val="baseline"/>
        <w:rPr>
          <w:b/>
          <w:lang w:val="en-GB"/>
        </w:rPr>
      </w:pPr>
    </w:p>
    <w:tbl>
      <w:tblPr>
        <w:tblW w:w="4942" w:type="pct"/>
        <w:tblLook w:val="04A0" w:firstRow="1" w:lastRow="0" w:firstColumn="1" w:lastColumn="0" w:noHBand="0" w:noVBand="1"/>
      </w:tblPr>
      <w:tblGrid>
        <w:gridCol w:w="2074"/>
        <w:gridCol w:w="7105"/>
      </w:tblGrid>
      <w:tr w:rsidRPr="001C0AB9" w:rsidR="001C0AB9" w:rsidTr="00713105" w14:paraId="302E5F77" w14:textId="77777777">
        <w:tc>
          <w:tcPr>
            <w:tcW w:w="908" w:type="pct"/>
          </w:tcPr>
          <w:p w:rsidRPr="001C0AB9" w:rsidR="001C0AB9" w:rsidP="00BE1F8F" w:rsidRDefault="001C0AB9" w14:paraId="16513D26" w14:textId="77777777">
            <w:pPr>
              <w:tabs>
                <w:tab w:val="center" w:pos="284"/>
              </w:tabs>
              <w:overflowPunct w:val="0"/>
              <w:autoSpaceDE w:val="0"/>
              <w:autoSpaceDN w:val="0"/>
              <w:adjustRightInd w:val="0"/>
              <w:ind w:left="266" w:hanging="266"/>
              <w:textAlignment w:val="baseline"/>
              <w:rPr>
                <w:b/>
              </w:rPr>
            </w:pPr>
            <w:r>
              <w:rPr>
                <w:b/>
              </w:rPr>
              <w:t>Föredragande:</w:t>
            </w:r>
          </w:p>
        </w:tc>
        <w:tc>
          <w:tcPr>
            <w:tcW w:w="4092" w:type="pct"/>
          </w:tcPr>
          <w:p w:rsidRPr="001C0AB9" w:rsidR="001C0AB9" w:rsidP="00BE1F8F" w:rsidRDefault="001C0AB9" w14:paraId="45A398EC" w14:textId="18D9B476">
            <w:pPr>
              <w:tabs>
                <w:tab w:val="center" w:pos="284"/>
              </w:tabs>
              <w:overflowPunct w:val="0"/>
              <w:autoSpaceDE w:val="0"/>
              <w:autoSpaceDN w:val="0"/>
              <w:adjustRightInd w:val="0"/>
              <w:ind w:left="266" w:hanging="266"/>
              <w:textAlignment w:val="baseline"/>
            </w:pPr>
            <w:r>
              <w:t xml:space="preserve">Andrea </w:t>
            </w:r>
            <w:proofErr w:type="spellStart"/>
            <w:r>
              <w:t>Mone</w:t>
            </w:r>
            <w:proofErr w:type="spellEnd"/>
            <w:r>
              <w:t xml:space="preserve"> (Arbetstagargruppen – IT)</w:t>
            </w:r>
          </w:p>
        </w:tc>
      </w:tr>
      <w:tr w:rsidRPr="001C0AB9" w:rsidR="001C0AB9" w:rsidTr="00713105" w14:paraId="49E0B6DD" w14:textId="77777777">
        <w:tc>
          <w:tcPr>
            <w:tcW w:w="908" w:type="pct"/>
            <w:vMerge w:val="restart"/>
          </w:tcPr>
          <w:p w:rsidRPr="001C0AB9" w:rsidR="001C0AB9" w:rsidP="00BE1F8F" w:rsidRDefault="001C0AB9" w14:paraId="2351E607" w14:textId="2483074C">
            <w:pPr>
              <w:tabs>
                <w:tab w:val="center" w:pos="284"/>
              </w:tabs>
              <w:overflowPunct w:val="0"/>
              <w:autoSpaceDE w:val="0"/>
              <w:autoSpaceDN w:val="0"/>
              <w:adjustRightInd w:val="0"/>
              <w:ind w:left="266" w:hanging="266"/>
              <w:textAlignment w:val="baseline"/>
              <w:rPr>
                <w:b/>
              </w:rPr>
            </w:pPr>
            <w:r>
              <w:rPr>
                <w:b/>
              </w:rPr>
              <w:t>Referensdokument:</w:t>
            </w:r>
          </w:p>
        </w:tc>
        <w:tc>
          <w:tcPr>
            <w:tcW w:w="4092" w:type="pct"/>
          </w:tcPr>
          <w:p w:rsidRPr="00C43D3E" w:rsidR="001C0AB9" w:rsidP="00713105" w:rsidRDefault="001C0AB9" w14:paraId="17F26A32" w14:textId="51BBB0EC">
            <w:pPr>
              <w:tabs>
                <w:tab w:val="center" w:pos="284"/>
              </w:tabs>
              <w:overflowPunct w:val="0"/>
              <w:autoSpaceDE w:val="0"/>
              <w:autoSpaceDN w:val="0"/>
              <w:adjustRightInd w:val="0"/>
              <w:ind w:left="266" w:right="-387" w:hanging="266"/>
              <w:textAlignment w:val="baseline"/>
            </w:pPr>
            <w:r>
              <w:t>(förberedande yttrande på begäran av det polska rådsordförandeskapet)</w:t>
            </w:r>
          </w:p>
        </w:tc>
      </w:tr>
      <w:tr w:rsidRPr="001C0AB9" w:rsidR="001C0AB9" w:rsidTr="00713105" w14:paraId="21E65686" w14:textId="77777777">
        <w:tc>
          <w:tcPr>
            <w:tcW w:w="908" w:type="pct"/>
            <w:vMerge/>
          </w:tcPr>
          <w:p w:rsidRPr="001C0AB9" w:rsidR="001C0AB9" w:rsidP="00BE1F8F" w:rsidRDefault="001C0AB9" w14:paraId="4CD406B0" w14:textId="77777777">
            <w:pPr>
              <w:tabs>
                <w:tab w:val="center" w:pos="284"/>
              </w:tabs>
              <w:overflowPunct w:val="0"/>
              <w:autoSpaceDE w:val="0"/>
              <w:autoSpaceDN w:val="0"/>
              <w:adjustRightInd w:val="0"/>
              <w:ind w:left="266" w:hanging="266"/>
              <w:textAlignment w:val="baseline"/>
              <w:rPr>
                <w:b/>
              </w:rPr>
            </w:pPr>
          </w:p>
        </w:tc>
        <w:tc>
          <w:tcPr>
            <w:tcW w:w="4092" w:type="pct"/>
          </w:tcPr>
          <w:p w:rsidRPr="001C0AB9" w:rsidR="001C0AB9" w:rsidP="00BE1F8F" w:rsidRDefault="001C0AB9" w14:paraId="7D1175EF" w14:textId="77777777">
            <w:pPr>
              <w:tabs>
                <w:tab w:val="center" w:pos="284"/>
              </w:tabs>
              <w:overflowPunct w:val="0"/>
              <w:autoSpaceDE w:val="0"/>
              <w:autoSpaceDN w:val="0"/>
              <w:adjustRightInd w:val="0"/>
              <w:ind w:left="266" w:hanging="266"/>
              <w:textAlignment w:val="baseline"/>
            </w:pPr>
            <w:r>
              <w:t>EESC-2024-03583-00-00-AC</w:t>
            </w:r>
          </w:p>
        </w:tc>
      </w:tr>
    </w:tbl>
    <w:p w:rsidRPr="001C0AB9" w:rsidR="001C0AB9" w:rsidP="00BE1F8F" w:rsidRDefault="001C0AB9" w14:paraId="1C922088" w14:textId="77777777">
      <w:pPr>
        <w:tabs>
          <w:tab w:val="center" w:pos="284"/>
        </w:tabs>
        <w:overflowPunct w:val="0"/>
        <w:autoSpaceDE w:val="0"/>
        <w:autoSpaceDN w:val="0"/>
        <w:adjustRightInd w:val="0"/>
        <w:ind w:left="266" w:hanging="266"/>
        <w:textAlignment w:val="baseline"/>
        <w:rPr>
          <w:lang w:val="en-GB"/>
        </w:rPr>
      </w:pPr>
    </w:p>
    <w:p w:rsidRPr="001C0AB9" w:rsidR="001C0AB9" w:rsidP="00BE1F8F" w:rsidRDefault="001C0AB9" w14:paraId="2CF6D0AF"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1C0AB9" w:rsidR="001C0AB9" w:rsidP="00BE1F8F" w:rsidRDefault="001C0AB9" w14:paraId="13B083CC" w14:textId="77777777">
      <w:pPr>
        <w:keepNext/>
        <w:keepLines/>
        <w:tabs>
          <w:tab w:val="center" w:pos="284"/>
        </w:tabs>
        <w:overflowPunct w:val="0"/>
        <w:autoSpaceDE w:val="0"/>
        <w:autoSpaceDN w:val="0"/>
        <w:adjustRightInd w:val="0"/>
        <w:ind w:left="266" w:hanging="266"/>
        <w:textAlignment w:val="baseline"/>
        <w:rPr>
          <w:b/>
          <w:lang w:val="en-GB"/>
        </w:rPr>
      </w:pPr>
    </w:p>
    <w:p w:rsidRPr="001C0AB9" w:rsidR="00402449" w:rsidP="00BE1F8F" w:rsidRDefault="001C0AB9" w14:paraId="7AD5576E" w14:textId="147901FD">
      <w:pPr>
        <w:overflowPunct w:val="0"/>
        <w:autoSpaceDE w:val="0"/>
        <w:autoSpaceDN w:val="0"/>
        <w:adjustRightInd w:val="0"/>
        <w:textAlignment w:val="baseline"/>
        <w:rPr>
          <w:bCs/>
          <w:iCs/>
        </w:rPr>
      </w:pPr>
      <w:r>
        <w:t>Europeiska ekonomiska och sociala kommitténs (EESK) ståndpunkt:</w:t>
      </w:r>
    </w:p>
    <w:p w:rsidRPr="001C0AB9" w:rsidR="001C0AB9" w:rsidP="00BE1F8F" w:rsidRDefault="001C0AB9" w14:paraId="6A2D8F3D"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EESK uppmanar till skyndsamma åtgärder för att inrätta en </w:t>
      </w:r>
      <w:r>
        <w:rPr>
          <w:b/>
        </w:rPr>
        <w:t>övergripande industristrategi för EU</w:t>
      </w:r>
      <w:r>
        <w:t xml:space="preserve"> som säkerställer </w:t>
      </w:r>
      <w:r>
        <w:rPr>
          <w:b/>
        </w:rPr>
        <w:t>konkurrenskraftiga industrier och arbetstillfällen av hög kvalitet</w:t>
      </w:r>
      <w:r>
        <w:t xml:space="preserve">, i linje med målen i den gröna given genom </w:t>
      </w:r>
      <w:r>
        <w:rPr>
          <w:b/>
        </w:rPr>
        <w:t>noggrann</w:t>
      </w:r>
      <w:r>
        <w:t xml:space="preserve"> övervakning och riktade anpassningsåtgärder.</w:t>
      </w:r>
    </w:p>
    <w:p w:rsidRPr="001C0AB9" w:rsidR="001C0AB9" w:rsidP="00BE1F8F" w:rsidRDefault="001C0AB9" w14:paraId="70DD072D" w14:textId="250A7513">
      <w:pPr>
        <w:numPr>
          <w:ilvl w:val="0"/>
          <w:numId w:val="33"/>
        </w:numPr>
        <w:tabs>
          <w:tab w:val="clear" w:pos="720"/>
          <w:tab w:val="num" w:pos="567"/>
        </w:tabs>
        <w:overflowPunct w:val="0"/>
        <w:autoSpaceDE w:val="0"/>
        <w:autoSpaceDN w:val="0"/>
        <w:adjustRightInd w:val="0"/>
        <w:ind w:left="284" w:hanging="284"/>
        <w:textAlignment w:val="baseline"/>
      </w:pPr>
      <w:r>
        <w:t xml:space="preserve">Kommittén efterlyser förbättringar av de </w:t>
      </w:r>
      <w:r>
        <w:rPr>
          <w:b/>
        </w:rPr>
        <w:t>ekonomiska förhållandena och av regelverket</w:t>
      </w:r>
      <w:r>
        <w:t xml:space="preserve"> för att ta itu med </w:t>
      </w:r>
      <w:r>
        <w:rPr>
          <w:b/>
        </w:rPr>
        <w:t>EU:s strukturella konkurrenskraftsutmaningar</w:t>
      </w:r>
      <w:r>
        <w:t>, däribland höga energi- och råvaru</w:t>
      </w:r>
      <w:r w:rsidR="00AB7440">
        <w:softHyphen/>
      </w:r>
      <w:r>
        <w:t>kostnader, de initiala investeringarna och regelbördan i samband med den gröna omställningen, otillräcklig infrastruktur, ihållande kompetensbrist, begränsad finansiering och intern efterfrågan samt en ofullständig inre marknad.</w:t>
      </w:r>
    </w:p>
    <w:p w:rsidRPr="001C0AB9" w:rsidR="001C0AB9" w:rsidP="00BE1F8F" w:rsidRDefault="001C0AB9" w14:paraId="6A693864" w14:textId="57CF6C05">
      <w:pPr>
        <w:numPr>
          <w:ilvl w:val="0"/>
          <w:numId w:val="33"/>
        </w:numPr>
        <w:tabs>
          <w:tab w:val="clear" w:pos="720"/>
          <w:tab w:val="num" w:pos="567"/>
        </w:tabs>
        <w:overflowPunct w:val="0"/>
        <w:autoSpaceDE w:val="0"/>
        <w:autoSpaceDN w:val="0"/>
        <w:adjustRightInd w:val="0"/>
        <w:ind w:left="284" w:hanging="284"/>
        <w:textAlignment w:val="baseline"/>
      </w:pPr>
      <w:r>
        <w:t xml:space="preserve">Vi förespråkar </w:t>
      </w:r>
      <w:r>
        <w:rPr>
          <w:b/>
        </w:rPr>
        <w:t>en konkurrenskraftspolitik</w:t>
      </w:r>
      <w:r>
        <w:t xml:space="preserve"> som prioriterar </w:t>
      </w:r>
      <w:r>
        <w:rPr>
          <w:b/>
        </w:rPr>
        <w:t>investeringar och innovation</w:t>
      </w:r>
      <w:r>
        <w:t xml:space="preserve">, och som samtidigt främjar </w:t>
      </w:r>
      <w:r>
        <w:rPr>
          <w:b/>
        </w:rPr>
        <w:t>social och territoriell inkludering</w:t>
      </w:r>
      <w:r>
        <w:t xml:space="preserve"> och säkerställer att </w:t>
      </w:r>
      <w:r>
        <w:rPr>
          <w:b/>
        </w:rPr>
        <w:t>dialog mellan arbetsmarknadens parter</w:t>
      </w:r>
      <w:r>
        <w:t xml:space="preserve"> </w:t>
      </w:r>
      <w:r>
        <w:rPr>
          <w:b/>
        </w:rPr>
        <w:t>och kollektivförhandlingar</w:t>
      </w:r>
      <w:r>
        <w:t xml:space="preserve"> vägleder strukturella förändringar på ett rättvist och jämlikt sätt.</w:t>
      </w:r>
    </w:p>
    <w:p w:rsidRPr="001C0AB9" w:rsidR="001C0AB9" w:rsidP="00BE1F8F" w:rsidRDefault="001C0AB9" w14:paraId="61A535A9"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EESK efterlyser en </w:t>
      </w:r>
      <w:r>
        <w:rPr>
          <w:b/>
        </w:rPr>
        <w:t>sektorsövergripande</w:t>
      </w:r>
      <w:r>
        <w:t xml:space="preserve"> </w:t>
      </w:r>
      <w:r>
        <w:rPr>
          <w:b/>
        </w:rPr>
        <w:t>industristrategi</w:t>
      </w:r>
      <w:r>
        <w:t xml:space="preserve"> som innebär att man stärker den </w:t>
      </w:r>
      <w:r>
        <w:rPr>
          <w:b/>
        </w:rPr>
        <w:t>politiska samstämmigheten, optimerar resursfördelningen,</w:t>
      </w:r>
      <w:r>
        <w:t xml:space="preserve"> </w:t>
      </w:r>
      <w:r>
        <w:rPr>
          <w:b/>
        </w:rPr>
        <w:t>inrättar en särskild europeisk investeringsfond</w:t>
      </w:r>
      <w:r>
        <w:t xml:space="preserve"> för strategiska prioriteringar och tar hänsyn till den </w:t>
      </w:r>
      <w:r>
        <w:rPr>
          <w:b/>
        </w:rPr>
        <w:t>transnationella dimensionen</w:t>
      </w:r>
      <w:r>
        <w:t xml:space="preserve"> av viktiga områden som </w:t>
      </w:r>
      <w:r>
        <w:rPr>
          <w:b/>
        </w:rPr>
        <w:t>energi, forskning och innovation samt kompetens</w:t>
      </w:r>
      <w:r>
        <w:t>.</w:t>
      </w:r>
    </w:p>
    <w:p w:rsidRPr="001C0AB9" w:rsidR="001C0AB9" w:rsidP="00BE1F8F" w:rsidRDefault="001C0AB9" w14:paraId="1A086C5D" w14:textId="4B6FE65D">
      <w:pPr>
        <w:numPr>
          <w:ilvl w:val="0"/>
          <w:numId w:val="33"/>
        </w:numPr>
        <w:tabs>
          <w:tab w:val="clear" w:pos="720"/>
          <w:tab w:val="num" w:pos="567"/>
        </w:tabs>
        <w:overflowPunct w:val="0"/>
        <w:autoSpaceDE w:val="0"/>
        <w:autoSpaceDN w:val="0"/>
        <w:adjustRightInd w:val="0"/>
        <w:ind w:left="284" w:hanging="284"/>
        <w:textAlignment w:val="baseline"/>
      </w:pPr>
      <w:r>
        <w:t xml:space="preserve">Kommittén </w:t>
      </w:r>
      <w:r>
        <w:rPr>
          <w:b/>
        </w:rPr>
        <w:t xml:space="preserve">betonar behovet av en </w:t>
      </w:r>
      <w:proofErr w:type="spellStart"/>
      <w:r>
        <w:rPr>
          <w:b/>
        </w:rPr>
        <w:t>resilient</w:t>
      </w:r>
      <w:proofErr w:type="spellEnd"/>
      <w:r>
        <w:rPr>
          <w:b/>
        </w:rPr>
        <w:t xml:space="preserve"> handelspolitik för EU</w:t>
      </w:r>
      <w:r>
        <w:t xml:space="preserve"> som minskar riskerna för en </w:t>
      </w:r>
      <w:r>
        <w:rPr>
          <w:b/>
        </w:rPr>
        <w:t>asymmetrisk minskning av koldioxidutsläppen, global överkapacitet</w:t>
      </w:r>
      <w:r>
        <w:t xml:space="preserve"> </w:t>
      </w:r>
      <w:r>
        <w:rPr>
          <w:b/>
        </w:rPr>
        <w:t>och ökande handels</w:t>
      </w:r>
      <w:r w:rsidR="00AB7440">
        <w:rPr>
          <w:b/>
        </w:rPr>
        <w:softHyphen/>
      </w:r>
      <w:r>
        <w:rPr>
          <w:b/>
        </w:rPr>
        <w:t>motsättningar</w:t>
      </w:r>
      <w:r>
        <w:t xml:space="preserve">, och av att samtidigt </w:t>
      </w:r>
      <w:r>
        <w:rPr>
          <w:b/>
        </w:rPr>
        <w:t>stärka</w:t>
      </w:r>
      <w:r>
        <w:t xml:space="preserve"> </w:t>
      </w:r>
      <w:r>
        <w:rPr>
          <w:b/>
        </w:rPr>
        <w:t>autonomin när det gäller kritiska råvaror</w:t>
      </w:r>
      <w:r>
        <w:t xml:space="preserve"> för att skydda EU:s industriella framtid.</w:t>
      </w:r>
    </w:p>
    <w:p w:rsidRPr="001C0AB9" w:rsidR="001C0AB9" w:rsidP="00BE1F8F" w:rsidRDefault="001C0AB9" w14:paraId="5031E8B4" w14:textId="77777777">
      <w:pPr>
        <w:widowControl w:val="0"/>
        <w:overflowPunct w:val="0"/>
        <w:autoSpaceDE w:val="0"/>
        <w:autoSpaceDN w:val="0"/>
        <w:adjustRightInd w:val="0"/>
        <w:ind w:left="709"/>
        <w:textAlignment w:val="baseline"/>
        <w:rPr>
          <w:szCs w:val="20"/>
          <w:lang w:val="en-GB"/>
        </w:rPr>
      </w:pPr>
    </w:p>
    <w:tbl>
      <w:tblPr>
        <w:tblW w:w="4942" w:type="pct"/>
        <w:tblLook w:val="04A0" w:firstRow="1" w:lastRow="0" w:firstColumn="1" w:lastColumn="0" w:noHBand="0" w:noVBand="1"/>
      </w:tblPr>
      <w:tblGrid>
        <w:gridCol w:w="1667"/>
        <w:gridCol w:w="7512"/>
      </w:tblGrid>
      <w:tr w:rsidRPr="001C0AB9" w:rsidR="001C0AB9" w:rsidTr="00713105" w14:paraId="255B6976" w14:textId="77777777">
        <w:tc>
          <w:tcPr>
            <w:tcW w:w="908" w:type="pct"/>
          </w:tcPr>
          <w:p w:rsidRPr="001C0AB9" w:rsidR="001C0AB9" w:rsidP="00BE1F8F" w:rsidRDefault="001C0AB9" w14:paraId="25B90EB8" w14:textId="77777777">
            <w:pPr>
              <w:overflowPunct w:val="0"/>
              <w:autoSpaceDE w:val="0"/>
              <w:autoSpaceDN w:val="0"/>
              <w:adjustRightInd w:val="0"/>
              <w:textAlignment w:val="baseline"/>
              <w:rPr>
                <w:i/>
              </w:rPr>
            </w:pPr>
            <w:r>
              <w:rPr>
                <w:b/>
                <w:i/>
              </w:rPr>
              <w:t>Kontaktperson:</w:t>
            </w:r>
          </w:p>
        </w:tc>
        <w:tc>
          <w:tcPr>
            <w:tcW w:w="4092" w:type="pct"/>
          </w:tcPr>
          <w:p w:rsidRPr="001C0AB9" w:rsidR="001C0AB9" w:rsidP="00BE1F8F" w:rsidRDefault="001C0AB9" w14:paraId="47766DB4" w14:textId="77777777">
            <w:pPr>
              <w:overflowPunct w:val="0"/>
              <w:autoSpaceDE w:val="0"/>
              <w:autoSpaceDN w:val="0"/>
              <w:adjustRightInd w:val="0"/>
              <w:textAlignment w:val="baseline"/>
              <w:rPr>
                <w:i/>
              </w:rPr>
            </w:pPr>
            <w:r>
              <w:rPr>
                <w:i/>
              </w:rPr>
              <w:t xml:space="preserve">Silvia </w:t>
            </w:r>
            <w:proofErr w:type="spellStart"/>
            <w:r>
              <w:rPr>
                <w:i/>
              </w:rPr>
              <w:t>Staffa</w:t>
            </w:r>
            <w:proofErr w:type="spellEnd"/>
          </w:p>
        </w:tc>
      </w:tr>
      <w:tr w:rsidRPr="001C0AB9" w:rsidR="001C0AB9" w:rsidTr="00713105" w14:paraId="7C1DD93F" w14:textId="77777777">
        <w:tc>
          <w:tcPr>
            <w:tcW w:w="908" w:type="pct"/>
          </w:tcPr>
          <w:p w:rsidRPr="001C0AB9" w:rsidR="001C0AB9" w:rsidP="00BE1F8F" w:rsidRDefault="001C0AB9" w14:paraId="3EE989E4" w14:textId="7D069EB2">
            <w:pPr>
              <w:overflowPunct w:val="0"/>
              <w:autoSpaceDE w:val="0"/>
              <w:autoSpaceDN w:val="0"/>
              <w:adjustRightInd w:val="0"/>
              <w:textAlignment w:val="baseline"/>
              <w:rPr>
                <w:i/>
              </w:rPr>
            </w:pPr>
            <w:r>
              <w:rPr>
                <w:i/>
              </w:rPr>
              <w:t>Tfn</w:t>
            </w:r>
            <w:r w:rsidR="00AD372D">
              <w:rPr>
                <w:i/>
              </w:rPr>
              <w:t>:</w:t>
            </w:r>
          </w:p>
        </w:tc>
        <w:tc>
          <w:tcPr>
            <w:tcW w:w="4092" w:type="pct"/>
          </w:tcPr>
          <w:p w:rsidRPr="001C0AB9" w:rsidR="001C0AB9" w:rsidP="00BE1F8F" w:rsidRDefault="001C0AB9" w14:paraId="205BC83F" w14:textId="77777777">
            <w:pPr>
              <w:overflowPunct w:val="0"/>
              <w:autoSpaceDE w:val="0"/>
              <w:autoSpaceDN w:val="0"/>
              <w:adjustRightInd w:val="0"/>
              <w:textAlignment w:val="baseline"/>
              <w:rPr>
                <w:i/>
              </w:rPr>
            </w:pPr>
            <w:r>
              <w:rPr>
                <w:i/>
              </w:rPr>
              <w:t>+32 25468378</w:t>
            </w:r>
          </w:p>
        </w:tc>
      </w:tr>
      <w:tr w:rsidRPr="001C0AB9" w:rsidR="001C0AB9" w:rsidTr="00713105" w14:paraId="0E5D8409" w14:textId="77777777">
        <w:tc>
          <w:tcPr>
            <w:tcW w:w="908" w:type="pct"/>
          </w:tcPr>
          <w:p w:rsidRPr="001C0AB9" w:rsidR="001C0AB9" w:rsidP="00BE1F8F" w:rsidRDefault="00402449" w14:paraId="20244737" w14:textId="72ECCE95">
            <w:pPr>
              <w:overflowPunct w:val="0"/>
              <w:autoSpaceDE w:val="0"/>
              <w:autoSpaceDN w:val="0"/>
              <w:adjustRightInd w:val="0"/>
              <w:textAlignment w:val="baseline"/>
              <w:rPr>
                <w:i/>
              </w:rPr>
            </w:pPr>
            <w:r>
              <w:rPr>
                <w:i/>
              </w:rPr>
              <w:t>E-post:</w:t>
            </w:r>
          </w:p>
        </w:tc>
        <w:tc>
          <w:tcPr>
            <w:tcW w:w="4092" w:type="pct"/>
          </w:tcPr>
          <w:p w:rsidRPr="001C0AB9" w:rsidR="001C0AB9" w:rsidP="00BE1F8F" w:rsidRDefault="008B5D7D" w14:paraId="2ACCD03D" w14:textId="77777777">
            <w:pPr>
              <w:overflowPunct w:val="0"/>
              <w:autoSpaceDE w:val="0"/>
              <w:autoSpaceDN w:val="0"/>
              <w:adjustRightInd w:val="0"/>
              <w:textAlignment w:val="baseline"/>
              <w:rPr>
                <w:i/>
              </w:rPr>
            </w:pPr>
            <w:hyperlink w:history="1" r:id="rId50">
              <w:r w:rsidR="00DE572D">
                <w:rPr>
                  <w:i/>
                  <w:color w:val="0000FF"/>
                  <w:u w:val="single"/>
                </w:rPr>
                <w:t>Silvia.Staffa@eesc.europa.eu</w:t>
              </w:r>
            </w:hyperlink>
          </w:p>
        </w:tc>
      </w:tr>
    </w:tbl>
    <w:p w:rsidR="00A124AE" w:rsidP="00BE1F8F" w:rsidRDefault="00A124AE" w14:paraId="5E11233F" w14:textId="77777777">
      <w:pPr>
        <w:jc w:val="left"/>
      </w:pPr>
    </w:p>
    <w:p w:rsidR="00A124AE" w:rsidP="00BE1F8F" w:rsidRDefault="00A124AE" w14:paraId="64128581" w14:textId="77777777">
      <w:pPr>
        <w:jc w:val="left"/>
      </w:pPr>
      <w:r>
        <w:br w:type="page"/>
      </w:r>
    </w:p>
    <w:p w:rsidRPr="00C43D3E" w:rsidR="00A124AE" w:rsidP="00BE1F8F" w:rsidRDefault="008B5D7D" w14:paraId="6CCC3167" w14:textId="151451A1">
      <w:pPr>
        <w:widowControl w:val="0"/>
        <w:numPr>
          <w:ilvl w:val="0"/>
          <w:numId w:val="2"/>
        </w:numPr>
        <w:overflowPunct w:val="0"/>
        <w:autoSpaceDE w:val="0"/>
        <w:autoSpaceDN w:val="0"/>
        <w:adjustRightInd w:val="0"/>
        <w:ind w:hanging="567"/>
        <w:textAlignment w:val="baseline"/>
        <w:rPr>
          <w:b/>
          <w:bCs/>
          <w:i/>
          <w:iCs/>
          <w:sz w:val="28"/>
          <w:szCs w:val="28"/>
          <w:u w:val="single"/>
        </w:rPr>
      </w:pPr>
      <w:hyperlink w:history="1" r:id="rId51">
        <w:r w:rsidR="00DE572D">
          <w:rPr>
            <w:b/>
            <w:i/>
            <w:color w:val="0000FF"/>
            <w:sz w:val="28"/>
            <w:u w:val="single"/>
          </w:rPr>
          <w:t>Turism i EU: hållbarhet</w:t>
        </w:r>
      </w:hyperlink>
      <w:r w:rsidR="00DE572D">
        <w:t xml:space="preserve"> </w:t>
      </w:r>
      <w:r w:rsidR="00DE572D">
        <w:rPr>
          <w:b/>
          <w:i/>
          <w:color w:val="0000FF"/>
          <w:sz w:val="28"/>
          <w:u w:val="single"/>
        </w:rPr>
        <w:t>som drivkraft för långsiktig konkurrenskraft</w:t>
      </w:r>
    </w:p>
    <w:p w:rsidRPr="00A124AE" w:rsidR="00A124AE" w:rsidP="00BE1F8F" w:rsidRDefault="00A124AE" w14:paraId="70901E46"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74"/>
        <w:gridCol w:w="7213"/>
      </w:tblGrid>
      <w:tr w:rsidRPr="00A124AE" w:rsidR="00A124AE" w:rsidTr="00713105" w14:paraId="5244175C" w14:textId="77777777">
        <w:trPr>
          <w:trHeight w:val="322"/>
        </w:trPr>
        <w:tc>
          <w:tcPr>
            <w:tcW w:w="1090" w:type="pct"/>
          </w:tcPr>
          <w:p w:rsidRPr="00A124AE" w:rsidR="00A124AE" w:rsidP="00BE1F8F" w:rsidRDefault="00A124AE" w14:paraId="1416C2D0" w14:textId="3DD291D0">
            <w:pPr>
              <w:tabs>
                <w:tab w:val="center" w:pos="284"/>
              </w:tabs>
              <w:overflowPunct w:val="0"/>
              <w:autoSpaceDE w:val="0"/>
              <w:autoSpaceDN w:val="0"/>
              <w:adjustRightInd w:val="0"/>
              <w:ind w:left="266" w:hanging="266"/>
              <w:textAlignment w:val="baseline"/>
              <w:rPr>
                <w:b/>
              </w:rPr>
            </w:pPr>
            <w:r>
              <w:rPr>
                <w:b/>
              </w:rPr>
              <w:t>Föredragande:</w:t>
            </w:r>
          </w:p>
        </w:tc>
        <w:tc>
          <w:tcPr>
            <w:tcW w:w="3910" w:type="pct"/>
          </w:tcPr>
          <w:p w:rsidRPr="00A124AE" w:rsidR="00A124AE" w:rsidP="00BE1F8F" w:rsidRDefault="00A124AE" w14:paraId="483C743D" w14:textId="478C4635">
            <w:pPr>
              <w:tabs>
                <w:tab w:val="center" w:pos="0"/>
              </w:tabs>
              <w:overflowPunct w:val="0"/>
              <w:autoSpaceDE w:val="0"/>
              <w:autoSpaceDN w:val="0"/>
              <w:adjustRightInd w:val="0"/>
              <w:ind w:left="266" w:hanging="266"/>
              <w:textAlignment w:val="baseline"/>
            </w:pPr>
            <w:r>
              <w:t xml:space="preserve">Isabel </w:t>
            </w:r>
            <w:proofErr w:type="spellStart"/>
            <w:r>
              <w:t>Yglesias</w:t>
            </w:r>
            <w:proofErr w:type="spellEnd"/>
            <w:r>
              <w:t xml:space="preserve"> (Arbetsgivargruppen – ES)</w:t>
            </w:r>
          </w:p>
        </w:tc>
      </w:tr>
      <w:tr w:rsidRPr="00A124AE" w:rsidR="00A124AE" w:rsidTr="00713105" w14:paraId="466A9A73" w14:textId="77777777">
        <w:tc>
          <w:tcPr>
            <w:tcW w:w="1090" w:type="pct"/>
          </w:tcPr>
          <w:p w:rsidRPr="00A124AE" w:rsidR="00A124AE" w:rsidP="00BE1F8F" w:rsidRDefault="00A124AE" w14:paraId="1940FE0A" w14:textId="7BF07B25">
            <w:pPr>
              <w:tabs>
                <w:tab w:val="center" w:pos="284"/>
              </w:tabs>
              <w:overflowPunct w:val="0"/>
              <w:autoSpaceDE w:val="0"/>
              <w:autoSpaceDN w:val="0"/>
              <w:adjustRightInd w:val="0"/>
              <w:ind w:left="266" w:hanging="266"/>
              <w:textAlignment w:val="baseline"/>
              <w:rPr>
                <w:b/>
              </w:rPr>
            </w:pPr>
            <w:r>
              <w:rPr>
                <w:b/>
              </w:rPr>
              <w:t>Referensdokument:</w:t>
            </w:r>
          </w:p>
        </w:tc>
        <w:tc>
          <w:tcPr>
            <w:tcW w:w="3910" w:type="pct"/>
          </w:tcPr>
          <w:p w:rsidRPr="00A124AE" w:rsidR="00A124AE" w:rsidP="00BE1F8F" w:rsidRDefault="00A124AE" w14:paraId="6D5E8266" w14:textId="709DE05D">
            <w:pPr>
              <w:tabs>
                <w:tab w:val="center" w:pos="284"/>
              </w:tabs>
              <w:overflowPunct w:val="0"/>
              <w:autoSpaceDE w:val="0"/>
              <w:autoSpaceDN w:val="0"/>
              <w:adjustRightInd w:val="0"/>
              <w:ind w:left="266" w:hanging="266"/>
              <w:textAlignment w:val="baseline"/>
            </w:pPr>
            <w:r>
              <w:t>Yttrande på eget initiativ</w:t>
            </w:r>
          </w:p>
          <w:p w:rsidRPr="00A124AE" w:rsidR="00A124AE" w:rsidP="00BE1F8F" w:rsidRDefault="00A124AE" w14:paraId="5DBD68CE" w14:textId="77777777">
            <w:pPr>
              <w:tabs>
                <w:tab w:val="center" w:pos="284"/>
              </w:tabs>
              <w:overflowPunct w:val="0"/>
              <w:autoSpaceDE w:val="0"/>
              <w:autoSpaceDN w:val="0"/>
              <w:adjustRightInd w:val="0"/>
              <w:ind w:left="266" w:hanging="266"/>
              <w:textAlignment w:val="baseline"/>
            </w:pPr>
            <w:r>
              <w:t>EESC-2024-00656-00-00-AC.</w:t>
            </w:r>
          </w:p>
        </w:tc>
      </w:tr>
    </w:tbl>
    <w:p w:rsidRPr="00A124AE" w:rsidR="00A124AE" w:rsidP="00BE1F8F" w:rsidRDefault="00A124AE" w14:paraId="02B41209" w14:textId="77777777">
      <w:pPr>
        <w:tabs>
          <w:tab w:val="center" w:pos="284"/>
        </w:tabs>
        <w:overflowPunct w:val="0"/>
        <w:autoSpaceDE w:val="0"/>
        <w:autoSpaceDN w:val="0"/>
        <w:adjustRightInd w:val="0"/>
        <w:ind w:left="266" w:hanging="266"/>
        <w:textAlignment w:val="baseline"/>
        <w:rPr>
          <w:b/>
          <w:lang w:val="en-GB"/>
        </w:rPr>
      </w:pPr>
    </w:p>
    <w:p w:rsidRPr="00A124AE" w:rsidR="00A124AE" w:rsidP="00BE1F8F" w:rsidRDefault="00A124AE" w14:paraId="51249818" w14:textId="77777777">
      <w:pPr>
        <w:tabs>
          <w:tab w:val="center" w:pos="284"/>
        </w:tabs>
        <w:overflowPunct w:val="0"/>
        <w:autoSpaceDE w:val="0"/>
        <w:autoSpaceDN w:val="0"/>
        <w:adjustRightInd w:val="0"/>
        <w:ind w:left="266" w:hanging="266"/>
        <w:textAlignment w:val="baseline"/>
        <w:rPr>
          <w:b/>
        </w:rPr>
      </w:pPr>
      <w:r>
        <w:rPr>
          <w:b/>
        </w:rPr>
        <w:t>Huvudpunkter</w:t>
      </w:r>
    </w:p>
    <w:p w:rsidRPr="00A124AE" w:rsidR="00A124AE" w:rsidP="00BE1F8F" w:rsidRDefault="00A124AE" w14:paraId="03EBACBD" w14:textId="77777777">
      <w:pPr>
        <w:tabs>
          <w:tab w:val="center" w:pos="284"/>
        </w:tabs>
        <w:overflowPunct w:val="0"/>
        <w:autoSpaceDE w:val="0"/>
        <w:autoSpaceDN w:val="0"/>
        <w:adjustRightInd w:val="0"/>
        <w:ind w:left="266" w:hanging="266"/>
        <w:textAlignment w:val="baseline"/>
        <w:rPr>
          <w:bCs/>
          <w:lang w:val="en-GB"/>
        </w:rPr>
      </w:pPr>
    </w:p>
    <w:p w:rsidRPr="00A124AE" w:rsidR="00A124AE" w:rsidP="00713105" w:rsidRDefault="00A124AE" w14:paraId="73E68146" w14:textId="372BFA81">
      <w:pPr>
        <w:overflowPunct w:val="0"/>
        <w:autoSpaceDE w:val="0"/>
        <w:autoSpaceDN w:val="0"/>
        <w:adjustRightInd w:val="0"/>
        <w:textAlignment w:val="baseline"/>
        <w:rPr>
          <w:bCs/>
          <w:iCs/>
        </w:rPr>
      </w:pPr>
      <w:r>
        <w:t>Europeiska ekonomiska och sociala kommitténs (EESK) ståndpunkt:</w:t>
      </w:r>
    </w:p>
    <w:p w:rsidRPr="00A124AE" w:rsidR="00A124AE" w:rsidP="00BE1F8F" w:rsidRDefault="00A124AE" w14:paraId="6CFA5AB5" w14:textId="77777777">
      <w:pPr>
        <w:numPr>
          <w:ilvl w:val="0"/>
          <w:numId w:val="34"/>
        </w:numPr>
        <w:overflowPunct w:val="0"/>
        <w:autoSpaceDE w:val="0"/>
        <w:autoSpaceDN w:val="0"/>
        <w:adjustRightInd w:val="0"/>
        <w:ind w:left="284" w:hanging="284"/>
        <w:contextualSpacing/>
        <w:textAlignment w:val="baseline"/>
        <w:rPr>
          <w:bCs/>
          <w:iCs/>
        </w:rPr>
      </w:pPr>
      <w:r>
        <w:rPr>
          <w:b/>
        </w:rPr>
        <w:t>Övergången till en hållbar turism</w:t>
      </w:r>
      <w:r>
        <w:t xml:space="preserve"> bör påskyndas och </w:t>
      </w:r>
      <w:r>
        <w:rPr>
          <w:b/>
        </w:rPr>
        <w:t>regenerativa turismstrategier</w:t>
      </w:r>
      <w:r>
        <w:t xml:space="preserve"> </w:t>
      </w:r>
      <w:r>
        <w:rPr>
          <w:b/>
        </w:rPr>
        <w:t>måste genomföras</w:t>
      </w:r>
      <w:r>
        <w:t xml:space="preserve"> för att säkerställa att regioner som i hög grad har specialiserat sig på turism fullt ut kan bidra till att stärka EU:s konkurrenskraft genom turism. Regenerativ turism innefattar mycket mer än hållbar turism genom att den inbegriper verksamhet som syftar till att återställa och stärka naturkapitalet samt det sociala och ekonomiska kapitalet för att på så sätt skapa en positiv och varaktig inverkan på resmålen och deras lokalbefolkning.</w:t>
      </w:r>
    </w:p>
    <w:p w:rsidRPr="00A124AE" w:rsidR="00A124AE" w:rsidP="00BE1F8F" w:rsidRDefault="00A124AE" w14:paraId="5B76C178" w14:textId="77777777">
      <w:pPr>
        <w:numPr>
          <w:ilvl w:val="0"/>
          <w:numId w:val="34"/>
        </w:numPr>
        <w:overflowPunct w:val="0"/>
        <w:autoSpaceDE w:val="0"/>
        <w:autoSpaceDN w:val="0"/>
        <w:adjustRightInd w:val="0"/>
        <w:ind w:left="284" w:hanging="284"/>
        <w:contextualSpacing/>
        <w:textAlignment w:val="baseline"/>
        <w:rPr>
          <w:bCs/>
          <w:iCs/>
        </w:rPr>
      </w:pPr>
      <w:r>
        <w:rPr>
          <w:b/>
        </w:rPr>
        <w:t>I EU:s nya lagstiftningscykel bör en turismpolitik uppmuntras som innefattar mål för aktiv regenerering</w:t>
      </w:r>
      <w:r>
        <w:t xml:space="preserve"> och som knyter samman ett resmåls alla delar, nämligen dess ekosystem, lokalbefolkning, lokala ekonomi och besökare.</w:t>
      </w:r>
    </w:p>
    <w:p w:rsidRPr="00A124AE" w:rsidR="00A124AE" w:rsidP="00BE1F8F" w:rsidRDefault="00A124AE" w14:paraId="75E91233" w14:textId="77777777">
      <w:pPr>
        <w:numPr>
          <w:ilvl w:val="0"/>
          <w:numId w:val="34"/>
        </w:numPr>
        <w:overflowPunct w:val="0"/>
        <w:autoSpaceDE w:val="0"/>
        <w:autoSpaceDN w:val="0"/>
        <w:adjustRightInd w:val="0"/>
        <w:ind w:left="284" w:hanging="284"/>
        <w:contextualSpacing/>
        <w:textAlignment w:val="baseline"/>
        <w:rPr>
          <w:bCs/>
          <w:iCs/>
        </w:rPr>
      </w:pPr>
      <w:r>
        <w:rPr>
          <w:b/>
        </w:rPr>
        <w:t>Tydliga riktlinjer och konkreta åtgärder</w:t>
      </w:r>
      <w:r>
        <w:t xml:space="preserve"> bör utarbetas </w:t>
      </w:r>
      <w:r>
        <w:rPr>
          <w:b/>
        </w:rPr>
        <w:t>för att påskynda övergången</w:t>
      </w:r>
      <w:r>
        <w:t xml:space="preserve"> till en turismmodell som inom ramen för strategin för hållbar turism styrs mot aktiv regenerering och samhällsekonomiskt värde. För att genomförandet av strategin ska krönas med framgång bör den åtföljas av lämpliga </w:t>
      </w:r>
      <w:r>
        <w:rPr>
          <w:b/>
        </w:rPr>
        <w:t>finansierings- och forskningsprogram</w:t>
      </w:r>
      <w:r>
        <w:t xml:space="preserve"> samt av </w:t>
      </w:r>
      <w:r>
        <w:rPr>
          <w:b/>
        </w:rPr>
        <w:t>arbetsmarknads- och utbildningspolitiska åtgärder</w:t>
      </w:r>
      <w:r>
        <w:t>.</w:t>
      </w:r>
    </w:p>
    <w:p w:rsidRPr="00A124AE" w:rsidR="00A124AE" w:rsidP="00BE1F8F" w:rsidRDefault="00A124AE" w14:paraId="096C272A" w14:textId="1EE562DE">
      <w:pPr>
        <w:numPr>
          <w:ilvl w:val="0"/>
          <w:numId w:val="34"/>
        </w:numPr>
        <w:overflowPunct w:val="0"/>
        <w:autoSpaceDE w:val="0"/>
        <w:autoSpaceDN w:val="0"/>
        <w:adjustRightInd w:val="0"/>
        <w:ind w:left="284" w:hanging="284"/>
        <w:contextualSpacing/>
        <w:textAlignment w:val="baseline"/>
        <w:rPr>
          <w:bCs/>
          <w:iCs/>
        </w:rPr>
      </w:pPr>
      <w:r>
        <w:t xml:space="preserve">Att </w:t>
      </w:r>
      <w:r>
        <w:rPr>
          <w:b/>
        </w:rPr>
        <w:t>höja arbetstagarnas kompetens med hjälp av utbildning i hållbarhet och cirkulär ekonomi</w:t>
      </w:r>
      <w:r>
        <w:t xml:space="preserve"> är avgörande för att öka kvaliteten i arbetet och locka till sig och behålla de talanger som behövs för att göra övergången till regenerativ turism möjlig och långsiktigt hållbar. För att uppnå dessa mål krävs åtgärder för att stärka och förankra konsumenternas delaktighet. En kombination av ekonomiska incitament, tillgängliga modeller och strategier i syfte att </w:t>
      </w:r>
      <w:r>
        <w:rPr>
          <w:b/>
        </w:rPr>
        <w:t>minska säsongs</w:t>
      </w:r>
      <w:r w:rsidR="00AB7440">
        <w:rPr>
          <w:b/>
        </w:rPr>
        <w:softHyphen/>
      </w:r>
      <w:r>
        <w:rPr>
          <w:b/>
        </w:rPr>
        <w:t>variationerna</w:t>
      </w:r>
      <w:r>
        <w:t xml:space="preserve"> är avgörande för att få till stånd ett bredare och effektivare engagemang.</w:t>
      </w:r>
    </w:p>
    <w:p w:rsidRPr="00A124AE" w:rsidR="00A124AE" w:rsidP="00BE1F8F" w:rsidRDefault="00A124AE" w14:paraId="15273AD2" w14:textId="77777777">
      <w:pPr>
        <w:ind w:left="567"/>
        <w:contextualSpacing/>
        <w:rPr>
          <w:bCs/>
          <w:iCs/>
          <w:lang w:val="en-GB"/>
        </w:rPr>
      </w:pPr>
    </w:p>
    <w:tbl>
      <w:tblPr>
        <w:tblW w:w="5000" w:type="pct"/>
        <w:tblLook w:val="04A0" w:firstRow="1" w:lastRow="0" w:firstColumn="1" w:lastColumn="0" w:noHBand="0" w:noVBand="1"/>
      </w:tblPr>
      <w:tblGrid>
        <w:gridCol w:w="1662"/>
        <w:gridCol w:w="7625"/>
      </w:tblGrid>
      <w:tr w:rsidRPr="00A124AE" w:rsidR="00A124AE" w:rsidTr="00713105" w14:paraId="7E775A80" w14:textId="77777777">
        <w:tc>
          <w:tcPr>
            <w:tcW w:w="895" w:type="pct"/>
          </w:tcPr>
          <w:p w:rsidRPr="00A124AE" w:rsidR="00A124AE" w:rsidP="00BE1F8F" w:rsidRDefault="00A124AE" w14:paraId="1D08457C" w14:textId="5E171B69">
            <w:pPr>
              <w:overflowPunct w:val="0"/>
              <w:autoSpaceDE w:val="0"/>
              <w:autoSpaceDN w:val="0"/>
              <w:adjustRightInd w:val="0"/>
              <w:textAlignment w:val="baseline"/>
              <w:rPr>
                <w:i/>
              </w:rPr>
            </w:pPr>
            <w:r>
              <w:rPr>
                <w:b/>
                <w:i/>
              </w:rPr>
              <w:t>Kontakt</w:t>
            </w:r>
            <w:r w:rsidR="00AD372D">
              <w:rPr>
                <w:b/>
                <w:i/>
              </w:rPr>
              <w:t>person:</w:t>
            </w:r>
          </w:p>
        </w:tc>
        <w:tc>
          <w:tcPr>
            <w:tcW w:w="4105" w:type="pct"/>
          </w:tcPr>
          <w:p w:rsidRPr="00A124AE" w:rsidR="00A124AE" w:rsidP="00BE1F8F" w:rsidRDefault="00A124AE" w14:paraId="615E6C8D" w14:textId="36E1239F">
            <w:pPr>
              <w:overflowPunct w:val="0"/>
              <w:autoSpaceDE w:val="0"/>
              <w:autoSpaceDN w:val="0"/>
              <w:adjustRightInd w:val="0"/>
              <w:textAlignment w:val="baseline"/>
              <w:rPr>
                <w:i/>
              </w:rPr>
            </w:pPr>
            <w:r>
              <w:rPr>
                <w:i/>
              </w:rPr>
              <w:t xml:space="preserve">Silvia </w:t>
            </w:r>
            <w:proofErr w:type="spellStart"/>
            <w:r>
              <w:rPr>
                <w:i/>
              </w:rPr>
              <w:t>Staffa</w:t>
            </w:r>
            <w:proofErr w:type="spellEnd"/>
          </w:p>
        </w:tc>
      </w:tr>
      <w:tr w:rsidRPr="00A124AE" w:rsidR="00A124AE" w:rsidTr="00713105" w14:paraId="2BB8DEB2" w14:textId="77777777">
        <w:tc>
          <w:tcPr>
            <w:tcW w:w="895" w:type="pct"/>
          </w:tcPr>
          <w:p w:rsidRPr="00A124AE" w:rsidR="00A124AE" w:rsidP="00BE1F8F" w:rsidRDefault="00A124AE" w14:paraId="43D7D550" w14:textId="3783813B">
            <w:pPr>
              <w:overflowPunct w:val="0"/>
              <w:autoSpaceDE w:val="0"/>
              <w:autoSpaceDN w:val="0"/>
              <w:adjustRightInd w:val="0"/>
              <w:textAlignment w:val="baseline"/>
              <w:rPr>
                <w:i/>
              </w:rPr>
            </w:pPr>
            <w:r>
              <w:rPr>
                <w:i/>
              </w:rPr>
              <w:t>Tfn</w:t>
            </w:r>
            <w:r w:rsidR="00AD372D">
              <w:rPr>
                <w:i/>
              </w:rPr>
              <w:t>:</w:t>
            </w:r>
          </w:p>
        </w:tc>
        <w:tc>
          <w:tcPr>
            <w:tcW w:w="4105" w:type="pct"/>
          </w:tcPr>
          <w:p w:rsidRPr="00A124AE" w:rsidR="00A124AE" w:rsidP="00BE1F8F" w:rsidRDefault="00A124AE" w14:paraId="4A1F3ECB" w14:textId="4482010E">
            <w:pPr>
              <w:overflowPunct w:val="0"/>
              <w:autoSpaceDE w:val="0"/>
              <w:autoSpaceDN w:val="0"/>
              <w:adjustRightInd w:val="0"/>
              <w:textAlignment w:val="baseline"/>
              <w:rPr>
                <w:i/>
              </w:rPr>
            </w:pPr>
            <w:r>
              <w:rPr>
                <w:i/>
              </w:rPr>
              <w:t>+32 25468378</w:t>
            </w:r>
          </w:p>
        </w:tc>
      </w:tr>
      <w:tr w:rsidRPr="00A124AE" w:rsidR="00A124AE" w:rsidTr="00713105" w14:paraId="2D7C493D" w14:textId="77777777">
        <w:tc>
          <w:tcPr>
            <w:tcW w:w="895" w:type="pct"/>
          </w:tcPr>
          <w:p w:rsidRPr="00A124AE" w:rsidR="00A124AE" w:rsidP="00BE1F8F" w:rsidRDefault="00A124AE" w14:paraId="6E440A2F" w14:textId="77777777">
            <w:pPr>
              <w:overflowPunct w:val="0"/>
              <w:autoSpaceDE w:val="0"/>
              <w:autoSpaceDN w:val="0"/>
              <w:adjustRightInd w:val="0"/>
              <w:textAlignment w:val="baseline"/>
              <w:rPr>
                <w:i/>
              </w:rPr>
            </w:pPr>
            <w:r>
              <w:rPr>
                <w:i/>
              </w:rPr>
              <w:t>E-post:</w:t>
            </w:r>
          </w:p>
        </w:tc>
        <w:tc>
          <w:tcPr>
            <w:tcW w:w="4105" w:type="pct"/>
          </w:tcPr>
          <w:p w:rsidRPr="00A124AE" w:rsidR="00A124AE" w:rsidP="00BE1F8F" w:rsidRDefault="008B5D7D" w14:paraId="43479DC4" w14:textId="7E7AB516">
            <w:pPr>
              <w:overflowPunct w:val="0"/>
              <w:autoSpaceDE w:val="0"/>
              <w:autoSpaceDN w:val="0"/>
              <w:adjustRightInd w:val="0"/>
              <w:textAlignment w:val="baseline"/>
              <w:rPr>
                <w:i/>
                <w:iCs/>
              </w:rPr>
            </w:pPr>
            <w:hyperlink w:history="1" r:id="rId52">
              <w:r w:rsidR="00DE572D">
                <w:rPr>
                  <w:i/>
                  <w:color w:val="0000FF"/>
                  <w:u w:val="single"/>
                </w:rPr>
                <w:t>Silvia.Staffa@eesc.europa.eu</w:t>
              </w:r>
            </w:hyperlink>
          </w:p>
        </w:tc>
      </w:tr>
    </w:tbl>
    <w:p w:rsidR="00A124AE" w:rsidP="00BE1F8F" w:rsidRDefault="00A124AE" w14:paraId="521215C5" w14:textId="77777777">
      <w:pPr>
        <w:jc w:val="left"/>
        <w:rPr>
          <w:lang w:val="en-GB"/>
        </w:rPr>
      </w:pPr>
    </w:p>
    <w:p w:rsidR="00A124AE" w:rsidP="00BE1F8F" w:rsidRDefault="00A124AE" w14:paraId="3A56B00C" w14:textId="77777777">
      <w:pPr>
        <w:jc w:val="left"/>
      </w:pPr>
      <w:r>
        <w:br w:type="page"/>
      </w:r>
    </w:p>
    <w:p w:rsidR="004D7AC0" w:rsidP="00C77862" w:rsidRDefault="004D7AC0" w14:paraId="4982DE1F" w14:textId="77777777">
      <w:pPr>
        <w:pStyle w:val="Heading1"/>
        <w:keepNext/>
        <w:keepLines/>
        <w:spacing w:line="240" w:lineRule="auto"/>
        <w:rPr>
          <w:b/>
        </w:rPr>
      </w:pPr>
      <w:bookmarkStart w:name="_Toc189059540" w:id="22"/>
      <w:bookmarkStart w:name="_Toc70322234" w:id="23"/>
      <w:bookmarkStart w:name="_Toc75527084" w:id="24"/>
      <w:bookmarkStart w:name="_Toc192683403" w:id="25"/>
      <w:bookmarkEnd w:id="22"/>
      <w:r>
        <w:rPr>
          <w:b/>
        </w:rPr>
        <w:lastRenderedPageBreak/>
        <w:t>JORDBRUK, LANDSBYGDSUTVECKLING OCH MILJÖ</w:t>
      </w:r>
      <w:bookmarkEnd w:id="23"/>
      <w:bookmarkEnd w:id="24"/>
      <w:bookmarkEnd w:id="25"/>
    </w:p>
    <w:p w:rsidRPr="00C77862" w:rsidR="007F5784" w:rsidP="00C77862" w:rsidRDefault="007F5784" w14:paraId="715DB2BD" w14:textId="6CA1C4B2">
      <w:pPr>
        <w:spacing w:line="240" w:lineRule="auto"/>
        <w:jc w:val="left"/>
        <w:rPr>
          <w:sz w:val="16"/>
          <w:szCs w:val="16"/>
        </w:rPr>
      </w:pPr>
    </w:p>
    <w:p w:rsidRPr="00C43D3E" w:rsidR="00DE2D96" w:rsidP="00C77862" w:rsidRDefault="008B5D7D" w14:paraId="642C5AC4" w14:textId="7DDD8912">
      <w:pPr>
        <w:widowControl w:val="0"/>
        <w:numPr>
          <w:ilvl w:val="0"/>
          <w:numId w:val="10"/>
        </w:numPr>
        <w:overflowPunct w:val="0"/>
        <w:autoSpaceDE w:val="0"/>
        <w:autoSpaceDN w:val="0"/>
        <w:adjustRightInd w:val="0"/>
        <w:spacing w:line="240" w:lineRule="auto"/>
        <w:ind w:left="567" w:hanging="567"/>
        <w:textAlignment w:val="baseline"/>
        <w:rPr>
          <w:b/>
          <w:bCs/>
          <w:i/>
          <w:iCs/>
          <w:sz w:val="28"/>
          <w:szCs w:val="28"/>
          <w:u w:val="single"/>
        </w:rPr>
      </w:pPr>
      <w:hyperlink w:history="1" r:id="rId53">
        <w:r w:rsidR="00DE572D">
          <w:rPr>
            <w:b/>
            <w:i/>
            <w:color w:val="0000FF"/>
            <w:sz w:val="28"/>
            <w:u w:val="single"/>
          </w:rPr>
          <w:t>Att säkerställa en hållbar livsmedelsproduktion och en skälig inkomst för EU:s jordbrukare</w:t>
        </w:r>
      </w:hyperlink>
      <w:r w:rsidR="00DE572D">
        <w:rPr>
          <w:b/>
          <w:i/>
          <w:color w:val="0000FF"/>
          <w:sz w:val="28"/>
          <w:u w:val="single"/>
        </w:rPr>
        <w:t xml:space="preserve"> mot bakgrund av marknads-, miljö- och klimatutmaningar</w:t>
      </w:r>
    </w:p>
    <w:p w:rsidRPr="0079405E" w:rsidR="00DE2D96" w:rsidP="00BE1F8F" w:rsidRDefault="00DE2D96" w14:paraId="14A2FD1A" w14:textId="77777777">
      <w:pPr>
        <w:tabs>
          <w:tab w:val="center" w:pos="284"/>
        </w:tabs>
        <w:overflowPunct w:val="0"/>
        <w:autoSpaceDE w:val="0"/>
        <w:autoSpaceDN w:val="0"/>
        <w:adjustRightInd w:val="0"/>
        <w:ind w:left="266" w:hanging="266"/>
        <w:textAlignment w:val="baseline"/>
        <w:rPr>
          <w:b/>
          <w:sz w:val="16"/>
          <w:szCs w:val="16"/>
          <w:lang w:val="en-GB"/>
        </w:rPr>
      </w:pPr>
    </w:p>
    <w:tbl>
      <w:tblPr>
        <w:tblW w:w="4845" w:type="pct"/>
        <w:tblLook w:val="04A0" w:firstRow="1" w:lastRow="0" w:firstColumn="1" w:lastColumn="0" w:noHBand="0" w:noVBand="1"/>
      </w:tblPr>
      <w:tblGrid>
        <w:gridCol w:w="2074"/>
        <w:gridCol w:w="6925"/>
      </w:tblGrid>
      <w:tr w:rsidRPr="0079405E" w:rsidR="00DE2D96" w:rsidTr="00A3780E" w14:paraId="518A9EA4" w14:textId="77777777">
        <w:tc>
          <w:tcPr>
            <w:tcW w:w="1130" w:type="pct"/>
          </w:tcPr>
          <w:p w:rsidRPr="0079405E" w:rsidR="00DE2D96" w:rsidP="00BE1F8F" w:rsidRDefault="00DE2D96" w14:paraId="4BD49780" w14:textId="77777777">
            <w:pPr>
              <w:tabs>
                <w:tab w:val="center" w:pos="284"/>
              </w:tabs>
              <w:overflowPunct w:val="0"/>
              <w:autoSpaceDE w:val="0"/>
              <w:autoSpaceDN w:val="0"/>
              <w:adjustRightInd w:val="0"/>
              <w:ind w:left="266" w:hanging="266"/>
              <w:textAlignment w:val="baseline"/>
              <w:rPr>
                <w:b/>
              </w:rPr>
            </w:pPr>
            <w:r>
              <w:rPr>
                <w:b/>
              </w:rPr>
              <w:t>Föredragande:</w:t>
            </w:r>
          </w:p>
        </w:tc>
        <w:tc>
          <w:tcPr>
            <w:tcW w:w="3870" w:type="pct"/>
          </w:tcPr>
          <w:p w:rsidRPr="0079405E" w:rsidR="00DE2D96" w:rsidP="00BE1F8F" w:rsidRDefault="00366FB1" w14:paraId="35C4E729" w14:textId="0173DE28">
            <w:pPr>
              <w:tabs>
                <w:tab w:val="center" w:pos="284"/>
              </w:tabs>
              <w:overflowPunct w:val="0"/>
              <w:autoSpaceDE w:val="0"/>
              <w:autoSpaceDN w:val="0"/>
              <w:adjustRightInd w:val="0"/>
              <w:ind w:left="266" w:hanging="266"/>
              <w:textAlignment w:val="baseline"/>
            </w:pPr>
            <w:r>
              <w:t xml:space="preserve">Arnold </w:t>
            </w:r>
            <w:proofErr w:type="spellStart"/>
            <w:r>
              <w:t>Puech</w:t>
            </w:r>
            <w:proofErr w:type="spellEnd"/>
            <w:r>
              <w:t xml:space="preserve"> </w:t>
            </w:r>
            <w:proofErr w:type="spellStart"/>
            <w:r>
              <w:t>d’Alissac</w:t>
            </w:r>
            <w:proofErr w:type="spellEnd"/>
            <w:r>
              <w:t xml:space="preserve"> (Arbetsgivargruppen – FR)</w:t>
            </w:r>
          </w:p>
          <w:p w:rsidRPr="0079405E" w:rsidR="00DE2D96" w:rsidP="00BE1F8F" w:rsidRDefault="00DE2D96" w14:paraId="5DE4EBAE" w14:textId="77777777">
            <w:pPr>
              <w:tabs>
                <w:tab w:val="center" w:pos="284"/>
              </w:tabs>
              <w:overflowPunct w:val="0"/>
              <w:autoSpaceDE w:val="0"/>
              <w:autoSpaceDN w:val="0"/>
              <w:adjustRightInd w:val="0"/>
              <w:ind w:left="266" w:hanging="266"/>
              <w:textAlignment w:val="baseline"/>
            </w:pPr>
            <w:proofErr w:type="spellStart"/>
            <w:r>
              <w:t>Piroska</w:t>
            </w:r>
            <w:proofErr w:type="spellEnd"/>
            <w:r>
              <w:t xml:space="preserve"> </w:t>
            </w:r>
            <w:proofErr w:type="spellStart"/>
            <w:r>
              <w:t>Kállay</w:t>
            </w:r>
            <w:proofErr w:type="spellEnd"/>
            <w:r>
              <w:t xml:space="preserve"> (Arbetstagargruppen – HU)</w:t>
            </w:r>
          </w:p>
          <w:p w:rsidRPr="0079405E" w:rsidR="00DE2D96" w:rsidP="00BE1F8F" w:rsidRDefault="00366FB1" w14:paraId="32325F9B" w14:textId="30D7031F">
            <w:pPr>
              <w:tabs>
                <w:tab w:val="center" w:pos="284"/>
              </w:tabs>
              <w:overflowPunct w:val="0"/>
              <w:autoSpaceDE w:val="0"/>
              <w:autoSpaceDN w:val="0"/>
              <w:adjustRightInd w:val="0"/>
              <w:ind w:left="266" w:hanging="266"/>
              <w:textAlignment w:val="baseline"/>
            </w:pPr>
            <w:r>
              <w:t>Joe Healy (Gruppen för civilsamhällesorganisationer – IE)</w:t>
            </w:r>
          </w:p>
        </w:tc>
      </w:tr>
      <w:tr w:rsidRPr="0079405E" w:rsidR="00DE2D96" w:rsidTr="00A3780E" w14:paraId="4B6FEDD4" w14:textId="77777777">
        <w:tc>
          <w:tcPr>
            <w:tcW w:w="1130" w:type="pct"/>
          </w:tcPr>
          <w:p w:rsidRPr="0079405E" w:rsidR="00DE2D96" w:rsidP="00BE1F8F" w:rsidRDefault="00DE2D96" w14:paraId="5A19339E" w14:textId="439F828B">
            <w:pPr>
              <w:tabs>
                <w:tab w:val="center" w:pos="284"/>
              </w:tabs>
              <w:overflowPunct w:val="0"/>
              <w:autoSpaceDE w:val="0"/>
              <w:autoSpaceDN w:val="0"/>
              <w:adjustRightInd w:val="0"/>
              <w:ind w:left="266" w:hanging="266"/>
              <w:textAlignment w:val="baseline"/>
              <w:rPr>
                <w:b/>
              </w:rPr>
            </w:pPr>
            <w:r>
              <w:rPr>
                <w:b/>
              </w:rPr>
              <w:t>Referensdokument:</w:t>
            </w:r>
          </w:p>
        </w:tc>
        <w:tc>
          <w:tcPr>
            <w:tcW w:w="3870" w:type="pct"/>
          </w:tcPr>
          <w:p w:rsidRPr="00D03AEC" w:rsidR="00366FB1" w:rsidP="00BE1F8F" w:rsidRDefault="00366FB1" w14:paraId="1D8B27BA" w14:textId="77777777">
            <w:pPr>
              <w:tabs>
                <w:tab w:val="center" w:pos="284"/>
              </w:tabs>
              <w:overflowPunct w:val="0"/>
              <w:autoSpaceDE w:val="0"/>
              <w:autoSpaceDN w:val="0"/>
              <w:adjustRightInd w:val="0"/>
              <w:ind w:left="266" w:right="-387" w:hanging="266"/>
              <w:textAlignment w:val="baseline"/>
            </w:pPr>
            <w:r>
              <w:t>(förberedande yttrande på begäran av det polska rådsordförandeskapet)</w:t>
            </w:r>
          </w:p>
          <w:p w:rsidRPr="0079405E" w:rsidR="00DE2D96" w:rsidP="00BE1F8F" w:rsidRDefault="00DE2D96" w14:paraId="13DE1FA0" w14:textId="22E0B95D">
            <w:pPr>
              <w:tabs>
                <w:tab w:val="center" w:pos="284"/>
              </w:tabs>
              <w:overflowPunct w:val="0"/>
              <w:autoSpaceDE w:val="0"/>
              <w:autoSpaceDN w:val="0"/>
              <w:adjustRightInd w:val="0"/>
              <w:ind w:left="266" w:hanging="266"/>
              <w:textAlignment w:val="baseline"/>
            </w:pPr>
            <w:r>
              <w:t>EESC-2024-03974-00-00-AC</w:t>
            </w:r>
          </w:p>
        </w:tc>
      </w:tr>
    </w:tbl>
    <w:p w:rsidRPr="00C77862" w:rsidR="00713105" w:rsidP="00BE1F8F" w:rsidRDefault="00713105" w14:paraId="518EA3D3"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79405E" w:rsidR="00DE2D96" w:rsidP="00BE1F8F" w:rsidRDefault="00DE2D96" w14:paraId="1B8691C6" w14:textId="595FF6DF">
      <w:pPr>
        <w:keepNext/>
        <w:keepLines/>
        <w:tabs>
          <w:tab w:val="center" w:pos="284"/>
        </w:tabs>
        <w:overflowPunct w:val="0"/>
        <w:autoSpaceDE w:val="0"/>
        <w:autoSpaceDN w:val="0"/>
        <w:adjustRightInd w:val="0"/>
        <w:ind w:left="266" w:hanging="266"/>
        <w:textAlignment w:val="baseline"/>
        <w:rPr>
          <w:b/>
        </w:rPr>
      </w:pPr>
      <w:r>
        <w:rPr>
          <w:b/>
        </w:rPr>
        <w:t>Huvudpunkter</w:t>
      </w:r>
    </w:p>
    <w:p w:rsidRPr="0079405E" w:rsidR="00DE2D96" w:rsidP="00BE1F8F" w:rsidRDefault="00DE2D96" w14:paraId="1493200A"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DE2D96" w:rsidP="00BE1F8F" w:rsidRDefault="00DE2D96" w14:paraId="6B40E191" w14:textId="77777777">
      <w:pPr>
        <w:widowControl w:val="0"/>
        <w:overflowPunct w:val="0"/>
        <w:autoSpaceDE w:val="0"/>
        <w:autoSpaceDN w:val="0"/>
        <w:adjustRightInd w:val="0"/>
        <w:textAlignment w:val="baseline"/>
        <w:rPr>
          <w:bCs/>
          <w:iCs/>
        </w:rPr>
      </w:pPr>
      <w:r>
        <w:t>Europeiska ekonomiska och sociala kommitténs (EESK) ståndpunkt:</w:t>
      </w:r>
    </w:p>
    <w:p w:rsidRPr="0079405E" w:rsidR="00DE2D96" w:rsidP="00BE1F8F" w:rsidRDefault="00DE2D96" w14:paraId="331A71E3" w14:textId="77777777">
      <w:pPr>
        <w:widowControl w:val="0"/>
        <w:numPr>
          <w:ilvl w:val="0"/>
          <w:numId w:val="35"/>
        </w:numPr>
        <w:overflowPunct w:val="0"/>
        <w:autoSpaceDE w:val="0"/>
        <w:autoSpaceDN w:val="0"/>
        <w:adjustRightInd w:val="0"/>
        <w:ind w:left="284" w:hanging="284"/>
        <w:contextualSpacing/>
        <w:textAlignment w:val="baseline"/>
        <w:rPr>
          <w:bCs/>
          <w:iCs/>
        </w:rPr>
      </w:pPr>
      <w:r>
        <w:t>Kommittén föreslår att kortsiktiga och långsiktiga verktyg tas fram och tillämpas för att stödja jordbrukarnas inkomster och motverka volatilitet inom ramen för och vid sidan av den gemensamma jordbrukspolitiken (GJP) och rekommenderar följande:</w:t>
      </w:r>
    </w:p>
    <w:p w:rsidRPr="0079405E" w:rsidR="00DE2D96" w:rsidP="00713105" w:rsidRDefault="00DE2D96" w14:paraId="188FCED5"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Försäkringssystem mot klimat- och miljökatastrofer</w:t>
      </w:r>
      <w:r>
        <w:t xml:space="preserve">: arbeta med modellen för garantier inom offentlig-privata partnerskap och se över beräkningen av avkastningsreferenser. </w:t>
      </w:r>
    </w:p>
    <w:p w:rsidRPr="0079405E" w:rsidR="00DE2D96" w:rsidP="00713105" w:rsidRDefault="00DE2D96" w14:paraId="5FFE9226"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Försäkringssystem mot spänningar på marknaden</w:t>
      </w:r>
      <w:r>
        <w:t>: undersök möjligheterna att ta fram innovativa verktyg, till exempel ett parametriskt försäkringsinstrument, och inkludera kontracykliska inslag i GJP-instrumenten efter 2027 för att komma till rätta med påfrestningarna från marknaden.</w:t>
      </w:r>
    </w:p>
    <w:p w:rsidRPr="0079405E" w:rsidR="00DE2D96" w:rsidP="00713105" w:rsidRDefault="00DE2D96" w14:paraId="4439B4AA" w14:textId="610E9365">
      <w:pPr>
        <w:widowControl w:val="0"/>
        <w:numPr>
          <w:ilvl w:val="1"/>
          <w:numId w:val="36"/>
        </w:numPr>
        <w:overflowPunct w:val="0"/>
        <w:autoSpaceDE w:val="0"/>
        <w:autoSpaceDN w:val="0"/>
        <w:adjustRightInd w:val="0"/>
        <w:ind w:left="567" w:hanging="567"/>
        <w:contextualSpacing/>
        <w:textAlignment w:val="baseline"/>
        <w:rPr>
          <w:bCs/>
          <w:iCs/>
        </w:rPr>
      </w:pPr>
      <w:r>
        <w:rPr>
          <w:b/>
        </w:rPr>
        <w:t>Risk- och krishanteringsverktyg:</w:t>
      </w:r>
      <w:r>
        <w:t xml:space="preserve"> återställ GJP-budgeten till 0,5 % av EU:s BNP i nästa fleråriga budgetram, förbättra och främja användningen på medlemsstatsnivå av de 3 % av direktstödet som kan användas som bidrag till riskhanteringsinstrumentet för jordbrukare, omarbeta och anslå avsevärt ökade resurser på EU-nivå till reserven för kriser i jordbruks</w:t>
      </w:r>
      <w:r w:rsidR="00AB7440">
        <w:softHyphen/>
      </w:r>
      <w:r>
        <w:t>sektorn och utveckla nationella gemensamma jordbruksfonder för hälso- och miljörisker på medlemsstatsnivå.</w:t>
      </w:r>
    </w:p>
    <w:p w:rsidRPr="0079405E" w:rsidR="00DE2D96" w:rsidP="00713105" w:rsidRDefault="00DE2D96" w14:paraId="74D4B712" w14:textId="77777777">
      <w:pPr>
        <w:widowControl w:val="0"/>
        <w:numPr>
          <w:ilvl w:val="1"/>
          <w:numId w:val="36"/>
        </w:numPr>
        <w:overflowPunct w:val="0"/>
        <w:autoSpaceDE w:val="0"/>
        <w:autoSpaceDN w:val="0"/>
        <w:adjustRightInd w:val="0"/>
        <w:ind w:left="567" w:hanging="567"/>
        <w:contextualSpacing/>
        <w:textAlignment w:val="baseline"/>
        <w:rPr>
          <w:b/>
          <w:bCs/>
        </w:rPr>
      </w:pPr>
      <w:r>
        <w:rPr>
          <w:b/>
        </w:rPr>
        <w:t>Finansiella verktyg som tillhandahålls inom ramen för GJP och av banker:</w:t>
      </w:r>
      <w:r>
        <w:t xml:space="preserve"> stöd jordbrukarnas, framför allt unga jordbrukares, möjligheter att investera med hjälp av enkla och obyråkratiska finansieringsinstrument, såsom finansiella produkter som erbjuds av banker (pilotlån, räntefria lån, lån för att starta jordbruksföretag) m.m.</w:t>
      </w:r>
    </w:p>
    <w:p w:rsidRPr="0079405E" w:rsidR="00DE2D96" w:rsidP="00713105" w:rsidRDefault="00DE2D96" w14:paraId="1F801B29" w14:textId="0739851A">
      <w:pPr>
        <w:widowControl w:val="0"/>
        <w:numPr>
          <w:ilvl w:val="1"/>
          <w:numId w:val="36"/>
        </w:numPr>
        <w:overflowPunct w:val="0"/>
        <w:autoSpaceDE w:val="0"/>
        <w:autoSpaceDN w:val="0"/>
        <w:adjustRightInd w:val="0"/>
        <w:ind w:left="567" w:hanging="567"/>
        <w:contextualSpacing/>
        <w:textAlignment w:val="baseline"/>
        <w:rPr>
          <w:bCs/>
          <w:iCs/>
        </w:rPr>
      </w:pPr>
      <w:r>
        <w:rPr>
          <w:b/>
        </w:rPr>
        <w:t>Verktyg för att trygga jordbrukarnas inkomster och förbättra deras förhandlingsposition:</w:t>
      </w:r>
      <w:r>
        <w:t xml:space="preserve"> överväg att utvidga direktivet om otillbörliga handelsmetoder till att omfatta ett förbud mot försäljning till priser som är lägre än självkostnadspriset efter att noggrant ha undersökt konsekvenserna av ett sådant förbud för alla aktörer i livsmedelsförsörjningskedjan; inför en ny EU-politik som gör det möjligt för jordbrukare att kollektivt förhandla om priser; öka stödet till kooperativ och producentorganisationer; slå vakt om, förbättra och eftersträva ett direktstöd som i högre grad är inriktat mot aktiva jordbrukare i nästa GJP; inför ytterligare stöd i omställningen till klimatneutral produktion; se till att skapa koldioxideffektiva system för livsmedels</w:t>
      </w:r>
      <w:r w:rsidR="00AB7440">
        <w:softHyphen/>
      </w:r>
      <w:r>
        <w:t>produktion och se till att standarderna för livsmedelsproduktion är likvärdiga i alla handelsavtal.</w:t>
      </w:r>
    </w:p>
    <w:p w:rsidRPr="0079405E" w:rsidR="00366FB1" w:rsidP="00713105" w:rsidRDefault="00DE2D96" w14:paraId="496376A0" w14:textId="5E51B798">
      <w:pPr>
        <w:widowControl w:val="0"/>
        <w:numPr>
          <w:ilvl w:val="0"/>
          <w:numId w:val="35"/>
        </w:numPr>
        <w:overflowPunct w:val="0"/>
        <w:autoSpaceDE w:val="0"/>
        <w:autoSpaceDN w:val="0"/>
        <w:adjustRightInd w:val="0"/>
        <w:ind w:left="567" w:hanging="567"/>
        <w:contextualSpacing/>
        <w:textAlignment w:val="baseline"/>
        <w:rPr>
          <w:bCs/>
          <w:iCs/>
        </w:rPr>
      </w:pPr>
      <w:r>
        <w:t>Sektorsspecifik deltagandebaserad styrning bör främjas och den sociala dialogen inom den jordbruksbaserade livsmedelssektorn bör stärkas.</w:t>
      </w:r>
    </w:p>
    <w:p w:rsidRPr="0079405E" w:rsidR="00DE2D96" w:rsidP="00713105" w:rsidRDefault="00DE2D96" w14:paraId="35CC080A" w14:textId="461069AC">
      <w:pPr>
        <w:widowControl w:val="0"/>
        <w:numPr>
          <w:ilvl w:val="0"/>
          <w:numId w:val="35"/>
        </w:numPr>
        <w:overflowPunct w:val="0"/>
        <w:autoSpaceDE w:val="0"/>
        <w:autoSpaceDN w:val="0"/>
        <w:adjustRightInd w:val="0"/>
        <w:ind w:left="567" w:hanging="567"/>
        <w:contextualSpacing/>
        <w:textAlignment w:val="baseline"/>
        <w:rPr>
          <w:bCs/>
          <w:iCs/>
        </w:rPr>
      </w:pPr>
      <w:r>
        <w:t>Kommittén understryker behovet av högkvalitativ jordbruksforskning och investeringar i</w:t>
      </w:r>
      <w:r w:rsidR="00AB7440">
        <w:t> </w:t>
      </w:r>
      <w:r>
        <w:t>utbildning.</w:t>
      </w:r>
    </w:p>
    <w:p w:rsidRPr="0079405E" w:rsidR="00DE2D96" w:rsidP="00713105" w:rsidRDefault="00DE2D96" w14:paraId="6F5D47EA" w14:textId="77777777">
      <w:pPr>
        <w:widowControl w:val="0"/>
        <w:numPr>
          <w:ilvl w:val="0"/>
          <w:numId w:val="35"/>
        </w:numPr>
        <w:overflowPunct w:val="0"/>
        <w:autoSpaceDE w:val="0"/>
        <w:autoSpaceDN w:val="0"/>
        <w:adjustRightInd w:val="0"/>
        <w:ind w:left="567" w:hanging="567"/>
        <w:contextualSpacing/>
        <w:textAlignment w:val="baseline"/>
        <w:rPr>
          <w:bCs/>
          <w:iCs/>
        </w:rPr>
      </w:pPr>
      <w:r>
        <w:lastRenderedPageBreak/>
        <w:t>Det är viktigt att upprätthålla en livskraftig jordbruksproduktion i hela EU. Det är också viktigt att landsbygdsutvecklingen förblir ett viktigt mål för EU:s gemensamma jordbrukspolitik och att tillräckliga medel anslås för detta ändamål.</w:t>
      </w:r>
    </w:p>
    <w:p w:rsidRPr="0079405E" w:rsidR="002A61F5" w:rsidP="00BE1F8F" w:rsidRDefault="002A61F5" w14:paraId="3C8AA267" w14:textId="77777777">
      <w:pPr>
        <w:widowControl w:val="0"/>
        <w:overflowPunct w:val="0"/>
        <w:autoSpaceDE w:val="0"/>
        <w:autoSpaceDN w:val="0"/>
        <w:adjustRightInd w:val="0"/>
        <w:ind w:left="709" w:hanging="425"/>
        <w:textAlignment w:val="baseline"/>
        <w:rPr>
          <w:sz w:val="16"/>
          <w:szCs w:val="16"/>
          <w:lang w:val="en-GB"/>
        </w:rPr>
      </w:pPr>
    </w:p>
    <w:tbl>
      <w:tblPr>
        <w:tblW w:w="4942" w:type="pct"/>
        <w:tblLook w:val="04A0" w:firstRow="1" w:lastRow="0" w:firstColumn="1" w:lastColumn="0" w:noHBand="0" w:noVBand="1"/>
      </w:tblPr>
      <w:tblGrid>
        <w:gridCol w:w="2032"/>
        <w:gridCol w:w="7147"/>
      </w:tblGrid>
      <w:tr w:rsidRPr="0079405E" w:rsidR="00DE2D96" w:rsidTr="00713105" w14:paraId="0E76CB38" w14:textId="77777777">
        <w:tc>
          <w:tcPr>
            <w:tcW w:w="1107" w:type="pct"/>
          </w:tcPr>
          <w:p w:rsidRPr="0079405E" w:rsidR="00DE2D96" w:rsidP="00BE1F8F" w:rsidRDefault="00DE2D96" w14:paraId="6151DC79" w14:textId="77777777">
            <w:pPr>
              <w:overflowPunct w:val="0"/>
              <w:autoSpaceDE w:val="0"/>
              <w:autoSpaceDN w:val="0"/>
              <w:adjustRightInd w:val="0"/>
              <w:textAlignment w:val="baseline"/>
              <w:rPr>
                <w:i/>
              </w:rPr>
            </w:pPr>
            <w:r>
              <w:rPr>
                <w:b/>
                <w:i/>
              </w:rPr>
              <w:t>Kontaktperson:</w:t>
            </w:r>
          </w:p>
        </w:tc>
        <w:tc>
          <w:tcPr>
            <w:tcW w:w="3893" w:type="pct"/>
          </w:tcPr>
          <w:p w:rsidRPr="0079405E" w:rsidR="00DE2D96" w:rsidP="00BE1F8F" w:rsidRDefault="00DE2D96" w14:paraId="1C83FC67" w14:textId="58C849C6">
            <w:pPr>
              <w:overflowPunct w:val="0"/>
              <w:autoSpaceDE w:val="0"/>
              <w:autoSpaceDN w:val="0"/>
              <w:adjustRightInd w:val="0"/>
              <w:textAlignment w:val="baseline"/>
              <w:rPr>
                <w:i/>
              </w:rPr>
            </w:pPr>
            <w:proofErr w:type="spellStart"/>
            <w:r>
              <w:rPr>
                <w:i/>
              </w:rPr>
              <w:t>Myrto</w:t>
            </w:r>
            <w:proofErr w:type="spellEnd"/>
            <w:r>
              <w:rPr>
                <w:i/>
              </w:rPr>
              <w:t xml:space="preserve"> </w:t>
            </w:r>
            <w:proofErr w:type="spellStart"/>
            <w:r>
              <w:rPr>
                <w:i/>
              </w:rPr>
              <w:t>Kolyva</w:t>
            </w:r>
            <w:proofErr w:type="spellEnd"/>
          </w:p>
        </w:tc>
      </w:tr>
      <w:tr w:rsidRPr="0079405E" w:rsidR="00DE2D96" w:rsidTr="00713105" w14:paraId="188EFACC" w14:textId="77777777">
        <w:tc>
          <w:tcPr>
            <w:tcW w:w="1107" w:type="pct"/>
          </w:tcPr>
          <w:p w:rsidRPr="0079405E" w:rsidR="00DE2D96" w:rsidP="00BE1F8F" w:rsidRDefault="00DE2D96" w14:paraId="7E5EE7F9" w14:textId="77777777">
            <w:pPr>
              <w:overflowPunct w:val="0"/>
              <w:autoSpaceDE w:val="0"/>
              <w:autoSpaceDN w:val="0"/>
              <w:adjustRightInd w:val="0"/>
              <w:textAlignment w:val="baseline"/>
              <w:rPr>
                <w:i/>
              </w:rPr>
            </w:pPr>
            <w:r>
              <w:rPr>
                <w:i/>
              </w:rPr>
              <w:t>Tfn:</w:t>
            </w:r>
          </w:p>
        </w:tc>
        <w:tc>
          <w:tcPr>
            <w:tcW w:w="3893" w:type="pct"/>
          </w:tcPr>
          <w:p w:rsidRPr="0079405E" w:rsidR="00DE2D96" w:rsidP="00BE1F8F" w:rsidRDefault="00DE2D96" w14:paraId="19F64A59" w14:textId="77777777">
            <w:pPr>
              <w:overflowPunct w:val="0"/>
              <w:autoSpaceDE w:val="0"/>
              <w:autoSpaceDN w:val="0"/>
              <w:adjustRightInd w:val="0"/>
              <w:textAlignment w:val="baseline"/>
              <w:rPr>
                <w:i/>
              </w:rPr>
            </w:pPr>
            <w:r>
              <w:rPr>
                <w:i/>
              </w:rPr>
              <w:t>+32 25468718</w:t>
            </w:r>
          </w:p>
        </w:tc>
      </w:tr>
      <w:tr w:rsidRPr="0079405E" w:rsidR="00DE2D96" w:rsidTr="00713105" w14:paraId="1C6D3733" w14:textId="77777777">
        <w:tc>
          <w:tcPr>
            <w:tcW w:w="1107" w:type="pct"/>
          </w:tcPr>
          <w:p w:rsidRPr="0079405E" w:rsidR="00DE2D96" w:rsidP="00BE1F8F" w:rsidRDefault="00DE2D96" w14:paraId="40381C02" w14:textId="77777777">
            <w:pPr>
              <w:overflowPunct w:val="0"/>
              <w:autoSpaceDE w:val="0"/>
              <w:autoSpaceDN w:val="0"/>
              <w:adjustRightInd w:val="0"/>
              <w:textAlignment w:val="baseline"/>
              <w:rPr>
                <w:i/>
              </w:rPr>
            </w:pPr>
            <w:r>
              <w:rPr>
                <w:i/>
              </w:rPr>
              <w:t>E-post:</w:t>
            </w:r>
          </w:p>
        </w:tc>
        <w:tc>
          <w:tcPr>
            <w:tcW w:w="3893" w:type="pct"/>
          </w:tcPr>
          <w:p w:rsidRPr="0079405E" w:rsidR="00DE2D96" w:rsidP="00BE1F8F" w:rsidRDefault="008B5D7D" w14:paraId="43973F89" w14:textId="77E8A581">
            <w:pPr>
              <w:overflowPunct w:val="0"/>
              <w:autoSpaceDE w:val="0"/>
              <w:autoSpaceDN w:val="0"/>
              <w:adjustRightInd w:val="0"/>
              <w:textAlignment w:val="baseline"/>
              <w:rPr>
                <w:color w:val="0000FF"/>
                <w:u w:val="single"/>
              </w:rPr>
            </w:pPr>
            <w:hyperlink w:history="1" r:id="rId54">
              <w:r w:rsidR="00DE572D">
                <w:rPr>
                  <w:i/>
                  <w:color w:val="0000FF"/>
                  <w:u w:val="single"/>
                </w:rPr>
                <w:t>Myrto.Kolyva@eesc.europa.eu</w:t>
              </w:r>
            </w:hyperlink>
          </w:p>
        </w:tc>
      </w:tr>
    </w:tbl>
    <w:p w:rsidRPr="00C77862" w:rsidR="00366FB1" w:rsidP="00BE1F8F" w:rsidRDefault="00366FB1" w14:paraId="1FDF3A66" w14:textId="77777777">
      <w:pPr>
        <w:jc w:val="left"/>
        <w:rPr>
          <w:sz w:val="12"/>
          <w:szCs w:val="12"/>
        </w:rPr>
      </w:pPr>
      <w:r>
        <w:br w:type="page"/>
      </w:r>
    </w:p>
    <w:p w:rsidR="007F5784" w:rsidP="00C77862" w:rsidRDefault="00EE5F16" w14:paraId="14026A78" w14:textId="0BB4DE42">
      <w:pPr>
        <w:pStyle w:val="Heading1"/>
        <w:keepNext/>
        <w:keepLines/>
        <w:spacing w:line="240" w:lineRule="auto"/>
        <w:rPr>
          <w:b/>
        </w:rPr>
      </w:pPr>
      <w:bookmarkStart w:name="_Toc192683404" w:id="26"/>
      <w:r>
        <w:rPr>
          <w:b/>
        </w:rPr>
        <w:lastRenderedPageBreak/>
        <w:t>RÅDGIVANDE UTSKOTTET FÖR INDUSTRIELL OMVANDLING</w:t>
      </w:r>
      <w:bookmarkEnd w:id="26"/>
    </w:p>
    <w:p w:rsidR="003F4AD5" w:rsidP="00C77862" w:rsidRDefault="003F4AD5" w14:paraId="7C8ED9AD" w14:textId="77777777">
      <w:pPr>
        <w:spacing w:line="240" w:lineRule="auto"/>
      </w:pPr>
    </w:p>
    <w:p w:rsidRPr="00623E9E" w:rsidR="00623E9E" w:rsidP="00C77862" w:rsidRDefault="008B5D7D" w14:paraId="7953BEAF" w14:textId="2D580F8B">
      <w:pPr>
        <w:widowControl w:val="0"/>
        <w:numPr>
          <w:ilvl w:val="0"/>
          <w:numId w:val="2"/>
        </w:numPr>
        <w:overflowPunct w:val="0"/>
        <w:autoSpaceDE w:val="0"/>
        <w:autoSpaceDN w:val="0"/>
        <w:adjustRightInd w:val="0"/>
        <w:spacing w:line="240" w:lineRule="auto"/>
        <w:ind w:hanging="567"/>
        <w:textAlignment w:val="baseline"/>
        <w:rPr>
          <w:b/>
        </w:rPr>
      </w:pPr>
      <w:hyperlink w:history="1" r:id="rId55">
        <w:r w:rsidR="00DE572D">
          <w:rPr>
            <w:b/>
            <w:i/>
            <w:color w:val="0000FF"/>
            <w:sz w:val="28"/>
            <w:u w:val="single"/>
            <w:shd w:val="clear" w:color="auto" w:fill="FEFEFE"/>
          </w:rPr>
          <w:t xml:space="preserve">Bidraget från </w:t>
        </w:r>
        <w:proofErr w:type="spellStart"/>
        <w:r w:rsidR="00DE572D">
          <w:rPr>
            <w:b/>
            <w:i/>
            <w:color w:val="0000FF"/>
            <w:sz w:val="28"/>
            <w:u w:val="single"/>
            <w:shd w:val="clear" w:color="auto" w:fill="FEFEFE"/>
          </w:rPr>
          <w:t>metaversumet</w:t>
        </w:r>
        <w:proofErr w:type="spellEnd"/>
        <w:r w:rsidR="00DE572D">
          <w:rPr>
            <w:b/>
            <w:i/>
            <w:color w:val="0000FF"/>
            <w:sz w:val="28"/>
            <w:u w:val="single"/>
            <w:shd w:val="clear" w:color="auto" w:fill="FEFEFE"/>
          </w:rPr>
          <w:t xml:space="preserve"> för robotteknik inom den medicinska sektorn</w:t>
        </w:r>
      </w:hyperlink>
    </w:p>
    <w:p w:rsidRPr="00623E9E" w:rsidR="00623E9E" w:rsidP="00C77862" w:rsidRDefault="00623E9E" w14:paraId="1CC73896" w14:textId="77777777">
      <w:pPr>
        <w:widowControl w:val="0"/>
        <w:overflowPunct w:val="0"/>
        <w:autoSpaceDE w:val="0"/>
        <w:autoSpaceDN w:val="0"/>
        <w:adjustRightInd w:val="0"/>
        <w:spacing w:line="240" w:lineRule="auto"/>
        <w:ind w:left="266"/>
        <w:textAlignment w:val="baseline"/>
        <w:rPr>
          <w:b/>
          <w:lang w:val="en-GB"/>
        </w:rPr>
      </w:pPr>
    </w:p>
    <w:tbl>
      <w:tblPr>
        <w:tblW w:w="0" w:type="auto"/>
        <w:tblLook w:val="04A0" w:firstRow="1" w:lastRow="0" w:firstColumn="1" w:lastColumn="0" w:noHBand="0" w:noVBand="1"/>
      </w:tblPr>
      <w:tblGrid>
        <w:gridCol w:w="2074"/>
        <w:gridCol w:w="7213"/>
      </w:tblGrid>
      <w:tr w:rsidRPr="00623E9E" w:rsidR="00623E9E" w:rsidTr="00A3780E" w14:paraId="269248EA" w14:textId="77777777">
        <w:tc>
          <w:tcPr>
            <w:tcW w:w="1701" w:type="dxa"/>
          </w:tcPr>
          <w:p w:rsidRPr="00623E9E" w:rsidR="00623E9E" w:rsidP="00BE1F8F" w:rsidRDefault="00623E9E" w14:paraId="21D29375" w14:textId="77777777">
            <w:pPr>
              <w:tabs>
                <w:tab w:val="center" w:pos="284"/>
              </w:tabs>
              <w:overflowPunct w:val="0"/>
              <w:autoSpaceDE w:val="0"/>
              <w:autoSpaceDN w:val="0"/>
              <w:adjustRightInd w:val="0"/>
              <w:ind w:left="266" w:hanging="266"/>
              <w:textAlignment w:val="baseline"/>
              <w:rPr>
                <w:b/>
              </w:rPr>
            </w:pPr>
            <w:r>
              <w:rPr>
                <w:b/>
              </w:rPr>
              <w:t>Föredragande:</w:t>
            </w:r>
          </w:p>
        </w:tc>
        <w:tc>
          <w:tcPr>
            <w:tcW w:w="7479" w:type="dxa"/>
          </w:tcPr>
          <w:p w:rsidRPr="00623E9E" w:rsidR="00623E9E" w:rsidP="00BE1F8F" w:rsidRDefault="00623E9E" w14:paraId="266FB57D" w14:textId="2659163F">
            <w:pPr>
              <w:tabs>
                <w:tab w:val="center" w:pos="284"/>
              </w:tabs>
              <w:overflowPunct w:val="0"/>
              <w:autoSpaceDE w:val="0"/>
              <w:autoSpaceDN w:val="0"/>
              <w:adjustRightInd w:val="0"/>
              <w:ind w:left="266" w:hanging="266"/>
              <w:textAlignment w:val="baseline"/>
            </w:pPr>
            <w:r>
              <w:t xml:space="preserve">Martin </w:t>
            </w:r>
            <w:proofErr w:type="spellStart"/>
            <w:r>
              <w:t>Böhme</w:t>
            </w:r>
            <w:proofErr w:type="spellEnd"/>
            <w:r>
              <w:t xml:space="preserve"> (Gruppen för civilsamhällesorganisationer – DE)</w:t>
            </w:r>
          </w:p>
        </w:tc>
      </w:tr>
      <w:tr w:rsidRPr="00623E9E" w:rsidR="00623E9E" w:rsidTr="00A3780E" w14:paraId="361B26C2" w14:textId="77777777">
        <w:tc>
          <w:tcPr>
            <w:tcW w:w="1701" w:type="dxa"/>
          </w:tcPr>
          <w:p w:rsidRPr="00623E9E" w:rsidR="00623E9E" w:rsidP="00BE1F8F" w:rsidRDefault="00623E9E" w14:paraId="5503FDF1" w14:textId="77777777">
            <w:pPr>
              <w:tabs>
                <w:tab w:val="center" w:pos="284"/>
              </w:tabs>
              <w:overflowPunct w:val="0"/>
              <w:autoSpaceDE w:val="0"/>
              <w:autoSpaceDN w:val="0"/>
              <w:adjustRightInd w:val="0"/>
              <w:ind w:left="266" w:hanging="266"/>
              <w:textAlignment w:val="baseline"/>
              <w:rPr>
                <w:b/>
              </w:rPr>
            </w:pPr>
            <w:r>
              <w:rPr>
                <w:b/>
              </w:rPr>
              <w:t>Medföredragande:</w:t>
            </w:r>
          </w:p>
        </w:tc>
        <w:tc>
          <w:tcPr>
            <w:tcW w:w="7479" w:type="dxa"/>
          </w:tcPr>
          <w:p w:rsidRPr="00623E9E" w:rsidR="00623E9E" w:rsidP="00BE1F8F" w:rsidRDefault="00623E9E" w14:paraId="1531E497" w14:textId="0BE0FF95">
            <w:pPr>
              <w:tabs>
                <w:tab w:val="center" w:pos="284"/>
              </w:tabs>
              <w:overflowPunct w:val="0"/>
              <w:autoSpaceDE w:val="0"/>
              <w:autoSpaceDN w:val="0"/>
              <w:adjustRightInd w:val="0"/>
              <w:ind w:left="266" w:hanging="266"/>
              <w:textAlignment w:val="baseline"/>
            </w:pPr>
            <w:r>
              <w:t xml:space="preserve">Hervé </w:t>
            </w:r>
            <w:proofErr w:type="spellStart"/>
            <w:r>
              <w:t>Jeannin</w:t>
            </w:r>
            <w:proofErr w:type="spellEnd"/>
            <w:r>
              <w:t xml:space="preserve"> (Kategori 2 – FR)</w:t>
            </w:r>
          </w:p>
        </w:tc>
      </w:tr>
      <w:tr w:rsidRPr="00623E9E" w:rsidR="00623E9E" w:rsidTr="00A3780E" w14:paraId="74813AA8" w14:textId="77777777">
        <w:tc>
          <w:tcPr>
            <w:tcW w:w="1701" w:type="dxa"/>
          </w:tcPr>
          <w:p w:rsidRPr="00623E9E" w:rsidR="00623E9E" w:rsidP="00BE1F8F" w:rsidRDefault="00623E9E" w14:paraId="1103D901" w14:textId="719ACEE8">
            <w:pPr>
              <w:tabs>
                <w:tab w:val="center" w:pos="284"/>
              </w:tabs>
              <w:overflowPunct w:val="0"/>
              <w:autoSpaceDE w:val="0"/>
              <w:autoSpaceDN w:val="0"/>
              <w:adjustRightInd w:val="0"/>
              <w:ind w:left="266" w:hanging="266"/>
              <w:textAlignment w:val="baseline"/>
              <w:rPr>
                <w:b/>
              </w:rPr>
            </w:pPr>
            <w:r>
              <w:rPr>
                <w:b/>
              </w:rPr>
              <w:t>Referensdokument:</w:t>
            </w:r>
          </w:p>
        </w:tc>
        <w:tc>
          <w:tcPr>
            <w:tcW w:w="7479" w:type="dxa"/>
          </w:tcPr>
          <w:p w:rsidR="004F23ED" w:rsidP="00BE1F8F" w:rsidRDefault="004F23ED" w14:paraId="2AEBD737" w14:textId="4C750945">
            <w:pPr>
              <w:tabs>
                <w:tab w:val="center" w:pos="284"/>
              </w:tabs>
              <w:overflowPunct w:val="0"/>
              <w:autoSpaceDE w:val="0"/>
              <w:autoSpaceDN w:val="0"/>
              <w:adjustRightInd w:val="0"/>
              <w:ind w:left="266" w:hanging="266"/>
              <w:textAlignment w:val="baseline"/>
            </w:pPr>
            <w:r>
              <w:t>Yttrande på eget initiativ</w:t>
            </w:r>
          </w:p>
          <w:p w:rsidRPr="00623E9E" w:rsidR="00623E9E" w:rsidP="00BE1F8F" w:rsidRDefault="00623E9E" w14:paraId="5BA8C458" w14:textId="5B035BF6">
            <w:pPr>
              <w:tabs>
                <w:tab w:val="center" w:pos="284"/>
              </w:tabs>
              <w:overflowPunct w:val="0"/>
              <w:autoSpaceDE w:val="0"/>
              <w:autoSpaceDN w:val="0"/>
              <w:adjustRightInd w:val="0"/>
              <w:ind w:left="266" w:hanging="266"/>
              <w:textAlignment w:val="baseline"/>
            </w:pPr>
            <w:r>
              <w:t>EESC-2024-02859-00-00-AC-TRA</w:t>
            </w:r>
          </w:p>
        </w:tc>
      </w:tr>
    </w:tbl>
    <w:p w:rsidR="009B596B" w:rsidP="00BE1F8F" w:rsidRDefault="009B596B" w14:paraId="7BB8F2C0" w14:textId="77777777">
      <w:pPr>
        <w:keepNext/>
        <w:keepLines/>
        <w:tabs>
          <w:tab w:val="center" w:pos="284"/>
        </w:tabs>
        <w:overflowPunct w:val="0"/>
        <w:autoSpaceDE w:val="0"/>
        <w:autoSpaceDN w:val="0"/>
        <w:adjustRightInd w:val="0"/>
        <w:ind w:left="266" w:hanging="266"/>
        <w:textAlignment w:val="baseline"/>
        <w:rPr>
          <w:b/>
          <w:szCs w:val="20"/>
          <w:lang w:val="en-GB"/>
        </w:rPr>
      </w:pPr>
    </w:p>
    <w:p w:rsidRPr="00623E9E" w:rsidR="00623E9E" w:rsidP="00BE1F8F" w:rsidRDefault="00623E9E" w14:paraId="30B2B833" w14:textId="33B9D8A5">
      <w:pPr>
        <w:keepNext/>
        <w:keepLines/>
        <w:tabs>
          <w:tab w:val="center" w:pos="284"/>
        </w:tabs>
        <w:overflowPunct w:val="0"/>
        <w:autoSpaceDE w:val="0"/>
        <w:autoSpaceDN w:val="0"/>
        <w:adjustRightInd w:val="0"/>
        <w:ind w:left="266" w:hanging="266"/>
        <w:textAlignment w:val="baseline"/>
        <w:rPr>
          <w:b/>
        </w:rPr>
      </w:pPr>
      <w:r>
        <w:rPr>
          <w:b/>
        </w:rPr>
        <w:t>Huvudpunkter</w:t>
      </w:r>
    </w:p>
    <w:p w:rsidRPr="00623E9E" w:rsidR="00623E9E" w:rsidP="00BE1F8F" w:rsidRDefault="00623E9E" w14:paraId="53513792" w14:textId="77777777">
      <w:pPr>
        <w:keepNext/>
        <w:keepLines/>
        <w:tabs>
          <w:tab w:val="center" w:pos="284"/>
        </w:tabs>
        <w:overflowPunct w:val="0"/>
        <w:autoSpaceDE w:val="0"/>
        <w:autoSpaceDN w:val="0"/>
        <w:adjustRightInd w:val="0"/>
        <w:ind w:left="266" w:hanging="266"/>
        <w:textAlignment w:val="baseline"/>
        <w:rPr>
          <w:b/>
          <w:lang w:val="en-GB"/>
        </w:rPr>
      </w:pPr>
    </w:p>
    <w:p w:rsidRPr="00623E9E" w:rsidR="00623E9E" w:rsidP="00BE1F8F" w:rsidRDefault="00623E9E" w14:paraId="6DCDBAF9" w14:textId="77777777">
      <w:pPr>
        <w:overflowPunct w:val="0"/>
        <w:autoSpaceDE w:val="0"/>
        <w:autoSpaceDN w:val="0"/>
        <w:adjustRightInd w:val="0"/>
        <w:textAlignment w:val="baseline"/>
        <w:rPr>
          <w:szCs w:val="20"/>
        </w:rPr>
      </w:pPr>
      <w:r>
        <w:t>Europeiska ekonomiska och sociala kommitténs (EESK) ståndpunkt:</w:t>
      </w:r>
    </w:p>
    <w:p w:rsidRPr="004C2B61" w:rsidR="00623E9E" w:rsidP="00713105" w:rsidRDefault="00623E9E" w14:paraId="4E329840" w14:textId="77777777">
      <w:pPr>
        <w:pStyle w:val="ListParagraph"/>
        <w:numPr>
          <w:ilvl w:val="0"/>
          <w:numId w:val="43"/>
        </w:numPr>
        <w:ind w:left="567" w:hanging="567"/>
      </w:pPr>
      <w:bookmarkStart w:name="_Toc191974019" w:id="27"/>
      <w:r>
        <w:t>EESK rekommenderar att man</w:t>
      </w:r>
      <w:r>
        <w:rPr>
          <w:b/>
        </w:rPr>
        <w:t xml:space="preserve"> utvecklar ett omfattande regelverk</w:t>
      </w:r>
      <w:r>
        <w:t xml:space="preserve"> för robotteknik och </w:t>
      </w:r>
      <w:proofErr w:type="spellStart"/>
      <w:r>
        <w:t>metaversum</w:t>
      </w:r>
      <w:proofErr w:type="spellEnd"/>
      <w:r>
        <w:t xml:space="preserve"> inom hälso- och sjukvården.</w:t>
      </w:r>
      <w:bookmarkEnd w:id="27"/>
    </w:p>
    <w:p w:rsidRPr="004C2B61" w:rsidR="00623E9E" w:rsidP="00713105" w:rsidRDefault="00623E9E" w14:paraId="06079E87" w14:textId="77777777">
      <w:pPr>
        <w:pStyle w:val="ListParagraph"/>
        <w:numPr>
          <w:ilvl w:val="0"/>
          <w:numId w:val="43"/>
        </w:numPr>
        <w:ind w:left="567" w:hanging="567"/>
      </w:pPr>
      <w:bookmarkStart w:name="_Toc191974020" w:id="28"/>
      <w:r>
        <w:t xml:space="preserve">EESK betonar vikten av att </w:t>
      </w:r>
      <w:r>
        <w:rPr>
          <w:b/>
        </w:rPr>
        <w:t>främja etiska normer och protokoll för patienters samtycke</w:t>
      </w:r>
      <w:r>
        <w:t>.</w:t>
      </w:r>
      <w:bookmarkEnd w:id="28"/>
    </w:p>
    <w:p w:rsidRPr="004C2B61" w:rsidR="00623E9E" w:rsidP="00713105" w:rsidRDefault="00623E9E" w14:paraId="6D595B43" w14:textId="77777777">
      <w:pPr>
        <w:pStyle w:val="ListParagraph"/>
        <w:numPr>
          <w:ilvl w:val="0"/>
          <w:numId w:val="43"/>
        </w:numPr>
        <w:ind w:left="567" w:hanging="567"/>
      </w:pPr>
      <w:bookmarkStart w:name="_Toc191974021" w:id="29"/>
      <w:r>
        <w:t xml:space="preserve">EESK efterlyser </w:t>
      </w:r>
      <w:r>
        <w:rPr>
          <w:b/>
        </w:rPr>
        <w:t>investeringar i digital infrastruktur</w:t>
      </w:r>
      <w:r>
        <w:t xml:space="preserve"> för att </w:t>
      </w:r>
      <w:r>
        <w:rPr>
          <w:b/>
        </w:rPr>
        <w:t>säkerställa lika tillgång</w:t>
      </w:r>
      <w:r>
        <w:t xml:space="preserve"> och betonar vikten av att investera i digital infrastruktur, särskilt på </w:t>
      </w:r>
      <w:r>
        <w:rPr>
          <w:b/>
        </w:rPr>
        <w:t>landsbygden och i eftersatta områden</w:t>
      </w:r>
      <w:r>
        <w:t xml:space="preserve">, för att förhindra en digital klyfta. EU bör prioritera utbyggnaden av 5G- och 6G-nät för att stödja en säker och tillförlitlig användning av robotteknik och </w:t>
      </w:r>
      <w:proofErr w:type="spellStart"/>
      <w:r>
        <w:t>metaversum</w:t>
      </w:r>
      <w:proofErr w:type="spellEnd"/>
      <w:r>
        <w:t>. Rättvis tillgång till dessa framsteg på hälso- och sjukvårdsområdet i alla medlemsstater är en viktig prioritering.</w:t>
      </w:r>
      <w:bookmarkEnd w:id="29"/>
    </w:p>
    <w:p w:rsidRPr="004C2B61" w:rsidR="00623E9E" w:rsidP="00713105" w:rsidRDefault="00623E9E" w14:paraId="180EF85A" w14:textId="77777777">
      <w:pPr>
        <w:pStyle w:val="ListParagraph"/>
        <w:numPr>
          <w:ilvl w:val="0"/>
          <w:numId w:val="43"/>
        </w:numPr>
        <w:ind w:left="567" w:hanging="567"/>
      </w:pPr>
      <w:bookmarkStart w:name="_Toc191974022" w:id="30"/>
      <w:r>
        <w:t xml:space="preserve">EESK förespråkar </w:t>
      </w:r>
      <w:r>
        <w:rPr>
          <w:b/>
        </w:rPr>
        <w:t>ett ökat utbildningsstöd för hälso- och sjukvårdspersonal</w:t>
      </w:r>
      <w:r>
        <w:t xml:space="preserve">. EU måste finansiera och främja utbildningsprogram för att förbereda hälso- och sjukvårdspersonal på införandet av robotteknik och </w:t>
      </w:r>
      <w:proofErr w:type="spellStart"/>
      <w:r>
        <w:t>metaversum</w:t>
      </w:r>
      <w:proofErr w:type="spellEnd"/>
      <w:r>
        <w:t>.</w:t>
      </w:r>
      <w:bookmarkEnd w:id="30"/>
    </w:p>
    <w:p w:rsidRPr="004C2B61" w:rsidR="00623E9E" w:rsidP="00713105" w:rsidRDefault="00623E9E" w14:paraId="115A5476" w14:textId="77777777">
      <w:pPr>
        <w:pStyle w:val="ListParagraph"/>
        <w:numPr>
          <w:ilvl w:val="0"/>
          <w:numId w:val="43"/>
        </w:numPr>
        <w:ind w:left="567" w:hanging="567"/>
      </w:pPr>
      <w:bookmarkStart w:name="_Toc191974023" w:id="31"/>
      <w:r>
        <w:t xml:space="preserve">EESK uppmuntrar till </w:t>
      </w:r>
      <w:r>
        <w:rPr>
          <w:b/>
        </w:rPr>
        <w:t>främjande av innovation genom en riktad EU-strategi för investeringar</w:t>
      </w:r>
      <w:r>
        <w:t xml:space="preserve">. Kommittén rekommenderar starkt att EU utvecklar en riktad investeringsstrategi, med särskild inriktning på att stödja små och medelstora företag som arbetar med hälso- och sjukvårdslösningar som inbegriper robotteknik och </w:t>
      </w:r>
      <w:proofErr w:type="spellStart"/>
      <w:r>
        <w:t>metaversum</w:t>
      </w:r>
      <w:proofErr w:type="spellEnd"/>
      <w:r>
        <w:t>.</w:t>
      </w:r>
      <w:bookmarkEnd w:id="31"/>
    </w:p>
    <w:p w:rsidRPr="004C2B61" w:rsidR="00623E9E" w:rsidP="00713105" w:rsidRDefault="00623E9E" w14:paraId="5166FC72" w14:textId="7EB2C818">
      <w:pPr>
        <w:pStyle w:val="ListParagraph"/>
        <w:numPr>
          <w:ilvl w:val="0"/>
          <w:numId w:val="43"/>
        </w:numPr>
        <w:ind w:left="567" w:hanging="567"/>
      </w:pPr>
      <w:bookmarkStart w:name="_Toc191974024" w:id="32"/>
      <w:r>
        <w:t>EESK betonar behovet av ett</w:t>
      </w:r>
      <w:r>
        <w:rPr>
          <w:b/>
        </w:rPr>
        <w:t xml:space="preserve"> starkt dataskydd och cybersäkerhetsskydd</w:t>
      </w:r>
      <w:r>
        <w:t xml:space="preserve">. Kommittén uppmanar EU att införa stränga bestämmelser om dataskydd och cybersäkerhet för att skydda känsliga hälsouppgifter och skydda mot cyberattacker. Detta inbegriper att säkra kopplingarna mellan robotteknik, </w:t>
      </w:r>
      <w:proofErr w:type="spellStart"/>
      <w:r>
        <w:t>metaversum</w:t>
      </w:r>
      <w:proofErr w:type="spellEnd"/>
      <w:r>
        <w:t xml:space="preserve"> och enheter för användargränssnitt. EESK påpekar också att datasuveränitet och efterlevnad av uppgiftsskydd är områden som måste behandlas över jurisdiktionsgränserna, för att skydda patienters rättigheter och säkerställa förtroende för gräns</w:t>
      </w:r>
      <w:r w:rsidR="00AB7440">
        <w:softHyphen/>
      </w:r>
      <w:r>
        <w:t>överskridande hälso- och sjukvårdstjänster.</w:t>
      </w:r>
      <w:bookmarkEnd w:id="32"/>
    </w:p>
    <w:p w:rsidRPr="00623E9E" w:rsidR="00623E9E" w:rsidP="00BE1F8F" w:rsidRDefault="00623E9E" w14:paraId="189CE723" w14:textId="77777777">
      <w:pPr>
        <w:rPr>
          <w:lang w:val="en-GB"/>
        </w:rPr>
      </w:pPr>
    </w:p>
    <w:tbl>
      <w:tblPr>
        <w:tblW w:w="0" w:type="auto"/>
        <w:tblLook w:val="04A0" w:firstRow="1" w:lastRow="0" w:firstColumn="1" w:lastColumn="0" w:noHBand="0" w:noVBand="1"/>
      </w:tblPr>
      <w:tblGrid>
        <w:gridCol w:w="1622"/>
        <w:gridCol w:w="5670"/>
      </w:tblGrid>
      <w:tr w:rsidRPr="00623E9E" w:rsidR="00623E9E" w:rsidTr="00A3780E" w14:paraId="5AA87467" w14:textId="77777777">
        <w:tc>
          <w:tcPr>
            <w:tcW w:w="1418" w:type="dxa"/>
          </w:tcPr>
          <w:p w:rsidRPr="00623E9E" w:rsidR="00623E9E" w:rsidP="00BE1F8F" w:rsidRDefault="00623E9E" w14:paraId="565BF265" w14:textId="77777777">
            <w:pPr>
              <w:keepNext/>
              <w:keepLines/>
              <w:overflowPunct w:val="0"/>
              <w:autoSpaceDE w:val="0"/>
              <w:autoSpaceDN w:val="0"/>
              <w:adjustRightInd w:val="0"/>
              <w:textAlignment w:val="baseline"/>
              <w:rPr>
                <w:i/>
              </w:rPr>
            </w:pPr>
            <w:r>
              <w:rPr>
                <w:b/>
                <w:i/>
              </w:rPr>
              <w:t>Kontaktperson:</w:t>
            </w:r>
          </w:p>
        </w:tc>
        <w:tc>
          <w:tcPr>
            <w:tcW w:w="5670" w:type="dxa"/>
          </w:tcPr>
          <w:p w:rsidRPr="00623E9E" w:rsidR="00623E9E" w:rsidP="00BE1F8F" w:rsidRDefault="00623E9E" w14:paraId="206EEDE0" w14:textId="77777777">
            <w:pPr>
              <w:keepNext/>
              <w:keepLines/>
              <w:overflowPunct w:val="0"/>
              <w:autoSpaceDE w:val="0"/>
              <w:autoSpaceDN w:val="0"/>
              <w:adjustRightInd w:val="0"/>
              <w:textAlignment w:val="baseline"/>
              <w:rPr>
                <w:i/>
              </w:rPr>
            </w:pPr>
            <w:r>
              <w:rPr>
                <w:i/>
              </w:rPr>
              <w:t xml:space="preserve">Marie-Laurence </w:t>
            </w:r>
            <w:proofErr w:type="spellStart"/>
            <w:r>
              <w:rPr>
                <w:i/>
              </w:rPr>
              <w:t>Drillon</w:t>
            </w:r>
            <w:proofErr w:type="spellEnd"/>
          </w:p>
        </w:tc>
      </w:tr>
      <w:tr w:rsidRPr="00623E9E" w:rsidR="00623E9E" w:rsidTr="00A3780E" w14:paraId="1831ADE5" w14:textId="77777777">
        <w:tc>
          <w:tcPr>
            <w:tcW w:w="1418" w:type="dxa"/>
          </w:tcPr>
          <w:p w:rsidRPr="00623E9E" w:rsidR="00623E9E" w:rsidP="00BE1F8F" w:rsidRDefault="00623E9E" w14:paraId="0B867EF2" w14:textId="0400AD43">
            <w:pPr>
              <w:keepNext/>
              <w:keepLines/>
              <w:overflowPunct w:val="0"/>
              <w:autoSpaceDE w:val="0"/>
              <w:autoSpaceDN w:val="0"/>
              <w:adjustRightInd w:val="0"/>
              <w:textAlignment w:val="baseline"/>
              <w:rPr>
                <w:i/>
              </w:rPr>
            </w:pPr>
            <w:r>
              <w:rPr>
                <w:i/>
              </w:rPr>
              <w:t>Tfn</w:t>
            </w:r>
            <w:r w:rsidR="00F63551">
              <w:rPr>
                <w:i/>
              </w:rPr>
              <w:t>:</w:t>
            </w:r>
          </w:p>
        </w:tc>
        <w:tc>
          <w:tcPr>
            <w:tcW w:w="5670" w:type="dxa"/>
          </w:tcPr>
          <w:p w:rsidRPr="00623E9E" w:rsidR="00623E9E" w:rsidP="00BE1F8F" w:rsidRDefault="00623E9E" w14:paraId="41C0B021" w14:textId="77777777">
            <w:pPr>
              <w:keepNext/>
              <w:keepLines/>
              <w:overflowPunct w:val="0"/>
              <w:autoSpaceDE w:val="0"/>
              <w:autoSpaceDN w:val="0"/>
              <w:adjustRightInd w:val="0"/>
              <w:textAlignment w:val="baseline"/>
              <w:rPr>
                <w:i/>
              </w:rPr>
            </w:pPr>
            <w:r>
              <w:rPr>
                <w:i/>
              </w:rPr>
              <w:t>+32 25468320</w:t>
            </w:r>
          </w:p>
        </w:tc>
      </w:tr>
      <w:tr w:rsidRPr="00623E9E" w:rsidR="00623E9E" w:rsidTr="00A3780E" w14:paraId="042D4108" w14:textId="77777777">
        <w:tc>
          <w:tcPr>
            <w:tcW w:w="1418" w:type="dxa"/>
          </w:tcPr>
          <w:p w:rsidRPr="00623E9E" w:rsidR="00623E9E" w:rsidP="00BE1F8F" w:rsidRDefault="00752F62" w14:paraId="44E8DDBE" w14:textId="17714177">
            <w:pPr>
              <w:overflowPunct w:val="0"/>
              <w:autoSpaceDE w:val="0"/>
              <w:autoSpaceDN w:val="0"/>
              <w:adjustRightInd w:val="0"/>
              <w:textAlignment w:val="baseline"/>
              <w:rPr>
                <w:i/>
              </w:rPr>
            </w:pPr>
            <w:r>
              <w:rPr>
                <w:i/>
              </w:rPr>
              <w:t>E-post:</w:t>
            </w:r>
          </w:p>
        </w:tc>
        <w:tc>
          <w:tcPr>
            <w:tcW w:w="5670" w:type="dxa"/>
          </w:tcPr>
          <w:p w:rsidRPr="00623E9E" w:rsidR="00623E9E" w:rsidP="00BE1F8F" w:rsidRDefault="008B5D7D" w14:paraId="348F9AAA" w14:textId="77777777">
            <w:pPr>
              <w:overflowPunct w:val="0"/>
              <w:autoSpaceDE w:val="0"/>
              <w:autoSpaceDN w:val="0"/>
              <w:adjustRightInd w:val="0"/>
              <w:textAlignment w:val="baseline"/>
              <w:rPr>
                <w:i/>
              </w:rPr>
            </w:pPr>
            <w:hyperlink w:history="1" r:id="rId56">
              <w:r w:rsidR="00DE572D">
                <w:rPr>
                  <w:i/>
                  <w:color w:val="0000FF"/>
                  <w:u w:val="single"/>
                </w:rPr>
                <w:t>Marie-Laurence.Drillon@eesc.europa.eu</w:t>
              </w:r>
            </w:hyperlink>
          </w:p>
        </w:tc>
      </w:tr>
    </w:tbl>
    <w:p w:rsidR="000D394D" w:rsidP="00BE1F8F" w:rsidRDefault="00726351" w14:paraId="2E28EF19" w14:textId="70908071">
      <w:pPr>
        <w:jc w:val="center"/>
      </w:pPr>
      <w:r>
        <w:t>_____________</w:t>
      </w:r>
    </w:p>
    <w:sectPr w:rsidR="000D394D" w:rsidSect="00713105">
      <w:headerReference w:type="even" r:id="rId57"/>
      <w:headerReference w:type="default" r:id="rId58"/>
      <w:footerReference w:type="even" r:id="rId59"/>
      <w:footerReference w:type="default" r:id="rId60"/>
      <w:headerReference w:type="first" r:id="rId61"/>
      <w:footerReference w:type="first" r:id="rId62"/>
      <w:pgSz w:w="11907" w:h="1683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5A4C4" w14:textId="77777777" w:rsidR="00227559" w:rsidRDefault="00227559" w:rsidP="00B518C9">
      <w:pPr>
        <w:spacing w:line="240" w:lineRule="auto"/>
      </w:pPr>
      <w:r>
        <w:separator/>
      </w:r>
    </w:p>
    <w:p w14:paraId="3A5ED762" w14:textId="77777777" w:rsidR="00227559" w:rsidRDefault="00227559"/>
  </w:endnote>
  <w:endnote w:type="continuationSeparator" w:id="0">
    <w:p w14:paraId="4BCEBE6C" w14:textId="77777777" w:rsidR="00227559" w:rsidRDefault="00227559" w:rsidP="00B518C9">
      <w:pPr>
        <w:spacing w:line="240" w:lineRule="auto"/>
      </w:pPr>
      <w:r>
        <w:continuationSeparator/>
      </w:r>
    </w:p>
    <w:p w14:paraId="556C10CC" w14:textId="77777777" w:rsidR="00227559" w:rsidRDefault="00227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1E2A" w14:textId="77777777" w:rsidR="00F250D5" w:rsidRPr="00BE1F8F" w:rsidRDefault="00F250D5" w:rsidP="00BE1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4BA8DE2A" w:rsidR="00B518C9" w:rsidRPr="00BE1F8F" w:rsidRDefault="00BE1F8F" w:rsidP="00BE1F8F">
    <w:pPr>
      <w:pStyle w:val="Footer"/>
    </w:pPr>
    <w:r>
      <w:t xml:space="preserve">EESC-2025-00345-00-01-TCD-TRA (EN) </w:t>
    </w:r>
    <w:r>
      <w:fldChar w:fldCharType="begin"/>
    </w:r>
    <w:r>
      <w:instrText xml:space="preserve"> PAGE  \* Arabic  \* MERGEFORMAT </w:instrText>
    </w:r>
    <w:r>
      <w:fldChar w:fldCharType="separate"/>
    </w:r>
    <w:r w:rsidR="008171FA">
      <w:t>1</w:t>
    </w:r>
    <w:r>
      <w:fldChar w:fldCharType="end"/>
    </w:r>
    <w:r>
      <w:t>/</w:t>
    </w:r>
    <w:fldSimple w:instr=" NUMPAGES ">
      <w:r w:rsidR="008171FA">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74A4" w14:textId="77777777" w:rsidR="00F250D5" w:rsidRPr="00BE1F8F" w:rsidRDefault="00F250D5" w:rsidP="00BE1F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0EDD" w14:textId="77777777" w:rsidR="0067428C" w:rsidRPr="00BE1F8F" w:rsidRDefault="0067428C" w:rsidP="00BE1F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A535" w14:textId="1A8F1C6B" w:rsidR="0067428C" w:rsidRPr="00BE1F8F" w:rsidRDefault="00BE1F8F" w:rsidP="00BE1F8F">
    <w:pPr>
      <w:pStyle w:val="Footer"/>
    </w:pPr>
    <w:r>
      <w:t xml:space="preserve">EESC-2025-00345-00-01-TCD-TRA (EN) </w:t>
    </w:r>
    <w:r>
      <w:fldChar w:fldCharType="begin"/>
    </w:r>
    <w:r>
      <w:instrText xml:space="preserve"> PAGE  \* Arabic  \* MERGEFORMAT </w:instrText>
    </w:r>
    <w:r>
      <w:fldChar w:fldCharType="separate"/>
    </w:r>
    <w:r>
      <w:t>2</w:t>
    </w:r>
    <w:r>
      <w:fldChar w:fldCharType="end"/>
    </w:r>
    <w:r>
      <w:t>/</w:t>
    </w:r>
    <w:fldSimple w:instr=" NUMPAGES ">
      <w:r>
        <w:t>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99D3" w14:textId="77777777" w:rsidR="00EE160A" w:rsidRPr="00BE1F8F" w:rsidRDefault="00EE160A" w:rsidP="00BE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85884" w14:textId="77777777" w:rsidR="00227559" w:rsidRDefault="00227559" w:rsidP="00B518C9">
      <w:pPr>
        <w:spacing w:line="240" w:lineRule="auto"/>
      </w:pPr>
      <w:r>
        <w:separator/>
      </w:r>
    </w:p>
    <w:p w14:paraId="68988782" w14:textId="77777777" w:rsidR="00227559" w:rsidRDefault="00227559"/>
  </w:footnote>
  <w:footnote w:type="continuationSeparator" w:id="0">
    <w:p w14:paraId="39883EF1" w14:textId="77777777" w:rsidR="00227559" w:rsidRDefault="00227559" w:rsidP="00B518C9">
      <w:pPr>
        <w:spacing w:line="240" w:lineRule="auto"/>
      </w:pPr>
      <w:r>
        <w:continuationSeparator/>
      </w:r>
    </w:p>
    <w:p w14:paraId="3AE36317" w14:textId="77777777" w:rsidR="00227559" w:rsidRDefault="00227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D47C" w14:textId="77777777" w:rsidR="00F250D5" w:rsidRPr="00BE1F8F" w:rsidRDefault="00F250D5" w:rsidP="00BE1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8CD0" w14:textId="26DDA75F" w:rsidR="00F250D5" w:rsidRPr="00BE1F8F" w:rsidRDefault="00F250D5" w:rsidP="00BE1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6853" w14:textId="77777777" w:rsidR="00F250D5" w:rsidRPr="00BE1F8F" w:rsidRDefault="00F250D5" w:rsidP="00BE1F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FC30" w14:textId="77777777" w:rsidR="0067428C" w:rsidRPr="00BE1F8F" w:rsidRDefault="0067428C" w:rsidP="00BE1F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2C5D" w14:textId="3724526D" w:rsidR="0067428C" w:rsidRPr="00BE1F8F" w:rsidRDefault="0067428C" w:rsidP="00BE1F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5D0A" w14:textId="77777777" w:rsidR="00EE160A" w:rsidRPr="00BE1F8F" w:rsidRDefault="00EE160A" w:rsidP="00BE1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E78A658"/>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E06ABCBE"/>
    <w:lvl w:ilvl="0">
      <w:numFmt w:val="decimal"/>
      <w:lvlText w:val="*"/>
      <w:lvlJc w:val="left"/>
    </w:lvl>
  </w:abstractNum>
  <w:abstractNum w:abstractNumId="2" w15:restartNumberingAfterBreak="0">
    <w:nsid w:val="003B78BD"/>
    <w:multiLevelType w:val="hybridMultilevel"/>
    <w:tmpl w:val="66DEF13E"/>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 w15:restartNumberingAfterBreak="0">
    <w:nsid w:val="017F16A7"/>
    <w:multiLevelType w:val="hybridMultilevel"/>
    <w:tmpl w:val="7612248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8F1F91"/>
    <w:multiLevelType w:val="hybridMultilevel"/>
    <w:tmpl w:val="991EBB24"/>
    <w:lvl w:ilvl="0" w:tplc="FFFFFFFF">
      <w:start w:val="1"/>
      <w:numFmt w:val="bullet"/>
      <w:lvlText w:val="o"/>
      <w:lvlJc w:val="left"/>
      <w:pPr>
        <w:ind w:left="720" w:hanging="360"/>
      </w:pPr>
      <w:rPr>
        <w:rFonts w:ascii="Courier New" w:hAnsi="Courier New" w:cs="Courier New" w:hint="default"/>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C53A5C"/>
    <w:multiLevelType w:val="hybridMultilevel"/>
    <w:tmpl w:val="2CB206D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080A122A"/>
    <w:multiLevelType w:val="hybridMultilevel"/>
    <w:tmpl w:val="0BB8EE18"/>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B475CB"/>
    <w:multiLevelType w:val="hybridMultilevel"/>
    <w:tmpl w:val="7BFE4DA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0CDE4774"/>
    <w:multiLevelType w:val="hybridMultilevel"/>
    <w:tmpl w:val="37BA4F4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0F77DDB"/>
    <w:multiLevelType w:val="hybridMultilevel"/>
    <w:tmpl w:val="33DC05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4116E1"/>
    <w:multiLevelType w:val="hybridMultilevel"/>
    <w:tmpl w:val="DFE84AE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883396"/>
    <w:multiLevelType w:val="hybridMultilevel"/>
    <w:tmpl w:val="5EC05AF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1BBA7630"/>
    <w:multiLevelType w:val="singleLevel"/>
    <w:tmpl w:val="20000001"/>
    <w:lvl w:ilvl="0">
      <w:start w:val="1"/>
      <w:numFmt w:val="bullet"/>
      <w:lvlText w:val=""/>
      <w:lvlJc w:val="left"/>
      <w:pPr>
        <w:ind w:left="720" w:hanging="360"/>
      </w:pPr>
      <w:rPr>
        <w:rFonts w:ascii="Symbol" w:hAnsi="Symbol" w:hint="default"/>
      </w:rPr>
    </w:lvl>
  </w:abstractNum>
  <w:abstractNum w:abstractNumId="13" w15:restartNumberingAfterBreak="0">
    <w:nsid w:val="1C4658E6"/>
    <w:multiLevelType w:val="hybridMultilevel"/>
    <w:tmpl w:val="8746298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4" w15:restartNumberingAfterBreak="0">
    <w:nsid w:val="1E5D0EFB"/>
    <w:multiLevelType w:val="hybridMultilevel"/>
    <w:tmpl w:val="FC00356E"/>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1FFA70D8"/>
    <w:multiLevelType w:val="hybridMultilevel"/>
    <w:tmpl w:val="81BC6AFA"/>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24202159"/>
    <w:multiLevelType w:val="hybridMultilevel"/>
    <w:tmpl w:val="02F2492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158AC"/>
    <w:multiLevelType w:val="multilevel"/>
    <w:tmpl w:val="0BC8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0375C3D"/>
    <w:multiLevelType w:val="hybridMultilevel"/>
    <w:tmpl w:val="A06E2070"/>
    <w:lvl w:ilvl="0" w:tplc="8E864B0C">
      <w:start w:val="1"/>
      <w:numFmt w:val="bullet"/>
      <w:lvlText w:val=""/>
      <w:lvlJc w:val="left"/>
      <w:pPr>
        <w:ind w:left="1429"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327B5574"/>
    <w:multiLevelType w:val="hybridMultilevel"/>
    <w:tmpl w:val="1854AB3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3" w15:restartNumberingAfterBreak="0">
    <w:nsid w:val="35F41A11"/>
    <w:multiLevelType w:val="hybridMultilevel"/>
    <w:tmpl w:val="BF64D86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AC60B2F"/>
    <w:multiLevelType w:val="hybridMultilevel"/>
    <w:tmpl w:val="76C615E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5" w15:restartNumberingAfterBreak="0">
    <w:nsid w:val="418E1E35"/>
    <w:multiLevelType w:val="multilevel"/>
    <w:tmpl w:val="972E55B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3467D"/>
    <w:multiLevelType w:val="hybridMultilevel"/>
    <w:tmpl w:val="A724B3C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FE12C5B"/>
    <w:multiLevelType w:val="hybridMultilevel"/>
    <w:tmpl w:val="A59A9AF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8" w15:restartNumberingAfterBreak="0">
    <w:nsid w:val="52CA61C9"/>
    <w:multiLevelType w:val="hybridMultilevel"/>
    <w:tmpl w:val="6F5442C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4382302"/>
    <w:multiLevelType w:val="hybridMultilevel"/>
    <w:tmpl w:val="13C23AD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F92C6D"/>
    <w:multiLevelType w:val="hybridMultilevel"/>
    <w:tmpl w:val="246A71BC"/>
    <w:lvl w:ilvl="0" w:tplc="04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5928275E"/>
    <w:multiLevelType w:val="hybridMultilevel"/>
    <w:tmpl w:val="F3E2DFF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59CD5CD1"/>
    <w:multiLevelType w:val="hybridMultilevel"/>
    <w:tmpl w:val="EA264F8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3" w15:restartNumberingAfterBreak="0">
    <w:nsid w:val="5D195562"/>
    <w:multiLevelType w:val="hybridMultilevel"/>
    <w:tmpl w:val="916C508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CF522C"/>
    <w:multiLevelType w:val="hybridMultilevel"/>
    <w:tmpl w:val="FAC885D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627C73E2"/>
    <w:multiLevelType w:val="hybridMultilevel"/>
    <w:tmpl w:val="D9784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97D1E3D"/>
    <w:multiLevelType w:val="hybridMultilevel"/>
    <w:tmpl w:val="8BEA0D7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6D11A3"/>
    <w:multiLevelType w:val="singleLevel"/>
    <w:tmpl w:val="C97AF652"/>
    <w:lvl w:ilvl="0">
      <w:numFmt w:val="decimal"/>
      <w:lvlText w:val="*"/>
      <w:lvlJc w:val="left"/>
    </w:lvl>
  </w:abstractNum>
  <w:abstractNum w:abstractNumId="38" w15:restartNumberingAfterBreak="0">
    <w:nsid w:val="6C3C7753"/>
    <w:multiLevelType w:val="hybridMultilevel"/>
    <w:tmpl w:val="F4C60320"/>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9" w15:restartNumberingAfterBreak="0">
    <w:nsid w:val="6F781A53"/>
    <w:multiLevelType w:val="hybridMultilevel"/>
    <w:tmpl w:val="20F6F7E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0" w15:restartNumberingAfterBreak="0">
    <w:nsid w:val="72EB051D"/>
    <w:multiLevelType w:val="hybridMultilevel"/>
    <w:tmpl w:val="D5B6578A"/>
    <w:lvl w:ilvl="0" w:tplc="8E864B0C">
      <w:start w:val="1"/>
      <w:numFmt w:val="bullet"/>
      <w:lvlText w:val=""/>
      <w:lvlJc w:val="left"/>
      <w:pPr>
        <w:ind w:left="567" w:hanging="283"/>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1" w15:restartNumberingAfterBreak="0">
    <w:nsid w:val="7E085AB1"/>
    <w:multiLevelType w:val="hybridMultilevel"/>
    <w:tmpl w:val="06FC5AF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2" w15:restartNumberingAfterBreak="0">
    <w:nsid w:val="7E1A7F53"/>
    <w:multiLevelType w:val="hybridMultilevel"/>
    <w:tmpl w:val="B080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1"/>
    <w:lvlOverride w:ilvl="0">
      <w:lvl w:ilvl="0">
        <w:start w:val="1"/>
        <w:numFmt w:val="bullet"/>
        <w:lvlText w:val=""/>
        <w:lvlJc w:val="left"/>
        <w:pPr>
          <w:ind w:left="720" w:hanging="360"/>
        </w:pPr>
        <w:rPr>
          <w:rFonts w:ascii="Symbol" w:hAnsi="Symbol" w:hint="default"/>
          <w:color w:val="auto"/>
        </w:rPr>
      </w:lvl>
    </w:lvlOverride>
  </w:num>
  <w:num w:numId="4">
    <w:abstractNumId w:val="17"/>
  </w:num>
  <w:num w:numId="5">
    <w:abstractNumId w:val="30"/>
  </w:num>
  <w:num w:numId="6">
    <w:abstractNumId w:val="20"/>
  </w:num>
  <w:num w:numId="7">
    <w:abstractNumId w:val="18"/>
  </w:num>
  <w:num w:numId="8">
    <w:abstractNumId w:val="28"/>
  </w:num>
  <w:num w:numId="9">
    <w:abstractNumId w:val="34"/>
  </w:num>
  <w:num w:numId="10">
    <w:abstractNumId w:val="12"/>
  </w:num>
  <w:num w:numId="11">
    <w:abstractNumId w:val="37"/>
  </w:num>
  <w:num w:numId="12">
    <w:abstractNumId w:val="35"/>
  </w:num>
  <w:num w:numId="13">
    <w:abstractNumId w:val="9"/>
  </w:num>
  <w:num w:numId="14">
    <w:abstractNumId w:val="19"/>
  </w:num>
  <w:num w:numId="15">
    <w:abstractNumId w:val="2"/>
  </w:num>
  <w:num w:numId="16">
    <w:abstractNumId w:val="42"/>
  </w:num>
  <w:num w:numId="17">
    <w:abstractNumId w:val="36"/>
  </w:num>
  <w:num w:numId="18">
    <w:abstractNumId w:val="40"/>
  </w:num>
  <w:num w:numId="19">
    <w:abstractNumId w:val="27"/>
  </w:num>
  <w:num w:numId="20">
    <w:abstractNumId w:val="15"/>
  </w:num>
  <w:num w:numId="21">
    <w:abstractNumId w:val="29"/>
  </w:num>
  <w:num w:numId="22">
    <w:abstractNumId w:val="16"/>
  </w:num>
  <w:num w:numId="23">
    <w:abstractNumId w:val="7"/>
  </w:num>
  <w:num w:numId="24">
    <w:abstractNumId w:val="6"/>
  </w:num>
  <w:num w:numId="25">
    <w:abstractNumId w:val="8"/>
  </w:num>
  <w:num w:numId="26">
    <w:abstractNumId w:val="26"/>
  </w:num>
  <w:num w:numId="27">
    <w:abstractNumId w:val="10"/>
  </w:num>
  <w:num w:numId="28">
    <w:abstractNumId w:val="22"/>
  </w:num>
  <w:num w:numId="29">
    <w:abstractNumId w:val="41"/>
  </w:num>
  <w:num w:numId="30">
    <w:abstractNumId w:val="11"/>
  </w:num>
  <w:num w:numId="31">
    <w:abstractNumId w:val="13"/>
  </w:num>
  <w:num w:numId="32">
    <w:abstractNumId w:val="33"/>
  </w:num>
  <w:num w:numId="33">
    <w:abstractNumId w:val="25"/>
  </w:num>
  <w:num w:numId="34">
    <w:abstractNumId w:val="24"/>
  </w:num>
  <w:num w:numId="35">
    <w:abstractNumId w:val="23"/>
  </w:num>
  <w:num w:numId="36">
    <w:abstractNumId w:val="4"/>
  </w:num>
  <w:num w:numId="37">
    <w:abstractNumId w:val="21"/>
  </w:num>
  <w:num w:numId="38">
    <w:abstractNumId w:val="32"/>
  </w:num>
  <w:num w:numId="39">
    <w:abstractNumId w:val="39"/>
  </w:num>
  <w:num w:numId="40">
    <w:abstractNumId w:val="38"/>
  </w:num>
  <w:num w:numId="41">
    <w:abstractNumId w:val="31"/>
  </w:num>
  <w:num w:numId="42">
    <w:abstractNumId w:val="14"/>
  </w:num>
  <w:num w:numId="43">
    <w:abstractNumId w:val="5"/>
  </w:num>
  <w:num w:numId="4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62A"/>
    <w:rsid w:val="00010A4D"/>
    <w:rsid w:val="00025614"/>
    <w:rsid w:val="00032230"/>
    <w:rsid w:val="0005257A"/>
    <w:rsid w:val="00063DFF"/>
    <w:rsid w:val="00077D3D"/>
    <w:rsid w:val="00083115"/>
    <w:rsid w:val="000857F2"/>
    <w:rsid w:val="00093B0F"/>
    <w:rsid w:val="000A2214"/>
    <w:rsid w:val="000A6A5A"/>
    <w:rsid w:val="000B40B4"/>
    <w:rsid w:val="000D394D"/>
    <w:rsid w:val="000D43E1"/>
    <w:rsid w:val="000D533F"/>
    <w:rsid w:val="000E4936"/>
    <w:rsid w:val="00107677"/>
    <w:rsid w:val="001131B6"/>
    <w:rsid w:val="00114665"/>
    <w:rsid w:val="00114D45"/>
    <w:rsid w:val="00116EE0"/>
    <w:rsid w:val="001208E1"/>
    <w:rsid w:val="00126764"/>
    <w:rsid w:val="0015044C"/>
    <w:rsid w:val="0015267F"/>
    <w:rsid w:val="00154A6C"/>
    <w:rsid w:val="00157297"/>
    <w:rsid w:val="001638E9"/>
    <w:rsid w:val="00175F5A"/>
    <w:rsid w:val="001826A4"/>
    <w:rsid w:val="0018354A"/>
    <w:rsid w:val="001900C9"/>
    <w:rsid w:val="00195DF6"/>
    <w:rsid w:val="001C0AB9"/>
    <w:rsid w:val="001C4BA5"/>
    <w:rsid w:val="001C5762"/>
    <w:rsid w:val="001E391D"/>
    <w:rsid w:val="0020320E"/>
    <w:rsid w:val="00204020"/>
    <w:rsid w:val="00217685"/>
    <w:rsid w:val="00225BB6"/>
    <w:rsid w:val="00227559"/>
    <w:rsid w:val="00232656"/>
    <w:rsid w:val="00247F8B"/>
    <w:rsid w:val="002538AC"/>
    <w:rsid w:val="00264FC2"/>
    <w:rsid w:val="0027707F"/>
    <w:rsid w:val="00293191"/>
    <w:rsid w:val="002A5636"/>
    <w:rsid w:val="002A61F5"/>
    <w:rsid w:val="002A65B7"/>
    <w:rsid w:val="002B7981"/>
    <w:rsid w:val="002E05A2"/>
    <w:rsid w:val="00302537"/>
    <w:rsid w:val="003066BE"/>
    <w:rsid w:val="00321FDD"/>
    <w:rsid w:val="003227CC"/>
    <w:rsid w:val="003232BE"/>
    <w:rsid w:val="00343F74"/>
    <w:rsid w:val="003442FB"/>
    <w:rsid w:val="00366FB1"/>
    <w:rsid w:val="00382A22"/>
    <w:rsid w:val="00392B2D"/>
    <w:rsid w:val="003A4752"/>
    <w:rsid w:val="003B3B1A"/>
    <w:rsid w:val="003C2964"/>
    <w:rsid w:val="003F326D"/>
    <w:rsid w:val="003F4AD5"/>
    <w:rsid w:val="003F79EF"/>
    <w:rsid w:val="00402449"/>
    <w:rsid w:val="0041135D"/>
    <w:rsid w:val="00421AAB"/>
    <w:rsid w:val="004229C4"/>
    <w:rsid w:val="004255DD"/>
    <w:rsid w:val="0043191A"/>
    <w:rsid w:val="00435AEF"/>
    <w:rsid w:val="00444504"/>
    <w:rsid w:val="00465FCD"/>
    <w:rsid w:val="00486DAE"/>
    <w:rsid w:val="004A5CD7"/>
    <w:rsid w:val="004C2B61"/>
    <w:rsid w:val="004D7AC0"/>
    <w:rsid w:val="004E0A41"/>
    <w:rsid w:val="004E3508"/>
    <w:rsid w:val="004E411F"/>
    <w:rsid w:val="004F23ED"/>
    <w:rsid w:val="004F2989"/>
    <w:rsid w:val="0052107B"/>
    <w:rsid w:val="005234CD"/>
    <w:rsid w:val="00532089"/>
    <w:rsid w:val="005404CB"/>
    <w:rsid w:val="005820A0"/>
    <w:rsid w:val="005855FF"/>
    <w:rsid w:val="00586B4B"/>
    <w:rsid w:val="005873B0"/>
    <w:rsid w:val="005904B2"/>
    <w:rsid w:val="00592F07"/>
    <w:rsid w:val="00593C9F"/>
    <w:rsid w:val="005A0BDA"/>
    <w:rsid w:val="005A3D14"/>
    <w:rsid w:val="005A4C58"/>
    <w:rsid w:val="005B5258"/>
    <w:rsid w:val="005C66E1"/>
    <w:rsid w:val="005E43B3"/>
    <w:rsid w:val="005E7651"/>
    <w:rsid w:val="005F41D0"/>
    <w:rsid w:val="005F55DC"/>
    <w:rsid w:val="00623E9E"/>
    <w:rsid w:val="00625CA3"/>
    <w:rsid w:val="00627052"/>
    <w:rsid w:val="00641262"/>
    <w:rsid w:val="00652335"/>
    <w:rsid w:val="0067428C"/>
    <w:rsid w:val="006825FC"/>
    <w:rsid w:val="00691BA5"/>
    <w:rsid w:val="006B21A0"/>
    <w:rsid w:val="006C0A65"/>
    <w:rsid w:val="006C533B"/>
    <w:rsid w:val="006C6ECE"/>
    <w:rsid w:val="006D16C7"/>
    <w:rsid w:val="006D1DFA"/>
    <w:rsid w:val="006D2C8A"/>
    <w:rsid w:val="006D2D64"/>
    <w:rsid w:val="006E2EF5"/>
    <w:rsid w:val="006E62F7"/>
    <w:rsid w:val="006F1989"/>
    <w:rsid w:val="00713105"/>
    <w:rsid w:val="00720580"/>
    <w:rsid w:val="00726351"/>
    <w:rsid w:val="007448E4"/>
    <w:rsid w:val="00752F62"/>
    <w:rsid w:val="00754027"/>
    <w:rsid w:val="007554BE"/>
    <w:rsid w:val="00766B1A"/>
    <w:rsid w:val="00770B4A"/>
    <w:rsid w:val="00773E8D"/>
    <w:rsid w:val="00777195"/>
    <w:rsid w:val="0079405E"/>
    <w:rsid w:val="00795836"/>
    <w:rsid w:val="007A0964"/>
    <w:rsid w:val="007A0BE6"/>
    <w:rsid w:val="007B1DCA"/>
    <w:rsid w:val="007C1ABC"/>
    <w:rsid w:val="007D30C1"/>
    <w:rsid w:val="007F5784"/>
    <w:rsid w:val="008171FA"/>
    <w:rsid w:val="0083181F"/>
    <w:rsid w:val="00832938"/>
    <w:rsid w:val="00840FC8"/>
    <w:rsid w:val="008413EF"/>
    <w:rsid w:val="0084417F"/>
    <w:rsid w:val="008452C8"/>
    <w:rsid w:val="00845F24"/>
    <w:rsid w:val="00850929"/>
    <w:rsid w:val="00860DE0"/>
    <w:rsid w:val="00864670"/>
    <w:rsid w:val="00865A78"/>
    <w:rsid w:val="00866666"/>
    <w:rsid w:val="0086679E"/>
    <w:rsid w:val="00871DCF"/>
    <w:rsid w:val="008752F5"/>
    <w:rsid w:val="008761FA"/>
    <w:rsid w:val="0088219D"/>
    <w:rsid w:val="00892F37"/>
    <w:rsid w:val="008B5D7D"/>
    <w:rsid w:val="008B5FC5"/>
    <w:rsid w:val="008B7F9B"/>
    <w:rsid w:val="008C5361"/>
    <w:rsid w:val="008C7452"/>
    <w:rsid w:val="008D0303"/>
    <w:rsid w:val="008D05C8"/>
    <w:rsid w:val="008D44E2"/>
    <w:rsid w:val="0090254F"/>
    <w:rsid w:val="00904A22"/>
    <w:rsid w:val="00910C90"/>
    <w:rsid w:val="009144BA"/>
    <w:rsid w:val="00941874"/>
    <w:rsid w:val="0094356F"/>
    <w:rsid w:val="00945147"/>
    <w:rsid w:val="00980902"/>
    <w:rsid w:val="0098098F"/>
    <w:rsid w:val="00981AAC"/>
    <w:rsid w:val="00996457"/>
    <w:rsid w:val="009A2569"/>
    <w:rsid w:val="009B04E2"/>
    <w:rsid w:val="009B199C"/>
    <w:rsid w:val="009B596B"/>
    <w:rsid w:val="009C3A5E"/>
    <w:rsid w:val="009D7E2D"/>
    <w:rsid w:val="009E747C"/>
    <w:rsid w:val="00A02A59"/>
    <w:rsid w:val="00A073FB"/>
    <w:rsid w:val="00A124AE"/>
    <w:rsid w:val="00A20E9D"/>
    <w:rsid w:val="00A230A4"/>
    <w:rsid w:val="00A26A65"/>
    <w:rsid w:val="00A272B2"/>
    <w:rsid w:val="00A30FAD"/>
    <w:rsid w:val="00A33529"/>
    <w:rsid w:val="00A50553"/>
    <w:rsid w:val="00A5081E"/>
    <w:rsid w:val="00A512D0"/>
    <w:rsid w:val="00A71030"/>
    <w:rsid w:val="00A74A3F"/>
    <w:rsid w:val="00A81F18"/>
    <w:rsid w:val="00A832E6"/>
    <w:rsid w:val="00A94349"/>
    <w:rsid w:val="00AB7440"/>
    <w:rsid w:val="00AC7540"/>
    <w:rsid w:val="00AD28C9"/>
    <w:rsid w:val="00AD372D"/>
    <w:rsid w:val="00AE5791"/>
    <w:rsid w:val="00AF6DC1"/>
    <w:rsid w:val="00AF7CA7"/>
    <w:rsid w:val="00B11B7E"/>
    <w:rsid w:val="00B16AE4"/>
    <w:rsid w:val="00B203DA"/>
    <w:rsid w:val="00B21DC6"/>
    <w:rsid w:val="00B227BF"/>
    <w:rsid w:val="00B47C02"/>
    <w:rsid w:val="00B518C9"/>
    <w:rsid w:val="00B51A72"/>
    <w:rsid w:val="00B73BE7"/>
    <w:rsid w:val="00B80EC0"/>
    <w:rsid w:val="00B83272"/>
    <w:rsid w:val="00B8503F"/>
    <w:rsid w:val="00B87220"/>
    <w:rsid w:val="00B95DFE"/>
    <w:rsid w:val="00B97319"/>
    <w:rsid w:val="00BA081D"/>
    <w:rsid w:val="00BA2F3D"/>
    <w:rsid w:val="00BA71AC"/>
    <w:rsid w:val="00BB020C"/>
    <w:rsid w:val="00BB1131"/>
    <w:rsid w:val="00BB118B"/>
    <w:rsid w:val="00BB17B1"/>
    <w:rsid w:val="00BB7501"/>
    <w:rsid w:val="00BC003D"/>
    <w:rsid w:val="00BC15D3"/>
    <w:rsid w:val="00BC1D26"/>
    <w:rsid w:val="00BC5818"/>
    <w:rsid w:val="00BC6AA1"/>
    <w:rsid w:val="00BD3C24"/>
    <w:rsid w:val="00BD6AD8"/>
    <w:rsid w:val="00BE1F8F"/>
    <w:rsid w:val="00BE37B5"/>
    <w:rsid w:val="00BE54B3"/>
    <w:rsid w:val="00C008B4"/>
    <w:rsid w:val="00C05074"/>
    <w:rsid w:val="00C17ABD"/>
    <w:rsid w:val="00C26C67"/>
    <w:rsid w:val="00C3059A"/>
    <w:rsid w:val="00C4084F"/>
    <w:rsid w:val="00C417FE"/>
    <w:rsid w:val="00C43D3E"/>
    <w:rsid w:val="00C52092"/>
    <w:rsid w:val="00C54F7E"/>
    <w:rsid w:val="00C63C88"/>
    <w:rsid w:val="00C65E51"/>
    <w:rsid w:val="00C65EA7"/>
    <w:rsid w:val="00C67580"/>
    <w:rsid w:val="00C67D5A"/>
    <w:rsid w:val="00C77862"/>
    <w:rsid w:val="00C804F4"/>
    <w:rsid w:val="00C8173B"/>
    <w:rsid w:val="00C821A5"/>
    <w:rsid w:val="00C87D91"/>
    <w:rsid w:val="00C94866"/>
    <w:rsid w:val="00CC44CF"/>
    <w:rsid w:val="00CF233F"/>
    <w:rsid w:val="00D03AEC"/>
    <w:rsid w:val="00D1047D"/>
    <w:rsid w:val="00D24919"/>
    <w:rsid w:val="00D26CB8"/>
    <w:rsid w:val="00D43613"/>
    <w:rsid w:val="00D5795F"/>
    <w:rsid w:val="00D615E8"/>
    <w:rsid w:val="00D63232"/>
    <w:rsid w:val="00D6450A"/>
    <w:rsid w:val="00D66820"/>
    <w:rsid w:val="00D7076A"/>
    <w:rsid w:val="00D7172A"/>
    <w:rsid w:val="00D81F5E"/>
    <w:rsid w:val="00D92269"/>
    <w:rsid w:val="00D92715"/>
    <w:rsid w:val="00DC329C"/>
    <w:rsid w:val="00DC348C"/>
    <w:rsid w:val="00DC45BC"/>
    <w:rsid w:val="00DE176A"/>
    <w:rsid w:val="00DE2D96"/>
    <w:rsid w:val="00DE572D"/>
    <w:rsid w:val="00DE7710"/>
    <w:rsid w:val="00DF0344"/>
    <w:rsid w:val="00DF3CEF"/>
    <w:rsid w:val="00E00A6B"/>
    <w:rsid w:val="00E13806"/>
    <w:rsid w:val="00E14D8E"/>
    <w:rsid w:val="00E16E3C"/>
    <w:rsid w:val="00E348EA"/>
    <w:rsid w:val="00E44ADA"/>
    <w:rsid w:val="00E55DDF"/>
    <w:rsid w:val="00E57BB9"/>
    <w:rsid w:val="00E624FB"/>
    <w:rsid w:val="00E77899"/>
    <w:rsid w:val="00E83667"/>
    <w:rsid w:val="00E9219E"/>
    <w:rsid w:val="00EA3596"/>
    <w:rsid w:val="00EB5E2E"/>
    <w:rsid w:val="00EB629E"/>
    <w:rsid w:val="00EC0F9A"/>
    <w:rsid w:val="00EC5572"/>
    <w:rsid w:val="00ED1DE3"/>
    <w:rsid w:val="00EE160A"/>
    <w:rsid w:val="00EE5F16"/>
    <w:rsid w:val="00EF40DB"/>
    <w:rsid w:val="00F02BB5"/>
    <w:rsid w:val="00F23122"/>
    <w:rsid w:val="00F250D5"/>
    <w:rsid w:val="00F54496"/>
    <w:rsid w:val="00F54B68"/>
    <w:rsid w:val="00F60997"/>
    <w:rsid w:val="00F617CE"/>
    <w:rsid w:val="00F63551"/>
    <w:rsid w:val="00F70422"/>
    <w:rsid w:val="00F83C17"/>
    <w:rsid w:val="00F84774"/>
    <w:rsid w:val="00F93648"/>
    <w:rsid w:val="00F96D7F"/>
    <w:rsid w:val="00FA33C4"/>
    <w:rsid w:val="00FA4B28"/>
    <w:rsid w:val="00FA7642"/>
    <w:rsid w:val="00FA7854"/>
    <w:rsid w:val="00FC456F"/>
    <w:rsid w:val="00FD106B"/>
    <w:rsid w:val="00FD5458"/>
    <w:rsid w:val="00FE0350"/>
    <w:rsid w:val="00FF0E96"/>
  </w:rsids>
  <m:mathPr>
    <m:mathFont m:val="Cambria Math"/>
    <m:brkBin m:val="before"/>
    <m:brkBinSub m:val="--"/>
    <m:smallFrac m:val="0"/>
    <m:dispDef/>
    <m:lMargin m:val="0"/>
    <m:rMargin m:val="0"/>
    <m:defJc m:val="centerGroup"/>
    <m:wrapIndent m:val="1440"/>
    <m:intLim m:val="subSup"/>
    <m:naryLim m:val="undOvr"/>
  </m:mathPr>
  <w:themeFontLang w:val="en-US" w:bidi="hi-x-bh-SD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E0A41"/>
    <w:pPr>
      <w:tabs>
        <w:tab w:val="left" w:pos="440"/>
        <w:tab w:val="right" w:leader="dot" w:pos="9061"/>
      </w:tabs>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C6ECE"/>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131B6"/>
    <w:rPr>
      <w:color w:val="605E5C"/>
      <w:shd w:val="clear" w:color="auto" w:fill="E1DFDD"/>
    </w:rPr>
  </w:style>
  <w:style w:type="paragraph" w:styleId="ListParagraph">
    <w:name w:val="List Paragraph"/>
    <w:basedOn w:val="Normal"/>
    <w:uiPriority w:val="34"/>
    <w:qFormat/>
    <w:rsid w:val="00652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sv/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Gerald.Klec@eesc.europa.eu" TargetMode="External"/><Relationship Id="rId39" Type="http://schemas.openxmlformats.org/officeDocument/2006/relationships/hyperlink" Target="https://www.eesc.europa.eu/sv/initiatives/eu-youth-test-eesc" TargetMode="External"/><Relationship Id="rId21" Type="http://schemas.openxmlformats.org/officeDocument/2006/relationships/hyperlink" Target="https://www.eesc.europa.eu/sv/our-work/opinions-information-reports/opinions/2025-european-semester-autumn-package" TargetMode="External"/><Relationship Id="rId34" Type="http://schemas.openxmlformats.org/officeDocument/2006/relationships/hyperlink" Target="mailto:Gabriela.Grasu@eesc.europa.eu" TargetMode="External"/><Relationship Id="rId42" Type="http://schemas.openxmlformats.org/officeDocument/2006/relationships/hyperlink" Target="https://www.eesc.europa.eu/sv/our-work/opinions-information-reports/opinions/assessment-letta-and-draghi-reports-functioning-and-competitiveness-eus-single-market" TargetMode="External"/><Relationship Id="rId47" Type="http://schemas.openxmlformats.org/officeDocument/2006/relationships/hyperlink" Target="https://www.eesc.europa.eu/sv/our-work/opinions-information-reports/opinions/services-sector-european-union" TargetMode="External"/><Relationship Id="rId50" Type="http://schemas.openxmlformats.org/officeDocument/2006/relationships/hyperlink" Target="mailto:Silvia.Staffa@eesc.europa.eu" TargetMode="External"/><Relationship Id="rId55" Type="http://schemas.openxmlformats.org/officeDocument/2006/relationships/hyperlink" Target="https://www.eesc.europa.eu/sv/our-work/opinions-information-reports/opinions/contribution-robotics-metaverse-medical-sector" TargetMode="External"/><Relationship Id="rId63" Type="http://schemas.openxmlformats.org/officeDocument/2006/relationships/fontTable" Target="fontTable.xml"/><Relationship Id="rId68" Type="http://schemas.openxmlformats.org/officeDocument/2006/relationships/customXml" Target="../customXml/item4.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s://www.eesc.europa.eu/sv/our-work/opinions-information-reports/opinions/addressing-loneliness-cementing-measures-demographic-cohesion" TargetMode="External"/><Relationship Id="rId11" Type="http://schemas.openxmlformats.org/officeDocument/2006/relationships/endnotes" Target="endnotes.xml"/><Relationship Id="rId24" Type="http://schemas.openxmlformats.org/officeDocument/2006/relationships/hyperlink" Target="mailto:juri.soosaar@eesc.europa.eu" TargetMode="External"/><Relationship Id="rId32" Type="http://schemas.openxmlformats.org/officeDocument/2006/relationships/hyperlink" Target="mailto:Grasu.Gabriela@eesc.europa.eu" TargetMode="External"/><Relationship Id="rId37" Type="http://schemas.openxmlformats.org/officeDocument/2006/relationships/hyperlink" Target="mailto:Albert.Precup@eesc.europa.eu" TargetMode="External"/><Relationship Id="rId40" Type="http://schemas.openxmlformats.org/officeDocument/2006/relationships/hyperlink" Target="mailto:Radoslava.Stefankova@eesc.europa.eu" TargetMode="External"/><Relationship Id="rId45" Type="http://schemas.openxmlformats.org/officeDocument/2006/relationships/hyperlink" Target="https://www.eesc.europa.eu/sv/our-work/opinions-information-reports/opinions/competitiveness-eus-small-and-medium-sized-enterprises-light-new-administrative-burdensobligations-eg-relating-non" TargetMode="External"/><Relationship Id="rId53" Type="http://schemas.openxmlformats.org/officeDocument/2006/relationships/hyperlink" Target="https://www.eesc.europa.eu/sv/our-work/opinions-information-reports/opinions/ensuring-sustainable-food-production-and-fair-income-european-farmers-face-market-environmental-and-climate-challenges" TargetMode="External"/><Relationship Id="rId58" Type="http://schemas.openxmlformats.org/officeDocument/2006/relationships/header" Target="header5.xml"/><Relationship Id="rId66" Type="http://schemas.openxmlformats.org/officeDocument/2006/relationships/customXml" Target="../customXml/item2.xml"/><Relationship Id="rId61" Type="http://schemas.openxmlformats.org/officeDocument/2006/relationships/header" Target="header6.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Anna.Pantazi@eesc.europa.eu" TargetMode="External"/><Relationship Id="rId27" Type="http://schemas.openxmlformats.org/officeDocument/2006/relationships/hyperlink" Target="https://www.eesc.europa.eu/sv/our-work/opinions-information-reports/opinions/strengthening-results-orientation-post-2027-cohesion-policy-challenges-risks-and-opportunities" TargetMode="External"/><Relationship Id="rId30" Type="http://schemas.openxmlformats.org/officeDocument/2006/relationships/hyperlink" Target="mailto:Valeria.Atzori@eesc.europa.eu" TargetMode="External"/><Relationship Id="rId35" Type="http://schemas.openxmlformats.org/officeDocument/2006/relationships/hyperlink" Target="mailto:Triin.AasmaaGomes@eesc.europa.eu" TargetMode="External"/><Relationship Id="rId43" Type="http://schemas.openxmlformats.org/officeDocument/2006/relationships/hyperlink" Target="mailto:Annalisa.Tessarolo@eesc.europa.eu" TargetMode="External"/><Relationship Id="rId48" Type="http://schemas.openxmlformats.org/officeDocument/2006/relationships/hyperlink" Target="mailto:Annalisa.Tessarolo@eesc.europa.eu" TargetMode="External"/><Relationship Id="rId56" Type="http://schemas.openxmlformats.org/officeDocument/2006/relationships/hyperlink" Target="mailto:Marie-Laurence.Drillon@eesc.europa.eu"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sv/our-work/opinions-information-reports/opinions/tourism-eu-sustainability-driver-long-term-competitiveness"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sv/our-work/opinions-information-reports/opinions/defence-funding-eu" TargetMode="External"/><Relationship Id="rId33" Type="http://schemas.openxmlformats.org/officeDocument/2006/relationships/hyperlink" Target="https://www.eesc.europa.eu/sv/our-work/opinions-information-reports/opinions/eesc-contribution-eus-priorities-uncsw69" TargetMode="External"/><Relationship Id="rId38" Type="http://schemas.openxmlformats.org/officeDocument/2006/relationships/hyperlink" Target="https://www.eesc.europa.eu/sv/our-work/opinions-information-reports/opinions/consumer-protection-and-impact-digital-and-green-transitions-consumers" TargetMode="External"/><Relationship Id="rId46" Type="http://schemas.openxmlformats.org/officeDocument/2006/relationships/hyperlink" Target="mailto:Marco.Manfroni@eesc.europa.eu" TargetMode="External"/><Relationship Id="rId59" Type="http://schemas.openxmlformats.org/officeDocument/2006/relationships/footer" Target="footer4.xml"/><Relationship Id="rId67" Type="http://schemas.openxmlformats.org/officeDocument/2006/relationships/customXml" Target="../customXml/item3.xml"/><Relationship Id="rId20" Type="http://schemas.openxmlformats.org/officeDocument/2006/relationships/footer" Target="footer3.xml"/><Relationship Id="rId41" Type="http://schemas.openxmlformats.org/officeDocument/2006/relationships/hyperlink" Target="mailto:Yousra.Asbounielouahabi@eesc.europa.eu" TargetMode="External"/><Relationship Id="rId54" Type="http://schemas.openxmlformats.org/officeDocument/2006/relationships/hyperlink" Target="mailto:Myrto.Kolyva@eesc.europa.eu" TargetMode="External"/><Relationship Id="rId62" Type="http://schemas.openxmlformats.org/officeDocument/2006/relationships/footer" Target="footer6.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sv/our-work/opinions-information-reports/opinions/administrative-cooperation-field-taxation-dac9" TargetMode="External"/><Relationship Id="rId28" Type="http://schemas.openxmlformats.org/officeDocument/2006/relationships/hyperlink" Target="mailto:Georgios.Meleas@eesc.europa.eu" TargetMode="External"/><Relationship Id="rId36" Type="http://schemas.openxmlformats.org/officeDocument/2006/relationships/hyperlink" Target="https://www.eesc.europa.eu/sv/our-work/opinions-information-reports/opinions/physical-completion-eus-internal-market-new-geopolitical-situation" TargetMode="External"/><Relationship Id="rId49" Type="http://schemas.openxmlformats.org/officeDocument/2006/relationships/hyperlink" Target="https://www.eesc.europa.eu/sv/our-work/opinions-information-reports/opinions/future-eu-industry-face-high-energy-prices-and-transition-costs" TargetMode="External"/><Relationship Id="rId57" Type="http://schemas.openxmlformats.org/officeDocument/2006/relationships/header" Target="header4.xml"/><Relationship Id="rId10" Type="http://schemas.openxmlformats.org/officeDocument/2006/relationships/footnotes" Target="footnotes.xml"/><Relationship Id="rId31" Type="http://schemas.openxmlformats.org/officeDocument/2006/relationships/hyperlink" Target="https://www.eesc.europa.eu/sv/our-work/opinions-information-reports/opinions/violence-against-women-human-rights-issue-state-play-measures-across-eu" TargetMode="External"/><Relationship Id="rId44" Type="http://schemas.openxmlformats.org/officeDocument/2006/relationships/hyperlink" Target="mailto:Silvia.Staffa@eesc.europa.eu" TargetMode="External"/><Relationship Id="rId52" Type="http://schemas.openxmlformats.org/officeDocument/2006/relationships/hyperlink" Target="mailto:Silvia.Staffa@eesc.europa.eu" TargetMode="External"/><Relationship Id="rId60" Type="http://schemas.openxmlformats.org/officeDocument/2006/relationships/footer" Target="footer5.xml"/><Relationship Id="rId65" Type="http://schemas.openxmlformats.org/officeDocument/2006/relationships/customXml" Target="../customXml/item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A6WAAD5KZT2Q-604569563-4621</_dlc_DocId>
    <_dlc_DocIdUrl xmlns="1a33af13-4045-4f88-9d7b-618e30f79918">
      <Url>http://dm/eesc/2025/_layouts/15/DocIdRedir.aspx?ID=A6WAAD5KZT2Q-604569563-4621</Url>
      <Description>A6WAAD5KZT2Q-604569563-4621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2025-03-12T12:00:00+00:00</ProductionDate>
    <DocumentNumber xmlns="be3ca9a7-9286-4008-99ec-aebc20da9dc2">345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2025-03-26T12:00:00+00:00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2534</FicheNumber>
    <OriginalSender xmlns="1a33af13-4045-4f88-9d7b-618e30f79918">
      <UserInfo>
        <DisplayName>Wennblom Karin</DisplayName>
        <AccountId>1488</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595</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Props1.xml><?xml version="1.0" encoding="utf-8"?>
<ds:datastoreItem xmlns:ds="http://schemas.openxmlformats.org/officeDocument/2006/customXml" ds:itemID="{19FC6E75-B0FD-48E8-B975-3EB96679201C}"/>
</file>

<file path=customXml/itemProps2.xml><?xml version="1.0" encoding="utf-8"?>
<ds:datastoreItem xmlns:ds="http://schemas.openxmlformats.org/officeDocument/2006/customXml" ds:itemID="{89BB3DA9-21E2-431C-9983-3D60736043AF}"/>
</file>

<file path=customXml/itemProps3.xml><?xml version="1.0" encoding="utf-8"?>
<ds:datastoreItem xmlns:ds="http://schemas.openxmlformats.org/officeDocument/2006/customXml" ds:itemID="{765488C7-EA4D-49E1-BE07-49201911DB6E}"/>
</file>

<file path=customXml/itemProps4.xml><?xml version="1.0" encoding="utf-8"?>
<ds:datastoreItem xmlns:ds="http://schemas.openxmlformats.org/officeDocument/2006/customXml" ds:itemID="{D78CBD02-03FF-44D4-8A22-B828A8E88932}"/>
</file>

<file path=docProps/app.xml><?xml version="1.0" encoding="utf-8"?>
<Properties xmlns="http://schemas.openxmlformats.org/officeDocument/2006/extended-properties" xmlns:vt="http://schemas.openxmlformats.org/officeDocument/2006/docPropsVTypes">
  <Template>Normal.dotm</Template>
  <TotalTime>0</TotalTime>
  <Pages>24</Pages>
  <Words>7083</Words>
  <Characters>40377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Summary of opinions - 593rd plenary session - January 2025</vt:lpstr>
    </vt:vector>
  </TitlesOfParts>
  <Company>CESE-CdR</Company>
  <LinksUpToDate>false</LinksUpToDate>
  <CharactersWithSpaces>47366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 av yttranden - 594:e plenarsessionen - februari 2025</dc:title>
  <dc:subject>TCD</dc:subject>
  <dc:creator>Nieddu Emma</dc:creator>
  <cp:keywords>EESC-2025-00345-00-01-TCD-TRA-EN</cp:keywords>
  <dc:description>Rapporteur:  - Original language: EN - Date of document: 12/03/2025 - Date of meeting: 30/26/2025 14:30 - External documents:  - Administrator: MME TAMASAUSKIENE Julija</dc:description>
  <cp:lastModifiedBy>Wennblom Karin</cp:lastModifiedBy>
  <cp:revision>14</cp:revision>
  <dcterms:created xsi:type="dcterms:W3CDTF">2025-03-12T09:56:00Z</dcterms:created>
  <dcterms:modified xsi:type="dcterms:W3CDTF">2025-03-12T13:52:00Z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12/03/2025, 05/03/2025, 29/01/2025, 02/05/2022, 02/05/2022, 28/06/2021</vt:lpwstr>
  </property>
  <property fmtid="{D5CDD505-2E9C-101B-9397-08002B2CF9AE}" pid="4" name="Pref_Time">
    <vt:lpwstr>10:27:20, 09:28:12, 15:29:38, 12:28:29, 12:25:37, 08:41:48</vt:lpwstr>
  </property>
  <property fmtid="{D5CDD505-2E9C-101B-9397-08002B2CF9AE}" pid="5" name="Pref_User">
    <vt:lpwstr>amett, enied, amett, enied, enied, enied</vt:lpwstr>
  </property>
  <property fmtid="{D5CDD505-2E9C-101B-9397-08002B2CF9AE}" pid="6" name="Pref_FileName">
    <vt:lpwstr>EESC-2025-00345-00-01-TCD-ORI.docx, EESC-2025-00345-00-00-TCD-ORI.docx, EESC-2024-04576-00-00-TCD-ORI.docx, Summary of opinions.docx, COR-EESC-2022-02370-00-00-ADMIN-ORI.docx, Synthese des avis Template.docx</vt:lpwstr>
  </property>
  <property fmtid="{D5CDD505-2E9C-101B-9397-08002B2CF9AE}" pid="7" name="ContentTypeId">
    <vt:lpwstr>0x010100EA97B91038054C99906057A708A1480A006BB3B767F3CF4149BF520211D4A86BC0</vt:lpwstr>
  </property>
  <property fmtid="{D5CDD505-2E9C-101B-9397-08002B2CF9AE}" pid="8" name="_dlc_DocIdItemGuid">
    <vt:lpwstr>31cb8899-da25-4e38-b710-eab3b3d22219</vt:lpwstr>
  </property>
  <property fmtid="{D5CDD505-2E9C-101B-9397-08002B2CF9AE}" pid="9" name="AvailableTranslations">
    <vt:lpwstr>34;#IT|0774613c-01ed-4e5d-a25d-11d2388de825;#30;#LT|a7ff5ce7-6123-4f68-865a-a57c31810414;#23;#DE|f6b31e5a-26fa-4935-b661-318e46daf27e;#50;#HR|2f555653-ed1a-4fe6-8362-9082d95989e5;#16;#ES|e7a6b05b-ae16-40c8-add9-68b64b03aeba;#40;#DA|5d49c027-8956-412b-aa16-e85a0f96ad0e;#42;#EL|6d4f4d51-af9b-4650-94b4-4276bee85c91;#24;#PL|1e03da61-4678-4e07-b136-b5024ca9197b;#46;#SK|46d9fce0-ef79-4f71-b89b-cd6aa82426b8;#27;#NL|55c6556c-b4f4-441d-9acf-c498d4f838bd;#33;#PT|50ccc04a-eadd-42ae-a0cb-acaf45f812ba;#5;#EN|f2175f21-25d7-44a3-96da-d6a61b075e1b;#39;#LV|46f7e311-5d9f-4663-b433-18aeccb7ace7;#37;#HU|6b229040-c589-4408-b4c1-4285663d20a8;#36;#RO|feb747a2-64cd-4299-af12-4833ddc30497;#29;#CS|72f9705b-0217-4fd3-bea2-cbc7ed80e26e;#12;#FR|d2afafd3-4c81-4f60-8f52-ee33f2f54ff3;#35;#FI|87606a43-d45f-42d6-b8c9-e1a3457db5b7;#31;#SL|98a412ae-eb01-49e9-ae3d-585a81724cfc;#41;#ET|ff6c3f4c-b02c-4c3c-ab07-2c37995a7a0a;#28;#SV|c2ed69e7-a339-43d7-8f22-d93680a92aa0;#47;#BG|1a1b3951-7821-4e6a-85f5-5673fc08bd2c</vt:lpwstr>
  </property>
  <property fmtid="{D5CDD505-2E9C-101B-9397-08002B2CF9AE}" pid="10" name="DocumentType_0">
    <vt:lpwstr>TCD|cd9d6eb6-3f4f-424a-b2d1-57c9d450eaaf</vt:lpwstr>
  </property>
  <property fmtid="{D5CDD505-2E9C-101B-9397-08002B2CF9AE}" pid="11" name="MeetingNumber">
    <vt:i4>595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2025-03-26T12:00:00Z</vt:filetime>
  </property>
  <property fmtid="{D5CDD505-2E9C-101B-9397-08002B2CF9AE}" pid="29" name="AvailableTranslations_0">
    <vt:lpwstr>HR|2f555653-ed1a-4fe6-8362-9082d95989e5;EN|f2175f21-25d7-44a3-96da-d6a61b075e1b;FR|d2afafd3-4c81-4f60-8f52-ee33f2f54ff3;FI|87606a43-d45f-42d6-b8c9-e1a3457db5b7;SL|98a412ae-eb01-49e9-ae3d-585a81724cfc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67;#SPL-CES|32d8cb1f-c9ec-4365-95c7-8385a18618ac;#15;#Unrestricted|826e22d7-d029-4ec0-a450-0c28ff673572;#31;#SL|98a412ae-eb01-49e9-ae3d-585a81724cfc;#13;#TRA|150d2a88-1431-44e6-a8ca-0bb753ab8672;#12;#FR|d2afafd3-4c81-4f60-8f52-ee33f2f54ff3;#50;#HR|2f555653-ed1a-4fe6-8362-9082d95989e5;#8;#Final|ea5e6674-7b27-4bac-b091-73adbb394efe;#5;#EN|f2175f21-25d7-44a3-96da-d6a61b075e1b;#19;#TCD|cd9d6eb6-3f4f-424a-b2d1-57c9d450eaaf;#1;#EESC|422833ec-8d7e-4e65-8e4e-8bed07ffb729;#35;#FI|87606a43-d45f-42d6-b8c9-e1a3457db5b7</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2534</vt:i4>
  </property>
  <property fmtid="{D5CDD505-2E9C-101B-9397-08002B2CF9AE}" pid="37" name="DocumentLanguage">
    <vt:lpwstr>28;#SV|c2ed69e7-a339-43d7-8f22-d93680a92aa0</vt:lpwstr>
  </property>
  <property fmtid="{D5CDD505-2E9C-101B-9397-08002B2CF9AE}" pid="38" name="_docset_NoMedatataSyncRequired">
    <vt:lpwstr>False</vt:lpwstr>
  </property>
</Properties>
</file>