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BE1F8F" w:rsidRDefault="00912887" w14:paraId="4982DD4D" w14:textId="02730A79">
      <w:pPr>
        <w:jc w:val="center"/>
      </w:pPr>
      <w:r>
        <w:rPr>
          <w:noProof/>
        </w:rPr>
        <w:drawing>
          <wp:inline distT="0" distB="0" distL="0" distR="0" wp14:anchorId="506D32D8" wp14:editId="41FC2DBA">
            <wp:extent cx="1792605" cy="1239520"/>
            <wp:effectExtent l="0" t="0" r="0" b="0"/>
            <wp:docPr id="1" name="Picture 1" title="EESCLogo_PT"/>
            <wp:cNvGraphicFramePr/>
            <a:graphic xmlns:a="http://schemas.openxmlformats.org/drawingml/2006/main">
              <a:graphicData uri="http://schemas.openxmlformats.org/drawingml/2006/picture">
                <pic:pic xmlns:pic="http://schemas.openxmlformats.org/drawingml/2006/picture">
                  <pic:nvPicPr>
                    <pic:cNvPr id="1" name="Picture 1" title="EESCLogo_P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rFonts w:ascii="Arial" w:hAnsi="Arial"/>
          <w:b/>
          <w:noProof/>
          <w:sz w:val="20"/>
        </w:rPr>
        <mc:AlternateContent>
          <mc:Choice Requires="wps">
            <w:drawing>
              <wp:anchor distT="0" distB="0" distL="114300" distR="114300" simplePos="0" relativeHeight="251659264" behindDoc="1" locked="0" layoutInCell="0" allowOverlap="1" wp14:editId="12656587" wp14:anchorId="4B97899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8354A" w:rsidRDefault="0018354A" w14:paraId="40261324" w14:textId="77777777">
                            <w:pPr>
                              <w:jc w:val="center"/>
                              <w:rPr>
                                <w:rFonts w:ascii="Arial" w:hAnsi="Arial" w:cs="Arial"/>
                                <w:b/>
                                <w:bCs/>
                                <w:sz w:val="48"/>
                              </w:rPr>
                            </w:pPr>
                            <w:r>
                              <w:rPr>
                                <w:rFonts w:ascii="Arial" w:hAnsi="Arial"/>
                                <w:b/>
                                <w:sz w:val="48"/>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978990">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18354A" w:rsidRDefault="0018354A" w14:paraId="40261324" w14:textId="77777777">
                      <w:pPr>
                        <w:jc w:val="center"/>
                        <w:rPr>
                          <w:rFonts w:ascii="Arial" w:hAnsi="Arial" w:cs="Arial"/>
                          <w:b/>
                          <w:bCs/>
                          <w:sz w:val="48"/>
                        </w:rPr>
                      </w:pPr>
                      <w:r>
                        <w:rPr>
                          <w:rFonts w:ascii="Arial" w:hAnsi="Arial"/>
                          <w:b/>
                          <w:sz w:val="48"/>
                        </w:rPr>
                        <w:t>PT</w:t>
                      </w:r>
                    </w:p>
                  </w:txbxContent>
                </v:textbox>
                <w10:wrap anchorx="page" anchory="page"/>
              </v:shape>
            </w:pict>
          </mc:Fallback>
        </mc:AlternateContent>
      </w:r>
    </w:p>
    <w:p w:rsidR="004D7AC0" w:rsidP="00BE1F8F" w:rsidRDefault="004D7AC0" w14:paraId="4982DD4E" w14:textId="77777777"/>
    <w:p w:rsidR="004D7AC0" w:rsidP="00BE1F8F" w:rsidRDefault="004D7AC0" w14:paraId="4982DD4F" w14:textId="6D24C8E5">
      <w:pPr>
        <w:jc w:val="right"/>
      </w:pPr>
      <w:r>
        <w:t>Bruxelas, 14 de março de 2025</w:t>
      </w:r>
    </w:p>
    <w:p w:rsidR="004D7AC0" w:rsidP="00BE1F8F" w:rsidRDefault="004D7AC0" w14:paraId="4982DD50" w14:textId="77777777"/>
    <w:p w:rsidR="004D7AC0" w:rsidP="00BE1F8F" w:rsidRDefault="004D7AC0" w14:paraId="4982DD51" w14:textId="77777777"/>
    <w:p w:rsidR="004D7AC0" w:rsidP="00BE1F8F"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BE1F8F" w:rsidRDefault="006C6ECE" w14:paraId="4982DD53" w14:textId="527E0554">
            <w:pPr>
              <w:snapToGrid w:val="0"/>
              <w:jc w:val="center"/>
              <w:rPr>
                <w:b/>
                <w:sz w:val="32"/>
                <w:szCs w:val="32"/>
              </w:rPr>
            </w:pPr>
            <w:r>
              <w:rPr>
                <w:b/>
                <w:sz w:val="32"/>
              </w:rPr>
              <w:t>594.ª REUNIÃO PLENÁRIA</w:t>
            </w:r>
          </w:p>
          <w:p w:rsidR="003066BE" w:rsidP="00BE1F8F" w:rsidRDefault="003066BE" w14:paraId="4982DD54" w14:textId="77777777">
            <w:pPr>
              <w:snapToGrid w:val="0"/>
              <w:jc w:val="center"/>
              <w:rPr>
                <w:b/>
                <w:sz w:val="32"/>
                <w:szCs w:val="32"/>
              </w:rPr>
            </w:pPr>
          </w:p>
          <w:p w:rsidR="003066BE" w:rsidP="00BE1F8F" w:rsidRDefault="00850929" w14:paraId="4982DD55" w14:textId="094CA4B9">
            <w:pPr>
              <w:snapToGrid w:val="0"/>
              <w:jc w:val="center"/>
              <w:rPr>
                <w:b/>
                <w:sz w:val="32"/>
                <w:szCs w:val="32"/>
              </w:rPr>
            </w:pPr>
            <w:r>
              <w:rPr>
                <w:b/>
                <w:sz w:val="32"/>
              </w:rPr>
              <w:t>26 e 27 de fevereiro de 2025</w:t>
            </w:r>
          </w:p>
          <w:p w:rsidR="003066BE" w:rsidP="00BE1F8F" w:rsidRDefault="003066BE" w14:paraId="4982DD56" w14:textId="77777777">
            <w:pPr>
              <w:snapToGrid w:val="0"/>
              <w:jc w:val="center"/>
              <w:rPr>
                <w:b/>
                <w:sz w:val="32"/>
                <w:szCs w:val="32"/>
              </w:rPr>
            </w:pPr>
          </w:p>
          <w:p w:rsidRPr="0081153B" w:rsidR="004D7AC0" w:rsidP="00BE1F8F" w:rsidRDefault="00754027" w14:paraId="4982DD57" w14:textId="5A35E792">
            <w:pPr>
              <w:snapToGrid w:val="0"/>
              <w:jc w:val="center"/>
              <w:rPr>
                <w:rFonts w:eastAsia="MS Mincho"/>
                <w:b/>
                <w:sz w:val="32"/>
                <w:szCs w:val="32"/>
              </w:rPr>
            </w:pPr>
            <w:r>
              <w:rPr>
                <w:b/>
                <w:sz w:val="32"/>
              </w:rPr>
              <w:t>SÍNTESE DOS PARECERES, RESOLUÇÕES E RELATÓRIOS DE INFORMAÇÃO E AVALIAÇÃO ADOTADOS</w:t>
            </w:r>
          </w:p>
          <w:p w:rsidR="004D7AC0" w:rsidP="00BE1F8F"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00726351" w:rsidP="00BE1F8F" w:rsidRDefault="004D7AC0" w14:paraId="05F5C867" w14:textId="77777777">
            <w:pPr>
              <w:snapToGrid w:val="0"/>
              <w:jc w:val="center"/>
            </w:pPr>
            <w:r>
              <w:t>O presente documento pode ser consultado nas línguas oficiais da União Europeia no sítio Web do CESE, no seguinte endereço:</w:t>
            </w:r>
          </w:p>
          <w:p w:rsidR="00726351" w:rsidP="00BE1F8F" w:rsidRDefault="00726351" w14:paraId="65F2BC50" w14:textId="77777777">
            <w:pPr>
              <w:snapToGrid w:val="0"/>
              <w:jc w:val="center"/>
            </w:pPr>
          </w:p>
          <w:p w:rsidRPr="0081153B" w:rsidR="004D7AC0" w:rsidP="00BE1F8F" w:rsidRDefault="00C61EB1" w14:paraId="4982DD5A" w14:textId="4DF10D40">
            <w:pPr>
              <w:snapToGrid w:val="0"/>
              <w:jc w:val="center"/>
            </w:pPr>
            <w:hyperlink w:history="1" r:id="rId13">
              <w:r w:rsidR="00912887">
                <w:rPr>
                  <w:rStyle w:val="Hyperlink"/>
                </w:rPr>
                <w:t>https://www.eesc.europa.eu/pt/our-work/opinions-information-repo</w:t>
              </w:r>
              <w:r w:rsidR="00912887">
                <w:rPr>
                  <w:rStyle w:val="Hyperlink"/>
                </w:rPr>
                <w:t>rts/plenary-session-summaries</w:t>
              </w:r>
            </w:hyperlink>
          </w:p>
          <w:p w:rsidRPr="0081153B" w:rsidR="004D7AC0" w:rsidP="00BE1F8F" w:rsidRDefault="004D7AC0" w14:paraId="4982DD5B" w14:textId="77777777">
            <w:pPr>
              <w:snapToGrid w:val="0"/>
              <w:jc w:val="center"/>
            </w:pPr>
          </w:p>
          <w:p w:rsidRPr="0081153B" w:rsidR="004D7AC0" w:rsidP="00BE1F8F" w:rsidRDefault="004D7AC0" w14:paraId="4982DD5C" w14:textId="77777777">
            <w:pPr>
              <w:snapToGrid w:val="0"/>
              <w:jc w:val="center"/>
              <w:rPr>
                <w:rFonts w:eastAsia="SimSun"/>
              </w:rPr>
            </w:pPr>
          </w:p>
          <w:p w:rsidR="00726351" w:rsidP="00BE1F8F" w:rsidRDefault="004D7AC0" w14:paraId="64A40D96" w14:textId="77777777">
            <w:pPr>
              <w:snapToGrid w:val="0"/>
              <w:jc w:val="center"/>
            </w:pPr>
            <w:r>
              <w:t>Os pareceres mencionados podem ser consultados em linha através do motor de busca do CESE:</w:t>
            </w:r>
          </w:p>
          <w:p w:rsidR="00726351" w:rsidP="00BE1F8F" w:rsidRDefault="00726351" w14:paraId="0E196128" w14:textId="77777777">
            <w:pPr>
              <w:snapToGrid w:val="0"/>
              <w:jc w:val="center"/>
            </w:pPr>
          </w:p>
          <w:p w:rsidRPr="00044561" w:rsidR="004D7AC0" w:rsidP="00BE1F8F" w:rsidRDefault="00C61EB1" w14:paraId="4982DD5D" w14:textId="339632B5">
            <w:pPr>
              <w:snapToGrid w:val="0"/>
              <w:jc w:val="center"/>
            </w:pPr>
            <w:hyperlink w:history="1" r:id="rId14">
              <w:r w:rsidR="00912887">
                <w:rPr>
                  <w:rStyle w:val="Hyperlink"/>
                </w:rPr>
                <w:t>https://dmsearch.eesc.europa.eu</w:t>
              </w:r>
              <w:r w:rsidR="00912887">
                <w:rPr>
                  <w:rStyle w:val="Hyperlink"/>
                </w:rPr>
                <w:t>/search/opinion</w:t>
              </w:r>
            </w:hyperlink>
          </w:p>
          <w:p w:rsidRPr="00044561" w:rsidR="004D7AC0" w:rsidP="00BE1F8F" w:rsidRDefault="004D7AC0" w14:paraId="4982DD5E" w14:textId="77777777">
            <w:pPr>
              <w:snapToGrid w:val="0"/>
              <w:jc w:val="center"/>
            </w:pPr>
          </w:p>
        </w:tc>
      </w:tr>
    </w:tbl>
    <w:p w:rsidR="004D7AC0" w:rsidP="00BE1F8F" w:rsidRDefault="004D7AC0" w14:paraId="4982DD60" w14:textId="77777777"/>
    <w:p w:rsidR="004D7AC0" w:rsidP="00BE1F8F" w:rsidRDefault="004D7AC0" w14:paraId="4982DD61" w14:textId="77777777"/>
    <w:p w:rsidR="004D7AC0" w:rsidP="00BE1F8F" w:rsidRDefault="004D7AC0" w14:paraId="4982DD62" w14:textId="77777777">
      <w:pPr>
        <w:sectPr w:rsidR="004D7AC0" w:rsidSect="00BE1F8F">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BE1F8F" w:rsidRDefault="004D7AC0" w14:paraId="4982DD63" w14:textId="77777777">
      <w:pPr>
        <w:rPr>
          <w:b/>
        </w:rPr>
      </w:pPr>
      <w:r>
        <w:rPr>
          <w:b/>
        </w:rPr>
        <w:lastRenderedPageBreak/>
        <w:t>Índice</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BE1F8F" w:rsidRDefault="004D7AC0" w14:paraId="4982DD64" w14:textId="77777777">
          <w:pPr>
            <w:pStyle w:val="TOCHeading"/>
            <w:spacing w:before="0" w:line="288" w:lineRule="auto"/>
            <w:rPr>
              <w:rFonts w:ascii="Times New Roman" w:hAnsi="Times New Roman" w:cs="Times New Roman"/>
              <w:color w:val="auto"/>
              <w:sz w:val="22"/>
              <w:szCs w:val="22"/>
            </w:rPr>
          </w:pPr>
        </w:p>
        <w:p w:rsidR="001E5877" w:rsidRDefault="004D7AC0" w14:paraId="3E91F76B" w14:textId="3E8ABBD8">
          <w:pPr>
            <w:pStyle w:val="TOC1"/>
            <w:tabs>
              <w:tab w:val="left" w:pos="440"/>
              <w:tab w:val="right" w:leader="dot" w:pos="9061"/>
            </w:tabs>
            <w:rPr>
              <w:rFonts w:asciiTheme="minorHAnsi" w:hAnsiTheme="minorHAnsi" w:eastAsiaTheme="minorEastAsia" w:cstheme="minorBidi"/>
              <w:noProof/>
              <w:lang w:val="en-GB" w:eastAsia="en-GB"/>
            </w:rPr>
          </w:pPr>
          <w:r>
            <w:fldChar w:fldCharType="begin"/>
          </w:r>
          <w:r>
            <w:instrText xml:space="preserve"> TOC \o "1-3" \h \z \u </w:instrText>
          </w:r>
          <w:r>
            <w:fldChar w:fldCharType="separate"/>
          </w:r>
          <w:hyperlink w:history="1" w:anchor="_Toc192751484">
            <w:r w:rsidRPr="001A08A2" w:rsidR="001E5877">
              <w:rPr>
                <w:rStyle w:val="Hyperlink"/>
                <w:bCs/>
                <w:noProof/>
              </w:rPr>
              <w:t>1.</w:t>
            </w:r>
            <w:r w:rsidR="001E5877">
              <w:rPr>
                <w:rFonts w:asciiTheme="minorHAnsi" w:hAnsiTheme="minorHAnsi" w:eastAsiaTheme="minorEastAsia" w:cstheme="minorBidi"/>
                <w:noProof/>
                <w:lang w:val="en-GB" w:eastAsia="en-GB"/>
              </w:rPr>
              <w:tab/>
            </w:r>
            <w:r w:rsidRPr="001A08A2" w:rsidR="001E5877">
              <w:rPr>
                <w:rStyle w:val="Hyperlink"/>
                <w:b/>
                <w:noProof/>
              </w:rPr>
              <w:t>UNIÃO ECONÓMICA E MONETÁRIA E COESÃO ECONÓMICA E SOCIAL</w:t>
            </w:r>
            <w:r w:rsidR="001E5877">
              <w:rPr>
                <w:noProof/>
                <w:webHidden/>
              </w:rPr>
              <w:tab/>
            </w:r>
            <w:r w:rsidR="001E5877">
              <w:rPr>
                <w:noProof/>
                <w:webHidden/>
              </w:rPr>
              <w:fldChar w:fldCharType="begin"/>
            </w:r>
            <w:r w:rsidR="001E5877">
              <w:rPr>
                <w:noProof/>
                <w:webHidden/>
              </w:rPr>
              <w:instrText xml:space="preserve"> PAGEREF _Toc192751484 \h </w:instrText>
            </w:r>
            <w:r w:rsidR="001E5877">
              <w:rPr>
                <w:noProof/>
                <w:webHidden/>
              </w:rPr>
            </w:r>
            <w:r w:rsidR="001E5877">
              <w:rPr>
                <w:noProof/>
                <w:webHidden/>
              </w:rPr>
              <w:fldChar w:fldCharType="separate"/>
            </w:r>
            <w:r w:rsidR="001E5877">
              <w:rPr>
                <w:noProof/>
                <w:webHidden/>
              </w:rPr>
              <w:t>3</w:t>
            </w:r>
            <w:r w:rsidR="001E5877">
              <w:rPr>
                <w:noProof/>
                <w:webHidden/>
              </w:rPr>
              <w:fldChar w:fldCharType="end"/>
            </w:r>
          </w:hyperlink>
        </w:p>
        <w:p w:rsidR="001E5877" w:rsidRDefault="001E5877" w14:paraId="00CDA8CE" w14:textId="1B5B2672">
          <w:pPr>
            <w:pStyle w:val="TOC1"/>
            <w:tabs>
              <w:tab w:val="left" w:pos="440"/>
              <w:tab w:val="right" w:leader="dot" w:pos="9061"/>
            </w:tabs>
            <w:rPr>
              <w:rFonts w:asciiTheme="minorHAnsi" w:hAnsiTheme="minorHAnsi" w:eastAsiaTheme="minorEastAsia" w:cstheme="minorBidi"/>
              <w:noProof/>
              <w:lang w:val="en-GB" w:eastAsia="en-GB"/>
            </w:rPr>
          </w:pPr>
          <w:hyperlink w:history="1" w:anchor="_Toc192751485">
            <w:r w:rsidRPr="001A08A2">
              <w:rPr>
                <w:rStyle w:val="Hyperlink"/>
                <w:bCs/>
                <w:noProof/>
              </w:rPr>
              <w:t>2.</w:t>
            </w:r>
            <w:r>
              <w:rPr>
                <w:rFonts w:asciiTheme="minorHAnsi" w:hAnsiTheme="minorHAnsi" w:eastAsiaTheme="minorEastAsia" w:cstheme="minorBidi"/>
                <w:noProof/>
                <w:lang w:val="en-GB" w:eastAsia="en-GB"/>
              </w:rPr>
              <w:tab/>
            </w:r>
            <w:r w:rsidRPr="001A08A2">
              <w:rPr>
                <w:rStyle w:val="Hyperlink"/>
                <w:b/>
                <w:noProof/>
              </w:rPr>
              <w:t>EMPREGO, ASSUNTOS SOCIAIS E CIDADANIA</w:t>
            </w:r>
            <w:r>
              <w:rPr>
                <w:noProof/>
                <w:webHidden/>
              </w:rPr>
              <w:tab/>
            </w:r>
            <w:r>
              <w:rPr>
                <w:noProof/>
                <w:webHidden/>
              </w:rPr>
              <w:fldChar w:fldCharType="begin"/>
            </w:r>
            <w:r>
              <w:rPr>
                <w:noProof/>
                <w:webHidden/>
              </w:rPr>
              <w:instrText xml:space="preserve"> PAGEREF _Toc192751485 \h </w:instrText>
            </w:r>
            <w:r>
              <w:rPr>
                <w:noProof/>
                <w:webHidden/>
              </w:rPr>
            </w:r>
            <w:r>
              <w:rPr>
                <w:noProof/>
                <w:webHidden/>
              </w:rPr>
              <w:fldChar w:fldCharType="separate"/>
            </w:r>
            <w:r>
              <w:rPr>
                <w:noProof/>
                <w:webHidden/>
              </w:rPr>
              <w:t>9</w:t>
            </w:r>
            <w:r>
              <w:rPr>
                <w:noProof/>
                <w:webHidden/>
              </w:rPr>
              <w:fldChar w:fldCharType="end"/>
            </w:r>
          </w:hyperlink>
        </w:p>
        <w:p w:rsidR="001E5877" w:rsidRDefault="001E5877" w14:paraId="6CD18DA5" w14:textId="78AAC8B4">
          <w:pPr>
            <w:pStyle w:val="TOC1"/>
            <w:tabs>
              <w:tab w:val="left" w:pos="440"/>
              <w:tab w:val="right" w:leader="dot" w:pos="9061"/>
            </w:tabs>
            <w:rPr>
              <w:rFonts w:asciiTheme="minorHAnsi" w:hAnsiTheme="minorHAnsi" w:eastAsiaTheme="minorEastAsia" w:cstheme="minorBidi"/>
              <w:noProof/>
              <w:lang w:val="en-GB" w:eastAsia="en-GB"/>
            </w:rPr>
          </w:pPr>
          <w:hyperlink w:history="1" w:anchor="_Toc192751486">
            <w:r w:rsidRPr="001A08A2">
              <w:rPr>
                <w:rStyle w:val="Hyperlink"/>
                <w:bCs/>
                <w:noProof/>
              </w:rPr>
              <w:t>3.</w:t>
            </w:r>
            <w:r>
              <w:rPr>
                <w:rFonts w:asciiTheme="minorHAnsi" w:hAnsiTheme="minorHAnsi" w:eastAsiaTheme="minorEastAsia" w:cstheme="minorBidi"/>
                <w:noProof/>
                <w:lang w:val="en-GB" w:eastAsia="en-GB"/>
              </w:rPr>
              <w:tab/>
            </w:r>
            <w:r w:rsidRPr="001E5877">
              <w:rPr>
                <w:rStyle w:val="Hyperlink"/>
                <w:b/>
                <w:noProof/>
                <w:sz w:val="21"/>
                <w:szCs w:val="21"/>
              </w:rPr>
              <w:t>TRANSPORTES, ENERGIA, INFRAESTRUTURAS E SOCIEDADE DA INFORMAÇÃO</w:t>
            </w:r>
            <w:r>
              <w:rPr>
                <w:noProof/>
                <w:webHidden/>
              </w:rPr>
              <w:tab/>
            </w:r>
            <w:r>
              <w:rPr>
                <w:noProof/>
                <w:webHidden/>
              </w:rPr>
              <w:fldChar w:fldCharType="begin"/>
            </w:r>
            <w:r>
              <w:rPr>
                <w:noProof/>
                <w:webHidden/>
              </w:rPr>
              <w:instrText xml:space="preserve"> PAGEREF _Toc192751486 \h </w:instrText>
            </w:r>
            <w:r>
              <w:rPr>
                <w:noProof/>
                <w:webHidden/>
              </w:rPr>
            </w:r>
            <w:r>
              <w:rPr>
                <w:noProof/>
                <w:webHidden/>
              </w:rPr>
              <w:fldChar w:fldCharType="separate"/>
            </w:r>
            <w:r>
              <w:rPr>
                <w:noProof/>
                <w:webHidden/>
              </w:rPr>
              <w:t>14</w:t>
            </w:r>
            <w:r>
              <w:rPr>
                <w:noProof/>
                <w:webHidden/>
              </w:rPr>
              <w:fldChar w:fldCharType="end"/>
            </w:r>
          </w:hyperlink>
        </w:p>
        <w:p w:rsidR="001E5877" w:rsidRDefault="001E5877" w14:paraId="3E33F698" w14:textId="4DCB5917">
          <w:pPr>
            <w:pStyle w:val="TOC1"/>
            <w:tabs>
              <w:tab w:val="left" w:pos="440"/>
              <w:tab w:val="right" w:leader="dot" w:pos="9061"/>
            </w:tabs>
            <w:rPr>
              <w:rFonts w:asciiTheme="minorHAnsi" w:hAnsiTheme="minorHAnsi" w:eastAsiaTheme="minorEastAsia" w:cstheme="minorBidi"/>
              <w:noProof/>
              <w:lang w:val="en-GB" w:eastAsia="en-GB"/>
            </w:rPr>
          </w:pPr>
          <w:hyperlink w:history="1" w:anchor="_Toc192751487">
            <w:r w:rsidRPr="001A08A2">
              <w:rPr>
                <w:rStyle w:val="Hyperlink"/>
                <w:bCs/>
                <w:noProof/>
              </w:rPr>
              <w:t>4.</w:t>
            </w:r>
            <w:r>
              <w:rPr>
                <w:rFonts w:asciiTheme="minorHAnsi" w:hAnsiTheme="minorHAnsi" w:eastAsiaTheme="minorEastAsia" w:cstheme="minorBidi"/>
                <w:noProof/>
                <w:lang w:val="en-GB" w:eastAsia="en-GB"/>
              </w:rPr>
              <w:tab/>
            </w:r>
            <w:r w:rsidRPr="001A08A2">
              <w:rPr>
                <w:rStyle w:val="Hyperlink"/>
                <w:b/>
                <w:noProof/>
              </w:rPr>
              <w:t>MERCADO ÚNICO, PRODUÇÃO E CONSUMO</w:t>
            </w:r>
            <w:r>
              <w:rPr>
                <w:noProof/>
                <w:webHidden/>
              </w:rPr>
              <w:tab/>
            </w:r>
            <w:r>
              <w:rPr>
                <w:noProof/>
                <w:webHidden/>
              </w:rPr>
              <w:fldChar w:fldCharType="begin"/>
            </w:r>
            <w:r>
              <w:rPr>
                <w:noProof/>
                <w:webHidden/>
              </w:rPr>
              <w:instrText xml:space="preserve"> PAGEREF _Toc192751487 \h </w:instrText>
            </w:r>
            <w:r>
              <w:rPr>
                <w:noProof/>
                <w:webHidden/>
              </w:rPr>
            </w:r>
            <w:r>
              <w:rPr>
                <w:noProof/>
                <w:webHidden/>
              </w:rPr>
              <w:fldChar w:fldCharType="separate"/>
            </w:r>
            <w:r>
              <w:rPr>
                <w:noProof/>
                <w:webHidden/>
              </w:rPr>
              <w:t>15</w:t>
            </w:r>
            <w:r>
              <w:rPr>
                <w:noProof/>
                <w:webHidden/>
              </w:rPr>
              <w:fldChar w:fldCharType="end"/>
            </w:r>
          </w:hyperlink>
        </w:p>
        <w:p w:rsidR="001E5877" w:rsidRDefault="001E5877" w14:paraId="6A87E9C7" w14:textId="33807433">
          <w:pPr>
            <w:pStyle w:val="TOC1"/>
            <w:tabs>
              <w:tab w:val="left" w:pos="440"/>
              <w:tab w:val="right" w:leader="dot" w:pos="9061"/>
            </w:tabs>
            <w:rPr>
              <w:rFonts w:asciiTheme="minorHAnsi" w:hAnsiTheme="minorHAnsi" w:eastAsiaTheme="minorEastAsia" w:cstheme="minorBidi"/>
              <w:noProof/>
              <w:lang w:val="en-GB" w:eastAsia="en-GB"/>
            </w:rPr>
          </w:pPr>
          <w:hyperlink w:history="1" w:anchor="_Toc192751488">
            <w:r w:rsidRPr="001A08A2">
              <w:rPr>
                <w:rStyle w:val="Hyperlink"/>
                <w:bCs/>
                <w:noProof/>
              </w:rPr>
              <w:t>5.</w:t>
            </w:r>
            <w:r>
              <w:rPr>
                <w:rFonts w:asciiTheme="minorHAnsi" w:hAnsiTheme="minorHAnsi" w:eastAsiaTheme="minorEastAsia" w:cstheme="minorBidi"/>
                <w:noProof/>
                <w:lang w:val="en-GB" w:eastAsia="en-GB"/>
              </w:rPr>
              <w:tab/>
            </w:r>
            <w:r w:rsidRPr="001A08A2">
              <w:rPr>
                <w:rStyle w:val="Hyperlink"/>
                <w:b/>
                <w:noProof/>
              </w:rPr>
              <w:t>AGRICULTURA, DESENVOLVIMENTO RURAL E AMBIENTE</w:t>
            </w:r>
            <w:r>
              <w:rPr>
                <w:noProof/>
                <w:webHidden/>
              </w:rPr>
              <w:tab/>
            </w:r>
            <w:r>
              <w:rPr>
                <w:noProof/>
                <w:webHidden/>
              </w:rPr>
              <w:fldChar w:fldCharType="begin"/>
            </w:r>
            <w:r>
              <w:rPr>
                <w:noProof/>
                <w:webHidden/>
              </w:rPr>
              <w:instrText xml:space="preserve"> PAGEREF _Toc192751488 \h </w:instrText>
            </w:r>
            <w:r>
              <w:rPr>
                <w:noProof/>
                <w:webHidden/>
              </w:rPr>
            </w:r>
            <w:r>
              <w:rPr>
                <w:noProof/>
                <w:webHidden/>
              </w:rPr>
              <w:fldChar w:fldCharType="separate"/>
            </w:r>
            <w:r>
              <w:rPr>
                <w:noProof/>
                <w:webHidden/>
              </w:rPr>
              <w:t>21</w:t>
            </w:r>
            <w:r>
              <w:rPr>
                <w:noProof/>
                <w:webHidden/>
              </w:rPr>
              <w:fldChar w:fldCharType="end"/>
            </w:r>
          </w:hyperlink>
        </w:p>
        <w:p w:rsidR="001E5877" w:rsidRDefault="001E5877" w14:paraId="7B2058D9" w14:textId="231F89D1">
          <w:pPr>
            <w:pStyle w:val="TOC1"/>
            <w:tabs>
              <w:tab w:val="left" w:pos="440"/>
              <w:tab w:val="right" w:leader="dot" w:pos="9061"/>
            </w:tabs>
            <w:rPr>
              <w:rFonts w:asciiTheme="minorHAnsi" w:hAnsiTheme="minorHAnsi" w:eastAsiaTheme="minorEastAsia" w:cstheme="minorBidi"/>
              <w:noProof/>
              <w:lang w:val="en-GB" w:eastAsia="en-GB"/>
            </w:rPr>
          </w:pPr>
          <w:hyperlink w:history="1" w:anchor="_Toc192751489">
            <w:r w:rsidRPr="001A08A2">
              <w:rPr>
                <w:rStyle w:val="Hyperlink"/>
                <w:bCs/>
                <w:noProof/>
              </w:rPr>
              <w:t>6.</w:t>
            </w:r>
            <w:r>
              <w:rPr>
                <w:rFonts w:asciiTheme="minorHAnsi" w:hAnsiTheme="minorHAnsi" w:eastAsiaTheme="minorEastAsia" w:cstheme="minorBidi"/>
                <w:noProof/>
                <w:lang w:val="en-GB" w:eastAsia="en-GB"/>
              </w:rPr>
              <w:tab/>
            </w:r>
            <w:r w:rsidRPr="001A08A2">
              <w:rPr>
                <w:rStyle w:val="Hyperlink"/>
                <w:b/>
                <w:noProof/>
              </w:rPr>
              <w:t>COMISSÃO CONSULTIVA DAS MUTAÇÕES INDUSTRIAIS</w:t>
            </w:r>
            <w:r>
              <w:rPr>
                <w:noProof/>
                <w:webHidden/>
              </w:rPr>
              <w:tab/>
            </w:r>
            <w:r>
              <w:rPr>
                <w:noProof/>
                <w:webHidden/>
              </w:rPr>
              <w:fldChar w:fldCharType="begin"/>
            </w:r>
            <w:r>
              <w:rPr>
                <w:noProof/>
                <w:webHidden/>
              </w:rPr>
              <w:instrText xml:space="preserve"> PAGEREF _Toc192751489 \h </w:instrText>
            </w:r>
            <w:r>
              <w:rPr>
                <w:noProof/>
                <w:webHidden/>
              </w:rPr>
            </w:r>
            <w:r>
              <w:rPr>
                <w:noProof/>
                <w:webHidden/>
              </w:rPr>
              <w:fldChar w:fldCharType="separate"/>
            </w:r>
            <w:r>
              <w:rPr>
                <w:noProof/>
                <w:webHidden/>
              </w:rPr>
              <w:t>23</w:t>
            </w:r>
            <w:r>
              <w:rPr>
                <w:noProof/>
                <w:webHidden/>
              </w:rPr>
              <w:fldChar w:fldCharType="end"/>
            </w:r>
          </w:hyperlink>
        </w:p>
        <w:p w:rsidR="004D7AC0" w:rsidP="00BE1F8F" w:rsidRDefault="004D7AC0" w14:paraId="4982DD6A" w14:textId="22FD69B4">
          <w:r>
            <w:rPr>
              <w:b/>
            </w:rPr>
            <w:fldChar w:fldCharType="end"/>
          </w:r>
        </w:p>
      </w:sdtContent>
    </w:sdt>
    <w:p w:rsidR="004D7AC0" w:rsidP="00BE1F8F" w:rsidRDefault="004D7AC0" w14:paraId="4982DD6B" w14:textId="77777777"/>
    <w:p w:rsidR="004D7AC0" w:rsidP="00BE1F8F" w:rsidRDefault="004D7AC0" w14:paraId="4982DD6C" w14:textId="77777777">
      <w:pPr>
        <w:jc w:val="left"/>
      </w:pPr>
      <w:r>
        <w:br w:type="page"/>
      </w:r>
    </w:p>
    <w:p w:rsidR="004D7AC0" w:rsidP="00247B9F" w:rsidRDefault="004D7AC0" w14:paraId="4982DD6D" w14:textId="77777777">
      <w:pPr>
        <w:pStyle w:val="Heading1"/>
        <w:spacing w:line="240" w:lineRule="auto"/>
        <w:rPr>
          <w:b/>
        </w:rPr>
      </w:pPr>
      <w:bookmarkStart w:name="_Toc192751484" w:id="0"/>
      <w:r>
        <w:rPr>
          <w:b/>
        </w:rPr>
        <w:lastRenderedPageBreak/>
        <w:t>UNIÃO ECONÓMICA E MONETÁRIA E COESÃO ECONÓMICA E SOCIAL</w:t>
      </w:r>
      <w:bookmarkEnd w:id="0"/>
    </w:p>
    <w:p w:rsidR="004D7AC0" w:rsidP="00247B9F" w:rsidRDefault="004D7AC0" w14:paraId="4982DD6E" w14:textId="77777777">
      <w:pPr>
        <w:spacing w:line="192" w:lineRule="auto"/>
      </w:pPr>
    </w:p>
    <w:p w:rsidRPr="00BE1F8F" w:rsidR="00BE1F8F" w:rsidP="00247B9F" w:rsidRDefault="00C61EB1" w14:paraId="1ECDFE60" w14:textId="77777777">
      <w:pPr>
        <w:widowControl w:val="0"/>
        <w:numPr>
          <w:ilvl w:val="0"/>
          <w:numId w:val="20"/>
        </w:numPr>
        <w:spacing w:line="240" w:lineRule="auto"/>
        <w:ind w:left="567" w:hanging="567"/>
        <w:jc w:val="left"/>
        <w:rPr>
          <w:bCs/>
          <w:iCs/>
        </w:rPr>
      </w:pPr>
      <w:hyperlink w:history="1" r:id="rId21">
        <w:r w:rsidR="00912887">
          <w:rPr>
            <w:b/>
            <w:i/>
            <w:color w:val="0000FF"/>
            <w:sz w:val="28"/>
            <w:u w:val="single"/>
          </w:rPr>
          <w:t>Semestre Europeu de 2025 – P</w:t>
        </w:r>
        <w:r w:rsidR="00912887">
          <w:rPr>
            <w:b/>
            <w:i/>
            <w:color w:val="0000FF"/>
            <w:sz w:val="28"/>
            <w:u w:val="single"/>
          </w:rPr>
          <w:t>acote de outono</w:t>
        </w:r>
      </w:hyperlink>
    </w:p>
    <w:p w:rsidRPr="00795836" w:rsidR="009B199C" w:rsidP="00247B9F" w:rsidRDefault="009B199C" w14:paraId="475281DB" w14:textId="0688FCBB">
      <w:pPr>
        <w:widowControl w:val="0"/>
        <w:spacing w:line="192" w:lineRule="auto"/>
        <w:ind w:left="567"/>
        <w:jc w:val="left"/>
        <w:rPr>
          <w:bCs/>
          <w:iCs/>
        </w:rPr>
      </w:pPr>
    </w:p>
    <w:tbl>
      <w:tblPr>
        <w:tblW w:w="5000" w:type="pct"/>
        <w:tblLook w:val="04A0" w:firstRow="1" w:lastRow="0" w:firstColumn="1" w:lastColumn="0" w:noHBand="0" w:noVBand="1"/>
      </w:tblPr>
      <w:tblGrid>
        <w:gridCol w:w="1668"/>
        <w:gridCol w:w="7619"/>
      </w:tblGrid>
      <w:tr w:rsidRPr="005C4571" w:rsidR="009B199C" w:rsidTr="00BE1F8F" w14:paraId="7E2330F9" w14:textId="77777777">
        <w:trPr>
          <w:trHeight w:val="269"/>
        </w:trPr>
        <w:tc>
          <w:tcPr>
            <w:tcW w:w="898" w:type="pct"/>
          </w:tcPr>
          <w:p w:rsidRPr="005C4571" w:rsidR="009B199C" w:rsidP="00BE1F8F" w:rsidRDefault="009B199C" w14:paraId="11357475" w14:textId="5FA4627E">
            <w:pPr>
              <w:tabs>
                <w:tab w:val="center" w:pos="284"/>
              </w:tabs>
              <w:ind w:left="266" w:hanging="266"/>
              <w:rPr>
                <w:b/>
              </w:rPr>
            </w:pPr>
            <w:r>
              <w:rPr>
                <w:b/>
              </w:rPr>
              <w:t>Relator</w:t>
            </w:r>
          </w:p>
        </w:tc>
        <w:tc>
          <w:tcPr>
            <w:tcW w:w="4102" w:type="pct"/>
          </w:tcPr>
          <w:p w:rsidRPr="00BE1F8F" w:rsidR="009B199C" w:rsidP="00BE1F8F" w:rsidRDefault="009B199C" w14:paraId="7707B7CD" w14:textId="40636FC3">
            <w:pPr>
              <w:tabs>
                <w:tab w:val="center" w:pos="284"/>
              </w:tabs>
              <w:ind w:left="266" w:hanging="266"/>
              <w:rPr>
                <w:bCs/>
              </w:rPr>
            </w:pPr>
            <w:r>
              <w:t>Petru Sorin Dandea (RO – Grupo dos Trabalhadores)</w:t>
            </w:r>
          </w:p>
        </w:tc>
      </w:tr>
      <w:tr w:rsidRPr="005C4571" w:rsidR="009B199C" w:rsidTr="00BE1F8F" w14:paraId="78616870" w14:textId="77777777">
        <w:trPr>
          <w:trHeight w:val="484"/>
        </w:trPr>
        <w:tc>
          <w:tcPr>
            <w:tcW w:w="898" w:type="pct"/>
          </w:tcPr>
          <w:p w:rsidRPr="005C4571" w:rsidR="009B199C" w:rsidP="00BE1F8F" w:rsidRDefault="009B199C" w14:paraId="271ACA41" w14:textId="77777777">
            <w:pPr>
              <w:tabs>
                <w:tab w:val="center" w:pos="284"/>
              </w:tabs>
              <w:ind w:left="266" w:hanging="266"/>
              <w:rPr>
                <w:b/>
              </w:rPr>
            </w:pPr>
            <w:r>
              <w:rPr>
                <w:b/>
              </w:rPr>
              <w:t>Referências</w:t>
            </w:r>
          </w:p>
        </w:tc>
        <w:tc>
          <w:tcPr>
            <w:tcW w:w="4102" w:type="pct"/>
          </w:tcPr>
          <w:p w:rsidR="00FA7642" w:rsidP="00BE1F8F" w:rsidRDefault="009B199C" w14:paraId="3B2FCABD" w14:textId="77777777">
            <w:pPr>
              <w:tabs>
                <w:tab w:val="center" w:pos="284"/>
              </w:tabs>
              <w:ind w:left="266" w:hanging="266"/>
            </w:pPr>
            <w:r>
              <w:t>COM(2024) 700 final</w:t>
            </w:r>
          </w:p>
          <w:p w:rsidRPr="005C4571" w:rsidR="009B199C" w:rsidP="00BE1F8F" w:rsidRDefault="009B199C" w14:paraId="49CDD496" w14:textId="3FA98205">
            <w:pPr>
              <w:tabs>
                <w:tab w:val="center" w:pos="284"/>
              </w:tabs>
              <w:ind w:left="266" w:hanging="266"/>
            </w:pPr>
            <w:r>
              <w:t>EESC-2024-04138-00-00-AC</w:t>
            </w:r>
          </w:p>
        </w:tc>
      </w:tr>
    </w:tbl>
    <w:p w:rsidR="00BE1F8F" w:rsidP="00247B9F" w:rsidRDefault="00BE1F8F" w14:paraId="012909FD" w14:textId="77777777">
      <w:pPr>
        <w:keepNext/>
        <w:keepLines/>
        <w:tabs>
          <w:tab w:val="center" w:pos="284"/>
        </w:tabs>
        <w:spacing w:line="192" w:lineRule="auto"/>
        <w:ind w:left="266" w:hanging="266"/>
        <w:rPr>
          <w:b/>
        </w:rPr>
      </w:pPr>
    </w:p>
    <w:p w:rsidRPr="005C4571" w:rsidR="009B199C" w:rsidP="00247B9F" w:rsidRDefault="009B199C" w14:paraId="4BF08ABF" w14:textId="41C36C93">
      <w:pPr>
        <w:keepNext/>
        <w:keepLines/>
        <w:tabs>
          <w:tab w:val="center" w:pos="284"/>
        </w:tabs>
        <w:spacing w:line="240" w:lineRule="auto"/>
        <w:ind w:left="266" w:hanging="266"/>
        <w:rPr>
          <w:b/>
        </w:rPr>
      </w:pPr>
      <w:r>
        <w:rPr>
          <w:b/>
        </w:rPr>
        <w:t>Pontos principais</w:t>
      </w:r>
    </w:p>
    <w:p w:rsidRPr="005C4571" w:rsidR="009B199C" w:rsidP="00247B9F" w:rsidRDefault="009B199C" w14:paraId="6607972D" w14:textId="77777777">
      <w:pPr>
        <w:keepNext/>
        <w:keepLines/>
        <w:tabs>
          <w:tab w:val="center" w:pos="284"/>
        </w:tabs>
        <w:spacing w:line="192" w:lineRule="auto"/>
        <w:ind w:left="266" w:hanging="266"/>
        <w:rPr>
          <w:b/>
        </w:rPr>
      </w:pPr>
    </w:p>
    <w:p w:rsidR="009B199C" w:rsidP="00247B9F" w:rsidRDefault="009B199C" w14:paraId="4C3F98BA" w14:textId="77777777">
      <w:pPr>
        <w:spacing w:line="240" w:lineRule="auto"/>
        <w:rPr>
          <w:bCs/>
          <w:iCs/>
        </w:rPr>
      </w:pPr>
      <w:r>
        <w:t>O Comité Económico e Social Europeu:</w:t>
      </w:r>
    </w:p>
    <w:p w:rsidRPr="005C4571" w:rsidR="009B199C" w:rsidP="00BE1F8F" w:rsidRDefault="009B199C" w14:paraId="3ED2E951" w14:textId="77777777">
      <w:pPr>
        <w:numPr>
          <w:ilvl w:val="0"/>
          <w:numId w:val="19"/>
        </w:numPr>
        <w:ind w:left="284" w:hanging="284"/>
        <w:contextualSpacing/>
      </w:pPr>
      <w:r>
        <w:t>considera profundamente lamentável e incompreensível que, num contexto político, social e económico turbulento a nível mundial, a Comissão Europeia tenha optado por não publicar a Análise Anual do Crescimento Sustentável;</w:t>
      </w:r>
    </w:p>
    <w:p w:rsidRPr="005C4571" w:rsidR="009B199C" w:rsidP="00BE1F8F" w:rsidRDefault="009B199C" w14:paraId="3C4DA8C9" w14:textId="77777777">
      <w:pPr>
        <w:numPr>
          <w:ilvl w:val="0"/>
          <w:numId w:val="19"/>
        </w:numPr>
        <w:ind w:left="284" w:hanging="284"/>
        <w:contextualSpacing/>
      </w:pPr>
      <w:r>
        <w:t>considera que os riscos geopolíticos graves e crescentes e a deterioração das instituições multilaterais podem acabar por ter um grande impacto nas economias europeias, no comércio, na inflação e no crescimento;</w:t>
      </w:r>
    </w:p>
    <w:p w:rsidRPr="005C4571" w:rsidR="009B199C" w:rsidP="00BE1F8F" w:rsidRDefault="009B199C" w14:paraId="0A50F121" w14:textId="77777777">
      <w:pPr>
        <w:numPr>
          <w:ilvl w:val="0"/>
          <w:numId w:val="19"/>
        </w:numPr>
        <w:ind w:left="284" w:hanging="284"/>
        <w:contextualSpacing/>
      </w:pPr>
      <w:r>
        <w:t>congratula-se com os esforços da Comissão para lançar o ciclo de execução do novo quadro de governação europeia e incentiva a Comissão a concluir esse processo o mais rapidamente possível;</w:t>
      </w:r>
    </w:p>
    <w:p w:rsidRPr="005C4571" w:rsidR="009B199C" w:rsidP="00BE1F8F" w:rsidRDefault="009B199C" w14:paraId="5E3F24C0" w14:textId="77777777">
      <w:pPr>
        <w:numPr>
          <w:ilvl w:val="0"/>
          <w:numId w:val="19"/>
        </w:numPr>
        <w:ind w:left="284" w:hanging="284"/>
        <w:contextualSpacing/>
      </w:pPr>
      <w:r>
        <w:t>assinala a posição da sociedade civil de que, embora o pacote de outono sublinhe a importância da participação das partes interessadas, há a perceção de que faltam mecanismos concretos para associar de forma adequada e eficaz os parceiros sociais e as organizações da sociedade civil a nível nacional;</w:t>
      </w:r>
    </w:p>
    <w:p w:rsidRPr="005C4571" w:rsidR="009B199C" w:rsidP="00BE1F8F" w:rsidRDefault="009B199C" w14:paraId="3771C892" w14:textId="77777777">
      <w:pPr>
        <w:numPr>
          <w:ilvl w:val="0"/>
          <w:numId w:val="19"/>
        </w:numPr>
        <w:ind w:left="284" w:hanging="284"/>
        <w:contextualSpacing/>
      </w:pPr>
      <w:r>
        <w:t>concorda com a proposta da Comissão de lançar a Bússola para a Competitividade;</w:t>
      </w:r>
    </w:p>
    <w:p w:rsidRPr="005C4571" w:rsidR="009B199C" w:rsidP="00BE1F8F" w:rsidRDefault="009B199C" w14:paraId="23285551" w14:textId="77777777">
      <w:pPr>
        <w:numPr>
          <w:ilvl w:val="0"/>
          <w:numId w:val="19"/>
        </w:numPr>
        <w:ind w:left="284" w:hanging="284"/>
        <w:contextualSpacing/>
      </w:pPr>
      <w:r>
        <w:t>concorda com a conclusão do Relatório Draghi de que o principal fator subjacente aos diferenciais negativos de produtividade e competitividade da economia da UE em comparação com os Estados Unidos da América e a China é o elevado défice de investimento acumulado nas últimas duas décadas;</w:t>
      </w:r>
    </w:p>
    <w:p w:rsidRPr="005C4571" w:rsidR="009B199C" w:rsidP="00BE1F8F" w:rsidRDefault="009B199C" w14:paraId="5D5DDAD1" w14:textId="77777777">
      <w:pPr>
        <w:numPr>
          <w:ilvl w:val="0"/>
          <w:numId w:val="19"/>
        </w:numPr>
        <w:ind w:left="284" w:hanging="284"/>
        <w:contextualSpacing/>
      </w:pPr>
      <w:r>
        <w:t>considera que o investimento deve ser financiado por capitais públicos e privados, nacionais e europeus;</w:t>
      </w:r>
    </w:p>
    <w:p w:rsidRPr="005C4571" w:rsidR="009B199C" w:rsidP="00BE1F8F" w:rsidRDefault="009B199C" w14:paraId="74A06E52" w14:textId="77777777">
      <w:pPr>
        <w:numPr>
          <w:ilvl w:val="0"/>
          <w:numId w:val="19"/>
        </w:numPr>
        <w:ind w:left="284" w:hanging="284"/>
        <w:contextualSpacing/>
      </w:pPr>
      <w:r>
        <w:t>assinala a proposta da Comissão de que as recomendações específicas por país sejam orientadas para uma melhor execução das reformas e dos investimentos incluídos no Mecanismo de Recuperação e Resiliência e no quadro financeiro plurianual, uma vez que ambos estão prestes a terminar, em 2026 e 2027, respetivamente;</w:t>
      </w:r>
    </w:p>
    <w:p w:rsidRPr="005C4571" w:rsidR="009B199C" w:rsidP="00BE1F8F" w:rsidRDefault="009B199C" w14:paraId="49B53D4B" w14:textId="77777777">
      <w:pPr>
        <w:numPr>
          <w:ilvl w:val="0"/>
          <w:numId w:val="19"/>
        </w:numPr>
        <w:ind w:left="284" w:hanging="284"/>
        <w:contextualSpacing/>
      </w:pPr>
      <w:r>
        <w:t>considera que, no difícil contexto político e económico que a UE atravessa, é fundamental assegurar uma cooperação mais eficaz entre os Estados-Membros para superar esses obstáculos;</w:t>
      </w:r>
    </w:p>
    <w:p w:rsidRPr="005C4571" w:rsidR="009B199C" w:rsidP="00BE1F8F" w:rsidRDefault="009B199C" w14:paraId="48FD49AD" w14:textId="77777777">
      <w:pPr>
        <w:numPr>
          <w:ilvl w:val="0"/>
          <w:numId w:val="19"/>
        </w:numPr>
        <w:ind w:left="284" w:hanging="284"/>
        <w:contextualSpacing/>
      </w:pPr>
      <w:r>
        <w:t>considera que as análises e conclusões da Comissão constantes do Relatório Conjunto sobre o Emprego são corretas e adequadas, podendo ser cuidadosamente convertidas em recomendações específicas por país;</w:t>
      </w:r>
    </w:p>
    <w:p w:rsidRPr="005C4571" w:rsidR="009B199C" w:rsidP="00247B9F" w:rsidRDefault="009B199C" w14:paraId="38004D1C" w14:textId="77777777">
      <w:pPr>
        <w:numPr>
          <w:ilvl w:val="0"/>
          <w:numId w:val="19"/>
        </w:numPr>
        <w:spacing w:line="264" w:lineRule="auto"/>
        <w:ind w:left="284" w:hanging="284"/>
        <w:contextualSpacing/>
      </w:pPr>
      <w:r>
        <w:t xml:space="preserve">incentiva a Comissão a prosseguir o programa para reduzir os encargos que uma regulamentação excessiva representa para as empresas europeias, diminuindo a sua capacidade de competir a nível mundial; </w:t>
      </w:r>
    </w:p>
    <w:p w:rsidRPr="005C4571" w:rsidR="009B199C" w:rsidP="00247B9F" w:rsidRDefault="009B199C" w14:paraId="7E9B0E26" w14:textId="77777777">
      <w:pPr>
        <w:widowControl w:val="0"/>
        <w:numPr>
          <w:ilvl w:val="0"/>
          <w:numId w:val="19"/>
        </w:numPr>
        <w:spacing w:line="264" w:lineRule="auto"/>
        <w:ind w:left="284" w:hanging="284"/>
        <w:rPr>
          <w:bCs/>
          <w:iCs/>
        </w:rPr>
      </w:pPr>
      <w:r>
        <w:t>considera que, nas recomendações específicas por país, as propostas de investimento e de reformas devem dar prioridade à resolução do grave problema da habitação.</w:t>
      </w:r>
    </w:p>
    <w:p w:rsidRPr="005C4571" w:rsidR="009B199C" w:rsidP="00247B9F" w:rsidRDefault="009B199C" w14:paraId="1D7AC5FD" w14:textId="77777777">
      <w:pPr>
        <w:widowControl w:val="0"/>
        <w:spacing w:line="120" w:lineRule="auto"/>
        <w:ind w:left="709"/>
      </w:pPr>
    </w:p>
    <w:tbl>
      <w:tblPr>
        <w:tblW w:w="4942" w:type="pct"/>
        <w:tblLook w:val="04A0" w:firstRow="1" w:lastRow="0" w:firstColumn="1" w:lastColumn="0" w:noHBand="0" w:noVBand="1"/>
      </w:tblPr>
      <w:tblGrid>
        <w:gridCol w:w="2093"/>
        <w:gridCol w:w="7086"/>
      </w:tblGrid>
      <w:tr w:rsidRPr="005C4571" w:rsidR="009B199C" w:rsidTr="00247B9F" w14:paraId="6E6E3E29" w14:textId="77777777">
        <w:tc>
          <w:tcPr>
            <w:tcW w:w="1140" w:type="pct"/>
          </w:tcPr>
          <w:p w:rsidRPr="005C4571" w:rsidR="009B199C" w:rsidP="00BE1F8F" w:rsidRDefault="009B199C" w14:paraId="0A0A29E5" w14:textId="77777777">
            <w:pPr>
              <w:rPr>
                <w:b/>
                <w:i/>
              </w:rPr>
            </w:pPr>
            <w:r>
              <w:rPr>
                <w:b/>
                <w:i/>
              </w:rPr>
              <w:t>Contacto</w:t>
            </w:r>
          </w:p>
        </w:tc>
        <w:tc>
          <w:tcPr>
            <w:tcW w:w="3860" w:type="pct"/>
          </w:tcPr>
          <w:p w:rsidRPr="005C4571" w:rsidR="009B199C" w:rsidP="00247B9F" w:rsidRDefault="009B199C" w14:paraId="42F5E565" w14:textId="370BC39C">
            <w:pPr>
              <w:spacing w:line="240" w:lineRule="auto"/>
              <w:rPr>
                <w:b/>
                <w:i/>
              </w:rPr>
            </w:pPr>
            <w:r>
              <w:rPr>
                <w:i/>
              </w:rPr>
              <w:t>Anna Pantazi</w:t>
            </w:r>
          </w:p>
        </w:tc>
      </w:tr>
      <w:tr w:rsidRPr="005C4571" w:rsidR="009B199C" w:rsidTr="00247B9F" w14:paraId="552BEC45" w14:textId="77777777">
        <w:tc>
          <w:tcPr>
            <w:tcW w:w="1140" w:type="pct"/>
          </w:tcPr>
          <w:p w:rsidRPr="005C4571" w:rsidR="009B199C" w:rsidP="00BE1F8F" w:rsidRDefault="009B199C" w14:paraId="1653AF5F" w14:textId="77777777">
            <w:pPr>
              <w:rPr>
                <w:i/>
              </w:rPr>
            </w:pPr>
            <w:r>
              <w:rPr>
                <w:i/>
              </w:rPr>
              <w:t>Tel.</w:t>
            </w:r>
          </w:p>
        </w:tc>
        <w:tc>
          <w:tcPr>
            <w:tcW w:w="3860" w:type="pct"/>
          </w:tcPr>
          <w:p w:rsidRPr="005C4571" w:rsidR="009B199C" w:rsidP="00247B9F" w:rsidRDefault="009B199C" w14:paraId="237B8862" w14:textId="77777777">
            <w:pPr>
              <w:spacing w:line="240" w:lineRule="auto"/>
              <w:rPr>
                <w:i/>
              </w:rPr>
            </w:pPr>
            <w:r>
              <w:rPr>
                <w:i/>
              </w:rPr>
              <w:t>+32 2 546 92 31</w:t>
            </w:r>
          </w:p>
        </w:tc>
      </w:tr>
      <w:tr w:rsidRPr="005C4571" w:rsidR="009B199C" w:rsidTr="00247B9F" w14:paraId="3D3A9CD1" w14:textId="77777777">
        <w:tc>
          <w:tcPr>
            <w:tcW w:w="1140" w:type="pct"/>
          </w:tcPr>
          <w:p w:rsidRPr="005C4571" w:rsidR="009B199C" w:rsidP="00BE1F8F" w:rsidRDefault="009B199C" w14:paraId="1113F6A6" w14:textId="77777777">
            <w:pPr>
              <w:rPr>
                <w:i/>
              </w:rPr>
            </w:pPr>
            <w:r>
              <w:rPr>
                <w:i/>
              </w:rPr>
              <w:t>Endereço eletrónico</w:t>
            </w:r>
          </w:p>
        </w:tc>
        <w:tc>
          <w:tcPr>
            <w:tcW w:w="3860" w:type="pct"/>
          </w:tcPr>
          <w:p w:rsidRPr="005C4571" w:rsidR="009B199C" w:rsidP="00247B9F" w:rsidRDefault="00C61EB1" w14:paraId="45EA0124" w14:textId="77777777">
            <w:pPr>
              <w:spacing w:line="240" w:lineRule="auto"/>
              <w:rPr>
                <w:i/>
              </w:rPr>
            </w:pPr>
            <w:hyperlink w:history="1" r:id="rId22">
              <w:r w:rsidR="00912887">
                <w:rPr>
                  <w:i/>
                  <w:color w:val="0000FF"/>
                  <w:u w:val="single"/>
                </w:rPr>
                <w:t>Anna.Pantazi@eesc.europa.eu</w:t>
              </w:r>
            </w:hyperlink>
          </w:p>
        </w:tc>
      </w:tr>
    </w:tbl>
    <w:p w:rsidR="009B199C" w:rsidP="00247B9F" w:rsidRDefault="009B199C" w14:paraId="44976E13" w14:textId="77777777">
      <w:pPr>
        <w:spacing w:line="48" w:lineRule="auto"/>
        <w:jc w:val="left"/>
      </w:pPr>
      <w:r>
        <w:br w:type="page"/>
      </w:r>
    </w:p>
    <w:p w:rsidRPr="003442FB" w:rsidR="009B199C" w:rsidP="00BE1F8F" w:rsidRDefault="00C61EB1" w14:paraId="0066A1A1" w14:textId="4EB1C679">
      <w:pPr>
        <w:numPr>
          <w:ilvl w:val="0"/>
          <w:numId w:val="20"/>
        </w:numPr>
        <w:overflowPunct w:val="0"/>
        <w:autoSpaceDE w:val="0"/>
        <w:autoSpaceDN w:val="0"/>
        <w:adjustRightInd w:val="0"/>
        <w:ind w:left="567" w:hanging="567"/>
        <w:textAlignment w:val="baseline"/>
        <w:rPr>
          <w:sz w:val="28"/>
          <w:szCs w:val="28"/>
        </w:rPr>
      </w:pPr>
      <w:hyperlink w:history="1" r:id="rId23">
        <w:r w:rsidR="00912887">
          <w:rPr>
            <w:b/>
            <w:i/>
            <w:color w:val="0000FF"/>
            <w:sz w:val="28"/>
            <w:u w:val="single"/>
          </w:rPr>
          <w:t>Cooperação administrativa no domínio</w:t>
        </w:r>
        <w:r w:rsidR="00912887">
          <w:rPr>
            <w:b/>
            <w:i/>
            <w:color w:val="0000FF"/>
            <w:sz w:val="28"/>
            <w:u w:val="single"/>
          </w:rPr>
          <w:t xml:space="preserve"> da fiscalidade (DCA9)</w:t>
        </w:r>
      </w:hyperlink>
    </w:p>
    <w:p w:rsidRPr="00EF5B43" w:rsidR="009B199C" w:rsidP="00BE1F8F" w:rsidRDefault="009B199C" w14:paraId="7C533EFA"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1667"/>
        <w:gridCol w:w="7510"/>
      </w:tblGrid>
      <w:tr w:rsidRPr="00EF5B43" w:rsidR="009B199C" w:rsidTr="00BE1F8F" w14:paraId="15407EEF" w14:textId="77777777">
        <w:tc>
          <w:tcPr>
            <w:tcW w:w="908" w:type="pct"/>
          </w:tcPr>
          <w:p w:rsidRPr="00EF5B43" w:rsidR="009B199C" w:rsidP="00BE1F8F" w:rsidRDefault="009B199C" w14:paraId="20A40472" w14:textId="77777777">
            <w:pPr>
              <w:tabs>
                <w:tab w:val="center" w:pos="284"/>
              </w:tabs>
              <w:overflowPunct w:val="0"/>
              <w:autoSpaceDE w:val="0"/>
              <w:autoSpaceDN w:val="0"/>
              <w:adjustRightInd w:val="0"/>
              <w:ind w:left="266" w:hanging="266"/>
              <w:textAlignment w:val="baseline"/>
              <w:rPr>
                <w:b/>
              </w:rPr>
            </w:pPr>
            <w:r>
              <w:rPr>
                <w:b/>
              </w:rPr>
              <w:t>Relator</w:t>
            </w:r>
          </w:p>
        </w:tc>
        <w:tc>
          <w:tcPr>
            <w:tcW w:w="4092" w:type="pct"/>
          </w:tcPr>
          <w:p w:rsidRPr="00EF5B43" w:rsidR="009B199C" w:rsidP="00BE1F8F" w:rsidRDefault="009B199C" w14:paraId="4F4B426F" w14:textId="77777777">
            <w:pPr>
              <w:tabs>
                <w:tab w:val="center" w:pos="284"/>
              </w:tabs>
              <w:overflowPunct w:val="0"/>
              <w:autoSpaceDE w:val="0"/>
              <w:autoSpaceDN w:val="0"/>
              <w:adjustRightInd w:val="0"/>
              <w:ind w:left="266" w:hanging="266"/>
              <w:textAlignment w:val="baseline"/>
            </w:pPr>
            <w:r>
              <w:t>Krister Andersson (SE – Grupo dos Empregadores)</w:t>
            </w:r>
          </w:p>
        </w:tc>
      </w:tr>
      <w:tr w:rsidRPr="00EF5B43" w:rsidR="009B199C" w:rsidTr="00BE1F8F" w14:paraId="721BA5E2" w14:textId="77777777">
        <w:tc>
          <w:tcPr>
            <w:tcW w:w="908" w:type="pct"/>
            <w:vMerge w:val="restart"/>
          </w:tcPr>
          <w:p w:rsidRPr="00EF5B43" w:rsidR="009B199C" w:rsidP="00BE1F8F" w:rsidRDefault="009B199C" w14:paraId="7B3F0224" w14:textId="77777777">
            <w:pPr>
              <w:tabs>
                <w:tab w:val="center" w:pos="284"/>
              </w:tabs>
              <w:overflowPunct w:val="0"/>
              <w:autoSpaceDE w:val="0"/>
              <w:autoSpaceDN w:val="0"/>
              <w:adjustRightInd w:val="0"/>
              <w:ind w:left="266" w:hanging="266"/>
              <w:textAlignment w:val="baseline"/>
              <w:rPr>
                <w:b/>
              </w:rPr>
            </w:pPr>
            <w:r>
              <w:rPr>
                <w:b/>
              </w:rPr>
              <w:t>Referências</w:t>
            </w:r>
          </w:p>
        </w:tc>
        <w:tc>
          <w:tcPr>
            <w:tcW w:w="4092" w:type="pct"/>
          </w:tcPr>
          <w:p w:rsidRPr="00EF5B43" w:rsidR="009B199C" w:rsidP="00BE1F8F" w:rsidRDefault="009B199C" w14:paraId="3B421B3C" w14:textId="5FD96ECD">
            <w:pPr>
              <w:tabs>
                <w:tab w:val="center" w:pos="284"/>
              </w:tabs>
              <w:overflowPunct w:val="0"/>
              <w:autoSpaceDE w:val="0"/>
              <w:autoSpaceDN w:val="0"/>
              <w:adjustRightInd w:val="0"/>
              <w:ind w:left="266" w:hanging="266"/>
              <w:textAlignment w:val="baseline"/>
            </w:pPr>
            <w:r>
              <w:t xml:space="preserve">COM(2024) 497 final </w:t>
            </w:r>
          </w:p>
        </w:tc>
      </w:tr>
      <w:tr w:rsidRPr="00EF5B43" w:rsidR="009B199C" w:rsidTr="00BE1F8F" w14:paraId="0644B2C3" w14:textId="77777777">
        <w:tc>
          <w:tcPr>
            <w:tcW w:w="908" w:type="pct"/>
            <w:vMerge/>
          </w:tcPr>
          <w:p w:rsidRPr="00EF5B43" w:rsidR="009B199C" w:rsidP="00BE1F8F" w:rsidRDefault="009B199C" w14:paraId="29B7CE2E" w14:textId="77777777">
            <w:pPr>
              <w:tabs>
                <w:tab w:val="center" w:pos="284"/>
              </w:tabs>
              <w:overflowPunct w:val="0"/>
              <w:autoSpaceDE w:val="0"/>
              <w:autoSpaceDN w:val="0"/>
              <w:adjustRightInd w:val="0"/>
              <w:ind w:left="266" w:hanging="266"/>
              <w:textAlignment w:val="baseline"/>
              <w:rPr>
                <w:b/>
              </w:rPr>
            </w:pPr>
          </w:p>
        </w:tc>
        <w:tc>
          <w:tcPr>
            <w:tcW w:w="4092" w:type="pct"/>
          </w:tcPr>
          <w:p w:rsidRPr="00EF5B43" w:rsidR="009B199C" w:rsidP="00BE1F8F" w:rsidRDefault="009B199C" w14:paraId="0B6D96F4" w14:textId="337C89A9">
            <w:pPr>
              <w:tabs>
                <w:tab w:val="center" w:pos="284"/>
              </w:tabs>
              <w:overflowPunct w:val="0"/>
              <w:autoSpaceDE w:val="0"/>
              <w:autoSpaceDN w:val="0"/>
              <w:adjustRightInd w:val="0"/>
              <w:ind w:left="266" w:hanging="266"/>
              <w:textAlignment w:val="baseline"/>
            </w:pPr>
            <w:r>
              <w:t>EESC-2024-04551-00-00-AC</w:t>
            </w:r>
          </w:p>
        </w:tc>
      </w:tr>
    </w:tbl>
    <w:p w:rsidRPr="00EF5B43" w:rsidR="009B199C" w:rsidP="00BE1F8F" w:rsidRDefault="009B199C" w14:paraId="148A8516" w14:textId="77777777">
      <w:pPr>
        <w:tabs>
          <w:tab w:val="center" w:pos="284"/>
        </w:tabs>
        <w:overflowPunct w:val="0"/>
        <w:autoSpaceDE w:val="0"/>
        <w:autoSpaceDN w:val="0"/>
        <w:adjustRightInd w:val="0"/>
        <w:ind w:left="266" w:hanging="266"/>
        <w:textAlignment w:val="baseline"/>
        <w:rPr>
          <w:lang w:val="en-GB"/>
        </w:rPr>
      </w:pPr>
    </w:p>
    <w:p w:rsidRPr="00EF5B43" w:rsidR="009B199C" w:rsidP="00BE1F8F" w:rsidRDefault="009B199C" w14:paraId="212050D8"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EF5B43" w:rsidR="009B199C" w:rsidP="00BE1F8F" w:rsidRDefault="009B199C" w14:paraId="6FCA3C9E" w14:textId="77777777">
      <w:pPr>
        <w:keepNext/>
        <w:keepLines/>
        <w:tabs>
          <w:tab w:val="center" w:pos="284"/>
        </w:tabs>
        <w:overflowPunct w:val="0"/>
        <w:autoSpaceDE w:val="0"/>
        <w:autoSpaceDN w:val="0"/>
        <w:adjustRightInd w:val="0"/>
        <w:ind w:left="266" w:hanging="266"/>
        <w:textAlignment w:val="baseline"/>
        <w:rPr>
          <w:b/>
          <w:lang w:val="en-GB"/>
        </w:rPr>
      </w:pPr>
    </w:p>
    <w:p w:rsidRPr="00EF5B43" w:rsidR="009B199C" w:rsidP="00BE1F8F" w:rsidRDefault="009B199C" w14:paraId="3C84648C" w14:textId="77777777">
      <w:pPr>
        <w:overflowPunct w:val="0"/>
        <w:autoSpaceDE w:val="0"/>
        <w:autoSpaceDN w:val="0"/>
        <w:adjustRightInd w:val="0"/>
        <w:textAlignment w:val="baseline"/>
        <w:rPr>
          <w:bCs/>
          <w:iCs/>
        </w:rPr>
      </w:pPr>
      <w:r>
        <w:t>O Comité Económico e Social Europeu:</w:t>
      </w:r>
    </w:p>
    <w:p w:rsidRPr="00EF5B43" w:rsidR="009B199C" w:rsidP="00BE1F8F" w:rsidRDefault="009B199C" w14:paraId="58403D40" w14:textId="77777777">
      <w:pPr>
        <w:widowControl w:val="0"/>
        <w:numPr>
          <w:ilvl w:val="0"/>
          <w:numId w:val="18"/>
        </w:numPr>
        <w:overflowPunct w:val="0"/>
        <w:autoSpaceDE w:val="0"/>
        <w:autoSpaceDN w:val="0"/>
        <w:adjustRightInd w:val="0"/>
        <w:ind w:left="284" w:hanging="284"/>
        <w:textAlignment w:val="baseline"/>
        <w:rPr>
          <w:bCs/>
          <w:iCs/>
        </w:rPr>
      </w:pPr>
      <w:r>
        <w:t>congratula-se com a proposta de diretiva do Conselho que altera a Diretiva 2011/16/UE relativa à cooperação administrativa no domínio da fiscalidade (DCA9);</w:t>
      </w:r>
    </w:p>
    <w:p w:rsidRPr="00EF5B43" w:rsidR="009B199C" w:rsidP="00BE1F8F" w:rsidRDefault="009B199C" w14:paraId="337AB66A" w14:textId="77777777">
      <w:pPr>
        <w:widowControl w:val="0"/>
        <w:numPr>
          <w:ilvl w:val="0"/>
          <w:numId w:val="18"/>
        </w:numPr>
        <w:overflowPunct w:val="0"/>
        <w:autoSpaceDE w:val="0"/>
        <w:autoSpaceDN w:val="0"/>
        <w:adjustRightInd w:val="0"/>
        <w:ind w:left="284" w:hanging="284"/>
        <w:textAlignment w:val="baseline"/>
        <w:rPr>
          <w:bCs/>
          <w:iCs/>
        </w:rPr>
      </w:pPr>
      <w:r>
        <w:t>observa que se trata de uma transposição do Quadro Inclusivo da OCDE/G20, já acordado;</w:t>
      </w:r>
    </w:p>
    <w:p w:rsidRPr="00EF5B43" w:rsidR="009B199C" w:rsidP="00BE1F8F" w:rsidRDefault="009B199C" w14:paraId="05B4C525" w14:textId="77777777">
      <w:pPr>
        <w:widowControl w:val="0"/>
        <w:numPr>
          <w:ilvl w:val="0"/>
          <w:numId w:val="18"/>
        </w:numPr>
        <w:overflowPunct w:val="0"/>
        <w:autoSpaceDE w:val="0"/>
        <w:autoSpaceDN w:val="0"/>
        <w:adjustRightInd w:val="0"/>
        <w:ind w:left="284" w:hanging="284"/>
        <w:textAlignment w:val="baseline"/>
        <w:rPr>
          <w:bCs/>
          <w:iCs/>
        </w:rPr>
      </w:pPr>
      <w:r>
        <w:t>assinala que a segurança e a clareza jurídicas para as empresas multinacionais e as administrações fiscais só podem ser asseguradas através da criação de um conjunto único de regras uniformes aplicáveis a todos os Estados-Membros;</w:t>
      </w:r>
    </w:p>
    <w:p w:rsidRPr="00EF5B43" w:rsidR="009B199C" w:rsidP="00BE1F8F" w:rsidRDefault="009B199C" w14:paraId="02FBDE9B" w14:textId="77777777">
      <w:pPr>
        <w:widowControl w:val="0"/>
        <w:numPr>
          <w:ilvl w:val="0"/>
          <w:numId w:val="18"/>
        </w:numPr>
        <w:overflowPunct w:val="0"/>
        <w:autoSpaceDE w:val="0"/>
        <w:autoSpaceDN w:val="0"/>
        <w:adjustRightInd w:val="0"/>
        <w:ind w:left="284" w:hanging="284"/>
        <w:textAlignment w:val="baseline"/>
        <w:rPr>
          <w:bCs/>
          <w:iCs/>
        </w:rPr>
      </w:pPr>
      <w:r>
        <w:t>considera fundamental que as informações recolhidas ao abrigo da DCA9 sejam utilizadas única e exclusivamente como previsto na proposta da Comissão e não para outros fins, sob pena de permitir às empresas de países terceiros que tenham acesso a informações sensíveis, prejudicando assim a posição concorrencial das empresas europeias;</w:t>
      </w:r>
    </w:p>
    <w:p w:rsidRPr="00EF5B43" w:rsidR="009B199C" w:rsidP="00BE1F8F" w:rsidRDefault="009B199C" w14:paraId="1397A2B3" w14:textId="77777777">
      <w:pPr>
        <w:widowControl w:val="0"/>
        <w:numPr>
          <w:ilvl w:val="0"/>
          <w:numId w:val="18"/>
        </w:numPr>
        <w:overflowPunct w:val="0"/>
        <w:autoSpaceDE w:val="0"/>
        <w:autoSpaceDN w:val="0"/>
        <w:adjustRightInd w:val="0"/>
        <w:ind w:left="284" w:hanging="284"/>
        <w:textAlignment w:val="baseline"/>
        <w:rPr>
          <w:bCs/>
          <w:iCs/>
        </w:rPr>
      </w:pPr>
      <w:r>
        <w:t>lamenta que a proposta não tenha sido objeto de uma avaliação de impacto nem de um controlo da competitividade. Teria sido interessante verificar se a proposta nos aproxima do objetivo geral da Comissão de reduzir os encargos administrativos em 25%;</w:t>
      </w:r>
    </w:p>
    <w:p w:rsidRPr="00EF5B43" w:rsidR="009B199C" w:rsidP="00BE1F8F" w:rsidRDefault="009B199C" w14:paraId="3B495DF5" w14:textId="77777777">
      <w:pPr>
        <w:widowControl w:val="0"/>
        <w:numPr>
          <w:ilvl w:val="0"/>
          <w:numId w:val="18"/>
        </w:numPr>
        <w:overflowPunct w:val="0"/>
        <w:autoSpaceDE w:val="0"/>
        <w:autoSpaceDN w:val="0"/>
        <w:adjustRightInd w:val="0"/>
        <w:ind w:left="284" w:hanging="284"/>
        <w:textAlignment w:val="baseline"/>
        <w:rPr>
          <w:bCs/>
          <w:iCs/>
        </w:rPr>
      </w:pPr>
      <w:r>
        <w:t xml:space="preserve">sublinha a necessidade de manter as regras em plena consonância com os trabalhos em curso da OCDE. </w:t>
      </w:r>
    </w:p>
    <w:p w:rsidRPr="00EF5B43" w:rsidR="009B199C" w:rsidP="00BE1F8F" w:rsidRDefault="009B199C" w14:paraId="7207F72C" w14:textId="77777777">
      <w:pPr>
        <w:widowControl w:val="0"/>
        <w:overflowPunct w:val="0"/>
        <w:autoSpaceDE w:val="0"/>
        <w:autoSpaceDN w:val="0"/>
        <w:adjustRightInd w:val="0"/>
        <w:ind w:left="709"/>
        <w:textAlignment w:val="baseline"/>
        <w:rPr>
          <w:szCs w:val="20"/>
          <w:lang w:val="en-GB"/>
        </w:rPr>
      </w:pPr>
    </w:p>
    <w:tbl>
      <w:tblPr>
        <w:tblW w:w="4941" w:type="pct"/>
        <w:tblLook w:val="04A0" w:firstRow="1" w:lastRow="0" w:firstColumn="1" w:lastColumn="0" w:noHBand="0" w:noVBand="1"/>
      </w:tblPr>
      <w:tblGrid>
        <w:gridCol w:w="2092"/>
        <w:gridCol w:w="7085"/>
      </w:tblGrid>
      <w:tr w:rsidRPr="00EF5B43" w:rsidR="009B199C" w:rsidTr="00247B9F" w14:paraId="51274BC3" w14:textId="77777777">
        <w:tc>
          <w:tcPr>
            <w:tcW w:w="1140" w:type="pct"/>
          </w:tcPr>
          <w:p w:rsidRPr="00EF5B43" w:rsidR="009B199C" w:rsidP="00BE1F8F" w:rsidRDefault="009B199C" w14:paraId="36A23BA9" w14:textId="77777777">
            <w:pPr>
              <w:overflowPunct w:val="0"/>
              <w:autoSpaceDE w:val="0"/>
              <w:autoSpaceDN w:val="0"/>
              <w:adjustRightInd w:val="0"/>
              <w:textAlignment w:val="baseline"/>
              <w:rPr>
                <w:i/>
              </w:rPr>
            </w:pPr>
            <w:r>
              <w:rPr>
                <w:b/>
                <w:i/>
              </w:rPr>
              <w:t>Contacto</w:t>
            </w:r>
          </w:p>
        </w:tc>
        <w:tc>
          <w:tcPr>
            <w:tcW w:w="3860" w:type="pct"/>
          </w:tcPr>
          <w:p w:rsidRPr="00EF5B43" w:rsidR="009B199C" w:rsidP="00BE1F8F" w:rsidRDefault="009B199C" w14:paraId="08D792CC" w14:textId="77777777">
            <w:pPr>
              <w:overflowPunct w:val="0"/>
              <w:autoSpaceDE w:val="0"/>
              <w:autoSpaceDN w:val="0"/>
              <w:adjustRightInd w:val="0"/>
              <w:textAlignment w:val="baseline"/>
              <w:rPr>
                <w:i/>
              </w:rPr>
            </w:pPr>
            <w:r>
              <w:rPr>
                <w:i/>
              </w:rPr>
              <w:t>Jüri Soosaar</w:t>
            </w:r>
          </w:p>
        </w:tc>
      </w:tr>
      <w:tr w:rsidRPr="00EF5B43" w:rsidR="009B199C" w:rsidTr="00247B9F" w14:paraId="1A8CFF57" w14:textId="77777777">
        <w:tc>
          <w:tcPr>
            <w:tcW w:w="1140" w:type="pct"/>
          </w:tcPr>
          <w:p w:rsidRPr="00EF5B43" w:rsidR="009B199C" w:rsidP="00BE1F8F" w:rsidRDefault="009B199C" w14:paraId="6B9265C2" w14:textId="77777777">
            <w:pPr>
              <w:overflowPunct w:val="0"/>
              <w:autoSpaceDE w:val="0"/>
              <w:autoSpaceDN w:val="0"/>
              <w:adjustRightInd w:val="0"/>
              <w:textAlignment w:val="baseline"/>
              <w:rPr>
                <w:i/>
              </w:rPr>
            </w:pPr>
            <w:r>
              <w:rPr>
                <w:i/>
              </w:rPr>
              <w:t>Tel.</w:t>
            </w:r>
          </w:p>
        </w:tc>
        <w:tc>
          <w:tcPr>
            <w:tcW w:w="3860" w:type="pct"/>
          </w:tcPr>
          <w:p w:rsidRPr="00EF5B43" w:rsidR="009B199C" w:rsidP="00BE1F8F" w:rsidRDefault="009B199C" w14:paraId="6A56AF39" w14:textId="77777777">
            <w:pPr>
              <w:overflowPunct w:val="0"/>
              <w:autoSpaceDE w:val="0"/>
              <w:autoSpaceDN w:val="0"/>
              <w:adjustRightInd w:val="0"/>
              <w:textAlignment w:val="baseline"/>
              <w:rPr>
                <w:i/>
              </w:rPr>
            </w:pPr>
            <w:r>
              <w:t>+ 32 2 546 96 28</w:t>
            </w:r>
          </w:p>
        </w:tc>
      </w:tr>
      <w:tr w:rsidRPr="00EF5B43" w:rsidR="009B199C" w:rsidTr="00247B9F" w14:paraId="6BB8066B" w14:textId="77777777">
        <w:tc>
          <w:tcPr>
            <w:tcW w:w="1140" w:type="pct"/>
          </w:tcPr>
          <w:p w:rsidRPr="00EF5B43" w:rsidR="009B199C" w:rsidP="00BE1F8F" w:rsidRDefault="007A0964" w14:paraId="2E2C7A15" w14:textId="4BB9F468">
            <w:pPr>
              <w:overflowPunct w:val="0"/>
              <w:autoSpaceDE w:val="0"/>
              <w:autoSpaceDN w:val="0"/>
              <w:adjustRightInd w:val="0"/>
              <w:textAlignment w:val="baseline"/>
              <w:rPr>
                <w:i/>
              </w:rPr>
            </w:pPr>
            <w:r>
              <w:rPr>
                <w:i/>
              </w:rPr>
              <w:t>Endereço eletrónico</w:t>
            </w:r>
          </w:p>
        </w:tc>
        <w:tc>
          <w:tcPr>
            <w:tcW w:w="3860" w:type="pct"/>
          </w:tcPr>
          <w:p w:rsidRPr="00EF5B43" w:rsidR="009B199C" w:rsidP="00BE1F8F" w:rsidRDefault="00C61EB1" w14:paraId="7B544A6C" w14:textId="195BC3BF">
            <w:pPr>
              <w:overflowPunct w:val="0"/>
              <w:autoSpaceDE w:val="0"/>
              <w:autoSpaceDN w:val="0"/>
              <w:adjustRightInd w:val="0"/>
              <w:textAlignment w:val="baseline"/>
              <w:rPr>
                <w:i/>
              </w:rPr>
            </w:pPr>
            <w:hyperlink w:history="1" r:id="rId24">
              <w:r w:rsidR="00912887">
                <w:rPr>
                  <w:i/>
                  <w:color w:val="0000FF"/>
                  <w:u w:val="single"/>
                </w:rPr>
                <w:t>Juri.Soosaar@eesc.europa.eu</w:t>
              </w:r>
            </w:hyperlink>
          </w:p>
        </w:tc>
      </w:tr>
    </w:tbl>
    <w:p w:rsidR="009B199C" w:rsidP="00BE1F8F" w:rsidRDefault="009B199C" w14:paraId="0DDB3A60" w14:textId="77777777">
      <w:pPr>
        <w:jc w:val="left"/>
      </w:pPr>
    </w:p>
    <w:p w:rsidR="009B199C" w:rsidP="00BE1F8F" w:rsidRDefault="009B199C" w14:paraId="2E5B1FF6" w14:textId="77777777">
      <w:pPr>
        <w:jc w:val="left"/>
      </w:pPr>
      <w:r>
        <w:br w:type="page"/>
      </w:r>
    </w:p>
    <w:p w:rsidRPr="008171FA" w:rsidR="00773E8D" w:rsidP="00BE1F8F" w:rsidRDefault="00C61EB1" w14:paraId="5A8B385C" w14:textId="56009D42">
      <w:pPr>
        <w:widowControl w:val="0"/>
        <w:numPr>
          <w:ilvl w:val="0"/>
          <w:numId w:val="7"/>
        </w:numPr>
        <w:overflowPunct w:val="0"/>
        <w:autoSpaceDE w:val="0"/>
        <w:autoSpaceDN w:val="0"/>
        <w:adjustRightInd w:val="0"/>
        <w:ind w:left="567" w:hanging="567"/>
        <w:contextualSpacing/>
        <w:jc w:val="left"/>
        <w:textAlignment w:val="baseline"/>
      </w:pPr>
      <w:hyperlink w:history="1" r:id="rId25">
        <w:r w:rsidR="00773E8D">
          <w:rPr>
            <w:b/>
            <w:i/>
            <w:color w:val="0000FF"/>
            <w:sz w:val="28"/>
            <w:u w:val="single"/>
          </w:rPr>
          <w:t>Financiamento da defesa na União</w:t>
        </w:r>
        <w:r w:rsidR="00773E8D">
          <w:rPr>
            <w:b/>
            <w:i/>
            <w:color w:val="0000FF"/>
            <w:sz w:val="28"/>
            <w:u w:val="single"/>
          </w:rPr>
          <w:t xml:space="preserve"> Europeia</w:t>
        </w:r>
      </w:hyperlink>
    </w:p>
    <w:p w:rsidRPr="00773E8D" w:rsidR="00773E8D" w:rsidP="008171FA" w:rsidRDefault="00773E8D" w14:paraId="3EB22D3F" w14:textId="77777777">
      <w:pPr>
        <w:widowControl w:val="0"/>
        <w:overflowPunct w:val="0"/>
        <w:autoSpaceDE w:val="0"/>
        <w:autoSpaceDN w:val="0"/>
        <w:adjustRightInd w:val="0"/>
        <w:contextualSpacing/>
        <w:jc w:val="left"/>
        <w:textAlignment w:val="baseline"/>
        <w:rPr>
          <w:rFonts w:ascii="Calibri" w:hAnsi="Calibri"/>
          <w:b/>
          <w:lang w:val="en-GB" w:eastAsia="zh-CN"/>
        </w:rPr>
      </w:pPr>
    </w:p>
    <w:tbl>
      <w:tblPr>
        <w:tblW w:w="0" w:type="auto"/>
        <w:tblLook w:val="04A0" w:firstRow="1" w:lastRow="0" w:firstColumn="1" w:lastColumn="0" w:noHBand="0" w:noVBand="1"/>
      </w:tblPr>
      <w:tblGrid>
        <w:gridCol w:w="1701"/>
        <w:gridCol w:w="7088"/>
      </w:tblGrid>
      <w:tr w:rsidRPr="00773E8D" w:rsidR="00773E8D" w:rsidTr="00257E74" w14:paraId="7736047E" w14:textId="77777777">
        <w:tc>
          <w:tcPr>
            <w:tcW w:w="1701" w:type="dxa"/>
          </w:tcPr>
          <w:p w:rsidRPr="00773E8D" w:rsidR="00773E8D" w:rsidP="00BE1F8F" w:rsidRDefault="00773E8D" w14:paraId="29FDFBF0" w14:textId="77777777">
            <w:pPr>
              <w:overflowPunct w:val="0"/>
              <w:autoSpaceDE w:val="0"/>
              <w:autoSpaceDN w:val="0"/>
              <w:adjustRightInd w:val="0"/>
              <w:ind w:left="176" w:hanging="284"/>
              <w:textAlignment w:val="baseline"/>
              <w:rPr>
                <w:b/>
              </w:rPr>
            </w:pPr>
            <w:r>
              <w:rPr>
                <w:b/>
              </w:rPr>
              <w:t>Relator</w:t>
            </w:r>
          </w:p>
        </w:tc>
        <w:tc>
          <w:tcPr>
            <w:tcW w:w="7088" w:type="dxa"/>
          </w:tcPr>
          <w:p w:rsidRPr="00773E8D" w:rsidR="00773E8D" w:rsidP="00BE1F8F" w:rsidRDefault="00773E8D" w14:paraId="0FB6E9DA" w14:textId="77777777">
            <w:pPr>
              <w:tabs>
                <w:tab w:val="center" w:pos="284"/>
              </w:tabs>
              <w:overflowPunct w:val="0"/>
              <w:autoSpaceDE w:val="0"/>
              <w:autoSpaceDN w:val="0"/>
              <w:adjustRightInd w:val="0"/>
              <w:textAlignment w:val="baseline"/>
            </w:pPr>
            <w:r>
              <w:t>Marcin Nowacki (PL – Grupo dos Empregadores)</w:t>
            </w:r>
          </w:p>
        </w:tc>
      </w:tr>
      <w:tr w:rsidRPr="00773E8D" w:rsidR="00773E8D" w:rsidTr="00257E74" w14:paraId="1DEF454E" w14:textId="77777777">
        <w:tc>
          <w:tcPr>
            <w:tcW w:w="1701" w:type="dxa"/>
          </w:tcPr>
          <w:p w:rsidRPr="00773E8D" w:rsidR="00773E8D" w:rsidP="00BE1F8F" w:rsidRDefault="00773E8D" w14:paraId="18280023" w14:textId="49E04DB4">
            <w:pPr>
              <w:tabs>
                <w:tab w:val="center" w:pos="284"/>
              </w:tabs>
              <w:overflowPunct w:val="0"/>
              <w:autoSpaceDE w:val="0"/>
              <w:autoSpaceDN w:val="0"/>
              <w:adjustRightInd w:val="0"/>
              <w:ind w:left="266" w:hanging="374"/>
              <w:textAlignment w:val="baseline"/>
              <w:rPr>
                <w:b/>
              </w:rPr>
            </w:pPr>
            <w:r>
              <w:rPr>
                <w:b/>
              </w:rPr>
              <w:t>Referência</w:t>
            </w:r>
          </w:p>
        </w:tc>
        <w:tc>
          <w:tcPr>
            <w:tcW w:w="7088" w:type="dxa"/>
          </w:tcPr>
          <w:p w:rsidRPr="00773E8D" w:rsidR="00773E8D" w:rsidP="00BE1F8F" w:rsidRDefault="00773E8D" w14:paraId="519A0CF0" w14:textId="0E3E4972">
            <w:pPr>
              <w:tabs>
                <w:tab w:val="center" w:pos="284"/>
              </w:tabs>
              <w:overflowPunct w:val="0"/>
              <w:autoSpaceDE w:val="0"/>
              <w:autoSpaceDN w:val="0"/>
              <w:adjustRightInd w:val="0"/>
              <w:textAlignment w:val="baseline"/>
              <w:rPr>
                <w:highlight w:val="yellow"/>
              </w:rPr>
            </w:pPr>
            <w:r>
              <w:t>Parecer exploratório – EESC-2024-03643-00-01-AC</w:t>
            </w:r>
          </w:p>
        </w:tc>
      </w:tr>
    </w:tbl>
    <w:p w:rsidRPr="00773E8D" w:rsidR="00773E8D" w:rsidP="00BE1F8F" w:rsidRDefault="00773E8D" w14:paraId="7F428D4F" w14:textId="77777777">
      <w:pPr>
        <w:keepNext/>
        <w:keepLines/>
        <w:tabs>
          <w:tab w:val="center" w:pos="284"/>
        </w:tabs>
        <w:overflowPunct w:val="0"/>
        <w:autoSpaceDE w:val="0"/>
        <w:autoSpaceDN w:val="0"/>
        <w:adjustRightInd w:val="0"/>
        <w:ind w:left="266" w:hanging="266"/>
        <w:textAlignment w:val="baseline"/>
        <w:rPr>
          <w:b/>
          <w:lang w:val="en-GB"/>
        </w:rPr>
      </w:pPr>
    </w:p>
    <w:p w:rsidRPr="00773E8D" w:rsidR="00773E8D" w:rsidP="00BE1F8F" w:rsidRDefault="00773E8D" w14:paraId="373416F2"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773E8D" w:rsidR="00773E8D" w:rsidP="00BE1F8F" w:rsidRDefault="00773E8D" w14:paraId="64611682" w14:textId="77777777">
      <w:pPr>
        <w:keepNext/>
        <w:keepLines/>
        <w:tabs>
          <w:tab w:val="center" w:pos="284"/>
        </w:tabs>
        <w:overflowPunct w:val="0"/>
        <w:autoSpaceDE w:val="0"/>
        <w:autoSpaceDN w:val="0"/>
        <w:adjustRightInd w:val="0"/>
        <w:ind w:left="266" w:hanging="266"/>
        <w:textAlignment w:val="baseline"/>
        <w:rPr>
          <w:b/>
          <w:lang w:val="en-GB"/>
        </w:rPr>
      </w:pPr>
    </w:p>
    <w:p w:rsidR="00773E8D" w:rsidP="00BE1F8F" w:rsidRDefault="00773E8D" w14:paraId="7BA955D6" w14:textId="77777777">
      <w:pPr>
        <w:overflowPunct w:val="0"/>
        <w:autoSpaceDE w:val="0"/>
        <w:autoSpaceDN w:val="0"/>
        <w:adjustRightInd w:val="0"/>
        <w:ind w:left="425" w:hanging="425"/>
        <w:textAlignment w:val="baseline"/>
        <w:rPr>
          <w:szCs w:val="20"/>
        </w:rPr>
      </w:pPr>
      <w:r>
        <w:t>O Comité Económico e Social Europeu:</w:t>
      </w:r>
    </w:p>
    <w:p w:rsidRPr="00773E8D" w:rsidR="00773E8D" w:rsidP="008171FA" w:rsidRDefault="00773E8D" w14:paraId="2A4EE010" w14:textId="77777777">
      <w:pPr>
        <w:numPr>
          <w:ilvl w:val="0"/>
          <w:numId w:val="44"/>
        </w:numPr>
        <w:overflowPunct w:val="0"/>
        <w:autoSpaceDE w:val="0"/>
        <w:autoSpaceDN w:val="0"/>
        <w:adjustRightInd w:val="0"/>
        <w:ind w:left="284" w:hanging="284"/>
        <w:contextualSpacing/>
        <w:textAlignment w:val="baseline"/>
      </w:pPr>
      <w:r>
        <w:t>salienta a necessidade urgente de fazer face à evolução do panorama da segurança na Europa através de mecanismos de financiamento da defesa sólidos e unificados. Os desafios geopolíticos, em especial a agressão russa contra a Ucrânia, exigem um investimento imediato e estratégico nas capacidades de defesa e uma preparação militar e civil, a fim de salvaguardar os valores fundamentais, a paz, a segurança e os interesses económicos da UE;</w:t>
      </w:r>
    </w:p>
    <w:p w:rsidRPr="00773E8D" w:rsidR="00773E8D" w:rsidP="008171FA" w:rsidRDefault="00773E8D" w14:paraId="2EF6A041" w14:textId="77777777">
      <w:pPr>
        <w:numPr>
          <w:ilvl w:val="0"/>
          <w:numId w:val="44"/>
        </w:numPr>
        <w:overflowPunct w:val="0"/>
        <w:autoSpaceDE w:val="0"/>
        <w:autoSpaceDN w:val="0"/>
        <w:adjustRightInd w:val="0"/>
        <w:ind w:left="284" w:hanging="284"/>
        <w:contextualSpacing/>
        <w:textAlignment w:val="baseline"/>
      </w:pPr>
      <w:r>
        <w:t>realça que a UE deve definir claramente os seus objetivos em matéria de política de defesa e reforçar o pilar europeu da defesa, cujos recursos e capacidades operacionais devem ser associados aos da Organização do Tratado do Atlântico Norte (OTAN). A política de defesa inscreve-se no quadro da política externa e de segurança comum, que deve promover a paz, a democracia e os direitos humanos no nosso continente, na sua vizinhança e a nível mundial, bem como defender as instituições multilaterais do sistema das Nações Unidas;</w:t>
      </w:r>
    </w:p>
    <w:p w:rsidRPr="00773E8D" w:rsidR="00773E8D" w:rsidP="008171FA" w:rsidRDefault="00773E8D" w14:paraId="466E9A4E" w14:textId="77777777">
      <w:pPr>
        <w:numPr>
          <w:ilvl w:val="0"/>
          <w:numId w:val="44"/>
        </w:numPr>
        <w:overflowPunct w:val="0"/>
        <w:autoSpaceDE w:val="0"/>
        <w:autoSpaceDN w:val="0"/>
        <w:adjustRightInd w:val="0"/>
        <w:ind w:left="284" w:hanging="284"/>
        <w:contextualSpacing/>
        <w:textAlignment w:val="baseline"/>
      </w:pPr>
      <w:r>
        <w:t>destaca a necessidade de encontrar formas de reforçar as capacidades de defesa da UE, em conformidade com o Tratado;</w:t>
      </w:r>
    </w:p>
    <w:p w:rsidRPr="00773E8D" w:rsidR="00773E8D" w:rsidP="008171FA" w:rsidRDefault="00773E8D" w14:paraId="1C22811F" w14:textId="77777777">
      <w:pPr>
        <w:numPr>
          <w:ilvl w:val="0"/>
          <w:numId w:val="44"/>
        </w:numPr>
        <w:overflowPunct w:val="0"/>
        <w:autoSpaceDE w:val="0"/>
        <w:autoSpaceDN w:val="0"/>
        <w:adjustRightInd w:val="0"/>
        <w:ind w:left="284" w:hanging="284"/>
        <w:contextualSpacing/>
        <w:textAlignment w:val="baseline"/>
      </w:pPr>
      <w:r>
        <w:t>salienta a importância de aprofundar a colaboração entre a UE e a OTAN para assegurar uma abordagem unificada em matéria de defesa;</w:t>
      </w:r>
    </w:p>
    <w:p w:rsidRPr="00773E8D" w:rsidR="00773E8D" w:rsidP="008171FA" w:rsidRDefault="00773E8D" w14:paraId="72C0537B" w14:textId="77777777">
      <w:pPr>
        <w:numPr>
          <w:ilvl w:val="0"/>
          <w:numId w:val="44"/>
        </w:numPr>
        <w:overflowPunct w:val="0"/>
        <w:autoSpaceDE w:val="0"/>
        <w:autoSpaceDN w:val="0"/>
        <w:adjustRightInd w:val="0"/>
        <w:ind w:left="284" w:hanging="284"/>
        <w:contextualSpacing/>
        <w:textAlignment w:val="baseline"/>
      </w:pPr>
      <w:r>
        <w:t>frisa a importância de os membros europeus da OTAN se comprometerem a consagrar pelo menos 2,5% do seu PIB à defesa;</w:t>
      </w:r>
    </w:p>
    <w:p w:rsidRPr="00773E8D" w:rsidR="00773E8D" w:rsidP="008171FA" w:rsidRDefault="00773E8D" w14:paraId="574F91FD" w14:textId="77777777">
      <w:pPr>
        <w:numPr>
          <w:ilvl w:val="0"/>
          <w:numId w:val="44"/>
        </w:numPr>
        <w:overflowPunct w:val="0"/>
        <w:autoSpaceDE w:val="0"/>
        <w:autoSpaceDN w:val="0"/>
        <w:adjustRightInd w:val="0"/>
        <w:ind w:left="284" w:hanging="284"/>
        <w:contextualSpacing/>
        <w:textAlignment w:val="baseline"/>
      </w:pPr>
      <w:r>
        <w:t>salienta que entre as prioridades de financiamento imediatas devem constar o desenvolvimento e a produção de sistemas de defesa modernos. O reforço dos investimentos nessas tecnologias deve iniciar-se sem demora, ainda durante o atual período orçamental do quadro financeiro plurianual;</w:t>
      </w:r>
    </w:p>
    <w:p w:rsidRPr="00773E8D" w:rsidR="00773E8D" w:rsidP="008171FA" w:rsidRDefault="00773E8D" w14:paraId="22A07DF0" w14:textId="77777777">
      <w:pPr>
        <w:numPr>
          <w:ilvl w:val="0"/>
          <w:numId w:val="44"/>
        </w:numPr>
        <w:overflowPunct w:val="0"/>
        <w:autoSpaceDE w:val="0"/>
        <w:autoSpaceDN w:val="0"/>
        <w:adjustRightInd w:val="0"/>
        <w:ind w:left="284" w:hanging="284"/>
        <w:contextualSpacing/>
        <w:textAlignment w:val="baseline"/>
      </w:pPr>
      <w:r>
        <w:t>considera que o reforço da base tecnológica e industrial de defesa europeia (BTIDE) é fundamental para reduzir a dependência de fornecedores externos e promover a inovação na UE;</w:t>
      </w:r>
    </w:p>
    <w:p w:rsidRPr="00773E8D" w:rsidR="00773E8D" w:rsidP="008171FA" w:rsidRDefault="00773E8D" w14:paraId="020C30AA" w14:textId="77777777">
      <w:pPr>
        <w:numPr>
          <w:ilvl w:val="0"/>
          <w:numId w:val="44"/>
        </w:numPr>
        <w:overflowPunct w:val="0"/>
        <w:autoSpaceDE w:val="0"/>
        <w:autoSpaceDN w:val="0"/>
        <w:adjustRightInd w:val="0"/>
        <w:ind w:left="284" w:hanging="284"/>
        <w:contextualSpacing/>
        <w:textAlignment w:val="baseline"/>
      </w:pPr>
      <w:r>
        <w:t>defende a expansão dos mecanismos de contratação pública conjunta, incluindo o Mecanismo Europeu de Apoio à Paz (MEAP), a fim de maximizar a eficiência na utilização dos recursos e reforçar a parceria estratégica. Importa expandir iniciativas como o Regulamento sobre o Apoio à Produção de Munições (ASAP) e o instrumento para reforçar a indústria europeia da defesa através da contratação conjunta (EDIRPA), a fim de resolver os estrangulamentos na produção e assegurar a prontidão operacional;</w:t>
      </w:r>
    </w:p>
    <w:p w:rsidRPr="00BE1F8F" w:rsidR="00773E8D" w:rsidP="008171FA" w:rsidRDefault="00773E8D" w14:paraId="28B3A062" w14:textId="77777777">
      <w:pPr>
        <w:numPr>
          <w:ilvl w:val="0"/>
          <w:numId w:val="44"/>
        </w:numPr>
        <w:overflowPunct w:val="0"/>
        <w:autoSpaceDE w:val="0"/>
        <w:autoSpaceDN w:val="0"/>
        <w:adjustRightInd w:val="0"/>
        <w:ind w:left="284" w:hanging="284"/>
        <w:contextualSpacing/>
        <w:textAlignment w:val="baseline"/>
      </w:pPr>
      <w:r>
        <w:t xml:space="preserve">entende que se devem prosseguir as parcerias com países terceiros para fazer avançar os esforços conjuntos em matéria de infraestruturas de segurança e de inovação tecnológica; </w:t>
      </w:r>
    </w:p>
    <w:p w:rsidRPr="00BE1F8F" w:rsidR="00773E8D" w:rsidP="008171FA" w:rsidRDefault="00773E8D" w14:paraId="0E1C930B" w14:textId="77777777">
      <w:pPr>
        <w:numPr>
          <w:ilvl w:val="0"/>
          <w:numId w:val="44"/>
        </w:numPr>
        <w:overflowPunct w:val="0"/>
        <w:autoSpaceDE w:val="0"/>
        <w:autoSpaceDN w:val="0"/>
        <w:adjustRightInd w:val="0"/>
        <w:ind w:left="284" w:hanging="284"/>
        <w:contextualSpacing/>
        <w:textAlignment w:val="baseline"/>
      </w:pPr>
      <w:r>
        <w:t>sublinha a importância das parcerias público-privadas enquanto instrumento complementar para mobilizar conhecimentos especializados e recursos, acelerando a inovação e a implantação em domínios críticos;</w:t>
      </w:r>
    </w:p>
    <w:p w:rsidRPr="00773E8D" w:rsidR="00773E8D" w:rsidP="008171FA" w:rsidRDefault="00773E8D" w14:paraId="7941C364" w14:textId="77777777">
      <w:pPr>
        <w:numPr>
          <w:ilvl w:val="0"/>
          <w:numId w:val="44"/>
        </w:numPr>
        <w:overflowPunct w:val="0"/>
        <w:autoSpaceDE w:val="0"/>
        <w:autoSpaceDN w:val="0"/>
        <w:adjustRightInd w:val="0"/>
        <w:ind w:left="284" w:hanging="284"/>
        <w:contextualSpacing/>
        <w:textAlignment w:val="baseline"/>
      </w:pPr>
      <w:r>
        <w:t>destaca que o financiamento da defesa deve privilegiar o apoio aos países situados nas fronteiras externas da UE mais diretamente afetados por conflitos regionais, com a condição de cumprirem estritamente os objetivos e princípios coletivos da UE e da OTAN;</w:t>
      </w:r>
    </w:p>
    <w:p w:rsidRPr="00773E8D" w:rsidR="00773E8D" w:rsidP="008171FA" w:rsidRDefault="00773E8D" w14:paraId="6AF1CE95" w14:textId="77777777">
      <w:pPr>
        <w:numPr>
          <w:ilvl w:val="0"/>
          <w:numId w:val="44"/>
        </w:numPr>
        <w:overflowPunct w:val="0"/>
        <w:autoSpaceDE w:val="0"/>
        <w:autoSpaceDN w:val="0"/>
        <w:adjustRightInd w:val="0"/>
        <w:ind w:left="284" w:hanging="284"/>
        <w:contextualSpacing/>
        <w:textAlignment w:val="baseline"/>
      </w:pPr>
      <w:r>
        <w:lastRenderedPageBreak/>
        <w:t>salienta a importância de integrar o financiamento da defesa nos mecanismos financeiros mais vastos da UE, incluindo o próximo quadro financeiro plurianual, sem comprometer outras prioridades críticas da UE, como a política de coesão, a transição ecológica e o Pilar Europeu dos Direitos Sociais;</w:t>
      </w:r>
    </w:p>
    <w:p w:rsidRPr="00773E8D" w:rsidR="00773E8D" w:rsidP="008171FA" w:rsidRDefault="00773E8D" w14:paraId="598F22B0" w14:textId="77777777">
      <w:pPr>
        <w:numPr>
          <w:ilvl w:val="0"/>
          <w:numId w:val="44"/>
        </w:numPr>
        <w:overflowPunct w:val="0"/>
        <w:autoSpaceDE w:val="0"/>
        <w:autoSpaceDN w:val="0"/>
        <w:adjustRightInd w:val="0"/>
        <w:ind w:left="284" w:hanging="284"/>
        <w:contextualSpacing/>
        <w:textAlignment w:val="baseline"/>
      </w:pPr>
      <w:r>
        <w:t>sublinha que devem ser realizadas campanhas de sensibilização do público para destacar o papel vital do financiamento da defesa na garantia da paz e da segurança da Europa, bem como do seu modo de vida democrático e da sua coesão social;</w:t>
      </w:r>
    </w:p>
    <w:p w:rsidRPr="00773E8D" w:rsidR="00773E8D" w:rsidP="008171FA" w:rsidRDefault="00773E8D" w14:paraId="63329DD1" w14:textId="77777777">
      <w:pPr>
        <w:numPr>
          <w:ilvl w:val="0"/>
          <w:numId w:val="44"/>
        </w:numPr>
        <w:overflowPunct w:val="0"/>
        <w:autoSpaceDE w:val="0"/>
        <w:autoSpaceDN w:val="0"/>
        <w:adjustRightInd w:val="0"/>
        <w:ind w:left="284" w:hanging="284"/>
        <w:contextualSpacing/>
        <w:textAlignment w:val="baseline"/>
      </w:pPr>
      <w:r>
        <w:t>considera que a UE é obrigada a estabelecer uma política de defesa comum, no quadro de uma política externa e de segurança comum, a fim de construir um pilar europeu de defesa sólido, devendo ser tomadas as medidas legislativas e financeiras necessárias para o efeito;</w:t>
      </w:r>
    </w:p>
    <w:p w:rsidR="00773E8D" w:rsidP="008171FA" w:rsidRDefault="00773E8D" w14:paraId="27DD39A3" w14:textId="77777777">
      <w:pPr>
        <w:numPr>
          <w:ilvl w:val="0"/>
          <w:numId w:val="44"/>
        </w:numPr>
        <w:overflowPunct w:val="0"/>
        <w:autoSpaceDE w:val="0"/>
        <w:autoSpaceDN w:val="0"/>
        <w:adjustRightInd w:val="0"/>
        <w:ind w:left="284" w:hanging="284"/>
        <w:contextualSpacing/>
        <w:textAlignment w:val="baseline"/>
      </w:pPr>
      <w:r>
        <w:t>entende que a UE também tem de desempenhar um papel diplomático ativo na obtenção de uma paz justa na Ucrânia.</w:t>
      </w:r>
    </w:p>
    <w:p w:rsidRPr="00773E8D" w:rsidR="00773E8D" w:rsidP="008171FA" w:rsidRDefault="00773E8D" w14:paraId="1D56F3F6" w14:textId="77777777">
      <w:pPr>
        <w:overflowPunct w:val="0"/>
        <w:autoSpaceDE w:val="0"/>
        <w:autoSpaceDN w:val="0"/>
        <w:adjustRightInd w:val="0"/>
        <w:ind w:left="284"/>
        <w:contextualSpacing/>
        <w:textAlignment w:val="baseline"/>
        <w:rPr>
          <w:lang w:val="en-GB" w:eastAsia="zh-CN"/>
        </w:rPr>
      </w:pPr>
    </w:p>
    <w:tbl>
      <w:tblPr>
        <w:tblW w:w="9180" w:type="dxa"/>
        <w:tblLook w:val="04A0" w:firstRow="1" w:lastRow="0" w:firstColumn="1" w:lastColumn="0" w:noHBand="0" w:noVBand="1"/>
      </w:tblPr>
      <w:tblGrid>
        <w:gridCol w:w="2093"/>
        <w:gridCol w:w="7087"/>
      </w:tblGrid>
      <w:tr w:rsidRPr="00773E8D" w:rsidR="00773E8D" w:rsidTr="00247B9F" w14:paraId="72A4C0C1" w14:textId="77777777">
        <w:tc>
          <w:tcPr>
            <w:tcW w:w="2093" w:type="dxa"/>
          </w:tcPr>
          <w:p w:rsidRPr="00247B9F" w:rsidR="00773E8D" w:rsidP="00BE1F8F" w:rsidRDefault="00773E8D" w14:paraId="6CF8EC77" w14:textId="77777777">
            <w:pPr>
              <w:overflowPunct w:val="0"/>
              <w:autoSpaceDE w:val="0"/>
              <w:autoSpaceDN w:val="0"/>
              <w:adjustRightInd w:val="0"/>
              <w:textAlignment w:val="baseline"/>
              <w:rPr>
                <w:b/>
                <w:bCs/>
                <w:i/>
              </w:rPr>
            </w:pPr>
            <w:r w:rsidRPr="00247B9F">
              <w:rPr>
                <w:b/>
                <w:bCs/>
                <w:i/>
              </w:rPr>
              <w:t>Contacto</w:t>
            </w:r>
          </w:p>
        </w:tc>
        <w:tc>
          <w:tcPr>
            <w:tcW w:w="7087" w:type="dxa"/>
          </w:tcPr>
          <w:p w:rsidRPr="00C77862" w:rsidR="00773E8D" w:rsidP="00BE1F8F" w:rsidRDefault="00773E8D" w14:paraId="249491A9" w14:textId="3ED401E0">
            <w:pPr>
              <w:overflowPunct w:val="0"/>
              <w:autoSpaceDE w:val="0"/>
              <w:autoSpaceDN w:val="0"/>
              <w:adjustRightInd w:val="0"/>
              <w:textAlignment w:val="baseline"/>
              <w:rPr>
                <w:bCs/>
                <w:i/>
                <w:iCs/>
              </w:rPr>
            </w:pPr>
            <w:r>
              <w:rPr>
                <w:i/>
              </w:rPr>
              <w:t>Gerald Klec</w:t>
            </w:r>
          </w:p>
        </w:tc>
      </w:tr>
      <w:tr w:rsidRPr="00773E8D" w:rsidR="00773E8D" w:rsidTr="00247B9F" w14:paraId="2C039993" w14:textId="77777777">
        <w:tc>
          <w:tcPr>
            <w:tcW w:w="2093" w:type="dxa"/>
          </w:tcPr>
          <w:p w:rsidRPr="00773E8D" w:rsidR="00773E8D" w:rsidP="00BE1F8F" w:rsidRDefault="00773E8D" w14:paraId="3583AD71" w14:textId="77777777">
            <w:pPr>
              <w:overflowPunct w:val="0"/>
              <w:autoSpaceDE w:val="0"/>
              <w:autoSpaceDN w:val="0"/>
              <w:adjustRightInd w:val="0"/>
              <w:textAlignment w:val="baseline"/>
              <w:rPr>
                <w:i/>
              </w:rPr>
            </w:pPr>
            <w:r>
              <w:rPr>
                <w:i/>
              </w:rPr>
              <w:t>Tel.</w:t>
            </w:r>
          </w:p>
        </w:tc>
        <w:tc>
          <w:tcPr>
            <w:tcW w:w="7087" w:type="dxa"/>
          </w:tcPr>
          <w:p w:rsidRPr="00C77862" w:rsidR="00773E8D" w:rsidP="00BE1F8F" w:rsidRDefault="00773E8D" w14:paraId="17A18F4F" w14:textId="77777777">
            <w:pPr>
              <w:overflowPunct w:val="0"/>
              <w:autoSpaceDE w:val="0"/>
              <w:autoSpaceDN w:val="0"/>
              <w:adjustRightInd w:val="0"/>
              <w:textAlignment w:val="baseline"/>
              <w:rPr>
                <w:i/>
                <w:iCs/>
              </w:rPr>
            </w:pPr>
            <w:r>
              <w:rPr>
                <w:i/>
              </w:rPr>
              <w:t>+32 2 546 99 09</w:t>
            </w:r>
          </w:p>
        </w:tc>
      </w:tr>
      <w:tr w:rsidRPr="00773E8D" w:rsidR="00773E8D" w:rsidTr="00247B9F" w14:paraId="161B9255" w14:textId="77777777">
        <w:tc>
          <w:tcPr>
            <w:tcW w:w="2093" w:type="dxa"/>
          </w:tcPr>
          <w:p w:rsidRPr="00773E8D" w:rsidR="00773E8D" w:rsidP="00BE1F8F" w:rsidRDefault="00773E8D" w14:paraId="21276802" w14:textId="77777777">
            <w:pPr>
              <w:overflowPunct w:val="0"/>
              <w:autoSpaceDE w:val="0"/>
              <w:autoSpaceDN w:val="0"/>
              <w:adjustRightInd w:val="0"/>
              <w:textAlignment w:val="baseline"/>
              <w:rPr>
                <w:i/>
              </w:rPr>
            </w:pPr>
            <w:r>
              <w:rPr>
                <w:i/>
              </w:rPr>
              <w:t>Endereço eletrónico</w:t>
            </w:r>
          </w:p>
        </w:tc>
        <w:tc>
          <w:tcPr>
            <w:tcW w:w="7087" w:type="dxa"/>
          </w:tcPr>
          <w:p w:rsidRPr="00C77862" w:rsidR="00773E8D" w:rsidP="00BE1F8F" w:rsidRDefault="00C61EB1" w14:paraId="7FCDD2C3" w14:textId="2AECDE8E">
            <w:pPr>
              <w:overflowPunct w:val="0"/>
              <w:autoSpaceDE w:val="0"/>
              <w:autoSpaceDN w:val="0"/>
              <w:adjustRightInd w:val="0"/>
              <w:textAlignment w:val="baseline"/>
              <w:rPr>
                <w:i/>
                <w:iCs/>
              </w:rPr>
            </w:pPr>
            <w:hyperlink w:history="1" r:id="rId26">
              <w:r w:rsidR="00773E8D">
                <w:rPr>
                  <w:i/>
                  <w:iCs/>
                  <w:color w:val="0000FF"/>
                  <w:u w:val="single"/>
                </w:rPr>
                <w:t>Gerald.Klec@eesc.europa.eu</w:t>
              </w:r>
            </w:hyperlink>
          </w:p>
        </w:tc>
      </w:tr>
    </w:tbl>
    <w:p w:rsidR="009B199C" w:rsidP="00BE1F8F" w:rsidRDefault="009B199C" w14:paraId="26817FC4" w14:textId="77777777">
      <w:pPr>
        <w:jc w:val="left"/>
      </w:pPr>
      <w:r>
        <w:br w:type="page"/>
      </w:r>
    </w:p>
    <w:p w:rsidRPr="00BE1F8F" w:rsidR="009B199C" w:rsidP="00BE1F8F" w:rsidRDefault="00C61EB1" w14:paraId="510F45CA" w14:textId="58C2B1AF">
      <w:pPr>
        <w:widowControl w:val="0"/>
        <w:numPr>
          <w:ilvl w:val="0"/>
          <w:numId w:val="2"/>
        </w:numPr>
        <w:overflowPunct w:val="0"/>
        <w:autoSpaceDE w:val="0"/>
        <w:autoSpaceDN w:val="0"/>
        <w:adjustRightInd w:val="0"/>
        <w:ind w:hanging="567"/>
        <w:textAlignment w:val="baseline"/>
      </w:pPr>
      <w:hyperlink w:history="1" r:id="rId27">
        <w:r w:rsidR="00912887">
          <w:rPr>
            <w:b/>
            <w:i/>
            <w:color w:val="0000FF"/>
            <w:sz w:val="28"/>
            <w:u w:val="single"/>
          </w:rPr>
          <w:t>Reforçar a orientação para a obtenção de resultados da política de coesão após 2027 – desafios, r</w:t>
        </w:r>
        <w:r w:rsidR="00912887">
          <w:rPr>
            <w:b/>
            <w:i/>
            <w:color w:val="0000FF"/>
            <w:sz w:val="28"/>
            <w:u w:val="single"/>
          </w:rPr>
          <w:t>iscos e oportunidades</w:t>
        </w:r>
      </w:hyperlink>
    </w:p>
    <w:p w:rsidRPr="00BE1F8F" w:rsidR="009B199C" w:rsidP="00BE1F8F" w:rsidRDefault="009B199C" w14:paraId="51F52A14" w14:textId="77777777">
      <w:pPr>
        <w:widowControl w:val="0"/>
        <w:overflowPunct w:val="0"/>
        <w:autoSpaceDE w:val="0"/>
        <w:autoSpaceDN w:val="0"/>
        <w:adjustRightInd w:val="0"/>
        <w:ind w:left="283"/>
        <w:textAlignment w:val="baseline"/>
        <w:rPr>
          <w:b/>
          <w:i/>
          <w:iCs/>
          <w:sz w:val="12"/>
          <w:szCs w:val="12"/>
          <w:lang w:val="en-GB"/>
        </w:rPr>
      </w:pPr>
    </w:p>
    <w:tbl>
      <w:tblPr>
        <w:tblW w:w="0" w:type="auto"/>
        <w:tblLook w:val="04A0" w:firstRow="1" w:lastRow="0" w:firstColumn="1" w:lastColumn="0" w:noHBand="0" w:noVBand="1"/>
      </w:tblPr>
      <w:tblGrid>
        <w:gridCol w:w="1701"/>
        <w:gridCol w:w="7479"/>
      </w:tblGrid>
      <w:tr w:rsidRPr="00792ABA" w:rsidR="009B199C" w:rsidTr="00A3780E" w14:paraId="5BC5C730" w14:textId="77777777">
        <w:tc>
          <w:tcPr>
            <w:tcW w:w="1701" w:type="dxa"/>
          </w:tcPr>
          <w:p w:rsidRPr="00792ABA" w:rsidR="009B199C" w:rsidP="00BE1F8F" w:rsidRDefault="009B199C" w14:paraId="455C16FC" w14:textId="77777777">
            <w:pPr>
              <w:tabs>
                <w:tab w:val="center" w:pos="284"/>
              </w:tabs>
              <w:overflowPunct w:val="0"/>
              <w:autoSpaceDE w:val="0"/>
              <w:autoSpaceDN w:val="0"/>
              <w:adjustRightInd w:val="0"/>
              <w:ind w:left="266" w:hanging="266"/>
              <w:textAlignment w:val="baseline"/>
              <w:rPr>
                <w:b/>
              </w:rPr>
            </w:pPr>
            <w:r>
              <w:rPr>
                <w:b/>
              </w:rPr>
              <w:t>Relator</w:t>
            </w:r>
          </w:p>
          <w:p w:rsidRPr="00792ABA" w:rsidR="009B199C" w:rsidP="00BE1F8F" w:rsidRDefault="009B199C" w14:paraId="78EA9397" w14:textId="77777777">
            <w:pPr>
              <w:tabs>
                <w:tab w:val="center" w:pos="284"/>
              </w:tabs>
              <w:overflowPunct w:val="0"/>
              <w:autoSpaceDE w:val="0"/>
              <w:autoSpaceDN w:val="0"/>
              <w:adjustRightInd w:val="0"/>
              <w:ind w:left="266" w:hanging="266"/>
              <w:textAlignment w:val="baseline"/>
              <w:rPr>
                <w:b/>
              </w:rPr>
            </w:pPr>
            <w:r>
              <w:rPr>
                <w:b/>
              </w:rPr>
              <w:t>Correlator</w:t>
            </w:r>
          </w:p>
        </w:tc>
        <w:tc>
          <w:tcPr>
            <w:tcW w:w="7479" w:type="dxa"/>
          </w:tcPr>
          <w:p w:rsidRPr="009B596B" w:rsidR="009B199C" w:rsidP="00BE1F8F" w:rsidRDefault="009B199C" w14:paraId="5A2D0416" w14:textId="40276D4D">
            <w:pPr>
              <w:tabs>
                <w:tab w:val="center" w:pos="284"/>
              </w:tabs>
              <w:overflowPunct w:val="0"/>
              <w:autoSpaceDE w:val="0"/>
              <w:autoSpaceDN w:val="0"/>
              <w:adjustRightInd w:val="0"/>
              <w:ind w:left="266" w:hanging="266"/>
              <w:textAlignment w:val="baseline"/>
            </w:pPr>
            <w:r>
              <w:t>David Sventek (CZ – Grupo dos Empregadores)</w:t>
            </w:r>
          </w:p>
          <w:p w:rsidRPr="00792ABA" w:rsidR="005F41D0" w:rsidP="00BE1F8F" w:rsidRDefault="009B199C" w14:paraId="0C02A021" w14:textId="4BEC0AEE">
            <w:pPr>
              <w:tabs>
                <w:tab w:val="center" w:pos="284"/>
              </w:tabs>
              <w:overflowPunct w:val="0"/>
              <w:autoSpaceDE w:val="0"/>
              <w:autoSpaceDN w:val="0"/>
              <w:adjustRightInd w:val="0"/>
              <w:ind w:left="266" w:hanging="266"/>
              <w:textAlignment w:val="baseline"/>
              <w:rPr>
                <w:bCs/>
              </w:rPr>
            </w:pPr>
            <w:r>
              <w:t>Florian Marin (RO – Grupo dos Trabalhadores)</w:t>
            </w:r>
          </w:p>
        </w:tc>
      </w:tr>
      <w:tr w:rsidRPr="00792ABA" w:rsidR="009B199C" w:rsidTr="00A3780E" w14:paraId="4A10BF69" w14:textId="77777777">
        <w:tc>
          <w:tcPr>
            <w:tcW w:w="1701" w:type="dxa"/>
          </w:tcPr>
          <w:p w:rsidRPr="00792ABA" w:rsidR="009B199C" w:rsidP="00BE1F8F" w:rsidRDefault="009B199C" w14:paraId="4D7754ED" w14:textId="396C246D">
            <w:pPr>
              <w:tabs>
                <w:tab w:val="center" w:pos="284"/>
              </w:tabs>
              <w:overflowPunct w:val="0"/>
              <w:autoSpaceDE w:val="0"/>
              <w:autoSpaceDN w:val="0"/>
              <w:adjustRightInd w:val="0"/>
              <w:ind w:left="266" w:hanging="266"/>
              <w:textAlignment w:val="baseline"/>
              <w:rPr>
                <w:b/>
              </w:rPr>
            </w:pPr>
            <w:r>
              <w:rPr>
                <w:b/>
              </w:rPr>
              <w:t>Referência</w:t>
            </w:r>
          </w:p>
        </w:tc>
        <w:tc>
          <w:tcPr>
            <w:tcW w:w="7479" w:type="dxa"/>
          </w:tcPr>
          <w:p w:rsidRPr="00792ABA" w:rsidR="009B199C" w:rsidP="00BE1F8F" w:rsidRDefault="009B199C" w14:paraId="7601F5CA" w14:textId="00E8D08D">
            <w:pPr>
              <w:overflowPunct w:val="0"/>
              <w:autoSpaceDE w:val="0"/>
              <w:autoSpaceDN w:val="0"/>
              <w:adjustRightInd w:val="0"/>
              <w:ind w:left="266" w:hanging="266"/>
              <w:textAlignment w:val="baseline"/>
            </w:pPr>
            <w:r>
              <w:t>Parecer exploratório a pedido da Presidência polaca do Conselho da UE</w:t>
            </w:r>
          </w:p>
          <w:p w:rsidRPr="00792ABA" w:rsidR="009B199C" w:rsidP="00BE1F8F" w:rsidRDefault="009B199C" w14:paraId="443F4397" w14:textId="7E955EB3">
            <w:pPr>
              <w:overflowPunct w:val="0"/>
              <w:autoSpaceDE w:val="0"/>
              <w:autoSpaceDN w:val="0"/>
              <w:adjustRightInd w:val="0"/>
              <w:ind w:left="266" w:hanging="266"/>
              <w:textAlignment w:val="baseline"/>
            </w:pPr>
            <w:r>
              <w:t>EESC-2024-03481-00-00-AC</w:t>
            </w:r>
          </w:p>
        </w:tc>
      </w:tr>
    </w:tbl>
    <w:p w:rsidRPr="00C43D3E" w:rsidR="009B199C" w:rsidP="00BE1F8F" w:rsidRDefault="009B199C" w14:paraId="7F8C0AE3"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792ABA" w:rsidR="009B199C" w:rsidP="00BE1F8F" w:rsidRDefault="009B199C" w14:paraId="3A8AAE4F"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C43D3E" w:rsidR="009B199C" w:rsidP="00BE1F8F" w:rsidRDefault="009B199C" w14:paraId="754DF2AC"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9B199C" w:rsidP="00BE1F8F" w:rsidRDefault="009B199C" w14:paraId="4A63B8DB" w14:textId="77777777">
      <w:pPr>
        <w:keepNext/>
        <w:keepLines/>
        <w:tabs>
          <w:tab w:val="center" w:pos="284"/>
        </w:tabs>
        <w:overflowPunct w:val="0"/>
        <w:autoSpaceDE w:val="0"/>
        <w:autoSpaceDN w:val="0"/>
        <w:adjustRightInd w:val="0"/>
        <w:ind w:left="266" w:hanging="266"/>
        <w:textAlignment w:val="baseline"/>
        <w:rPr>
          <w:bCs/>
          <w:iCs/>
          <w:szCs w:val="20"/>
        </w:rPr>
      </w:pPr>
      <w:r>
        <w:t>O Comité Económico e Social Europeu:</w:t>
      </w:r>
    </w:p>
    <w:p w:rsidRPr="00792ABA" w:rsidR="009B199C" w:rsidP="00BE1F8F" w:rsidRDefault="009B199C" w14:paraId="6EB77383" w14:textId="77777777">
      <w:pPr>
        <w:keepNext/>
        <w:keepLines/>
        <w:numPr>
          <w:ilvl w:val="0"/>
          <w:numId w:val="22"/>
        </w:numPr>
        <w:overflowPunct w:val="0"/>
        <w:autoSpaceDE w:val="0"/>
        <w:autoSpaceDN w:val="0"/>
        <w:adjustRightInd w:val="0"/>
        <w:ind w:left="284" w:hanging="284"/>
        <w:contextualSpacing/>
        <w:textAlignment w:val="baseline"/>
        <w:rPr>
          <w:bCs/>
          <w:iCs/>
        </w:rPr>
      </w:pPr>
      <w:r>
        <w:t>apoia firmemente a prossecução da política de coesão da UE, considerando que assenta em motivos claros, racionais e legítimos. Por outro lado, reconhece que a política de coesão tem de ser modernizada e ajustada, refletindo as tendências e as necessidades de desenvolvimento;</w:t>
      </w:r>
    </w:p>
    <w:p w:rsidRPr="00792ABA" w:rsidR="009B199C" w:rsidP="00BE1F8F" w:rsidRDefault="009B199C" w14:paraId="0ED74D26" w14:textId="77777777">
      <w:pPr>
        <w:keepNext/>
        <w:keepLines/>
        <w:numPr>
          <w:ilvl w:val="0"/>
          <w:numId w:val="22"/>
        </w:numPr>
        <w:overflowPunct w:val="0"/>
        <w:autoSpaceDE w:val="0"/>
        <w:autoSpaceDN w:val="0"/>
        <w:adjustRightInd w:val="0"/>
        <w:ind w:left="284" w:hanging="284"/>
        <w:contextualSpacing/>
        <w:textAlignment w:val="baseline"/>
        <w:rPr>
          <w:rFonts w:ascii="Calibri" w:hAnsi="Calibri"/>
          <w:bCs/>
          <w:iCs/>
        </w:rPr>
      </w:pPr>
      <w:r>
        <w:t>considera que a parte do orçamento da UE atualmente destinada à política de coesão não deve ser reduzida no próximo Quadro Financeiro Plurianual, mas sim aumentada;</w:t>
      </w:r>
    </w:p>
    <w:p w:rsidRPr="00792ABA" w:rsidR="009B199C" w:rsidP="00BE1F8F" w:rsidRDefault="009B199C" w14:paraId="74B75549" w14:textId="77777777">
      <w:pPr>
        <w:numPr>
          <w:ilvl w:val="0"/>
          <w:numId w:val="22"/>
        </w:numPr>
        <w:overflowPunct w:val="0"/>
        <w:autoSpaceDE w:val="0"/>
        <w:autoSpaceDN w:val="0"/>
        <w:adjustRightInd w:val="0"/>
        <w:ind w:left="284" w:hanging="284"/>
        <w:contextualSpacing/>
        <w:textAlignment w:val="baseline"/>
        <w:rPr>
          <w:bCs/>
          <w:iCs/>
        </w:rPr>
      </w:pPr>
      <w:r>
        <w:t>recomenda que, no futuro, a política de coesão seja gerida de acordo com os seguintes princípios: parceria (incluindo o contributo ativo da sociedade civil organizada); gestão partilhada (participação equilibrada dos órgãos de poder da UE, nacionais e regionais); governação a vários níveis (incluindo os órgãos de poder e as partes interessadas a nível regional, municipal e local); uma abordagem de base local (aplicando uma abordagem ascendente); concentração temática (interligada através do processo do Semestre Europeu); orientação territorial (também assente nas especificidades regionais); orientação para os resultados (benefícios reais e quantificados); simplificação (das regras e dos procedimentos) e condicionalidades sociais para os investimentos financiados;</w:t>
      </w:r>
    </w:p>
    <w:p w:rsidRPr="00792ABA" w:rsidR="009B199C" w:rsidP="00BE1F8F" w:rsidRDefault="009B199C" w14:paraId="384FD159" w14:textId="77777777">
      <w:pPr>
        <w:numPr>
          <w:ilvl w:val="0"/>
          <w:numId w:val="22"/>
        </w:numPr>
        <w:overflowPunct w:val="0"/>
        <w:autoSpaceDE w:val="0"/>
        <w:autoSpaceDN w:val="0"/>
        <w:adjustRightInd w:val="0"/>
        <w:ind w:left="284" w:hanging="284"/>
        <w:contextualSpacing/>
        <w:textAlignment w:val="baseline"/>
        <w:rPr>
          <w:bCs/>
          <w:iCs/>
        </w:rPr>
      </w:pPr>
      <w:r>
        <w:t>considera que uma futura política de coesão orientada para os resultados deve ter claramente em conta os desafios geopolíticos, investir no reforço das capacidades e consolidar o princípio da parceria;</w:t>
      </w:r>
    </w:p>
    <w:p w:rsidRPr="00792ABA" w:rsidR="009B199C" w:rsidP="00BE1F8F" w:rsidRDefault="009B199C" w14:paraId="691F18AC" w14:textId="77777777">
      <w:pPr>
        <w:numPr>
          <w:ilvl w:val="0"/>
          <w:numId w:val="22"/>
        </w:numPr>
        <w:overflowPunct w:val="0"/>
        <w:autoSpaceDE w:val="0"/>
        <w:autoSpaceDN w:val="0"/>
        <w:adjustRightInd w:val="0"/>
        <w:ind w:left="284" w:hanging="284"/>
        <w:contextualSpacing/>
        <w:textAlignment w:val="baseline"/>
        <w:rPr>
          <w:bCs/>
          <w:iCs/>
        </w:rPr>
      </w:pPr>
      <w:r>
        <w:t>salienta que fazer de uma abordagem assente nos resultados um princípio fundamental contribuirá para uma afetação mais eficiente dos recursos limitados da política de coesão e trará benefícios visíveis e transparentes;</w:t>
      </w:r>
    </w:p>
    <w:p w:rsidRPr="00792ABA" w:rsidR="009B199C" w:rsidP="00BE1F8F" w:rsidRDefault="009B199C" w14:paraId="69027A6A" w14:textId="77777777">
      <w:pPr>
        <w:numPr>
          <w:ilvl w:val="0"/>
          <w:numId w:val="22"/>
        </w:numPr>
        <w:overflowPunct w:val="0"/>
        <w:autoSpaceDE w:val="0"/>
        <w:autoSpaceDN w:val="0"/>
        <w:adjustRightInd w:val="0"/>
        <w:ind w:left="284" w:hanging="284"/>
        <w:contextualSpacing/>
        <w:textAlignment w:val="baseline"/>
        <w:rPr>
          <w:bCs/>
          <w:iCs/>
        </w:rPr>
      </w:pPr>
      <w:r>
        <w:t>considera que as obrigações decorrentes da introdução de uma abordagem assente nos resultados não devem ser acrescentadas aos processos de controlo e de auditoria existentes para verificar a eficácia, a eficiência e a economia das despesas com projetos financiados pelos fundos no âmbito da política de coesão;</w:t>
      </w:r>
    </w:p>
    <w:p w:rsidRPr="00792ABA" w:rsidR="009B199C" w:rsidP="00BE1F8F" w:rsidRDefault="009B199C" w14:paraId="1F1F1EFC" w14:textId="77777777">
      <w:pPr>
        <w:numPr>
          <w:ilvl w:val="0"/>
          <w:numId w:val="22"/>
        </w:numPr>
        <w:overflowPunct w:val="0"/>
        <w:autoSpaceDE w:val="0"/>
        <w:autoSpaceDN w:val="0"/>
        <w:adjustRightInd w:val="0"/>
        <w:ind w:left="284" w:hanging="284"/>
        <w:contextualSpacing/>
        <w:textAlignment w:val="baseline"/>
        <w:rPr>
          <w:bCs/>
          <w:iCs/>
        </w:rPr>
      </w:pPr>
      <w:r>
        <w:t>está profundamente convicto de que, apesar de todas as alterações necessárias ao conteúdo e à orientação da política de coesão, esta deve continuar a ter no seu cerne as regiões e as suas necessidades específicas de desenvolvimento e resiliência, procurando simultaneamente reduzir as desigualdades;</w:t>
      </w:r>
    </w:p>
    <w:p w:rsidRPr="00792ABA" w:rsidR="009B199C" w:rsidP="00BE1F8F" w:rsidRDefault="009B199C" w14:paraId="07F4614C" w14:textId="77777777">
      <w:pPr>
        <w:numPr>
          <w:ilvl w:val="0"/>
          <w:numId w:val="22"/>
        </w:numPr>
        <w:overflowPunct w:val="0"/>
        <w:autoSpaceDE w:val="0"/>
        <w:autoSpaceDN w:val="0"/>
        <w:adjustRightInd w:val="0"/>
        <w:ind w:left="284" w:hanging="284"/>
        <w:contextualSpacing/>
        <w:textAlignment w:val="baseline"/>
        <w:rPr>
          <w:bCs/>
          <w:iCs/>
        </w:rPr>
      </w:pPr>
      <w:r>
        <w:t xml:space="preserve">considera que se deve prestar mais atenção aos investimentos sociais – incluindo a habitação – enquanto ingredientes estruturais do desenvolvimento territorial, ao acesso a serviços públicos de qualidade e aos desafios demográficos; </w:t>
      </w:r>
    </w:p>
    <w:p w:rsidRPr="00792ABA" w:rsidR="009B199C" w:rsidP="00BE1F8F" w:rsidRDefault="009B199C" w14:paraId="4545597B" w14:textId="77777777">
      <w:pPr>
        <w:numPr>
          <w:ilvl w:val="0"/>
          <w:numId w:val="22"/>
        </w:numPr>
        <w:overflowPunct w:val="0"/>
        <w:autoSpaceDE w:val="0"/>
        <w:autoSpaceDN w:val="0"/>
        <w:adjustRightInd w:val="0"/>
        <w:ind w:left="284" w:hanging="284"/>
        <w:contextualSpacing/>
        <w:textAlignment w:val="baseline"/>
        <w:rPr>
          <w:bCs/>
          <w:iCs/>
        </w:rPr>
      </w:pPr>
      <w:r>
        <w:t>recomenda a criação de um ambiente político transparente, que defina claramente o papel de partes interessadas específicas, incluindo os representantes da sociedade civil organizada;</w:t>
      </w:r>
    </w:p>
    <w:p w:rsidRPr="00C43D3E" w:rsidR="009B199C" w:rsidP="00BE1F8F" w:rsidRDefault="009B199C" w14:paraId="1086985B" w14:textId="77777777">
      <w:pPr>
        <w:numPr>
          <w:ilvl w:val="0"/>
          <w:numId w:val="22"/>
        </w:numPr>
        <w:overflowPunct w:val="0"/>
        <w:autoSpaceDE w:val="0"/>
        <w:autoSpaceDN w:val="0"/>
        <w:adjustRightInd w:val="0"/>
        <w:ind w:left="284" w:hanging="284"/>
        <w:contextualSpacing/>
        <w:textAlignment w:val="baseline"/>
        <w:rPr>
          <w:bCs/>
          <w:iCs/>
          <w:spacing w:val="-2"/>
        </w:rPr>
      </w:pPr>
      <w:r>
        <w:t>está ciente da complexidade do sistema e destaca a necessidade de aumentar significativamente a sua simplicidade e transparência;</w:t>
      </w:r>
    </w:p>
    <w:p w:rsidRPr="00792ABA" w:rsidR="009B199C" w:rsidP="00BE1F8F" w:rsidRDefault="009B199C" w14:paraId="168F9847" w14:textId="77777777">
      <w:pPr>
        <w:numPr>
          <w:ilvl w:val="0"/>
          <w:numId w:val="22"/>
        </w:numPr>
        <w:overflowPunct w:val="0"/>
        <w:autoSpaceDE w:val="0"/>
        <w:autoSpaceDN w:val="0"/>
        <w:adjustRightInd w:val="0"/>
        <w:ind w:left="284" w:hanging="284"/>
        <w:contextualSpacing/>
        <w:textAlignment w:val="baseline"/>
        <w:rPr>
          <w:rFonts w:ascii="Calibri" w:hAnsi="Calibri"/>
          <w:bCs/>
          <w:iCs/>
        </w:rPr>
      </w:pPr>
      <w:r>
        <w:lastRenderedPageBreak/>
        <w:t>sublinha que, sobretudo no período atual e futuro de desenvolvimento económico e social na UE, a convergência e a competitividade sustentável não são conceitos opostos.</w:t>
      </w:r>
    </w:p>
    <w:p w:rsidR="009B199C" w:rsidP="00BE1F8F" w:rsidRDefault="009B199C" w14:paraId="1DD19EA2" w14:textId="66A2333D">
      <w:pPr>
        <w:ind w:left="360"/>
        <w:contextualSpacing/>
        <w:rPr>
          <w:rFonts w:ascii="Calibri" w:hAnsi="Calibri"/>
          <w:bCs/>
          <w:iCs/>
          <w:sz w:val="16"/>
          <w:szCs w:val="16"/>
          <w:lang w:val="en-GB" w:eastAsia="zh-CN"/>
        </w:rPr>
      </w:pPr>
    </w:p>
    <w:tbl>
      <w:tblPr>
        <w:tblW w:w="9322" w:type="dxa"/>
        <w:tblLook w:val="04A0" w:firstRow="1" w:lastRow="0" w:firstColumn="1" w:lastColumn="0" w:noHBand="0" w:noVBand="1"/>
      </w:tblPr>
      <w:tblGrid>
        <w:gridCol w:w="2093"/>
        <w:gridCol w:w="7229"/>
      </w:tblGrid>
      <w:tr w:rsidRPr="00792ABA" w:rsidR="00E14D8E" w:rsidTr="00247B9F" w14:paraId="6547EFA9" w14:textId="77777777">
        <w:tc>
          <w:tcPr>
            <w:tcW w:w="2093" w:type="dxa"/>
          </w:tcPr>
          <w:p w:rsidRPr="00792ABA" w:rsidR="00E14D8E" w:rsidP="00BE1F8F" w:rsidRDefault="00E14D8E" w14:paraId="4258610F" w14:textId="77777777">
            <w:pPr>
              <w:overflowPunct w:val="0"/>
              <w:autoSpaceDE w:val="0"/>
              <w:autoSpaceDN w:val="0"/>
              <w:adjustRightInd w:val="0"/>
              <w:textAlignment w:val="baseline"/>
              <w:rPr>
                <w:i/>
              </w:rPr>
            </w:pPr>
            <w:r>
              <w:rPr>
                <w:b/>
                <w:i/>
              </w:rPr>
              <w:t>Contacto</w:t>
            </w:r>
          </w:p>
        </w:tc>
        <w:tc>
          <w:tcPr>
            <w:tcW w:w="7229" w:type="dxa"/>
          </w:tcPr>
          <w:p w:rsidRPr="00792ABA" w:rsidR="00E14D8E" w:rsidP="00BE1F8F" w:rsidRDefault="00E14D8E" w14:paraId="5390638D" w14:textId="77777777">
            <w:pPr>
              <w:overflowPunct w:val="0"/>
              <w:autoSpaceDE w:val="0"/>
              <w:autoSpaceDN w:val="0"/>
              <w:adjustRightInd w:val="0"/>
              <w:textAlignment w:val="baseline"/>
              <w:rPr>
                <w:i/>
              </w:rPr>
            </w:pPr>
            <w:r>
              <w:rPr>
                <w:i/>
              </w:rPr>
              <w:t>Georgios Meleas</w:t>
            </w:r>
          </w:p>
        </w:tc>
      </w:tr>
      <w:tr w:rsidRPr="00792ABA" w:rsidR="00E14D8E" w:rsidTr="00247B9F" w14:paraId="5F576F6C" w14:textId="77777777">
        <w:tc>
          <w:tcPr>
            <w:tcW w:w="2093" w:type="dxa"/>
          </w:tcPr>
          <w:p w:rsidRPr="00792ABA" w:rsidR="00E14D8E" w:rsidP="00BE1F8F" w:rsidRDefault="00E14D8E" w14:paraId="13C225A0" w14:textId="77777777">
            <w:pPr>
              <w:overflowPunct w:val="0"/>
              <w:autoSpaceDE w:val="0"/>
              <w:autoSpaceDN w:val="0"/>
              <w:adjustRightInd w:val="0"/>
              <w:textAlignment w:val="baseline"/>
              <w:rPr>
                <w:i/>
              </w:rPr>
            </w:pPr>
            <w:r>
              <w:rPr>
                <w:i/>
              </w:rPr>
              <w:t>Tel.</w:t>
            </w:r>
          </w:p>
        </w:tc>
        <w:tc>
          <w:tcPr>
            <w:tcW w:w="7229" w:type="dxa"/>
          </w:tcPr>
          <w:p w:rsidRPr="00792ABA" w:rsidR="00E14D8E" w:rsidP="00BE1F8F" w:rsidRDefault="00E14D8E" w14:paraId="1A2A2EF0" w14:textId="77777777">
            <w:pPr>
              <w:overflowPunct w:val="0"/>
              <w:autoSpaceDE w:val="0"/>
              <w:autoSpaceDN w:val="0"/>
              <w:adjustRightInd w:val="0"/>
              <w:textAlignment w:val="baseline"/>
              <w:rPr>
                <w:i/>
              </w:rPr>
            </w:pPr>
            <w:r>
              <w:rPr>
                <w:i/>
              </w:rPr>
              <w:t>+32 2 546 97 95</w:t>
            </w:r>
          </w:p>
        </w:tc>
      </w:tr>
      <w:tr w:rsidRPr="00792ABA" w:rsidR="00E14D8E" w:rsidTr="00247B9F" w14:paraId="243EA6DE" w14:textId="77777777">
        <w:tc>
          <w:tcPr>
            <w:tcW w:w="2093" w:type="dxa"/>
          </w:tcPr>
          <w:p w:rsidRPr="00792ABA" w:rsidR="00E14D8E" w:rsidP="00BE1F8F" w:rsidRDefault="00E14D8E" w14:paraId="385A71F4" w14:textId="77777777">
            <w:pPr>
              <w:overflowPunct w:val="0"/>
              <w:autoSpaceDE w:val="0"/>
              <w:autoSpaceDN w:val="0"/>
              <w:adjustRightInd w:val="0"/>
              <w:textAlignment w:val="baseline"/>
              <w:rPr>
                <w:i/>
              </w:rPr>
            </w:pPr>
            <w:r>
              <w:rPr>
                <w:i/>
              </w:rPr>
              <w:t>Endereço eletrónico</w:t>
            </w:r>
          </w:p>
        </w:tc>
        <w:tc>
          <w:tcPr>
            <w:tcW w:w="7229" w:type="dxa"/>
          </w:tcPr>
          <w:p w:rsidRPr="00792ABA" w:rsidR="00E14D8E" w:rsidP="00BE1F8F" w:rsidRDefault="00C61EB1" w14:paraId="00D270D1" w14:textId="77777777">
            <w:pPr>
              <w:overflowPunct w:val="0"/>
              <w:autoSpaceDE w:val="0"/>
              <w:autoSpaceDN w:val="0"/>
              <w:adjustRightInd w:val="0"/>
              <w:textAlignment w:val="baseline"/>
              <w:rPr>
                <w:i/>
                <w:iCs/>
              </w:rPr>
            </w:pPr>
            <w:hyperlink w:history="1" r:id="rId28">
              <w:r w:rsidR="00912887">
                <w:rPr>
                  <w:i/>
                  <w:color w:val="0000FF"/>
                  <w:u w:val="single"/>
                </w:rPr>
                <w:t>Georgios.Meleas@eesc.europa.eu</w:t>
              </w:r>
            </w:hyperlink>
          </w:p>
        </w:tc>
      </w:tr>
    </w:tbl>
    <w:p w:rsidR="00E14D8E" w:rsidP="00BE1F8F" w:rsidRDefault="00E14D8E" w14:paraId="14382163" w14:textId="77777777">
      <w:pPr>
        <w:jc w:val="left"/>
        <w:rPr>
          <w:rFonts w:ascii="Calibri" w:hAnsi="Calibri"/>
          <w:bCs/>
          <w:iCs/>
          <w:sz w:val="16"/>
          <w:szCs w:val="16"/>
        </w:rPr>
      </w:pPr>
      <w:r>
        <w:br w:type="page"/>
      </w:r>
    </w:p>
    <w:p w:rsidR="004D7AC0" w:rsidP="00BE1F8F" w:rsidRDefault="004D7AC0" w14:paraId="4982DD99" w14:textId="77777777">
      <w:pPr>
        <w:pStyle w:val="Heading1"/>
        <w:keepNext/>
        <w:keepLines/>
        <w:rPr>
          <w:b/>
        </w:rPr>
      </w:pPr>
      <w:bookmarkStart w:name="_Toc192059218" w:id="1"/>
      <w:bookmarkStart w:name="_Toc192059438" w:id="2"/>
      <w:bookmarkStart w:name="_Toc192060291" w:id="3"/>
      <w:bookmarkStart w:name="_Toc192060608" w:id="4"/>
      <w:bookmarkStart w:name="_Toc192059219" w:id="5"/>
      <w:bookmarkStart w:name="_Toc192059439" w:id="6"/>
      <w:bookmarkStart w:name="_Toc192060292" w:id="7"/>
      <w:bookmarkStart w:name="_Toc192060609" w:id="8"/>
      <w:bookmarkStart w:name="_Toc75527081" w:id="9"/>
      <w:bookmarkStart w:name="_Toc192751485" w:id="10"/>
      <w:bookmarkEnd w:id="1"/>
      <w:bookmarkEnd w:id="2"/>
      <w:bookmarkEnd w:id="3"/>
      <w:bookmarkEnd w:id="4"/>
      <w:bookmarkEnd w:id="5"/>
      <w:bookmarkEnd w:id="6"/>
      <w:bookmarkEnd w:id="7"/>
      <w:bookmarkEnd w:id="8"/>
      <w:r>
        <w:rPr>
          <w:b/>
        </w:rPr>
        <w:lastRenderedPageBreak/>
        <w:t>EMPREGO, ASSUNTOS SOCIAIS E CIDADANIA</w:t>
      </w:r>
      <w:bookmarkEnd w:id="9"/>
      <w:bookmarkEnd w:id="10"/>
    </w:p>
    <w:p w:rsidR="004D7AC0" w:rsidP="00BE1F8F" w:rsidRDefault="004D7AC0" w14:paraId="4982DD9A" w14:textId="77777777">
      <w:pPr>
        <w:keepNext/>
        <w:keepLines/>
      </w:pPr>
    </w:p>
    <w:p w:rsidRPr="00B4456F" w:rsidR="005820A0" w:rsidP="00BE1F8F" w:rsidRDefault="00C61EB1" w14:paraId="1351645C" w14:textId="5889E847">
      <w:pPr>
        <w:widowControl w:val="0"/>
        <w:numPr>
          <w:ilvl w:val="0"/>
          <w:numId w:val="10"/>
        </w:numPr>
        <w:overflowPunct w:val="0"/>
        <w:autoSpaceDE w:val="0"/>
        <w:autoSpaceDN w:val="0"/>
        <w:adjustRightInd w:val="0"/>
        <w:ind w:left="567" w:hanging="567"/>
        <w:textAlignment w:val="baseline"/>
        <w:rPr>
          <w:sz w:val="24"/>
          <w:szCs w:val="24"/>
        </w:rPr>
      </w:pPr>
      <w:hyperlink w:history="1" r:id="rId29">
        <w:r w:rsidR="00912887">
          <w:rPr>
            <w:rStyle w:val="Hyperlink"/>
            <w:b/>
            <w:i/>
            <w:sz w:val="28"/>
          </w:rPr>
          <w:t>Combater a solidão: medidas</w:t>
        </w:r>
        <w:r w:rsidR="00912887">
          <w:rPr>
            <w:rStyle w:val="Hyperlink"/>
            <w:b/>
            <w:i/>
            <w:sz w:val="28"/>
          </w:rPr>
          <w:t xml:space="preserve"> de consolidação da coesão demográfica</w:t>
        </w:r>
      </w:hyperlink>
    </w:p>
    <w:p w:rsidRPr="00B4456F" w:rsidR="005820A0" w:rsidP="00BE1F8F" w:rsidRDefault="005820A0" w14:paraId="3483E009"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07"/>
        <w:gridCol w:w="7573"/>
      </w:tblGrid>
      <w:tr w:rsidRPr="00203319" w:rsidR="005820A0" w:rsidTr="00A3780E" w14:paraId="67BD490D" w14:textId="77777777">
        <w:tc>
          <w:tcPr>
            <w:tcW w:w="1607" w:type="dxa"/>
          </w:tcPr>
          <w:p w:rsidRPr="00203319" w:rsidR="005820A0" w:rsidP="00BE1F8F" w:rsidRDefault="005820A0" w14:paraId="42367F1A" w14:textId="701C1F82">
            <w:pPr>
              <w:tabs>
                <w:tab w:val="center" w:pos="284"/>
              </w:tabs>
              <w:ind w:left="266" w:hanging="266"/>
              <w:rPr>
                <w:b/>
              </w:rPr>
            </w:pPr>
            <w:r w:rsidRPr="00203319">
              <w:rPr>
                <w:b/>
              </w:rPr>
              <w:t>Relator</w:t>
            </w:r>
          </w:p>
        </w:tc>
        <w:tc>
          <w:tcPr>
            <w:tcW w:w="7573" w:type="dxa"/>
          </w:tcPr>
          <w:p w:rsidRPr="00203319" w:rsidR="005820A0" w:rsidP="00BE1F8F" w:rsidRDefault="005820A0" w14:paraId="3FB6ED60" w14:textId="3DA0CD80">
            <w:pPr>
              <w:tabs>
                <w:tab w:val="center" w:pos="284"/>
              </w:tabs>
              <w:ind w:left="266" w:hanging="266"/>
            </w:pPr>
            <w:r w:rsidRPr="00203319">
              <w:t>Miguel Ángel Cabra de Luna (ES – Grupo das Organizações da Sociedade Civil)</w:t>
            </w:r>
          </w:p>
        </w:tc>
      </w:tr>
      <w:tr w:rsidRPr="00203319" w:rsidR="005820A0" w:rsidTr="00A3780E" w14:paraId="6076883C" w14:textId="77777777">
        <w:tc>
          <w:tcPr>
            <w:tcW w:w="1607" w:type="dxa"/>
            <w:vMerge w:val="restart"/>
          </w:tcPr>
          <w:p w:rsidRPr="00203319" w:rsidR="005820A0" w:rsidP="00BE1F8F" w:rsidRDefault="005820A0" w14:paraId="544AEDE8" w14:textId="4C4437C3">
            <w:pPr>
              <w:tabs>
                <w:tab w:val="center" w:pos="284"/>
              </w:tabs>
              <w:ind w:left="266" w:hanging="266"/>
              <w:rPr>
                <w:b/>
              </w:rPr>
            </w:pPr>
            <w:r w:rsidRPr="00203319">
              <w:rPr>
                <w:b/>
              </w:rPr>
              <w:t>Referência</w:t>
            </w:r>
          </w:p>
        </w:tc>
        <w:tc>
          <w:tcPr>
            <w:tcW w:w="7573" w:type="dxa"/>
          </w:tcPr>
          <w:p w:rsidRPr="00203319" w:rsidR="005820A0" w:rsidP="00BE1F8F" w:rsidRDefault="005820A0" w14:paraId="5995BCBD" w14:textId="77777777">
            <w:pPr>
              <w:tabs>
                <w:tab w:val="center" w:pos="284"/>
              </w:tabs>
              <w:ind w:left="266" w:hanging="266"/>
            </w:pPr>
            <w:r w:rsidRPr="00203319">
              <w:t>Parecer de iniciativa</w:t>
            </w:r>
          </w:p>
        </w:tc>
      </w:tr>
      <w:tr w:rsidRPr="00203319" w:rsidR="005820A0" w:rsidTr="00A3780E" w14:paraId="4CBB60AE" w14:textId="77777777">
        <w:tc>
          <w:tcPr>
            <w:tcW w:w="1607" w:type="dxa"/>
            <w:vMerge/>
          </w:tcPr>
          <w:p w:rsidRPr="00203319" w:rsidR="005820A0" w:rsidP="00BE1F8F" w:rsidRDefault="005820A0" w14:paraId="3E553D04" w14:textId="77777777">
            <w:pPr>
              <w:tabs>
                <w:tab w:val="center" w:pos="284"/>
              </w:tabs>
              <w:ind w:left="266" w:hanging="266"/>
              <w:rPr>
                <w:b/>
              </w:rPr>
            </w:pPr>
          </w:p>
        </w:tc>
        <w:tc>
          <w:tcPr>
            <w:tcW w:w="7573" w:type="dxa"/>
          </w:tcPr>
          <w:p w:rsidRPr="00203319" w:rsidR="005820A0" w:rsidP="00BE1F8F" w:rsidRDefault="005820A0" w14:paraId="67128669" w14:textId="77777777">
            <w:pPr>
              <w:tabs>
                <w:tab w:val="center" w:pos="284"/>
              </w:tabs>
              <w:ind w:left="266" w:hanging="266"/>
            </w:pPr>
            <w:r w:rsidRPr="00203319">
              <w:t>EESC-2024-03264-00-00-AC</w:t>
            </w:r>
          </w:p>
        </w:tc>
      </w:tr>
    </w:tbl>
    <w:p w:rsidRPr="00B4456F" w:rsidR="005820A0" w:rsidP="00BE1F8F" w:rsidRDefault="005820A0" w14:paraId="4B78DAB0" w14:textId="77777777">
      <w:pPr>
        <w:tabs>
          <w:tab w:val="center" w:pos="284"/>
        </w:tabs>
        <w:ind w:left="266" w:hanging="266"/>
      </w:pPr>
    </w:p>
    <w:p w:rsidRPr="00B4456F" w:rsidR="005820A0" w:rsidP="00BE1F8F" w:rsidRDefault="005820A0" w14:paraId="766A65DB" w14:textId="77777777">
      <w:pPr>
        <w:keepNext/>
        <w:keepLines/>
        <w:tabs>
          <w:tab w:val="center" w:pos="284"/>
        </w:tabs>
        <w:ind w:left="266" w:hanging="266"/>
        <w:rPr>
          <w:b/>
        </w:rPr>
      </w:pPr>
      <w:r>
        <w:rPr>
          <w:b/>
        </w:rPr>
        <w:t>Pontos principais</w:t>
      </w:r>
    </w:p>
    <w:p w:rsidRPr="00B4456F" w:rsidR="005820A0" w:rsidP="00BE1F8F" w:rsidRDefault="005820A0" w14:paraId="6AD26D2E" w14:textId="77777777">
      <w:pPr>
        <w:keepNext/>
        <w:keepLines/>
        <w:tabs>
          <w:tab w:val="center" w:pos="284"/>
        </w:tabs>
        <w:ind w:left="266" w:hanging="266"/>
        <w:rPr>
          <w:b/>
        </w:rPr>
      </w:pPr>
    </w:p>
    <w:p w:rsidRPr="00B4456F" w:rsidR="005820A0" w:rsidP="00BE1F8F" w:rsidRDefault="005820A0" w14:paraId="25B369D6" w14:textId="77777777">
      <w:pPr>
        <w:rPr>
          <w:bCs/>
          <w:iCs/>
        </w:rPr>
      </w:pPr>
      <w:r>
        <w:t>O Comité Económico e Social Europeu:</w:t>
      </w:r>
    </w:p>
    <w:p w:rsidRPr="00393DF5" w:rsidR="005820A0" w:rsidP="00BE1F8F" w:rsidRDefault="005820A0" w14:paraId="6EEFEE69" w14:textId="77777777">
      <w:pPr>
        <w:widowControl w:val="0"/>
        <w:numPr>
          <w:ilvl w:val="0"/>
          <w:numId w:val="23"/>
        </w:numPr>
        <w:overflowPunct w:val="0"/>
        <w:autoSpaceDE w:val="0"/>
        <w:autoSpaceDN w:val="0"/>
        <w:adjustRightInd w:val="0"/>
        <w:ind w:left="284" w:hanging="284"/>
        <w:textAlignment w:val="baseline"/>
      </w:pPr>
      <w:r>
        <w:t>solicita à Comissão Europeia que adote no seu mandato 2025-2029 uma estratégia europeia centrada na solidão, a fim de consolidar os conhecimentos sobre esta matéria, analisar e avaliar as medidas existentes, integrar uma abordagem interseccional nas medidas, tratar as causas através de uma abordagem preventiva, sensibilizar e eliminar o estigma, aliviar a pressão sobre os sistemas de saúde e mobilizar apoio financeiro;</w:t>
      </w:r>
    </w:p>
    <w:p w:rsidRPr="00393DF5" w:rsidR="005820A0" w:rsidP="00BE1F8F" w:rsidRDefault="005820A0" w14:paraId="059A30C7" w14:textId="77777777">
      <w:pPr>
        <w:widowControl w:val="0"/>
        <w:numPr>
          <w:ilvl w:val="0"/>
          <w:numId w:val="23"/>
        </w:numPr>
        <w:overflowPunct w:val="0"/>
        <w:autoSpaceDE w:val="0"/>
        <w:autoSpaceDN w:val="0"/>
        <w:adjustRightInd w:val="0"/>
        <w:ind w:left="284" w:hanging="284"/>
        <w:textAlignment w:val="baseline"/>
      </w:pPr>
      <w:r>
        <w:t>destaca o papel fundamental desempenhado pelas organizações da sociedade civil na luta contra a solidão e assinala que os parceiros sociais também podem contribuir neste domínio;</w:t>
      </w:r>
    </w:p>
    <w:p w:rsidRPr="00393DF5" w:rsidR="005820A0" w:rsidP="00BE1F8F" w:rsidRDefault="005820A0" w14:paraId="074DF4E0" w14:textId="77777777">
      <w:pPr>
        <w:widowControl w:val="0"/>
        <w:numPr>
          <w:ilvl w:val="0"/>
          <w:numId w:val="23"/>
        </w:numPr>
        <w:overflowPunct w:val="0"/>
        <w:autoSpaceDE w:val="0"/>
        <w:autoSpaceDN w:val="0"/>
        <w:adjustRightInd w:val="0"/>
        <w:ind w:left="284" w:hanging="284"/>
        <w:textAlignment w:val="baseline"/>
      </w:pPr>
      <w:r>
        <w:t>solicita, no âmbito de uma estratégia europeia para as pessoas idosas (Parecer SOC/757) e de uma futura estratégia europeia para a equidade intergeracional (Parecer SOC/800), que sejam elaboradas medidas específicas a nível europeu contra a solidão indesejada, incluindo planos nacionais;</w:t>
      </w:r>
    </w:p>
    <w:p w:rsidRPr="00393DF5" w:rsidR="005820A0" w:rsidP="00BE1F8F" w:rsidRDefault="005820A0" w14:paraId="54B7D9CA" w14:textId="77777777">
      <w:pPr>
        <w:widowControl w:val="0"/>
        <w:numPr>
          <w:ilvl w:val="0"/>
          <w:numId w:val="23"/>
        </w:numPr>
        <w:overflowPunct w:val="0"/>
        <w:autoSpaceDE w:val="0"/>
        <w:autoSpaceDN w:val="0"/>
        <w:adjustRightInd w:val="0"/>
        <w:ind w:left="284" w:hanging="284"/>
        <w:textAlignment w:val="baseline"/>
      </w:pPr>
      <w:r>
        <w:t>considera que as estratégias devem abordar a solidão ao longo de todo o ciclo de vida, centrando-se também nas transições de vida. Essas estratégias carecem também de uma liderança de alto nível e da participação dos vários intervenientes, como as administrações públicas, em especial os órgãos de poder local, a sociedade civil organizada, os parceiros sociais, a economia social e os meios de comunicação social;</w:t>
      </w:r>
    </w:p>
    <w:p w:rsidRPr="00393DF5" w:rsidR="005820A0" w:rsidP="00BE1F8F" w:rsidRDefault="005820A0" w14:paraId="2C2AFEDD" w14:textId="77777777">
      <w:pPr>
        <w:widowControl w:val="0"/>
        <w:numPr>
          <w:ilvl w:val="0"/>
          <w:numId w:val="23"/>
        </w:numPr>
        <w:overflowPunct w:val="0"/>
        <w:autoSpaceDE w:val="0"/>
        <w:autoSpaceDN w:val="0"/>
        <w:adjustRightInd w:val="0"/>
        <w:ind w:left="284" w:hanging="284"/>
        <w:textAlignment w:val="baseline"/>
      </w:pPr>
      <w:r>
        <w:t>insta a Comissão Europeia a prosseguir o projeto-piloto sobre a solidão indesejada, lançado a pedido do Parlamento Europeu em 2022;</w:t>
      </w:r>
    </w:p>
    <w:p w:rsidRPr="00393DF5" w:rsidR="005820A0" w:rsidP="00BE1F8F" w:rsidRDefault="005820A0" w14:paraId="08802E05" w14:textId="77777777">
      <w:pPr>
        <w:widowControl w:val="0"/>
        <w:numPr>
          <w:ilvl w:val="0"/>
          <w:numId w:val="23"/>
        </w:numPr>
        <w:overflowPunct w:val="0"/>
        <w:autoSpaceDE w:val="0"/>
        <w:autoSpaceDN w:val="0"/>
        <w:adjustRightInd w:val="0"/>
        <w:ind w:left="284" w:hanging="284"/>
        <w:textAlignment w:val="baseline"/>
      </w:pPr>
      <w:r>
        <w:t>solicita que a dimensão da solidão indesejada seja incluída na futura iniciativa de avaliação da perspetiva dos jovens;</w:t>
      </w:r>
    </w:p>
    <w:p w:rsidRPr="00393DF5" w:rsidR="005820A0" w:rsidP="00BE1F8F" w:rsidRDefault="005820A0" w14:paraId="38721F1A" w14:textId="77777777">
      <w:pPr>
        <w:widowControl w:val="0"/>
        <w:numPr>
          <w:ilvl w:val="0"/>
          <w:numId w:val="23"/>
        </w:numPr>
        <w:overflowPunct w:val="0"/>
        <w:autoSpaceDE w:val="0"/>
        <w:autoSpaceDN w:val="0"/>
        <w:adjustRightInd w:val="0"/>
        <w:ind w:left="284" w:hanging="284"/>
        <w:textAlignment w:val="baseline"/>
      </w:pPr>
      <w:r>
        <w:t>convida o Comité das Regiões Europeu a participar na estratégia proposta.</w:t>
      </w:r>
    </w:p>
    <w:p w:rsidRPr="00B4456F" w:rsidR="005820A0" w:rsidP="00BE1F8F" w:rsidRDefault="005820A0" w14:paraId="0D200582"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7087"/>
      </w:tblGrid>
      <w:tr w:rsidRPr="00247B9F" w:rsidR="005820A0" w:rsidTr="00247B9F" w14:paraId="7592C7BE" w14:textId="77777777">
        <w:tc>
          <w:tcPr>
            <w:tcW w:w="2093" w:type="dxa"/>
          </w:tcPr>
          <w:p w:rsidRPr="00247B9F" w:rsidR="005820A0" w:rsidP="00BE1F8F" w:rsidRDefault="005820A0" w14:paraId="208016A2" w14:textId="5CF87BF1">
            <w:pPr>
              <w:rPr>
                <w:i/>
              </w:rPr>
            </w:pPr>
            <w:r w:rsidRPr="00247B9F">
              <w:rPr>
                <w:b/>
                <w:i/>
              </w:rPr>
              <w:t>Contacto</w:t>
            </w:r>
          </w:p>
        </w:tc>
        <w:tc>
          <w:tcPr>
            <w:tcW w:w="7087" w:type="dxa"/>
          </w:tcPr>
          <w:p w:rsidRPr="00247B9F" w:rsidR="005820A0" w:rsidP="00BE1F8F" w:rsidRDefault="005820A0" w14:paraId="6CF1067D" w14:textId="712D966F">
            <w:pPr>
              <w:rPr>
                <w:i/>
              </w:rPr>
            </w:pPr>
            <w:r w:rsidRPr="00247B9F">
              <w:rPr>
                <w:i/>
              </w:rPr>
              <w:t>Valeria Atzori</w:t>
            </w:r>
          </w:p>
        </w:tc>
      </w:tr>
      <w:tr w:rsidRPr="00247B9F" w:rsidR="005820A0" w:rsidTr="00247B9F" w14:paraId="6C8121C6" w14:textId="77777777">
        <w:tc>
          <w:tcPr>
            <w:tcW w:w="2093" w:type="dxa"/>
          </w:tcPr>
          <w:p w:rsidRPr="00247B9F" w:rsidR="005820A0" w:rsidP="00BE1F8F" w:rsidRDefault="005820A0" w14:paraId="1B05B83D" w14:textId="43B7C197">
            <w:pPr>
              <w:rPr>
                <w:i/>
              </w:rPr>
            </w:pPr>
            <w:r w:rsidRPr="00247B9F">
              <w:rPr>
                <w:i/>
              </w:rPr>
              <w:t>Tel.</w:t>
            </w:r>
          </w:p>
        </w:tc>
        <w:tc>
          <w:tcPr>
            <w:tcW w:w="7087" w:type="dxa"/>
          </w:tcPr>
          <w:p w:rsidRPr="00247B9F" w:rsidR="005820A0" w:rsidP="00BE1F8F" w:rsidRDefault="005820A0" w14:paraId="4579CB82" w14:textId="77777777">
            <w:pPr>
              <w:rPr>
                <w:i/>
              </w:rPr>
            </w:pPr>
            <w:r w:rsidRPr="00247B9F">
              <w:rPr>
                <w:i/>
              </w:rPr>
              <w:t>+32 2 546 87 74</w:t>
            </w:r>
          </w:p>
        </w:tc>
      </w:tr>
      <w:tr w:rsidRPr="00247B9F" w:rsidR="005820A0" w:rsidTr="00247B9F" w14:paraId="7DF31CE8" w14:textId="77777777">
        <w:trPr>
          <w:trHeight w:val="285"/>
        </w:trPr>
        <w:tc>
          <w:tcPr>
            <w:tcW w:w="2093" w:type="dxa"/>
          </w:tcPr>
          <w:p w:rsidRPr="00247B9F" w:rsidR="005820A0" w:rsidP="00BE1F8F" w:rsidRDefault="005820A0" w14:paraId="30F9AA2F" w14:textId="7B8A8D0D">
            <w:pPr>
              <w:rPr>
                <w:i/>
              </w:rPr>
            </w:pPr>
            <w:r w:rsidRPr="00247B9F">
              <w:rPr>
                <w:i/>
              </w:rPr>
              <w:t>Endereço eletrónico</w:t>
            </w:r>
          </w:p>
        </w:tc>
        <w:tc>
          <w:tcPr>
            <w:tcW w:w="7087" w:type="dxa"/>
          </w:tcPr>
          <w:p w:rsidRPr="00247B9F" w:rsidR="005820A0" w:rsidP="00BE1F8F" w:rsidRDefault="00C61EB1" w14:paraId="75028D49" w14:textId="77777777">
            <w:pPr>
              <w:rPr>
                <w:i/>
                <w:iCs/>
              </w:rPr>
            </w:pPr>
            <w:hyperlink w:history="1" r:id="rId30">
              <w:r w:rsidRPr="00247B9F" w:rsidR="00912887">
                <w:rPr>
                  <w:rStyle w:val="Hyperlink"/>
                  <w:i/>
                </w:rPr>
                <w:t>Valeria.Atzori@eesc.europa.eu</w:t>
              </w:r>
            </w:hyperlink>
          </w:p>
        </w:tc>
      </w:tr>
    </w:tbl>
    <w:p w:rsidR="005820A0" w:rsidP="00BE1F8F" w:rsidRDefault="005820A0" w14:paraId="1C8B6452" w14:textId="77777777">
      <w:pPr>
        <w:jc w:val="left"/>
      </w:pPr>
    </w:p>
    <w:p w:rsidR="005820A0" w:rsidP="00BE1F8F" w:rsidRDefault="005820A0" w14:paraId="18575FDC" w14:textId="77777777">
      <w:pPr>
        <w:jc w:val="left"/>
      </w:pPr>
      <w:r>
        <w:br w:type="page"/>
      </w:r>
    </w:p>
    <w:p w:rsidRPr="00BE1F8F" w:rsidR="006D1DFA" w:rsidP="00BE1F8F" w:rsidRDefault="00C61EB1" w14:paraId="4A9CF9A9" w14:textId="0D522BB4">
      <w:pPr>
        <w:widowControl w:val="0"/>
        <w:numPr>
          <w:ilvl w:val="0"/>
          <w:numId w:val="3"/>
        </w:numPr>
        <w:overflowPunct w:val="0"/>
        <w:autoSpaceDE w:val="0"/>
        <w:autoSpaceDN w:val="0"/>
        <w:adjustRightInd w:val="0"/>
        <w:ind w:left="567" w:hanging="567"/>
        <w:textAlignment w:val="baseline"/>
      </w:pPr>
      <w:hyperlink w:history="1" r:id="rId31">
        <w:r w:rsidR="00912887">
          <w:rPr>
            <w:b/>
            <w:i/>
            <w:color w:val="0000FF"/>
            <w:sz w:val="28"/>
            <w:u w:val="single"/>
          </w:rPr>
          <w:t>Violência contra as mulheres, uma questão de direitos humanos: ponto da situação das med</w:t>
        </w:r>
        <w:r w:rsidR="00912887">
          <w:rPr>
            <w:b/>
            <w:i/>
            <w:color w:val="0000FF"/>
            <w:sz w:val="28"/>
            <w:u w:val="single"/>
          </w:rPr>
          <w:t>idas adotadas na UE</w:t>
        </w:r>
      </w:hyperlink>
    </w:p>
    <w:p w:rsidRPr="006D1DFA" w:rsidR="006D1DFA" w:rsidP="00BE1F8F" w:rsidRDefault="006D1DFA" w14:paraId="0322A41C" w14:textId="77777777">
      <w:pPr>
        <w:tabs>
          <w:tab w:val="center" w:pos="284"/>
        </w:tabs>
        <w:overflowPunct w:val="0"/>
        <w:autoSpaceDE w:val="0"/>
        <w:autoSpaceDN w:val="0"/>
        <w:adjustRightInd w:val="0"/>
        <w:ind w:left="567" w:hanging="567"/>
        <w:textAlignment w:val="baseline"/>
        <w:rPr>
          <w:sz w:val="16"/>
          <w:szCs w:val="16"/>
          <w:lang w:val="en-GB"/>
        </w:rPr>
      </w:pPr>
    </w:p>
    <w:tbl>
      <w:tblPr>
        <w:tblW w:w="9322" w:type="dxa"/>
        <w:tblLook w:val="04A0" w:firstRow="1" w:lastRow="0" w:firstColumn="1" w:lastColumn="0" w:noHBand="0" w:noVBand="1"/>
      </w:tblPr>
      <w:tblGrid>
        <w:gridCol w:w="1834"/>
        <w:gridCol w:w="7488"/>
      </w:tblGrid>
      <w:tr w:rsidRPr="00BA71AC" w:rsidR="006D1DFA" w:rsidTr="00BE1F8F" w14:paraId="4E8132D8" w14:textId="77777777">
        <w:tc>
          <w:tcPr>
            <w:tcW w:w="1834" w:type="dxa"/>
          </w:tcPr>
          <w:p w:rsidRPr="006D1DFA" w:rsidR="006D1DFA" w:rsidP="00BE1F8F" w:rsidRDefault="006D1DFA" w14:paraId="62FE863C" w14:textId="77777777">
            <w:pPr>
              <w:tabs>
                <w:tab w:val="center" w:pos="284"/>
              </w:tabs>
              <w:overflowPunct w:val="0"/>
              <w:autoSpaceDE w:val="0"/>
              <w:autoSpaceDN w:val="0"/>
              <w:adjustRightInd w:val="0"/>
              <w:ind w:left="567" w:hanging="567"/>
              <w:textAlignment w:val="baseline"/>
              <w:rPr>
                <w:b/>
              </w:rPr>
            </w:pPr>
            <w:r>
              <w:rPr>
                <w:b/>
              </w:rPr>
              <w:t>Relator</w:t>
            </w:r>
          </w:p>
        </w:tc>
        <w:tc>
          <w:tcPr>
            <w:tcW w:w="7488" w:type="dxa"/>
          </w:tcPr>
          <w:p w:rsidRPr="006D1DFA" w:rsidR="006D1DFA" w:rsidP="00BE1F8F" w:rsidRDefault="006D1DFA" w14:paraId="59709140" w14:textId="77777777">
            <w:pPr>
              <w:overflowPunct w:val="0"/>
              <w:autoSpaceDE w:val="0"/>
              <w:autoSpaceDN w:val="0"/>
              <w:adjustRightInd w:val="0"/>
              <w:textAlignment w:val="baseline"/>
            </w:pPr>
            <w:r>
              <w:t>José Antonio Moreno Díaz (ES – Grupo dos Trabalhadores)</w:t>
            </w:r>
          </w:p>
        </w:tc>
      </w:tr>
      <w:tr w:rsidRPr="006D1DFA" w:rsidR="006D1DFA" w:rsidTr="00BE1F8F" w14:paraId="30BC9238" w14:textId="77777777">
        <w:tc>
          <w:tcPr>
            <w:tcW w:w="1834" w:type="dxa"/>
          </w:tcPr>
          <w:p w:rsidRPr="006D1DFA" w:rsidR="006D1DFA" w:rsidP="00BE1F8F" w:rsidRDefault="006D1DFA" w14:paraId="4D886634" w14:textId="77777777">
            <w:pPr>
              <w:tabs>
                <w:tab w:val="center" w:pos="284"/>
              </w:tabs>
              <w:overflowPunct w:val="0"/>
              <w:autoSpaceDE w:val="0"/>
              <w:autoSpaceDN w:val="0"/>
              <w:adjustRightInd w:val="0"/>
              <w:ind w:left="567" w:hanging="567"/>
              <w:textAlignment w:val="baseline"/>
              <w:rPr>
                <w:b/>
              </w:rPr>
            </w:pPr>
            <w:r>
              <w:rPr>
                <w:b/>
              </w:rPr>
              <w:t>Correlatora</w:t>
            </w:r>
          </w:p>
        </w:tc>
        <w:tc>
          <w:tcPr>
            <w:tcW w:w="7488" w:type="dxa"/>
          </w:tcPr>
          <w:p w:rsidRPr="006D1DFA" w:rsidR="006D1DFA" w:rsidP="00BE1F8F" w:rsidRDefault="006D1DFA" w14:paraId="04C5BBA6" w14:textId="24635529">
            <w:pPr>
              <w:overflowPunct w:val="0"/>
              <w:autoSpaceDE w:val="0"/>
              <w:autoSpaceDN w:val="0"/>
              <w:adjustRightInd w:val="0"/>
              <w:textAlignment w:val="baseline"/>
            </w:pPr>
            <w:r>
              <w:t>Dovilė Juodkaitė (LT – Grupo das Organizações da Sociedade Civil)</w:t>
            </w:r>
          </w:p>
        </w:tc>
      </w:tr>
      <w:tr w:rsidRPr="006D1DFA" w:rsidR="006D1DFA" w:rsidTr="00BE1F8F" w14:paraId="51A5C160" w14:textId="77777777">
        <w:tc>
          <w:tcPr>
            <w:tcW w:w="1834" w:type="dxa"/>
          </w:tcPr>
          <w:p w:rsidRPr="006D1DFA" w:rsidR="006D1DFA" w:rsidP="00BE1F8F" w:rsidRDefault="006D1DFA" w14:paraId="1546DA25" w14:textId="112DF30C">
            <w:pPr>
              <w:tabs>
                <w:tab w:val="center" w:pos="284"/>
              </w:tabs>
              <w:overflowPunct w:val="0"/>
              <w:autoSpaceDE w:val="0"/>
              <w:autoSpaceDN w:val="0"/>
              <w:adjustRightInd w:val="0"/>
              <w:ind w:left="567" w:hanging="567"/>
              <w:textAlignment w:val="baseline"/>
              <w:rPr>
                <w:b/>
              </w:rPr>
            </w:pPr>
            <w:r>
              <w:rPr>
                <w:b/>
              </w:rPr>
              <w:t>Referência</w:t>
            </w:r>
          </w:p>
        </w:tc>
        <w:tc>
          <w:tcPr>
            <w:tcW w:w="7488" w:type="dxa"/>
          </w:tcPr>
          <w:p w:rsidRPr="00C43D3E" w:rsidR="00C87D91" w:rsidP="00BE1F8F" w:rsidRDefault="00C87D91" w14:paraId="4F80F6D2" w14:textId="5951F9F7">
            <w:pPr>
              <w:tabs>
                <w:tab w:val="center" w:pos="284"/>
              </w:tabs>
              <w:overflowPunct w:val="0"/>
              <w:autoSpaceDE w:val="0"/>
              <w:autoSpaceDN w:val="0"/>
              <w:adjustRightInd w:val="0"/>
              <w:ind w:left="567" w:hanging="567"/>
              <w:textAlignment w:val="baseline"/>
            </w:pPr>
            <w:r>
              <w:t>Parecer de iniciativa</w:t>
            </w:r>
          </w:p>
          <w:p w:rsidRPr="00C43D3E" w:rsidR="006D1DFA" w:rsidP="00BE1F8F" w:rsidRDefault="006D1DFA" w14:paraId="5A2B7EA1" w14:textId="6B30F056">
            <w:pPr>
              <w:tabs>
                <w:tab w:val="center" w:pos="284"/>
              </w:tabs>
              <w:overflowPunct w:val="0"/>
              <w:autoSpaceDE w:val="0"/>
              <w:autoSpaceDN w:val="0"/>
              <w:adjustRightInd w:val="0"/>
              <w:ind w:left="567" w:hanging="567"/>
              <w:textAlignment w:val="baseline"/>
            </w:pPr>
            <w:r>
              <w:t>EESC-2024-01831-00-00-AC</w:t>
            </w:r>
          </w:p>
        </w:tc>
      </w:tr>
    </w:tbl>
    <w:p w:rsidRPr="00BE1F8F" w:rsidR="0083181F" w:rsidP="00BE1F8F" w:rsidRDefault="0083181F" w14:paraId="2171E13E"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6D1DFA" w:rsidR="006D1DFA" w:rsidP="00BE1F8F" w:rsidRDefault="006D1DFA" w14:paraId="5EF86660" w14:textId="2D834EC7">
      <w:pPr>
        <w:keepNext/>
        <w:keepLines/>
        <w:tabs>
          <w:tab w:val="center" w:pos="284"/>
        </w:tabs>
        <w:overflowPunct w:val="0"/>
        <w:autoSpaceDE w:val="0"/>
        <w:autoSpaceDN w:val="0"/>
        <w:adjustRightInd w:val="0"/>
        <w:ind w:left="266" w:hanging="266"/>
        <w:textAlignment w:val="baseline"/>
        <w:rPr>
          <w:b/>
        </w:rPr>
      </w:pPr>
      <w:r>
        <w:rPr>
          <w:b/>
        </w:rPr>
        <w:t>Pontos principais</w:t>
      </w:r>
    </w:p>
    <w:p w:rsidRPr="00BE1F8F" w:rsidR="006D1DFA" w:rsidP="00BE1F8F" w:rsidRDefault="006D1DFA" w14:paraId="7A7C5D4B" w14:textId="77777777">
      <w:pPr>
        <w:overflowPunct w:val="0"/>
        <w:autoSpaceDE w:val="0"/>
        <w:autoSpaceDN w:val="0"/>
        <w:adjustRightInd w:val="0"/>
        <w:textAlignment w:val="baseline"/>
        <w:rPr>
          <w:sz w:val="16"/>
          <w:szCs w:val="16"/>
          <w:lang w:val="en-GB"/>
        </w:rPr>
      </w:pPr>
    </w:p>
    <w:p w:rsidR="006D1DFA" w:rsidP="00BE1F8F" w:rsidRDefault="006D1DFA" w14:paraId="10140015" w14:textId="77777777">
      <w:pPr>
        <w:overflowPunct w:val="0"/>
        <w:autoSpaceDE w:val="0"/>
        <w:autoSpaceDN w:val="0"/>
        <w:adjustRightInd w:val="0"/>
        <w:textAlignment w:val="baseline"/>
        <w:rPr>
          <w:szCs w:val="20"/>
        </w:rPr>
      </w:pPr>
      <w:r>
        <w:t>O Comité Económico e Social Europeu:</w:t>
      </w:r>
    </w:p>
    <w:p w:rsidRPr="006D1DFA" w:rsidR="006D1DFA" w:rsidP="00BE1F8F" w:rsidRDefault="006D1DFA" w14:paraId="6A53E697" w14:textId="77777777">
      <w:pPr>
        <w:numPr>
          <w:ilvl w:val="0"/>
          <w:numId w:val="24"/>
        </w:numPr>
        <w:overflowPunct w:val="0"/>
        <w:autoSpaceDE w:val="0"/>
        <w:autoSpaceDN w:val="0"/>
        <w:adjustRightInd w:val="0"/>
        <w:ind w:left="284" w:hanging="284"/>
        <w:contextualSpacing/>
        <w:textAlignment w:val="baseline"/>
      </w:pPr>
      <w:r>
        <w:t>recorda que violência contra as mulheres e as raparigas é uma violação dos direitos humanos e uma das formas mais persistentes de discriminação em razão do género. Solicita a ratificação e aplicação da Convenção do Conselho da Europa para a Prevenção e o Combate à Violência Contra as Mulheres e a Violência Doméstica (Convenção de Istambul) e da Convenção (n.º 190) da Organização Internacional do Trabalho sobre Violência e Assédio (em particular a sua Recomendação n.º 206), bem como a sua promoção e aplicação em todos os Estados-Membros e pela própria UE;</w:t>
      </w:r>
    </w:p>
    <w:p w:rsidRPr="006D1DFA" w:rsidR="006D1DFA" w:rsidP="00BE1F8F" w:rsidRDefault="006D1DFA" w14:paraId="2FC21B34" w14:textId="77777777">
      <w:pPr>
        <w:numPr>
          <w:ilvl w:val="0"/>
          <w:numId w:val="24"/>
        </w:numPr>
        <w:overflowPunct w:val="0"/>
        <w:autoSpaceDE w:val="0"/>
        <w:autoSpaceDN w:val="0"/>
        <w:adjustRightInd w:val="0"/>
        <w:ind w:left="284" w:hanging="284"/>
        <w:contextualSpacing/>
        <w:textAlignment w:val="baseline"/>
      </w:pPr>
      <w:r>
        <w:t>considera que a Diretiva (UE) 2024/1385 relativa ao combate à violência contra as mulheres e à violência doméstica deve abordar todas as formas de violência contra as mulheres, como a violência institucional, a pornografia para fins comerciais ou como forma de exploração, a exploração reprodutiva, a violência indireta, a submissão química e o assédio na rua, bem como o assédio sexual e com base no género e a esterilização forçada das mulheres com deficiência, entre outras;</w:t>
      </w:r>
    </w:p>
    <w:p w:rsidRPr="006D1DFA" w:rsidR="006D1DFA" w:rsidP="00BE1F8F" w:rsidRDefault="006D1DFA" w14:paraId="449A6664" w14:textId="77777777">
      <w:pPr>
        <w:numPr>
          <w:ilvl w:val="0"/>
          <w:numId w:val="24"/>
        </w:numPr>
        <w:overflowPunct w:val="0"/>
        <w:autoSpaceDE w:val="0"/>
        <w:autoSpaceDN w:val="0"/>
        <w:adjustRightInd w:val="0"/>
        <w:ind w:left="284" w:hanging="284"/>
        <w:contextualSpacing/>
        <w:textAlignment w:val="baseline"/>
      </w:pPr>
      <w:r>
        <w:t>solicita que a violência sexual e a violação sejam incluídas na diretiva como uma forma de violência e criminalizadas com base na falta de consentimento. Afigura-se necessária uma definição de «consentimento» no contexto da violência sexual. A violência baseada no género, incluindo a violação, deve ser acrescentada à lista de «eurocrimes» referidos no artigo 83.º, n.º 1, do Tratado sobre o Funcionamento da União Europeia (TFUE);</w:t>
      </w:r>
    </w:p>
    <w:p w:rsidRPr="006D1DFA" w:rsidR="006D1DFA" w:rsidP="00BE1F8F" w:rsidRDefault="006D1DFA" w14:paraId="7256F59F" w14:textId="77777777">
      <w:pPr>
        <w:numPr>
          <w:ilvl w:val="0"/>
          <w:numId w:val="24"/>
        </w:numPr>
        <w:overflowPunct w:val="0"/>
        <w:autoSpaceDE w:val="0"/>
        <w:autoSpaceDN w:val="0"/>
        <w:adjustRightInd w:val="0"/>
        <w:ind w:left="284" w:hanging="284"/>
        <w:contextualSpacing/>
        <w:textAlignment w:val="baseline"/>
      </w:pPr>
      <w:r>
        <w:t xml:space="preserve">manifesta a sua preocupação com o facto de a violência física, a violência psicológica e a violência sexual subjacentes à prostituição e as restrições à interrupção voluntária livre e segura da gravidez não terem sido consideradas formas de violência contra as mulheres; </w:t>
      </w:r>
    </w:p>
    <w:p w:rsidRPr="006D1DFA" w:rsidR="006D1DFA" w:rsidP="00BE1F8F" w:rsidRDefault="006D1DFA" w14:paraId="0D19D92A" w14:textId="77777777">
      <w:pPr>
        <w:numPr>
          <w:ilvl w:val="0"/>
          <w:numId w:val="24"/>
        </w:numPr>
        <w:overflowPunct w:val="0"/>
        <w:autoSpaceDE w:val="0"/>
        <w:autoSpaceDN w:val="0"/>
        <w:adjustRightInd w:val="0"/>
        <w:ind w:left="284" w:hanging="284"/>
        <w:contextualSpacing/>
        <w:textAlignment w:val="baseline"/>
      </w:pPr>
      <w:r>
        <w:t>salienta que qualquer tipo de violência contra as mulheres constitui um problema importante de saúde pública e médica e sublinha a discriminação múltipla e interseccional de que são vítimas as mulheres com deficiência e, em especial, as mulheres com problemas de saúde mental e deficiências psicossociais e/ou intelectuais e solicita que este tipo de violência seja considerado um problema de saúde pública com consequências a longo prazo. insta igualmente à recolha de dados desagregados por deficiência;</w:t>
      </w:r>
    </w:p>
    <w:p w:rsidRPr="006D1DFA" w:rsidR="006D1DFA" w:rsidP="00BE1F8F" w:rsidRDefault="006D1DFA" w14:paraId="33ACD23C" w14:textId="77777777">
      <w:pPr>
        <w:numPr>
          <w:ilvl w:val="0"/>
          <w:numId w:val="24"/>
        </w:numPr>
        <w:overflowPunct w:val="0"/>
        <w:autoSpaceDE w:val="0"/>
        <w:autoSpaceDN w:val="0"/>
        <w:adjustRightInd w:val="0"/>
        <w:ind w:left="284" w:hanging="284"/>
        <w:contextualSpacing/>
        <w:textAlignment w:val="baseline"/>
      </w:pPr>
      <w:r>
        <w:t>manifesta-se profundamente preocupado com as posições que não consideram a violência contra as mulheres uma forma específica de violência pelo facto de se tratarem de mulheres, atentando assim contra os valores e princípios do artigo 2.º do TFUE. Considera que a educação, incluindo sexual, é fundamental na definição dos papéis e estereótipos de género e solicita que se associe a comunidade educativa, as organizações da sociedade civil e os parceiros sociais à cooperação institucional, a fim de prevenir e combater a violência baseada no género;</w:t>
      </w:r>
    </w:p>
    <w:p w:rsidRPr="00C43D3E" w:rsidR="006D1DFA" w:rsidP="00BE1F8F" w:rsidRDefault="006D1DFA" w14:paraId="080A278F" w14:textId="77777777">
      <w:pPr>
        <w:numPr>
          <w:ilvl w:val="0"/>
          <w:numId w:val="24"/>
        </w:numPr>
        <w:overflowPunct w:val="0"/>
        <w:autoSpaceDE w:val="0"/>
        <w:autoSpaceDN w:val="0"/>
        <w:adjustRightInd w:val="0"/>
        <w:ind w:left="284" w:hanging="284"/>
        <w:contextualSpacing/>
        <w:textAlignment w:val="baseline"/>
        <w:rPr>
          <w:rFonts w:ascii="Calibri" w:hAnsi="Calibri"/>
        </w:rPr>
      </w:pPr>
      <w:r>
        <w:lastRenderedPageBreak/>
        <w:t>solicita medidas específicas nos domínios do diálogo social, da negociação coletiva e das negociações necessárias com os parceiros sociais, para impulsionar o emprego e promover a empregabilidade das vítimas de violência de género.</w:t>
      </w:r>
    </w:p>
    <w:p w:rsidRPr="00BE1F8F" w:rsidR="0083181F" w:rsidP="00BE1F8F" w:rsidRDefault="0083181F" w14:paraId="1D0159F4" w14:textId="77777777">
      <w:pPr>
        <w:overflowPunct w:val="0"/>
        <w:autoSpaceDE w:val="0"/>
        <w:autoSpaceDN w:val="0"/>
        <w:adjustRightInd w:val="0"/>
        <w:ind w:left="360"/>
        <w:contextualSpacing/>
        <w:textAlignment w:val="baseline"/>
        <w:rPr>
          <w:rFonts w:ascii="Calibri" w:hAnsi="Calibri"/>
          <w:sz w:val="16"/>
          <w:szCs w:val="16"/>
          <w:lang w:val="en-GB" w:eastAsia="zh-CN"/>
        </w:rPr>
      </w:pPr>
    </w:p>
    <w:tbl>
      <w:tblPr>
        <w:tblW w:w="5000" w:type="pct"/>
        <w:tblLook w:val="04A0" w:firstRow="1" w:lastRow="0" w:firstColumn="1" w:lastColumn="0" w:noHBand="0" w:noVBand="1"/>
      </w:tblPr>
      <w:tblGrid>
        <w:gridCol w:w="2093"/>
        <w:gridCol w:w="7194"/>
      </w:tblGrid>
      <w:tr w:rsidRPr="006D1DFA" w:rsidR="006D1DFA" w:rsidTr="00247B9F" w14:paraId="4A8CFBCD" w14:textId="77777777">
        <w:trPr>
          <w:trHeight w:val="60"/>
        </w:trPr>
        <w:tc>
          <w:tcPr>
            <w:tcW w:w="1127" w:type="pct"/>
            <w:hideMark/>
          </w:tcPr>
          <w:p w:rsidRPr="006D1DFA" w:rsidR="006D1DFA" w:rsidP="00BE1F8F" w:rsidRDefault="006D1DFA" w14:paraId="089C51AC" w14:textId="77777777">
            <w:pPr>
              <w:overflowPunct w:val="0"/>
              <w:autoSpaceDE w:val="0"/>
              <w:autoSpaceDN w:val="0"/>
              <w:adjustRightInd w:val="0"/>
              <w:textAlignment w:val="baseline"/>
              <w:rPr>
                <w:i/>
              </w:rPr>
            </w:pPr>
            <w:r>
              <w:rPr>
                <w:b/>
                <w:i/>
              </w:rPr>
              <w:t>Contacto</w:t>
            </w:r>
          </w:p>
        </w:tc>
        <w:tc>
          <w:tcPr>
            <w:tcW w:w="3873" w:type="pct"/>
            <w:hideMark/>
          </w:tcPr>
          <w:p w:rsidRPr="006D1DFA" w:rsidR="006D1DFA" w:rsidP="00BE1F8F" w:rsidRDefault="006D1DFA" w14:paraId="6FF5FA37" w14:textId="11C6C549">
            <w:pPr>
              <w:overflowPunct w:val="0"/>
              <w:autoSpaceDE w:val="0"/>
              <w:autoSpaceDN w:val="0"/>
              <w:adjustRightInd w:val="0"/>
              <w:textAlignment w:val="baseline"/>
              <w:rPr>
                <w:i/>
                <w:iCs/>
              </w:rPr>
            </w:pPr>
            <w:r>
              <w:rPr>
                <w:i/>
              </w:rPr>
              <w:t>Gabriela Grasu</w:t>
            </w:r>
          </w:p>
        </w:tc>
      </w:tr>
      <w:tr w:rsidRPr="006D1DFA" w:rsidR="006D1DFA" w:rsidTr="00247B9F" w14:paraId="77817741" w14:textId="77777777">
        <w:tc>
          <w:tcPr>
            <w:tcW w:w="1127" w:type="pct"/>
            <w:hideMark/>
          </w:tcPr>
          <w:p w:rsidRPr="006D1DFA" w:rsidR="006D1DFA" w:rsidP="00BE1F8F" w:rsidRDefault="006D1DFA" w14:paraId="1DA4D000" w14:textId="77777777">
            <w:pPr>
              <w:overflowPunct w:val="0"/>
              <w:autoSpaceDE w:val="0"/>
              <w:autoSpaceDN w:val="0"/>
              <w:adjustRightInd w:val="0"/>
              <w:textAlignment w:val="baseline"/>
              <w:rPr>
                <w:i/>
              </w:rPr>
            </w:pPr>
            <w:r>
              <w:rPr>
                <w:i/>
              </w:rPr>
              <w:t>Tel.</w:t>
            </w:r>
          </w:p>
        </w:tc>
        <w:tc>
          <w:tcPr>
            <w:tcW w:w="3873" w:type="pct"/>
            <w:hideMark/>
          </w:tcPr>
          <w:p w:rsidRPr="006D1DFA" w:rsidR="006D1DFA" w:rsidP="00BE1F8F" w:rsidRDefault="006D1DFA" w14:paraId="56CC5263" w14:textId="77777777">
            <w:pPr>
              <w:overflowPunct w:val="0"/>
              <w:autoSpaceDE w:val="0"/>
              <w:autoSpaceDN w:val="0"/>
              <w:adjustRightInd w:val="0"/>
              <w:textAlignment w:val="baseline"/>
              <w:rPr>
                <w:i/>
              </w:rPr>
            </w:pPr>
            <w:r>
              <w:rPr>
                <w:i/>
              </w:rPr>
              <w:t>+32 2 546 91 62</w:t>
            </w:r>
          </w:p>
        </w:tc>
      </w:tr>
      <w:tr w:rsidRPr="006D1DFA" w:rsidR="006D1DFA" w:rsidTr="00247B9F" w14:paraId="6F84E5BA" w14:textId="77777777">
        <w:tc>
          <w:tcPr>
            <w:tcW w:w="1127" w:type="pct"/>
            <w:hideMark/>
          </w:tcPr>
          <w:p w:rsidRPr="006D1DFA" w:rsidR="006D1DFA" w:rsidP="00BE1F8F" w:rsidRDefault="006D1DFA" w14:paraId="3CC8E9E8" w14:textId="77777777">
            <w:pPr>
              <w:overflowPunct w:val="0"/>
              <w:autoSpaceDE w:val="0"/>
              <w:autoSpaceDN w:val="0"/>
              <w:adjustRightInd w:val="0"/>
              <w:textAlignment w:val="baseline"/>
              <w:rPr>
                <w:i/>
              </w:rPr>
            </w:pPr>
            <w:r>
              <w:rPr>
                <w:i/>
              </w:rPr>
              <w:t>Endereço eletrónico</w:t>
            </w:r>
          </w:p>
        </w:tc>
        <w:tc>
          <w:tcPr>
            <w:tcW w:w="3873" w:type="pct"/>
            <w:hideMark/>
          </w:tcPr>
          <w:p w:rsidRPr="006D1DFA" w:rsidR="006D1DFA" w:rsidP="00BE1F8F" w:rsidRDefault="00C61EB1" w14:paraId="02C23556" w14:textId="4AC0EB0F">
            <w:pPr>
              <w:overflowPunct w:val="0"/>
              <w:autoSpaceDE w:val="0"/>
              <w:autoSpaceDN w:val="0"/>
              <w:adjustRightInd w:val="0"/>
              <w:textAlignment w:val="baseline"/>
              <w:rPr>
                <w:i/>
              </w:rPr>
            </w:pPr>
            <w:hyperlink w:history="1" r:id="rId32">
              <w:r w:rsidR="00912887">
                <w:rPr>
                  <w:i/>
                  <w:color w:val="0000FF"/>
                  <w:u w:val="single"/>
                </w:rPr>
                <w:t>Grasu.Gabriela@eesc.europa.eu</w:t>
              </w:r>
            </w:hyperlink>
          </w:p>
        </w:tc>
      </w:tr>
    </w:tbl>
    <w:p w:rsidR="00E14D8E" w:rsidP="00BE1F8F" w:rsidRDefault="00E14D8E" w14:paraId="7F936985" w14:textId="77777777">
      <w:pPr>
        <w:jc w:val="left"/>
      </w:pPr>
      <w:r>
        <w:br w:type="page"/>
      </w:r>
    </w:p>
    <w:p w:rsidRPr="001826A4" w:rsidR="00910C90" w:rsidP="009B596B" w:rsidRDefault="00C61EB1" w14:paraId="6D8670E5" w14:textId="28540015">
      <w:pPr>
        <w:widowControl w:val="0"/>
        <w:numPr>
          <w:ilvl w:val="0"/>
          <w:numId w:val="10"/>
        </w:numPr>
        <w:overflowPunct w:val="0"/>
        <w:autoSpaceDE w:val="0"/>
        <w:autoSpaceDN w:val="0"/>
        <w:adjustRightInd w:val="0"/>
        <w:ind w:left="567" w:hanging="567"/>
        <w:textAlignment w:val="baseline"/>
        <w:rPr>
          <w:sz w:val="24"/>
          <w:szCs w:val="24"/>
        </w:rPr>
      </w:pPr>
      <w:hyperlink w:history="1" r:id="rId33">
        <w:r w:rsidR="00912887">
          <w:rPr>
            <w:b/>
            <w:i/>
            <w:color w:val="0000FF"/>
            <w:sz w:val="28"/>
            <w:u w:val="single"/>
          </w:rPr>
          <w:t>Contributo do CE</w:t>
        </w:r>
        <w:r w:rsidR="00912887">
          <w:rPr>
            <w:b/>
            <w:i/>
            <w:color w:val="0000FF"/>
            <w:sz w:val="28"/>
            <w:u w:val="single"/>
          </w:rPr>
          <w:t>SE para as prioridades da UE no âmbito da 69.ª reunião da Comissão das Nações Unidas sobre o Estatuto da Mulher</w:t>
        </w:r>
      </w:hyperlink>
    </w:p>
    <w:p w:rsidRPr="00910C90" w:rsidR="00910C90" w:rsidP="00247B9F" w:rsidRDefault="00910C90" w14:paraId="59A5F3E8" w14:textId="77777777">
      <w:pPr>
        <w:tabs>
          <w:tab w:val="center" w:pos="284"/>
        </w:tabs>
        <w:overflowPunct w:val="0"/>
        <w:autoSpaceDE w:val="0"/>
        <w:autoSpaceDN w:val="0"/>
        <w:adjustRightInd w:val="0"/>
        <w:spacing w:line="240" w:lineRule="auto"/>
        <w:ind w:left="266" w:hanging="266"/>
        <w:textAlignment w:val="baseline"/>
        <w:rPr>
          <w:b/>
          <w:lang w:val="en-GB"/>
        </w:rPr>
      </w:pPr>
    </w:p>
    <w:tbl>
      <w:tblPr>
        <w:tblW w:w="0" w:type="auto"/>
        <w:tblLook w:val="04A0" w:firstRow="1" w:lastRow="0" w:firstColumn="1" w:lastColumn="0" w:noHBand="0" w:noVBand="1"/>
      </w:tblPr>
      <w:tblGrid>
        <w:gridCol w:w="1701"/>
        <w:gridCol w:w="7479"/>
      </w:tblGrid>
      <w:tr w:rsidRPr="00910C90" w:rsidR="00910C90" w:rsidTr="00BE1F8F" w14:paraId="465F2FF7" w14:textId="77777777">
        <w:tc>
          <w:tcPr>
            <w:tcW w:w="1701" w:type="dxa"/>
          </w:tcPr>
          <w:p w:rsidRPr="00910C90" w:rsidR="00910C90" w:rsidP="00BE1F8F" w:rsidRDefault="00910C90" w14:paraId="4E8AE8B7" w14:textId="77777777">
            <w:pPr>
              <w:tabs>
                <w:tab w:val="center" w:pos="284"/>
              </w:tabs>
              <w:overflowPunct w:val="0"/>
              <w:autoSpaceDE w:val="0"/>
              <w:autoSpaceDN w:val="0"/>
              <w:adjustRightInd w:val="0"/>
              <w:ind w:left="266" w:hanging="266"/>
              <w:textAlignment w:val="baseline"/>
              <w:rPr>
                <w:b/>
              </w:rPr>
            </w:pPr>
            <w:r>
              <w:rPr>
                <w:b/>
              </w:rPr>
              <w:t>Relatora</w:t>
            </w:r>
          </w:p>
        </w:tc>
        <w:tc>
          <w:tcPr>
            <w:tcW w:w="7479" w:type="dxa"/>
          </w:tcPr>
          <w:p w:rsidRPr="00910C90" w:rsidR="00910C90" w:rsidP="00BE1F8F" w:rsidRDefault="00910C90" w14:paraId="420EA1BA" w14:textId="3993E2B2">
            <w:pPr>
              <w:tabs>
                <w:tab w:val="center" w:pos="284"/>
              </w:tabs>
              <w:overflowPunct w:val="0"/>
              <w:autoSpaceDE w:val="0"/>
              <w:autoSpaceDN w:val="0"/>
              <w:adjustRightInd w:val="0"/>
              <w:ind w:left="266" w:hanging="266"/>
              <w:textAlignment w:val="baseline"/>
            </w:pPr>
            <w:r>
              <w:t>Maria Nikolopoulou (ES – Grupo dos Trabalhadores)</w:t>
            </w:r>
          </w:p>
        </w:tc>
      </w:tr>
      <w:tr w:rsidRPr="00910C90" w:rsidR="00910C90" w:rsidTr="00BE1F8F" w14:paraId="417FB600" w14:textId="77777777">
        <w:tc>
          <w:tcPr>
            <w:tcW w:w="1701" w:type="dxa"/>
            <w:vMerge w:val="restart"/>
          </w:tcPr>
          <w:p w:rsidRPr="00910C90" w:rsidR="00910C90" w:rsidP="00BE1F8F" w:rsidRDefault="00910C90" w14:paraId="41736237" w14:textId="3B749ABF">
            <w:pPr>
              <w:tabs>
                <w:tab w:val="center" w:pos="284"/>
              </w:tabs>
              <w:overflowPunct w:val="0"/>
              <w:autoSpaceDE w:val="0"/>
              <w:autoSpaceDN w:val="0"/>
              <w:adjustRightInd w:val="0"/>
              <w:ind w:left="266" w:hanging="266"/>
              <w:textAlignment w:val="baseline"/>
              <w:rPr>
                <w:b/>
              </w:rPr>
            </w:pPr>
            <w:r>
              <w:rPr>
                <w:b/>
              </w:rPr>
              <w:t>Referência</w:t>
            </w:r>
          </w:p>
        </w:tc>
        <w:tc>
          <w:tcPr>
            <w:tcW w:w="7479" w:type="dxa"/>
          </w:tcPr>
          <w:p w:rsidRPr="00910C90" w:rsidR="00910C90" w:rsidP="00BE1F8F" w:rsidRDefault="00910C90" w14:paraId="028B9FD7" w14:textId="77777777">
            <w:pPr>
              <w:tabs>
                <w:tab w:val="center" w:pos="284"/>
              </w:tabs>
              <w:overflowPunct w:val="0"/>
              <w:autoSpaceDE w:val="0"/>
              <w:autoSpaceDN w:val="0"/>
              <w:adjustRightInd w:val="0"/>
              <w:ind w:left="266" w:hanging="266"/>
              <w:textAlignment w:val="baseline"/>
            </w:pPr>
            <w:r>
              <w:t>Parecer de iniciativa</w:t>
            </w:r>
          </w:p>
        </w:tc>
      </w:tr>
      <w:tr w:rsidRPr="00910C90" w:rsidR="00910C90" w:rsidTr="00BE1F8F" w14:paraId="08D488E3" w14:textId="77777777">
        <w:tc>
          <w:tcPr>
            <w:tcW w:w="1701" w:type="dxa"/>
            <w:vMerge/>
          </w:tcPr>
          <w:p w:rsidRPr="00910C90" w:rsidR="00910C90" w:rsidP="00BE1F8F" w:rsidRDefault="00910C90" w14:paraId="5B75EF00" w14:textId="77777777">
            <w:pPr>
              <w:tabs>
                <w:tab w:val="center" w:pos="284"/>
              </w:tabs>
              <w:overflowPunct w:val="0"/>
              <w:autoSpaceDE w:val="0"/>
              <w:autoSpaceDN w:val="0"/>
              <w:adjustRightInd w:val="0"/>
              <w:ind w:left="266" w:hanging="266"/>
              <w:textAlignment w:val="baseline"/>
              <w:rPr>
                <w:b/>
                <w:lang w:val="en-GB"/>
              </w:rPr>
            </w:pPr>
          </w:p>
        </w:tc>
        <w:tc>
          <w:tcPr>
            <w:tcW w:w="7479" w:type="dxa"/>
          </w:tcPr>
          <w:p w:rsidRPr="00910C90" w:rsidR="00910C90" w:rsidP="00BE1F8F" w:rsidRDefault="00910C90" w14:paraId="565EAB0A" w14:textId="77777777">
            <w:pPr>
              <w:tabs>
                <w:tab w:val="center" w:pos="284"/>
              </w:tabs>
              <w:overflowPunct w:val="0"/>
              <w:autoSpaceDE w:val="0"/>
              <w:autoSpaceDN w:val="0"/>
              <w:adjustRightInd w:val="0"/>
              <w:ind w:left="266" w:hanging="266"/>
              <w:textAlignment w:val="baseline"/>
            </w:pPr>
            <w:r>
              <w:t>EESC-2024-03990-00-00-AC</w:t>
            </w:r>
          </w:p>
        </w:tc>
      </w:tr>
    </w:tbl>
    <w:p w:rsidRPr="00910C90" w:rsidR="00910C90" w:rsidP="00247B9F" w:rsidRDefault="00910C90" w14:paraId="5C940F4E"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910C90" w:rsidR="00910C90" w:rsidP="00BE1F8F" w:rsidRDefault="00910C90" w14:paraId="371C0EEF" w14:textId="4AB8EF1C">
      <w:pPr>
        <w:keepNext/>
        <w:keepLines/>
        <w:tabs>
          <w:tab w:val="center" w:pos="284"/>
        </w:tabs>
        <w:overflowPunct w:val="0"/>
        <w:autoSpaceDE w:val="0"/>
        <w:autoSpaceDN w:val="0"/>
        <w:adjustRightInd w:val="0"/>
        <w:ind w:left="266" w:hanging="266"/>
        <w:textAlignment w:val="baseline"/>
        <w:rPr>
          <w:b/>
        </w:rPr>
      </w:pPr>
      <w:r>
        <w:rPr>
          <w:b/>
        </w:rPr>
        <w:t>Pontos principais</w:t>
      </w:r>
    </w:p>
    <w:p w:rsidRPr="00910C90" w:rsidR="00910C90" w:rsidP="00247B9F" w:rsidRDefault="00910C90" w14:paraId="4A75BA5E"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00910C90" w:rsidP="00BE1F8F" w:rsidRDefault="00910C90" w14:paraId="217B964C" w14:textId="77777777">
      <w:pPr>
        <w:overflowPunct w:val="0"/>
        <w:autoSpaceDE w:val="0"/>
        <w:autoSpaceDN w:val="0"/>
        <w:adjustRightInd w:val="0"/>
        <w:textAlignment w:val="baseline"/>
        <w:rPr>
          <w:bCs/>
          <w:iCs/>
        </w:rPr>
      </w:pPr>
      <w:r>
        <w:t>O Comité Económico e Social Europeu:</w:t>
      </w:r>
    </w:p>
    <w:p w:rsidRPr="00910C90" w:rsidR="00910C90" w:rsidP="00BE1F8F" w:rsidRDefault="00910C90" w14:paraId="1D41958A" w14:textId="77777777">
      <w:pPr>
        <w:widowControl w:val="0"/>
        <w:numPr>
          <w:ilvl w:val="0"/>
          <w:numId w:val="26"/>
        </w:numPr>
        <w:overflowPunct w:val="0"/>
        <w:autoSpaceDE w:val="0"/>
        <w:autoSpaceDN w:val="0"/>
        <w:adjustRightInd w:val="0"/>
        <w:ind w:left="284" w:hanging="284"/>
        <w:textAlignment w:val="baseline"/>
      </w:pPr>
      <w:r>
        <w:t>insta a UE e os Estados-Membros a acelerar o ritmo do progresso em matéria de igualdade de género, a dar provas de uma maior ambição, a insurgir-se contra a redução do espaço da sociedade civil e a impedir qualquer retrocesso nos direitos das mulheres, que estão a ser alvo de ataques, em particular de partidos políticos de extrema-direita;</w:t>
      </w:r>
    </w:p>
    <w:p w:rsidRPr="00910C90" w:rsidR="00910C90" w:rsidP="00BE1F8F" w:rsidRDefault="00910C90" w14:paraId="78127DE3" w14:textId="77777777">
      <w:pPr>
        <w:widowControl w:val="0"/>
        <w:numPr>
          <w:ilvl w:val="0"/>
          <w:numId w:val="26"/>
        </w:numPr>
        <w:overflowPunct w:val="0"/>
        <w:autoSpaceDE w:val="0"/>
        <w:autoSpaceDN w:val="0"/>
        <w:adjustRightInd w:val="0"/>
        <w:ind w:left="284" w:hanging="284"/>
        <w:textAlignment w:val="baseline"/>
      </w:pPr>
      <w:r>
        <w:t>insta a UE, os Estados-Membros e os partidos políticos a comprometerem-se a atrair as mulheres para a política, nomeadamente ponderando medidas para incentivar a eleição e a designação de mulheres para os principais cargos, como as quotas, as listas paritárias, a copresidência, a repartição de mandatos e a proposta de candidatos do sexo masculino e do sexo feminino;</w:t>
      </w:r>
    </w:p>
    <w:p w:rsidRPr="00910C90" w:rsidR="00910C90" w:rsidP="00BE1F8F" w:rsidRDefault="00910C90" w14:paraId="7874547D" w14:textId="77777777">
      <w:pPr>
        <w:widowControl w:val="0"/>
        <w:numPr>
          <w:ilvl w:val="0"/>
          <w:numId w:val="26"/>
        </w:numPr>
        <w:overflowPunct w:val="0"/>
        <w:autoSpaceDE w:val="0"/>
        <w:autoSpaceDN w:val="0"/>
        <w:adjustRightInd w:val="0"/>
        <w:ind w:left="284" w:hanging="284"/>
        <w:contextualSpacing/>
        <w:textAlignment w:val="baseline"/>
      </w:pPr>
      <w:r>
        <w:t xml:space="preserve">exorta os Estados-Membros a afetarem recursos suficientes aos seus planos de ação nacionais para pôr termo à violência contra as mulheres e a conceberem esses planos em consulta com as organizações da sociedade civil; solicita que sejam tomadas mais medidas para combater a violência no ambiente digital e a violência económica, para cuidar da saúde física e mental das mulheres e para garantir o respeito da saúde sexual e reprodutiva das mulheres e dos seus direitos neste contexto; </w:t>
      </w:r>
    </w:p>
    <w:p w:rsidRPr="00910C90" w:rsidR="00910C90" w:rsidP="00BE1F8F" w:rsidRDefault="00910C90" w14:paraId="21DA3653" w14:textId="77777777">
      <w:pPr>
        <w:widowControl w:val="0"/>
        <w:numPr>
          <w:ilvl w:val="0"/>
          <w:numId w:val="26"/>
        </w:numPr>
        <w:overflowPunct w:val="0"/>
        <w:autoSpaceDE w:val="0"/>
        <w:autoSpaceDN w:val="0"/>
        <w:adjustRightInd w:val="0"/>
        <w:ind w:left="284" w:hanging="284"/>
        <w:contextualSpacing/>
        <w:textAlignment w:val="baseline"/>
      </w:pPr>
      <w:r>
        <w:t>considera que um quadro da UE para uma transição justa deve incluir uma estratégia em matéria de competências para combater as desigualdades de género preexistentes, que tenha em conta as mulheres e raparigas do Sul Global e das zonas rurais, que são desproporcionadamente afetadas pela tripla crise planetária;</w:t>
      </w:r>
    </w:p>
    <w:p w:rsidRPr="00910C90" w:rsidR="00910C90" w:rsidP="00BE1F8F" w:rsidRDefault="00910C90" w14:paraId="4B62CBD1" w14:textId="77777777">
      <w:pPr>
        <w:widowControl w:val="0"/>
        <w:numPr>
          <w:ilvl w:val="0"/>
          <w:numId w:val="26"/>
        </w:numPr>
        <w:overflowPunct w:val="0"/>
        <w:autoSpaceDE w:val="0"/>
        <w:autoSpaceDN w:val="0"/>
        <w:adjustRightInd w:val="0"/>
        <w:ind w:left="284" w:hanging="284"/>
        <w:contextualSpacing/>
        <w:textAlignment w:val="baseline"/>
      </w:pPr>
      <w:r>
        <w:t>apela para que se colmate o fosso digital entre os géneros e para que se incluam os pontos de vista das mulheres na conceção, no desenvolvimento e na implantação da inteligência artificial (IA) e dos algoritmos, a fim de tornar a IA socialmente sensível e inclusiva;</w:t>
      </w:r>
    </w:p>
    <w:p w:rsidRPr="00910C90" w:rsidR="00910C90" w:rsidP="00BE1F8F" w:rsidRDefault="00910C90" w14:paraId="2831FD93" w14:textId="77777777">
      <w:pPr>
        <w:widowControl w:val="0"/>
        <w:numPr>
          <w:ilvl w:val="0"/>
          <w:numId w:val="26"/>
        </w:numPr>
        <w:overflowPunct w:val="0"/>
        <w:autoSpaceDE w:val="0"/>
        <w:autoSpaceDN w:val="0"/>
        <w:adjustRightInd w:val="0"/>
        <w:ind w:left="284" w:hanging="284"/>
        <w:contextualSpacing/>
        <w:textAlignment w:val="baseline"/>
      </w:pPr>
      <w:r>
        <w:t>apela para medidas destinadas a colmatar as disparidades de género nas responsabilidades de prestação de cuidados não remuneradas e ajudar as mulheres a permanecerem no mercado de trabalho, designadamente através do acesso a serviços de saúde e de cuidados de qualidade e a preços comportáveis e a redes de segurança, em consonância com as regras nacionais;</w:t>
      </w:r>
    </w:p>
    <w:p w:rsidRPr="00910C90" w:rsidR="00910C90" w:rsidP="00BE1F8F" w:rsidRDefault="00910C90" w14:paraId="20D9B26B" w14:textId="77777777">
      <w:pPr>
        <w:widowControl w:val="0"/>
        <w:numPr>
          <w:ilvl w:val="0"/>
          <w:numId w:val="26"/>
        </w:numPr>
        <w:overflowPunct w:val="0"/>
        <w:autoSpaceDE w:val="0"/>
        <w:autoSpaceDN w:val="0"/>
        <w:adjustRightInd w:val="0"/>
        <w:ind w:left="284" w:hanging="284"/>
        <w:contextualSpacing/>
        <w:textAlignment w:val="baseline"/>
      </w:pPr>
      <w:r>
        <w:t>solicita uma estratégia forte e ambiciosa da UE a longo prazo para uma política externa inclusiva que coloque no centro das suas preocupações a igualdade de género, os direitos humanos, a diplomacia feminista e a justiça social;</w:t>
      </w:r>
    </w:p>
    <w:p w:rsidR="00910C90" w:rsidP="00BE1F8F" w:rsidRDefault="00910C90" w14:paraId="5A9E6752" w14:textId="77777777">
      <w:pPr>
        <w:widowControl w:val="0"/>
        <w:numPr>
          <w:ilvl w:val="0"/>
          <w:numId w:val="26"/>
        </w:numPr>
        <w:overflowPunct w:val="0"/>
        <w:autoSpaceDE w:val="0"/>
        <w:autoSpaceDN w:val="0"/>
        <w:adjustRightInd w:val="0"/>
        <w:ind w:left="284" w:hanging="284"/>
        <w:contextualSpacing/>
        <w:textAlignment w:val="baseline"/>
      </w:pPr>
      <w:r>
        <w:t>insiste na necessidade de dispor de mais dados interseccionais repartidos por género para definir e acompanhar as estratégias, bem como de utilizar instrumentos de orçamentação sensível ao género e adotar uma perspetiva de género na política orçamental.</w:t>
      </w:r>
    </w:p>
    <w:p w:rsidRPr="00910C90" w:rsidR="008B7F9B" w:rsidP="00247B9F" w:rsidRDefault="008B7F9B" w14:paraId="0A0E47B6" w14:textId="77777777">
      <w:pPr>
        <w:widowControl w:val="0"/>
        <w:overflowPunct w:val="0"/>
        <w:autoSpaceDE w:val="0"/>
        <w:autoSpaceDN w:val="0"/>
        <w:adjustRightInd w:val="0"/>
        <w:spacing w:line="240" w:lineRule="auto"/>
        <w:contextualSpacing/>
        <w:textAlignment w:val="baseline"/>
        <w:rPr>
          <w:lang w:val="en-GB" w:eastAsia="zh-CN"/>
        </w:rPr>
      </w:pPr>
    </w:p>
    <w:tbl>
      <w:tblPr>
        <w:tblW w:w="0" w:type="auto"/>
        <w:tblLook w:val="04A0" w:firstRow="1" w:lastRow="0" w:firstColumn="1" w:lastColumn="0" w:noHBand="0" w:noVBand="1"/>
      </w:tblPr>
      <w:tblGrid>
        <w:gridCol w:w="2093"/>
        <w:gridCol w:w="7087"/>
      </w:tblGrid>
      <w:tr w:rsidRPr="00910C90" w:rsidR="00910C90" w:rsidTr="00247B9F" w14:paraId="0D75D5FA" w14:textId="77777777">
        <w:tc>
          <w:tcPr>
            <w:tcW w:w="2093" w:type="dxa"/>
          </w:tcPr>
          <w:p w:rsidRPr="00910C90" w:rsidR="00910C90" w:rsidP="00BE1F8F" w:rsidRDefault="00910C90" w14:paraId="09EE9454" w14:textId="796CA1EC">
            <w:pPr>
              <w:overflowPunct w:val="0"/>
              <w:autoSpaceDE w:val="0"/>
              <w:autoSpaceDN w:val="0"/>
              <w:adjustRightInd w:val="0"/>
              <w:textAlignment w:val="baseline"/>
              <w:rPr>
                <w:i/>
              </w:rPr>
            </w:pPr>
            <w:r>
              <w:rPr>
                <w:b/>
                <w:i/>
              </w:rPr>
              <w:t>Contacto</w:t>
            </w:r>
          </w:p>
        </w:tc>
        <w:tc>
          <w:tcPr>
            <w:tcW w:w="7087" w:type="dxa"/>
          </w:tcPr>
          <w:p w:rsidRPr="00910C90" w:rsidR="00910C90" w:rsidP="00BE1F8F" w:rsidRDefault="00910C90" w14:paraId="20BCFE55" w14:textId="48EB87B0">
            <w:pPr>
              <w:overflowPunct w:val="0"/>
              <w:autoSpaceDE w:val="0"/>
              <w:autoSpaceDN w:val="0"/>
              <w:adjustRightInd w:val="0"/>
              <w:textAlignment w:val="baseline"/>
              <w:rPr>
                <w:i/>
              </w:rPr>
            </w:pPr>
            <w:r>
              <w:rPr>
                <w:i/>
              </w:rPr>
              <w:t>Gabriela Grasu</w:t>
            </w:r>
          </w:p>
        </w:tc>
      </w:tr>
      <w:tr w:rsidRPr="00910C90" w:rsidR="00910C90" w:rsidTr="00247B9F" w14:paraId="10BE1906" w14:textId="77777777">
        <w:tc>
          <w:tcPr>
            <w:tcW w:w="2093" w:type="dxa"/>
          </w:tcPr>
          <w:p w:rsidRPr="00910C90" w:rsidR="00910C90" w:rsidP="00BE1F8F" w:rsidRDefault="00910C90" w14:paraId="7C9E9C27" w14:textId="578CE414">
            <w:pPr>
              <w:overflowPunct w:val="0"/>
              <w:autoSpaceDE w:val="0"/>
              <w:autoSpaceDN w:val="0"/>
              <w:adjustRightInd w:val="0"/>
              <w:textAlignment w:val="baseline"/>
              <w:rPr>
                <w:i/>
              </w:rPr>
            </w:pPr>
            <w:r>
              <w:rPr>
                <w:i/>
              </w:rPr>
              <w:t>Tel.</w:t>
            </w:r>
          </w:p>
        </w:tc>
        <w:tc>
          <w:tcPr>
            <w:tcW w:w="7087" w:type="dxa"/>
          </w:tcPr>
          <w:p w:rsidRPr="00910C90" w:rsidR="00910C90" w:rsidP="00BE1F8F" w:rsidRDefault="00910C90" w14:paraId="6BD9772E" w14:textId="77777777">
            <w:pPr>
              <w:overflowPunct w:val="0"/>
              <w:autoSpaceDE w:val="0"/>
              <w:autoSpaceDN w:val="0"/>
              <w:adjustRightInd w:val="0"/>
              <w:textAlignment w:val="baseline"/>
              <w:rPr>
                <w:i/>
              </w:rPr>
            </w:pPr>
            <w:r>
              <w:rPr>
                <w:i/>
              </w:rPr>
              <w:t>+32 2 546 91 62</w:t>
            </w:r>
          </w:p>
        </w:tc>
      </w:tr>
      <w:tr w:rsidRPr="00910C90" w:rsidR="00910C90" w:rsidTr="00247B9F" w14:paraId="378A4268" w14:textId="77777777">
        <w:tc>
          <w:tcPr>
            <w:tcW w:w="2093" w:type="dxa"/>
          </w:tcPr>
          <w:p w:rsidRPr="00910C90" w:rsidR="00910C90" w:rsidP="00BE1F8F" w:rsidRDefault="00910C90" w14:paraId="67D2B1A7" w14:textId="5316AB28">
            <w:pPr>
              <w:overflowPunct w:val="0"/>
              <w:autoSpaceDE w:val="0"/>
              <w:autoSpaceDN w:val="0"/>
              <w:adjustRightInd w:val="0"/>
              <w:textAlignment w:val="baseline"/>
              <w:rPr>
                <w:i/>
              </w:rPr>
            </w:pPr>
            <w:r>
              <w:rPr>
                <w:i/>
              </w:rPr>
              <w:t>Endereço eletrónico</w:t>
            </w:r>
          </w:p>
        </w:tc>
        <w:tc>
          <w:tcPr>
            <w:tcW w:w="7087" w:type="dxa"/>
          </w:tcPr>
          <w:p w:rsidRPr="00910C90" w:rsidR="00910C90" w:rsidP="00BE1F8F" w:rsidRDefault="00C61EB1" w14:paraId="18F62F88" w14:textId="03616BAE">
            <w:pPr>
              <w:overflowPunct w:val="0"/>
              <w:autoSpaceDE w:val="0"/>
              <w:autoSpaceDN w:val="0"/>
              <w:adjustRightInd w:val="0"/>
              <w:textAlignment w:val="baseline"/>
              <w:rPr>
                <w:i/>
                <w:iCs/>
              </w:rPr>
            </w:pPr>
            <w:hyperlink w:history="1" r:id="rId34">
              <w:r w:rsidR="00912887">
                <w:rPr>
                  <w:i/>
                  <w:color w:val="0000FF"/>
                  <w:u w:val="single"/>
                </w:rPr>
                <w:t>Gabriela.Grasu@eesc.europa.eu</w:t>
              </w:r>
            </w:hyperlink>
          </w:p>
        </w:tc>
      </w:tr>
    </w:tbl>
    <w:p w:rsidR="00D5795F" w:rsidP="00247B9F" w:rsidRDefault="00D5795F" w14:paraId="0F5B3C36" w14:textId="77777777">
      <w:pPr>
        <w:spacing w:line="192" w:lineRule="auto"/>
        <w:jc w:val="left"/>
      </w:pPr>
      <w:r>
        <w:br w:type="page"/>
      </w:r>
    </w:p>
    <w:p w:rsidRPr="00713105" w:rsidR="00981AAC" w:rsidP="00BE1F8F" w:rsidRDefault="00981AAC" w14:paraId="48226001" w14:textId="27B0F9D8">
      <w:pPr>
        <w:widowControl w:val="0"/>
        <w:numPr>
          <w:ilvl w:val="0"/>
          <w:numId w:val="2"/>
        </w:numPr>
        <w:overflowPunct w:val="0"/>
        <w:autoSpaceDE w:val="0"/>
        <w:autoSpaceDN w:val="0"/>
        <w:adjustRightInd w:val="0"/>
        <w:ind w:hanging="567"/>
        <w:textAlignment w:val="baseline"/>
      </w:pPr>
      <w:r w:rsidRPr="00981AAC">
        <w:rPr>
          <w:b/>
          <w:i/>
          <w:sz w:val="28"/>
        </w:rPr>
        <w:lastRenderedPageBreak/>
        <w:fldChar w:fldCharType="begin"/>
      </w:r>
      <w:r w:rsidRPr="00981AAC">
        <w:rPr>
          <w:b/>
          <w:i/>
          <w:sz w:val="28"/>
        </w:rPr>
        <w:instrText>HYPERLINK "https://www.eesc.europa.eu/pt/our-work/opinions-information-reports/opinions/older-people-employment-systemic-factors-choosing-work-longer"</w:instrText>
      </w:r>
      <w:r w:rsidRPr="00981AAC">
        <w:rPr>
          <w:b/>
          <w:i/>
          <w:sz w:val="28"/>
        </w:rPr>
        <w:fldChar w:fldCharType="separate"/>
      </w:r>
      <w:r>
        <w:rPr>
          <w:b/>
          <w:i/>
          <w:color w:val="0000FF"/>
          <w:sz w:val="28"/>
          <w:u w:val="single"/>
        </w:rPr>
        <w:t>As pesso</w:t>
      </w:r>
      <w:r>
        <w:rPr>
          <w:b/>
          <w:i/>
          <w:color w:val="0000FF"/>
          <w:sz w:val="28"/>
          <w:u w:val="single"/>
        </w:rPr>
        <w:t>as idosas no ativo – fatores sistémicos na escolha de trabalhar por mais tempo</w:t>
      </w:r>
    </w:p>
    <w:p w:rsidRPr="00C77862" w:rsidR="00981AAC" w:rsidP="00BE1F8F" w:rsidRDefault="00981AAC" w14:paraId="69C9F195" w14:textId="77777777">
      <w:pPr>
        <w:widowControl w:val="0"/>
        <w:overflowPunct w:val="0"/>
        <w:autoSpaceDE w:val="0"/>
        <w:autoSpaceDN w:val="0"/>
        <w:adjustRightInd w:val="0"/>
        <w:ind w:left="567"/>
        <w:textAlignment w:val="baseline"/>
        <w:rPr>
          <w:b/>
          <w:i/>
          <w:sz w:val="20"/>
        </w:rPr>
      </w:pPr>
      <w:r w:rsidRPr="00981AAC">
        <w:rPr>
          <w:b/>
          <w:i/>
          <w:sz w:val="28"/>
        </w:rPr>
        <w:fldChar w:fldCharType="end"/>
      </w:r>
    </w:p>
    <w:tbl>
      <w:tblPr>
        <w:tblW w:w="5000" w:type="pct"/>
        <w:tblLook w:val="04A0" w:firstRow="1" w:lastRow="0" w:firstColumn="1" w:lastColumn="0" w:noHBand="0" w:noVBand="1"/>
      </w:tblPr>
      <w:tblGrid>
        <w:gridCol w:w="1668"/>
        <w:gridCol w:w="7619"/>
      </w:tblGrid>
      <w:tr w:rsidRPr="00652335" w:rsidR="00981AAC" w:rsidTr="00713105" w14:paraId="564BEBA9" w14:textId="77777777">
        <w:tc>
          <w:tcPr>
            <w:tcW w:w="898" w:type="pct"/>
          </w:tcPr>
          <w:p w:rsidRPr="00C43D3E" w:rsidR="00981AAC" w:rsidP="00BE1F8F" w:rsidRDefault="00981AAC" w14:paraId="0345DE90" w14:textId="77777777">
            <w:pPr>
              <w:overflowPunct w:val="0"/>
              <w:autoSpaceDE w:val="0"/>
              <w:autoSpaceDN w:val="0"/>
              <w:adjustRightInd w:val="0"/>
              <w:ind w:left="-113"/>
              <w:textAlignment w:val="baseline"/>
              <w:rPr>
                <w:b/>
              </w:rPr>
            </w:pPr>
            <w:r>
              <w:rPr>
                <w:b/>
              </w:rPr>
              <w:t>Relator</w:t>
            </w:r>
          </w:p>
        </w:tc>
        <w:tc>
          <w:tcPr>
            <w:tcW w:w="4102" w:type="pct"/>
          </w:tcPr>
          <w:p w:rsidRPr="00C43D3E" w:rsidR="00382A22" w:rsidP="00BE1F8F" w:rsidRDefault="00981AAC" w14:paraId="2A77F056" w14:textId="351CBDDF">
            <w:pPr>
              <w:tabs>
                <w:tab w:val="left" w:pos="4572"/>
              </w:tabs>
              <w:overflowPunct w:val="0"/>
              <w:autoSpaceDE w:val="0"/>
              <w:autoSpaceDN w:val="0"/>
              <w:adjustRightInd w:val="0"/>
              <w:ind w:left="-113" w:right="-823"/>
              <w:textAlignment w:val="baseline"/>
            </w:pPr>
            <w:r>
              <w:t>Krzysztof Balon (PL – Grupo das Organizações da Sociedade Civil)</w:t>
            </w:r>
          </w:p>
        </w:tc>
      </w:tr>
      <w:tr w:rsidRPr="00652335" w:rsidR="00981AAC" w:rsidTr="00713105" w14:paraId="3AF74D98" w14:textId="77777777">
        <w:tc>
          <w:tcPr>
            <w:tcW w:w="898" w:type="pct"/>
          </w:tcPr>
          <w:p w:rsidRPr="00C43D3E" w:rsidR="00981AAC" w:rsidP="00BE1F8F" w:rsidRDefault="00981AAC" w14:paraId="399C89C3" w14:textId="7F5F6409">
            <w:pPr>
              <w:overflowPunct w:val="0"/>
              <w:autoSpaceDE w:val="0"/>
              <w:autoSpaceDN w:val="0"/>
              <w:adjustRightInd w:val="0"/>
              <w:ind w:left="-113"/>
              <w:textAlignment w:val="baseline"/>
              <w:rPr>
                <w:b/>
              </w:rPr>
            </w:pPr>
            <w:r>
              <w:rPr>
                <w:b/>
              </w:rPr>
              <w:t>Referência</w:t>
            </w:r>
          </w:p>
        </w:tc>
        <w:tc>
          <w:tcPr>
            <w:tcW w:w="4102" w:type="pct"/>
          </w:tcPr>
          <w:p w:rsidRPr="00C43D3E" w:rsidR="00382A22" w:rsidP="00BE1F8F" w:rsidRDefault="00382A22" w14:paraId="15365992" w14:textId="791A85F1">
            <w:pPr>
              <w:tabs>
                <w:tab w:val="left" w:pos="4430"/>
              </w:tabs>
              <w:overflowPunct w:val="0"/>
              <w:autoSpaceDE w:val="0"/>
              <w:autoSpaceDN w:val="0"/>
              <w:adjustRightInd w:val="0"/>
              <w:ind w:left="-113" w:right="-823"/>
              <w:textAlignment w:val="baseline"/>
            </w:pPr>
            <w:r>
              <w:t>Parecer exploratório a pedido da Presidência polaca do Conselho da UE</w:t>
            </w:r>
          </w:p>
          <w:p w:rsidRPr="00C43D3E" w:rsidR="00981AAC" w:rsidP="00BE1F8F" w:rsidRDefault="00981AAC" w14:paraId="455DCFBD" w14:textId="0C759088">
            <w:pPr>
              <w:tabs>
                <w:tab w:val="left" w:pos="4430"/>
              </w:tabs>
              <w:overflowPunct w:val="0"/>
              <w:autoSpaceDE w:val="0"/>
              <w:autoSpaceDN w:val="0"/>
              <w:adjustRightInd w:val="0"/>
              <w:ind w:left="-113" w:right="-823"/>
              <w:textAlignment w:val="baseline"/>
            </w:pPr>
            <w:r>
              <w:t>EESC-2024-03788-00-00-AC</w:t>
            </w:r>
          </w:p>
        </w:tc>
      </w:tr>
    </w:tbl>
    <w:p w:rsidR="00652335" w:rsidP="001E5877" w:rsidRDefault="00652335" w14:paraId="789D81F8"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981AAC" w:rsidR="00981AAC" w:rsidP="00BE1F8F" w:rsidRDefault="00981AAC" w14:paraId="4B8CB502" w14:textId="1F116006">
      <w:pPr>
        <w:keepNext/>
        <w:keepLines/>
        <w:tabs>
          <w:tab w:val="center" w:pos="284"/>
        </w:tabs>
        <w:overflowPunct w:val="0"/>
        <w:autoSpaceDE w:val="0"/>
        <w:autoSpaceDN w:val="0"/>
        <w:adjustRightInd w:val="0"/>
        <w:ind w:left="266" w:hanging="266"/>
        <w:textAlignment w:val="baseline"/>
        <w:rPr>
          <w:b/>
        </w:rPr>
      </w:pPr>
      <w:r>
        <w:rPr>
          <w:b/>
        </w:rPr>
        <w:t>Pontos principais</w:t>
      </w:r>
    </w:p>
    <w:p w:rsidRPr="00981AAC" w:rsidR="00981AAC" w:rsidP="001E5877" w:rsidRDefault="00981AAC" w14:paraId="7008E7DD"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981AAC" w:rsidR="00E83667" w:rsidP="00BE1F8F" w:rsidRDefault="00981AAC" w14:paraId="7F206CE5" w14:textId="098D975F">
      <w:pPr>
        <w:keepNext/>
        <w:keepLines/>
        <w:tabs>
          <w:tab w:val="center" w:pos="284"/>
        </w:tabs>
        <w:overflowPunct w:val="0"/>
        <w:autoSpaceDE w:val="0"/>
        <w:autoSpaceDN w:val="0"/>
        <w:adjustRightInd w:val="0"/>
        <w:ind w:left="266" w:hanging="266"/>
        <w:textAlignment w:val="baseline"/>
        <w:rPr>
          <w:szCs w:val="20"/>
        </w:rPr>
      </w:pPr>
      <w:r>
        <w:t>O Comité Económico e Social Europeu:</w:t>
      </w:r>
    </w:p>
    <w:p w:rsidRPr="00981AAC" w:rsidR="00981AAC" w:rsidP="00713105" w:rsidRDefault="00981AAC" w14:paraId="3311126F" w14:textId="77777777">
      <w:pPr>
        <w:pStyle w:val="ListParagraph"/>
        <w:numPr>
          <w:ilvl w:val="0"/>
          <w:numId w:val="42"/>
        </w:numPr>
        <w:ind w:left="567" w:hanging="567"/>
      </w:pPr>
      <w:bookmarkStart w:name="_Toc191974009" w:id="11"/>
      <w:r>
        <w:t xml:space="preserve">partilha o ponto de vista da Presidência polaca do Conselho da União Europeia de que </w:t>
      </w:r>
      <w:r>
        <w:rPr>
          <w:b/>
        </w:rPr>
        <w:t>manter as pessoas idosas na vida ativa</w:t>
      </w:r>
      <w:r>
        <w:t xml:space="preserve"> constitui um dos </w:t>
      </w:r>
      <w:r>
        <w:rPr>
          <w:b/>
        </w:rPr>
        <w:t>desafios principais das políticas públicas</w:t>
      </w:r>
      <w:r>
        <w:t xml:space="preserve">. Uma vez que a esperança média de vida saudável está a aumentar na União Europeia (UE), </w:t>
      </w:r>
      <w:r>
        <w:rPr>
          <w:b/>
        </w:rPr>
        <w:t>a atividade profissional das pessoas idosas</w:t>
      </w:r>
      <w:r>
        <w:t xml:space="preserve"> pode potencialmente </w:t>
      </w:r>
      <w:r>
        <w:rPr>
          <w:b/>
        </w:rPr>
        <w:t>influenciar de forma positiva</w:t>
      </w:r>
      <w:r>
        <w:t xml:space="preserve"> não só o </w:t>
      </w:r>
      <w:r>
        <w:rPr>
          <w:b/>
        </w:rPr>
        <w:t>desenvolvimento económico</w:t>
      </w:r>
      <w:r>
        <w:t xml:space="preserve">, mas também </w:t>
      </w:r>
      <w:r>
        <w:rPr>
          <w:b/>
        </w:rPr>
        <w:t>o seu bem-estar</w:t>
      </w:r>
      <w:r>
        <w:t xml:space="preserve"> graças a melhores </w:t>
      </w:r>
      <w:r>
        <w:rPr>
          <w:b/>
        </w:rPr>
        <w:t>condições financeiras</w:t>
      </w:r>
      <w:r>
        <w:t xml:space="preserve">, </w:t>
      </w:r>
      <w:r>
        <w:rPr>
          <w:b/>
        </w:rPr>
        <w:t>sociais</w:t>
      </w:r>
      <w:r>
        <w:t xml:space="preserve"> e de </w:t>
      </w:r>
      <w:r>
        <w:rPr>
          <w:b/>
        </w:rPr>
        <w:t>saúde</w:t>
      </w:r>
      <w:r>
        <w:t>, além de reforçar a solidariedade intergeracional na sociedade;</w:t>
      </w:r>
      <w:bookmarkEnd w:id="11"/>
    </w:p>
    <w:p w:rsidRPr="00652335" w:rsidR="00981AAC" w:rsidP="00713105" w:rsidRDefault="00981AAC" w14:paraId="30FD09FC" w14:textId="77777777">
      <w:pPr>
        <w:pStyle w:val="ListParagraph"/>
        <w:numPr>
          <w:ilvl w:val="0"/>
          <w:numId w:val="42"/>
        </w:numPr>
        <w:ind w:left="567" w:hanging="567"/>
      </w:pPr>
      <w:bookmarkStart w:name="_Toc191974010" w:id="12"/>
      <w:r>
        <w:t xml:space="preserve">assinala que </w:t>
      </w:r>
      <w:r>
        <w:rPr>
          <w:b/>
        </w:rPr>
        <w:t>importa assegurar a plena aplicação do princípio 15 do Pilar Europeu dos Direitos Sociais</w:t>
      </w:r>
      <w:r>
        <w:t xml:space="preserve"> (os trabalhadores por conta de outrem e por conta própria reformados têm direito a uma pensão proporcional às suas contribuições que lhes garanta um rendimento adequado para viver com dignidade na velhice);</w:t>
      </w:r>
      <w:bookmarkEnd w:id="12"/>
    </w:p>
    <w:p w:rsidRPr="00652335" w:rsidR="00981AAC" w:rsidP="00713105" w:rsidRDefault="00981AAC" w14:paraId="7674E455" w14:textId="77777777">
      <w:pPr>
        <w:pStyle w:val="ListParagraph"/>
        <w:numPr>
          <w:ilvl w:val="0"/>
          <w:numId w:val="42"/>
        </w:numPr>
        <w:ind w:left="567" w:hanging="567"/>
      </w:pPr>
      <w:bookmarkStart w:name="_Toc191974011" w:id="13"/>
      <w:r>
        <w:t xml:space="preserve">salienta que a </w:t>
      </w:r>
      <w:r>
        <w:rPr>
          <w:b/>
        </w:rPr>
        <w:t>criação de empregos de qualidade</w:t>
      </w:r>
      <w:r>
        <w:t xml:space="preserve"> e de um </w:t>
      </w:r>
      <w:r>
        <w:rPr>
          <w:b/>
        </w:rPr>
        <w:t>ambiente de trabalho</w:t>
      </w:r>
      <w:r>
        <w:t xml:space="preserve"> que incentive todos os grupos etários a </w:t>
      </w:r>
      <w:r>
        <w:rPr>
          <w:b/>
        </w:rPr>
        <w:t>entrar e permanecer no mercado de trabalho</w:t>
      </w:r>
      <w:r>
        <w:t xml:space="preserve"> é um aspeto importante;</w:t>
      </w:r>
      <w:bookmarkEnd w:id="13"/>
      <w:r>
        <w:t xml:space="preserve"> </w:t>
      </w:r>
    </w:p>
    <w:p w:rsidRPr="00652335" w:rsidR="00981AAC" w:rsidP="00713105" w:rsidRDefault="00981AAC" w14:paraId="7D687E45" w14:textId="77777777">
      <w:pPr>
        <w:pStyle w:val="ListParagraph"/>
        <w:numPr>
          <w:ilvl w:val="0"/>
          <w:numId w:val="41"/>
        </w:numPr>
        <w:ind w:left="567" w:hanging="567"/>
      </w:pPr>
      <w:bookmarkStart w:name="_Toc191974012" w:id="14"/>
      <w:r>
        <w:t xml:space="preserve">observa que outro fator para aumentar o emprego das pessoas idosas é a </w:t>
      </w:r>
      <w:r>
        <w:rPr>
          <w:b/>
        </w:rPr>
        <w:t>criação de equipas de trabalho multigeracionais</w:t>
      </w:r>
      <w:r>
        <w:t xml:space="preserve"> e </w:t>
      </w:r>
      <w:r>
        <w:rPr>
          <w:b/>
        </w:rPr>
        <w:t>reitera</w:t>
      </w:r>
      <w:r>
        <w:t xml:space="preserve"> o seu pedido à </w:t>
      </w:r>
      <w:r>
        <w:rPr>
          <w:b/>
        </w:rPr>
        <w:t>Comissão Europeia</w:t>
      </w:r>
      <w:r>
        <w:t xml:space="preserve"> para que adote uma </w:t>
      </w:r>
      <w:r>
        <w:rPr>
          <w:b/>
        </w:rPr>
        <w:t>recomendação</w:t>
      </w:r>
      <w:r>
        <w:t xml:space="preserve"> instando os Estados-Membros a </w:t>
      </w:r>
      <w:r>
        <w:rPr>
          <w:b/>
        </w:rPr>
        <w:t>assegurarem a presença de trabalhadores de diferentes gerações e a sua cooperação no local de trabalho</w:t>
      </w:r>
      <w:r>
        <w:t>;</w:t>
      </w:r>
      <w:bookmarkEnd w:id="14"/>
    </w:p>
    <w:p w:rsidRPr="00652335" w:rsidR="00981AAC" w:rsidP="00713105" w:rsidRDefault="00981AAC" w14:paraId="2CC124C3" w14:textId="77777777">
      <w:pPr>
        <w:pStyle w:val="ListParagraph"/>
        <w:numPr>
          <w:ilvl w:val="0"/>
          <w:numId w:val="40"/>
        </w:numPr>
        <w:ind w:left="567" w:hanging="567"/>
      </w:pPr>
      <w:bookmarkStart w:name="_Toc191974013" w:id="15"/>
      <w:r>
        <w:t xml:space="preserve">sublinha que as medidas de apoio ao emprego das pessoas idosas incluem ainda: a) a </w:t>
      </w:r>
      <w:r>
        <w:rPr>
          <w:b/>
        </w:rPr>
        <w:t>criação de uma ambiente de trabalho propício</w:t>
      </w:r>
      <w:r>
        <w:t xml:space="preserve"> a que as pessoas idosas se mantenham mais tempo no mercado de trabalho, sempre que o desejarem; b) </w:t>
      </w:r>
      <w:r>
        <w:rPr>
          <w:b/>
        </w:rPr>
        <w:t>formação contínua e melhoria das competências</w:t>
      </w:r>
      <w:r>
        <w:t xml:space="preserve"> no âmbito de uma </w:t>
      </w:r>
      <w:r>
        <w:rPr>
          <w:b/>
        </w:rPr>
        <w:t>política de aprendizagem ao longo da vida</w:t>
      </w:r>
      <w:r>
        <w:t xml:space="preserve">; c) soluções que permitam </w:t>
      </w:r>
      <w:r>
        <w:rPr>
          <w:b/>
        </w:rPr>
        <w:t>conciliar a vida profissional com as obrigações de prestação de cuidados</w:t>
      </w:r>
      <w:r>
        <w:t xml:space="preserve"> a familiares idosos; d) </w:t>
      </w:r>
      <w:r>
        <w:rPr>
          <w:b/>
        </w:rPr>
        <w:t>incentivos ao prolongamento da vida ativa</w:t>
      </w:r>
      <w:r>
        <w:t xml:space="preserve">; e e) </w:t>
      </w:r>
      <w:r>
        <w:rPr>
          <w:b/>
        </w:rPr>
        <w:t>combate à discriminação em razão da idade</w:t>
      </w:r>
      <w:r>
        <w:t xml:space="preserve"> e de outros fatores que impedem os trabalhadores mais idosos de permanecer no ativo. Os agentes da economia social, as organizações da sociedade civil e os parceiros sociais têm um papel fundamental a desempenhar em todos esses domínios;</w:t>
      </w:r>
      <w:bookmarkEnd w:id="15"/>
    </w:p>
    <w:p w:rsidRPr="00652335" w:rsidR="00981AAC" w:rsidP="00713105" w:rsidRDefault="00981AAC" w14:paraId="08AC24E2" w14:textId="77777777">
      <w:pPr>
        <w:pStyle w:val="ListParagraph"/>
        <w:numPr>
          <w:ilvl w:val="0"/>
          <w:numId w:val="39"/>
        </w:numPr>
        <w:ind w:left="567" w:hanging="567"/>
      </w:pPr>
      <w:bookmarkStart w:name="_Toc191974014" w:id="16"/>
      <w:r>
        <w:t xml:space="preserve">propõe que a </w:t>
      </w:r>
      <w:r>
        <w:rPr>
          <w:b/>
        </w:rPr>
        <w:t>Comissão Europeia</w:t>
      </w:r>
      <w:r>
        <w:t xml:space="preserve">, em cooperação com o CESE, os parceiros sociais e as organizações da sociedade civil, </w:t>
      </w:r>
      <w:r>
        <w:rPr>
          <w:b/>
        </w:rPr>
        <w:t>crie uma plataforma para o intercâmbio de boas práticas</w:t>
      </w:r>
      <w:r>
        <w:t xml:space="preserve"> entre os Estados-Membros, podendo, posteriormente, tendo em conta os resultados dos debates do fórum, publicar um conjunto de instrumentos que reúna as boas práticas.</w:t>
      </w:r>
      <w:bookmarkEnd w:id="16"/>
    </w:p>
    <w:p w:rsidRPr="00981AAC" w:rsidR="00981AAC" w:rsidP="001E5877" w:rsidRDefault="00981AAC" w14:paraId="4F0FB5FC" w14:textId="77777777">
      <w:pPr>
        <w:overflowPunct w:val="0"/>
        <w:autoSpaceDE w:val="0"/>
        <w:autoSpaceDN w:val="0"/>
        <w:adjustRightInd w:val="0"/>
        <w:spacing w:line="240" w:lineRule="auto"/>
        <w:textAlignment w:val="baseline"/>
        <w:rPr>
          <w:szCs w:val="20"/>
          <w:lang w:val="en-GB"/>
        </w:rPr>
      </w:pPr>
    </w:p>
    <w:tbl>
      <w:tblPr>
        <w:tblW w:w="4941" w:type="pct"/>
        <w:tblLook w:val="04A0" w:firstRow="1" w:lastRow="0" w:firstColumn="1" w:lastColumn="0" w:noHBand="0" w:noVBand="1"/>
      </w:tblPr>
      <w:tblGrid>
        <w:gridCol w:w="2236"/>
        <w:gridCol w:w="6941"/>
      </w:tblGrid>
      <w:tr w:rsidRPr="00981AAC" w:rsidR="00981AAC" w:rsidTr="001E5877" w14:paraId="561BB3E5" w14:textId="77777777">
        <w:tc>
          <w:tcPr>
            <w:tcW w:w="1218" w:type="pct"/>
          </w:tcPr>
          <w:p w:rsidRPr="00981AAC" w:rsidR="00981AAC" w:rsidP="00BE1F8F" w:rsidRDefault="00981AAC" w14:paraId="28C5741E" w14:textId="77777777">
            <w:pPr>
              <w:overflowPunct w:val="0"/>
              <w:autoSpaceDE w:val="0"/>
              <w:autoSpaceDN w:val="0"/>
              <w:adjustRightInd w:val="0"/>
              <w:textAlignment w:val="baseline"/>
              <w:rPr>
                <w:i/>
              </w:rPr>
            </w:pPr>
            <w:r>
              <w:rPr>
                <w:b/>
                <w:i/>
              </w:rPr>
              <w:t>Contacto</w:t>
            </w:r>
          </w:p>
        </w:tc>
        <w:tc>
          <w:tcPr>
            <w:tcW w:w="3782" w:type="pct"/>
          </w:tcPr>
          <w:p w:rsidRPr="00981AAC" w:rsidR="00981AAC" w:rsidP="00BE1F8F" w:rsidRDefault="00981AAC" w14:paraId="3A046822" w14:textId="6C427D2F">
            <w:pPr>
              <w:overflowPunct w:val="0"/>
              <w:autoSpaceDE w:val="0"/>
              <w:autoSpaceDN w:val="0"/>
              <w:adjustRightInd w:val="0"/>
              <w:textAlignment w:val="baseline"/>
              <w:rPr>
                <w:i/>
              </w:rPr>
            </w:pPr>
            <w:r>
              <w:rPr>
                <w:i/>
              </w:rPr>
              <w:t>Triin Aasmaa Gomes</w:t>
            </w:r>
          </w:p>
        </w:tc>
      </w:tr>
      <w:tr w:rsidRPr="00981AAC" w:rsidR="00981AAC" w:rsidTr="001E5877" w14:paraId="5B86D599" w14:textId="77777777">
        <w:tc>
          <w:tcPr>
            <w:tcW w:w="1218" w:type="pct"/>
          </w:tcPr>
          <w:p w:rsidRPr="00981AAC" w:rsidR="00981AAC" w:rsidP="00BE1F8F" w:rsidRDefault="00981AAC" w14:paraId="7FD14655" w14:textId="77777777">
            <w:pPr>
              <w:overflowPunct w:val="0"/>
              <w:autoSpaceDE w:val="0"/>
              <w:autoSpaceDN w:val="0"/>
              <w:adjustRightInd w:val="0"/>
              <w:textAlignment w:val="baseline"/>
              <w:rPr>
                <w:i/>
              </w:rPr>
            </w:pPr>
            <w:r>
              <w:rPr>
                <w:i/>
              </w:rPr>
              <w:t>Tel.</w:t>
            </w:r>
          </w:p>
        </w:tc>
        <w:tc>
          <w:tcPr>
            <w:tcW w:w="3782" w:type="pct"/>
          </w:tcPr>
          <w:p w:rsidRPr="00981AAC" w:rsidR="00981AAC" w:rsidP="00BE1F8F" w:rsidRDefault="00981AAC" w14:paraId="1A842B89" w14:textId="77777777">
            <w:pPr>
              <w:overflowPunct w:val="0"/>
              <w:autoSpaceDE w:val="0"/>
              <w:autoSpaceDN w:val="0"/>
              <w:adjustRightInd w:val="0"/>
              <w:textAlignment w:val="baseline"/>
              <w:rPr>
                <w:i/>
              </w:rPr>
            </w:pPr>
            <w:r>
              <w:rPr>
                <w:i/>
              </w:rPr>
              <w:t>+32 2 546 95 24</w:t>
            </w:r>
          </w:p>
        </w:tc>
      </w:tr>
      <w:tr w:rsidRPr="00981AAC" w:rsidR="00981AAC" w:rsidTr="001E5877" w14:paraId="4FA7AC41" w14:textId="77777777">
        <w:tc>
          <w:tcPr>
            <w:tcW w:w="1218" w:type="pct"/>
          </w:tcPr>
          <w:p w:rsidRPr="00981AAC" w:rsidR="00981AAC" w:rsidP="00BE1F8F" w:rsidRDefault="00981AAC" w14:paraId="5EBD3C93" w14:textId="77777777">
            <w:pPr>
              <w:overflowPunct w:val="0"/>
              <w:autoSpaceDE w:val="0"/>
              <w:autoSpaceDN w:val="0"/>
              <w:adjustRightInd w:val="0"/>
              <w:textAlignment w:val="baseline"/>
              <w:rPr>
                <w:i/>
              </w:rPr>
            </w:pPr>
            <w:r>
              <w:rPr>
                <w:i/>
              </w:rPr>
              <w:t>Endereço eletrónico</w:t>
            </w:r>
          </w:p>
        </w:tc>
        <w:tc>
          <w:tcPr>
            <w:tcW w:w="3782" w:type="pct"/>
          </w:tcPr>
          <w:p w:rsidRPr="00713105" w:rsidR="00981AAC" w:rsidP="00BE1F8F" w:rsidRDefault="00C61EB1" w14:paraId="03C24A43" w14:textId="0AF7A5D3">
            <w:pPr>
              <w:overflowPunct w:val="0"/>
              <w:autoSpaceDE w:val="0"/>
              <w:autoSpaceDN w:val="0"/>
              <w:adjustRightInd w:val="0"/>
              <w:textAlignment w:val="baseline"/>
            </w:pPr>
            <w:hyperlink w:history="1" r:id="rId35">
              <w:r w:rsidR="00912887">
                <w:rPr>
                  <w:i/>
                  <w:color w:val="0000FF"/>
                  <w:u w:val="single"/>
                </w:rPr>
                <w:t>Triin.AasmaaGomes@eesc.europa.eu</w:t>
              </w:r>
            </w:hyperlink>
          </w:p>
        </w:tc>
      </w:tr>
    </w:tbl>
    <w:p w:rsidRPr="00713105" w:rsidR="000D43E1" w:rsidP="001E5877" w:rsidRDefault="000D43E1" w14:paraId="4982DDC2" w14:textId="686E2E23">
      <w:pPr>
        <w:spacing w:line="192" w:lineRule="auto"/>
        <w:jc w:val="left"/>
      </w:pPr>
      <w:r>
        <w:br w:type="page"/>
      </w:r>
    </w:p>
    <w:p w:rsidRPr="00DC45BC" w:rsidR="004D7AC0" w:rsidP="00BE1F8F" w:rsidRDefault="004D7AC0" w14:paraId="4982DDC5" w14:textId="3495F80F">
      <w:pPr>
        <w:jc w:val="left"/>
        <w:rPr>
          <w:sz w:val="8"/>
          <w:szCs w:val="8"/>
        </w:rPr>
      </w:pPr>
    </w:p>
    <w:p w:rsidR="004D7AC0" w:rsidP="00BE1F8F" w:rsidRDefault="004D7AC0" w14:paraId="4982DDC6" w14:textId="77777777">
      <w:pPr>
        <w:pStyle w:val="Heading1"/>
        <w:keepNext/>
        <w:keepLines/>
        <w:rPr>
          <w:b/>
        </w:rPr>
      </w:pPr>
      <w:bookmarkStart w:name="_Toc24617160" w:id="17"/>
      <w:bookmarkStart w:name="_Toc75527082" w:id="18"/>
      <w:bookmarkStart w:name="_Toc192751486" w:id="19"/>
      <w:r>
        <w:rPr>
          <w:b/>
        </w:rPr>
        <w:t>TRANSPORTES, ENERGIA, INFRAESTRUTURAS E SOCIEDADE DA INFORMAÇÃO</w:t>
      </w:r>
      <w:bookmarkEnd w:id="17"/>
      <w:bookmarkEnd w:id="18"/>
      <w:bookmarkEnd w:id="19"/>
    </w:p>
    <w:p w:rsidR="004D7AC0" w:rsidP="00BE1F8F" w:rsidRDefault="004D7AC0" w14:paraId="4982DDF1" w14:textId="77777777"/>
    <w:p w:rsidRPr="00A230A4" w:rsidR="00A230A4" w:rsidP="00BE1F8F" w:rsidRDefault="00C61EB1" w14:paraId="64C335F9" w14:textId="3ECD80EF">
      <w:pPr>
        <w:widowControl w:val="0"/>
        <w:numPr>
          <w:ilvl w:val="0"/>
          <w:numId w:val="2"/>
        </w:numPr>
        <w:overflowPunct w:val="0"/>
        <w:autoSpaceDE w:val="0"/>
        <w:autoSpaceDN w:val="0"/>
        <w:adjustRightInd w:val="0"/>
        <w:ind w:hanging="567"/>
        <w:textAlignment w:val="baseline"/>
        <w:rPr>
          <w:b/>
          <w:bCs/>
          <w:i/>
          <w:iCs/>
          <w:sz w:val="28"/>
          <w:szCs w:val="28"/>
        </w:rPr>
      </w:pPr>
      <w:hyperlink w:history="1" r:id="rId36">
        <w:r w:rsidR="00912887">
          <w:rPr>
            <w:b/>
            <w:i/>
            <w:color w:val="0000FF"/>
            <w:sz w:val="28"/>
            <w:u w:val="single"/>
          </w:rPr>
          <w:t>A realização física do mer</w:t>
        </w:r>
        <w:r w:rsidR="00912887">
          <w:rPr>
            <w:b/>
            <w:i/>
            <w:color w:val="0000FF"/>
            <w:sz w:val="28"/>
            <w:u w:val="single"/>
          </w:rPr>
          <w:t>cado interno da UE na nova situação geopolítica</w:t>
        </w:r>
      </w:hyperlink>
    </w:p>
    <w:p w:rsidRPr="00A230A4" w:rsidR="00A230A4" w:rsidP="00BE1F8F" w:rsidRDefault="00A230A4" w14:paraId="2FFA7CD5"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479"/>
      </w:tblGrid>
      <w:tr w:rsidRPr="00A230A4" w:rsidR="00A230A4" w:rsidTr="00713105" w14:paraId="6D4A0388" w14:textId="77777777">
        <w:tc>
          <w:tcPr>
            <w:tcW w:w="1701" w:type="dxa"/>
          </w:tcPr>
          <w:p w:rsidRPr="00A230A4" w:rsidR="00A230A4" w:rsidP="00BE1F8F" w:rsidRDefault="00A230A4" w14:paraId="3793B605" w14:textId="77777777">
            <w:pPr>
              <w:tabs>
                <w:tab w:val="center" w:pos="284"/>
              </w:tabs>
              <w:overflowPunct w:val="0"/>
              <w:autoSpaceDE w:val="0"/>
              <w:autoSpaceDN w:val="0"/>
              <w:adjustRightInd w:val="0"/>
              <w:ind w:left="266" w:hanging="266"/>
              <w:textAlignment w:val="baseline"/>
              <w:rPr>
                <w:b/>
              </w:rPr>
            </w:pPr>
            <w:r>
              <w:rPr>
                <w:b/>
              </w:rPr>
              <w:t>Relatora</w:t>
            </w:r>
          </w:p>
        </w:tc>
        <w:tc>
          <w:tcPr>
            <w:tcW w:w="7479" w:type="dxa"/>
          </w:tcPr>
          <w:p w:rsidRPr="00A230A4" w:rsidR="00A230A4" w:rsidP="00BE1F8F" w:rsidRDefault="00A230A4" w14:paraId="38BAB1F6" w14:textId="6CD83440">
            <w:pPr>
              <w:tabs>
                <w:tab w:val="center" w:pos="284"/>
              </w:tabs>
              <w:overflowPunct w:val="0"/>
              <w:autoSpaceDE w:val="0"/>
              <w:autoSpaceDN w:val="0"/>
              <w:adjustRightInd w:val="0"/>
              <w:ind w:left="266" w:hanging="266"/>
              <w:textAlignment w:val="baseline"/>
            </w:pPr>
            <w:r>
              <w:t>Päivi Elina Wood (FI – Grupo dos Empregadores)</w:t>
            </w:r>
          </w:p>
        </w:tc>
      </w:tr>
      <w:tr w:rsidRPr="00A230A4" w:rsidR="00A230A4" w:rsidTr="00713105" w14:paraId="19E7978D" w14:textId="77777777">
        <w:tc>
          <w:tcPr>
            <w:tcW w:w="1701" w:type="dxa"/>
          </w:tcPr>
          <w:p w:rsidRPr="00A230A4" w:rsidR="00A230A4" w:rsidP="00BE1F8F" w:rsidRDefault="00A230A4" w14:paraId="21EBC6AF" w14:textId="1650C1F5">
            <w:pPr>
              <w:tabs>
                <w:tab w:val="center" w:pos="284"/>
              </w:tabs>
              <w:overflowPunct w:val="0"/>
              <w:autoSpaceDE w:val="0"/>
              <w:autoSpaceDN w:val="0"/>
              <w:adjustRightInd w:val="0"/>
              <w:ind w:left="266" w:hanging="266"/>
              <w:textAlignment w:val="baseline"/>
              <w:rPr>
                <w:b/>
              </w:rPr>
            </w:pPr>
            <w:r>
              <w:rPr>
                <w:b/>
              </w:rPr>
              <w:t>Referência</w:t>
            </w:r>
          </w:p>
        </w:tc>
        <w:tc>
          <w:tcPr>
            <w:tcW w:w="7479" w:type="dxa"/>
          </w:tcPr>
          <w:p w:rsidRPr="00A230A4" w:rsidR="00A230A4" w:rsidP="00BE1F8F" w:rsidRDefault="00A230A4" w14:paraId="6D31E889" w14:textId="77777777">
            <w:pPr>
              <w:tabs>
                <w:tab w:val="center" w:pos="284"/>
              </w:tabs>
              <w:overflowPunct w:val="0"/>
              <w:autoSpaceDE w:val="0"/>
              <w:autoSpaceDN w:val="0"/>
              <w:adjustRightInd w:val="0"/>
              <w:ind w:left="266" w:hanging="266"/>
              <w:textAlignment w:val="baseline"/>
            </w:pPr>
            <w:r>
              <w:t>Parecer de iniciativa</w:t>
            </w:r>
          </w:p>
          <w:p w:rsidRPr="00A230A4" w:rsidR="00A230A4" w:rsidP="00BE1F8F" w:rsidRDefault="00A230A4" w14:paraId="2EB2BC1E" w14:textId="77777777">
            <w:pPr>
              <w:tabs>
                <w:tab w:val="center" w:pos="284"/>
              </w:tabs>
              <w:overflowPunct w:val="0"/>
              <w:autoSpaceDE w:val="0"/>
              <w:autoSpaceDN w:val="0"/>
              <w:adjustRightInd w:val="0"/>
              <w:ind w:left="266" w:hanging="266"/>
              <w:textAlignment w:val="baseline"/>
            </w:pPr>
            <w:r>
              <w:t>EESC-2024-03902-00-00-AC</w:t>
            </w:r>
          </w:p>
        </w:tc>
      </w:tr>
    </w:tbl>
    <w:p w:rsidRPr="00A230A4" w:rsidR="00A230A4" w:rsidP="00BE1F8F" w:rsidRDefault="00A230A4" w14:paraId="1945C70F" w14:textId="77777777">
      <w:pPr>
        <w:tabs>
          <w:tab w:val="center" w:pos="284"/>
        </w:tabs>
        <w:overflowPunct w:val="0"/>
        <w:autoSpaceDE w:val="0"/>
        <w:autoSpaceDN w:val="0"/>
        <w:adjustRightInd w:val="0"/>
        <w:ind w:left="266" w:hanging="266"/>
        <w:textAlignment w:val="baseline"/>
        <w:rPr>
          <w:lang w:val="en-GB"/>
        </w:rPr>
      </w:pPr>
    </w:p>
    <w:p w:rsidRPr="00A230A4" w:rsidR="00A230A4" w:rsidP="00BE1F8F" w:rsidRDefault="00A230A4" w14:paraId="24F24472"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A230A4" w:rsidR="00A230A4" w:rsidP="00BE1F8F" w:rsidRDefault="00A230A4" w14:paraId="7D389384" w14:textId="77777777">
      <w:pPr>
        <w:keepNext/>
        <w:keepLines/>
        <w:tabs>
          <w:tab w:val="center" w:pos="284"/>
        </w:tabs>
        <w:overflowPunct w:val="0"/>
        <w:autoSpaceDE w:val="0"/>
        <w:autoSpaceDN w:val="0"/>
        <w:adjustRightInd w:val="0"/>
        <w:ind w:left="266" w:hanging="266"/>
        <w:textAlignment w:val="baseline"/>
        <w:rPr>
          <w:b/>
          <w:lang w:val="en-GB"/>
        </w:rPr>
      </w:pPr>
    </w:p>
    <w:p w:rsidRPr="00A230A4" w:rsidR="00A230A4" w:rsidP="00BE1F8F" w:rsidRDefault="00A230A4" w14:paraId="7E802171" w14:textId="77777777">
      <w:pPr>
        <w:overflowPunct w:val="0"/>
        <w:autoSpaceDE w:val="0"/>
        <w:autoSpaceDN w:val="0"/>
        <w:adjustRightInd w:val="0"/>
        <w:textAlignment w:val="baseline"/>
        <w:rPr>
          <w:bCs/>
          <w:iCs/>
        </w:rPr>
      </w:pPr>
      <w:r>
        <w:t>O Comité Económico e Social Europeu:</w:t>
      </w:r>
    </w:p>
    <w:p w:rsidRPr="00A230A4" w:rsidR="00A230A4" w:rsidP="00BE1F8F" w:rsidRDefault="00A230A4" w14:paraId="6DCC695C" w14:textId="77777777">
      <w:pPr>
        <w:widowControl w:val="0"/>
        <w:numPr>
          <w:ilvl w:val="0"/>
          <w:numId w:val="28"/>
        </w:numPr>
        <w:overflowPunct w:val="0"/>
        <w:autoSpaceDE w:val="0"/>
        <w:autoSpaceDN w:val="0"/>
        <w:adjustRightInd w:val="0"/>
        <w:ind w:left="284" w:hanging="284"/>
        <w:textAlignment w:val="baseline"/>
        <w:rPr>
          <w:bCs/>
          <w:iCs/>
        </w:rPr>
      </w:pPr>
      <w:r>
        <w:t>considera essencial concentrar mais esforços na melhoria da resiliência e da fiabilidade dos sistemas de transporte; destaca a necessidade de uma análise adequada das consequências da crise para todos os modos de transporte e de eventuais novas desvantagens na conectividade das diferentes zonas da UE;</w:t>
      </w:r>
    </w:p>
    <w:p w:rsidRPr="00A230A4" w:rsidR="00A230A4" w:rsidP="00BE1F8F" w:rsidRDefault="00A230A4" w14:paraId="55F2F225" w14:textId="77777777">
      <w:pPr>
        <w:widowControl w:val="0"/>
        <w:numPr>
          <w:ilvl w:val="0"/>
          <w:numId w:val="28"/>
        </w:numPr>
        <w:overflowPunct w:val="0"/>
        <w:autoSpaceDE w:val="0"/>
        <w:autoSpaceDN w:val="0"/>
        <w:adjustRightInd w:val="0"/>
        <w:ind w:left="284" w:hanging="284"/>
        <w:textAlignment w:val="baseline"/>
      </w:pPr>
      <w:r>
        <w:t>considera imperativo que, no próximo quadro financeiro plurianual, se atribua um nível adequado de financiamento ao investimento no desenvolvimento e na manutenção das infraestruturas de transporte de forma bem orientada, começando pelo objetivo de concluir a rede principal da RTE-T até 2030;</w:t>
      </w:r>
    </w:p>
    <w:p w:rsidRPr="00A230A4" w:rsidR="00A230A4" w:rsidP="00BE1F8F" w:rsidRDefault="00A230A4" w14:paraId="64405BDE" w14:textId="77777777">
      <w:pPr>
        <w:widowControl w:val="0"/>
        <w:numPr>
          <w:ilvl w:val="0"/>
          <w:numId w:val="28"/>
        </w:numPr>
        <w:overflowPunct w:val="0"/>
        <w:autoSpaceDE w:val="0"/>
        <w:autoSpaceDN w:val="0"/>
        <w:adjustRightInd w:val="0"/>
        <w:ind w:left="284" w:hanging="284"/>
        <w:textAlignment w:val="baseline"/>
      </w:pPr>
      <w:r>
        <w:t>recomenda que seja dada maior ênfase às infraestruturas de dupla utilização e à mobilidade militar, colaborando igualmente com a Organização do Tratado do Atlântico Norte;</w:t>
      </w:r>
    </w:p>
    <w:p w:rsidRPr="00A230A4" w:rsidR="00A230A4" w:rsidP="00BE1F8F" w:rsidRDefault="00A230A4" w14:paraId="1411391B" w14:textId="77777777">
      <w:pPr>
        <w:widowControl w:val="0"/>
        <w:numPr>
          <w:ilvl w:val="0"/>
          <w:numId w:val="28"/>
        </w:numPr>
        <w:overflowPunct w:val="0"/>
        <w:autoSpaceDE w:val="0"/>
        <w:autoSpaceDN w:val="0"/>
        <w:adjustRightInd w:val="0"/>
        <w:ind w:left="284" w:hanging="284"/>
        <w:textAlignment w:val="baseline"/>
        <w:rPr>
          <w:szCs w:val="20"/>
        </w:rPr>
      </w:pPr>
      <w:r>
        <w:t>salienta que, do ponto de vista da segurança global, é importante melhorar a vitalidade e as ligações ao mercado único das regiões fronteiriças da UE;</w:t>
      </w:r>
    </w:p>
    <w:p w:rsidRPr="00A230A4" w:rsidR="00A230A4" w:rsidP="00BE1F8F" w:rsidRDefault="00A230A4" w14:paraId="73C87209" w14:textId="77777777">
      <w:pPr>
        <w:widowControl w:val="0"/>
        <w:numPr>
          <w:ilvl w:val="0"/>
          <w:numId w:val="28"/>
        </w:numPr>
        <w:overflowPunct w:val="0"/>
        <w:autoSpaceDE w:val="0"/>
        <w:autoSpaceDN w:val="0"/>
        <w:adjustRightInd w:val="0"/>
        <w:ind w:left="284" w:hanging="284"/>
        <w:textAlignment w:val="baseline"/>
        <w:rPr>
          <w:szCs w:val="20"/>
        </w:rPr>
      </w:pPr>
      <w:r>
        <w:t>solicita medidas para facilitar a mobilidade laboral, melhorar as competências e aptidões e tornar o setor dos transportes mais atrativo.</w:t>
      </w:r>
    </w:p>
    <w:p w:rsidRPr="00A230A4" w:rsidR="00A230A4" w:rsidP="00713105" w:rsidRDefault="00A230A4" w14:paraId="7F485678" w14:textId="77777777">
      <w:pPr>
        <w:widowControl w:val="0"/>
        <w:overflowPunct w:val="0"/>
        <w:autoSpaceDE w:val="0"/>
        <w:autoSpaceDN w:val="0"/>
        <w:adjustRightInd w:val="0"/>
        <w:textAlignment w:val="baseline"/>
        <w:rPr>
          <w:szCs w:val="20"/>
          <w:lang w:val="en-GB"/>
        </w:rPr>
      </w:pPr>
    </w:p>
    <w:tbl>
      <w:tblPr>
        <w:tblW w:w="9322" w:type="dxa"/>
        <w:tblLook w:val="04A0" w:firstRow="1" w:lastRow="0" w:firstColumn="1" w:lastColumn="0" w:noHBand="0" w:noVBand="1"/>
      </w:tblPr>
      <w:tblGrid>
        <w:gridCol w:w="2093"/>
        <w:gridCol w:w="7229"/>
      </w:tblGrid>
      <w:tr w:rsidRPr="00A230A4" w:rsidR="00A230A4" w:rsidTr="001E5877" w14:paraId="4840AB28" w14:textId="77777777">
        <w:tc>
          <w:tcPr>
            <w:tcW w:w="2093" w:type="dxa"/>
          </w:tcPr>
          <w:p w:rsidRPr="00A230A4" w:rsidR="00A230A4" w:rsidP="00BE1F8F" w:rsidRDefault="00A230A4" w14:paraId="152A2305" w14:textId="77777777">
            <w:pPr>
              <w:overflowPunct w:val="0"/>
              <w:autoSpaceDE w:val="0"/>
              <w:autoSpaceDN w:val="0"/>
              <w:adjustRightInd w:val="0"/>
              <w:textAlignment w:val="baseline"/>
              <w:rPr>
                <w:i/>
              </w:rPr>
            </w:pPr>
            <w:r>
              <w:rPr>
                <w:b/>
                <w:i/>
              </w:rPr>
              <w:t>Contacto</w:t>
            </w:r>
          </w:p>
        </w:tc>
        <w:tc>
          <w:tcPr>
            <w:tcW w:w="7229" w:type="dxa"/>
          </w:tcPr>
          <w:p w:rsidRPr="00A230A4" w:rsidR="00A230A4" w:rsidP="00BE1F8F" w:rsidRDefault="00A230A4" w14:paraId="0C8E402D" w14:textId="2EF89DD1">
            <w:pPr>
              <w:overflowPunct w:val="0"/>
              <w:autoSpaceDE w:val="0"/>
              <w:autoSpaceDN w:val="0"/>
              <w:adjustRightInd w:val="0"/>
              <w:textAlignment w:val="baseline"/>
              <w:rPr>
                <w:i/>
              </w:rPr>
            </w:pPr>
            <w:r>
              <w:rPr>
                <w:i/>
              </w:rPr>
              <w:t>Albert Precup</w:t>
            </w:r>
          </w:p>
        </w:tc>
      </w:tr>
      <w:tr w:rsidRPr="00A230A4" w:rsidR="00A230A4" w:rsidTr="001E5877" w14:paraId="19BEAAAD" w14:textId="77777777">
        <w:tc>
          <w:tcPr>
            <w:tcW w:w="2093" w:type="dxa"/>
          </w:tcPr>
          <w:p w:rsidRPr="00A230A4" w:rsidR="00A230A4" w:rsidP="00BE1F8F" w:rsidRDefault="00A230A4" w14:paraId="73F2E8D5" w14:textId="77777777">
            <w:pPr>
              <w:overflowPunct w:val="0"/>
              <w:autoSpaceDE w:val="0"/>
              <w:autoSpaceDN w:val="0"/>
              <w:adjustRightInd w:val="0"/>
              <w:textAlignment w:val="baseline"/>
              <w:rPr>
                <w:i/>
              </w:rPr>
            </w:pPr>
            <w:r>
              <w:rPr>
                <w:i/>
              </w:rPr>
              <w:t>Tel.:</w:t>
            </w:r>
          </w:p>
        </w:tc>
        <w:tc>
          <w:tcPr>
            <w:tcW w:w="7229" w:type="dxa"/>
          </w:tcPr>
          <w:p w:rsidRPr="00A230A4" w:rsidR="00A230A4" w:rsidP="00BE1F8F" w:rsidRDefault="00A230A4" w14:paraId="48DB2246" w14:textId="44656696">
            <w:pPr>
              <w:overflowPunct w:val="0"/>
              <w:autoSpaceDE w:val="0"/>
              <w:autoSpaceDN w:val="0"/>
              <w:adjustRightInd w:val="0"/>
              <w:textAlignment w:val="baseline"/>
              <w:rPr>
                <w:i/>
              </w:rPr>
            </w:pPr>
            <w:r>
              <w:rPr>
                <w:i/>
              </w:rPr>
              <w:t>+32 2 546 93 26</w:t>
            </w:r>
          </w:p>
        </w:tc>
      </w:tr>
      <w:tr w:rsidRPr="00A230A4" w:rsidR="00A230A4" w:rsidTr="001E5877" w14:paraId="0708081C" w14:textId="77777777">
        <w:tc>
          <w:tcPr>
            <w:tcW w:w="2093" w:type="dxa"/>
          </w:tcPr>
          <w:p w:rsidRPr="00A230A4" w:rsidR="00A230A4" w:rsidP="00BE1F8F" w:rsidRDefault="0005257A" w14:paraId="42A6811E" w14:textId="3D597CE0">
            <w:pPr>
              <w:overflowPunct w:val="0"/>
              <w:autoSpaceDE w:val="0"/>
              <w:autoSpaceDN w:val="0"/>
              <w:adjustRightInd w:val="0"/>
              <w:textAlignment w:val="baseline"/>
              <w:rPr>
                <w:i/>
              </w:rPr>
            </w:pPr>
            <w:r>
              <w:rPr>
                <w:i/>
              </w:rPr>
              <w:t>Endereço eletrónico</w:t>
            </w:r>
          </w:p>
        </w:tc>
        <w:tc>
          <w:tcPr>
            <w:tcW w:w="7229" w:type="dxa"/>
          </w:tcPr>
          <w:p w:rsidRPr="00A230A4" w:rsidR="00A230A4" w:rsidP="00BE1F8F" w:rsidRDefault="00C61EB1" w14:paraId="08B446AD" w14:textId="03934908">
            <w:pPr>
              <w:overflowPunct w:val="0"/>
              <w:autoSpaceDE w:val="0"/>
              <w:autoSpaceDN w:val="0"/>
              <w:adjustRightInd w:val="0"/>
              <w:textAlignment w:val="baseline"/>
              <w:rPr>
                <w:i/>
              </w:rPr>
            </w:pPr>
            <w:hyperlink w:history="1" r:id="rId37">
              <w:r w:rsidR="00912887">
                <w:rPr>
                  <w:i/>
                  <w:color w:val="0000FF"/>
                  <w:u w:val="single"/>
                </w:rPr>
                <w:t>Albert.Precup@eesc.europa.eu</w:t>
              </w:r>
            </w:hyperlink>
          </w:p>
        </w:tc>
      </w:tr>
    </w:tbl>
    <w:p w:rsidR="004D7AC0" w:rsidP="00BE1F8F" w:rsidRDefault="004D7AC0" w14:paraId="4982DDF2" w14:textId="77777777">
      <w:pPr>
        <w:jc w:val="left"/>
      </w:pPr>
      <w:r>
        <w:br w:type="page"/>
      </w:r>
    </w:p>
    <w:p w:rsidR="004D7AC0" w:rsidP="00BE1F8F" w:rsidRDefault="004D7AC0" w14:paraId="4982DDF3" w14:textId="77777777">
      <w:pPr>
        <w:pStyle w:val="Heading1"/>
        <w:rPr>
          <w:b/>
        </w:rPr>
      </w:pPr>
      <w:bookmarkStart w:name="_Toc75527083" w:id="20"/>
      <w:bookmarkStart w:name="_Toc192751487" w:id="21"/>
      <w:r>
        <w:rPr>
          <w:b/>
        </w:rPr>
        <w:lastRenderedPageBreak/>
        <w:t>MERCADO ÚNICO, PRODUÇÃO E CONSUMO</w:t>
      </w:r>
      <w:bookmarkEnd w:id="20"/>
      <w:bookmarkEnd w:id="21"/>
    </w:p>
    <w:p w:rsidR="004D7AC0" w:rsidP="00BE1F8F" w:rsidRDefault="004D7AC0" w14:paraId="4982DDF4" w14:textId="77777777"/>
    <w:p w:rsidRPr="001131B6" w:rsidR="009D7E2D" w:rsidP="001131B6" w:rsidRDefault="00C61EB1" w14:paraId="4C3E6230" w14:textId="2999EF33">
      <w:pPr>
        <w:widowControl w:val="0"/>
        <w:numPr>
          <w:ilvl w:val="0"/>
          <w:numId w:val="2"/>
        </w:numPr>
        <w:overflowPunct w:val="0"/>
        <w:autoSpaceDE w:val="0"/>
        <w:autoSpaceDN w:val="0"/>
        <w:adjustRightInd w:val="0"/>
        <w:ind w:hanging="567"/>
        <w:textAlignment w:val="baseline"/>
        <w:rPr>
          <w:b/>
          <w:bCs/>
          <w:i/>
          <w:iCs/>
          <w:sz w:val="28"/>
          <w:szCs w:val="28"/>
        </w:rPr>
      </w:pPr>
      <w:hyperlink w:history="1" r:id="rId38">
        <w:r w:rsidR="00912887">
          <w:rPr>
            <w:rStyle w:val="Hyperlink"/>
            <w:b/>
            <w:i/>
            <w:sz w:val="28"/>
          </w:rPr>
          <w:t xml:space="preserve">Defesa do consumidor </w:t>
        </w:r>
        <w:r w:rsidR="00912887">
          <w:rPr>
            <w:rStyle w:val="Hyperlink"/>
            <w:b/>
            <w:i/>
            <w:sz w:val="28"/>
          </w:rPr>
          <w:t>e impacto das transições digital e ecológica nos consumidores</w:t>
        </w:r>
      </w:hyperlink>
    </w:p>
    <w:p w:rsidRPr="009D7E2D" w:rsidR="009D7E2D" w:rsidP="00BE1F8F" w:rsidRDefault="009D7E2D" w14:paraId="1049AE1F" w14:textId="77777777">
      <w:pPr>
        <w:widowControl w:val="0"/>
        <w:overflowPunct w:val="0"/>
        <w:autoSpaceDE w:val="0"/>
        <w:autoSpaceDN w:val="0"/>
        <w:adjustRightInd w:val="0"/>
        <w:ind w:left="266"/>
        <w:textAlignment w:val="baseline"/>
        <w:rPr>
          <w:b/>
          <w:lang w:val="en-GB"/>
        </w:rPr>
      </w:pPr>
    </w:p>
    <w:tbl>
      <w:tblPr>
        <w:tblW w:w="4941" w:type="pct"/>
        <w:tblLook w:val="04A0" w:firstRow="1" w:lastRow="0" w:firstColumn="1" w:lastColumn="0" w:noHBand="0" w:noVBand="1"/>
      </w:tblPr>
      <w:tblGrid>
        <w:gridCol w:w="1668"/>
        <w:gridCol w:w="7509"/>
      </w:tblGrid>
      <w:tr w:rsidRPr="009D7E2D" w:rsidR="009D7E2D" w:rsidTr="00B51A72" w14:paraId="436EE5FD" w14:textId="77777777">
        <w:tc>
          <w:tcPr>
            <w:tcW w:w="909" w:type="pct"/>
          </w:tcPr>
          <w:p w:rsidRPr="009D7E2D" w:rsidR="009D7E2D" w:rsidP="00BE1F8F" w:rsidRDefault="009D7E2D" w14:paraId="75A99734" w14:textId="77777777">
            <w:pPr>
              <w:tabs>
                <w:tab w:val="center" w:pos="284"/>
              </w:tabs>
              <w:overflowPunct w:val="0"/>
              <w:autoSpaceDE w:val="0"/>
              <w:autoSpaceDN w:val="0"/>
              <w:adjustRightInd w:val="0"/>
              <w:ind w:left="266" w:hanging="266"/>
              <w:textAlignment w:val="baseline"/>
              <w:rPr>
                <w:b/>
              </w:rPr>
            </w:pPr>
            <w:r>
              <w:rPr>
                <w:b/>
              </w:rPr>
              <w:t>Relatora</w:t>
            </w:r>
          </w:p>
        </w:tc>
        <w:tc>
          <w:tcPr>
            <w:tcW w:w="4091" w:type="pct"/>
          </w:tcPr>
          <w:p w:rsidRPr="009D7E2D" w:rsidR="009D7E2D" w:rsidP="00BE1F8F" w:rsidRDefault="009D7E2D" w14:paraId="061A8BB9" w14:textId="77777777">
            <w:pPr>
              <w:overflowPunct w:val="0"/>
              <w:autoSpaceDE w:val="0"/>
              <w:autoSpaceDN w:val="0"/>
              <w:adjustRightInd w:val="0"/>
              <w:textAlignment w:val="baseline"/>
            </w:pPr>
            <w:r>
              <w:t>Ileana Izverniceanu de la Iglesia (ES – Grupo das Organizações da Sociedade Civil)</w:t>
            </w:r>
          </w:p>
        </w:tc>
      </w:tr>
      <w:tr w:rsidRPr="009D7E2D" w:rsidR="009D7E2D" w:rsidTr="00B51A72" w14:paraId="61B6CD20" w14:textId="77777777">
        <w:tc>
          <w:tcPr>
            <w:tcW w:w="909" w:type="pct"/>
            <w:vMerge w:val="restart"/>
          </w:tcPr>
          <w:p w:rsidRPr="009D7E2D" w:rsidR="009D7E2D" w:rsidP="00BE1F8F" w:rsidRDefault="009D7E2D" w14:paraId="4A0DBE9C" w14:textId="011D688E">
            <w:pPr>
              <w:tabs>
                <w:tab w:val="center" w:pos="284"/>
              </w:tabs>
              <w:overflowPunct w:val="0"/>
              <w:autoSpaceDE w:val="0"/>
              <w:autoSpaceDN w:val="0"/>
              <w:adjustRightInd w:val="0"/>
              <w:ind w:left="266" w:hanging="266"/>
              <w:textAlignment w:val="baseline"/>
              <w:rPr>
                <w:b/>
              </w:rPr>
            </w:pPr>
            <w:r>
              <w:rPr>
                <w:b/>
              </w:rPr>
              <w:t>Referência</w:t>
            </w:r>
          </w:p>
        </w:tc>
        <w:tc>
          <w:tcPr>
            <w:tcW w:w="4091" w:type="pct"/>
          </w:tcPr>
          <w:p w:rsidRPr="009D7E2D" w:rsidR="009D7E2D" w:rsidP="00B51A72" w:rsidRDefault="009D7E2D" w14:paraId="0C563187" w14:textId="052EB171">
            <w:pPr>
              <w:overflowPunct w:val="0"/>
              <w:autoSpaceDE w:val="0"/>
              <w:autoSpaceDN w:val="0"/>
              <w:adjustRightInd w:val="0"/>
              <w:textAlignment w:val="baseline"/>
            </w:pPr>
            <w:r>
              <w:t>Parecer exploratório a pedido da Presidência polaca do Conselho da UE</w:t>
            </w:r>
          </w:p>
        </w:tc>
      </w:tr>
      <w:tr w:rsidRPr="009D7E2D" w:rsidR="009D7E2D" w:rsidTr="00B51A72" w14:paraId="52EB6CD9" w14:textId="77777777">
        <w:tc>
          <w:tcPr>
            <w:tcW w:w="909" w:type="pct"/>
            <w:vMerge/>
          </w:tcPr>
          <w:p w:rsidRPr="009D7E2D" w:rsidR="009D7E2D" w:rsidP="00BE1F8F" w:rsidRDefault="009D7E2D" w14:paraId="3CE83099" w14:textId="77777777">
            <w:pPr>
              <w:tabs>
                <w:tab w:val="center" w:pos="284"/>
              </w:tabs>
              <w:overflowPunct w:val="0"/>
              <w:autoSpaceDE w:val="0"/>
              <w:autoSpaceDN w:val="0"/>
              <w:adjustRightInd w:val="0"/>
              <w:ind w:left="266" w:hanging="266"/>
              <w:textAlignment w:val="baseline"/>
              <w:rPr>
                <w:b/>
              </w:rPr>
            </w:pPr>
          </w:p>
        </w:tc>
        <w:tc>
          <w:tcPr>
            <w:tcW w:w="4091" w:type="pct"/>
          </w:tcPr>
          <w:p w:rsidRPr="009D7E2D" w:rsidR="009D7E2D" w:rsidP="00BE1F8F" w:rsidRDefault="009D7E2D" w14:paraId="329D2D9B" w14:textId="77777777">
            <w:pPr>
              <w:tabs>
                <w:tab w:val="center" w:pos="284"/>
              </w:tabs>
              <w:overflowPunct w:val="0"/>
              <w:autoSpaceDE w:val="0"/>
              <w:autoSpaceDN w:val="0"/>
              <w:adjustRightInd w:val="0"/>
              <w:ind w:left="266" w:hanging="266"/>
              <w:textAlignment w:val="baseline"/>
            </w:pPr>
            <w:r>
              <w:t>EESC-2024-03566-00-00-AC</w:t>
            </w:r>
          </w:p>
        </w:tc>
      </w:tr>
    </w:tbl>
    <w:p w:rsidRPr="009D7E2D" w:rsidR="009D7E2D" w:rsidP="00BE1F8F" w:rsidRDefault="009D7E2D" w14:paraId="2CBB9CFF" w14:textId="77777777">
      <w:pPr>
        <w:tabs>
          <w:tab w:val="center" w:pos="284"/>
        </w:tabs>
        <w:overflowPunct w:val="0"/>
        <w:autoSpaceDE w:val="0"/>
        <w:autoSpaceDN w:val="0"/>
        <w:adjustRightInd w:val="0"/>
        <w:ind w:left="266" w:hanging="266"/>
        <w:textAlignment w:val="baseline"/>
        <w:rPr>
          <w:lang w:val="en-GB"/>
        </w:rPr>
      </w:pPr>
    </w:p>
    <w:p w:rsidRPr="009D7E2D" w:rsidR="009D7E2D" w:rsidP="00BE1F8F" w:rsidRDefault="009D7E2D" w14:paraId="3482A626"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9D7E2D" w:rsidR="009D7E2D" w:rsidP="00BE1F8F" w:rsidRDefault="009D7E2D" w14:paraId="132CCC89" w14:textId="77777777">
      <w:pPr>
        <w:keepNext/>
        <w:keepLines/>
        <w:tabs>
          <w:tab w:val="center" w:pos="284"/>
        </w:tabs>
        <w:overflowPunct w:val="0"/>
        <w:autoSpaceDE w:val="0"/>
        <w:autoSpaceDN w:val="0"/>
        <w:adjustRightInd w:val="0"/>
        <w:ind w:left="266" w:hanging="266"/>
        <w:textAlignment w:val="baseline"/>
        <w:rPr>
          <w:b/>
          <w:lang w:val="en-GB"/>
        </w:rPr>
      </w:pPr>
    </w:p>
    <w:p w:rsidRPr="009D7E2D" w:rsidR="009D7E2D" w:rsidP="00BE1F8F" w:rsidRDefault="009D7E2D" w14:paraId="38AF573F" w14:textId="77777777">
      <w:pPr>
        <w:overflowPunct w:val="0"/>
        <w:autoSpaceDE w:val="0"/>
        <w:autoSpaceDN w:val="0"/>
        <w:adjustRightInd w:val="0"/>
        <w:textAlignment w:val="baseline"/>
        <w:rPr>
          <w:i/>
          <w:iCs/>
          <w:sz w:val="24"/>
          <w:szCs w:val="24"/>
        </w:rPr>
      </w:pPr>
      <w:r>
        <w:rPr>
          <w:i/>
        </w:rPr>
        <w:t xml:space="preserve">O CESE aplica a </w:t>
      </w:r>
      <w:hyperlink w:history="1" r:id="rId39">
        <w:r>
          <w:rPr>
            <w:i/>
            <w:color w:val="0000FF"/>
            <w:u w:val="single"/>
          </w:rPr>
          <w:t>avaliação da perspetiva d</w:t>
        </w:r>
        <w:r>
          <w:rPr>
            <w:i/>
            <w:color w:val="0000FF"/>
            <w:u w:val="single"/>
          </w:rPr>
          <w:t>os jovens pela UE</w:t>
        </w:r>
      </w:hyperlink>
      <w:r>
        <w:t xml:space="preserve"> </w:t>
      </w:r>
      <w:r>
        <w:rPr>
          <w:i/>
        </w:rPr>
        <w:t>no quadro deste parecer. Um grupo de organizações de juventude interessadas escolheu a Rede Europeia da Juventude para a Energia para as representar durante o processo de elaboração do parecer.</w:t>
      </w:r>
    </w:p>
    <w:p w:rsidRPr="009D7E2D" w:rsidR="009D7E2D" w:rsidP="00BE1F8F" w:rsidRDefault="009D7E2D" w14:paraId="39B2DD8F" w14:textId="77777777">
      <w:pPr>
        <w:keepNext/>
        <w:keepLines/>
        <w:tabs>
          <w:tab w:val="center" w:pos="284"/>
        </w:tabs>
        <w:overflowPunct w:val="0"/>
        <w:autoSpaceDE w:val="0"/>
        <w:autoSpaceDN w:val="0"/>
        <w:adjustRightInd w:val="0"/>
        <w:ind w:left="266" w:hanging="266"/>
        <w:textAlignment w:val="baseline"/>
        <w:rPr>
          <w:b/>
          <w:lang w:val="en-GB"/>
        </w:rPr>
      </w:pPr>
    </w:p>
    <w:p w:rsidR="009D7E2D" w:rsidP="00BE1F8F" w:rsidRDefault="009D7E2D" w14:paraId="1DEA9057" w14:textId="77777777">
      <w:pPr>
        <w:overflowPunct w:val="0"/>
        <w:autoSpaceDE w:val="0"/>
        <w:autoSpaceDN w:val="0"/>
        <w:adjustRightInd w:val="0"/>
        <w:textAlignment w:val="baseline"/>
        <w:rPr>
          <w:bCs/>
          <w:iCs/>
        </w:rPr>
      </w:pPr>
      <w:r>
        <w:t>O Comité Económico e Social Europeu:</w:t>
      </w:r>
    </w:p>
    <w:p w:rsidRPr="009D7E2D" w:rsidR="009D7E2D" w:rsidP="00BE1F8F" w:rsidRDefault="009D7E2D" w14:paraId="4AB027D5" w14:textId="77777777">
      <w:pPr>
        <w:widowControl w:val="0"/>
        <w:numPr>
          <w:ilvl w:val="0"/>
          <w:numId w:val="29"/>
        </w:numPr>
        <w:overflowPunct w:val="0"/>
        <w:autoSpaceDE w:val="0"/>
        <w:autoSpaceDN w:val="0"/>
        <w:adjustRightInd w:val="0"/>
        <w:ind w:left="284" w:hanging="284"/>
        <w:textAlignment w:val="baseline"/>
        <w:rPr>
          <w:bCs/>
          <w:iCs/>
        </w:rPr>
      </w:pPr>
      <w:r>
        <w:t>considera necessário harmonizar à escala europeia os requisitos de informação obrigatória e voluntária sobre os produtos, evitar a informação excessiva e garantir a veracidade dos rótulos, para encorajar os consumidores a adotarem padrões de consumo mais sustentáveis;</w:t>
      </w:r>
    </w:p>
    <w:p w:rsidRPr="009D7E2D" w:rsidR="009D7E2D" w:rsidP="00BE1F8F" w:rsidRDefault="009D7E2D" w14:paraId="62F4E221" w14:textId="77777777">
      <w:pPr>
        <w:widowControl w:val="0"/>
        <w:numPr>
          <w:ilvl w:val="0"/>
          <w:numId w:val="29"/>
        </w:numPr>
        <w:overflowPunct w:val="0"/>
        <w:autoSpaceDE w:val="0"/>
        <w:autoSpaceDN w:val="0"/>
        <w:adjustRightInd w:val="0"/>
        <w:ind w:left="284" w:hanging="284"/>
        <w:textAlignment w:val="baseline"/>
        <w:rPr>
          <w:bCs/>
          <w:iCs/>
        </w:rPr>
      </w:pPr>
      <w:r>
        <w:t>salienta que é fundamental rotular os produtos de forma a ajudar os consumidores a tomarem decisões de compra esclarecidas, fornecendo informações sobre os custos do ciclo de vida, a eficiência energética, a durabilidade e a reparabilidade dos produtos;</w:t>
      </w:r>
    </w:p>
    <w:p w:rsidRPr="009D7E2D" w:rsidR="009D7E2D" w:rsidP="00BE1F8F" w:rsidRDefault="009D7E2D" w14:paraId="6793FE54" w14:textId="77777777">
      <w:pPr>
        <w:widowControl w:val="0"/>
        <w:numPr>
          <w:ilvl w:val="0"/>
          <w:numId w:val="29"/>
        </w:numPr>
        <w:overflowPunct w:val="0"/>
        <w:autoSpaceDE w:val="0"/>
        <w:autoSpaceDN w:val="0"/>
        <w:adjustRightInd w:val="0"/>
        <w:ind w:left="284" w:hanging="284"/>
        <w:textAlignment w:val="baseline"/>
        <w:rPr>
          <w:bCs/>
          <w:iCs/>
        </w:rPr>
      </w:pPr>
      <w:r>
        <w:t>convida a Comissão e as autoridades nacionais a desenvolverem um quadro adequado que garanta o acesso a produtos sustentáveis através de incentivos fiscais e, em alguns casos, de subvenções diretas para reduzir o diferencial de preços;</w:t>
      </w:r>
    </w:p>
    <w:p w:rsidRPr="009D7E2D" w:rsidR="009D7E2D" w:rsidP="00BE1F8F" w:rsidRDefault="009D7E2D" w14:paraId="3390BD66" w14:textId="77777777">
      <w:pPr>
        <w:widowControl w:val="0"/>
        <w:numPr>
          <w:ilvl w:val="0"/>
          <w:numId w:val="29"/>
        </w:numPr>
        <w:overflowPunct w:val="0"/>
        <w:autoSpaceDE w:val="0"/>
        <w:autoSpaceDN w:val="0"/>
        <w:adjustRightInd w:val="0"/>
        <w:ind w:left="284" w:hanging="284"/>
        <w:textAlignment w:val="baseline"/>
        <w:rPr>
          <w:bCs/>
          <w:iCs/>
        </w:rPr>
      </w:pPr>
      <w:r>
        <w:t>solicita a aplicação de políticas eficazes para assegurar o acesso ao mercado digital, sobretudo nas zonas rurais e menos povoadas, e a integração dos consumidores com menos competências digitais;</w:t>
      </w:r>
    </w:p>
    <w:p w:rsidRPr="009D7E2D" w:rsidR="009D7E2D" w:rsidP="00BE1F8F" w:rsidRDefault="009D7E2D" w14:paraId="52BEC693" w14:textId="77777777">
      <w:pPr>
        <w:widowControl w:val="0"/>
        <w:numPr>
          <w:ilvl w:val="0"/>
          <w:numId w:val="29"/>
        </w:numPr>
        <w:overflowPunct w:val="0"/>
        <w:autoSpaceDE w:val="0"/>
        <w:autoSpaceDN w:val="0"/>
        <w:adjustRightInd w:val="0"/>
        <w:ind w:left="284" w:hanging="284"/>
        <w:textAlignment w:val="baseline"/>
      </w:pPr>
      <w:r>
        <w:t>reitera a importância de educar os consumidores para que estes tomem decisões esclarecidas;</w:t>
      </w:r>
    </w:p>
    <w:p w:rsidRPr="009D7E2D" w:rsidR="009D7E2D" w:rsidP="00BE1F8F" w:rsidRDefault="009D7E2D" w14:paraId="7BD4CB0B" w14:textId="77777777">
      <w:pPr>
        <w:widowControl w:val="0"/>
        <w:numPr>
          <w:ilvl w:val="0"/>
          <w:numId w:val="29"/>
        </w:numPr>
        <w:overflowPunct w:val="0"/>
        <w:autoSpaceDE w:val="0"/>
        <w:autoSpaceDN w:val="0"/>
        <w:adjustRightInd w:val="0"/>
        <w:ind w:left="284" w:hanging="284"/>
        <w:textAlignment w:val="baseline"/>
      </w:pPr>
      <w:r>
        <w:t>sublinha o importante papel que as organizações de consumidores desempenham nas transições digital e ecológica, salientando a necessidade de lhes assegurar financiamento;</w:t>
      </w:r>
    </w:p>
    <w:p w:rsidRPr="009D7E2D" w:rsidR="009D7E2D" w:rsidP="00BE1F8F" w:rsidRDefault="009D7E2D" w14:paraId="2D7E5670" w14:textId="77777777">
      <w:pPr>
        <w:widowControl w:val="0"/>
        <w:numPr>
          <w:ilvl w:val="0"/>
          <w:numId w:val="29"/>
        </w:numPr>
        <w:overflowPunct w:val="0"/>
        <w:autoSpaceDE w:val="0"/>
        <w:autoSpaceDN w:val="0"/>
        <w:adjustRightInd w:val="0"/>
        <w:ind w:left="284" w:hanging="284"/>
        <w:textAlignment w:val="baseline"/>
      </w:pPr>
      <w:r>
        <w:t>defende que se assegure o acesso a produtos sustentáveis e a preços acessíveis também para os consumidores vulneráveis, tendo em conta que a vulnerabilidade pode depender de diversas causas e evoluir ao longo do tempo;</w:t>
      </w:r>
    </w:p>
    <w:p w:rsidRPr="009D7E2D" w:rsidR="009D7E2D" w:rsidP="00BE1F8F" w:rsidRDefault="009D7E2D" w14:paraId="62C6E0D3"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considera que a UE deve combater os efeitos negativos das plataformas de países terceiros que apresentam produtos a preços baixos e adotar uma regulamentação mais rigorosa, incluindo a imposição de direitos aduaneiros eficazes.</w:t>
      </w:r>
    </w:p>
    <w:p w:rsidRPr="009D7E2D" w:rsidR="009D7E2D" w:rsidP="00BE1F8F" w:rsidRDefault="009D7E2D" w14:paraId="02ABEC34"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2519"/>
        <w:gridCol w:w="6768"/>
      </w:tblGrid>
      <w:tr w:rsidRPr="009D7E2D" w:rsidR="009D7E2D" w:rsidTr="001E5877" w14:paraId="5FEB6264" w14:textId="77777777">
        <w:tc>
          <w:tcPr>
            <w:tcW w:w="1356" w:type="pct"/>
          </w:tcPr>
          <w:p w:rsidRPr="009D7E2D" w:rsidR="009D7E2D" w:rsidP="00BE1F8F" w:rsidRDefault="009D7E2D" w14:paraId="1891296F" w14:textId="332D9305">
            <w:pPr>
              <w:overflowPunct w:val="0"/>
              <w:autoSpaceDE w:val="0"/>
              <w:autoSpaceDN w:val="0"/>
              <w:adjustRightInd w:val="0"/>
              <w:textAlignment w:val="baseline"/>
              <w:rPr>
                <w:i/>
              </w:rPr>
            </w:pPr>
            <w:r>
              <w:rPr>
                <w:b/>
                <w:i/>
              </w:rPr>
              <w:t>Contactos</w:t>
            </w:r>
          </w:p>
        </w:tc>
        <w:tc>
          <w:tcPr>
            <w:tcW w:w="3644" w:type="pct"/>
          </w:tcPr>
          <w:p w:rsidR="00713105" w:rsidP="00BE1F8F" w:rsidRDefault="009D7E2D" w14:paraId="2EBED78A" w14:textId="77777777">
            <w:pPr>
              <w:overflowPunct w:val="0"/>
              <w:autoSpaceDE w:val="0"/>
              <w:autoSpaceDN w:val="0"/>
              <w:adjustRightInd w:val="0"/>
              <w:textAlignment w:val="baseline"/>
              <w:rPr>
                <w:bCs/>
                <w:i/>
              </w:rPr>
            </w:pPr>
            <w:r>
              <w:rPr>
                <w:i/>
              </w:rPr>
              <w:t>Radoslava Stefankova</w:t>
            </w:r>
          </w:p>
          <w:p w:rsidRPr="009D7E2D" w:rsidR="009D7E2D" w:rsidP="00BE1F8F" w:rsidRDefault="009D7E2D" w14:paraId="13EF570E" w14:textId="166D0132">
            <w:pPr>
              <w:overflowPunct w:val="0"/>
              <w:autoSpaceDE w:val="0"/>
              <w:autoSpaceDN w:val="0"/>
              <w:adjustRightInd w:val="0"/>
              <w:textAlignment w:val="baseline"/>
              <w:rPr>
                <w:bCs/>
                <w:i/>
              </w:rPr>
            </w:pPr>
            <w:r>
              <w:rPr>
                <w:i/>
              </w:rPr>
              <w:t>Yousra Asbouni El Ouahabi</w:t>
            </w:r>
          </w:p>
        </w:tc>
      </w:tr>
      <w:tr w:rsidRPr="009D7E2D" w:rsidR="009D7E2D" w:rsidTr="001E5877" w14:paraId="56CD236C" w14:textId="77777777">
        <w:tc>
          <w:tcPr>
            <w:tcW w:w="1356" w:type="pct"/>
          </w:tcPr>
          <w:p w:rsidRPr="009D7E2D" w:rsidR="009D7E2D" w:rsidP="00BE1F8F" w:rsidRDefault="009D7E2D" w14:paraId="642A79E8" w14:textId="77777777">
            <w:pPr>
              <w:overflowPunct w:val="0"/>
              <w:autoSpaceDE w:val="0"/>
              <w:autoSpaceDN w:val="0"/>
              <w:adjustRightInd w:val="0"/>
              <w:textAlignment w:val="baseline"/>
              <w:rPr>
                <w:i/>
              </w:rPr>
            </w:pPr>
            <w:r>
              <w:rPr>
                <w:i/>
              </w:rPr>
              <w:t>Tel.</w:t>
            </w:r>
          </w:p>
        </w:tc>
        <w:tc>
          <w:tcPr>
            <w:tcW w:w="3644" w:type="pct"/>
          </w:tcPr>
          <w:p w:rsidR="00866666" w:rsidP="00BE1F8F" w:rsidRDefault="009D7E2D" w14:paraId="6BF80798" w14:textId="77777777">
            <w:pPr>
              <w:overflowPunct w:val="0"/>
              <w:autoSpaceDE w:val="0"/>
              <w:autoSpaceDN w:val="0"/>
              <w:adjustRightInd w:val="0"/>
              <w:textAlignment w:val="baseline"/>
              <w:rPr>
                <w:i/>
              </w:rPr>
            </w:pPr>
            <w:r>
              <w:rPr>
                <w:i/>
              </w:rPr>
              <w:t>+32 2 546 81 88</w:t>
            </w:r>
          </w:p>
          <w:p w:rsidRPr="009D7E2D" w:rsidR="009D7E2D" w:rsidP="00BE1F8F" w:rsidRDefault="009D7E2D" w14:paraId="4C93A27B" w14:textId="441660D1">
            <w:pPr>
              <w:overflowPunct w:val="0"/>
              <w:autoSpaceDE w:val="0"/>
              <w:autoSpaceDN w:val="0"/>
              <w:adjustRightInd w:val="0"/>
              <w:textAlignment w:val="baseline"/>
              <w:rPr>
                <w:i/>
              </w:rPr>
            </w:pPr>
            <w:r>
              <w:rPr>
                <w:i/>
              </w:rPr>
              <w:t>+32 2 546 84 85</w:t>
            </w:r>
          </w:p>
        </w:tc>
      </w:tr>
      <w:tr w:rsidRPr="009D7E2D" w:rsidR="009D7E2D" w:rsidTr="001E5877" w14:paraId="79FB8085" w14:textId="77777777">
        <w:tc>
          <w:tcPr>
            <w:tcW w:w="1356" w:type="pct"/>
          </w:tcPr>
          <w:p w:rsidRPr="009D7E2D" w:rsidR="009D7E2D" w:rsidP="00BE1F8F" w:rsidRDefault="009D7E2D" w14:paraId="16D4BECD" w14:textId="766DF770">
            <w:pPr>
              <w:overflowPunct w:val="0"/>
              <w:autoSpaceDE w:val="0"/>
              <w:autoSpaceDN w:val="0"/>
              <w:adjustRightInd w:val="0"/>
              <w:textAlignment w:val="baseline"/>
              <w:rPr>
                <w:i/>
              </w:rPr>
            </w:pPr>
            <w:r>
              <w:rPr>
                <w:i/>
              </w:rPr>
              <w:t>Endereços eletrónicos</w:t>
            </w:r>
          </w:p>
        </w:tc>
        <w:tc>
          <w:tcPr>
            <w:tcW w:w="3644" w:type="pct"/>
          </w:tcPr>
          <w:p w:rsidRPr="009D7E2D" w:rsidR="009D7E2D" w:rsidP="00BE1F8F" w:rsidRDefault="00C61EB1" w14:paraId="7AA88CC5" w14:textId="77777777">
            <w:pPr>
              <w:overflowPunct w:val="0"/>
              <w:autoSpaceDE w:val="0"/>
              <w:autoSpaceDN w:val="0"/>
              <w:adjustRightInd w:val="0"/>
              <w:textAlignment w:val="baseline"/>
            </w:pPr>
            <w:hyperlink w:history="1" r:id="rId40">
              <w:r w:rsidR="00912887">
                <w:rPr>
                  <w:i/>
                  <w:color w:val="0000FF"/>
                  <w:u w:val="single"/>
                </w:rPr>
                <w:t>Radoslava.Stefankova@eesc.europa.eu</w:t>
              </w:r>
            </w:hyperlink>
          </w:p>
          <w:p w:rsidRPr="009D7E2D" w:rsidR="009D7E2D" w:rsidP="00BE1F8F" w:rsidRDefault="00C61EB1" w14:paraId="2F2D5AA7" w14:textId="77777777">
            <w:pPr>
              <w:overflowPunct w:val="0"/>
              <w:autoSpaceDE w:val="0"/>
              <w:autoSpaceDN w:val="0"/>
              <w:adjustRightInd w:val="0"/>
              <w:textAlignment w:val="baseline"/>
              <w:rPr>
                <w:i/>
              </w:rPr>
            </w:pPr>
            <w:hyperlink w:history="1" r:id="rId41">
              <w:r w:rsidR="00912887">
                <w:rPr>
                  <w:i/>
                  <w:color w:val="0000FF"/>
                  <w:u w:val="single"/>
                </w:rPr>
                <w:t>Yousra.Asbounielouahabi@eesc.europa.eu</w:t>
              </w:r>
            </w:hyperlink>
          </w:p>
        </w:tc>
      </w:tr>
    </w:tbl>
    <w:p w:rsidR="009D7E2D" w:rsidP="00BE1F8F" w:rsidRDefault="009D7E2D" w14:paraId="1988C04D" w14:textId="77777777">
      <w:pPr>
        <w:jc w:val="left"/>
      </w:pPr>
      <w:r>
        <w:br w:type="page"/>
      </w:r>
    </w:p>
    <w:p w:rsidRPr="00C43D3E" w:rsidR="00FD106B" w:rsidP="00C77862" w:rsidRDefault="00C61EB1" w14:paraId="3CC025EB" w14:textId="298D155B">
      <w:pPr>
        <w:widowControl w:val="0"/>
        <w:numPr>
          <w:ilvl w:val="0"/>
          <w:numId w:val="2"/>
        </w:numPr>
        <w:overflowPunct w:val="0"/>
        <w:autoSpaceDE w:val="0"/>
        <w:autoSpaceDN w:val="0"/>
        <w:adjustRightInd w:val="0"/>
        <w:ind w:hanging="567"/>
        <w:textAlignment w:val="baseline"/>
        <w:rPr>
          <w:b/>
        </w:rPr>
      </w:pPr>
      <w:hyperlink w:tgtFrame="_blank" w:history="1" r:id="rId42">
        <w:r w:rsidR="00912887">
          <w:rPr>
            <w:b/>
            <w:i/>
            <w:color w:val="0000FF"/>
            <w:sz w:val="28"/>
            <w:u w:val="single"/>
          </w:rPr>
          <w:t>Avaliação dos rel</w:t>
        </w:r>
        <w:r w:rsidR="00912887">
          <w:rPr>
            <w:b/>
            <w:i/>
            <w:color w:val="0000FF"/>
            <w:sz w:val="28"/>
            <w:u w:val="single"/>
          </w:rPr>
          <w:t>atórios de Enrico Letta e Mario Draghi sobre o funcionamento e a competitividade do mercado único da UE</w:t>
        </w:r>
      </w:hyperlink>
    </w:p>
    <w:p w:rsidRPr="00FD106B" w:rsidR="00627052" w:rsidP="00BE1F8F" w:rsidRDefault="00627052" w14:paraId="13CC97A0" w14:textId="77777777">
      <w:pPr>
        <w:widowControl w:val="0"/>
        <w:overflowPunct w:val="0"/>
        <w:autoSpaceDE w:val="0"/>
        <w:autoSpaceDN w:val="0"/>
        <w:adjustRightInd w:val="0"/>
        <w:ind w:left="284"/>
        <w:textAlignment w:val="baseline"/>
        <w:rPr>
          <w:b/>
          <w:lang w:val="en-GB"/>
        </w:rPr>
      </w:pPr>
    </w:p>
    <w:tbl>
      <w:tblPr>
        <w:tblW w:w="4941" w:type="pct"/>
        <w:tblLook w:val="04A0" w:firstRow="1" w:lastRow="0" w:firstColumn="1" w:lastColumn="0" w:noHBand="0" w:noVBand="1"/>
      </w:tblPr>
      <w:tblGrid>
        <w:gridCol w:w="2032"/>
        <w:gridCol w:w="7145"/>
      </w:tblGrid>
      <w:tr w:rsidRPr="00FD106B" w:rsidR="00FD106B" w:rsidTr="00713105" w14:paraId="6CE7B306" w14:textId="77777777">
        <w:tc>
          <w:tcPr>
            <w:tcW w:w="1107" w:type="pct"/>
          </w:tcPr>
          <w:p w:rsidRPr="00FD106B" w:rsidR="00FD106B" w:rsidP="00BE1F8F" w:rsidRDefault="00FD106B" w14:paraId="327B6AE9" w14:textId="77777777">
            <w:pPr>
              <w:tabs>
                <w:tab w:val="center" w:pos="284"/>
              </w:tabs>
              <w:overflowPunct w:val="0"/>
              <w:autoSpaceDE w:val="0"/>
              <w:autoSpaceDN w:val="0"/>
              <w:adjustRightInd w:val="0"/>
              <w:ind w:left="266" w:hanging="266"/>
              <w:textAlignment w:val="baseline"/>
              <w:rPr>
                <w:b/>
              </w:rPr>
            </w:pPr>
            <w:r>
              <w:rPr>
                <w:b/>
              </w:rPr>
              <w:t>Relatores</w:t>
            </w:r>
          </w:p>
        </w:tc>
        <w:tc>
          <w:tcPr>
            <w:tcW w:w="3893" w:type="pct"/>
          </w:tcPr>
          <w:p w:rsidR="00FD106B" w:rsidP="00BE1F8F" w:rsidRDefault="00FD106B" w14:paraId="43C12B82" w14:textId="24791F53">
            <w:pPr>
              <w:tabs>
                <w:tab w:val="center" w:pos="284"/>
              </w:tabs>
              <w:overflowPunct w:val="0"/>
              <w:autoSpaceDE w:val="0"/>
              <w:autoSpaceDN w:val="0"/>
              <w:adjustRightInd w:val="0"/>
              <w:ind w:left="266" w:hanging="266"/>
              <w:textAlignment w:val="baseline"/>
            </w:pPr>
            <w:r>
              <w:t>Matteo Carlo Borsani (IT – Grupo dos Empregadores)</w:t>
            </w:r>
          </w:p>
          <w:p w:rsidRPr="00FD106B" w:rsidR="009A2569" w:rsidP="00BE1F8F" w:rsidRDefault="009A2569" w14:paraId="550E4016" w14:textId="61E3CEA7">
            <w:pPr>
              <w:tabs>
                <w:tab w:val="center" w:pos="284"/>
              </w:tabs>
              <w:overflowPunct w:val="0"/>
              <w:autoSpaceDE w:val="0"/>
              <w:autoSpaceDN w:val="0"/>
              <w:adjustRightInd w:val="0"/>
              <w:ind w:left="266" w:hanging="266"/>
              <w:textAlignment w:val="baseline"/>
            </w:pPr>
            <w:r>
              <w:t>Stefano Palmieri (IT– Grupo dos Trabalhadores)</w:t>
            </w:r>
          </w:p>
          <w:p w:rsidRPr="00FD106B" w:rsidR="00FD106B" w:rsidP="00BE1F8F" w:rsidRDefault="00FD106B" w14:paraId="291D8799" w14:textId="6ED3A591">
            <w:pPr>
              <w:tabs>
                <w:tab w:val="center" w:pos="284"/>
              </w:tabs>
              <w:overflowPunct w:val="0"/>
              <w:autoSpaceDE w:val="0"/>
              <w:autoSpaceDN w:val="0"/>
              <w:adjustRightInd w:val="0"/>
              <w:ind w:left="266" w:hanging="266"/>
              <w:textAlignment w:val="baseline"/>
            </w:pPr>
            <w:r>
              <w:t>Giuseppe Guerini (IT – Grupo das Organizações da Sociedade Civil)</w:t>
            </w:r>
          </w:p>
        </w:tc>
      </w:tr>
      <w:tr w:rsidRPr="00FD106B" w:rsidR="00FD106B" w:rsidTr="00713105" w14:paraId="63D5E164" w14:textId="77777777">
        <w:tc>
          <w:tcPr>
            <w:tcW w:w="1107" w:type="pct"/>
            <w:vMerge w:val="restart"/>
          </w:tcPr>
          <w:p w:rsidRPr="00FD106B" w:rsidR="00FD106B" w:rsidP="00BE1F8F" w:rsidRDefault="00FD106B" w14:paraId="2C38529F" w14:textId="7DEB39C5">
            <w:pPr>
              <w:tabs>
                <w:tab w:val="center" w:pos="284"/>
              </w:tabs>
              <w:overflowPunct w:val="0"/>
              <w:autoSpaceDE w:val="0"/>
              <w:autoSpaceDN w:val="0"/>
              <w:adjustRightInd w:val="0"/>
              <w:ind w:left="266" w:hanging="266"/>
              <w:textAlignment w:val="baseline"/>
              <w:rPr>
                <w:b/>
              </w:rPr>
            </w:pPr>
            <w:r>
              <w:rPr>
                <w:b/>
              </w:rPr>
              <w:t>Referência</w:t>
            </w:r>
          </w:p>
        </w:tc>
        <w:tc>
          <w:tcPr>
            <w:tcW w:w="3893" w:type="pct"/>
          </w:tcPr>
          <w:p w:rsidRPr="00FD106B" w:rsidR="00FD106B" w:rsidP="00BE1F8F" w:rsidRDefault="00FD106B" w14:paraId="07C67728" w14:textId="77777777">
            <w:pPr>
              <w:tabs>
                <w:tab w:val="center" w:pos="284"/>
              </w:tabs>
              <w:overflowPunct w:val="0"/>
              <w:autoSpaceDE w:val="0"/>
              <w:autoSpaceDN w:val="0"/>
              <w:adjustRightInd w:val="0"/>
              <w:ind w:left="266" w:hanging="266"/>
              <w:textAlignment w:val="baseline"/>
            </w:pPr>
            <w:r>
              <w:t>Parecer de iniciativa</w:t>
            </w:r>
          </w:p>
        </w:tc>
      </w:tr>
      <w:tr w:rsidRPr="00FD106B" w:rsidR="00FD106B" w:rsidTr="00713105" w14:paraId="5BF5DD36" w14:textId="77777777">
        <w:tc>
          <w:tcPr>
            <w:tcW w:w="1107" w:type="pct"/>
            <w:vMerge/>
          </w:tcPr>
          <w:p w:rsidRPr="00FD106B" w:rsidR="00FD106B" w:rsidP="00BE1F8F" w:rsidRDefault="00FD106B" w14:paraId="1F34AB72" w14:textId="77777777">
            <w:pPr>
              <w:tabs>
                <w:tab w:val="center" w:pos="284"/>
              </w:tabs>
              <w:overflowPunct w:val="0"/>
              <w:autoSpaceDE w:val="0"/>
              <w:autoSpaceDN w:val="0"/>
              <w:adjustRightInd w:val="0"/>
              <w:ind w:left="266" w:hanging="266"/>
              <w:textAlignment w:val="baseline"/>
              <w:rPr>
                <w:b/>
              </w:rPr>
            </w:pPr>
          </w:p>
        </w:tc>
        <w:tc>
          <w:tcPr>
            <w:tcW w:w="3893" w:type="pct"/>
          </w:tcPr>
          <w:p w:rsidRPr="00FD106B" w:rsidR="00FD106B" w:rsidP="00BE1F8F" w:rsidRDefault="00FD106B" w14:paraId="42A20064" w14:textId="77777777">
            <w:pPr>
              <w:tabs>
                <w:tab w:val="center" w:pos="284"/>
              </w:tabs>
              <w:overflowPunct w:val="0"/>
              <w:autoSpaceDE w:val="0"/>
              <w:autoSpaceDN w:val="0"/>
              <w:adjustRightInd w:val="0"/>
              <w:ind w:left="266" w:hanging="266"/>
              <w:textAlignment w:val="baseline"/>
            </w:pPr>
            <w:r>
              <w:t>EESC-2024-03441-00-00-AC</w:t>
            </w:r>
          </w:p>
        </w:tc>
      </w:tr>
    </w:tbl>
    <w:p w:rsidRPr="00FD106B" w:rsidR="00FD106B" w:rsidP="00BE1F8F" w:rsidRDefault="00FD106B" w14:paraId="02343524" w14:textId="77777777">
      <w:pPr>
        <w:tabs>
          <w:tab w:val="center" w:pos="284"/>
        </w:tabs>
        <w:overflowPunct w:val="0"/>
        <w:autoSpaceDE w:val="0"/>
        <w:autoSpaceDN w:val="0"/>
        <w:adjustRightInd w:val="0"/>
        <w:ind w:left="266" w:hanging="266"/>
        <w:textAlignment w:val="baseline"/>
        <w:rPr>
          <w:lang w:val="en-GB"/>
        </w:rPr>
      </w:pPr>
    </w:p>
    <w:p w:rsidRPr="00FD106B" w:rsidR="00FD106B" w:rsidP="00BE1F8F" w:rsidRDefault="00FD106B" w14:paraId="27E7555C"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FD106B" w:rsidR="00FD106B" w:rsidP="00BE1F8F" w:rsidRDefault="00FD106B" w14:paraId="70C27580" w14:textId="77777777">
      <w:pPr>
        <w:keepNext/>
        <w:keepLines/>
        <w:tabs>
          <w:tab w:val="center" w:pos="284"/>
        </w:tabs>
        <w:overflowPunct w:val="0"/>
        <w:autoSpaceDE w:val="0"/>
        <w:autoSpaceDN w:val="0"/>
        <w:adjustRightInd w:val="0"/>
        <w:ind w:left="266" w:hanging="266"/>
        <w:textAlignment w:val="baseline"/>
        <w:rPr>
          <w:b/>
          <w:lang w:val="en-GB"/>
        </w:rPr>
      </w:pPr>
    </w:p>
    <w:p w:rsidR="00FD106B" w:rsidP="00BE1F8F" w:rsidRDefault="00FD106B" w14:paraId="6F22A07D" w14:textId="77777777">
      <w:pPr>
        <w:overflowPunct w:val="0"/>
        <w:autoSpaceDE w:val="0"/>
        <w:autoSpaceDN w:val="0"/>
        <w:adjustRightInd w:val="0"/>
        <w:textAlignment w:val="baseline"/>
        <w:rPr>
          <w:bCs/>
          <w:iCs/>
        </w:rPr>
      </w:pPr>
      <w:r>
        <w:t>O Comité Económico e Social Europeu:</w:t>
      </w:r>
    </w:p>
    <w:p w:rsidRPr="00FD106B" w:rsidR="00FD106B" w:rsidP="00BE1F8F" w:rsidRDefault="00FD106B" w14:paraId="1E73D851" w14:textId="77777777">
      <w:pPr>
        <w:widowControl w:val="0"/>
        <w:numPr>
          <w:ilvl w:val="0"/>
          <w:numId w:val="30"/>
        </w:numPr>
        <w:overflowPunct w:val="0"/>
        <w:autoSpaceDE w:val="0"/>
        <w:autoSpaceDN w:val="0"/>
        <w:adjustRightInd w:val="0"/>
        <w:ind w:left="284" w:hanging="284"/>
        <w:textAlignment w:val="baseline"/>
        <w:rPr>
          <w:szCs w:val="20"/>
        </w:rPr>
      </w:pPr>
      <w:r>
        <w:t xml:space="preserve">salienta a necessidade urgente de </w:t>
      </w:r>
      <w:r>
        <w:rPr>
          <w:b/>
        </w:rPr>
        <w:t>reforçar a competitividade europeia, assegurando simultaneamente a sustentabilidade e a coesão social</w:t>
      </w:r>
      <w:r>
        <w:t>. A UE enfrenta uma concorrência mundial crescente e deve adotar medidas decisivas para reforçar a sua posição económica. No entanto, tal não deve ser feito em detrimento da sustentabilidade ambiental, dos direitos dos trabalhadores ou do equilíbrio regional. O CESE defende uma abordagem que integre o crescimento económico com os princípios da coesão social e territorial;</w:t>
      </w:r>
    </w:p>
    <w:p w:rsidRPr="00FD106B" w:rsidR="00FD106B" w:rsidP="00BE1F8F" w:rsidRDefault="00FD106B" w14:paraId="5D3E6D79" w14:textId="77777777">
      <w:pPr>
        <w:widowControl w:val="0"/>
        <w:numPr>
          <w:ilvl w:val="0"/>
          <w:numId w:val="30"/>
        </w:numPr>
        <w:overflowPunct w:val="0"/>
        <w:autoSpaceDE w:val="0"/>
        <w:autoSpaceDN w:val="0"/>
        <w:adjustRightInd w:val="0"/>
        <w:ind w:left="284" w:hanging="284"/>
        <w:textAlignment w:val="baseline"/>
        <w:rPr>
          <w:szCs w:val="20"/>
        </w:rPr>
      </w:pPr>
      <w:r>
        <w:t xml:space="preserve">preconiza um </w:t>
      </w:r>
      <w:r>
        <w:rPr>
          <w:b/>
        </w:rPr>
        <w:t>aumento dos investimentos em domínios fundamentais como as infraestruturas sociais, a transformação digital e a transição energética</w:t>
      </w:r>
      <w:r>
        <w:t>. Reconhecendo que a competitividade exige bases sólidas, o CESE salienta a necessidade de investimentos substanciais em infraestruturas modernas, nomeadamente nos domínios da educação, da investigação, da digitalização e das energias renováveis. Estes investimentos são essenciais para manter a força económica da Europa, dando simultaneamente resposta às mudanças demográficas, aos avanços tecnológicos e aos desafios climáticos;</w:t>
      </w:r>
    </w:p>
    <w:p w:rsidRPr="00FD106B" w:rsidR="00FD106B" w:rsidP="00BE1F8F" w:rsidRDefault="00FD106B" w14:paraId="3EFA90D3" w14:textId="77777777">
      <w:pPr>
        <w:widowControl w:val="0"/>
        <w:numPr>
          <w:ilvl w:val="0"/>
          <w:numId w:val="30"/>
        </w:numPr>
        <w:overflowPunct w:val="0"/>
        <w:autoSpaceDE w:val="0"/>
        <w:autoSpaceDN w:val="0"/>
        <w:adjustRightInd w:val="0"/>
        <w:ind w:left="284" w:hanging="284"/>
        <w:textAlignment w:val="baseline"/>
        <w:rPr>
          <w:szCs w:val="20"/>
        </w:rPr>
      </w:pPr>
      <w:r>
        <w:t xml:space="preserve">salienta que a UE deve desempenhar um papel ativo na transformação económica mundial, em vez de se limitar a defender os resultados que alcançou no passado. O CESE sublinha que a Europa se encontra numa encruzilhada: pode assumir um papel proativo na transformação económica mundial ou correr o risco de ficar para trás. Tal implica </w:t>
      </w:r>
      <w:r>
        <w:rPr>
          <w:b/>
        </w:rPr>
        <w:t>adaptar o mercado único às novas realidades geopolíticas</w:t>
      </w:r>
      <w:r>
        <w:t xml:space="preserve">, reduzir as dependências estratégicas das cadeias de abastecimento de países terceiros e reforçar o papel da Europa nas indústrias estratégicas. </w:t>
      </w:r>
    </w:p>
    <w:p w:rsidRPr="00FD106B" w:rsidR="00FD106B" w:rsidP="00BE1F8F" w:rsidRDefault="00FD106B" w14:paraId="2D92CEA3"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2234"/>
        <w:gridCol w:w="7053"/>
      </w:tblGrid>
      <w:tr w:rsidRPr="00FD106B" w:rsidR="00FD106B" w:rsidTr="001E5877" w14:paraId="221C8BB2" w14:textId="77777777">
        <w:tc>
          <w:tcPr>
            <w:tcW w:w="1203" w:type="pct"/>
          </w:tcPr>
          <w:p w:rsidRPr="00FD106B" w:rsidR="00FD106B" w:rsidP="00BE1F8F" w:rsidRDefault="00FD106B" w14:paraId="740E10D6" w14:textId="77777777">
            <w:pPr>
              <w:overflowPunct w:val="0"/>
              <w:autoSpaceDE w:val="0"/>
              <w:autoSpaceDN w:val="0"/>
              <w:adjustRightInd w:val="0"/>
              <w:textAlignment w:val="baseline"/>
              <w:rPr>
                <w:i/>
              </w:rPr>
            </w:pPr>
            <w:r>
              <w:rPr>
                <w:b/>
                <w:i/>
              </w:rPr>
              <w:t>Contactos</w:t>
            </w:r>
          </w:p>
        </w:tc>
        <w:tc>
          <w:tcPr>
            <w:tcW w:w="3797" w:type="pct"/>
          </w:tcPr>
          <w:p w:rsidRPr="00FD106B" w:rsidR="00FD106B" w:rsidP="00BE1F8F" w:rsidRDefault="00FD106B" w14:paraId="5AA8E8D6" w14:textId="77777777">
            <w:pPr>
              <w:overflowPunct w:val="0"/>
              <w:autoSpaceDE w:val="0"/>
              <w:autoSpaceDN w:val="0"/>
              <w:adjustRightInd w:val="0"/>
              <w:textAlignment w:val="baseline"/>
              <w:rPr>
                <w:i/>
              </w:rPr>
            </w:pPr>
            <w:r>
              <w:rPr>
                <w:i/>
              </w:rPr>
              <w:t>Annalisa Tessarolo</w:t>
            </w:r>
          </w:p>
          <w:p w:rsidRPr="00FD106B" w:rsidR="00FD106B" w:rsidP="00BE1F8F" w:rsidRDefault="00FD106B" w14:paraId="1CF946C4" w14:textId="77777777">
            <w:pPr>
              <w:overflowPunct w:val="0"/>
              <w:autoSpaceDE w:val="0"/>
              <w:autoSpaceDN w:val="0"/>
              <w:adjustRightInd w:val="0"/>
              <w:textAlignment w:val="baseline"/>
              <w:rPr>
                <w:i/>
              </w:rPr>
            </w:pPr>
            <w:r>
              <w:rPr>
                <w:i/>
              </w:rPr>
              <w:t>Silvia Staffa</w:t>
            </w:r>
          </w:p>
        </w:tc>
      </w:tr>
      <w:tr w:rsidRPr="00FD106B" w:rsidR="00FD106B" w:rsidTr="001E5877" w14:paraId="7C7B09FE" w14:textId="77777777">
        <w:tc>
          <w:tcPr>
            <w:tcW w:w="1203" w:type="pct"/>
          </w:tcPr>
          <w:p w:rsidRPr="00FD106B" w:rsidR="00FD106B" w:rsidP="00BE1F8F" w:rsidRDefault="00FD106B" w14:paraId="3C27F1DF" w14:textId="77777777">
            <w:pPr>
              <w:overflowPunct w:val="0"/>
              <w:autoSpaceDE w:val="0"/>
              <w:autoSpaceDN w:val="0"/>
              <w:adjustRightInd w:val="0"/>
              <w:textAlignment w:val="baseline"/>
              <w:rPr>
                <w:i/>
              </w:rPr>
            </w:pPr>
            <w:r>
              <w:rPr>
                <w:i/>
              </w:rPr>
              <w:t>Tel.</w:t>
            </w:r>
          </w:p>
        </w:tc>
        <w:tc>
          <w:tcPr>
            <w:tcW w:w="3797" w:type="pct"/>
          </w:tcPr>
          <w:p w:rsidRPr="00FD106B" w:rsidR="00FD106B" w:rsidP="00BE1F8F" w:rsidRDefault="00FD106B" w14:paraId="6376D96B" w14:textId="77777777">
            <w:pPr>
              <w:overflowPunct w:val="0"/>
              <w:autoSpaceDE w:val="0"/>
              <w:autoSpaceDN w:val="0"/>
              <w:adjustRightInd w:val="0"/>
              <w:textAlignment w:val="baseline"/>
              <w:rPr>
                <w:i/>
              </w:rPr>
            </w:pPr>
            <w:r>
              <w:rPr>
                <w:i/>
              </w:rPr>
              <w:t>+32 2 546 97 32</w:t>
            </w:r>
          </w:p>
          <w:p w:rsidRPr="00FD106B" w:rsidR="00FD106B" w:rsidP="00BE1F8F" w:rsidRDefault="00FD106B" w14:paraId="617FBCCE" w14:textId="77777777">
            <w:pPr>
              <w:overflowPunct w:val="0"/>
              <w:autoSpaceDE w:val="0"/>
              <w:autoSpaceDN w:val="0"/>
              <w:adjustRightInd w:val="0"/>
              <w:textAlignment w:val="baseline"/>
              <w:rPr>
                <w:i/>
              </w:rPr>
            </w:pPr>
            <w:r>
              <w:rPr>
                <w:i/>
              </w:rPr>
              <w:t>+32 2 546 83 78</w:t>
            </w:r>
          </w:p>
        </w:tc>
      </w:tr>
      <w:tr w:rsidRPr="00FD106B" w:rsidR="00FD106B" w:rsidTr="001E5877" w14:paraId="28A6E007" w14:textId="77777777">
        <w:tc>
          <w:tcPr>
            <w:tcW w:w="1203" w:type="pct"/>
          </w:tcPr>
          <w:p w:rsidRPr="00FD106B" w:rsidR="00FD106B" w:rsidP="00BE1F8F" w:rsidRDefault="00FD106B" w14:paraId="173B4957" w14:textId="77777777">
            <w:pPr>
              <w:overflowPunct w:val="0"/>
              <w:autoSpaceDE w:val="0"/>
              <w:autoSpaceDN w:val="0"/>
              <w:adjustRightInd w:val="0"/>
              <w:textAlignment w:val="baseline"/>
              <w:rPr>
                <w:i/>
              </w:rPr>
            </w:pPr>
            <w:r>
              <w:rPr>
                <w:i/>
              </w:rPr>
              <w:t>Endereços eletrónicos</w:t>
            </w:r>
          </w:p>
        </w:tc>
        <w:tc>
          <w:tcPr>
            <w:tcW w:w="3797" w:type="pct"/>
          </w:tcPr>
          <w:p w:rsidRPr="00FD106B" w:rsidR="00FD106B" w:rsidP="00BE1F8F" w:rsidRDefault="00C61EB1" w14:paraId="58795004" w14:textId="77777777">
            <w:pPr>
              <w:overflowPunct w:val="0"/>
              <w:autoSpaceDE w:val="0"/>
              <w:autoSpaceDN w:val="0"/>
              <w:adjustRightInd w:val="0"/>
              <w:textAlignment w:val="baseline"/>
              <w:rPr>
                <w:i/>
                <w:iCs/>
              </w:rPr>
            </w:pPr>
            <w:hyperlink w:history="1" r:id="rId43">
              <w:r w:rsidR="00912887">
                <w:rPr>
                  <w:i/>
                  <w:color w:val="0000FF"/>
                  <w:u w:val="single"/>
                </w:rPr>
                <w:t>Annalisa.Tessarolo@eesc.europa.eu</w:t>
              </w:r>
            </w:hyperlink>
          </w:p>
          <w:p w:rsidRPr="00FD106B" w:rsidR="00FD106B" w:rsidP="00BE1F8F" w:rsidRDefault="00C61EB1" w14:paraId="40FF993F" w14:textId="77777777">
            <w:pPr>
              <w:overflowPunct w:val="0"/>
              <w:autoSpaceDE w:val="0"/>
              <w:autoSpaceDN w:val="0"/>
              <w:adjustRightInd w:val="0"/>
              <w:textAlignment w:val="baseline"/>
              <w:rPr>
                <w:i/>
              </w:rPr>
            </w:pPr>
            <w:hyperlink w:history="1" r:id="rId44">
              <w:r w:rsidR="00912887">
                <w:rPr>
                  <w:i/>
                  <w:color w:val="0000FF"/>
                  <w:u w:val="single"/>
                </w:rPr>
                <w:t>Silvia.Staffa@eesc.europa.eu</w:t>
              </w:r>
            </w:hyperlink>
          </w:p>
        </w:tc>
      </w:tr>
    </w:tbl>
    <w:p w:rsidR="00FD106B" w:rsidP="00BE1F8F" w:rsidRDefault="00FD106B" w14:paraId="6389C470" w14:textId="77777777">
      <w:pPr>
        <w:jc w:val="left"/>
      </w:pPr>
    </w:p>
    <w:p w:rsidR="00FD106B" w:rsidP="00BE1F8F" w:rsidRDefault="00FD106B" w14:paraId="78591677" w14:textId="77777777">
      <w:pPr>
        <w:jc w:val="left"/>
      </w:pPr>
      <w:r>
        <w:br w:type="page"/>
      </w:r>
    </w:p>
    <w:p w:rsidRPr="00D03AEC" w:rsidR="00D03AEC" w:rsidP="00BE1F8F" w:rsidRDefault="00C61EB1" w14:paraId="5D829D13" w14:textId="2B5C8229">
      <w:pPr>
        <w:widowControl w:val="0"/>
        <w:numPr>
          <w:ilvl w:val="0"/>
          <w:numId w:val="2"/>
        </w:numPr>
        <w:overflowPunct w:val="0"/>
        <w:autoSpaceDE w:val="0"/>
        <w:autoSpaceDN w:val="0"/>
        <w:adjustRightInd w:val="0"/>
        <w:ind w:hanging="567"/>
        <w:textAlignment w:val="baseline"/>
        <w:rPr>
          <w:sz w:val="20"/>
          <w:szCs w:val="20"/>
        </w:rPr>
      </w:pPr>
      <w:hyperlink w:history="1" r:id="rId45">
        <w:r w:rsidR="00912887">
          <w:rPr>
            <w:b/>
            <w:i/>
            <w:color w:val="0000FF"/>
            <w:sz w:val="28"/>
            <w:u w:val="single"/>
          </w:rPr>
          <w:t>A competitivid</w:t>
        </w:r>
        <w:r w:rsidR="00912887">
          <w:rPr>
            <w:b/>
            <w:i/>
            <w:color w:val="0000FF"/>
            <w:sz w:val="28"/>
            <w:u w:val="single"/>
          </w:rPr>
          <w:t>ade das pequenas e médias empresas da UE à luz dos novos encargos e obrigações administrativos</w:t>
        </w:r>
      </w:hyperlink>
    </w:p>
    <w:p w:rsidRPr="00D03AEC" w:rsidR="00D03AEC" w:rsidP="00BE1F8F" w:rsidRDefault="00D03AEC" w14:paraId="76D0C029"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1452"/>
        <w:gridCol w:w="7725"/>
      </w:tblGrid>
      <w:tr w:rsidRPr="00D03AEC" w:rsidR="00D03AEC" w:rsidTr="00713105" w14:paraId="385F137A" w14:textId="77777777">
        <w:trPr>
          <w:trHeight w:val="323"/>
        </w:trPr>
        <w:tc>
          <w:tcPr>
            <w:tcW w:w="791" w:type="pct"/>
          </w:tcPr>
          <w:p w:rsidRPr="00D03AEC" w:rsidR="00D03AEC" w:rsidP="00BE1F8F" w:rsidRDefault="00D03AEC" w14:paraId="6D4FA2AD" w14:textId="44144662">
            <w:pPr>
              <w:tabs>
                <w:tab w:val="center" w:pos="284"/>
              </w:tabs>
              <w:overflowPunct w:val="0"/>
              <w:autoSpaceDE w:val="0"/>
              <w:autoSpaceDN w:val="0"/>
              <w:adjustRightInd w:val="0"/>
              <w:ind w:left="266" w:hanging="266"/>
              <w:textAlignment w:val="baseline"/>
              <w:rPr>
                <w:b/>
              </w:rPr>
            </w:pPr>
            <w:r>
              <w:rPr>
                <w:b/>
              </w:rPr>
              <w:t>Relator</w:t>
            </w:r>
          </w:p>
        </w:tc>
        <w:tc>
          <w:tcPr>
            <w:tcW w:w="4209" w:type="pct"/>
          </w:tcPr>
          <w:p w:rsidRPr="00D03AEC" w:rsidR="00D03AEC" w:rsidP="00BE1F8F" w:rsidRDefault="00D03AEC" w14:paraId="2320B226" w14:textId="16FA16A5">
            <w:pPr>
              <w:tabs>
                <w:tab w:val="center" w:pos="0"/>
              </w:tabs>
              <w:overflowPunct w:val="0"/>
              <w:autoSpaceDE w:val="0"/>
              <w:autoSpaceDN w:val="0"/>
              <w:adjustRightInd w:val="0"/>
              <w:ind w:left="266" w:right="-387" w:hanging="266"/>
              <w:textAlignment w:val="baseline"/>
            </w:pPr>
            <w:r>
              <w:t>Paul Rübig (AT – Grupo dos Empregadores)</w:t>
            </w:r>
          </w:p>
        </w:tc>
      </w:tr>
      <w:tr w:rsidRPr="00D03AEC" w:rsidR="00D03AEC" w:rsidTr="00713105" w14:paraId="2544DD25" w14:textId="77777777">
        <w:tc>
          <w:tcPr>
            <w:tcW w:w="791" w:type="pct"/>
          </w:tcPr>
          <w:p w:rsidRPr="00D03AEC" w:rsidR="00D03AEC" w:rsidP="00BE1F8F" w:rsidRDefault="00D03AEC" w14:paraId="327B0796" w14:textId="569A93C2">
            <w:pPr>
              <w:tabs>
                <w:tab w:val="center" w:pos="284"/>
              </w:tabs>
              <w:overflowPunct w:val="0"/>
              <w:autoSpaceDE w:val="0"/>
              <w:autoSpaceDN w:val="0"/>
              <w:adjustRightInd w:val="0"/>
              <w:ind w:left="266" w:hanging="266"/>
              <w:textAlignment w:val="baseline"/>
              <w:rPr>
                <w:b/>
              </w:rPr>
            </w:pPr>
            <w:r>
              <w:rPr>
                <w:b/>
              </w:rPr>
              <w:t>Referência</w:t>
            </w:r>
          </w:p>
        </w:tc>
        <w:tc>
          <w:tcPr>
            <w:tcW w:w="4209" w:type="pct"/>
          </w:tcPr>
          <w:p w:rsidRPr="00D03AEC" w:rsidR="00D03AEC" w:rsidP="00BE1F8F" w:rsidRDefault="00D03AEC" w14:paraId="34DEDE49" w14:textId="588F8405">
            <w:pPr>
              <w:tabs>
                <w:tab w:val="center" w:pos="284"/>
              </w:tabs>
              <w:overflowPunct w:val="0"/>
              <w:autoSpaceDE w:val="0"/>
              <w:autoSpaceDN w:val="0"/>
              <w:adjustRightInd w:val="0"/>
              <w:ind w:left="266" w:right="-387" w:hanging="266"/>
              <w:textAlignment w:val="baseline"/>
            </w:pPr>
            <w:r>
              <w:t>Parecer exploratório a pedido da Presidência polaca do Conselho da UE</w:t>
            </w:r>
          </w:p>
          <w:p w:rsidRPr="00D03AEC" w:rsidR="00D03AEC" w:rsidP="00BE1F8F" w:rsidRDefault="00D03AEC" w14:paraId="6502535C" w14:textId="77777777">
            <w:pPr>
              <w:tabs>
                <w:tab w:val="center" w:pos="284"/>
              </w:tabs>
              <w:overflowPunct w:val="0"/>
              <w:autoSpaceDE w:val="0"/>
              <w:autoSpaceDN w:val="0"/>
              <w:adjustRightInd w:val="0"/>
              <w:ind w:left="266" w:right="-387" w:hanging="266"/>
              <w:textAlignment w:val="baseline"/>
            </w:pPr>
            <w:r>
              <w:t>EESC-2024-03549-00-00-AC</w:t>
            </w:r>
          </w:p>
        </w:tc>
      </w:tr>
    </w:tbl>
    <w:p w:rsidRPr="00D03AEC" w:rsidR="00D03AEC" w:rsidP="00BE1F8F" w:rsidRDefault="00D03AEC" w14:paraId="5DE49D6C" w14:textId="77777777">
      <w:pPr>
        <w:tabs>
          <w:tab w:val="center" w:pos="284"/>
        </w:tabs>
        <w:overflowPunct w:val="0"/>
        <w:autoSpaceDE w:val="0"/>
        <w:autoSpaceDN w:val="0"/>
        <w:adjustRightInd w:val="0"/>
        <w:ind w:left="266" w:hanging="266"/>
        <w:textAlignment w:val="baseline"/>
        <w:rPr>
          <w:b/>
          <w:lang w:val="en-GB"/>
        </w:rPr>
      </w:pPr>
    </w:p>
    <w:p w:rsidRPr="00D03AEC" w:rsidR="00D03AEC" w:rsidP="00BE1F8F" w:rsidRDefault="00D03AEC" w14:paraId="26780EEE" w14:textId="77777777">
      <w:pPr>
        <w:tabs>
          <w:tab w:val="center" w:pos="284"/>
        </w:tabs>
        <w:overflowPunct w:val="0"/>
        <w:autoSpaceDE w:val="0"/>
        <w:autoSpaceDN w:val="0"/>
        <w:adjustRightInd w:val="0"/>
        <w:ind w:left="266" w:hanging="266"/>
        <w:textAlignment w:val="baseline"/>
        <w:rPr>
          <w:b/>
        </w:rPr>
      </w:pPr>
      <w:r>
        <w:rPr>
          <w:b/>
        </w:rPr>
        <w:t>Pontos principais</w:t>
      </w:r>
    </w:p>
    <w:p w:rsidRPr="00D03AEC" w:rsidR="00D03AEC" w:rsidP="00BE1F8F" w:rsidRDefault="00D03AEC" w14:paraId="66E17A01" w14:textId="77777777">
      <w:pPr>
        <w:tabs>
          <w:tab w:val="center" w:pos="284"/>
        </w:tabs>
        <w:overflowPunct w:val="0"/>
        <w:autoSpaceDE w:val="0"/>
        <w:autoSpaceDN w:val="0"/>
        <w:adjustRightInd w:val="0"/>
        <w:ind w:left="266" w:hanging="266"/>
        <w:textAlignment w:val="baseline"/>
        <w:rPr>
          <w:bCs/>
          <w:lang w:val="en-GB"/>
        </w:rPr>
      </w:pPr>
    </w:p>
    <w:p w:rsidRPr="00D03AEC" w:rsidR="00D03AEC" w:rsidP="00BE1F8F" w:rsidRDefault="00D03AEC" w14:paraId="73126562" w14:textId="77777777">
      <w:pPr>
        <w:overflowPunct w:val="0"/>
        <w:autoSpaceDE w:val="0"/>
        <w:autoSpaceDN w:val="0"/>
        <w:adjustRightInd w:val="0"/>
        <w:textAlignment w:val="baseline"/>
        <w:rPr>
          <w:bCs/>
          <w:iCs/>
        </w:rPr>
      </w:pPr>
      <w:r>
        <w:t>O Comité Económico e Social Europeu:</w:t>
      </w:r>
    </w:p>
    <w:p w:rsidRPr="00D03AEC" w:rsidR="00D03AEC" w:rsidP="00BE1F8F" w:rsidRDefault="00D03AEC" w14:paraId="551D5FDC" w14:textId="77777777">
      <w:pPr>
        <w:numPr>
          <w:ilvl w:val="0"/>
          <w:numId w:val="31"/>
        </w:numPr>
        <w:overflowPunct w:val="0"/>
        <w:autoSpaceDE w:val="0"/>
        <w:autoSpaceDN w:val="0"/>
        <w:adjustRightInd w:val="0"/>
        <w:ind w:left="284" w:hanging="284"/>
        <w:contextualSpacing/>
        <w:textAlignment w:val="baseline"/>
        <w:rPr>
          <w:bCs/>
          <w:iCs/>
        </w:rPr>
      </w:pPr>
      <w:r>
        <w:t>entende que, apesar de a União Europeia (UE) ter lançado várias iniciativas no passado, continua a ser necessário ir mais além na redução dos encargos regulamentares, dado que as pequenas e médias empresas (PME) enfrentam uma duplicação ou triplicação dos requisitos legislativos e das sanções, devido à sobreposição entre a nova regulamentação e os requisitos em vigor, incluindo no âmbito do Pacto Ecológico;</w:t>
      </w:r>
    </w:p>
    <w:p w:rsidRPr="00D03AEC" w:rsidR="00D03AEC" w:rsidP="00BE1F8F" w:rsidRDefault="00D03AEC" w14:paraId="62F36A43" w14:textId="77777777">
      <w:pPr>
        <w:numPr>
          <w:ilvl w:val="0"/>
          <w:numId w:val="31"/>
        </w:numPr>
        <w:overflowPunct w:val="0"/>
        <w:autoSpaceDE w:val="0"/>
        <w:autoSpaceDN w:val="0"/>
        <w:adjustRightInd w:val="0"/>
        <w:ind w:left="284" w:hanging="284"/>
        <w:contextualSpacing/>
        <w:textAlignment w:val="baseline"/>
        <w:rPr>
          <w:bCs/>
          <w:iCs/>
        </w:rPr>
      </w:pPr>
      <w:r>
        <w:t>considera, porém, que a redução dos encargos regulamentares não pode comprometer o cumprimento dos direitos e normas sociais, ambientais e de segurança dos consumidores estabelecidos a nível internacional e da UE, nem a aplicação do princípio da transparência e do Estado de direito na UE;</w:t>
      </w:r>
    </w:p>
    <w:p w:rsidRPr="00D03AEC" w:rsidR="00D03AEC" w:rsidP="00BE1F8F" w:rsidRDefault="00D03AEC" w14:paraId="2F408966" w14:textId="77777777">
      <w:pPr>
        <w:numPr>
          <w:ilvl w:val="0"/>
          <w:numId w:val="31"/>
        </w:numPr>
        <w:overflowPunct w:val="0"/>
        <w:autoSpaceDE w:val="0"/>
        <w:autoSpaceDN w:val="0"/>
        <w:adjustRightInd w:val="0"/>
        <w:ind w:left="284" w:hanging="284"/>
        <w:contextualSpacing/>
        <w:textAlignment w:val="baseline"/>
        <w:rPr>
          <w:bCs/>
          <w:iCs/>
        </w:rPr>
      </w:pPr>
      <w:r>
        <w:t>recomenda que o Comité de Controlo da Regulamentação seja significativamente reforçado e tornado mais independente, realizando uma «verificação da coerência e da subsidiariedade» no início de cada processo legislativo e dotando-o de direitos de revisão e aconselhamento adequados;</w:t>
      </w:r>
    </w:p>
    <w:p w:rsidRPr="00D03AEC" w:rsidR="00D03AEC" w:rsidP="00BE1F8F" w:rsidRDefault="00D03AEC" w14:paraId="59E3C799" w14:textId="77777777">
      <w:pPr>
        <w:numPr>
          <w:ilvl w:val="0"/>
          <w:numId w:val="31"/>
        </w:numPr>
        <w:overflowPunct w:val="0"/>
        <w:autoSpaceDE w:val="0"/>
        <w:autoSpaceDN w:val="0"/>
        <w:adjustRightInd w:val="0"/>
        <w:ind w:left="284" w:hanging="284"/>
        <w:contextualSpacing/>
        <w:textAlignment w:val="baseline"/>
        <w:rPr>
          <w:bCs/>
          <w:iCs/>
        </w:rPr>
      </w:pPr>
      <w:r>
        <w:t>recomenda que o teste das PME e o teste de competitividade sejam integrados num único procedimento;</w:t>
      </w:r>
    </w:p>
    <w:p w:rsidRPr="00D03AEC" w:rsidR="00D03AEC" w:rsidP="00BE1F8F" w:rsidRDefault="00D03AEC" w14:paraId="126D259B" w14:textId="77777777">
      <w:pPr>
        <w:numPr>
          <w:ilvl w:val="0"/>
          <w:numId w:val="31"/>
        </w:numPr>
        <w:overflowPunct w:val="0"/>
        <w:autoSpaceDE w:val="0"/>
        <w:autoSpaceDN w:val="0"/>
        <w:adjustRightInd w:val="0"/>
        <w:ind w:left="284" w:hanging="284"/>
        <w:contextualSpacing/>
        <w:textAlignment w:val="baseline"/>
        <w:rPr>
          <w:bCs/>
          <w:iCs/>
        </w:rPr>
      </w:pPr>
      <w:r>
        <w:t>recomenda a utilização da inteligência artificial e de ferramentas de aprendizagem automática para criar uma «ferramenta única de comunicação de informações» de fácil utilização, que possa transmitir às PME, às empresas de média capitalização e a outras empresas todas as obrigações, prazos e sanções pertinentes na UE em matéria de comunicação de informações;</w:t>
      </w:r>
    </w:p>
    <w:p w:rsidRPr="00D03AEC" w:rsidR="00D03AEC" w:rsidP="00BE1F8F" w:rsidRDefault="00D03AEC" w14:paraId="004869CE" w14:textId="77777777">
      <w:pPr>
        <w:numPr>
          <w:ilvl w:val="0"/>
          <w:numId w:val="31"/>
        </w:numPr>
        <w:overflowPunct w:val="0"/>
        <w:autoSpaceDE w:val="0"/>
        <w:autoSpaceDN w:val="0"/>
        <w:adjustRightInd w:val="0"/>
        <w:ind w:left="284" w:hanging="284"/>
        <w:contextualSpacing/>
        <w:textAlignment w:val="baseline"/>
        <w:rPr>
          <w:bCs/>
          <w:iCs/>
        </w:rPr>
      </w:pPr>
      <w:r>
        <w:t>assinala que é necessário que o Parlamento Europeu e o Conselho da UE estabeleçam um procedimento acelerado para as avaliações de impacto e de risco a realizar pelos seus próprios departamentos temáticos no caso de proporem alterações que reformulem substancialmente as propostas apresentadas pela Comissão Europeia;</w:t>
      </w:r>
    </w:p>
    <w:p w:rsidR="00D03AEC" w:rsidP="00BE1F8F" w:rsidRDefault="00D03AEC" w14:paraId="750FA3AD" w14:textId="77777777">
      <w:pPr>
        <w:numPr>
          <w:ilvl w:val="0"/>
          <w:numId w:val="31"/>
        </w:numPr>
        <w:overflowPunct w:val="0"/>
        <w:autoSpaceDE w:val="0"/>
        <w:autoSpaceDN w:val="0"/>
        <w:adjustRightInd w:val="0"/>
        <w:ind w:left="284" w:hanging="284"/>
        <w:contextualSpacing/>
        <w:textAlignment w:val="baseline"/>
        <w:rPr>
          <w:bCs/>
          <w:iCs/>
        </w:rPr>
      </w:pPr>
      <w:r>
        <w:t>considera que o Conselho da UE e as autoridades nacionais devem também tirar maior partido das oportunidades de revisão das responsabilidades (subsidiariedade), em particular no que diz respeito ao impacto nas PME, nos consumidores, na administração e na justiça.</w:t>
      </w:r>
    </w:p>
    <w:p w:rsidRPr="00D03AEC" w:rsidR="00860DE0" w:rsidP="00BE1F8F" w:rsidRDefault="00860DE0" w14:paraId="70E7E138" w14:textId="77777777">
      <w:pPr>
        <w:overflowPunct w:val="0"/>
        <w:autoSpaceDE w:val="0"/>
        <w:autoSpaceDN w:val="0"/>
        <w:adjustRightInd w:val="0"/>
        <w:ind w:left="284"/>
        <w:contextualSpacing/>
        <w:textAlignment w:val="baseline"/>
        <w:rPr>
          <w:bCs/>
          <w:iCs/>
          <w:lang w:val="en-GB"/>
        </w:rPr>
      </w:pPr>
    </w:p>
    <w:tbl>
      <w:tblPr>
        <w:tblW w:w="5000" w:type="pct"/>
        <w:tblLook w:val="04A0" w:firstRow="1" w:lastRow="0" w:firstColumn="1" w:lastColumn="0" w:noHBand="0" w:noVBand="1"/>
      </w:tblPr>
      <w:tblGrid>
        <w:gridCol w:w="2093"/>
        <w:gridCol w:w="7194"/>
      </w:tblGrid>
      <w:tr w:rsidRPr="00D03AEC" w:rsidR="00D03AEC" w:rsidTr="001E5877" w14:paraId="5FB02248" w14:textId="77777777">
        <w:tc>
          <w:tcPr>
            <w:tcW w:w="1127" w:type="pct"/>
          </w:tcPr>
          <w:p w:rsidRPr="00D03AEC" w:rsidR="00D03AEC" w:rsidP="00BE1F8F" w:rsidRDefault="00D03AEC" w14:paraId="74072B9E" w14:textId="77777777">
            <w:pPr>
              <w:overflowPunct w:val="0"/>
              <w:autoSpaceDE w:val="0"/>
              <w:autoSpaceDN w:val="0"/>
              <w:adjustRightInd w:val="0"/>
              <w:textAlignment w:val="baseline"/>
              <w:rPr>
                <w:i/>
              </w:rPr>
            </w:pPr>
            <w:r>
              <w:rPr>
                <w:b/>
                <w:i/>
              </w:rPr>
              <w:t>Contacto</w:t>
            </w:r>
          </w:p>
        </w:tc>
        <w:tc>
          <w:tcPr>
            <w:tcW w:w="3873" w:type="pct"/>
          </w:tcPr>
          <w:p w:rsidRPr="00D03AEC" w:rsidR="00D03AEC" w:rsidP="00BE1F8F" w:rsidRDefault="00D03AEC" w14:paraId="522139B8" w14:textId="781982F3">
            <w:pPr>
              <w:overflowPunct w:val="0"/>
              <w:autoSpaceDE w:val="0"/>
              <w:autoSpaceDN w:val="0"/>
              <w:adjustRightInd w:val="0"/>
              <w:textAlignment w:val="baseline"/>
              <w:rPr>
                <w:i/>
              </w:rPr>
            </w:pPr>
            <w:r>
              <w:rPr>
                <w:i/>
              </w:rPr>
              <w:t>Marco Manfroni</w:t>
            </w:r>
          </w:p>
        </w:tc>
      </w:tr>
      <w:tr w:rsidRPr="00D03AEC" w:rsidR="00D03AEC" w:rsidTr="001E5877" w14:paraId="608E1DA4" w14:textId="77777777">
        <w:tc>
          <w:tcPr>
            <w:tcW w:w="1127" w:type="pct"/>
          </w:tcPr>
          <w:p w:rsidRPr="00D03AEC" w:rsidR="00D03AEC" w:rsidP="00BE1F8F" w:rsidRDefault="00D03AEC" w14:paraId="03200737" w14:textId="77777777">
            <w:pPr>
              <w:overflowPunct w:val="0"/>
              <w:autoSpaceDE w:val="0"/>
              <w:autoSpaceDN w:val="0"/>
              <w:adjustRightInd w:val="0"/>
              <w:textAlignment w:val="baseline"/>
              <w:rPr>
                <w:i/>
              </w:rPr>
            </w:pPr>
            <w:r>
              <w:rPr>
                <w:i/>
              </w:rPr>
              <w:t>Tel.</w:t>
            </w:r>
          </w:p>
        </w:tc>
        <w:tc>
          <w:tcPr>
            <w:tcW w:w="3873" w:type="pct"/>
          </w:tcPr>
          <w:p w:rsidRPr="00D03AEC" w:rsidR="00D03AEC" w:rsidP="00BE1F8F" w:rsidRDefault="00D03AEC" w14:paraId="7EC18166" w14:textId="03235857">
            <w:pPr>
              <w:overflowPunct w:val="0"/>
              <w:autoSpaceDE w:val="0"/>
              <w:autoSpaceDN w:val="0"/>
              <w:adjustRightInd w:val="0"/>
              <w:textAlignment w:val="baseline"/>
              <w:rPr>
                <w:i/>
              </w:rPr>
            </w:pPr>
            <w:r>
              <w:rPr>
                <w:i/>
              </w:rPr>
              <w:t>+32 2 546 91 40</w:t>
            </w:r>
          </w:p>
        </w:tc>
      </w:tr>
      <w:tr w:rsidRPr="00D03AEC" w:rsidR="00D03AEC" w:rsidTr="001E5877" w14:paraId="18ACE9E6" w14:textId="77777777">
        <w:tc>
          <w:tcPr>
            <w:tcW w:w="1127" w:type="pct"/>
          </w:tcPr>
          <w:p w:rsidRPr="00D03AEC" w:rsidR="00D03AEC" w:rsidP="00BE1F8F" w:rsidRDefault="00D03AEC" w14:paraId="47140999" w14:textId="77777777">
            <w:pPr>
              <w:overflowPunct w:val="0"/>
              <w:autoSpaceDE w:val="0"/>
              <w:autoSpaceDN w:val="0"/>
              <w:adjustRightInd w:val="0"/>
              <w:textAlignment w:val="baseline"/>
              <w:rPr>
                <w:i/>
              </w:rPr>
            </w:pPr>
            <w:r>
              <w:rPr>
                <w:i/>
              </w:rPr>
              <w:t>Endereço eletrónico</w:t>
            </w:r>
          </w:p>
        </w:tc>
        <w:tc>
          <w:tcPr>
            <w:tcW w:w="3873" w:type="pct"/>
          </w:tcPr>
          <w:p w:rsidRPr="00D03AEC" w:rsidR="00D03AEC" w:rsidP="00BE1F8F" w:rsidRDefault="00C61EB1" w14:paraId="66C1176F" w14:textId="6F5AA9D0">
            <w:pPr>
              <w:overflowPunct w:val="0"/>
              <w:autoSpaceDE w:val="0"/>
              <w:autoSpaceDN w:val="0"/>
              <w:adjustRightInd w:val="0"/>
              <w:textAlignment w:val="baseline"/>
              <w:rPr>
                <w:i/>
                <w:iCs/>
              </w:rPr>
            </w:pPr>
            <w:hyperlink w:history="1" r:id="rId46">
              <w:r w:rsidR="00912887">
                <w:rPr>
                  <w:i/>
                  <w:color w:val="0000FF"/>
                  <w:u w:val="single"/>
                </w:rPr>
                <w:t>Marco.Manfroni@eesc.europa.eu</w:t>
              </w:r>
            </w:hyperlink>
          </w:p>
        </w:tc>
      </w:tr>
    </w:tbl>
    <w:p w:rsidR="00D03AEC" w:rsidP="00BE1F8F" w:rsidRDefault="00D03AEC" w14:paraId="20B99FD5" w14:textId="77777777">
      <w:pPr>
        <w:jc w:val="left"/>
      </w:pPr>
      <w:r>
        <w:br w:type="page"/>
      </w:r>
    </w:p>
    <w:p w:rsidRPr="008413EF" w:rsidR="008413EF" w:rsidP="00BE1F8F" w:rsidRDefault="00C61EB1" w14:paraId="70DDD8A1" w14:textId="1D4BB03C">
      <w:pPr>
        <w:widowControl w:val="0"/>
        <w:numPr>
          <w:ilvl w:val="0"/>
          <w:numId w:val="2"/>
        </w:numPr>
        <w:overflowPunct w:val="0"/>
        <w:autoSpaceDE w:val="0"/>
        <w:autoSpaceDN w:val="0"/>
        <w:adjustRightInd w:val="0"/>
        <w:ind w:hanging="567"/>
        <w:textAlignment w:val="baseline"/>
        <w:rPr>
          <w:b/>
        </w:rPr>
      </w:pPr>
      <w:hyperlink w:tgtFrame="_blank" w:history="1" r:id="rId47">
        <w:r w:rsidR="00912887">
          <w:rPr>
            <w:b/>
            <w:i/>
            <w:color w:val="0000FF"/>
            <w:sz w:val="28"/>
            <w:u w:val="single"/>
          </w:rPr>
          <w:t>O setor dos servi</w:t>
        </w:r>
        <w:r w:rsidR="00912887">
          <w:rPr>
            <w:b/>
            <w:i/>
            <w:color w:val="0000FF"/>
            <w:sz w:val="28"/>
            <w:u w:val="single"/>
          </w:rPr>
          <w:t>ços na União Europeia</w:t>
        </w:r>
      </w:hyperlink>
    </w:p>
    <w:p w:rsidRPr="008413EF" w:rsidR="008413EF" w:rsidP="00713105" w:rsidRDefault="008413EF" w14:paraId="09CC9878" w14:textId="77777777">
      <w:pPr>
        <w:widowControl w:val="0"/>
        <w:overflowPunct w:val="0"/>
        <w:autoSpaceDE w:val="0"/>
        <w:autoSpaceDN w:val="0"/>
        <w:adjustRightInd w:val="0"/>
        <w:textAlignment w:val="baseline"/>
        <w:rPr>
          <w:b/>
          <w:lang w:val="en-GB"/>
        </w:rPr>
      </w:pPr>
    </w:p>
    <w:tbl>
      <w:tblPr>
        <w:tblW w:w="0" w:type="auto"/>
        <w:tblLook w:val="04A0" w:firstRow="1" w:lastRow="0" w:firstColumn="1" w:lastColumn="0" w:noHBand="0" w:noVBand="1"/>
      </w:tblPr>
      <w:tblGrid>
        <w:gridCol w:w="1701"/>
        <w:gridCol w:w="7479"/>
      </w:tblGrid>
      <w:tr w:rsidRPr="008413EF" w:rsidR="008413EF" w:rsidTr="00713105" w14:paraId="7A748E72" w14:textId="77777777">
        <w:tc>
          <w:tcPr>
            <w:tcW w:w="1701" w:type="dxa"/>
          </w:tcPr>
          <w:p w:rsidRPr="008413EF" w:rsidR="008413EF" w:rsidP="00BE1F8F" w:rsidRDefault="008413EF" w14:paraId="0901F05D" w14:textId="77777777">
            <w:pPr>
              <w:tabs>
                <w:tab w:val="center" w:pos="284"/>
              </w:tabs>
              <w:overflowPunct w:val="0"/>
              <w:autoSpaceDE w:val="0"/>
              <w:autoSpaceDN w:val="0"/>
              <w:adjustRightInd w:val="0"/>
              <w:ind w:left="266" w:hanging="266"/>
              <w:textAlignment w:val="baseline"/>
              <w:rPr>
                <w:b/>
              </w:rPr>
            </w:pPr>
            <w:r>
              <w:rPr>
                <w:b/>
              </w:rPr>
              <w:t>Relator</w:t>
            </w:r>
          </w:p>
        </w:tc>
        <w:tc>
          <w:tcPr>
            <w:tcW w:w="7479" w:type="dxa"/>
          </w:tcPr>
          <w:p w:rsidRPr="008413EF" w:rsidR="008413EF" w:rsidP="00BE1F8F" w:rsidRDefault="008413EF" w14:paraId="2A6EDF2D" w14:textId="7BB4AB03">
            <w:pPr>
              <w:tabs>
                <w:tab w:val="center" w:pos="284"/>
              </w:tabs>
              <w:overflowPunct w:val="0"/>
              <w:autoSpaceDE w:val="0"/>
              <w:autoSpaceDN w:val="0"/>
              <w:adjustRightInd w:val="0"/>
              <w:ind w:left="266" w:hanging="266"/>
              <w:textAlignment w:val="baseline"/>
            </w:pPr>
            <w:r>
              <w:t>Marcin Nowacki ( PL – Grupo dos Empregadores)</w:t>
            </w:r>
          </w:p>
        </w:tc>
      </w:tr>
      <w:tr w:rsidRPr="008413EF" w:rsidR="008413EF" w:rsidTr="00713105" w14:paraId="6A5323D9" w14:textId="77777777">
        <w:tc>
          <w:tcPr>
            <w:tcW w:w="1701" w:type="dxa"/>
            <w:vMerge w:val="restart"/>
          </w:tcPr>
          <w:p w:rsidRPr="008413EF" w:rsidR="008413EF" w:rsidP="00BE1F8F" w:rsidRDefault="008413EF" w14:paraId="037595AE" w14:textId="7E00B36E">
            <w:pPr>
              <w:tabs>
                <w:tab w:val="center" w:pos="284"/>
              </w:tabs>
              <w:overflowPunct w:val="0"/>
              <w:autoSpaceDE w:val="0"/>
              <w:autoSpaceDN w:val="0"/>
              <w:adjustRightInd w:val="0"/>
              <w:ind w:left="266" w:hanging="266"/>
              <w:textAlignment w:val="baseline"/>
              <w:rPr>
                <w:b/>
              </w:rPr>
            </w:pPr>
            <w:r>
              <w:rPr>
                <w:b/>
              </w:rPr>
              <w:t>Referência</w:t>
            </w:r>
          </w:p>
        </w:tc>
        <w:tc>
          <w:tcPr>
            <w:tcW w:w="7479" w:type="dxa"/>
          </w:tcPr>
          <w:p w:rsidRPr="008413EF" w:rsidR="008413EF" w:rsidP="00713105" w:rsidRDefault="008413EF" w14:paraId="50FBE37D" w14:textId="5D117B4A">
            <w:pPr>
              <w:overflowPunct w:val="0"/>
              <w:autoSpaceDE w:val="0"/>
              <w:autoSpaceDN w:val="0"/>
              <w:adjustRightInd w:val="0"/>
              <w:textAlignment w:val="baseline"/>
            </w:pPr>
            <w:r>
              <w:t>Parecer exploratório a pedido da Presidência polaca do Conselho da UE</w:t>
            </w:r>
          </w:p>
        </w:tc>
      </w:tr>
      <w:tr w:rsidRPr="008413EF" w:rsidR="008413EF" w:rsidTr="00713105" w14:paraId="730528B8" w14:textId="77777777">
        <w:tc>
          <w:tcPr>
            <w:tcW w:w="1701" w:type="dxa"/>
            <w:vMerge/>
          </w:tcPr>
          <w:p w:rsidRPr="008413EF" w:rsidR="008413EF" w:rsidP="00BE1F8F" w:rsidRDefault="008413EF" w14:paraId="12933C30" w14:textId="77777777">
            <w:pPr>
              <w:tabs>
                <w:tab w:val="center" w:pos="284"/>
              </w:tabs>
              <w:overflowPunct w:val="0"/>
              <w:autoSpaceDE w:val="0"/>
              <w:autoSpaceDN w:val="0"/>
              <w:adjustRightInd w:val="0"/>
              <w:ind w:left="266" w:hanging="266"/>
              <w:textAlignment w:val="baseline"/>
              <w:rPr>
                <w:b/>
              </w:rPr>
            </w:pPr>
          </w:p>
        </w:tc>
        <w:tc>
          <w:tcPr>
            <w:tcW w:w="7479" w:type="dxa"/>
          </w:tcPr>
          <w:p w:rsidRPr="008413EF" w:rsidR="008413EF" w:rsidP="00BE1F8F" w:rsidRDefault="008413EF" w14:paraId="3578B6AF" w14:textId="02B3A0A0">
            <w:pPr>
              <w:tabs>
                <w:tab w:val="center" w:pos="284"/>
              </w:tabs>
              <w:overflowPunct w:val="0"/>
              <w:autoSpaceDE w:val="0"/>
              <w:autoSpaceDN w:val="0"/>
              <w:adjustRightInd w:val="0"/>
              <w:ind w:left="266" w:hanging="266"/>
              <w:textAlignment w:val="baseline"/>
            </w:pPr>
            <w:r>
              <w:t>EESC-2024-03619-00-00-AC</w:t>
            </w:r>
          </w:p>
        </w:tc>
      </w:tr>
    </w:tbl>
    <w:p w:rsidRPr="008413EF" w:rsidR="008413EF" w:rsidP="00BE1F8F" w:rsidRDefault="008413EF" w14:paraId="27F8102F" w14:textId="77777777">
      <w:pPr>
        <w:tabs>
          <w:tab w:val="center" w:pos="284"/>
        </w:tabs>
        <w:overflowPunct w:val="0"/>
        <w:autoSpaceDE w:val="0"/>
        <w:autoSpaceDN w:val="0"/>
        <w:adjustRightInd w:val="0"/>
        <w:ind w:left="266" w:hanging="266"/>
        <w:textAlignment w:val="baseline"/>
        <w:rPr>
          <w:sz w:val="20"/>
          <w:szCs w:val="20"/>
          <w:lang w:val="en-GB"/>
        </w:rPr>
      </w:pPr>
    </w:p>
    <w:p w:rsidRPr="008413EF" w:rsidR="008413EF" w:rsidP="00BE1F8F" w:rsidRDefault="008413EF" w14:paraId="72919FEE"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8413EF" w:rsidR="008413EF" w:rsidP="00BE1F8F" w:rsidRDefault="008413EF" w14:paraId="57B16AE4" w14:textId="77777777">
      <w:pPr>
        <w:keepNext/>
        <w:keepLines/>
        <w:tabs>
          <w:tab w:val="center" w:pos="284"/>
        </w:tabs>
        <w:overflowPunct w:val="0"/>
        <w:autoSpaceDE w:val="0"/>
        <w:autoSpaceDN w:val="0"/>
        <w:adjustRightInd w:val="0"/>
        <w:ind w:left="266" w:hanging="266"/>
        <w:textAlignment w:val="baseline"/>
        <w:rPr>
          <w:b/>
          <w:lang w:val="en-GB"/>
        </w:rPr>
      </w:pPr>
    </w:p>
    <w:p w:rsidRPr="008413EF" w:rsidR="008413EF" w:rsidP="00BE1F8F" w:rsidRDefault="008413EF" w14:paraId="4C5E895D" w14:textId="77777777">
      <w:pPr>
        <w:overflowPunct w:val="0"/>
        <w:autoSpaceDE w:val="0"/>
        <w:autoSpaceDN w:val="0"/>
        <w:adjustRightInd w:val="0"/>
        <w:textAlignment w:val="baseline"/>
        <w:rPr>
          <w:bCs/>
          <w:iCs/>
        </w:rPr>
      </w:pPr>
      <w:r>
        <w:t>O Comité Económico e Social Europeu:</w:t>
      </w:r>
    </w:p>
    <w:p w:rsidRPr="008413EF" w:rsidR="008413EF" w:rsidP="00BE1F8F" w:rsidRDefault="008413EF" w14:paraId="67F46C33" w14:textId="77777777">
      <w:pPr>
        <w:numPr>
          <w:ilvl w:val="0"/>
          <w:numId w:val="32"/>
        </w:numPr>
        <w:overflowPunct w:val="0"/>
        <w:autoSpaceDE w:val="0"/>
        <w:autoSpaceDN w:val="0"/>
        <w:adjustRightInd w:val="0"/>
        <w:ind w:left="284" w:hanging="284"/>
        <w:contextualSpacing/>
        <w:textAlignment w:val="baseline"/>
        <w:rPr>
          <w:bCs/>
          <w:iCs/>
        </w:rPr>
      </w:pPr>
      <w:r>
        <w:t>salienta a necessidade de harmonizar a Diretiva Serviços e a Diretiva Qualificações Profissionais para fazer face à fragmentação no setor dos serviços da União Europeia (UE);</w:t>
      </w:r>
    </w:p>
    <w:p w:rsidRPr="008413EF" w:rsidR="008413EF" w:rsidP="00BE1F8F" w:rsidRDefault="008413EF" w14:paraId="232D5697" w14:textId="77777777">
      <w:pPr>
        <w:numPr>
          <w:ilvl w:val="0"/>
          <w:numId w:val="32"/>
        </w:numPr>
        <w:overflowPunct w:val="0"/>
        <w:autoSpaceDE w:val="0"/>
        <w:autoSpaceDN w:val="0"/>
        <w:adjustRightInd w:val="0"/>
        <w:ind w:left="284" w:hanging="284"/>
        <w:contextualSpacing/>
        <w:textAlignment w:val="baseline"/>
        <w:rPr>
          <w:bCs/>
          <w:iCs/>
        </w:rPr>
      </w:pPr>
      <w:r>
        <w:t>defende a introdução de um «pacote para 100 profissões» para eliminar os obstáculos regulamentares mais significativos em todos os Estados-Membros;</w:t>
      </w:r>
    </w:p>
    <w:p w:rsidRPr="008413EF" w:rsidR="008413EF" w:rsidP="00BE1F8F" w:rsidRDefault="008413EF" w14:paraId="783B2481" w14:textId="77777777">
      <w:pPr>
        <w:numPr>
          <w:ilvl w:val="0"/>
          <w:numId w:val="32"/>
        </w:numPr>
        <w:overflowPunct w:val="0"/>
        <w:autoSpaceDE w:val="0"/>
        <w:autoSpaceDN w:val="0"/>
        <w:adjustRightInd w:val="0"/>
        <w:ind w:left="284" w:hanging="284"/>
        <w:contextualSpacing/>
        <w:textAlignment w:val="baseline"/>
        <w:rPr>
          <w:bCs/>
          <w:iCs/>
        </w:rPr>
      </w:pPr>
      <w:r>
        <w:t>considera que a digitalização deve desempenhar um papel central na modernização dos processos administrativos. A adoção de um portal único de declaração digital e a digitalização dos formulários A1 não só reduziriam os encargos administrativos para as PME como simplificariam os serviços transfronteiras, assegurando serviços mais rápidos e mais acessíveis tanto para as empresas como para os consumidores;</w:t>
      </w:r>
    </w:p>
    <w:p w:rsidRPr="008413EF" w:rsidR="008413EF" w:rsidP="00BE1F8F" w:rsidRDefault="008413EF" w14:paraId="2AA10EB1" w14:textId="77777777">
      <w:pPr>
        <w:numPr>
          <w:ilvl w:val="0"/>
          <w:numId w:val="32"/>
        </w:numPr>
        <w:overflowPunct w:val="0"/>
        <w:autoSpaceDE w:val="0"/>
        <w:autoSpaceDN w:val="0"/>
        <w:adjustRightInd w:val="0"/>
        <w:ind w:left="284" w:hanging="284"/>
        <w:contextualSpacing/>
        <w:textAlignment w:val="baseline"/>
        <w:rPr>
          <w:bCs/>
          <w:iCs/>
        </w:rPr>
      </w:pPr>
      <w:r>
        <w:t>entende que são necessárias reformas setoriais específicas para eliminar os obstáculos em setores como a construção, o retalho e os serviços financeiros;</w:t>
      </w:r>
    </w:p>
    <w:p w:rsidRPr="008413EF" w:rsidR="008413EF" w:rsidP="00BE1F8F" w:rsidRDefault="008413EF" w14:paraId="1EFD5C32" w14:textId="77777777">
      <w:pPr>
        <w:numPr>
          <w:ilvl w:val="0"/>
          <w:numId w:val="32"/>
        </w:numPr>
        <w:overflowPunct w:val="0"/>
        <w:autoSpaceDE w:val="0"/>
        <w:autoSpaceDN w:val="0"/>
        <w:adjustRightInd w:val="0"/>
        <w:ind w:left="284" w:hanging="284"/>
        <w:contextualSpacing/>
        <w:textAlignment w:val="baseline"/>
        <w:rPr>
          <w:bCs/>
          <w:iCs/>
        </w:rPr>
      </w:pPr>
      <w:r>
        <w:t>sublinha que a proteção dos trabalhadores, a negociação coletiva e as convenções coletivas não devem ser encaradas como encargos indevidos;</w:t>
      </w:r>
    </w:p>
    <w:p w:rsidRPr="008413EF" w:rsidR="008413EF" w:rsidP="00BE1F8F" w:rsidRDefault="008413EF" w14:paraId="7AEFFC54" w14:textId="77777777">
      <w:pPr>
        <w:numPr>
          <w:ilvl w:val="0"/>
          <w:numId w:val="32"/>
        </w:numPr>
        <w:overflowPunct w:val="0"/>
        <w:autoSpaceDE w:val="0"/>
        <w:autoSpaceDN w:val="0"/>
        <w:adjustRightInd w:val="0"/>
        <w:ind w:left="284" w:hanging="284"/>
        <w:contextualSpacing/>
        <w:textAlignment w:val="baseline"/>
        <w:rPr>
          <w:bCs/>
          <w:iCs/>
        </w:rPr>
      </w:pPr>
      <w:r>
        <w:t>salienta a necessidade de recolher dados sobre o setor dos serviços, em particular no que diz respeito às PME, para apoiar a elaboração de políticas e eliminar os obstáculos ao mercado único;</w:t>
      </w:r>
    </w:p>
    <w:p w:rsidRPr="008413EF" w:rsidR="008413EF" w:rsidP="00BE1F8F" w:rsidRDefault="008413EF" w14:paraId="74735E25" w14:textId="77777777">
      <w:pPr>
        <w:numPr>
          <w:ilvl w:val="0"/>
          <w:numId w:val="32"/>
        </w:numPr>
        <w:overflowPunct w:val="0"/>
        <w:autoSpaceDE w:val="0"/>
        <w:autoSpaceDN w:val="0"/>
        <w:adjustRightInd w:val="0"/>
        <w:ind w:left="284" w:hanging="284"/>
        <w:contextualSpacing/>
        <w:textAlignment w:val="baseline"/>
        <w:rPr>
          <w:bCs/>
          <w:iCs/>
        </w:rPr>
      </w:pPr>
      <w:r>
        <w:t xml:space="preserve">considera que a estratégia para o mercado único renovada deve incluir um plano de ação setorial abrangente para a integração do mercado de serviços. </w:t>
      </w:r>
    </w:p>
    <w:p w:rsidRPr="008413EF" w:rsidR="008413EF" w:rsidP="00BE1F8F" w:rsidRDefault="008413EF" w14:paraId="08EF99E5" w14:textId="77777777">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2093"/>
        <w:gridCol w:w="7087"/>
      </w:tblGrid>
      <w:tr w:rsidRPr="008413EF" w:rsidR="008413EF" w:rsidTr="001E5877" w14:paraId="33B11F7A" w14:textId="77777777">
        <w:tc>
          <w:tcPr>
            <w:tcW w:w="2093" w:type="dxa"/>
          </w:tcPr>
          <w:p w:rsidRPr="00713105" w:rsidR="008413EF" w:rsidP="00BE1F8F" w:rsidRDefault="008413EF" w14:paraId="6AEFA1C2" w14:textId="77777777">
            <w:pPr>
              <w:overflowPunct w:val="0"/>
              <w:autoSpaceDE w:val="0"/>
              <w:autoSpaceDN w:val="0"/>
              <w:adjustRightInd w:val="0"/>
              <w:textAlignment w:val="baseline"/>
              <w:rPr>
                <w:i/>
              </w:rPr>
            </w:pPr>
            <w:r>
              <w:rPr>
                <w:b/>
                <w:i/>
              </w:rPr>
              <w:t>Contacto</w:t>
            </w:r>
          </w:p>
        </w:tc>
        <w:tc>
          <w:tcPr>
            <w:tcW w:w="7087" w:type="dxa"/>
          </w:tcPr>
          <w:p w:rsidRPr="00713105" w:rsidR="008413EF" w:rsidP="00BE1F8F" w:rsidRDefault="008413EF" w14:paraId="061D78D4" w14:textId="77777777">
            <w:pPr>
              <w:overflowPunct w:val="0"/>
              <w:autoSpaceDE w:val="0"/>
              <w:autoSpaceDN w:val="0"/>
              <w:adjustRightInd w:val="0"/>
              <w:textAlignment w:val="baseline"/>
              <w:rPr>
                <w:i/>
              </w:rPr>
            </w:pPr>
            <w:r>
              <w:rPr>
                <w:i/>
              </w:rPr>
              <w:t>Annalisa Tessarolo</w:t>
            </w:r>
          </w:p>
        </w:tc>
      </w:tr>
      <w:tr w:rsidRPr="008413EF" w:rsidR="008413EF" w:rsidTr="001E5877" w14:paraId="40FDA69D" w14:textId="77777777">
        <w:tc>
          <w:tcPr>
            <w:tcW w:w="2093" w:type="dxa"/>
          </w:tcPr>
          <w:p w:rsidRPr="00713105" w:rsidR="008413EF" w:rsidP="00BE1F8F" w:rsidRDefault="008413EF" w14:paraId="2D116995" w14:textId="77777777">
            <w:pPr>
              <w:overflowPunct w:val="0"/>
              <w:autoSpaceDE w:val="0"/>
              <w:autoSpaceDN w:val="0"/>
              <w:adjustRightInd w:val="0"/>
              <w:textAlignment w:val="baseline"/>
              <w:rPr>
                <w:i/>
              </w:rPr>
            </w:pPr>
            <w:r>
              <w:rPr>
                <w:i/>
              </w:rPr>
              <w:t>Tel.</w:t>
            </w:r>
          </w:p>
        </w:tc>
        <w:tc>
          <w:tcPr>
            <w:tcW w:w="7087" w:type="dxa"/>
          </w:tcPr>
          <w:p w:rsidRPr="00713105" w:rsidR="008413EF" w:rsidP="00BE1F8F" w:rsidRDefault="008413EF" w14:paraId="100C3FF0" w14:textId="4D96929A">
            <w:pPr>
              <w:overflowPunct w:val="0"/>
              <w:autoSpaceDE w:val="0"/>
              <w:autoSpaceDN w:val="0"/>
              <w:adjustRightInd w:val="0"/>
              <w:textAlignment w:val="baseline"/>
              <w:rPr>
                <w:i/>
              </w:rPr>
            </w:pPr>
            <w:r>
              <w:rPr>
                <w:i/>
              </w:rPr>
              <w:t>+ 32 2 546 97 32</w:t>
            </w:r>
          </w:p>
        </w:tc>
      </w:tr>
      <w:tr w:rsidRPr="008413EF" w:rsidR="008413EF" w:rsidTr="001E5877" w14:paraId="37302371" w14:textId="77777777">
        <w:tc>
          <w:tcPr>
            <w:tcW w:w="2093" w:type="dxa"/>
          </w:tcPr>
          <w:p w:rsidRPr="00713105" w:rsidR="008413EF" w:rsidP="00BE1F8F" w:rsidRDefault="00AD28C9" w14:paraId="5DEDB95D" w14:textId="4025CC54">
            <w:pPr>
              <w:overflowPunct w:val="0"/>
              <w:autoSpaceDE w:val="0"/>
              <w:autoSpaceDN w:val="0"/>
              <w:adjustRightInd w:val="0"/>
              <w:textAlignment w:val="baseline"/>
              <w:rPr>
                <w:i/>
              </w:rPr>
            </w:pPr>
            <w:r>
              <w:rPr>
                <w:i/>
              </w:rPr>
              <w:t>Endereço eletrónico</w:t>
            </w:r>
          </w:p>
        </w:tc>
        <w:tc>
          <w:tcPr>
            <w:tcW w:w="7087" w:type="dxa"/>
          </w:tcPr>
          <w:p w:rsidRPr="00713105" w:rsidR="008413EF" w:rsidP="00BE1F8F" w:rsidRDefault="00C61EB1" w14:paraId="03ED06F2" w14:textId="4676909C">
            <w:pPr>
              <w:overflowPunct w:val="0"/>
              <w:autoSpaceDE w:val="0"/>
              <w:autoSpaceDN w:val="0"/>
              <w:adjustRightInd w:val="0"/>
              <w:textAlignment w:val="baseline"/>
              <w:rPr>
                <w:i/>
              </w:rPr>
            </w:pPr>
            <w:hyperlink w:history="1" r:id="rId48">
              <w:r w:rsidR="00912887">
                <w:rPr>
                  <w:rStyle w:val="Hyperlink"/>
                  <w:i/>
                </w:rPr>
                <w:t>Annalisa.Tessarolo@eesc.europa.eu</w:t>
              </w:r>
            </w:hyperlink>
          </w:p>
        </w:tc>
      </w:tr>
    </w:tbl>
    <w:p w:rsidR="008413EF" w:rsidP="00BE1F8F" w:rsidRDefault="008413EF" w14:paraId="617BC9EE" w14:textId="77777777">
      <w:pPr>
        <w:jc w:val="left"/>
        <w:rPr>
          <w:lang w:val="en-GB"/>
        </w:rPr>
      </w:pPr>
    </w:p>
    <w:p w:rsidR="008413EF" w:rsidP="00BE1F8F" w:rsidRDefault="008413EF" w14:paraId="191624E6" w14:textId="77777777">
      <w:pPr>
        <w:jc w:val="left"/>
      </w:pPr>
      <w:r>
        <w:br w:type="page"/>
      </w:r>
    </w:p>
    <w:p w:rsidRPr="00713105" w:rsidR="001C0AB9" w:rsidP="00BE1F8F" w:rsidRDefault="00C61EB1" w14:paraId="42F00AC9" w14:textId="3186BBA7">
      <w:pPr>
        <w:widowControl w:val="0"/>
        <w:numPr>
          <w:ilvl w:val="0"/>
          <w:numId w:val="2"/>
        </w:numPr>
        <w:overflowPunct w:val="0"/>
        <w:autoSpaceDE w:val="0"/>
        <w:autoSpaceDN w:val="0"/>
        <w:adjustRightInd w:val="0"/>
        <w:ind w:left="284" w:hanging="284"/>
        <w:textAlignment w:val="baseline"/>
      </w:pPr>
      <w:hyperlink w:tgtFrame="_blank" w:history="1" r:id="rId49">
        <w:r w:rsidR="00912887">
          <w:rPr>
            <w:b/>
            <w:i/>
            <w:color w:val="0000FF"/>
            <w:sz w:val="28"/>
            <w:u w:val="single"/>
          </w:rPr>
          <w:t>O futuro da indústria da U</w:t>
        </w:r>
        <w:r w:rsidR="00912887">
          <w:rPr>
            <w:b/>
            <w:i/>
            <w:color w:val="0000FF"/>
            <w:sz w:val="28"/>
            <w:u w:val="single"/>
          </w:rPr>
          <w:t>E face aos elevados preços da energia e aos custos de transição</w:t>
        </w:r>
      </w:hyperlink>
    </w:p>
    <w:p w:rsidRPr="001C0AB9" w:rsidR="001C0AB9" w:rsidP="00BE1F8F" w:rsidRDefault="001C0AB9" w14:paraId="0DDA99F6" w14:textId="77777777">
      <w:pPr>
        <w:widowControl w:val="0"/>
        <w:overflowPunct w:val="0"/>
        <w:autoSpaceDE w:val="0"/>
        <w:autoSpaceDN w:val="0"/>
        <w:adjustRightInd w:val="0"/>
        <w:ind w:left="284"/>
        <w:textAlignment w:val="baseline"/>
        <w:rPr>
          <w:b/>
          <w:lang w:val="en-GB"/>
        </w:rPr>
      </w:pPr>
    </w:p>
    <w:tbl>
      <w:tblPr>
        <w:tblW w:w="4942" w:type="pct"/>
        <w:tblLook w:val="04A0" w:firstRow="1" w:lastRow="0" w:firstColumn="1" w:lastColumn="0" w:noHBand="0" w:noVBand="1"/>
      </w:tblPr>
      <w:tblGrid>
        <w:gridCol w:w="1667"/>
        <w:gridCol w:w="7512"/>
      </w:tblGrid>
      <w:tr w:rsidRPr="001C0AB9" w:rsidR="001C0AB9" w:rsidTr="00713105" w14:paraId="302E5F77" w14:textId="77777777">
        <w:tc>
          <w:tcPr>
            <w:tcW w:w="908" w:type="pct"/>
          </w:tcPr>
          <w:p w:rsidRPr="001C0AB9" w:rsidR="001C0AB9" w:rsidP="00BE1F8F" w:rsidRDefault="001C0AB9" w14:paraId="16513D26" w14:textId="77777777">
            <w:pPr>
              <w:tabs>
                <w:tab w:val="center" w:pos="284"/>
              </w:tabs>
              <w:overflowPunct w:val="0"/>
              <w:autoSpaceDE w:val="0"/>
              <w:autoSpaceDN w:val="0"/>
              <w:adjustRightInd w:val="0"/>
              <w:ind w:left="266" w:hanging="266"/>
              <w:textAlignment w:val="baseline"/>
              <w:rPr>
                <w:b/>
              </w:rPr>
            </w:pPr>
            <w:r>
              <w:rPr>
                <w:b/>
              </w:rPr>
              <w:t>Relator</w:t>
            </w:r>
          </w:p>
        </w:tc>
        <w:tc>
          <w:tcPr>
            <w:tcW w:w="4092" w:type="pct"/>
          </w:tcPr>
          <w:p w:rsidRPr="001C0AB9" w:rsidR="001C0AB9" w:rsidP="00BE1F8F" w:rsidRDefault="001C0AB9" w14:paraId="45A398EC" w14:textId="18D9B476">
            <w:pPr>
              <w:tabs>
                <w:tab w:val="center" w:pos="284"/>
              </w:tabs>
              <w:overflowPunct w:val="0"/>
              <w:autoSpaceDE w:val="0"/>
              <w:autoSpaceDN w:val="0"/>
              <w:adjustRightInd w:val="0"/>
              <w:ind w:left="266" w:hanging="266"/>
              <w:textAlignment w:val="baseline"/>
            </w:pPr>
            <w:r>
              <w:t>Andrea Mone (IT – Grupo dos Trabalhadores)</w:t>
            </w:r>
          </w:p>
        </w:tc>
      </w:tr>
      <w:tr w:rsidRPr="001C0AB9" w:rsidR="001C0AB9" w:rsidTr="00713105" w14:paraId="49E0B6DD" w14:textId="77777777">
        <w:tc>
          <w:tcPr>
            <w:tcW w:w="908" w:type="pct"/>
            <w:vMerge w:val="restart"/>
          </w:tcPr>
          <w:p w:rsidRPr="001C0AB9" w:rsidR="001C0AB9" w:rsidP="00BE1F8F" w:rsidRDefault="001C0AB9" w14:paraId="2351E607" w14:textId="2483074C">
            <w:pPr>
              <w:tabs>
                <w:tab w:val="center" w:pos="284"/>
              </w:tabs>
              <w:overflowPunct w:val="0"/>
              <w:autoSpaceDE w:val="0"/>
              <w:autoSpaceDN w:val="0"/>
              <w:adjustRightInd w:val="0"/>
              <w:ind w:left="266" w:hanging="266"/>
              <w:textAlignment w:val="baseline"/>
              <w:rPr>
                <w:b/>
              </w:rPr>
            </w:pPr>
            <w:r>
              <w:rPr>
                <w:b/>
              </w:rPr>
              <w:t>Referência</w:t>
            </w:r>
          </w:p>
        </w:tc>
        <w:tc>
          <w:tcPr>
            <w:tcW w:w="4092" w:type="pct"/>
          </w:tcPr>
          <w:p w:rsidRPr="00C43D3E" w:rsidR="001C0AB9" w:rsidP="00713105" w:rsidRDefault="001C0AB9" w14:paraId="17F26A32" w14:textId="51BBB0EC">
            <w:pPr>
              <w:tabs>
                <w:tab w:val="center" w:pos="284"/>
              </w:tabs>
              <w:overflowPunct w:val="0"/>
              <w:autoSpaceDE w:val="0"/>
              <w:autoSpaceDN w:val="0"/>
              <w:adjustRightInd w:val="0"/>
              <w:ind w:left="266" w:right="-387" w:hanging="266"/>
              <w:textAlignment w:val="baseline"/>
            </w:pPr>
            <w:r>
              <w:t>Parecer exploratório a pedido da Presidência polaca do Conselho da UE</w:t>
            </w:r>
          </w:p>
        </w:tc>
      </w:tr>
      <w:tr w:rsidRPr="001C0AB9" w:rsidR="001C0AB9" w:rsidTr="00713105" w14:paraId="21E65686" w14:textId="77777777">
        <w:tc>
          <w:tcPr>
            <w:tcW w:w="908" w:type="pct"/>
            <w:vMerge/>
          </w:tcPr>
          <w:p w:rsidRPr="001C0AB9" w:rsidR="001C0AB9" w:rsidP="00BE1F8F" w:rsidRDefault="001C0AB9" w14:paraId="4CD406B0" w14:textId="77777777">
            <w:pPr>
              <w:tabs>
                <w:tab w:val="center" w:pos="284"/>
              </w:tabs>
              <w:overflowPunct w:val="0"/>
              <w:autoSpaceDE w:val="0"/>
              <w:autoSpaceDN w:val="0"/>
              <w:adjustRightInd w:val="0"/>
              <w:ind w:left="266" w:hanging="266"/>
              <w:textAlignment w:val="baseline"/>
              <w:rPr>
                <w:b/>
              </w:rPr>
            </w:pPr>
          </w:p>
        </w:tc>
        <w:tc>
          <w:tcPr>
            <w:tcW w:w="4092" w:type="pct"/>
          </w:tcPr>
          <w:p w:rsidRPr="001C0AB9" w:rsidR="001C0AB9" w:rsidP="00BE1F8F" w:rsidRDefault="001C0AB9" w14:paraId="7D1175EF" w14:textId="77777777">
            <w:pPr>
              <w:tabs>
                <w:tab w:val="center" w:pos="284"/>
              </w:tabs>
              <w:overflowPunct w:val="0"/>
              <w:autoSpaceDE w:val="0"/>
              <w:autoSpaceDN w:val="0"/>
              <w:adjustRightInd w:val="0"/>
              <w:ind w:left="266" w:hanging="266"/>
              <w:textAlignment w:val="baseline"/>
            </w:pPr>
            <w:r>
              <w:t>EESC-2024-03583-00-00-AC</w:t>
            </w:r>
          </w:p>
        </w:tc>
      </w:tr>
    </w:tbl>
    <w:p w:rsidRPr="001C0AB9" w:rsidR="001C0AB9" w:rsidP="00BE1F8F" w:rsidRDefault="001C0AB9" w14:paraId="1C922088" w14:textId="77777777">
      <w:pPr>
        <w:tabs>
          <w:tab w:val="center" w:pos="284"/>
        </w:tabs>
        <w:overflowPunct w:val="0"/>
        <w:autoSpaceDE w:val="0"/>
        <w:autoSpaceDN w:val="0"/>
        <w:adjustRightInd w:val="0"/>
        <w:ind w:left="266" w:hanging="266"/>
        <w:textAlignment w:val="baseline"/>
        <w:rPr>
          <w:lang w:val="en-GB"/>
        </w:rPr>
      </w:pPr>
    </w:p>
    <w:p w:rsidRPr="001C0AB9" w:rsidR="001C0AB9" w:rsidP="00BE1F8F" w:rsidRDefault="001C0AB9" w14:paraId="2CF6D0AF"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1C0AB9" w:rsidR="001C0AB9" w:rsidP="00BE1F8F" w:rsidRDefault="001C0AB9" w14:paraId="13B083CC" w14:textId="77777777">
      <w:pPr>
        <w:keepNext/>
        <w:keepLines/>
        <w:tabs>
          <w:tab w:val="center" w:pos="284"/>
        </w:tabs>
        <w:overflowPunct w:val="0"/>
        <w:autoSpaceDE w:val="0"/>
        <w:autoSpaceDN w:val="0"/>
        <w:adjustRightInd w:val="0"/>
        <w:ind w:left="266" w:hanging="266"/>
        <w:textAlignment w:val="baseline"/>
        <w:rPr>
          <w:b/>
          <w:lang w:val="en-GB"/>
        </w:rPr>
      </w:pPr>
    </w:p>
    <w:p w:rsidRPr="001C0AB9" w:rsidR="00402449" w:rsidP="00BE1F8F" w:rsidRDefault="001C0AB9" w14:paraId="7AD5576E" w14:textId="147901FD">
      <w:pPr>
        <w:overflowPunct w:val="0"/>
        <w:autoSpaceDE w:val="0"/>
        <w:autoSpaceDN w:val="0"/>
        <w:adjustRightInd w:val="0"/>
        <w:textAlignment w:val="baseline"/>
        <w:rPr>
          <w:bCs/>
          <w:iCs/>
        </w:rPr>
      </w:pPr>
      <w:r>
        <w:t>O Comité Económico e Social Europeu:</w:t>
      </w:r>
    </w:p>
    <w:p w:rsidRPr="001C0AB9" w:rsidR="001C0AB9" w:rsidP="00BE1F8F" w:rsidRDefault="001C0AB9" w14:paraId="6A2D8F3D"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solicita que se crie urgentemente uma </w:t>
      </w:r>
      <w:r>
        <w:rPr>
          <w:b/>
        </w:rPr>
        <w:t>estratégia industrial abrangente da União Europeia</w:t>
      </w:r>
      <w:r>
        <w:t xml:space="preserve"> (UE) que promova </w:t>
      </w:r>
      <w:r>
        <w:rPr>
          <w:b/>
        </w:rPr>
        <w:t>indústrias competitivas e empregos de qualidade</w:t>
      </w:r>
      <w:r>
        <w:t xml:space="preserve"> e esteja alinhada pelos objetivos do Pacto Ecológico mediante um acompanhamento </w:t>
      </w:r>
      <w:r>
        <w:rPr>
          <w:b/>
        </w:rPr>
        <w:t>rigoroso</w:t>
      </w:r>
      <w:r>
        <w:t xml:space="preserve"> e ajustamentos específicos;</w:t>
      </w:r>
    </w:p>
    <w:p w:rsidRPr="001C0AB9" w:rsidR="001C0AB9" w:rsidP="00BE1F8F" w:rsidRDefault="001C0AB9" w14:paraId="70DD072D"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insta a uma melhoria do </w:t>
      </w:r>
      <w:r>
        <w:rPr>
          <w:b/>
        </w:rPr>
        <w:t>ambiente económico e regulamentar</w:t>
      </w:r>
      <w:r>
        <w:t xml:space="preserve">, a fim de resolver os </w:t>
      </w:r>
      <w:r>
        <w:rPr>
          <w:b/>
        </w:rPr>
        <w:t>desafios estruturais de competitividade da Europa</w:t>
      </w:r>
      <w:r>
        <w:t>, nomeadamente os elevados preços da energia e das matérias-primas, os elevados custos de investimento inicial e de conformidade associados à transição ecológica, a inadequação das infraestruturas, o défice persistente de competências, o financiamento e a procura interna limitados e o mercado único incompleto;</w:t>
      </w:r>
    </w:p>
    <w:p w:rsidRPr="001C0AB9" w:rsidR="001C0AB9" w:rsidP="00BE1F8F" w:rsidRDefault="001C0AB9" w14:paraId="6A693864"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defende uma </w:t>
      </w:r>
      <w:r>
        <w:rPr>
          <w:b/>
        </w:rPr>
        <w:t>política de competitividade</w:t>
      </w:r>
      <w:r>
        <w:t xml:space="preserve"> que dê prioridade ao </w:t>
      </w:r>
      <w:r>
        <w:rPr>
          <w:b/>
        </w:rPr>
        <w:t>investimento e</w:t>
      </w:r>
      <w:r>
        <w:t xml:space="preserve"> à </w:t>
      </w:r>
      <w:r>
        <w:rPr>
          <w:b/>
        </w:rPr>
        <w:t>inovação</w:t>
      </w:r>
      <w:r>
        <w:t xml:space="preserve">, promovendo simultaneamente a </w:t>
      </w:r>
      <w:r>
        <w:rPr>
          <w:b/>
        </w:rPr>
        <w:t>inclusão social e territorial</w:t>
      </w:r>
      <w:r>
        <w:t xml:space="preserve"> e assegurando que o </w:t>
      </w:r>
      <w:r>
        <w:rPr>
          <w:b/>
        </w:rPr>
        <w:t>diálogo social e a negociação coletiva</w:t>
      </w:r>
      <w:r>
        <w:t xml:space="preserve"> orientam as mudanças estruturais de forma justa e equitativa;</w:t>
      </w:r>
    </w:p>
    <w:p w:rsidRPr="001C0AB9" w:rsidR="001C0AB9" w:rsidP="00BE1F8F" w:rsidRDefault="001C0AB9" w14:paraId="61A535A9"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apela para uma </w:t>
      </w:r>
      <w:r>
        <w:rPr>
          <w:b/>
        </w:rPr>
        <w:t>estratégia industrial que abranja todos os setores</w:t>
      </w:r>
      <w:r>
        <w:t xml:space="preserve"> e reforce a</w:t>
      </w:r>
      <w:r>
        <w:rPr>
          <w:b/>
        </w:rPr>
        <w:t xml:space="preserve"> coerência das políticas, otimize a afetação de recursos, estabeleça um fundo europeu de investimento específico</w:t>
      </w:r>
      <w:r>
        <w:t xml:space="preserve"> para prioridades estratégicas e tenha em conta a </w:t>
      </w:r>
      <w:r>
        <w:rPr>
          <w:b/>
        </w:rPr>
        <w:t>dimensão transnacional</w:t>
      </w:r>
      <w:r>
        <w:t xml:space="preserve"> de domínios cruciais como </w:t>
      </w:r>
      <w:r>
        <w:rPr>
          <w:b/>
        </w:rPr>
        <w:t>a energia, a investigação e inovação e as competências</w:t>
      </w:r>
      <w:r>
        <w:t>;</w:t>
      </w:r>
    </w:p>
    <w:p w:rsidRPr="001C0AB9" w:rsidR="001C0AB9" w:rsidP="00BE1F8F" w:rsidRDefault="001C0AB9" w14:paraId="1A086C5D" w14:textId="77777777">
      <w:pPr>
        <w:numPr>
          <w:ilvl w:val="0"/>
          <w:numId w:val="33"/>
        </w:numPr>
        <w:tabs>
          <w:tab w:val="clear" w:pos="720"/>
          <w:tab w:val="num" w:pos="567"/>
        </w:tabs>
        <w:overflowPunct w:val="0"/>
        <w:autoSpaceDE w:val="0"/>
        <w:autoSpaceDN w:val="0"/>
        <w:adjustRightInd w:val="0"/>
        <w:ind w:left="284" w:hanging="284"/>
        <w:textAlignment w:val="baseline"/>
      </w:pPr>
      <w:r>
        <w:rPr>
          <w:b/>
        </w:rPr>
        <w:t>salienta a necessidade de uma política comercial da UE resiliente</w:t>
      </w:r>
      <w:r>
        <w:t xml:space="preserve">, que atenue os riscos de </w:t>
      </w:r>
      <w:r>
        <w:rPr>
          <w:b/>
        </w:rPr>
        <w:t>descarbonização assimétrica, de sobrecapacidade mundial e de intensificação das tensões comerciais, reforçando</w:t>
      </w:r>
      <w:r>
        <w:t xml:space="preserve"> simultaneamente </w:t>
      </w:r>
      <w:r>
        <w:rPr>
          <w:b/>
        </w:rPr>
        <w:t>a autonomia em matérias-primas críticas</w:t>
      </w:r>
      <w:r>
        <w:t xml:space="preserve"> para salvaguardar o futuro industrial da Europa.</w:t>
      </w:r>
    </w:p>
    <w:p w:rsidRPr="001C0AB9" w:rsidR="001C0AB9" w:rsidP="00BE1F8F" w:rsidRDefault="001C0AB9" w14:paraId="5031E8B4" w14:textId="77777777">
      <w:pPr>
        <w:widowControl w:val="0"/>
        <w:overflowPunct w:val="0"/>
        <w:autoSpaceDE w:val="0"/>
        <w:autoSpaceDN w:val="0"/>
        <w:adjustRightInd w:val="0"/>
        <w:ind w:left="709"/>
        <w:textAlignment w:val="baseline"/>
        <w:rPr>
          <w:szCs w:val="20"/>
          <w:lang w:val="en-GB"/>
        </w:rPr>
      </w:pPr>
    </w:p>
    <w:tbl>
      <w:tblPr>
        <w:tblW w:w="4942" w:type="pct"/>
        <w:tblLook w:val="04A0" w:firstRow="1" w:lastRow="0" w:firstColumn="1" w:lastColumn="0" w:noHBand="0" w:noVBand="1"/>
      </w:tblPr>
      <w:tblGrid>
        <w:gridCol w:w="2093"/>
        <w:gridCol w:w="7086"/>
      </w:tblGrid>
      <w:tr w:rsidRPr="001C0AB9" w:rsidR="001C0AB9" w:rsidTr="001E5877" w14:paraId="255B6976" w14:textId="77777777">
        <w:tc>
          <w:tcPr>
            <w:tcW w:w="1140" w:type="pct"/>
          </w:tcPr>
          <w:p w:rsidRPr="001C0AB9" w:rsidR="001C0AB9" w:rsidP="00BE1F8F" w:rsidRDefault="001C0AB9" w14:paraId="25B90EB8" w14:textId="77777777">
            <w:pPr>
              <w:overflowPunct w:val="0"/>
              <w:autoSpaceDE w:val="0"/>
              <w:autoSpaceDN w:val="0"/>
              <w:adjustRightInd w:val="0"/>
              <w:textAlignment w:val="baseline"/>
              <w:rPr>
                <w:i/>
              </w:rPr>
            </w:pPr>
            <w:r>
              <w:rPr>
                <w:b/>
                <w:i/>
              </w:rPr>
              <w:t>Contacto</w:t>
            </w:r>
          </w:p>
        </w:tc>
        <w:tc>
          <w:tcPr>
            <w:tcW w:w="3860" w:type="pct"/>
          </w:tcPr>
          <w:p w:rsidRPr="001C0AB9" w:rsidR="001C0AB9" w:rsidP="00BE1F8F" w:rsidRDefault="001C0AB9" w14:paraId="47766DB4" w14:textId="77777777">
            <w:pPr>
              <w:overflowPunct w:val="0"/>
              <w:autoSpaceDE w:val="0"/>
              <w:autoSpaceDN w:val="0"/>
              <w:adjustRightInd w:val="0"/>
              <w:textAlignment w:val="baseline"/>
              <w:rPr>
                <w:i/>
              </w:rPr>
            </w:pPr>
            <w:r>
              <w:rPr>
                <w:i/>
              </w:rPr>
              <w:t>Silvia Staffa</w:t>
            </w:r>
          </w:p>
        </w:tc>
      </w:tr>
      <w:tr w:rsidRPr="001C0AB9" w:rsidR="001C0AB9" w:rsidTr="001E5877" w14:paraId="7C1DD93F" w14:textId="77777777">
        <w:tc>
          <w:tcPr>
            <w:tcW w:w="1140" w:type="pct"/>
          </w:tcPr>
          <w:p w:rsidRPr="001C0AB9" w:rsidR="001C0AB9" w:rsidP="00BE1F8F" w:rsidRDefault="001C0AB9" w14:paraId="3EE989E4" w14:textId="77777777">
            <w:pPr>
              <w:overflowPunct w:val="0"/>
              <w:autoSpaceDE w:val="0"/>
              <w:autoSpaceDN w:val="0"/>
              <w:adjustRightInd w:val="0"/>
              <w:textAlignment w:val="baseline"/>
              <w:rPr>
                <w:i/>
              </w:rPr>
            </w:pPr>
            <w:r>
              <w:rPr>
                <w:i/>
              </w:rPr>
              <w:t>Tel.</w:t>
            </w:r>
          </w:p>
        </w:tc>
        <w:tc>
          <w:tcPr>
            <w:tcW w:w="3860" w:type="pct"/>
          </w:tcPr>
          <w:p w:rsidRPr="001C0AB9" w:rsidR="001C0AB9" w:rsidP="00BE1F8F" w:rsidRDefault="001C0AB9" w14:paraId="205BC83F" w14:textId="77777777">
            <w:pPr>
              <w:overflowPunct w:val="0"/>
              <w:autoSpaceDE w:val="0"/>
              <w:autoSpaceDN w:val="0"/>
              <w:adjustRightInd w:val="0"/>
              <w:textAlignment w:val="baseline"/>
              <w:rPr>
                <w:i/>
              </w:rPr>
            </w:pPr>
            <w:r>
              <w:rPr>
                <w:i/>
              </w:rPr>
              <w:t>+32 2 546 83 78</w:t>
            </w:r>
          </w:p>
        </w:tc>
      </w:tr>
      <w:tr w:rsidRPr="001C0AB9" w:rsidR="001C0AB9" w:rsidTr="001E5877" w14:paraId="0E5D8409" w14:textId="77777777">
        <w:tc>
          <w:tcPr>
            <w:tcW w:w="1140" w:type="pct"/>
          </w:tcPr>
          <w:p w:rsidRPr="001C0AB9" w:rsidR="001C0AB9" w:rsidP="00BE1F8F" w:rsidRDefault="00402449" w14:paraId="20244737" w14:textId="72ECCE95">
            <w:pPr>
              <w:overflowPunct w:val="0"/>
              <w:autoSpaceDE w:val="0"/>
              <w:autoSpaceDN w:val="0"/>
              <w:adjustRightInd w:val="0"/>
              <w:textAlignment w:val="baseline"/>
              <w:rPr>
                <w:i/>
              </w:rPr>
            </w:pPr>
            <w:r>
              <w:rPr>
                <w:i/>
              </w:rPr>
              <w:t>Endereço eletrónico</w:t>
            </w:r>
          </w:p>
        </w:tc>
        <w:tc>
          <w:tcPr>
            <w:tcW w:w="3860" w:type="pct"/>
          </w:tcPr>
          <w:p w:rsidRPr="001C0AB9" w:rsidR="001C0AB9" w:rsidP="00BE1F8F" w:rsidRDefault="00C61EB1" w14:paraId="2ACCD03D" w14:textId="77777777">
            <w:pPr>
              <w:overflowPunct w:val="0"/>
              <w:autoSpaceDE w:val="0"/>
              <w:autoSpaceDN w:val="0"/>
              <w:adjustRightInd w:val="0"/>
              <w:textAlignment w:val="baseline"/>
              <w:rPr>
                <w:i/>
              </w:rPr>
            </w:pPr>
            <w:hyperlink w:history="1" r:id="rId50">
              <w:r w:rsidR="00912887">
                <w:rPr>
                  <w:i/>
                  <w:color w:val="0000FF"/>
                  <w:u w:val="single"/>
                </w:rPr>
                <w:t>Silvia.Staffa@eesc.europa.eu</w:t>
              </w:r>
            </w:hyperlink>
          </w:p>
        </w:tc>
      </w:tr>
    </w:tbl>
    <w:p w:rsidR="00A124AE" w:rsidP="00BE1F8F" w:rsidRDefault="00A124AE" w14:paraId="5E11233F" w14:textId="77777777">
      <w:pPr>
        <w:jc w:val="left"/>
      </w:pPr>
    </w:p>
    <w:p w:rsidR="00A124AE" w:rsidP="00BE1F8F" w:rsidRDefault="00A124AE" w14:paraId="64128581" w14:textId="77777777">
      <w:pPr>
        <w:jc w:val="left"/>
      </w:pPr>
      <w:r>
        <w:br w:type="page"/>
      </w:r>
    </w:p>
    <w:p w:rsidRPr="00C43D3E" w:rsidR="00A124AE" w:rsidP="00BE1F8F" w:rsidRDefault="00C61EB1" w14:paraId="6CCC3167" w14:textId="151451A1">
      <w:pPr>
        <w:widowControl w:val="0"/>
        <w:numPr>
          <w:ilvl w:val="0"/>
          <w:numId w:val="2"/>
        </w:numPr>
        <w:overflowPunct w:val="0"/>
        <w:autoSpaceDE w:val="0"/>
        <w:autoSpaceDN w:val="0"/>
        <w:adjustRightInd w:val="0"/>
        <w:ind w:hanging="567"/>
        <w:textAlignment w:val="baseline"/>
        <w:rPr>
          <w:b/>
          <w:bCs/>
          <w:i/>
          <w:iCs/>
          <w:sz w:val="28"/>
          <w:szCs w:val="28"/>
          <w:u w:val="single"/>
        </w:rPr>
      </w:pPr>
      <w:hyperlink w:history="1" r:id="rId51">
        <w:r w:rsidR="00912887">
          <w:rPr>
            <w:b/>
            <w:i/>
            <w:color w:val="0000FF"/>
            <w:sz w:val="28"/>
            <w:u w:val="single"/>
          </w:rPr>
          <w:t>Turismo na UE: a sustentabili</w:t>
        </w:r>
        <w:r w:rsidR="00912887">
          <w:rPr>
            <w:b/>
            <w:i/>
            <w:color w:val="0000FF"/>
            <w:sz w:val="28"/>
            <w:u w:val="single"/>
          </w:rPr>
          <w:t>dade como motor da competitividade a longo prazo</w:t>
        </w:r>
      </w:hyperlink>
    </w:p>
    <w:p w:rsidRPr="00A124AE" w:rsidR="00A124AE" w:rsidP="00BE1F8F" w:rsidRDefault="00A124AE" w14:paraId="70901E46"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25"/>
        <w:gridCol w:w="7262"/>
      </w:tblGrid>
      <w:tr w:rsidRPr="00A124AE" w:rsidR="00A124AE" w:rsidTr="00713105" w14:paraId="5244175C" w14:textId="77777777">
        <w:trPr>
          <w:trHeight w:val="322"/>
        </w:trPr>
        <w:tc>
          <w:tcPr>
            <w:tcW w:w="1090" w:type="pct"/>
          </w:tcPr>
          <w:p w:rsidRPr="00A124AE" w:rsidR="00A124AE" w:rsidP="00BE1F8F" w:rsidRDefault="00A124AE" w14:paraId="1416C2D0" w14:textId="3DD291D0">
            <w:pPr>
              <w:tabs>
                <w:tab w:val="center" w:pos="284"/>
              </w:tabs>
              <w:overflowPunct w:val="0"/>
              <w:autoSpaceDE w:val="0"/>
              <w:autoSpaceDN w:val="0"/>
              <w:adjustRightInd w:val="0"/>
              <w:ind w:left="266" w:hanging="266"/>
              <w:textAlignment w:val="baseline"/>
              <w:rPr>
                <w:b/>
              </w:rPr>
            </w:pPr>
            <w:r>
              <w:rPr>
                <w:b/>
              </w:rPr>
              <w:t>Relatora</w:t>
            </w:r>
          </w:p>
        </w:tc>
        <w:tc>
          <w:tcPr>
            <w:tcW w:w="3910" w:type="pct"/>
          </w:tcPr>
          <w:p w:rsidRPr="00A124AE" w:rsidR="00A124AE" w:rsidP="00BE1F8F" w:rsidRDefault="00A124AE" w14:paraId="483C743D" w14:textId="478C4635">
            <w:pPr>
              <w:tabs>
                <w:tab w:val="center" w:pos="0"/>
              </w:tabs>
              <w:overflowPunct w:val="0"/>
              <w:autoSpaceDE w:val="0"/>
              <w:autoSpaceDN w:val="0"/>
              <w:adjustRightInd w:val="0"/>
              <w:ind w:left="266" w:hanging="266"/>
              <w:textAlignment w:val="baseline"/>
            </w:pPr>
            <w:r>
              <w:t>Isabel Yglesias Julià (ES – Grupo dos Empregadores)</w:t>
            </w:r>
          </w:p>
        </w:tc>
      </w:tr>
      <w:tr w:rsidRPr="00A124AE" w:rsidR="00A124AE" w:rsidTr="00713105" w14:paraId="466A9A73" w14:textId="77777777">
        <w:tc>
          <w:tcPr>
            <w:tcW w:w="1090" w:type="pct"/>
          </w:tcPr>
          <w:p w:rsidRPr="00A124AE" w:rsidR="00A124AE" w:rsidP="00BE1F8F" w:rsidRDefault="00A124AE" w14:paraId="1940FE0A" w14:textId="7BF07B25">
            <w:pPr>
              <w:tabs>
                <w:tab w:val="center" w:pos="284"/>
              </w:tabs>
              <w:overflowPunct w:val="0"/>
              <w:autoSpaceDE w:val="0"/>
              <w:autoSpaceDN w:val="0"/>
              <w:adjustRightInd w:val="0"/>
              <w:ind w:left="266" w:hanging="266"/>
              <w:textAlignment w:val="baseline"/>
              <w:rPr>
                <w:b/>
              </w:rPr>
            </w:pPr>
            <w:r>
              <w:rPr>
                <w:b/>
              </w:rPr>
              <w:t>Referência</w:t>
            </w:r>
          </w:p>
        </w:tc>
        <w:tc>
          <w:tcPr>
            <w:tcW w:w="3910" w:type="pct"/>
          </w:tcPr>
          <w:p w:rsidRPr="00A124AE" w:rsidR="00A124AE" w:rsidP="00BE1F8F" w:rsidRDefault="00A124AE" w14:paraId="6D5E8266" w14:textId="709DE05D">
            <w:pPr>
              <w:tabs>
                <w:tab w:val="center" w:pos="284"/>
              </w:tabs>
              <w:overflowPunct w:val="0"/>
              <w:autoSpaceDE w:val="0"/>
              <w:autoSpaceDN w:val="0"/>
              <w:adjustRightInd w:val="0"/>
              <w:ind w:left="266" w:hanging="266"/>
              <w:textAlignment w:val="baseline"/>
            </w:pPr>
            <w:r>
              <w:t>Parecer de iniciativa</w:t>
            </w:r>
          </w:p>
          <w:p w:rsidRPr="00A124AE" w:rsidR="00A124AE" w:rsidP="00BE1F8F" w:rsidRDefault="00A124AE" w14:paraId="5DBD68CE" w14:textId="77777777">
            <w:pPr>
              <w:tabs>
                <w:tab w:val="center" w:pos="284"/>
              </w:tabs>
              <w:overflowPunct w:val="0"/>
              <w:autoSpaceDE w:val="0"/>
              <w:autoSpaceDN w:val="0"/>
              <w:adjustRightInd w:val="0"/>
              <w:ind w:left="266" w:hanging="266"/>
              <w:textAlignment w:val="baseline"/>
            </w:pPr>
            <w:r>
              <w:t>EESC-2024-00656-00-00-AC</w:t>
            </w:r>
          </w:p>
        </w:tc>
      </w:tr>
    </w:tbl>
    <w:p w:rsidRPr="00A124AE" w:rsidR="00A124AE" w:rsidP="00BE1F8F" w:rsidRDefault="00A124AE" w14:paraId="02B41209" w14:textId="77777777">
      <w:pPr>
        <w:tabs>
          <w:tab w:val="center" w:pos="284"/>
        </w:tabs>
        <w:overflowPunct w:val="0"/>
        <w:autoSpaceDE w:val="0"/>
        <w:autoSpaceDN w:val="0"/>
        <w:adjustRightInd w:val="0"/>
        <w:ind w:left="266" w:hanging="266"/>
        <w:textAlignment w:val="baseline"/>
        <w:rPr>
          <w:b/>
          <w:lang w:val="en-GB"/>
        </w:rPr>
      </w:pPr>
    </w:p>
    <w:p w:rsidRPr="00A124AE" w:rsidR="00A124AE" w:rsidP="00BE1F8F" w:rsidRDefault="00A124AE" w14:paraId="51249818" w14:textId="77777777">
      <w:pPr>
        <w:tabs>
          <w:tab w:val="center" w:pos="284"/>
        </w:tabs>
        <w:overflowPunct w:val="0"/>
        <w:autoSpaceDE w:val="0"/>
        <w:autoSpaceDN w:val="0"/>
        <w:adjustRightInd w:val="0"/>
        <w:ind w:left="266" w:hanging="266"/>
        <w:textAlignment w:val="baseline"/>
        <w:rPr>
          <w:b/>
        </w:rPr>
      </w:pPr>
      <w:r>
        <w:rPr>
          <w:b/>
        </w:rPr>
        <w:t>Pontos principais</w:t>
      </w:r>
    </w:p>
    <w:p w:rsidRPr="00A124AE" w:rsidR="00A124AE" w:rsidP="00BE1F8F" w:rsidRDefault="00A124AE" w14:paraId="03EBACBD" w14:textId="77777777">
      <w:pPr>
        <w:tabs>
          <w:tab w:val="center" w:pos="284"/>
        </w:tabs>
        <w:overflowPunct w:val="0"/>
        <w:autoSpaceDE w:val="0"/>
        <w:autoSpaceDN w:val="0"/>
        <w:adjustRightInd w:val="0"/>
        <w:ind w:left="266" w:hanging="266"/>
        <w:textAlignment w:val="baseline"/>
        <w:rPr>
          <w:bCs/>
          <w:lang w:val="en-GB"/>
        </w:rPr>
      </w:pPr>
    </w:p>
    <w:p w:rsidRPr="00A124AE" w:rsidR="00A124AE" w:rsidP="00713105" w:rsidRDefault="00A124AE" w14:paraId="73E68146" w14:textId="372BFA81">
      <w:pPr>
        <w:overflowPunct w:val="0"/>
        <w:autoSpaceDE w:val="0"/>
        <w:autoSpaceDN w:val="0"/>
        <w:adjustRightInd w:val="0"/>
        <w:textAlignment w:val="baseline"/>
        <w:rPr>
          <w:bCs/>
          <w:iCs/>
        </w:rPr>
      </w:pPr>
      <w:r>
        <w:t>O Comité Económico e Social Europeu:</w:t>
      </w:r>
    </w:p>
    <w:p w:rsidRPr="00A124AE" w:rsidR="00A124AE" w:rsidP="00BE1F8F" w:rsidRDefault="00A124AE" w14:paraId="6CFA5AB5" w14:textId="77777777">
      <w:pPr>
        <w:numPr>
          <w:ilvl w:val="0"/>
          <w:numId w:val="34"/>
        </w:numPr>
        <w:overflowPunct w:val="0"/>
        <w:autoSpaceDE w:val="0"/>
        <w:autoSpaceDN w:val="0"/>
        <w:adjustRightInd w:val="0"/>
        <w:ind w:left="284" w:hanging="284"/>
        <w:contextualSpacing/>
        <w:textAlignment w:val="baseline"/>
        <w:rPr>
          <w:bCs/>
          <w:iCs/>
        </w:rPr>
      </w:pPr>
      <w:r>
        <w:t xml:space="preserve">realça que importa acelerar a </w:t>
      </w:r>
      <w:r>
        <w:rPr>
          <w:b/>
        </w:rPr>
        <w:t>transição para um turismo sustentável</w:t>
      </w:r>
      <w:r>
        <w:t xml:space="preserve"> e </w:t>
      </w:r>
      <w:r>
        <w:rPr>
          <w:b/>
        </w:rPr>
        <w:t>aplicar estratégias de turismo regenerativo</w:t>
      </w:r>
      <w:r>
        <w:t xml:space="preserve"> para assegurar que as regiões caracterizadas por uma elevada especialização turística possam contribuir plenamente, através do turismo, para reforçar a competitividade da UE. O turismo regenerativo vai mais longe do que o turismo sustentável: adota práticas destinadas a restaurar e reforçar o capital natural, social e económico, gerando um impacto positivo e duradouro nos destinos e nas suas comunidades;</w:t>
      </w:r>
    </w:p>
    <w:p w:rsidRPr="00A124AE" w:rsidR="00A124AE" w:rsidP="00BE1F8F" w:rsidRDefault="00A124AE" w14:paraId="5B76C178" w14:textId="77777777">
      <w:pPr>
        <w:numPr>
          <w:ilvl w:val="0"/>
          <w:numId w:val="34"/>
        </w:numPr>
        <w:overflowPunct w:val="0"/>
        <w:autoSpaceDE w:val="0"/>
        <w:autoSpaceDN w:val="0"/>
        <w:adjustRightInd w:val="0"/>
        <w:ind w:left="284" w:hanging="284"/>
        <w:contextualSpacing/>
        <w:textAlignment w:val="baseline"/>
        <w:rPr>
          <w:bCs/>
          <w:iCs/>
        </w:rPr>
      </w:pPr>
      <w:r>
        <w:t xml:space="preserve">recomenda que </w:t>
      </w:r>
      <w:r>
        <w:rPr>
          <w:b/>
        </w:rPr>
        <w:t>o novo ciclo legislativo europeu promova políticas de turismo que integrem objetivos de regeneração ativa</w:t>
      </w:r>
      <w:r>
        <w:t xml:space="preserve"> e tenham em conta a interligação entre todos os elementos de um destino turístico: os ecossistemas, as comunidades, a economia local e os visitantes;</w:t>
      </w:r>
    </w:p>
    <w:p w:rsidRPr="00A124AE" w:rsidR="00A124AE" w:rsidP="00BE1F8F" w:rsidRDefault="00A124AE" w14:paraId="75E91233" w14:textId="77777777">
      <w:pPr>
        <w:numPr>
          <w:ilvl w:val="0"/>
          <w:numId w:val="34"/>
        </w:numPr>
        <w:overflowPunct w:val="0"/>
        <w:autoSpaceDE w:val="0"/>
        <w:autoSpaceDN w:val="0"/>
        <w:adjustRightInd w:val="0"/>
        <w:ind w:left="284" w:hanging="284"/>
        <w:contextualSpacing/>
        <w:textAlignment w:val="baseline"/>
        <w:rPr>
          <w:bCs/>
          <w:iCs/>
        </w:rPr>
      </w:pPr>
      <w:r>
        <w:t xml:space="preserve">propõe o desenvolvimento de </w:t>
      </w:r>
      <w:r>
        <w:rPr>
          <w:b/>
        </w:rPr>
        <w:t>orientações claras e de medidas concretas para acelerar a transição</w:t>
      </w:r>
      <w:r>
        <w:t xml:space="preserve"> para um modelo de turismo centrado na regeneração ativa e no valor social, no âmbito da Estratégia para o Turismo Sustentável. Esta estratégia deve ser acompanhada de </w:t>
      </w:r>
      <w:r>
        <w:rPr>
          <w:b/>
        </w:rPr>
        <w:t>programas de financiamento e de investigação</w:t>
      </w:r>
      <w:r>
        <w:t xml:space="preserve"> adequados, bem como de </w:t>
      </w:r>
      <w:r>
        <w:rPr>
          <w:b/>
        </w:rPr>
        <w:t>políticas sociais e de formação</w:t>
      </w:r>
      <w:r>
        <w:t xml:space="preserve"> que assegurem a sua execução efetiva;</w:t>
      </w:r>
    </w:p>
    <w:p w:rsidRPr="00A124AE" w:rsidR="00A124AE" w:rsidP="00BE1F8F" w:rsidRDefault="00A124AE" w14:paraId="096C272A" w14:textId="77777777">
      <w:pPr>
        <w:numPr>
          <w:ilvl w:val="0"/>
          <w:numId w:val="34"/>
        </w:numPr>
        <w:overflowPunct w:val="0"/>
        <w:autoSpaceDE w:val="0"/>
        <w:autoSpaceDN w:val="0"/>
        <w:adjustRightInd w:val="0"/>
        <w:ind w:left="284" w:hanging="284"/>
        <w:contextualSpacing/>
        <w:textAlignment w:val="baseline"/>
        <w:rPr>
          <w:bCs/>
          <w:iCs/>
        </w:rPr>
      </w:pPr>
      <w:r>
        <w:t xml:space="preserve">assinala que </w:t>
      </w:r>
      <w:r>
        <w:rPr>
          <w:b/>
        </w:rPr>
        <w:t>a formação e a capacitação dos trabalhadores em matéria de sustentabilidade e economia circular</w:t>
      </w:r>
      <w:r>
        <w:t xml:space="preserve"> são essenciais para aumentar a qualidade do emprego e atrair e reter os talentos necessários para possibilitar e viabilizar a transição para o turismo regenerativo. Para atingir esses objetivos, haverá que promover e assegurar a colaboração dos consumidores. Para conseguir uma participação mais ampla e mais eficaz, é vital combinar incentivos económicos, modelos acessíveis e estratégias para </w:t>
      </w:r>
      <w:r>
        <w:rPr>
          <w:b/>
        </w:rPr>
        <w:t>tornar o turismo menos sazonal</w:t>
      </w:r>
      <w:r>
        <w:t>.</w:t>
      </w:r>
    </w:p>
    <w:p w:rsidRPr="00A124AE" w:rsidR="00A124AE" w:rsidP="00BE1F8F" w:rsidRDefault="00A124AE" w14:paraId="15273AD2" w14:textId="77777777">
      <w:pPr>
        <w:ind w:left="567"/>
        <w:contextualSpacing/>
        <w:rPr>
          <w:bCs/>
          <w:iCs/>
          <w:lang w:val="en-GB"/>
        </w:rPr>
      </w:pPr>
    </w:p>
    <w:tbl>
      <w:tblPr>
        <w:tblW w:w="5000" w:type="pct"/>
        <w:tblLook w:val="04A0" w:firstRow="1" w:lastRow="0" w:firstColumn="1" w:lastColumn="0" w:noHBand="0" w:noVBand="1"/>
      </w:tblPr>
      <w:tblGrid>
        <w:gridCol w:w="2093"/>
        <w:gridCol w:w="7194"/>
      </w:tblGrid>
      <w:tr w:rsidRPr="00A124AE" w:rsidR="00A124AE" w:rsidTr="001E5877" w14:paraId="7E775A80" w14:textId="77777777">
        <w:tc>
          <w:tcPr>
            <w:tcW w:w="1127" w:type="pct"/>
          </w:tcPr>
          <w:p w:rsidRPr="00A124AE" w:rsidR="00A124AE" w:rsidP="00BE1F8F" w:rsidRDefault="00A124AE" w14:paraId="1D08457C" w14:textId="77777777">
            <w:pPr>
              <w:overflowPunct w:val="0"/>
              <w:autoSpaceDE w:val="0"/>
              <w:autoSpaceDN w:val="0"/>
              <w:adjustRightInd w:val="0"/>
              <w:textAlignment w:val="baseline"/>
              <w:rPr>
                <w:i/>
              </w:rPr>
            </w:pPr>
            <w:r>
              <w:rPr>
                <w:b/>
                <w:i/>
              </w:rPr>
              <w:t>Contacto</w:t>
            </w:r>
          </w:p>
        </w:tc>
        <w:tc>
          <w:tcPr>
            <w:tcW w:w="3873" w:type="pct"/>
          </w:tcPr>
          <w:p w:rsidRPr="00A124AE" w:rsidR="00A124AE" w:rsidP="00BE1F8F" w:rsidRDefault="00A124AE" w14:paraId="615E6C8D" w14:textId="36E1239F">
            <w:pPr>
              <w:overflowPunct w:val="0"/>
              <w:autoSpaceDE w:val="0"/>
              <w:autoSpaceDN w:val="0"/>
              <w:adjustRightInd w:val="0"/>
              <w:textAlignment w:val="baseline"/>
              <w:rPr>
                <w:i/>
              </w:rPr>
            </w:pPr>
            <w:r>
              <w:rPr>
                <w:i/>
              </w:rPr>
              <w:t>Silvia Staffa</w:t>
            </w:r>
          </w:p>
        </w:tc>
      </w:tr>
      <w:tr w:rsidRPr="00A124AE" w:rsidR="00A124AE" w:rsidTr="001E5877" w14:paraId="2BB8DEB2" w14:textId="77777777">
        <w:tc>
          <w:tcPr>
            <w:tcW w:w="1127" w:type="pct"/>
          </w:tcPr>
          <w:p w:rsidRPr="00A124AE" w:rsidR="00A124AE" w:rsidP="00BE1F8F" w:rsidRDefault="00A124AE" w14:paraId="43D7D550" w14:textId="77777777">
            <w:pPr>
              <w:overflowPunct w:val="0"/>
              <w:autoSpaceDE w:val="0"/>
              <w:autoSpaceDN w:val="0"/>
              <w:adjustRightInd w:val="0"/>
              <w:textAlignment w:val="baseline"/>
              <w:rPr>
                <w:i/>
              </w:rPr>
            </w:pPr>
            <w:r>
              <w:rPr>
                <w:i/>
              </w:rPr>
              <w:t>Tel.</w:t>
            </w:r>
          </w:p>
        </w:tc>
        <w:tc>
          <w:tcPr>
            <w:tcW w:w="3873" w:type="pct"/>
          </w:tcPr>
          <w:p w:rsidRPr="00A124AE" w:rsidR="00A124AE" w:rsidP="00BE1F8F" w:rsidRDefault="00A124AE" w14:paraId="4A1F3ECB" w14:textId="4482010E">
            <w:pPr>
              <w:overflowPunct w:val="0"/>
              <w:autoSpaceDE w:val="0"/>
              <w:autoSpaceDN w:val="0"/>
              <w:adjustRightInd w:val="0"/>
              <w:textAlignment w:val="baseline"/>
              <w:rPr>
                <w:i/>
              </w:rPr>
            </w:pPr>
            <w:r>
              <w:rPr>
                <w:i/>
              </w:rPr>
              <w:t>+32 2 546 83 78</w:t>
            </w:r>
          </w:p>
        </w:tc>
      </w:tr>
      <w:tr w:rsidRPr="00A124AE" w:rsidR="00A124AE" w:rsidTr="001E5877" w14:paraId="2D7C493D" w14:textId="77777777">
        <w:tc>
          <w:tcPr>
            <w:tcW w:w="1127" w:type="pct"/>
          </w:tcPr>
          <w:p w:rsidRPr="00A124AE" w:rsidR="00A124AE" w:rsidP="00BE1F8F" w:rsidRDefault="00A124AE" w14:paraId="6E440A2F" w14:textId="77777777">
            <w:pPr>
              <w:overflowPunct w:val="0"/>
              <w:autoSpaceDE w:val="0"/>
              <w:autoSpaceDN w:val="0"/>
              <w:adjustRightInd w:val="0"/>
              <w:textAlignment w:val="baseline"/>
              <w:rPr>
                <w:i/>
              </w:rPr>
            </w:pPr>
            <w:r>
              <w:rPr>
                <w:i/>
              </w:rPr>
              <w:t>Endereço eletrónico</w:t>
            </w:r>
          </w:p>
        </w:tc>
        <w:tc>
          <w:tcPr>
            <w:tcW w:w="3873" w:type="pct"/>
          </w:tcPr>
          <w:p w:rsidRPr="00A124AE" w:rsidR="00A124AE" w:rsidP="00BE1F8F" w:rsidRDefault="00C61EB1" w14:paraId="43479DC4" w14:textId="7E7AB516">
            <w:pPr>
              <w:overflowPunct w:val="0"/>
              <w:autoSpaceDE w:val="0"/>
              <w:autoSpaceDN w:val="0"/>
              <w:adjustRightInd w:val="0"/>
              <w:textAlignment w:val="baseline"/>
              <w:rPr>
                <w:i/>
                <w:iCs/>
              </w:rPr>
            </w:pPr>
            <w:hyperlink w:history="1" r:id="rId52">
              <w:r w:rsidR="00912887">
                <w:rPr>
                  <w:i/>
                  <w:color w:val="0000FF"/>
                  <w:u w:val="single"/>
                </w:rPr>
                <w:t>Silvia.Staffa@eesc.europa.eu</w:t>
              </w:r>
            </w:hyperlink>
          </w:p>
        </w:tc>
      </w:tr>
    </w:tbl>
    <w:p w:rsidR="00A124AE" w:rsidP="00BE1F8F" w:rsidRDefault="00A124AE" w14:paraId="521215C5" w14:textId="77777777">
      <w:pPr>
        <w:jc w:val="left"/>
        <w:rPr>
          <w:lang w:val="en-GB"/>
        </w:rPr>
      </w:pPr>
    </w:p>
    <w:p w:rsidR="00A124AE" w:rsidP="00BE1F8F" w:rsidRDefault="00A124AE" w14:paraId="3A56B00C" w14:textId="77777777">
      <w:pPr>
        <w:jc w:val="left"/>
      </w:pPr>
      <w:r>
        <w:br w:type="page"/>
      </w:r>
    </w:p>
    <w:p w:rsidR="004D7AC0" w:rsidP="00C77862" w:rsidRDefault="004D7AC0" w14:paraId="4982DE1F" w14:textId="77777777">
      <w:pPr>
        <w:pStyle w:val="Heading1"/>
        <w:keepNext/>
        <w:keepLines/>
        <w:spacing w:line="240" w:lineRule="auto"/>
        <w:rPr>
          <w:b/>
        </w:rPr>
      </w:pPr>
      <w:bookmarkStart w:name="_Toc189059540" w:id="22"/>
      <w:bookmarkStart w:name="_Toc70322234" w:id="23"/>
      <w:bookmarkStart w:name="_Toc75527084" w:id="24"/>
      <w:bookmarkStart w:name="_Toc192751488" w:id="25"/>
      <w:bookmarkEnd w:id="22"/>
      <w:r>
        <w:rPr>
          <w:b/>
        </w:rPr>
        <w:lastRenderedPageBreak/>
        <w:t>AGRICULTURA, DESENVOLVIMENTO RURAL E AMBIENTE</w:t>
      </w:r>
      <w:bookmarkEnd w:id="23"/>
      <w:bookmarkEnd w:id="24"/>
      <w:bookmarkEnd w:id="25"/>
    </w:p>
    <w:p w:rsidRPr="00C77862" w:rsidR="007F5784" w:rsidP="00C77862" w:rsidRDefault="007F5784" w14:paraId="715DB2BD" w14:textId="6CA1C4B2">
      <w:pPr>
        <w:spacing w:line="240" w:lineRule="auto"/>
        <w:jc w:val="left"/>
        <w:rPr>
          <w:sz w:val="16"/>
          <w:szCs w:val="16"/>
        </w:rPr>
      </w:pPr>
    </w:p>
    <w:p w:rsidRPr="00C43D3E" w:rsidR="00DE2D96" w:rsidP="00C77862" w:rsidRDefault="00C61EB1" w14:paraId="642C5AC4" w14:textId="7DDD8912">
      <w:pPr>
        <w:widowControl w:val="0"/>
        <w:numPr>
          <w:ilvl w:val="0"/>
          <w:numId w:val="10"/>
        </w:numPr>
        <w:overflowPunct w:val="0"/>
        <w:autoSpaceDE w:val="0"/>
        <w:autoSpaceDN w:val="0"/>
        <w:adjustRightInd w:val="0"/>
        <w:spacing w:line="240" w:lineRule="auto"/>
        <w:ind w:left="567" w:hanging="567"/>
        <w:textAlignment w:val="baseline"/>
        <w:rPr>
          <w:b/>
          <w:bCs/>
          <w:i/>
          <w:iCs/>
          <w:sz w:val="28"/>
          <w:szCs w:val="28"/>
          <w:u w:val="single"/>
        </w:rPr>
      </w:pPr>
      <w:hyperlink w:history="1" r:id="rId53">
        <w:r w:rsidR="00912887">
          <w:rPr>
            <w:b/>
            <w:i/>
            <w:color w:val="0000FF"/>
            <w:sz w:val="28"/>
            <w:u w:val="single"/>
          </w:rPr>
          <w:t>Garantir uma produção alimentar sustentável e um rendimento justo para os agriculto</w:t>
        </w:r>
        <w:r w:rsidR="00912887">
          <w:rPr>
            <w:b/>
            <w:i/>
            <w:color w:val="0000FF"/>
            <w:sz w:val="28"/>
            <w:u w:val="single"/>
          </w:rPr>
          <w:t>res europeus face aos desafios de mercado, ambientais e climáticos</w:t>
        </w:r>
      </w:hyperlink>
    </w:p>
    <w:p w:rsidRPr="0079405E" w:rsidR="00DE2D96" w:rsidP="00BE1F8F" w:rsidRDefault="00DE2D96" w14:paraId="14A2FD1A" w14:textId="77777777">
      <w:pPr>
        <w:tabs>
          <w:tab w:val="center" w:pos="284"/>
        </w:tabs>
        <w:overflowPunct w:val="0"/>
        <w:autoSpaceDE w:val="0"/>
        <w:autoSpaceDN w:val="0"/>
        <w:adjustRightInd w:val="0"/>
        <w:ind w:left="266" w:hanging="266"/>
        <w:textAlignment w:val="baseline"/>
        <w:rPr>
          <w:b/>
          <w:sz w:val="16"/>
          <w:szCs w:val="16"/>
          <w:lang w:val="en-GB"/>
        </w:rPr>
      </w:pPr>
    </w:p>
    <w:tbl>
      <w:tblPr>
        <w:tblW w:w="4845" w:type="pct"/>
        <w:tblLook w:val="04A0" w:firstRow="1" w:lastRow="0" w:firstColumn="1" w:lastColumn="0" w:noHBand="0" w:noVBand="1"/>
      </w:tblPr>
      <w:tblGrid>
        <w:gridCol w:w="2034"/>
        <w:gridCol w:w="6965"/>
      </w:tblGrid>
      <w:tr w:rsidRPr="0079405E" w:rsidR="00DE2D96" w:rsidTr="00A3780E" w14:paraId="518A9EA4" w14:textId="77777777">
        <w:tc>
          <w:tcPr>
            <w:tcW w:w="1130" w:type="pct"/>
          </w:tcPr>
          <w:p w:rsidRPr="0079405E" w:rsidR="00DE2D96" w:rsidP="00BE1F8F" w:rsidRDefault="00DE2D96" w14:paraId="4BD49780" w14:textId="7D20CE1F">
            <w:pPr>
              <w:tabs>
                <w:tab w:val="center" w:pos="284"/>
              </w:tabs>
              <w:overflowPunct w:val="0"/>
              <w:autoSpaceDE w:val="0"/>
              <w:autoSpaceDN w:val="0"/>
              <w:adjustRightInd w:val="0"/>
              <w:ind w:left="266" w:hanging="266"/>
              <w:textAlignment w:val="baseline"/>
              <w:rPr>
                <w:b/>
              </w:rPr>
            </w:pPr>
            <w:r>
              <w:rPr>
                <w:b/>
              </w:rPr>
              <w:t>Relator</w:t>
            </w:r>
            <w:r w:rsidR="00203319">
              <w:rPr>
                <w:b/>
              </w:rPr>
              <w:t>es</w:t>
            </w:r>
          </w:p>
        </w:tc>
        <w:tc>
          <w:tcPr>
            <w:tcW w:w="3870" w:type="pct"/>
          </w:tcPr>
          <w:p w:rsidRPr="0079405E" w:rsidR="00DE2D96" w:rsidP="00BE1F8F" w:rsidRDefault="00366FB1" w14:paraId="35C4E729" w14:textId="0173DE28">
            <w:pPr>
              <w:tabs>
                <w:tab w:val="center" w:pos="284"/>
              </w:tabs>
              <w:overflowPunct w:val="0"/>
              <w:autoSpaceDE w:val="0"/>
              <w:autoSpaceDN w:val="0"/>
              <w:adjustRightInd w:val="0"/>
              <w:ind w:left="266" w:hanging="266"/>
              <w:textAlignment w:val="baseline"/>
            </w:pPr>
            <w:r>
              <w:t>Arnold Puech d’Alissac (FR – Grupo dos Empregadores)</w:t>
            </w:r>
          </w:p>
          <w:p w:rsidRPr="0079405E" w:rsidR="00DE2D96" w:rsidP="00BE1F8F" w:rsidRDefault="00DE2D96" w14:paraId="5DE4EBAE" w14:textId="77777777">
            <w:pPr>
              <w:tabs>
                <w:tab w:val="center" w:pos="284"/>
              </w:tabs>
              <w:overflowPunct w:val="0"/>
              <w:autoSpaceDE w:val="0"/>
              <w:autoSpaceDN w:val="0"/>
              <w:adjustRightInd w:val="0"/>
              <w:ind w:left="266" w:hanging="266"/>
              <w:textAlignment w:val="baseline"/>
            </w:pPr>
            <w:r>
              <w:t>Piroska Kállay (HU – Grupo dos Trabalhadores)</w:t>
            </w:r>
          </w:p>
          <w:p w:rsidRPr="0079405E" w:rsidR="00DE2D96" w:rsidP="00BE1F8F" w:rsidRDefault="00366FB1" w14:paraId="32325F9B" w14:textId="30D7031F">
            <w:pPr>
              <w:tabs>
                <w:tab w:val="center" w:pos="284"/>
              </w:tabs>
              <w:overflowPunct w:val="0"/>
              <w:autoSpaceDE w:val="0"/>
              <w:autoSpaceDN w:val="0"/>
              <w:adjustRightInd w:val="0"/>
              <w:ind w:left="266" w:hanging="266"/>
              <w:textAlignment w:val="baseline"/>
            </w:pPr>
            <w:r>
              <w:t>Joe Healy (IE – Grupo das Organizações da Sociedade Civil)</w:t>
            </w:r>
          </w:p>
        </w:tc>
      </w:tr>
      <w:tr w:rsidRPr="0079405E" w:rsidR="00DE2D96" w:rsidTr="00A3780E" w14:paraId="4B6FEDD4" w14:textId="77777777">
        <w:tc>
          <w:tcPr>
            <w:tcW w:w="1130" w:type="pct"/>
          </w:tcPr>
          <w:p w:rsidRPr="0079405E" w:rsidR="00DE2D96" w:rsidP="00BE1F8F" w:rsidRDefault="00DE2D96" w14:paraId="5A19339E" w14:textId="439F828B">
            <w:pPr>
              <w:tabs>
                <w:tab w:val="center" w:pos="284"/>
              </w:tabs>
              <w:overflowPunct w:val="0"/>
              <w:autoSpaceDE w:val="0"/>
              <w:autoSpaceDN w:val="0"/>
              <w:adjustRightInd w:val="0"/>
              <w:ind w:left="266" w:hanging="266"/>
              <w:textAlignment w:val="baseline"/>
              <w:rPr>
                <w:b/>
              </w:rPr>
            </w:pPr>
            <w:r>
              <w:rPr>
                <w:b/>
              </w:rPr>
              <w:t>Referência</w:t>
            </w:r>
          </w:p>
        </w:tc>
        <w:tc>
          <w:tcPr>
            <w:tcW w:w="3870" w:type="pct"/>
          </w:tcPr>
          <w:p w:rsidRPr="00D03AEC" w:rsidR="00366FB1" w:rsidP="00BE1F8F" w:rsidRDefault="00366FB1" w14:paraId="1D8B27BA" w14:textId="77777777">
            <w:pPr>
              <w:tabs>
                <w:tab w:val="center" w:pos="284"/>
              </w:tabs>
              <w:overflowPunct w:val="0"/>
              <w:autoSpaceDE w:val="0"/>
              <w:autoSpaceDN w:val="0"/>
              <w:adjustRightInd w:val="0"/>
              <w:ind w:left="266" w:right="-387" w:hanging="266"/>
              <w:textAlignment w:val="baseline"/>
            </w:pPr>
            <w:r>
              <w:t>Parecer exploratório a pedido da Presidência polaca do Conselho da UE</w:t>
            </w:r>
          </w:p>
          <w:p w:rsidRPr="0079405E" w:rsidR="00DE2D96" w:rsidP="00BE1F8F" w:rsidRDefault="00DE2D96" w14:paraId="13DE1FA0" w14:textId="22E0B95D">
            <w:pPr>
              <w:tabs>
                <w:tab w:val="center" w:pos="284"/>
              </w:tabs>
              <w:overflowPunct w:val="0"/>
              <w:autoSpaceDE w:val="0"/>
              <w:autoSpaceDN w:val="0"/>
              <w:adjustRightInd w:val="0"/>
              <w:ind w:left="266" w:hanging="266"/>
              <w:textAlignment w:val="baseline"/>
            </w:pPr>
            <w:r>
              <w:t>EESC-2024-03974-00-00-AC</w:t>
            </w:r>
          </w:p>
        </w:tc>
      </w:tr>
    </w:tbl>
    <w:p w:rsidRPr="00C77862" w:rsidR="00713105" w:rsidP="00BE1F8F" w:rsidRDefault="00713105" w14:paraId="518EA3D3"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79405E" w:rsidR="00DE2D96" w:rsidP="00BE1F8F" w:rsidRDefault="00DE2D96" w14:paraId="1B8691C6" w14:textId="595FF6DF">
      <w:pPr>
        <w:keepNext/>
        <w:keepLines/>
        <w:tabs>
          <w:tab w:val="center" w:pos="284"/>
        </w:tabs>
        <w:overflowPunct w:val="0"/>
        <w:autoSpaceDE w:val="0"/>
        <w:autoSpaceDN w:val="0"/>
        <w:adjustRightInd w:val="0"/>
        <w:ind w:left="266" w:hanging="266"/>
        <w:textAlignment w:val="baseline"/>
        <w:rPr>
          <w:b/>
        </w:rPr>
      </w:pPr>
      <w:r>
        <w:rPr>
          <w:b/>
        </w:rPr>
        <w:t>Pontos principais</w:t>
      </w:r>
    </w:p>
    <w:p w:rsidRPr="0079405E" w:rsidR="00DE2D96" w:rsidP="00BE1F8F" w:rsidRDefault="00DE2D96" w14:paraId="1493200A"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DE2D96" w:rsidP="00BE1F8F" w:rsidRDefault="00DE2D96" w14:paraId="6B40E191" w14:textId="77777777">
      <w:pPr>
        <w:widowControl w:val="0"/>
        <w:overflowPunct w:val="0"/>
        <w:autoSpaceDE w:val="0"/>
        <w:autoSpaceDN w:val="0"/>
        <w:adjustRightInd w:val="0"/>
        <w:textAlignment w:val="baseline"/>
        <w:rPr>
          <w:bCs/>
          <w:iCs/>
        </w:rPr>
      </w:pPr>
      <w:r>
        <w:t>O Comité Económico e Social Europeu:</w:t>
      </w:r>
    </w:p>
    <w:p w:rsidRPr="0079405E" w:rsidR="00DE2D96" w:rsidP="00BE1F8F" w:rsidRDefault="00DE2D96" w14:paraId="331A71E3" w14:textId="77777777">
      <w:pPr>
        <w:widowControl w:val="0"/>
        <w:numPr>
          <w:ilvl w:val="0"/>
          <w:numId w:val="35"/>
        </w:numPr>
        <w:overflowPunct w:val="0"/>
        <w:autoSpaceDE w:val="0"/>
        <w:autoSpaceDN w:val="0"/>
        <w:adjustRightInd w:val="0"/>
        <w:ind w:left="284" w:hanging="284"/>
        <w:contextualSpacing/>
        <w:textAlignment w:val="baseline"/>
        <w:rPr>
          <w:bCs/>
          <w:iCs/>
        </w:rPr>
      </w:pPr>
      <w:r>
        <w:t>recomenda que se desenvolva e aplique instrumentos a curto e longo prazo para apoiar os rendimentos dos agricultores em tempos de crise e proteger contra a volatilidade, no âmbito da política agrícola comum (PAC) e mais além, tal como:</w:t>
      </w:r>
    </w:p>
    <w:p w:rsidRPr="0079405E" w:rsidR="00DE2D96" w:rsidP="00713105" w:rsidRDefault="00DE2D96" w14:paraId="188FCED5"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regimes de seguro contra catástrofes climáticas e ambientais:</w:t>
      </w:r>
      <w:r>
        <w:t xml:space="preserve"> trabalhar no modelo de garantias das parcerias público-privadas e rever o cálculo das referências de rendimento; </w:t>
      </w:r>
    </w:p>
    <w:p w:rsidRPr="0079405E" w:rsidR="00DE2D96" w:rsidP="00713105" w:rsidRDefault="00DE2D96" w14:paraId="5FFE9226"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regimes de seguro contra tensões no mercado:</w:t>
      </w:r>
      <w:r>
        <w:t xml:space="preserve"> analisar o desenvolvimento de alavancas inovadoras, como um seguro paramétrico, e incluir elementos anticíclicos nos instrumentos da PAC após 2027 a fim de reagir à pressão dos mercados;</w:t>
      </w:r>
    </w:p>
    <w:p w:rsidRPr="0079405E" w:rsidR="00DE2D96" w:rsidP="00713105" w:rsidRDefault="00DE2D96" w14:paraId="4439B4AA"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instrumentos de gestão dos riscos e de crises:</w:t>
      </w:r>
      <w:r>
        <w:t xml:space="preserve"> restabelecer o orçamento da PAC ao nível de 0,5% do PIB da UE no próximo Quadro Financeiro Plurianual (QFP); melhorar e promover, a nível dos Estados-Membros, a utilização dos 3% dos pagamentos diretos que podem ser utilizados como contribuições dos agricultores para o instrumento de gestão dos riscos; reformular e aumentar significativamente a reserva para crises no setor agrícola a nível da UE; criar, a nível dos Estados-Membros, fundos mutualistas para riscos sanitários e ambientais;</w:t>
      </w:r>
    </w:p>
    <w:p w:rsidRPr="0079405E" w:rsidR="00DE2D96" w:rsidP="00713105" w:rsidRDefault="00DE2D96" w14:paraId="74D4B712" w14:textId="77777777">
      <w:pPr>
        <w:widowControl w:val="0"/>
        <w:numPr>
          <w:ilvl w:val="1"/>
          <w:numId w:val="36"/>
        </w:numPr>
        <w:overflowPunct w:val="0"/>
        <w:autoSpaceDE w:val="0"/>
        <w:autoSpaceDN w:val="0"/>
        <w:adjustRightInd w:val="0"/>
        <w:ind w:left="567" w:hanging="567"/>
        <w:contextualSpacing/>
        <w:textAlignment w:val="baseline"/>
        <w:rPr>
          <w:b/>
          <w:bCs/>
        </w:rPr>
      </w:pPr>
      <w:r>
        <w:rPr>
          <w:b/>
        </w:rPr>
        <w:t>instrumentos financeiros disponibilizados pela PAC e pelos bancos:</w:t>
      </w:r>
      <w:r>
        <w:t xml:space="preserve"> apoiar a capacidade de investimento dos agricultores, em especial dos jovens agricultores, através de instrumentos financeiros simples, adaptados e não burocráticos, como produtos financeiros oferecidos pelos bancos (empréstimos-piloto, empréstimos sem juros, empréstimos para a instalação de agricultores), mas não só;</w:t>
      </w:r>
    </w:p>
    <w:p w:rsidRPr="0079405E" w:rsidR="00DE2D96" w:rsidP="00713105" w:rsidRDefault="00DE2D96" w14:paraId="1F801B29"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instrumentos para garantir o rendimento dos agricultores e melhorar o seu poder de negociação:</w:t>
      </w:r>
      <w:r>
        <w:t xml:space="preserve"> ponderar alargar a Diretiva Práticas Comerciais Desleais de modo a proibir os compradores de comprar a preços inferiores aos custos, depois de analisar cuidadosamente os efeitos de tal proibição em todos os operadores da cadeia alimentar; prever uma nova política da UE que permita aos agricultores negociar coletivamente os preços e aumentar o apoio às cooperativas e às organizações de produtores; proteger, reforçar e orientar melhor os pagamentos diretos aos agricultores ativos na próxima PAC; uma contribuição para a sustentabilidade destinada à transição; assegurar sistemas de produção alimentar eficientes em termos de emissões de carbono; assegurar a equivalência das normas em todos os acordos comerciais;</w:t>
      </w:r>
    </w:p>
    <w:p w:rsidRPr="0079405E" w:rsidR="00366FB1" w:rsidP="00713105" w:rsidRDefault="00DE2D96" w14:paraId="496376A0" w14:textId="5E51B798">
      <w:pPr>
        <w:widowControl w:val="0"/>
        <w:numPr>
          <w:ilvl w:val="0"/>
          <w:numId w:val="35"/>
        </w:numPr>
        <w:overflowPunct w:val="0"/>
        <w:autoSpaceDE w:val="0"/>
        <w:autoSpaceDN w:val="0"/>
        <w:adjustRightInd w:val="0"/>
        <w:ind w:left="567" w:hanging="567"/>
        <w:contextualSpacing/>
        <w:textAlignment w:val="baseline"/>
        <w:rPr>
          <w:bCs/>
          <w:iCs/>
        </w:rPr>
      </w:pPr>
      <w:r>
        <w:t>recomenda que se continue a promover uma governação participativa setorial específica e o reforço do diálogo social no setor agroalimentar;</w:t>
      </w:r>
    </w:p>
    <w:p w:rsidRPr="0079405E" w:rsidR="00DE2D96" w:rsidP="00713105" w:rsidRDefault="00DE2D96" w14:paraId="35CC080A" w14:textId="77777777">
      <w:pPr>
        <w:widowControl w:val="0"/>
        <w:numPr>
          <w:ilvl w:val="0"/>
          <w:numId w:val="35"/>
        </w:numPr>
        <w:overflowPunct w:val="0"/>
        <w:autoSpaceDE w:val="0"/>
        <w:autoSpaceDN w:val="0"/>
        <w:adjustRightInd w:val="0"/>
        <w:ind w:left="567" w:hanging="567"/>
        <w:contextualSpacing/>
        <w:textAlignment w:val="baseline"/>
        <w:rPr>
          <w:bCs/>
          <w:iCs/>
        </w:rPr>
      </w:pPr>
      <w:r>
        <w:t xml:space="preserve">salienta a necessidade de investigação agrícola de elevada qualidade e de investimentos na </w:t>
      </w:r>
      <w:r>
        <w:lastRenderedPageBreak/>
        <w:t>educação;</w:t>
      </w:r>
    </w:p>
    <w:p w:rsidRPr="0079405E" w:rsidR="00DE2D96" w:rsidP="00713105" w:rsidRDefault="00DE2D96" w14:paraId="6F5D47EA" w14:textId="77777777">
      <w:pPr>
        <w:widowControl w:val="0"/>
        <w:numPr>
          <w:ilvl w:val="0"/>
          <w:numId w:val="35"/>
        </w:numPr>
        <w:overflowPunct w:val="0"/>
        <w:autoSpaceDE w:val="0"/>
        <w:autoSpaceDN w:val="0"/>
        <w:adjustRightInd w:val="0"/>
        <w:ind w:left="567" w:hanging="567"/>
        <w:contextualSpacing/>
        <w:textAlignment w:val="baseline"/>
        <w:rPr>
          <w:bCs/>
          <w:iCs/>
        </w:rPr>
      </w:pPr>
      <w:r>
        <w:t>insiste na necessidade de manter uma produção agrícola dinâmica em toda a Europa e salienta que é importante que o desenvolvimento rural continue a ser um objetivo essencial da política agrícola comum e que receba financiamento suficiente.</w:t>
      </w:r>
    </w:p>
    <w:p w:rsidRPr="0079405E" w:rsidR="002A61F5" w:rsidP="00BE1F8F" w:rsidRDefault="002A61F5" w14:paraId="3C8AA267" w14:textId="77777777">
      <w:pPr>
        <w:widowControl w:val="0"/>
        <w:overflowPunct w:val="0"/>
        <w:autoSpaceDE w:val="0"/>
        <w:autoSpaceDN w:val="0"/>
        <w:adjustRightInd w:val="0"/>
        <w:ind w:left="709" w:hanging="425"/>
        <w:textAlignment w:val="baseline"/>
        <w:rPr>
          <w:sz w:val="16"/>
          <w:szCs w:val="16"/>
          <w:lang w:val="en-GB"/>
        </w:rPr>
      </w:pPr>
    </w:p>
    <w:tbl>
      <w:tblPr>
        <w:tblW w:w="4942" w:type="pct"/>
        <w:tblLook w:val="04A0" w:firstRow="1" w:lastRow="0" w:firstColumn="1" w:lastColumn="0" w:noHBand="0" w:noVBand="1"/>
      </w:tblPr>
      <w:tblGrid>
        <w:gridCol w:w="2093"/>
        <w:gridCol w:w="7086"/>
      </w:tblGrid>
      <w:tr w:rsidRPr="0079405E" w:rsidR="00DE2D96" w:rsidTr="001E5877" w14:paraId="0E76CB38" w14:textId="77777777">
        <w:tc>
          <w:tcPr>
            <w:tcW w:w="1140" w:type="pct"/>
          </w:tcPr>
          <w:p w:rsidRPr="0079405E" w:rsidR="00DE2D96" w:rsidP="00BE1F8F" w:rsidRDefault="00DE2D96" w14:paraId="6151DC79" w14:textId="77777777">
            <w:pPr>
              <w:overflowPunct w:val="0"/>
              <w:autoSpaceDE w:val="0"/>
              <w:autoSpaceDN w:val="0"/>
              <w:adjustRightInd w:val="0"/>
              <w:textAlignment w:val="baseline"/>
              <w:rPr>
                <w:i/>
              </w:rPr>
            </w:pPr>
            <w:r>
              <w:rPr>
                <w:b/>
                <w:i/>
              </w:rPr>
              <w:t>Contacto</w:t>
            </w:r>
          </w:p>
        </w:tc>
        <w:tc>
          <w:tcPr>
            <w:tcW w:w="3860" w:type="pct"/>
          </w:tcPr>
          <w:p w:rsidRPr="0079405E" w:rsidR="00DE2D96" w:rsidP="00BE1F8F" w:rsidRDefault="00DE2D96" w14:paraId="1C83FC67" w14:textId="58C849C6">
            <w:pPr>
              <w:overflowPunct w:val="0"/>
              <w:autoSpaceDE w:val="0"/>
              <w:autoSpaceDN w:val="0"/>
              <w:adjustRightInd w:val="0"/>
              <w:textAlignment w:val="baseline"/>
              <w:rPr>
                <w:i/>
              </w:rPr>
            </w:pPr>
            <w:r>
              <w:rPr>
                <w:i/>
              </w:rPr>
              <w:t>Myrto Kolyva</w:t>
            </w:r>
          </w:p>
        </w:tc>
      </w:tr>
      <w:tr w:rsidRPr="0079405E" w:rsidR="00DE2D96" w:rsidTr="001E5877" w14:paraId="188EFACC" w14:textId="77777777">
        <w:tc>
          <w:tcPr>
            <w:tcW w:w="1140" w:type="pct"/>
          </w:tcPr>
          <w:p w:rsidRPr="0079405E" w:rsidR="00DE2D96" w:rsidP="00BE1F8F" w:rsidRDefault="00DE2D96" w14:paraId="7E5EE7F9" w14:textId="77777777">
            <w:pPr>
              <w:overflowPunct w:val="0"/>
              <w:autoSpaceDE w:val="0"/>
              <w:autoSpaceDN w:val="0"/>
              <w:adjustRightInd w:val="0"/>
              <w:textAlignment w:val="baseline"/>
              <w:rPr>
                <w:i/>
              </w:rPr>
            </w:pPr>
            <w:r>
              <w:rPr>
                <w:i/>
              </w:rPr>
              <w:t>Tel.</w:t>
            </w:r>
          </w:p>
        </w:tc>
        <w:tc>
          <w:tcPr>
            <w:tcW w:w="3860" w:type="pct"/>
          </w:tcPr>
          <w:p w:rsidRPr="0079405E" w:rsidR="00DE2D96" w:rsidP="00BE1F8F" w:rsidRDefault="00DE2D96" w14:paraId="19F64A59" w14:textId="77777777">
            <w:pPr>
              <w:overflowPunct w:val="0"/>
              <w:autoSpaceDE w:val="0"/>
              <w:autoSpaceDN w:val="0"/>
              <w:adjustRightInd w:val="0"/>
              <w:textAlignment w:val="baseline"/>
              <w:rPr>
                <w:i/>
              </w:rPr>
            </w:pPr>
            <w:r>
              <w:rPr>
                <w:i/>
              </w:rPr>
              <w:t>+32 2 546 87 18</w:t>
            </w:r>
          </w:p>
        </w:tc>
      </w:tr>
      <w:tr w:rsidRPr="0079405E" w:rsidR="00DE2D96" w:rsidTr="001E5877" w14:paraId="1C6D3733" w14:textId="77777777">
        <w:tc>
          <w:tcPr>
            <w:tcW w:w="1140" w:type="pct"/>
          </w:tcPr>
          <w:p w:rsidRPr="0079405E" w:rsidR="00DE2D96" w:rsidP="00BE1F8F" w:rsidRDefault="00DE2D96" w14:paraId="40381C02" w14:textId="77777777">
            <w:pPr>
              <w:overflowPunct w:val="0"/>
              <w:autoSpaceDE w:val="0"/>
              <w:autoSpaceDN w:val="0"/>
              <w:adjustRightInd w:val="0"/>
              <w:textAlignment w:val="baseline"/>
              <w:rPr>
                <w:i/>
              </w:rPr>
            </w:pPr>
            <w:r>
              <w:rPr>
                <w:i/>
              </w:rPr>
              <w:t>Endereço eletrónico</w:t>
            </w:r>
          </w:p>
        </w:tc>
        <w:tc>
          <w:tcPr>
            <w:tcW w:w="3860" w:type="pct"/>
          </w:tcPr>
          <w:p w:rsidRPr="0079405E" w:rsidR="00DE2D96" w:rsidP="00BE1F8F" w:rsidRDefault="00C61EB1" w14:paraId="43973F89" w14:textId="77E8A581">
            <w:pPr>
              <w:overflowPunct w:val="0"/>
              <w:autoSpaceDE w:val="0"/>
              <w:autoSpaceDN w:val="0"/>
              <w:adjustRightInd w:val="0"/>
              <w:textAlignment w:val="baseline"/>
              <w:rPr>
                <w:color w:val="0000FF"/>
                <w:u w:val="single"/>
              </w:rPr>
            </w:pPr>
            <w:hyperlink w:history="1" r:id="rId54">
              <w:r w:rsidR="00912887">
                <w:rPr>
                  <w:i/>
                  <w:color w:val="0000FF"/>
                  <w:u w:val="single"/>
                </w:rPr>
                <w:t>Myrto.Kolyva@eesc.europa.eu</w:t>
              </w:r>
            </w:hyperlink>
          </w:p>
        </w:tc>
      </w:tr>
    </w:tbl>
    <w:p w:rsidRPr="00C77862" w:rsidR="00366FB1" w:rsidP="00BE1F8F" w:rsidRDefault="00366FB1" w14:paraId="1FDF3A66" w14:textId="77777777">
      <w:pPr>
        <w:jc w:val="left"/>
        <w:rPr>
          <w:sz w:val="12"/>
          <w:szCs w:val="12"/>
        </w:rPr>
      </w:pPr>
      <w:r>
        <w:br w:type="page"/>
      </w:r>
    </w:p>
    <w:p w:rsidR="007F5784" w:rsidP="00C77862" w:rsidRDefault="00EE5F16" w14:paraId="14026A78" w14:textId="0BB4DE42">
      <w:pPr>
        <w:pStyle w:val="Heading1"/>
        <w:keepNext/>
        <w:keepLines/>
        <w:spacing w:line="240" w:lineRule="auto"/>
        <w:rPr>
          <w:b/>
        </w:rPr>
      </w:pPr>
      <w:bookmarkStart w:name="_Toc192751489" w:id="26"/>
      <w:r>
        <w:rPr>
          <w:b/>
        </w:rPr>
        <w:lastRenderedPageBreak/>
        <w:t>COMISSÃO CONSULTIVA DAS MUTAÇÕES INDUSTRIAIS</w:t>
      </w:r>
      <w:bookmarkEnd w:id="26"/>
    </w:p>
    <w:p w:rsidR="003F4AD5" w:rsidP="00C77862" w:rsidRDefault="003F4AD5" w14:paraId="7C8ED9AD" w14:textId="77777777">
      <w:pPr>
        <w:spacing w:line="240" w:lineRule="auto"/>
      </w:pPr>
    </w:p>
    <w:p w:rsidRPr="00623E9E" w:rsidR="00623E9E" w:rsidP="00C77862" w:rsidRDefault="00C61EB1" w14:paraId="7953BEAF" w14:textId="2D580F8B">
      <w:pPr>
        <w:widowControl w:val="0"/>
        <w:numPr>
          <w:ilvl w:val="0"/>
          <w:numId w:val="2"/>
        </w:numPr>
        <w:overflowPunct w:val="0"/>
        <w:autoSpaceDE w:val="0"/>
        <w:autoSpaceDN w:val="0"/>
        <w:adjustRightInd w:val="0"/>
        <w:spacing w:line="240" w:lineRule="auto"/>
        <w:ind w:hanging="567"/>
        <w:textAlignment w:val="baseline"/>
        <w:rPr>
          <w:b/>
        </w:rPr>
      </w:pPr>
      <w:hyperlink w:history="1" r:id="rId55">
        <w:r w:rsidR="00912887">
          <w:rPr>
            <w:b/>
            <w:i/>
            <w:color w:val="0000FF"/>
            <w:sz w:val="28"/>
            <w:u w:val="single"/>
            <w:shd w:val="clear" w:color="auto" w:fill="FEFEFE"/>
          </w:rPr>
          <w:t>Contributo do meta</w:t>
        </w:r>
        <w:r w:rsidR="00912887">
          <w:rPr>
            <w:b/>
            <w:i/>
            <w:color w:val="0000FF"/>
            <w:sz w:val="28"/>
            <w:u w:val="single"/>
            <w:shd w:val="clear" w:color="auto" w:fill="FEFEFE"/>
          </w:rPr>
          <w:t>verso da robótica no setor médico</w:t>
        </w:r>
      </w:hyperlink>
    </w:p>
    <w:p w:rsidRPr="00623E9E" w:rsidR="00623E9E" w:rsidP="00C77862" w:rsidRDefault="00623E9E" w14:paraId="1CC73896" w14:textId="77777777">
      <w:pPr>
        <w:widowControl w:val="0"/>
        <w:overflowPunct w:val="0"/>
        <w:autoSpaceDE w:val="0"/>
        <w:autoSpaceDN w:val="0"/>
        <w:adjustRightInd w:val="0"/>
        <w:spacing w:line="240" w:lineRule="auto"/>
        <w:ind w:left="266"/>
        <w:textAlignment w:val="baseline"/>
        <w:rPr>
          <w:b/>
          <w:lang w:val="en-GB"/>
        </w:rPr>
      </w:pPr>
    </w:p>
    <w:tbl>
      <w:tblPr>
        <w:tblW w:w="0" w:type="auto"/>
        <w:tblLook w:val="04A0" w:firstRow="1" w:lastRow="0" w:firstColumn="1" w:lastColumn="0" w:noHBand="0" w:noVBand="1"/>
      </w:tblPr>
      <w:tblGrid>
        <w:gridCol w:w="1701"/>
        <w:gridCol w:w="7479"/>
      </w:tblGrid>
      <w:tr w:rsidRPr="00623E9E" w:rsidR="00623E9E" w:rsidTr="00A3780E" w14:paraId="269248EA" w14:textId="77777777">
        <w:tc>
          <w:tcPr>
            <w:tcW w:w="1701" w:type="dxa"/>
          </w:tcPr>
          <w:p w:rsidRPr="00623E9E" w:rsidR="00623E9E" w:rsidP="00BE1F8F" w:rsidRDefault="00623E9E" w14:paraId="21D29375" w14:textId="77777777">
            <w:pPr>
              <w:tabs>
                <w:tab w:val="center" w:pos="284"/>
              </w:tabs>
              <w:overflowPunct w:val="0"/>
              <w:autoSpaceDE w:val="0"/>
              <w:autoSpaceDN w:val="0"/>
              <w:adjustRightInd w:val="0"/>
              <w:ind w:left="266" w:hanging="266"/>
              <w:textAlignment w:val="baseline"/>
              <w:rPr>
                <w:b/>
              </w:rPr>
            </w:pPr>
            <w:r>
              <w:rPr>
                <w:b/>
              </w:rPr>
              <w:t>Relator</w:t>
            </w:r>
          </w:p>
        </w:tc>
        <w:tc>
          <w:tcPr>
            <w:tcW w:w="7479" w:type="dxa"/>
          </w:tcPr>
          <w:p w:rsidRPr="00623E9E" w:rsidR="00623E9E" w:rsidP="00BE1F8F" w:rsidRDefault="00623E9E" w14:paraId="266FB57D" w14:textId="2659163F">
            <w:pPr>
              <w:tabs>
                <w:tab w:val="center" w:pos="284"/>
              </w:tabs>
              <w:overflowPunct w:val="0"/>
              <w:autoSpaceDE w:val="0"/>
              <w:autoSpaceDN w:val="0"/>
              <w:adjustRightInd w:val="0"/>
              <w:ind w:left="266" w:hanging="266"/>
              <w:textAlignment w:val="baseline"/>
            </w:pPr>
            <w:r>
              <w:t>Martin Böhme (DE – Grupo das Organizações da Sociedade Civil)</w:t>
            </w:r>
          </w:p>
        </w:tc>
      </w:tr>
      <w:tr w:rsidRPr="00623E9E" w:rsidR="00623E9E" w:rsidTr="00A3780E" w14:paraId="361B26C2" w14:textId="77777777">
        <w:tc>
          <w:tcPr>
            <w:tcW w:w="1701" w:type="dxa"/>
          </w:tcPr>
          <w:p w:rsidRPr="00623E9E" w:rsidR="00623E9E" w:rsidP="00BE1F8F" w:rsidRDefault="00623E9E" w14:paraId="5503FDF1" w14:textId="77777777">
            <w:pPr>
              <w:tabs>
                <w:tab w:val="center" w:pos="284"/>
              </w:tabs>
              <w:overflowPunct w:val="0"/>
              <w:autoSpaceDE w:val="0"/>
              <w:autoSpaceDN w:val="0"/>
              <w:adjustRightInd w:val="0"/>
              <w:ind w:left="266" w:hanging="266"/>
              <w:textAlignment w:val="baseline"/>
              <w:rPr>
                <w:b/>
              </w:rPr>
            </w:pPr>
            <w:r>
              <w:rPr>
                <w:b/>
              </w:rPr>
              <w:t>Correlator</w:t>
            </w:r>
          </w:p>
        </w:tc>
        <w:tc>
          <w:tcPr>
            <w:tcW w:w="7479" w:type="dxa"/>
          </w:tcPr>
          <w:p w:rsidRPr="00623E9E" w:rsidR="00623E9E" w:rsidP="00BE1F8F" w:rsidRDefault="00623E9E" w14:paraId="1531E497" w14:textId="0BE0FF95">
            <w:pPr>
              <w:tabs>
                <w:tab w:val="center" w:pos="284"/>
              </w:tabs>
              <w:overflowPunct w:val="0"/>
              <w:autoSpaceDE w:val="0"/>
              <w:autoSpaceDN w:val="0"/>
              <w:adjustRightInd w:val="0"/>
              <w:ind w:left="266" w:hanging="266"/>
              <w:textAlignment w:val="baseline"/>
            </w:pPr>
            <w:r>
              <w:t>Hervé Jeannin (FR-Cat. 2)</w:t>
            </w:r>
          </w:p>
        </w:tc>
      </w:tr>
      <w:tr w:rsidRPr="00623E9E" w:rsidR="00623E9E" w:rsidTr="00A3780E" w14:paraId="74813AA8" w14:textId="77777777">
        <w:tc>
          <w:tcPr>
            <w:tcW w:w="1701" w:type="dxa"/>
          </w:tcPr>
          <w:p w:rsidRPr="00623E9E" w:rsidR="00623E9E" w:rsidP="00BE1F8F" w:rsidRDefault="00623E9E" w14:paraId="1103D901" w14:textId="719ACEE8">
            <w:pPr>
              <w:tabs>
                <w:tab w:val="center" w:pos="284"/>
              </w:tabs>
              <w:overflowPunct w:val="0"/>
              <w:autoSpaceDE w:val="0"/>
              <w:autoSpaceDN w:val="0"/>
              <w:adjustRightInd w:val="0"/>
              <w:ind w:left="266" w:hanging="266"/>
              <w:textAlignment w:val="baseline"/>
              <w:rPr>
                <w:b/>
              </w:rPr>
            </w:pPr>
            <w:r>
              <w:rPr>
                <w:b/>
              </w:rPr>
              <w:t>Referência</w:t>
            </w:r>
          </w:p>
        </w:tc>
        <w:tc>
          <w:tcPr>
            <w:tcW w:w="7479" w:type="dxa"/>
          </w:tcPr>
          <w:p w:rsidR="004F23ED" w:rsidP="00BE1F8F" w:rsidRDefault="004F23ED" w14:paraId="2AEBD737" w14:textId="4C750945">
            <w:pPr>
              <w:tabs>
                <w:tab w:val="center" w:pos="284"/>
              </w:tabs>
              <w:overflowPunct w:val="0"/>
              <w:autoSpaceDE w:val="0"/>
              <w:autoSpaceDN w:val="0"/>
              <w:adjustRightInd w:val="0"/>
              <w:ind w:left="266" w:hanging="266"/>
              <w:textAlignment w:val="baseline"/>
            </w:pPr>
            <w:r>
              <w:t>Parecer de iniciativa</w:t>
            </w:r>
          </w:p>
          <w:p w:rsidRPr="00623E9E" w:rsidR="00623E9E" w:rsidP="00BE1F8F" w:rsidRDefault="00623E9E" w14:paraId="5BA8C458" w14:textId="5B035BF6">
            <w:pPr>
              <w:tabs>
                <w:tab w:val="center" w:pos="284"/>
              </w:tabs>
              <w:overflowPunct w:val="0"/>
              <w:autoSpaceDE w:val="0"/>
              <w:autoSpaceDN w:val="0"/>
              <w:adjustRightInd w:val="0"/>
              <w:ind w:left="266" w:hanging="266"/>
              <w:textAlignment w:val="baseline"/>
            </w:pPr>
            <w:r>
              <w:t>EESC-2024-02859-00-00-AC-TRA</w:t>
            </w:r>
          </w:p>
        </w:tc>
      </w:tr>
    </w:tbl>
    <w:p w:rsidR="009B596B" w:rsidP="00BE1F8F" w:rsidRDefault="009B596B" w14:paraId="7BB8F2C0" w14:textId="77777777">
      <w:pPr>
        <w:keepNext/>
        <w:keepLines/>
        <w:tabs>
          <w:tab w:val="center" w:pos="284"/>
        </w:tabs>
        <w:overflowPunct w:val="0"/>
        <w:autoSpaceDE w:val="0"/>
        <w:autoSpaceDN w:val="0"/>
        <w:adjustRightInd w:val="0"/>
        <w:ind w:left="266" w:hanging="266"/>
        <w:textAlignment w:val="baseline"/>
        <w:rPr>
          <w:b/>
          <w:szCs w:val="20"/>
          <w:lang w:val="en-GB"/>
        </w:rPr>
      </w:pPr>
    </w:p>
    <w:p w:rsidRPr="00623E9E" w:rsidR="00623E9E" w:rsidP="00BE1F8F" w:rsidRDefault="00623E9E" w14:paraId="30B2B833" w14:textId="33B9D8A5">
      <w:pPr>
        <w:keepNext/>
        <w:keepLines/>
        <w:tabs>
          <w:tab w:val="center" w:pos="284"/>
        </w:tabs>
        <w:overflowPunct w:val="0"/>
        <w:autoSpaceDE w:val="0"/>
        <w:autoSpaceDN w:val="0"/>
        <w:adjustRightInd w:val="0"/>
        <w:ind w:left="266" w:hanging="266"/>
        <w:textAlignment w:val="baseline"/>
        <w:rPr>
          <w:b/>
        </w:rPr>
      </w:pPr>
      <w:r>
        <w:rPr>
          <w:b/>
        </w:rPr>
        <w:t>Pontos principais</w:t>
      </w:r>
    </w:p>
    <w:p w:rsidRPr="00623E9E" w:rsidR="00623E9E" w:rsidP="00BE1F8F" w:rsidRDefault="00623E9E" w14:paraId="53513792" w14:textId="77777777">
      <w:pPr>
        <w:keepNext/>
        <w:keepLines/>
        <w:tabs>
          <w:tab w:val="center" w:pos="284"/>
        </w:tabs>
        <w:overflowPunct w:val="0"/>
        <w:autoSpaceDE w:val="0"/>
        <w:autoSpaceDN w:val="0"/>
        <w:adjustRightInd w:val="0"/>
        <w:ind w:left="266" w:hanging="266"/>
        <w:textAlignment w:val="baseline"/>
        <w:rPr>
          <w:b/>
          <w:lang w:val="en-GB"/>
        </w:rPr>
      </w:pPr>
    </w:p>
    <w:p w:rsidRPr="00623E9E" w:rsidR="00623E9E" w:rsidP="00BE1F8F" w:rsidRDefault="00623E9E" w14:paraId="6DCDBAF9" w14:textId="77777777">
      <w:pPr>
        <w:overflowPunct w:val="0"/>
        <w:autoSpaceDE w:val="0"/>
        <w:autoSpaceDN w:val="0"/>
        <w:adjustRightInd w:val="0"/>
        <w:textAlignment w:val="baseline"/>
        <w:rPr>
          <w:szCs w:val="20"/>
        </w:rPr>
      </w:pPr>
      <w:r>
        <w:t>O Comité Económico e Social Europeu:</w:t>
      </w:r>
    </w:p>
    <w:p w:rsidRPr="004C2B61" w:rsidR="00623E9E" w:rsidP="00713105" w:rsidRDefault="00623E9E" w14:paraId="4E329840" w14:textId="77777777">
      <w:pPr>
        <w:pStyle w:val="ListParagraph"/>
        <w:numPr>
          <w:ilvl w:val="0"/>
          <w:numId w:val="43"/>
        </w:numPr>
        <w:ind w:left="567" w:hanging="567"/>
      </w:pPr>
      <w:bookmarkStart w:name="_Toc191974019" w:id="27"/>
      <w:r>
        <w:t xml:space="preserve">recomenda a </w:t>
      </w:r>
      <w:r>
        <w:rPr>
          <w:b/>
        </w:rPr>
        <w:t>elaboração de um quadro regulamentar abrangente</w:t>
      </w:r>
      <w:r>
        <w:t xml:space="preserve"> para a robótica e o metaverso nos cuidados de saúde;</w:t>
      </w:r>
      <w:bookmarkEnd w:id="27"/>
    </w:p>
    <w:p w:rsidRPr="004C2B61" w:rsidR="00623E9E" w:rsidP="00713105" w:rsidRDefault="00623E9E" w14:paraId="06079E87" w14:textId="77777777">
      <w:pPr>
        <w:pStyle w:val="ListParagraph"/>
        <w:numPr>
          <w:ilvl w:val="0"/>
          <w:numId w:val="43"/>
        </w:numPr>
        <w:ind w:left="567" w:hanging="567"/>
      </w:pPr>
      <w:bookmarkStart w:name="_Toc191974020" w:id="28"/>
      <w:r>
        <w:t xml:space="preserve">salienta a importância de </w:t>
      </w:r>
      <w:r>
        <w:rPr>
          <w:b/>
        </w:rPr>
        <w:t>promover normas éticas e protocolos de consentimento dos doentes</w:t>
      </w:r>
      <w:r>
        <w:t>;</w:t>
      </w:r>
      <w:bookmarkEnd w:id="28"/>
    </w:p>
    <w:p w:rsidRPr="004C2B61" w:rsidR="00623E9E" w:rsidP="00713105" w:rsidRDefault="00623E9E" w14:paraId="6D595B43" w14:textId="77777777">
      <w:pPr>
        <w:pStyle w:val="ListParagraph"/>
        <w:numPr>
          <w:ilvl w:val="0"/>
          <w:numId w:val="43"/>
        </w:numPr>
        <w:ind w:left="567" w:hanging="567"/>
      </w:pPr>
      <w:bookmarkStart w:name="_Toc191974021" w:id="29"/>
      <w:r>
        <w:t xml:space="preserve">solicita </w:t>
      </w:r>
      <w:r>
        <w:rPr>
          <w:b/>
        </w:rPr>
        <w:t>investimento em infraestruturas digitais</w:t>
      </w:r>
      <w:r>
        <w:t xml:space="preserve"> para </w:t>
      </w:r>
      <w:r>
        <w:rPr>
          <w:b/>
        </w:rPr>
        <w:t>garantir a igualdade de acesso</w:t>
      </w:r>
      <w:r>
        <w:t xml:space="preserve"> e salienta a importância de investir em infraestruturas digitais, em especial nas </w:t>
      </w:r>
      <w:r>
        <w:rPr>
          <w:b/>
        </w:rPr>
        <w:t>zonas rurais e com carências a esse nível</w:t>
      </w:r>
      <w:r>
        <w:t>, a fim de evitar um fosso digital. A UE deve dar prioridade à implantação de redes 5G e 6G para apoiar o funcionamento seguro e fiável das tecnologias de robótica e do metaverso. O acesso equitativo a estes progressos em matéria de cuidados de saúde em todos os Estados-Membros é uma prioridade fundamental;</w:t>
      </w:r>
      <w:bookmarkEnd w:id="29"/>
    </w:p>
    <w:p w:rsidRPr="004C2B61" w:rsidR="00623E9E" w:rsidP="00713105" w:rsidRDefault="00623E9E" w14:paraId="180EF85A" w14:textId="77777777">
      <w:pPr>
        <w:pStyle w:val="ListParagraph"/>
        <w:numPr>
          <w:ilvl w:val="0"/>
          <w:numId w:val="43"/>
        </w:numPr>
        <w:ind w:left="567" w:hanging="567"/>
      </w:pPr>
      <w:bookmarkStart w:name="_Toc191974022" w:id="30"/>
      <w:r>
        <w:t xml:space="preserve">defende o </w:t>
      </w:r>
      <w:r>
        <w:rPr>
          <w:b/>
        </w:rPr>
        <w:t>reforço do apoio à educação e à formação dos profissionais de saúde</w:t>
      </w:r>
      <w:r>
        <w:t>. Considera que a UE tem de financiar e promover programas de ensino e formação para preparar os profissionais de saúde para a integração das tecnologias de robótica e do metaverso;</w:t>
      </w:r>
      <w:bookmarkEnd w:id="30"/>
    </w:p>
    <w:p w:rsidRPr="004C2B61" w:rsidR="00623E9E" w:rsidP="00713105" w:rsidRDefault="00623E9E" w14:paraId="115A5476" w14:textId="77777777">
      <w:pPr>
        <w:pStyle w:val="ListParagraph"/>
        <w:numPr>
          <w:ilvl w:val="0"/>
          <w:numId w:val="43"/>
        </w:numPr>
        <w:ind w:left="567" w:hanging="567"/>
      </w:pPr>
      <w:bookmarkStart w:name="_Toc191974023" w:id="31"/>
      <w:r>
        <w:t xml:space="preserve">incentiva a </w:t>
      </w:r>
      <w:r>
        <w:rPr>
          <w:b/>
        </w:rPr>
        <w:t>promoção da inovação através de uma estratégia de investimento específica da UE</w:t>
      </w:r>
      <w:r>
        <w:t>. Recomenda vivamente que a UE desenvolva uma estratégia de investimento específica, especialmente destinada a apoiar as pequenas e médias empresas (PME) que trabalham em soluções de robótica e de metaverso para os cuidados de saúde;</w:t>
      </w:r>
      <w:bookmarkEnd w:id="31"/>
    </w:p>
    <w:p w:rsidRPr="004C2B61" w:rsidR="00623E9E" w:rsidP="00713105" w:rsidRDefault="00623E9E" w14:paraId="5166FC72" w14:textId="77777777">
      <w:pPr>
        <w:pStyle w:val="ListParagraph"/>
        <w:numPr>
          <w:ilvl w:val="0"/>
          <w:numId w:val="43"/>
        </w:numPr>
        <w:ind w:left="567" w:hanging="567"/>
      </w:pPr>
      <w:bookmarkStart w:name="_Toc191974024" w:id="32"/>
      <w:r>
        <w:t xml:space="preserve">destaca a necessidade de </w:t>
      </w:r>
      <w:r>
        <w:rPr>
          <w:b/>
        </w:rPr>
        <w:t>salvaguardas sólidas em matéria de proteção de dados e de cibersegurança</w:t>
      </w:r>
      <w:r>
        <w:t>. Insta a UE a estabelecer normas rigorosas em matéria de proteção de dados e de cibersegurança, a fim de salvaguardar os dados de saúde sensíveis e assegurar proteção contra ciberataques. Essas normas incluem a segurança das ligações entre a robótica, o metaverso e os dispositivos de interface pessoa-máquina. O CESE salienta igualmente que a soberania e a conformidade dos dados devem ser abordadas nas diferentes jurisdições, a fim de proteger os direitos dos doentes e assegurar a confiança nos serviços de cuidados de saúde transfronteiriços.</w:t>
      </w:r>
      <w:bookmarkEnd w:id="32"/>
    </w:p>
    <w:p w:rsidRPr="00623E9E" w:rsidR="00623E9E" w:rsidP="00BE1F8F" w:rsidRDefault="00623E9E" w14:paraId="189CE723" w14:textId="77777777">
      <w:pPr>
        <w:rPr>
          <w:lang w:val="en-GB"/>
        </w:rPr>
      </w:pPr>
    </w:p>
    <w:tbl>
      <w:tblPr>
        <w:tblW w:w="0" w:type="auto"/>
        <w:tblLook w:val="04A0" w:firstRow="1" w:lastRow="0" w:firstColumn="1" w:lastColumn="0" w:noHBand="0" w:noVBand="1"/>
      </w:tblPr>
      <w:tblGrid>
        <w:gridCol w:w="2093"/>
        <w:gridCol w:w="4995"/>
      </w:tblGrid>
      <w:tr w:rsidRPr="00623E9E" w:rsidR="00623E9E" w:rsidTr="001E5877" w14:paraId="5AA87467" w14:textId="77777777">
        <w:tc>
          <w:tcPr>
            <w:tcW w:w="2093" w:type="dxa"/>
          </w:tcPr>
          <w:p w:rsidRPr="00623E9E" w:rsidR="00623E9E" w:rsidP="00BE1F8F" w:rsidRDefault="00623E9E" w14:paraId="565BF265" w14:textId="77777777">
            <w:pPr>
              <w:keepNext/>
              <w:keepLines/>
              <w:overflowPunct w:val="0"/>
              <w:autoSpaceDE w:val="0"/>
              <w:autoSpaceDN w:val="0"/>
              <w:adjustRightInd w:val="0"/>
              <w:textAlignment w:val="baseline"/>
              <w:rPr>
                <w:i/>
              </w:rPr>
            </w:pPr>
            <w:r>
              <w:rPr>
                <w:b/>
                <w:i/>
              </w:rPr>
              <w:t>Contacto</w:t>
            </w:r>
          </w:p>
        </w:tc>
        <w:tc>
          <w:tcPr>
            <w:tcW w:w="4995" w:type="dxa"/>
          </w:tcPr>
          <w:p w:rsidRPr="00623E9E" w:rsidR="00623E9E" w:rsidP="00BE1F8F" w:rsidRDefault="00623E9E" w14:paraId="206EEDE0" w14:textId="77777777">
            <w:pPr>
              <w:keepNext/>
              <w:keepLines/>
              <w:overflowPunct w:val="0"/>
              <w:autoSpaceDE w:val="0"/>
              <w:autoSpaceDN w:val="0"/>
              <w:adjustRightInd w:val="0"/>
              <w:textAlignment w:val="baseline"/>
              <w:rPr>
                <w:i/>
              </w:rPr>
            </w:pPr>
            <w:r>
              <w:rPr>
                <w:i/>
              </w:rPr>
              <w:t>Marie-Laurence Drillon</w:t>
            </w:r>
          </w:p>
        </w:tc>
      </w:tr>
      <w:tr w:rsidRPr="00623E9E" w:rsidR="00623E9E" w:rsidTr="001E5877" w14:paraId="1831ADE5" w14:textId="77777777">
        <w:tc>
          <w:tcPr>
            <w:tcW w:w="2093" w:type="dxa"/>
          </w:tcPr>
          <w:p w:rsidRPr="00623E9E" w:rsidR="00623E9E" w:rsidP="00BE1F8F" w:rsidRDefault="00623E9E" w14:paraId="0B867EF2" w14:textId="77777777">
            <w:pPr>
              <w:keepNext/>
              <w:keepLines/>
              <w:overflowPunct w:val="0"/>
              <w:autoSpaceDE w:val="0"/>
              <w:autoSpaceDN w:val="0"/>
              <w:adjustRightInd w:val="0"/>
              <w:textAlignment w:val="baseline"/>
              <w:rPr>
                <w:i/>
              </w:rPr>
            </w:pPr>
            <w:r>
              <w:rPr>
                <w:i/>
              </w:rPr>
              <w:t>Tel.</w:t>
            </w:r>
          </w:p>
        </w:tc>
        <w:tc>
          <w:tcPr>
            <w:tcW w:w="4995" w:type="dxa"/>
          </w:tcPr>
          <w:p w:rsidRPr="00623E9E" w:rsidR="00623E9E" w:rsidP="00BE1F8F" w:rsidRDefault="00623E9E" w14:paraId="41C0B021" w14:textId="77777777">
            <w:pPr>
              <w:keepNext/>
              <w:keepLines/>
              <w:overflowPunct w:val="0"/>
              <w:autoSpaceDE w:val="0"/>
              <w:autoSpaceDN w:val="0"/>
              <w:adjustRightInd w:val="0"/>
              <w:textAlignment w:val="baseline"/>
              <w:rPr>
                <w:i/>
              </w:rPr>
            </w:pPr>
            <w:r>
              <w:rPr>
                <w:i/>
              </w:rPr>
              <w:t>+32 2 546 83 20</w:t>
            </w:r>
          </w:p>
        </w:tc>
      </w:tr>
      <w:tr w:rsidRPr="00623E9E" w:rsidR="00623E9E" w:rsidTr="001E5877" w14:paraId="042D4108" w14:textId="77777777">
        <w:tc>
          <w:tcPr>
            <w:tcW w:w="2093" w:type="dxa"/>
          </w:tcPr>
          <w:p w:rsidRPr="00623E9E" w:rsidR="00623E9E" w:rsidP="00BE1F8F" w:rsidRDefault="00752F62" w14:paraId="44E8DDBE" w14:textId="17714177">
            <w:pPr>
              <w:overflowPunct w:val="0"/>
              <w:autoSpaceDE w:val="0"/>
              <w:autoSpaceDN w:val="0"/>
              <w:adjustRightInd w:val="0"/>
              <w:textAlignment w:val="baseline"/>
              <w:rPr>
                <w:i/>
              </w:rPr>
            </w:pPr>
            <w:r>
              <w:rPr>
                <w:i/>
              </w:rPr>
              <w:t>Endereço eletrónico</w:t>
            </w:r>
          </w:p>
        </w:tc>
        <w:tc>
          <w:tcPr>
            <w:tcW w:w="4995" w:type="dxa"/>
          </w:tcPr>
          <w:p w:rsidRPr="00623E9E" w:rsidR="00623E9E" w:rsidP="00BE1F8F" w:rsidRDefault="00C61EB1" w14:paraId="348F9AAA" w14:textId="77777777">
            <w:pPr>
              <w:overflowPunct w:val="0"/>
              <w:autoSpaceDE w:val="0"/>
              <w:autoSpaceDN w:val="0"/>
              <w:adjustRightInd w:val="0"/>
              <w:textAlignment w:val="baseline"/>
              <w:rPr>
                <w:i/>
              </w:rPr>
            </w:pPr>
            <w:hyperlink w:history="1" r:id="rId56">
              <w:r w:rsidR="00912887">
                <w:rPr>
                  <w:i/>
                  <w:color w:val="0000FF"/>
                  <w:u w:val="single"/>
                </w:rPr>
                <w:t>Marie-Laurence.Drillon@eesc.europa.eu</w:t>
              </w:r>
            </w:hyperlink>
          </w:p>
        </w:tc>
      </w:tr>
    </w:tbl>
    <w:p w:rsidR="000D394D" w:rsidP="00BE1F8F" w:rsidRDefault="00726351" w14:paraId="2E28EF19" w14:textId="70908071">
      <w:pPr>
        <w:jc w:val="center"/>
      </w:pPr>
      <w:r>
        <w:t>_____________</w:t>
      </w:r>
    </w:p>
    <w:sectPr w:rsidR="000D394D" w:rsidSect="00713105">
      <w:headerReference w:type="even" r:id="rId57"/>
      <w:headerReference w:type="default" r:id="rId58"/>
      <w:footerReference w:type="even" r:id="rId59"/>
      <w:footerReference w:type="default" r:id="rId60"/>
      <w:headerReference w:type="first" r:id="rId61"/>
      <w:footerReference w:type="first" r:id="rId62"/>
      <w:pgSz w:w="11907" w:h="1683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A4C4" w14:textId="77777777" w:rsidR="00227559" w:rsidRDefault="00227559" w:rsidP="00B518C9">
      <w:pPr>
        <w:spacing w:line="240" w:lineRule="auto"/>
      </w:pPr>
      <w:r>
        <w:separator/>
      </w:r>
    </w:p>
    <w:p w14:paraId="3A5ED762" w14:textId="77777777" w:rsidR="00227559" w:rsidRDefault="00227559"/>
  </w:endnote>
  <w:endnote w:type="continuationSeparator" w:id="0">
    <w:p w14:paraId="4BCEBE6C" w14:textId="77777777" w:rsidR="00227559" w:rsidRDefault="00227559" w:rsidP="00B518C9">
      <w:pPr>
        <w:spacing w:line="240" w:lineRule="auto"/>
      </w:pPr>
      <w:r>
        <w:continuationSeparator/>
      </w:r>
    </w:p>
    <w:p w14:paraId="556C10CC" w14:textId="77777777" w:rsidR="00227559" w:rsidRDefault="00227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1E2A" w14:textId="77777777" w:rsidR="00F250D5" w:rsidRPr="00BE1F8F" w:rsidRDefault="00F250D5" w:rsidP="00BE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4BA8DE2A" w:rsidR="00B518C9" w:rsidRPr="00BE1F8F" w:rsidRDefault="00BE1F8F" w:rsidP="00BE1F8F">
    <w:pPr>
      <w:pStyle w:val="Footer"/>
    </w:pPr>
    <w:r>
      <w:t xml:space="preserve">EESC-2025-00345-00-01-TCD-TRA (EN) </w:t>
    </w:r>
    <w:r>
      <w:fldChar w:fldCharType="begin"/>
    </w:r>
    <w:r>
      <w:instrText xml:space="preserve"> PAGE  \* Arabic  \* MERGEFORMAT </w:instrText>
    </w:r>
    <w:r>
      <w:fldChar w:fldCharType="separate"/>
    </w:r>
    <w:r w:rsidR="008171FA">
      <w:t>1</w:t>
    </w:r>
    <w:r>
      <w:fldChar w:fldCharType="end"/>
    </w:r>
    <w:r>
      <w:t>/</w:t>
    </w:r>
    <w:fldSimple w:instr=" NUMPAGES ">
      <w:r w:rsidR="008171FA">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74A4" w14:textId="77777777" w:rsidR="00F250D5" w:rsidRPr="00BE1F8F" w:rsidRDefault="00F250D5" w:rsidP="00BE1F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0EDD" w14:textId="77777777" w:rsidR="0067428C" w:rsidRPr="00BE1F8F" w:rsidRDefault="0067428C" w:rsidP="00BE1F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A535" w14:textId="1A8F1C6B" w:rsidR="0067428C" w:rsidRPr="00BE1F8F" w:rsidRDefault="00BE1F8F" w:rsidP="00BE1F8F">
    <w:pPr>
      <w:pStyle w:val="Footer"/>
    </w:pPr>
    <w:r>
      <w:t xml:space="preserve">EESC-2025-00345-00-01-TCD-TRA (EN) </w:t>
    </w:r>
    <w:r>
      <w:fldChar w:fldCharType="begin"/>
    </w:r>
    <w:r>
      <w:instrText xml:space="preserve"> PAGE  \* Arabic  \* MERGEFORMAT </w:instrText>
    </w:r>
    <w:r>
      <w:fldChar w:fldCharType="separate"/>
    </w:r>
    <w:r>
      <w:t>2</w:t>
    </w:r>
    <w:r>
      <w:fldChar w:fldCharType="end"/>
    </w:r>
    <w:r>
      <w:t>/</w:t>
    </w:r>
    <w:fldSimple w:instr=" NUMPAGES ">
      <w: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99D3" w14:textId="77777777" w:rsidR="00EE160A" w:rsidRPr="00BE1F8F" w:rsidRDefault="00EE160A" w:rsidP="00BE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85884" w14:textId="77777777" w:rsidR="00227559" w:rsidRDefault="00227559" w:rsidP="00B518C9">
      <w:pPr>
        <w:spacing w:line="240" w:lineRule="auto"/>
      </w:pPr>
      <w:r>
        <w:separator/>
      </w:r>
    </w:p>
    <w:p w14:paraId="68988782" w14:textId="77777777" w:rsidR="00227559" w:rsidRDefault="00227559"/>
  </w:footnote>
  <w:footnote w:type="continuationSeparator" w:id="0">
    <w:p w14:paraId="39883EF1" w14:textId="77777777" w:rsidR="00227559" w:rsidRDefault="00227559" w:rsidP="00B518C9">
      <w:pPr>
        <w:spacing w:line="240" w:lineRule="auto"/>
      </w:pPr>
      <w:r>
        <w:continuationSeparator/>
      </w:r>
    </w:p>
    <w:p w14:paraId="3AE36317" w14:textId="77777777" w:rsidR="00227559" w:rsidRDefault="00227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D47C" w14:textId="77777777" w:rsidR="00F250D5" w:rsidRPr="00BE1F8F" w:rsidRDefault="00F250D5" w:rsidP="00BE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8CD0" w14:textId="26DDA75F" w:rsidR="00F250D5" w:rsidRPr="00BE1F8F" w:rsidRDefault="00F250D5" w:rsidP="00BE1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6853" w14:textId="77777777" w:rsidR="00F250D5" w:rsidRPr="00BE1F8F" w:rsidRDefault="00F250D5" w:rsidP="00BE1F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FC30" w14:textId="77777777" w:rsidR="0067428C" w:rsidRPr="00BE1F8F" w:rsidRDefault="0067428C" w:rsidP="00BE1F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2C5D" w14:textId="3724526D" w:rsidR="0067428C" w:rsidRPr="00BE1F8F" w:rsidRDefault="0067428C" w:rsidP="00BE1F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5D0A" w14:textId="77777777" w:rsidR="00EE160A" w:rsidRPr="00BE1F8F" w:rsidRDefault="00EE160A" w:rsidP="00BE1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E78A658"/>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E06ABCBE"/>
    <w:lvl w:ilvl="0">
      <w:numFmt w:val="decimal"/>
      <w:lvlText w:val="*"/>
      <w:lvlJc w:val="left"/>
    </w:lvl>
  </w:abstractNum>
  <w:abstractNum w:abstractNumId="2" w15:restartNumberingAfterBreak="0">
    <w:nsid w:val="003B78BD"/>
    <w:multiLevelType w:val="hybridMultilevel"/>
    <w:tmpl w:val="66DEF13E"/>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017F16A7"/>
    <w:multiLevelType w:val="hybridMultilevel"/>
    <w:tmpl w:val="7612248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8F1F91"/>
    <w:multiLevelType w:val="hybridMultilevel"/>
    <w:tmpl w:val="991EBB24"/>
    <w:lvl w:ilvl="0" w:tplc="FFFFFFFF">
      <w:start w:val="1"/>
      <w:numFmt w:val="bullet"/>
      <w:lvlText w:val="o"/>
      <w:lvlJc w:val="left"/>
      <w:pPr>
        <w:ind w:left="720" w:hanging="360"/>
      </w:pPr>
      <w:rPr>
        <w:rFonts w:ascii="Courier New" w:hAnsi="Courier New" w:cs="Courier New" w:hint="default"/>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C53A5C"/>
    <w:multiLevelType w:val="hybridMultilevel"/>
    <w:tmpl w:val="2CB206D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80A122A"/>
    <w:multiLevelType w:val="hybridMultilevel"/>
    <w:tmpl w:val="0BB8EE18"/>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B475CB"/>
    <w:multiLevelType w:val="hybridMultilevel"/>
    <w:tmpl w:val="7BFE4DA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0CDE4774"/>
    <w:multiLevelType w:val="hybridMultilevel"/>
    <w:tmpl w:val="37BA4F4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0F77DDB"/>
    <w:multiLevelType w:val="hybridMultilevel"/>
    <w:tmpl w:val="33DC05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4116E1"/>
    <w:multiLevelType w:val="hybridMultilevel"/>
    <w:tmpl w:val="DFE84AE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883396"/>
    <w:multiLevelType w:val="hybridMultilevel"/>
    <w:tmpl w:val="5EC05AF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1BBA7630"/>
    <w:multiLevelType w:val="singleLevel"/>
    <w:tmpl w:val="20000001"/>
    <w:lvl w:ilvl="0">
      <w:start w:val="1"/>
      <w:numFmt w:val="bullet"/>
      <w:lvlText w:val=""/>
      <w:lvlJc w:val="left"/>
      <w:pPr>
        <w:ind w:left="720" w:hanging="360"/>
      </w:pPr>
      <w:rPr>
        <w:rFonts w:ascii="Symbol" w:hAnsi="Symbol" w:hint="default"/>
      </w:rPr>
    </w:lvl>
  </w:abstractNum>
  <w:abstractNum w:abstractNumId="13" w15:restartNumberingAfterBreak="0">
    <w:nsid w:val="1C4658E6"/>
    <w:multiLevelType w:val="hybridMultilevel"/>
    <w:tmpl w:val="8746298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4" w15:restartNumberingAfterBreak="0">
    <w:nsid w:val="1E5D0EFB"/>
    <w:multiLevelType w:val="hybridMultilevel"/>
    <w:tmpl w:val="FC00356E"/>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1FFA70D8"/>
    <w:multiLevelType w:val="hybridMultilevel"/>
    <w:tmpl w:val="81BC6AFA"/>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4202159"/>
    <w:multiLevelType w:val="hybridMultilevel"/>
    <w:tmpl w:val="02F2492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158AC"/>
    <w:multiLevelType w:val="multilevel"/>
    <w:tmpl w:val="0BC8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0375C3D"/>
    <w:multiLevelType w:val="hybridMultilevel"/>
    <w:tmpl w:val="A06E2070"/>
    <w:lvl w:ilvl="0" w:tplc="8E864B0C">
      <w:start w:val="1"/>
      <w:numFmt w:val="bullet"/>
      <w:lvlText w:val=""/>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327B5574"/>
    <w:multiLevelType w:val="hybridMultilevel"/>
    <w:tmpl w:val="1854AB3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3" w15:restartNumberingAfterBreak="0">
    <w:nsid w:val="35F41A11"/>
    <w:multiLevelType w:val="hybridMultilevel"/>
    <w:tmpl w:val="BF64D86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AC60B2F"/>
    <w:multiLevelType w:val="hybridMultilevel"/>
    <w:tmpl w:val="76C615E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418E1E35"/>
    <w:multiLevelType w:val="multilevel"/>
    <w:tmpl w:val="972E55B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3467D"/>
    <w:multiLevelType w:val="hybridMultilevel"/>
    <w:tmpl w:val="A724B3C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E12C5B"/>
    <w:multiLevelType w:val="hybridMultilevel"/>
    <w:tmpl w:val="A59A9AF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8" w15:restartNumberingAfterBreak="0">
    <w:nsid w:val="52CA61C9"/>
    <w:multiLevelType w:val="hybridMultilevel"/>
    <w:tmpl w:val="6F5442C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4382302"/>
    <w:multiLevelType w:val="hybridMultilevel"/>
    <w:tmpl w:val="13C23AD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F92C6D"/>
    <w:multiLevelType w:val="hybridMultilevel"/>
    <w:tmpl w:val="246A71BC"/>
    <w:lvl w:ilvl="0" w:tplc="04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5928275E"/>
    <w:multiLevelType w:val="hybridMultilevel"/>
    <w:tmpl w:val="F3E2DFF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59CD5CD1"/>
    <w:multiLevelType w:val="hybridMultilevel"/>
    <w:tmpl w:val="EA264F8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3" w15:restartNumberingAfterBreak="0">
    <w:nsid w:val="5D195562"/>
    <w:multiLevelType w:val="hybridMultilevel"/>
    <w:tmpl w:val="916C508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CF522C"/>
    <w:multiLevelType w:val="hybridMultilevel"/>
    <w:tmpl w:val="FAC885D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7D1E3D"/>
    <w:multiLevelType w:val="hybridMultilevel"/>
    <w:tmpl w:val="8BEA0D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6D11A3"/>
    <w:multiLevelType w:val="singleLevel"/>
    <w:tmpl w:val="C97AF652"/>
    <w:lvl w:ilvl="0">
      <w:numFmt w:val="decimal"/>
      <w:lvlText w:val="*"/>
      <w:lvlJc w:val="left"/>
    </w:lvl>
  </w:abstractNum>
  <w:abstractNum w:abstractNumId="38" w15:restartNumberingAfterBreak="0">
    <w:nsid w:val="6C3C7753"/>
    <w:multiLevelType w:val="hybridMultilevel"/>
    <w:tmpl w:val="F4C60320"/>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6F781A53"/>
    <w:multiLevelType w:val="hybridMultilevel"/>
    <w:tmpl w:val="20F6F7E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0" w15:restartNumberingAfterBreak="0">
    <w:nsid w:val="72EB051D"/>
    <w:multiLevelType w:val="hybridMultilevel"/>
    <w:tmpl w:val="D5B6578A"/>
    <w:lvl w:ilvl="0" w:tplc="8E864B0C">
      <w:start w:val="1"/>
      <w:numFmt w:val="bullet"/>
      <w:lvlText w:val=""/>
      <w:lvlJc w:val="left"/>
      <w:pPr>
        <w:ind w:left="567" w:hanging="283"/>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1" w15:restartNumberingAfterBreak="0">
    <w:nsid w:val="7E085AB1"/>
    <w:multiLevelType w:val="hybridMultilevel"/>
    <w:tmpl w:val="06FC5AF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7E1A7F53"/>
    <w:multiLevelType w:val="hybridMultilevel"/>
    <w:tmpl w:val="B080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
    <w:lvlOverride w:ilvl="0">
      <w:lvl w:ilvl="0">
        <w:start w:val="1"/>
        <w:numFmt w:val="bullet"/>
        <w:lvlText w:val=""/>
        <w:lvlJc w:val="left"/>
        <w:pPr>
          <w:ind w:left="720" w:hanging="360"/>
        </w:pPr>
        <w:rPr>
          <w:rFonts w:ascii="Symbol" w:hAnsi="Symbol" w:hint="default"/>
          <w:color w:val="auto"/>
        </w:rPr>
      </w:lvl>
    </w:lvlOverride>
  </w:num>
  <w:num w:numId="4">
    <w:abstractNumId w:val="17"/>
  </w:num>
  <w:num w:numId="5">
    <w:abstractNumId w:val="30"/>
  </w:num>
  <w:num w:numId="6">
    <w:abstractNumId w:val="20"/>
  </w:num>
  <w:num w:numId="7">
    <w:abstractNumId w:val="18"/>
  </w:num>
  <w:num w:numId="8">
    <w:abstractNumId w:val="28"/>
  </w:num>
  <w:num w:numId="9">
    <w:abstractNumId w:val="34"/>
  </w:num>
  <w:num w:numId="10">
    <w:abstractNumId w:val="12"/>
  </w:num>
  <w:num w:numId="11">
    <w:abstractNumId w:val="37"/>
  </w:num>
  <w:num w:numId="12">
    <w:abstractNumId w:val="35"/>
  </w:num>
  <w:num w:numId="13">
    <w:abstractNumId w:val="9"/>
  </w:num>
  <w:num w:numId="14">
    <w:abstractNumId w:val="19"/>
  </w:num>
  <w:num w:numId="15">
    <w:abstractNumId w:val="2"/>
  </w:num>
  <w:num w:numId="16">
    <w:abstractNumId w:val="42"/>
  </w:num>
  <w:num w:numId="17">
    <w:abstractNumId w:val="36"/>
  </w:num>
  <w:num w:numId="18">
    <w:abstractNumId w:val="40"/>
  </w:num>
  <w:num w:numId="19">
    <w:abstractNumId w:val="27"/>
  </w:num>
  <w:num w:numId="20">
    <w:abstractNumId w:val="15"/>
  </w:num>
  <w:num w:numId="21">
    <w:abstractNumId w:val="29"/>
  </w:num>
  <w:num w:numId="22">
    <w:abstractNumId w:val="16"/>
  </w:num>
  <w:num w:numId="23">
    <w:abstractNumId w:val="7"/>
  </w:num>
  <w:num w:numId="24">
    <w:abstractNumId w:val="6"/>
  </w:num>
  <w:num w:numId="25">
    <w:abstractNumId w:val="8"/>
  </w:num>
  <w:num w:numId="26">
    <w:abstractNumId w:val="26"/>
  </w:num>
  <w:num w:numId="27">
    <w:abstractNumId w:val="10"/>
  </w:num>
  <w:num w:numId="28">
    <w:abstractNumId w:val="22"/>
  </w:num>
  <w:num w:numId="29">
    <w:abstractNumId w:val="41"/>
  </w:num>
  <w:num w:numId="30">
    <w:abstractNumId w:val="11"/>
  </w:num>
  <w:num w:numId="31">
    <w:abstractNumId w:val="13"/>
  </w:num>
  <w:num w:numId="32">
    <w:abstractNumId w:val="33"/>
  </w:num>
  <w:num w:numId="33">
    <w:abstractNumId w:val="25"/>
  </w:num>
  <w:num w:numId="34">
    <w:abstractNumId w:val="24"/>
  </w:num>
  <w:num w:numId="35">
    <w:abstractNumId w:val="23"/>
  </w:num>
  <w:num w:numId="36">
    <w:abstractNumId w:val="4"/>
  </w:num>
  <w:num w:numId="37">
    <w:abstractNumId w:val="21"/>
  </w:num>
  <w:num w:numId="38">
    <w:abstractNumId w:val="32"/>
  </w:num>
  <w:num w:numId="39">
    <w:abstractNumId w:val="39"/>
  </w:num>
  <w:num w:numId="40">
    <w:abstractNumId w:val="38"/>
  </w:num>
  <w:num w:numId="41">
    <w:abstractNumId w:val="31"/>
  </w:num>
  <w:num w:numId="42">
    <w:abstractNumId w:val="14"/>
  </w:num>
  <w:num w:numId="43">
    <w:abstractNumId w:val="5"/>
  </w:num>
  <w:num w:numId="4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62A"/>
    <w:rsid w:val="00010A4D"/>
    <w:rsid w:val="00032230"/>
    <w:rsid w:val="0005257A"/>
    <w:rsid w:val="00063DFF"/>
    <w:rsid w:val="00077D3D"/>
    <w:rsid w:val="00083115"/>
    <w:rsid w:val="000857F2"/>
    <w:rsid w:val="00093B0F"/>
    <w:rsid w:val="000A2214"/>
    <w:rsid w:val="000A6A5A"/>
    <w:rsid w:val="000B40B4"/>
    <w:rsid w:val="000D394D"/>
    <w:rsid w:val="000D43E1"/>
    <w:rsid w:val="000D533F"/>
    <w:rsid w:val="000E4936"/>
    <w:rsid w:val="00107677"/>
    <w:rsid w:val="001131B6"/>
    <w:rsid w:val="00114665"/>
    <w:rsid w:val="00114D45"/>
    <w:rsid w:val="00116EE0"/>
    <w:rsid w:val="001208E1"/>
    <w:rsid w:val="00126764"/>
    <w:rsid w:val="0015044C"/>
    <w:rsid w:val="0015267F"/>
    <w:rsid w:val="00154A6C"/>
    <w:rsid w:val="00157297"/>
    <w:rsid w:val="001638E9"/>
    <w:rsid w:val="00175F5A"/>
    <w:rsid w:val="001826A4"/>
    <w:rsid w:val="0018354A"/>
    <w:rsid w:val="001900C9"/>
    <w:rsid w:val="00195DF6"/>
    <w:rsid w:val="001C0AB9"/>
    <w:rsid w:val="001C4BA5"/>
    <w:rsid w:val="001C5762"/>
    <w:rsid w:val="001E391D"/>
    <w:rsid w:val="001E5877"/>
    <w:rsid w:val="0020320E"/>
    <w:rsid w:val="00203319"/>
    <w:rsid w:val="00204020"/>
    <w:rsid w:val="00217685"/>
    <w:rsid w:val="00225BB6"/>
    <w:rsid w:val="00227559"/>
    <w:rsid w:val="00232656"/>
    <w:rsid w:val="00247B9F"/>
    <w:rsid w:val="00247F8B"/>
    <w:rsid w:val="002538AC"/>
    <w:rsid w:val="00264FC2"/>
    <w:rsid w:val="0027707F"/>
    <w:rsid w:val="00293191"/>
    <w:rsid w:val="002A5636"/>
    <w:rsid w:val="002A61F5"/>
    <w:rsid w:val="002B7981"/>
    <w:rsid w:val="002E05A2"/>
    <w:rsid w:val="00302537"/>
    <w:rsid w:val="003066BE"/>
    <w:rsid w:val="003077A1"/>
    <w:rsid w:val="00321FDD"/>
    <w:rsid w:val="003227CC"/>
    <w:rsid w:val="003232BE"/>
    <w:rsid w:val="00343F74"/>
    <w:rsid w:val="003442FB"/>
    <w:rsid w:val="00366FB1"/>
    <w:rsid w:val="00382A22"/>
    <w:rsid w:val="00392B2D"/>
    <w:rsid w:val="003A4752"/>
    <w:rsid w:val="003B3B1A"/>
    <w:rsid w:val="003C2964"/>
    <w:rsid w:val="003F326D"/>
    <w:rsid w:val="003F4AD5"/>
    <w:rsid w:val="003F79EF"/>
    <w:rsid w:val="00402449"/>
    <w:rsid w:val="0041135D"/>
    <w:rsid w:val="00421AAB"/>
    <w:rsid w:val="004229C4"/>
    <w:rsid w:val="004255DD"/>
    <w:rsid w:val="0043191A"/>
    <w:rsid w:val="00435AEF"/>
    <w:rsid w:val="00444504"/>
    <w:rsid w:val="00465FCD"/>
    <w:rsid w:val="00486DAE"/>
    <w:rsid w:val="004A5CD7"/>
    <w:rsid w:val="004C2B61"/>
    <w:rsid w:val="004D7AC0"/>
    <w:rsid w:val="004E3508"/>
    <w:rsid w:val="004E411F"/>
    <w:rsid w:val="004F23ED"/>
    <w:rsid w:val="004F2989"/>
    <w:rsid w:val="0052107B"/>
    <w:rsid w:val="005234CD"/>
    <w:rsid w:val="00532089"/>
    <w:rsid w:val="005404CB"/>
    <w:rsid w:val="005820A0"/>
    <w:rsid w:val="00586B4B"/>
    <w:rsid w:val="005873B0"/>
    <w:rsid w:val="005904B2"/>
    <w:rsid w:val="00592F07"/>
    <w:rsid w:val="00593C9F"/>
    <w:rsid w:val="005A0BDA"/>
    <w:rsid w:val="005A3D14"/>
    <w:rsid w:val="005A4C58"/>
    <w:rsid w:val="005B5258"/>
    <w:rsid w:val="005C66E1"/>
    <w:rsid w:val="005E43B3"/>
    <w:rsid w:val="005E7651"/>
    <w:rsid w:val="005F41D0"/>
    <w:rsid w:val="005F55DC"/>
    <w:rsid w:val="00623E9E"/>
    <w:rsid w:val="00625CA3"/>
    <w:rsid w:val="00627052"/>
    <w:rsid w:val="00641262"/>
    <w:rsid w:val="00652335"/>
    <w:rsid w:val="0067428C"/>
    <w:rsid w:val="006825FC"/>
    <w:rsid w:val="00691BA5"/>
    <w:rsid w:val="006B21A0"/>
    <w:rsid w:val="006C0A65"/>
    <w:rsid w:val="006C533B"/>
    <w:rsid w:val="006C6ECE"/>
    <w:rsid w:val="006D16C7"/>
    <w:rsid w:val="006D1DFA"/>
    <w:rsid w:val="006D2C8A"/>
    <w:rsid w:val="006D2D64"/>
    <w:rsid w:val="006E2EF5"/>
    <w:rsid w:val="006E62F7"/>
    <w:rsid w:val="006F1989"/>
    <w:rsid w:val="00713105"/>
    <w:rsid w:val="00720580"/>
    <w:rsid w:val="00726351"/>
    <w:rsid w:val="007448E4"/>
    <w:rsid w:val="00752F62"/>
    <w:rsid w:val="00754027"/>
    <w:rsid w:val="007554BE"/>
    <w:rsid w:val="00766B1A"/>
    <w:rsid w:val="00770B4A"/>
    <w:rsid w:val="00773E8D"/>
    <w:rsid w:val="00777195"/>
    <w:rsid w:val="0079405E"/>
    <w:rsid w:val="00795836"/>
    <w:rsid w:val="007A0964"/>
    <w:rsid w:val="007A0BE6"/>
    <w:rsid w:val="007B1DCA"/>
    <w:rsid w:val="007C1ABC"/>
    <w:rsid w:val="007D30C1"/>
    <w:rsid w:val="007F5784"/>
    <w:rsid w:val="008171FA"/>
    <w:rsid w:val="0083181F"/>
    <w:rsid w:val="00832938"/>
    <w:rsid w:val="00840FC8"/>
    <w:rsid w:val="008413EF"/>
    <w:rsid w:val="0084417F"/>
    <w:rsid w:val="008452C8"/>
    <w:rsid w:val="00845F24"/>
    <w:rsid w:val="00850929"/>
    <w:rsid w:val="00860DE0"/>
    <w:rsid w:val="00864670"/>
    <w:rsid w:val="00865A78"/>
    <w:rsid w:val="00866666"/>
    <w:rsid w:val="0086679E"/>
    <w:rsid w:val="00871DCF"/>
    <w:rsid w:val="008752F5"/>
    <w:rsid w:val="008761FA"/>
    <w:rsid w:val="0088219D"/>
    <w:rsid w:val="00892F37"/>
    <w:rsid w:val="008B5FC5"/>
    <w:rsid w:val="008B7F9B"/>
    <w:rsid w:val="008C5361"/>
    <w:rsid w:val="008C7452"/>
    <w:rsid w:val="008D0303"/>
    <w:rsid w:val="008D05C8"/>
    <w:rsid w:val="008D44E2"/>
    <w:rsid w:val="0090254F"/>
    <w:rsid w:val="00904A22"/>
    <w:rsid w:val="00910C90"/>
    <w:rsid w:val="00912887"/>
    <w:rsid w:val="009144BA"/>
    <w:rsid w:val="00941874"/>
    <w:rsid w:val="0094356F"/>
    <w:rsid w:val="00945147"/>
    <w:rsid w:val="00980902"/>
    <w:rsid w:val="0098098F"/>
    <w:rsid w:val="00981AAC"/>
    <w:rsid w:val="00996457"/>
    <w:rsid w:val="009A2569"/>
    <w:rsid w:val="009B04E2"/>
    <w:rsid w:val="009B199C"/>
    <w:rsid w:val="009B596B"/>
    <w:rsid w:val="009C3A5E"/>
    <w:rsid w:val="009D7E2D"/>
    <w:rsid w:val="009E747C"/>
    <w:rsid w:val="00A02A59"/>
    <w:rsid w:val="00A073FB"/>
    <w:rsid w:val="00A124AE"/>
    <w:rsid w:val="00A20E9D"/>
    <w:rsid w:val="00A230A4"/>
    <w:rsid w:val="00A26A65"/>
    <w:rsid w:val="00A272B2"/>
    <w:rsid w:val="00A30FAD"/>
    <w:rsid w:val="00A33529"/>
    <w:rsid w:val="00A50553"/>
    <w:rsid w:val="00A5081E"/>
    <w:rsid w:val="00A512D0"/>
    <w:rsid w:val="00A71030"/>
    <w:rsid w:val="00A81F18"/>
    <w:rsid w:val="00A832E6"/>
    <w:rsid w:val="00A94349"/>
    <w:rsid w:val="00AC7540"/>
    <w:rsid w:val="00AD28C9"/>
    <w:rsid w:val="00AE5791"/>
    <w:rsid w:val="00AF6DC1"/>
    <w:rsid w:val="00AF7CA7"/>
    <w:rsid w:val="00B11B7E"/>
    <w:rsid w:val="00B16AE4"/>
    <w:rsid w:val="00B203DA"/>
    <w:rsid w:val="00B21DC6"/>
    <w:rsid w:val="00B227BF"/>
    <w:rsid w:val="00B47C02"/>
    <w:rsid w:val="00B518C9"/>
    <w:rsid w:val="00B51A72"/>
    <w:rsid w:val="00B73BE7"/>
    <w:rsid w:val="00B80EC0"/>
    <w:rsid w:val="00B83272"/>
    <w:rsid w:val="00B8503F"/>
    <w:rsid w:val="00B87220"/>
    <w:rsid w:val="00B95DFE"/>
    <w:rsid w:val="00B97319"/>
    <w:rsid w:val="00BA081D"/>
    <w:rsid w:val="00BA2F3D"/>
    <w:rsid w:val="00BA71AC"/>
    <w:rsid w:val="00BB020C"/>
    <w:rsid w:val="00BB1131"/>
    <w:rsid w:val="00BB118B"/>
    <w:rsid w:val="00BB17B1"/>
    <w:rsid w:val="00BB7501"/>
    <w:rsid w:val="00BC003D"/>
    <w:rsid w:val="00BC15D3"/>
    <w:rsid w:val="00BC1D26"/>
    <w:rsid w:val="00BC5818"/>
    <w:rsid w:val="00BC6AA1"/>
    <w:rsid w:val="00BD3C24"/>
    <w:rsid w:val="00BD6AD8"/>
    <w:rsid w:val="00BE1F8F"/>
    <w:rsid w:val="00BE37B5"/>
    <w:rsid w:val="00BE54B3"/>
    <w:rsid w:val="00C008B4"/>
    <w:rsid w:val="00C05074"/>
    <w:rsid w:val="00C14F83"/>
    <w:rsid w:val="00C17ABD"/>
    <w:rsid w:val="00C26C67"/>
    <w:rsid w:val="00C3059A"/>
    <w:rsid w:val="00C4084F"/>
    <w:rsid w:val="00C417FE"/>
    <w:rsid w:val="00C43D3E"/>
    <w:rsid w:val="00C52092"/>
    <w:rsid w:val="00C61EB1"/>
    <w:rsid w:val="00C63C88"/>
    <w:rsid w:val="00C65E51"/>
    <w:rsid w:val="00C65EA7"/>
    <w:rsid w:val="00C67580"/>
    <w:rsid w:val="00C67D5A"/>
    <w:rsid w:val="00C77862"/>
    <w:rsid w:val="00C804F4"/>
    <w:rsid w:val="00C8173B"/>
    <w:rsid w:val="00C821A5"/>
    <w:rsid w:val="00C87D91"/>
    <w:rsid w:val="00C94866"/>
    <w:rsid w:val="00CC44CF"/>
    <w:rsid w:val="00CF233F"/>
    <w:rsid w:val="00D03AEC"/>
    <w:rsid w:val="00D1047D"/>
    <w:rsid w:val="00D24919"/>
    <w:rsid w:val="00D26CB8"/>
    <w:rsid w:val="00D43613"/>
    <w:rsid w:val="00D5795F"/>
    <w:rsid w:val="00D615E8"/>
    <w:rsid w:val="00D63232"/>
    <w:rsid w:val="00D6450A"/>
    <w:rsid w:val="00D66820"/>
    <w:rsid w:val="00D7076A"/>
    <w:rsid w:val="00D7172A"/>
    <w:rsid w:val="00D81F5E"/>
    <w:rsid w:val="00D92269"/>
    <w:rsid w:val="00D92715"/>
    <w:rsid w:val="00DC329C"/>
    <w:rsid w:val="00DC348C"/>
    <w:rsid w:val="00DC45BC"/>
    <w:rsid w:val="00DD7D60"/>
    <w:rsid w:val="00DE176A"/>
    <w:rsid w:val="00DE2D96"/>
    <w:rsid w:val="00DE7710"/>
    <w:rsid w:val="00DF0344"/>
    <w:rsid w:val="00DF3CEF"/>
    <w:rsid w:val="00E00A6B"/>
    <w:rsid w:val="00E13806"/>
    <w:rsid w:val="00E14D8E"/>
    <w:rsid w:val="00E16E3C"/>
    <w:rsid w:val="00E348EA"/>
    <w:rsid w:val="00E44ADA"/>
    <w:rsid w:val="00E55DDF"/>
    <w:rsid w:val="00E57BB9"/>
    <w:rsid w:val="00E624FB"/>
    <w:rsid w:val="00E77899"/>
    <w:rsid w:val="00E83667"/>
    <w:rsid w:val="00E9219E"/>
    <w:rsid w:val="00EA3596"/>
    <w:rsid w:val="00EB5E2E"/>
    <w:rsid w:val="00EB629E"/>
    <w:rsid w:val="00EC0F9A"/>
    <w:rsid w:val="00EC5572"/>
    <w:rsid w:val="00ED1DE3"/>
    <w:rsid w:val="00EE160A"/>
    <w:rsid w:val="00EE5F16"/>
    <w:rsid w:val="00EF40DB"/>
    <w:rsid w:val="00F02BB5"/>
    <w:rsid w:val="00F23122"/>
    <w:rsid w:val="00F250D5"/>
    <w:rsid w:val="00F54496"/>
    <w:rsid w:val="00F54B68"/>
    <w:rsid w:val="00F60997"/>
    <w:rsid w:val="00F617CE"/>
    <w:rsid w:val="00F70422"/>
    <w:rsid w:val="00F83C17"/>
    <w:rsid w:val="00F84774"/>
    <w:rsid w:val="00F93648"/>
    <w:rsid w:val="00F96D7F"/>
    <w:rsid w:val="00FA33C4"/>
    <w:rsid w:val="00FA4B28"/>
    <w:rsid w:val="00FA7642"/>
    <w:rsid w:val="00FA7854"/>
    <w:rsid w:val="00FC456F"/>
    <w:rsid w:val="00FD106B"/>
    <w:rsid w:val="00FD5458"/>
    <w:rsid w:val="00FF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C6ECE"/>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131B6"/>
    <w:rPr>
      <w:color w:val="605E5C"/>
      <w:shd w:val="clear" w:color="auto" w:fill="E1DFDD"/>
    </w:rPr>
  </w:style>
  <w:style w:type="paragraph" w:styleId="ListParagraph">
    <w:name w:val="List Paragraph"/>
    <w:basedOn w:val="Normal"/>
    <w:uiPriority w:val="34"/>
    <w:qFormat/>
    <w:rsid w:val="00652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pt/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Gerald.Klec@eesc.europa.eu" TargetMode="External"/><Relationship Id="rId39" Type="http://schemas.openxmlformats.org/officeDocument/2006/relationships/hyperlink" Target="https://www.eesc.europa.eu/pt/initiatives/eu-youth-test-eesc" TargetMode="External"/><Relationship Id="rId21" Type="http://schemas.openxmlformats.org/officeDocument/2006/relationships/hyperlink" Target="https://www.eesc.europa.eu/pt/our-work/opinions-information-reports/opinions/2025-european-semester-autumn-package" TargetMode="External"/><Relationship Id="rId34" Type="http://schemas.openxmlformats.org/officeDocument/2006/relationships/hyperlink" Target="mailto:Gabriela.Grasu@eesc.europa.eu" TargetMode="External"/><Relationship Id="rId42" Type="http://schemas.openxmlformats.org/officeDocument/2006/relationships/hyperlink" Target="https://www.eesc.europa.eu/pt/our-work/opinions-information-reports/opinions/assessment-letta-and-draghi-reports-functioning-and-competitiveness-eus-single-market" TargetMode="External"/><Relationship Id="rId47" Type="http://schemas.openxmlformats.org/officeDocument/2006/relationships/hyperlink" Target="https://www.eesc.europa.eu/pt/our-work/opinions-information-reports/opinions/services-sector-european-union"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pt/our-work/opinions-information-reports/opinions/contribution-robotics-metaverse-medical-sector" TargetMode="External"/><Relationship Id="rId63" Type="http://schemas.openxmlformats.org/officeDocument/2006/relationships/fontTable" Target="fontTable.xml"/><Relationship Id="rId68" Type="http://schemas.openxmlformats.org/officeDocument/2006/relationships/customXml" Target="../customXml/item4.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s://www.eesc.europa.eu/pt/our-work/opinions-information-reports/opinions/addressing-loneliness-cementing-measures-demographic-cohesion" TargetMode="External"/><Relationship Id="rId11" Type="http://schemas.openxmlformats.org/officeDocument/2006/relationships/endnotes" Target="endnotes.xml"/><Relationship Id="rId24" Type="http://schemas.openxmlformats.org/officeDocument/2006/relationships/hyperlink" Target="mailto:Juri.Soosaar@eesc.europa.eu" TargetMode="External"/><Relationship Id="rId32" Type="http://schemas.openxmlformats.org/officeDocument/2006/relationships/hyperlink" Target="mailto:Grasu.Gabriela@eesc.europa.eu" TargetMode="External"/><Relationship Id="rId37" Type="http://schemas.openxmlformats.org/officeDocument/2006/relationships/hyperlink" Target="mailto:Albert.Precup@eesc.europa.eu" TargetMode="External"/><Relationship Id="rId40" Type="http://schemas.openxmlformats.org/officeDocument/2006/relationships/hyperlink" Target="mailto:Radoslava.Stefankova@eesc.europa.eu" TargetMode="External"/><Relationship Id="rId45" Type="http://schemas.openxmlformats.org/officeDocument/2006/relationships/hyperlink" Target="https://www.eesc.europa.eu/pt/our-work/opinions-information-reports/opinions/competitiveness-eus-small-and-medium-sized-enterprises-light-new-administrative-burdensobligations-eg-relating-non" TargetMode="External"/><Relationship Id="rId53" Type="http://schemas.openxmlformats.org/officeDocument/2006/relationships/hyperlink" Target="https://www.eesc.europa.eu/pt/our-work/opinions-information-reports/opinions/ensuring-sustainable-food-production-and-fair-income-european-farmers-face-market-environmental-and-climate-challenges" TargetMode="External"/><Relationship Id="rId58" Type="http://schemas.openxmlformats.org/officeDocument/2006/relationships/header" Target="header5.xml"/><Relationship Id="rId66" Type="http://schemas.openxmlformats.org/officeDocument/2006/relationships/customXml" Target="../customXml/item2.xml"/><Relationship Id="rId61" Type="http://schemas.openxmlformats.org/officeDocument/2006/relationships/header" Target="header6.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Anna.Pantazi@eesc.europa.eu" TargetMode="External"/><Relationship Id="rId27" Type="http://schemas.openxmlformats.org/officeDocument/2006/relationships/hyperlink" Target="https://www.eesc.europa.eu/pt/our-work/opinions-information-reports/opinions/strengthening-results-orientation-post-2027-cohesion-policy-challenges-risks-and-opportunities" TargetMode="External"/><Relationship Id="rId30" Type="http://schemas.openxmlformats.org/officeDocument/2006/relationships/hyperlink" Target="mailto:Valeria.Atzori@eesc.europa.eu" TargetMode="External"/><Relationship Id="rId35" Type="http://schemas.openxmlformats.org/officeDocument/2006/relationships/hyperlink" Target="mailto:Triin.AasmaaGomes@eesc.europa.eu" TargetMode="External"/><Relationship Id="rId43" Type="http://schemas.openxmlformats.org/officeDocument/2006/relationships/hyperlink" Target="mailto:Annalisa.Tessarolo@eesc.europa.eu" TargetMode="External"/><Relationship Id="rId48" Type="http://schemas.openxmlformats.org/officeDocument/2006/relationships/hyperlink" Target="mailto:Annalisa.Tessarolo@eesc.europa.eu" TargetMode="External"/><Relationship Id="rId56" Type="http://schemas.openxmlformats.org/officeDocument/2006/relationships/hyperlink" Target="mailto:Marie-Laurence.Drillon@eesc.europa.eu"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pt/our-work/opinions-information-reports/opinions/tourism-eu-social-sustainability-driver-long-term-competitiveness-sector"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pt/our-work/opinions-information-reports/opinions/defence-funding-eu" TargetMode="External"/><Relationship Id="rId33" Type="http://schemas.openxmlformats.org/officeDocument/2006/relationships/hyperlink" Target="https://www.eesc.europa.eu/pt/our-work/opinions-information-reports/opinions/eesc-contribution-eus-priorities-uncsw69" TargetMode="External"/><Relationship Id="rId38" Type="http://schemas.openxmlformats.org/officeDocument/2006/relationships/hyperlink" Target="https://www.eesc.europa.eu/pt/our-work/opinions-information-reports/opinions/consumer-protection-and-impact-digital-and-green-transitions-consumers" TargetMode="External"/><Relationship Id="rId46" Type="http://schemas.openxmlformats.org/officeDocument/2006/relationships/hyperlink" Target="mailto:Marco.Manfroni@eesc.europa.eu" TargetMode="External"/><Relationship Id="rId59" Type="http://schemas.openxmlformats.org/officeDocument/2006/relationships/footer" Target="footer4.xml"/><Relationship Id="rId67" Type="http://schemas.openxmlformats.org/officeDocument/2006/relationships/customXml" Target="../customXml/item3.xml"/><Relationship Id="rId20" Type="http://schemas.openxmlformats.org/officeDocument/2006/relationships/footer" Target="footer3.xml"/><Relationship Id="rId41" Type="http://schemas.openxmlformats.org/officeDocument/2006/relationships/hyperlink" Target="mailto:Yousra.Asbounielouahabi@eesc.europa.eu" TargetMode="External"/><Relationship Id="rId54" Type="http://schemas.openxmlformats.org/officeDocument/2006/relationships/hyperlink" Target="mailto:Myrto.Kolyva@eesc.europa.eu" TargetMode="External"/><Relationship Id="rId62" Type="http://schemas.openxmlformats.org/officeDocument/2006/relationships/footer" Target="footer6.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pt/our-work/opinions-information-reports/opinions/administrative-cooperation-field-taxation-dac9" TargetMode="External"/><Relationship Id="rId28" Type="http://schemas.openxmlformats.org/officeDocument/2006/relationships/hyperlink" Target="mailto:Georgios.Meleas@eesc.europa.eu" TargetMode="External"/><Relationship Id="rId36" Type="http://schemas.openxmlformats.org/officeDocument/2006/relationships/hyperlink" Target="https://www.eesc.europa.eu/pt/our-work/opinions-information-reports/opinions/physical-completion-eus-internal-market-new-geopolitical-situation" TargetMode="External"/><Relationship Id="rId49" Type="http://schemas.openxmlformats.org/officeDocument/2006/relationships/hyperlink" Target="https://www.eesc.europa.eu/pt/our-work/opinions-information-reports/opinions/future-eu-industry-face-high-energy-prices-and-transition-costs" TargetMode="External"/><Relationship Id="rId57" Type="http://schemas.openxmlformats.org/officeDocument/2006/relationships/header" Target="header4.xml"/><Relationship Id="rId10" Type="http://schemas.openxmlformats.org/officeDocument/2006/relationships/footnotes" Target="footnotes.xml"/><Relationship Id="rId31" Type="http://schemas.openxmlformats.org/officeDocument/2006/relationships/hyperlink" Target="https://www.eesc.europa.eu/pt/our-work/opinions-information-reports/opinions/violence-against-women-human-rights-issue-state-play-measures-across-eu"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footer" Target="footer5.xml"/><Relationship Id="rId65" Type="http://schemas.openxmlformats.org/officeDocument/2006/relationships/customXml" Target="../customXml/item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A6WAAD5KZT2Q-604569563-4685</_dlc_DocId>
    <_dlc_DocIdUrl xmlns="1a33af13-4045-4f88-9d7b-618e30f79918">
      <Url>http://dm/eesc/2025/_layouts/15/DocIdRedir.aspx?ID=A6WAAD5KZT2Q-604569563-4685</Url>
      <Description>A6WAAD5KZT2Q-604569563-4685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2025-03-13T12:00:00+00:00</ProductionDate>
    <DocumentNumber xmlns="be3ca9a7-9286-4008-99ec-aebc20da9dc2">345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2025-03-26T12:00:00+00:00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2534</FicheNumber>
    <OriginalSender xmlns="1a33af13-4045-4f88-9d7b-618e30f79918">
      <UserInfo>
        <DisplayName>Rubano Noroes Silvana</DisplayName>
        <AccountId>1495</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595</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FE4B05B5-4431-4769-8479-9E5A19D7A5CD}"/>
</file>

<file path=customXml/itemProps2.xml><?xml version="1.0" encoding="utf-8"?>
<ds:datastoreItem xmlns:ds="http://schemas.openxmlformats.org/officeDocument/2006/customXml" ds:itemID="{94C1407F-85C0-4C7E-9B29-097B55515416}"/>
</file>

<file path=customXml/itemProps3.xml><?xml version="1.0" encoding="utf-8"?>
<ds:datastoreItem xmlns:ds="http://schemas.openxmlformats.org/officeDocument/2006/customXml" ds:itemID="{80A94B14-A7EA-4BA6-9784-288CEE945908}"/>
</file>

<file path=customXml/itemProps4.xml><?xml version="1.0" encoding="utf-8"?>
<ds:datastoreItem xmlns:ds="http://schemas.openxmlformats.org/officeDocument/2006/customXml" ds:itemID="{92111FB9-66E0-422F-8BB9-E6D9F875F261}"/>
</file>

<file path=docProps/app.xml><?xml version="1.0" encoding="utf-8"?>
<Properties xmlns="http://schemas.openxmlformats.org/officeDocument/2006/extended-properties" xmlns:vt="http://schemas.openxmlformats.org/officeDocument/2006/docPropsVTypes">
  <Template>Normal.dotm</Template>
  <TotalTime>0</TotalTime>
  <Pages>23</Pages>
  <Words>7332</Words>
  <Characters>41799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Summary of opinions - 593rd plenary session - January 2025</vt:lpstr>
    </vt:vector>
  </TitlesOfParts>
  <Company>CESE-CdR</Company>
  <LinksUpToDate>false</LinksUpToDate>
  <CharactersWithSpaces>49033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Síntese dos Pareceres - 594.ª reunião plenária - fevereiro de 2025</dc:title>
  <dc:subject>TCD</dc:subject>
  <dc:creator>Nieddu Emma</dc:creator>
  <cp:keywords>EESC-2025-00345-00-01-TCD-TRA-EN</cp:keywords>
  <dc:description>Rapporteur:  - Original language: EN - Date of document: 13/03/2025 - Date of meeting: 30/26/2025 14:30 - External documents:  - Administrator: MME TAMASAUSKIENE Julija</dc:description>
  <cp:lastModifiedBy>Rubano Noroes Silvana</cp:lastModifiedBy>
  <cp:revision>9</cp:revision>
  <dcterms:created xsi:type="dcterms:W3CDTF">2025-03-12T09:56:00Z</dcterms:created>
  <dcterms:modified xsi:type="dcterms:W3CDTF">2025-03-13T08:49:00Z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12/03/2025, 05/03/2025, 29/01/2025, 02/05/2022, 02/05/2022, 28/06/2021</vt:lpwstr>
  </property>
  <property fmtid="{D5CDD505-2E9C-101B-9397-08002B2CF9AE}" pid="4" name="Pref_Time">
    <vt:lpwstr>10:27:20, 09:28:12, 15:29:38, 12:28:29, 12:25:37, 08:41:48</vt:lpwstr>
  </property>
  <property fmtid="{D5CDD505-2E9C-101B-9397-08002B2CF9AE}" pid="5" name="Pref_User">
    <vt:lpwstr>amett, enied, amett, enied, enied, enied</vt:lpwstr>
  </property>
  <property fmtid="{D5CDD505-2E9C-101B-9397-08002B2CF9AE}" pid="6" name="Pref_FileName">
    <vt:lpwstr>EESC-2025-00345-00-01-TCD-ORI.docx, EESC-2025-00345-00-00-TCD-ORI.docx, EESC-2024-04576-00-00-TCD-ORI.docx, 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eb742f33-8218-4454-8891-6c91875d4e04</vt:lpwstr>
  </property>
  <property fmtid="{D5CDD505-2E9C-101B-9397-08002B2CF9AE}" pid="9" name="AvailableTranslations">
    <vt:lpwstr>34;#IT|0774613c-01ed-4e5d-a25d-11d2388de825;#30;#LT|a7ff5ce7-6123-4f68-865a-a57c31810414;#23;#DE|f6b31e5a-26fa-4935-b661-318e46daf27e;#50;#HR|2f555653-ed1a-4fe6-8362-9082d95989e5;#16;#ES|e7a6b05b-ae16-40c8-add9-68b64b03aeba;#40;#DA|5d49c027-8956-412b-aa16-e85a0f96ad0e;#42;#EL|6d4f4d51-af9b-4650-94b4-4276bee85c91;#24;#PL|1e03da61-4678-4e07-b136-b5024ca9197b;#46;#SK|46d9fce0-ef79-4f71-b89b-cd6aa82426b8;#27;#NL|55c6556c-b4f4-441d-9acf-c498d4f838bd;#33;#PT|50ccc04a-eadd-42ae-a0cb-acaf45f812ba;#5;#EN|f2175f21-25d7-44a3-96da-d6a61b075e1b;#39;#LV|46f7e311-5d9f-4663-b433-18aeccb7ace7;#37;#HU|6b229040-c589-4408-b4c1-4285663d20a8;#36;#RO|feb747a2-64cd-4299-af12-4833ddc30497;#29;#CS|72f9705b-0217-4fd3-bea2-cbc7ed80e26e;#12;#FR|d2afafd3-4c81-4f60-8f52-ee33f2f54ff3;#35;#FI|87606a43-d45f-42d6-b8c9-e1a3457db5b7;#31;#SL|98a412ae-eb01-49e9-ae3d-585a81724cfc;#41;#ET|ff6c3f4c-b02c-4c3c-ab07-2c37995a7a0a;#28;#SV|c2ed69e7-a339-43d7-8f22-d93680a92aa0;#47;#BG|1a1b3951-7821-4e6a-85f5-5673fc08bd2c</vt:lpwstr>
  </property>
  <property fmtid="{D5CDD505-2E9C-101B-9397-08002B2CF9AE}" pid="10" name="DocumentType_0">
    <vt:lpwstr>TCD|cd9d6eb6-3f4f-424a-b2d1-57c9d450eaaf</vt:lpwstr>
  </property>
  <property fmtid="{D5CDD505-2E9C-101B-9397-08002B2CF9AE}" pid="11" name="MeetingNumber">
    <vt:i4>595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2025-03-26T12:00:00Z</vt:filetime>
  </property>
  <property fmtid="{D5CDD505-2E9C-101B-9397-08002B2CF9AE}" pid="29" name="AvailableTranslations_0">
    <vt:lpwstr>IT|0774613c-01ed-4e5d-a25d-11d2388de825;HR|2f555653-ed1a-4fe6-8362-9082d95989e5;ES|e7a6b05b-ae16-40c8-add9-68b64b03aeba;SK|46d9fce0-ef79-4f71-b89b-cd6aa82426b8;NL|55c6556c-b4f4-441d-9acf-c498d4f838bd;EN|f2175f21-25d7-44a3-96da-d6a61b075e1b;LV|46f7e311-5d9f-4663-b433-18aeccb7ace7;FR|d2afafd3-4c81-4f60-8f52-ee33f2f54ff3;FI|87606a43-d45f-42d6-b8c9-e1a3457db5b7;SL|98a412ae-eb01-49e9-ae3d-585a81724cfc;SV|c2ed69e7-a339-43d7-8f22-d93680a92aa0</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FI|87606a43-d45f-42d6-b8c9-e1a3457db5b7;#34;#IT|0774613c-01ed-4e5d-a25d-11d2388de825;#13;#TRA|150d2a88-1431-44e6-a8ca-0bb753ab8672;#67;#SPL-CES|32d8cb1f-c9ec-4365-95c7-8385a18618ac;#31;#SL|98a412ae-eb01-49e9-ae3d-585a81724cfc;#28;#SV|c2ed69e7-a339-43d7-8f22-d93680a92aa0;#27;#NL|55c6556c-b4f4-441d-9acf-c498d4f838bd;#19;#TCD|cd9d6eb6-3f4f-424a-b2d1-57c9d450eaaf;#16;#ES|e7a6b05b-ae16-40c8-add9-68b64b03aeba;#15;#Unrestricted|826e22d7-d029-4ec0-a450-0c28ff673572;#50;#HR|2f555653-ed1a-4fe6-8362-9082d95989e5;#12;#FR|d2afafd3-4c81-4f60-8f52-ee33f2f54ff3;#46;#SK|46d9fce0-ef79-4f71-b89b-cd6aa82426b8;#8;#Final|ea5e6674-7b27-4bac-b091-73adbb394efe;#5;#EN|f2175f21-25d7-44a3-96da-d6a61b075e1b;#39;#LV|46f7e311-5d9f-4663-b433-18aeccb7ace7;#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2534</vt:i4>
  </property>
  <property fmtid="{D5CDD505-2E9C-101B-9397-08002B2CF9AE}" pid="37" name="DocumentLanguage">
    <vt:lpwstr>33;#PT|50ccc04a-eadd-42ae-a0cb-acaf45f812ba</vt:lpwstr>
  </property>
</Properties>
</file>