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A440C" w:rsidR="004D7AC0" w:rsidP="008E7DE8" w:rsidRDefault="006E14B4" w14:paraId="4982DD4D" w14:textId="3F2034C1">
      <w:pPr>
        <w:jc w:val="center"/>
      </w:pPr>
      <w:r w:rsidRPr="00BA440C">
        <w:drawing>
          <wp:inline distT="0" distB="0" distL="0" distR="0" wp14:anchorId="37A6200A" wp14:editId="75044035">
            <wp:extent cx="1792605" cy="1239520"/>
            <wp:effectExtent l="0" t="0" r="0" b="0"/>
            <wp:docPr id="1" name="Picture 1" title="EESCLogo_PL"/>
            <wp:cNvGraphicFramePr/>
            <a:graphic xmlns:a="http://schemas.openxmlformats.org/drawingml/2006/main">
              <a:graphicData uri="http://schemas.openxmlformats.org/drawingml/2006/picture">
                <pic:pic xmlns:pic="http://schemas.openxmlformats.org/drawingml/2006/picture">
                  <pic:nvPicPr>
                    <pic:cNvPr id="1" name="Picture 1" title="EESCLogo_PL"/>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Pr="00BA440C" w:rsidR="004D7AC0">
        <w:rPr>
          <w:b/>
          <w:sz w:val="20"/>
        </w:rPr>
        <mc:AlternateContent>
          <mc:Choice Requires="wps">
            <w:drawing>
              <wp:anchor distT="0" distB="0" distL="114300" distR="114300" simplePos="0" relativeHeight="251659264" behindDoc="1" locked="0" layoutInCell="0" allowOverlap="1" wp14:editId="5194A18F" wp14:anchorId="4B97899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A440C" w:rsidR="0018354A" w:rsidRDefault="0018354A" w14:paraId="40261324" w14:textId="77777777">
                            <w:pPr>
                              <w:jc w:val="center"/>
                              <w:rPr>
                                <w:rFonts w:ascii="Arial" w:hAnsi="Arial" w:cs="Arial"/>
                                <w:b/>
                                <w:bCs/>
                                <w:sz w:val="48"/>
                              </w:rPr>
                            </w:pPr>
                            <w:r w:rsidRPr="00BA440C">
                              <w:rPr>
                                <w:rFonts w:ascii="Arial" w:hAnsi="Arial"/>
                                <w:b/>
                                <w:sz w:val="48"/>
                              </w:rPr>
                              <w:t>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B978990">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BA440C" w:rsidR="0018354A" w:rsidRDefault="0018354A" w14:paraId="40261324" w14:textId="77777777">
                      <w:pPr>
                        <w:jc w:val="center"/>
                        <w:rPr>
                          <w:rFonts w:ascii="Arial" w:hAnsi="Arial" w:cs="Arial"/>
                          <w:b/>
                          <w:bCs/>
                          <w:sz w:val="48"/>
                        </w:rPr>
                      </w:pPr>
                      <w:r w:rsidRPr="00BA440C">
                        <w:rPr>
                          <w:rFonts w:ascii="Arial" w:hAnsi="Arial"/>
                          <w:b/>
                          <w:sz w:val="48"/>
                        </w:rPr>
                        <w:t>PL</w:t>
                      </w:r>
                    </w:p>
                  </w:txbxContent>
                </v:textbox>
                <w10:wrap anchorx="page" anchory="page"/>
              </v:shape>
            </w:pict>
          </mc:Fallback>
        </mc:AlternateContent>
      </w:r>
    </w:p>
    <w:p w:rsidRPr="00BA440C" w:rsidR="004D7AC0" w:rsidP="008E7DE8" w:rsidRDefault="004D7AC0" w14:paraId="4982DD4E" w14:textId="77777777"/>
    <w:p w:rsidRPr="00BA440C" w:rsidR="004D7AC0" w:rsidP="008E7DE8" w:rsidRDefault="004D7AC0" w14:paraId="4982DD4F" w14:textId="6D24C8E5">
      <w:pPr>
        <w:jc w:val="right"/>
      </w:pPr>
      <w:r w:rsidRPr="00BA440C">
        <w:t>Bruksela, 14 marca 2025 r.</w:t>
      </w:r>
    </w:p>
    <w:p w:rsidR="004D7AC0" w:rsidP="008E7DE8" w:rsidRDefault="004D7AC0" w14:paraId="4982DD50" w14:textId="645CA38B"/>
    <w:p w:rsidRPr="00BA440C" w:rsidR="00BA440C" w:rsidP="008E7DE8" w:rsidRDefault="00BA440C" w14:paraId="50FAFC90" w14:textId="77777777"/>
    <w:p w:rsidRPr="00BA440C" w:rsidR="004D7AC0" w:rsidP="008E7DE8" w:rsidRDefault="004D7AC0" w14:paraId="4982DD51" w14:textId="77777777"/>
    <w:p w:rsidRPr="00BA440C" w:rsidR="004D7AC0" w:rsidP="008E7DE8" w:rsidRDefault="004D7AC0" w14:paraId="4982DD52" w14:textId="77777777"/>
    <w:tbl>
      <w:tblPr>
        <w:tblW w:w="0" w:type="auto"/>
        <w:tblLook w:val="04A0" w:firstRow="1" w:lastRow="0" w:firstColumn="1" w:lastColumn="0" w:noHBand="0" w:noVBand="1"/>
      </w:tblPr>
      <w:tblGrid>
        <w:gridCol w:w="9289"/>
      </w:tblGrid>
      <w:tr w:rsidRPr="00BA440C" w:rsidR="004D7AC0" w:rsidTr="00600C84" w14:paraId="4982DD59" w14:textId="77777777">
        <w:tc>
          <w:tcPr>
            <w:tcW w:w="9289" w:type="dxa"/>
            <w:tcBorders>
              <w:bottom w:val="double" w:color="auto" w:sz="4" w:space="0"/>
            </w:tcBorders>
          </w:tcPr>
          <w:p w:rsidRPr="00BA440C" w:rsidR="003066BE" w:rsidP="008E7DE8" w:rsidRDefault="006C6ECE" w14:paraId="4982DD53" w14:textId="527E0554">
            <w:pPr>
              <w:snapToGrid w:val="0"/>
              <w:jc w:val="center"/>
              <w:rPr>
                <w:b/>
                <w:sz w:val="32"/>
                <w:szCs w:val="32"/>
              </w:rPr>
            </w:pPr>
            <w:r w:rsidRPr="00BA440C">
              <w:rPr>
                <w:b/>
                <w:sz w:val="32"/>
              </w:rPr>
              <w:t>594. SESJA PLENARNA</w:t>
            </w:r>
          </w:p>
          <w:p w:rsidRPr="00BA440C" w:rsidR="003066BE" w:rsidP="008E7DE8" w:rsidRDefault="003066BE" w14:paraId="4982DD54" w14:textId="77777777">
            <w:pPr>
              <w:snapToGrid w:val="0"/>
              <w:jc w:val="center"/>
              <w:rPr>
                <w:b/>
                <w:sz w:val="32"/>
                <w:szCs w:val="32"/>
              </w:rPr>
            </w:pPr>
          </w:p>
          <w:p w:rsidRPr="00BA440C" w:rsidR="003066BE" w:rsidP="008E7DE8" w:rsidRDefault="00850929" w14:paraId="4982DD55" w14:textId="094CA4B9">
            <w:pPr>
              <w:snapToGrid w:val="0"/>
              <w:jc w:val="center"/>
              <w:rPr>
                <w:b/>
                <w:sz w:val="32"/>
                <w:szCs w:val="32"/>
              </w:rPr>
            </w:pPr>
            <w:r w:rsidRPr="00BA440C">
              <w:rPr>
                <w:b/>
                <w:sz w:val="32"/>
              </w:rPr>
              <w:t>26 i 27 lutego 2025 r.</w:t>
            </w:r>
          </w:p>
          <w:p w:rsidRPr="00BA440C" w:rsidR="003066BE" w:rsidP="008E7DE8" w:rsidRDefault="003066BE" w14:paraId="4982DD56" w14:textId="77777777">
            <w:pPr>
              <w:snapToGrid w:val="0"/>
              <w:jc w:val="center"/>
              <w:rPr>
                <w:b/>
                <w:sz w:val="32"/>
                <w:szCs w:val="32"/>
              </w:rPr>
            </w:pPr>
          </w:p>
          <w:p w:rsidRPr="00BA440C" w:rsidR="004D7AC0" w:rsidP="008E7DE8" w:rsidRDefault="00754027" w14:paraId="4982DD57" w14:textId="318AA491">
            <w:pPr>
              <w:snapToGrid w:val="0"/>
              <w:jc w:val="center"/>
              <w:rPr>
                <w:rFonts w:eastAsia="MS Mincho"/>
                <w:b/>
                <w:sz w:val="32"/>
                <w:szCs w:val="32"/>
              </w:rPr>
            </w:pPr>
            <w:r w:rsidRPr="00BA440C">
              <w:rPr>
                <w:b/>
                <w:sz w:val="32"/>
              </w:rPr>
              <w:t xml:space="preserve">STRESZCZENIE PRZYJĘTYCH OPINII, REZOLUCJI </w:t>
            </w:r>
            <w:r w:rsidRPr="00BA440C" w:rsidR="004E492E">
              <w:rPr>
                <w:b/>
                <w:sz w:val="32"/>
              </w:rPr>
              <w:br/>
            </w:r>
            <w:r w:rsidRPr="00BA440C">
              <w:rPr>
                <w:b/>
                <w:sz w:val="32"/>
              </w:rPr>
              <w:t>ORAZ RAPORTÓW INFORMACYJNYCH/</w:t>
            </w:r>
            <w:r w:rsidRPr="00BA440C" w:rsidR="004E492E">
              <w:rPr>
                <w:b/>
                <w:sz w:val="32"/>
              </w:rPr>
              <w:br/>
            </w:r>
            <w:r w:rsidRPr="00BA440C">
              <w:rPr>
                <w:b/>
                <w:sz w:val="32"/>
              </w:rPr>
              <w:t>RAPORTÓW Z OCENY</w:t>
            </w:r>
          </w:p>
          <w:p w:rsidRPr="00BA440C" w:rsidR="004D7AC0" w:rsidP="008E7DE8" w:rsidRDefault="004D7AC0" w14:paraId="4982DD58" w14:textId="77777777">
            <w:pPr>
              <w:snapToGrid w:val="0"/>
            </w:pPr>
          </w:p>
        </w:tc>
      </w:tr>
      <w:tr w:rsidRPr="00BA440C"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Pr="00BA440C" w:rsidR="00CF7E15" w:rsidP="008E7DE8" w:rsidRDefault="00CF7E15" w14:paraId="207DF593" w14:textId="77777777">
            <w:pPr>
              <w:snapToGrid w:val="0"/>
              <w:jc w:val="center"/>
            </w:pPr>
          </w:p>
          <w:p w:rsidRPr="00BA440C" w:rsidR="00726351" w:rsidP="008E7DE8" w:rsidRDefault="004D7AC0" w14:paraId="05F5C867" w14:textId="1B42CFD0">
            <w:pPr>
              <w:snapToGrid w:val="0"/>
              <w:jc w:val="center"/>
            </w:pPr>
            <w:r w:rsidRPr="00BA440C">
              <w:t xml:space="preserve">Niniejszy dokument jest dostępny w językach urzędowych Unii Europejskiej </w:t>
            </w:r>
            <w:r w:rsidRPr="00BA440C" w:rsidR="00CF7E15">
              <w:br/>
            </w:r>
            <w:r w:rsidRPr="00BA440C">
              <w:t>na stronie internetowej EKES-u pod adresem:</w:t>
            </w:r>
          </w:p>
          <w:p w:rsidRPr="00BA440C" w:rsidR="00726351" w:rsidP="008E7DE8" w:rsidRDefault="00726351" w14:paraId="65F2BC50" w14:textId="77777777">
            <w:pPr>
              <w:snapToGrid w:val="0"/>
              <w:jc w:val="center"/>
            </w:pPr>
          </w:p>
          <w:p w:rsidRPr="00BA440C" w:rsidR="004D7AC0" w:rsidP="008E7DE8" w:rsidRDefault="00F220BF" w14:paraId="4982DD5A" w14:textId="4DF10D40">
            <w:pPr>
              <w:snapToGrid w:val="0"/>
              <w:jc w:val="center"/>
            </w:pPr>
            <w:hyperlink w:history="1" r:id="rId13">
              <w:r w:rsidRPr="00BA440C" w:rsidR="006E14B4">
                <w:rPr>
                  <w:rStyle w:val="Hyperlink"/>
                </w:rPr>
                <w:t>https://www.eesc.europa.eu/pl/our-work/opinions-information-reports/plenary-session-summaries</w:t>
              </w:r>
            </w:hyperlink>
          </w:p>
          <w:p w:rsidRPr="00BA440C" w:rsidR="004D7AC0" w:rsidP="008E7DE8" w:rsidRDefault="004D7AC0" w14:paraId="4982DD5B" w14:textId="77777777">
            <w:pPr>
              <w:snapToGrid w:val="0"/>
              <w:jc w:val="center"/>
            </w:pPr>
          </w:p>
          <w:p w:rsidRPr="00BA440C" w:rsidR="004D7AC0" w:rsidP="008E7DE8" w:rsidRDefault="004D7AC0" w14:paraId="4982DD5C" w14:textId="77777777">
            <w:pPr>
              <w:snapToGrid w:val="0"/>
              <w:jc w:val="center"/>
              <w:rPr>
                <w:rFonts w:eastAsia="SimSun"/>
              </w:rPr>
            </w:pPr>
          </w:p>
          <w:p w:rsidRPr="00BA440C" w:rsidR="00726351" w:rsidP="008E7DE8" w:rsidRDefault="004D7AC0" w14:paraId="64A40D96" w14:textId="6D2B1602">
            <w:pPr>
              <w:snapToGrid w:val="0"/>
              <w:jc w:val="center"/>
            </w:pPr>
            <w:r w:rsidRPr="00BA440C">
              <w:t xml:space="preserve">Niżej wymienione opinie można także znaleźć w formie elektronicznej </w:t>
            </w:r>
            <w:r w:rsidRPr="00BA440C" w:rsidR="00CF7E15">
              <w:br/>
            </w:r>
            <w:r w:rsidRPr="00BA440C">
              <w:t>za pomocą internetowej wyszukiwarki EKES-u:</w:t>
            </w:r>
          </w:p>
          <w:p w:rsidRPr="00BA440C" w:rsidR="00726351" w:rsidP="008E7DE8" w:rsidRDefault="00726351" w14:paraId="0E196128" w14:textId="77777777">
            <w:pPr>
              <w:snapToGrid w:val="0"/>
              <w:jc w:val="center"/>
            </w:pPr>
          </w:p>
          <w:p w:rsidRPr="00BA440C" w:rsidR="004D7AC0" w:rsidP="008E7DE8" w:rsidRDefault="00F220BF" w14:paraId="4982DD5D" w14:textId="339632B5">
            <w:pPr>
              <w:snapToGrid w:val="0"/>
              <w:jc w:val="center"/>
            </w:pPr>
            <w:hyperlink w:history="1" r:id="rId14">
              <w:r w:rsidRPr="00BA440C" w:rsidR="006E14B4">
                <w:rPr>
                  <w:rStyle w:val="Hyperlink"/>
                </w:rPr>
                <w:t>https://dmsearch.eesc.europa.eu/search/opinion</w:t>
              </w:r>
            </w:hyperlink>
          </w:p>
          <w:p w:rsidRPr="00BA440C" w:rsidR="004D7AC0" w:rsidP="008E7DE8" w:rsidRDefault="004D7AC0" w14:paraId="4982DD5E" w14:textId="77777777">
            <w:pPr>
              <w:snapToGrid w:val="0"/>
              <w:jc w:val="center"/>
            </w:pPr>
          </w:p>
        </w:tc>
      </w:tr>
    </w:tbl>
    <w:p w:rsidRPr="00BA440C" w:rsidR="004D7AC0" w:rsidP="008E7DE8" w:rsidRDefault="004D7AC0" w14:paraId="4982DD61" w14:textId="77777777"/>
    <w:p w:rsidRPr="00BA440C" w:rsidR="004D7AC0" w:rsidP="008E7DE8" w:rsidRDefault="004D7AC0" w14:paraId="4982DD62" w14:textId="77777777">
      <w:pPr>
        <w:sectPr w:rsidRPr="00BA440C" w:rsidR="004D7AC0" w:rsidSect="00BA440C">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BA440C" w:rsidR="004D7AC0" w:rsidP="008E7DE8" w:rsidRDefault="004D7AC0" w14:paraId="4982DD63" w14:textId="77777777">
      <w:pPr>
        <w:rPr>
          <w:b/>
        </w:rPr>
      </w:pPr>
      <w:r w:rsidRPr="00BA440C">
        <w:rPr>
          <w:b/>
        </w:rPr>
        <w:lastRenderedPageBreak/>
        <w:t>Spis treści:</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rPr>
      </w:sdtEndPr>
      <w:sdtContent>
        <w:p w:rsidRPr="00BA440C" w:rsidR="004D7AC0" w:rsidP="008E7DE8" w:rsidRDefault="004D7AC0" w14:paraId="4982DD64" w14:textId="77777777">
          <w:pPr>
            <w:pStyle w:val="TOCHeading"/>
            <w:spacing w:before="0" w:line="288" w:lineRule="auto"/>
            <w:rPr>
              <w:rFonts w:ascii="Times New Roman" w:hAnsi="Times New Roman" w:cs="Times New Roman"/>
              <w:color w:val="auto"/>
              <w:sz w:val="22"/>
              <w:szCs w:val="22"/>
            </w:rPr>
          </w:pPr>
        </w:p>
        <w:p w:rsidR="00DB0EC9" w:rsidP="00DB0EC9" w:rsidRDefault="004D7AC0" w14:paraId="504E3CB8" w14:textId="1C693C9F">
          <w:pPr>
            <w:pStyle w:val="TOC1"/>
            <w:tabs>
              <w:tab w:val="right" w:leader="dot" w:pos="9063"/>
            </w:tabs>
            <w:ind w:left="567" w:hanging="567"/>
            <w:rPr>
              <w:rFonts w:asciiTheme="minorHAnsi" w:hAnsiTheme="minorHAnsi" w:eastAsiaTheme="minorEastAsia" w:cstheme="minorBidi"/>
              <w:noProof/>
              <w:lang w:val="en-US"/>
            </w:rPr>
          </w:pPr>
          <w:r w:rsidRPr="00BA440C">
            <w:fldChar w:fldCharType="begin"/>
          </w:r>
          <w:r w:rsidRPr="00BA440C">
            <w:instrText xml:space="preserve"> TOC \o "1-3" \h \z \u </w:instrText>
          </w:r>
          <w:r w:rsidRPr="00BA440C">
            <w:fldChar w:fldCharType="separate"/>
          </w:r>
          <w:hyperlink w:history="1" w:anchor="_Toc192768378">
            <w:r w:rsidRPr="00E963DC" w:rsidR="00DB0EC9">
              <w:rPr>
                <w:rStyle w:val="Hyperlink"/>
                <w:bCs/>
                <w:noProof/>
              </w:rPr>
              <w:t>1.</w:t>
            </w:r>
            <w:r w:rsidR="00DB0EC9">
              <w:rPr>
                <w:rFonts w:asciiTheme="minorHAnsi" w:hAnsiTheme="minorHAnsi" w:eastAsiaTheme="minorEastAsia" w:cstheme="minorBidi"/>
                <w:noProof/>
                <w:lang w:val="en-US"/>
              </w:rPr>
              <w:tab/>
            </w:r>
            <w:r w:rsidRPr="00E963DC" w:rsidR="00DB0EC9">
              <w:rPr>
                <w:rStyle w:val="Hyperlink"/>
                <w:b/>
                <w:noProof/>
              </w:rPr>
              <w:t>UNIA GOSPODARCZA I WALUTOWA ORAZ SPÓJNOŚĆ GOSPODARCZA I SPOŁECZNA</w:t>
            </w:r>
            <w:r w:rsidR="00DB0EC9">
              <w:rPr>
                <w:noProof/>
                <w:webHidden/>
              </w:rPr>
              <w:tab/>
            </w:r>
            <w:r w:rsidR="00DB0EC9">
              <w:rPr>
                <w:noProof/>
                <w:webHidden/>
              </w:rPr>
              <w:fldChar w:fldCharType="begin"/>
            </w:r>
            <w:r w:rsidR="00DB0EC9">
              <w:rPr>
                <w:noProof/>
                <w:webHidden/>
              </w:rPr>
              <w:instrText xml:space="preserve"> PAGEREF _Toc192768378 \h </w:instrText>
            </w:r>
            <w:r w:rsidR="00DB0EC9">
              <w:rPr>
                <w:noProof/>
                <w:webHidden/>
              </w:rPr>
            </w:r>
            <w:r w:rsidR="00DB0EC9">
              <w:rPr>
                <w:noProof/>
                <w:webHidden/>
              </w:rPr>
              <w:fldChar w:fldCharType="separate"/>
            </w:r>
            <w:r w:rsidR="00DB0EC9">
              <w:rPr>
                <w:noProof/>
                <w:webHidden/>
              </w:rPr>
              <w:t>3</w:t>
            </w:r>
            <w:r w:rsidR="00DB0EC9">
              <w:rPr>
                <w:noProof/>
                <w:webHidden/>
              </w:rPr>
              <w:fldChar w:fldCharType="end"/>
            </w:r>
          </w:hyperlink>
        </w:p>
        <w:p w:rsidR="00DB0EC9" w:rsidP="00DB0EC9" w:rsidRDefault="00DB0EC9" w14:paraId="647C2C9E" w14:textId="2DB41904">
          <w:pPr>
            <w:pStyle w:val="TOC1"/>
            <w:tabs>
              <w:tab w:val="right" w:leader="dot" w:pos="9063"/>
            </w:tabs>
            <w:ind w:left="567" w:hanging="567"/>
            <w:rPr>
              <w:rFonts w:asciiTheme="minorHAnsi" w:hAnsiTheme="minorHAnsi" w:eastAsiaTheme="minorEastAsia" w:cstheme="minorBidi"/>
              <w:noProof/>
              <w:lang w:val="en-US"/>
            </w:rPr>
          </w:pPr>
          <w:hyperlink w:history="1" w:anchor="_Toc192768379">
            <w:r w:rsidRPr="00E963DC">
              <w:rPr>
                <w:rStyle w:val="Hyperlink"/>
                <w:bCs/>
                <w:noProof/>
              </w:rPr>
              <w:t>2.</w:t>
            </w:r>
            <w:r>
              <w:rPr>
                <w:rFonts w:asciiTheme="minorHAnsi" w:hAnsiTheme="minorHAnsi" w:eastAsiaTheme="minorEastAsia" w:cstheme="minorBidi"/>
                <w:noProof/>
                <w:lang w:val="en-US"/>
              </w:rPr>
              <w:tab/>
            </w:r>
            <w:r w:rsidRPr="00E963DC">
              <w:rPr>
                <w:rStyle w:val="Hyperlink"/>
                <w:b/>
                <w:noProof/>
              </w:rPr>
              <w:t>ZATRUDNIENIE, SPRAWY SPOŁECZNE I OBYWATELSTWO</w:t>
            </w:r>
            <w:r>
              <w:rPr>
                <w:noProof/>
                <w:webHidden/>
              </w:rPr>
              <w:tab/>
            </w:r>
            <w:r>
              <w:rPr>
                <w:noProof/>
                <w:webHidden/>
              </w:rPr>
              <w:fldChar w:fldCharType="begin"/>
            </w:r>
            <w:r>
              <w:rPr>
                <w:noProof/>
                <w:webHidden/>
              </w:rPr>
              <w:instrText xml:space="preserve"> PAGEREF _Toc192768379 \h </w:instrText>
            </w:r>
            <w:r>
              <w:rPr>
                <w:noProof/>
                <w:webHidden/>
              </w:rPr>
            </w:r>
            <w:r>
              <w:rPr>
                <w:noProof/>
                <w:webHidden/>
              </w:rPr>
              <w:fldChar w:fldCharType="separate"/>
            </w:r>
            <w:r>
              <w:rPr>
                <w:noProof/>
                <w:webHidden/>
              </w:rPr>
              <w:t>10</w:t>
            </w:r>
            <w:r>
              <w:rPr>
                <w:noProof/>
                <w:webHidden/>
              </w:rPr>
              <w:fldChar w:fldCharType="end"/>
            </w:r>
          </w:hyperlink>
        </w:p>
        <w:p w:rsidR="00DB0EC9" w:rsidP="00DB0EC9" w:rsidRDefault="00DB0EC9" w14:paraId="0AC89812" w14:textId="471D6C33">
          <w:pPr>
            <w:pStyle w:val="TOC1"/>
            <w:tabs>
              <w:tab w:val="right" w:leader="dot" w:pos="9063"/>
            </w:tabs>
            <w:ind w:left="567" w:hanging="567"/>
            <w:rPr>
              <w:rFonts w:asciiTheme="minorHAnsi" w:hAnsiTheme="minorHAnsi" w:eastAsiaTheme="minorEastAsia" w:cstheme="minorBidi"/>
              <w:noProof/>
              <w:lang w:val="en-US"/>
            </w:rPr>
          </w:pPr>
          <w:hyperlink w:history="1" w:anchor="_Toc192768380">
            <w:r w:rsidRPr="00E963DC">
              <w:rPr>
                <w:rStyle w:val="Hyperlink"/>
                <w:bCs/>
                <w:noProof/>
              </w:rPr>
              <w:t>3.</w:t>
            </w:r>
            <w:r>
              <w:rPr>
                <w:rFonts w:asciiTheme="minorHAnsi" w:hAnsiTheme="minorHAnsi" w:eastAsiaTheme="minorEastAsia" w:cstheme="minorBidi"/>
                <w:noProof/>
                <w:lang w:val="en-US"/>
              </w:rPr>
              <w:tab/>
            </w:r>
            <w:r w:rsidRPr="00E963DC">
              <w:rPr>
                <w:rStyle w:val="Hyperlink"/>
                <w:b/>
                <w:noProof/>
              </w:rPr>
              <w:t>TRANSPORT, ENERGIA, INFRASTRUKTURA I SPOŁECZEŃSTWO INFORMACYJNE</w:t>
            </w:r>
            <w:r>
              <w:rPr>
                <w:noProof/>
                <w:webHidden/>
              </w:rPr>
              <w:tab/>
            </w:r>
            <w:r>
              <w:rPr>
                <w:noProof/>
                <w:webHidden/>
              </w:rPr>
              <w:fldChar w:fldCharType="begin"/>
            </w:r>
            <w:r>
              <w:rPr>
                <w:noProof/>
                <w:webHidden/>
              </w:rPr>
              <w:instrText xml:space="preserve"> PAGEREF _Toc192768380 \h </w:instrText>
            </w:r>
            <w:r>
              <w:rPr>
                <w:noProof/>
                <w:webHidden/>
              </w:rPr>
            </w:r>
            <w:r>
              <w:rPr>
                <w:noProof/>
                <w:webHidden/>
              </w:rPr>
              <w:fldChar w:fldCharType="separate"/>
            </w:r>
            <w:r>
              <w:rPr>
                <w:noProof/>
                <w:webHidden/>
              </w:rPr>
              <w:t>16</w:t>
            </w:r>
            <w:r>
              <w:rPr>
                <w:noProof/>
                <w:webHidden/>
              </w:rPr>
              <w:fldChar w:fldCharType="end"/>
            </w:r>
          </w:hyperlink>
        </w:p>
        <w:p w:rsidR="00DB0EC9" w:rsidP="00DB0EC9" w:rsidRDefault="00DB0EC9" w14:paraId="4C7EA8E1" w14:textId="25177D07">
          <w:pPr>
            <w:pStyle w:val="TOC1"/>
            <w:tabs>
              <w:tab w:val="right" w:leader="dot" w:pos="9063"/>
            </w:tabs>
            <w:ind w:left="567" w:hanging="567"/>
            <w:rPr>
              <w:rFonts w:asciiTheme="minorHAnsi" w:hAnsiTheme="minorHAnsi" w:eastAsiaTheme="minorEastAsia" w:cstheme="minorBidi"/>
              <w:noProof/>
              <w:lang w:val="en-US"/>
            </w:rPr>
          </w:pPr>
          <w:hyperlink w:history="1" w:anchor="_Toc192768381">
            <w:r w:rsidRPr="00E963DC">
              <w:rPr>
                <w:rStyle w:val="Hyperlink"/>
                <w:bCs/>
                <w:noProof/>
              </w:rPr>
              <w:t>4.</w:t>
            </w:r>
            <w:r>
              <w:rPr>
                <w:rFonts w:asciiTheme="minorHAnsi" w:hAnsiTheme="minorHAnsi" w:eastAsiaTheme="minorEastAsia" w:cstheme="minorBidi"/>
                <w:noProof/>
                <w:lang w:val="en-US"/>
              </w:rPr>
              <w:tab/>
            </w:r>
            <w:r w:rsidRPr="00E963DC">
              <w:rPr>
                <w:rStyle w:val="Hyperlink"/>
                <w:b/>
                <w:noProof/>
              </w:rPr>
              <w:t>JEDNOLITY RYNEK, PRODUKCJA I KONSUMPCJA</w:t>
            </w:r>
            <w:r>
              <w:rPr>
                <w:noProof/>
                <w:webHidden/>
              </w:rPr>
              <w:tab/>
            </w:r>
            <w:r>
              <w:rPr>
                <w:noProof/>
                <w:webHidden/>
              </w:rPr>
              <w:fldChar w:fldCharType="begin"/>
            </w:r>
            <w:r>
              <w:rPr>
                <w:noProof/>
                <w:webHidden/>
              </w:rPr>
              <w:instrText xml:space="preserve"> PAGEREF _Toc192768381 \h </w:instrText>
            </w:r>
            <w:r>
              <w:rPr>
                <w:noProof/>
                <w:webHidden/>
              </w:rPr>
            </w:r>
            <w:r>
              <w:rPr>
                <w:noProof/>
                <w:webHidden/>
              </w:rPr>
              <w:fldChar w:fldCharType="separate"/>
            </w:r>
            <w:r>
              <w:rPr>
                <w:noProof/>
                <w:webHidden/>
              </w:rPr>
              <w:t>17</w:t>
            </w:r>
            <w:r>
              <w:rPr>
                <w:noProof/>
                <w:webHidden/>
              </w:rPr>
              <w:fldChar w:fldCharType="end"/>
            </w:r>
          </w:hyperlink>
        </w:p>
        <w:p w:rsidR="00DB0EC9" w:rsidP="00DB0EC9" w:rsidRDefault="00DB0EC9" w14:paraId="32219E60" w14:textId="19D818CE">
          <w:pPr>
            <w:pStyle w:val="TOC1"/>
            <w:tabs>
              <w:tab w:val="right" w:leader="dot" w:pos="9063"/>
            </w:tabs>
            <w:ind w:left="567" w:hanging="567"/>
            <w:rPr>
              <w:rFonts w:asciiTheme="minorHAnsi" w:hAnsiTheme="minorHAnsi" w:eastAsiaTheme="minorEastAsia" w:cstheme="minorBidi"/>
              <w:noProof/>
              <w:lang w:val="en-US"/>
            </w:rPr>
          </w:pPr>
          <w:hyperlink w:history="1" w:anchor="_Toc192768382">
            <w:r w:rsidRPr="00E963DC">
              <w:rPr>
                <w:rStyle w:val="Hyperlink"/>
                <w:bCs/>
                <w:noProof/>
              </w:rPr>
              <w:t>5.</w:t>
            </w:r>
            <w:r>
              <w:rPr>
                <w:rFonts w:asciiTheme="minorHAnsi" w:hAnsiTheme="minorHAnsi" w:eastAsiaTheme="minorEastAsia" w:cstheme="minorBidi"/>
                <w:noProof/>
                <w:lang w:val="en-US"/>
              </w:rPr>
              <w:tab/>
            </w:r>
            <w:r w:rsidRPr="00E963DC">
              <w:rPr>
                <w:rStyle w:val="Hyperlink"/>
                <w:b/>
                <w:noProof/>
              </w:rPr>
              <w:t>ROLNICTWO, ROZWÓJ WSI I ŚRODOWISKO NATURALNE</w:t>
            </w:r>
            <w:r>
              <w:rPr>
                <w:noProof/>
                <w:webHidden/>
              </w:rPr>
              <w:tab/>
            </w:r>
            <w:r>
              <w:rPr>
                <w:noProof/>
                <w:webHidden/>
              </w:rPr>
              <w:fldChar w:fldCharType="begin"/>
            </w:r>
            <w:r>
              <w:rPr>
                <w:noProof/>
                <w:webHidden/>
              </w:rPr>
              <w:instrText xml:space="preserve"> PAGEREF _Toc192768382 \h </w:instrText>
            </w:r>
            <w:r>
              <w:rPr>
                <w:noProof/>
                <w:webHidden/>
              </w:rPr>
            </w:r>
            <w:r>
              <w:rPr>
                <w:noProof/>
                <w:webHidden/>
              </w:rPr>
              <w:fldChar w:fldCharType="separate"/>
            </w:r>
            <w:r>
              <w:rPr>
                <w:noProof/>
                <w:webHidden/>
              </w:rPr>
              <w:t>24</w:t>
            </w:r>
            <w:r>
              <w:rPr>
                <w:noProof/>
                <w:webHidden/>
              </w:rPr>
              <w:fldChar w:fldCharType="end"/>
            </w:r>
          </w:hyperlink>
        </w:p>
        <w:p w:rsidR="00DB0EC9" w:rsidP="00DB0EC9" w:rsidRDefault="00DB0EC9" w14:paraId="4EC58C29" w14:textId="2D470B16">
          <w:pPr>
            <w:pStyle w:val="TOC1"/>
            <w:tabs>
              <w:tab w:val="right" w:leader="dot" w:pos="9063"/>
            </w:tabs>
            <w:ind w:left="567" w:hanging="567"/>
            <w:rPr>
              <w:rFonts w:asciiTheme="minorHAnsi" w:hAnsiTheme="minorHAnsi" w:eastAsiaTheme="minorEastAsia" w:cstheme="minorBidi"/>
              <w:noProof/>
              <w:lang w:val="en-US"/>
            </w:rPr>
          </w:pPr>
          <w:hyperlink w:history="1" w:anchor="_Toc192768383">
            <w:r w:rsidRPr="00E963DC">
              <w:rPr>
                <w:rStyle w:val="Hyperlink"/>
                <w:bCs/>
                <w:noProof/>
              </w:rPr>
              <w:t>6.</w:t>
            </w:r>
            <w:r>
              <w:rPr>
                <w:rFonts w:asciiTheme="minorHAnsi" w:hAnsiTheme="minorHAnsi" w:eastAsiaTheme="minorEastAsia" w:cstheme="minorBidi"/>
                <w:noProof/>
                <w:lang w:val="en-US"/>
              </w:rPr>
              <w:tab/>
            </w:r>
            <w:r w:rsidRPr="00E963DC">
              <w:rPr>
                <w:rStyle w:val="Hyperlink"/>
                <w:b/>
                <w:noProof/>
              </w:rPr>
              <w:t>KOMISJA KONSULTACYJNA DS. PRZEMIAN W PRZEMYŚLE</w:t>
            </w:r>
            <w:r>
              <w:rPr>
                <w:noProof/>
                <w:webHidden/>
              </w:rPr>
              <w:tab/>
            </w:r>
            <w:r>
              <w:rPr>
                <w:noProof/>
                <w:webHidden/>
              </w:rPr>
              <w:fldChar w:fldCharType="begin"/>
            </w:r>
            <w:r>
              <w:rPr>
                <w:noProof/>
                <w:webHidden/>
              </w:rPr>
              <w:instrText xml:space="preserve"> PAGEREF _Toc192768383 \h </w:instrText>
            </w:r>
            <w:r>
              <w:rPr>
                <w:noProof/>
                <w:webHidden/>
              </w:rPr>
            </w:r>
            <w:r>
              <w:rPr>
                <w:noProof/>
                <w:webHidden/>
              </w:rPr>
              <w:fldChar w:fldCharType="separate"/>
            </w:r>
            <w:r>
              <w:rPr>
                <w:noProof/>
                <w:webHidden/>
              </w:rPr>
              <w:t>26</w:t>
            </w:r>
            <w:r>
              <w:rPr>
                <w:noProof/>
                <w:webHidden/>
              </w:rPr>
              <w:fldChar w:fldCharType="end"/>
            </w:r>
          </w:hyperlink>
        </w:p>
        <w:p w:rsidRPr="00BA440C" w:rsidR="004D7AC0" w:rsidP="008E7DE8" w:rsidRDefault="004D7AC0" w14:paraId="4982DD6A" w14:textId="0B9EDF15">
          <w:r w:rsidRPr="00BA440C">
            <w:rPr>
              <w:b/>
            </w:rPr>
            <w:fldChar w:fldCharType="end"/>
          </w:r>
        </w:p>
      </w:sdtContent>
    </w:sdt>
    <w:p w:rsidRPr="00BA440C" w:rsidR="004D7AC0" w:rsidP="008E7DE8" w:rsidRDefault="004D7AC0" w14:paraId="4982DD6C" w14:textId="77777777">
      <w:pPr>
        <w:jc w:val="left"/>
      </w:pPr>
      <w:r w:rsidRPr="00BA440C">
        <w:br w:type="page"/>
      </w:r>
    </w:p>
    <w:p w:rsidRPr="00BA440C" w:rsidR="004D7AC0" w:rsidP="008E7DE8" w:rsidRDefault="004D7AC0" w14:paraId="4982DD6D" w14:textId="12C6281F">
      <w:pPr>
        <w:pStyle w:val="Heading1"/>
        <w:suppressAutoHyphens/>
        <w:rPr>
          <w:b/>
        </w:rPr>
      </w:pPr>
      <w:bookmarkStart w:name="_Toc192768378" w:id="0"/>
      <w:r w:rsidRPr="00BA440C">
        <w:rPr>
          <w:b/>
        </w:rPr>
        <w:lastRenderedPageBreak/>
        <w:t>UNIA GOSPODARCZA I WALUTOWA ORAZ SPÓJNOŚĆ GOSPODARCZA I</w:t>
      </w:r>
      <w:r w:rsidR="00BA440C">
        <w:rPr>
          <w:b/>
        </w:rPr>
        <w:t> </w:t>
      </w:r>
      <w:r w:rsidRPr="00BA440C">
        <w:rPr>
          <w:b/>
        </w:rPr>
        <w:t>SPOŁECZNA</w:t>
      </w:r>
      <w:bookmarkEnd w:id="0"/>
    </w:p>
    <w:p w:rsidRPr="00BA440C" w:rsidR="004D7AC0" w:rsidP="008E7DE8" w:rsidRDefault="004D7AC0" w14:paraId="4982DD6E" w14:textId="77777777">
      <w:pPr>
        <w:suppressAutoHyphens/>
      </w:pPr>
    </w:p>
    <w:p w:rsidRPr="00B10907" w:rsidR="00BE1F8F" w:rsidP="008E7DE8" w:rsidRDefault="00F220BF" w14:paraId="1ECDFE60" w14:textId="77777777">
      <w:pPr>
        <w:numPr>
          <w:ilvl w:val="0"/>
          <w:numId w:val="20"/>
        </w:numPr>
        <w:suppressAutoHyphens/>
        <w:ind w:left="567" w:hanging="567"/>
        <w:jc w:val="left"/>
        <w:rPr>
          <w:bCs/>
          <w:iCs/>
          <w:sz w:val="28"/>
          <w:szCs w:val="28"/>
        </w:rPr>
      </w:pPr>
      <w:hyperlink w:history="1" r:id="rId21">
        <w:r w:rsidRPr="00B10907" w:rsidR="006E14B4">
          <w:rPr>
            <w:b/>
            <w:i/>
            <w:color w:val="0000FF"/>
            <w:sz w:val="28"/>
            <w:szCs w:val="28"/>
            <w:u w:val="single"/>
          </w:rPr>
          <w:t>Europejski semestr 2025 – pakiet jesienny</w:t>
        </w:r>
      </w:hyperlink>
    </w:p>
    <w:p w:rsidRPr="00BA440C" w:rsidR="009B199C" w:rsidP="008E7DE8" w:rsidRDefault="009B199C" w14:paraId="475281DB" w14:textId="0688FCBB">
      <w:pPr>
        <w:suppressAutoHyphens/>
        <w:ind w:left="567"/>
        <w:jc w:val="left"/>
        <w:rPr>
          <w:bCs/>
          <w:iCs/>
        </w:rPr>
      </w:pPr>
    </w:p>
    <w:tbl>
      <w:tblPr>
        <w:tblW w:w="5000" w:type="pct"/>
        <w:tblLook w:val="04A0" w:firstRow="1" w:lastRow="0" w:firstColumn="1" w:lastColumn="0" w:noHBand="0" w:noVBand="1"/>
      </w:tblPr>
      <w:tblGrid>
        <w:gridCol w:w="1668"/>
        <w:gridCol w:w="7621"/>
      </w:tblGrid>
      <w:tr w:rsidRPr="00BA440C" w:rsidR="009B199C" w:rsidTr="00BA440C" w14:paraId="7E2330F9" w14:textId="77777777">
        <w:trPr>
          <w:trHeight w:val="269"/>
        </w:trPr>
        <w:tc>
          <w:tcPr>
            <w:tcW w:w="898" w:type="pct"/>
          </w:tcPr>
          <w:p w:rsidRPr="00BA440C" w:rsidR="009B199C" w:rsidP="008E7DE8" w:rsidRDefault="009B199C" w14:paraId="11357475" w14:textId="5FA4627E">
            <w:pPr>
              <w:tabs>
                <w:tab w:val="center" w:pos="284"/>
              </w:tabs>
              <w:suppressAutoHyphens/>
              <w:ind w:left="266" w:hanging="266"/>
              <w:rPr>
                <w:b/>
              </w:rPr>
            </w:pPr>
            <w:r w:rsidRPr="00BA440C">
              <w:rPr>
                <w:b/>
              </w:rPr>
              <w:t>Sprawozdawca</w:t>
            </w:r>
          </w:p>
        </w:tc>
        <w:tc>
          <w:tcPr>
            <w:tcW w:w="4102" w:type="pct"/>
          </w:tcPr>
          <w:p w:rsidRPr="00BA440C" w:rsidR="009B199C" w:rsidP="008E7DE8" w:rsidRDefault="009B199C" w14:paraId="7707B7CD" w14:textId="40636FC3">
            <w:pPr>
              <w:tabs>
                <w:tab w:val="center" w:pos="284"/>
              </w:tabs>
              <w:suppressAutoHyphens/>
              <w:ind w:left="266" w:hanging="266"/>
              <w:rPr>
                <w:bCs/>
              </w:rPr>
            </w:pPr>
            <w:r w:rsidRPr="00BA440C">
              <w:t>Petru Sorin DANDEA (Grupa Pracowników – RO)</w:t>
            </w:r>
          </w:p>
        </w:tc>
      </w:tr>
      <w:tr w:rsidRPr="00BA440C" w:rsidR="009B199C" w:rsidTr="00BA440C" w14:paraId="78616870" w14:textId="77777777">
        <w:trPr>
          <w:trHeight w:val="484"/>
        </w:trPr>
        <w:tc>
          <w:tcPr>
            <w:tcW w:w="898" w:type="pct"/>
          </w:tcPr>
          <w:p w:rsidRPr="00BA440C" w:rsidR="009B199C" w:rsidP="008E7DE8" w:rsidRDefault="009B199C" w14:paraId="271ACA41" w14:textId="77777777">
            <w:pPr>
              <w:tabs>
                <w:tab w:val="center" w:pos="284"/>
              </w:tabs>
              <w:suppressAutoHyphens/>
              <w:ind w:left="266" w:hanging="266"/>
              <w:rPr>
                <w:b/>
              </w:rPr>
            </w:pPr>
            <w:r w:rsidRPr="00BA440C">
              <w:rPr>
                <w:b/>
              </w:rPr>
              <w:t>Dokumenty</w:t>
            </w:r>
          </w:p>
        </w:tc>
        <w:tc>
          <w:tcPr>
            <w:tcW w:w="4102" w:type="pct"/>
          </w:tcPr>
          <w:p w:rsidRPr="00BA440C" w:rsidR="00FA7642" w:rsidP="008E7DE8" w:rsidRDefault="009B199C" w14:paraId="3B2FCABD" w14:textId="77777777">
            <w:pPr>
              <w:tabs>
                <w:tab w:val="center" w:pos="284"/>
              </w:tabs>
              <w:suppressAutoHyphens/>
              <w:ind w:left="266" w:hanging="266"/>
            </w:pPr>
            <w:r w:rsidRPr="00BA440C">
              <w:t>COM(2024) 700 final</w:t>
            </w:r>
          </w:p>
          <w:p w:rsidRPr="00BA440C" w:rsidR="009B199C" w:rsidP="008E7DE8" w:rsidRDefault="009B199C" w14:paraId="49CDD496" w14:textId="3FA98205">
            <w:pPr>
              <w:tabs>
                <w:tab w:val="center" w:pos="284"/>
              </w:tabs>
              <w:suppressAutoHyphens/>
              <w:ind w:left="266" w:hanging="266"/>
            </w:pPr>
            <w:r w:rsidRPr="00BA440C">
              <w:t>EESC-2024-04138-00-00-AC</w:t>
            </w:r>
          </w:p>
        </w:tc>
      </w:tr>
    </w:tbl>
    <w:p w:rsidRPr="00BA440C" w:rsidR="00BE1F8F" w:rsidP="008E7DE8" w:rsidRDefault="00BE1F8F" w14:paraId="012909FD" w14:textId="77777777">
      <w:pPr>
        <w:tabs>
          <w:tab w:val="center" w:pos="284"/>
        </w:tabs>
        <w:suppressAutoHyphens/>
        <w:ind w:left="266" w:hanging="266"/>
        <w:rPr>
          <w:b/>
        </w:rPr>
      </w:pPr>
    </w:p>
    <w:p w:rsidRPr="00BA440C" w:rsidR="009B199C" w:rsidP="008E7DE8" w:rsidRDefault="009B199C" w14:paraId="4BF08ABF" w14:textId="41C36C93">
      <w:pPr>
        <w:tabs>
          <w:tab w:val="center" w:pos="284"/>
        </w:tabs>
        <w:suppressAutoHyphens/>
        <w:ind w:left="266" w:hanging="266"/>
        <w:rPr>
          <w:b/>
        </w:rPr>
      </w:pPr>
      <w:r w:rsidRPr="00BA440C">
        <w:rPr>
          <w:b/>
        </w:rPr>
        <w:t>Główne punkty</w:t>
      </w:r>
    </w:p>
    <w:p w:rsidRPr="00BA440C" w:rsidR="009B199C" w:rsidP="008E7DE8" w:rsidRDefault="009B199C" w14:paraId="6607972D" w14:textId="77777777">
      <w:pPr>
        <w:tabs>
          <w:tab w:val="center" w:pos="284"/>
        </w:tabs>
        <w:suppressAutoHyphens/>
        <w:ind w:left="266" w:hanging="266"/>
        <w:rPr>
          <w:b/>
        </w:rPr>
      </w:pPr>
    </w:p>
    <w:p w:rsidR="009B199C" w:rsidP="008E7DE8" w:rsidRDefault="009B199C" w14:paraId="4C3F98BA" w14:textId="3A014EFB">
      <w:pPr>
        <w:suppressAutoHyphens/>
      </w:pPr>
      <w:r w:rsidRPr="00BA440C">
        <w:t>EKES:</w:t>
      </w:r>
    </w:p>
    <w:p w:rsidRPr="00BA440C" w:rsidR="00B60670" w:rsidP="008E7DE8" w:rsidRDefault="00B60670" w14:paraId="5F3FC7B4" w14:textId="77777777">
      <w:pPr>
        <w:suppressAutoHyphens/>
        <w:rPr>
          <w:bCs/>
          <w:iCs/>
        </w:rPr>
      </w:pPr>
    </w:p>
    <w:p w:rsidRPr="00BA440C" w:rsidR="009B199C" w:rsidP="008E7DE8" w:rsidRDefault="009B199C" w14:paraId="3ED2E951" w14:textId="77777777">
      <w:pPr>
        <w:numPr>
          <w:ilvl w:val="0"/>
          <w:numId w:val="19"/>
        </w:numPr>
        <w:suppressAutoHyphens/>
        <w:ind w:left="567" w:hanging="567"/>
      </w:pPr>
      <w:r w:rsidRPr="00BA440C">
        <w:t>Uważa, że godne wielkiego ubolewania i niezrozumiałe jest to, że w niespokojnej sytuacji politycznej, społecznej i gospodarczej panującej na świecie Komisja Europejska postanowiła nie publikować rocznej analizy zrównoważonego wzrostu gospodarczego.</w:t>
      </w:r>
    </w:p>
    <w:p w:rsidRPr="00BA440C" w:rsidR="009B199C" w:rsidP="008E7DE8" w:rsidRDefault="009B199C" w14:paraId="3C4DA8C9" w14:textId="77777777">
      <w:pPr>
        <w:numPr>
          <w:ilvl w:val="0"/>
          <w:numId w:val="19"/>
        </w:numPr>
        <w:suppressAutoHyphens/>
        <w:ind w:left="567" w:hanging="567"/>
      </w:pPr>
      <w:r w:rsidRPr="00BA440C">
        <w:t>Jest zdania, że poważne i rosnące zagrożenia geopolityczne oraz pogorszenie się sytuacji instytucji wielostronnych mogą ostatecznie mieć poważny wpływ na europejskie gospodarki, handel, inflację i wzrost gospodarczy.</w:t>
      </w:r>
    </w:p>
    <w:p w:rsidRPr="00BA440C" w:rsidR="009B199C" w:rsidP="008E7DE8" w:rsidRDefault="009B199C" w14:paraId="0A50F121" w14:textId="77777777">
      <w:pPr>
        <w:numPr>
          <w:ilvl w:val="0"/>
          <w:numId w:val="19"/>
        </w:numPr>
        <w:suppressAutoHyphens/>
        <w:ind w:left="567" w:hanging="567"/>
      </w:pPr>
      <w:r w:rsidRPr="00BA440C">
        <w:t>Z zadowoleniem przyjmuje wysiłki Komisji na rzecz rozpoczęcia cyklu wdrażania nowych europejskich ram zarządzania i zachęca Komisję do jak najszybszego zakończenia tego procesu.</w:t>
      </w:r>
    </w:p>
    <w:p w:rsidRPr="00BA440C" w:rsidR="009B199C" w:rsidP="008E7DE8" w:rsidRDefault="009B199C" w14:paraId="5E3F24C0" w14:textId="77777777">
      <w:pPr>
        <w:numPr>
          <w:ilvl w:val="0"/>
          <w:numId w:val="19"/>
        </w:numPr>
        <w:suppressAutoHyphens/>
        <w:ind w:left="567" w:hanging="567"/>
      </w:pPr>
      <w:r w:rsidRPr="00BA440C">
        <w:t>Podkreśla, że choć w jesiennym pakiecie uwypuklono znaczenie zaangażowania zainteresowanych stron, to zdaniem społeczeństwa obywatelskiego brakuje konkretnych mechanizmów odpowiedniego i skutecznego włączenia partnerów społecznych i organizacji społeczeństwa obywatelskiego na szczeblu krajowym.</w:t>
      </w:r>
    </w:p>
    <w:p w:rsidRPr="00BA440C" w:rsidR="009B199C" w:rsidP="008E7DE8" w:rsidRDefault="009B199C" w14:paraId="3771C892" w14:textId="77777777">
      <w:pPr>
        <w:numPr>
          <w:ilvl w:val="0"/>
          <w:numId w:val="19"/>
        </w:numPr>
        <w:suppressAutoHyphens/>
        <w:ind w:left="567" w:hanging="567"/>
      </w:pPr>
      <w:r w:rsidRPr="00BA440C">
        <w:t>Zgadza się z propozycją Komisji dotyczącą uruchomienia Kompasu konkurencyjności.</w:t>
      </w:r>
    </w:p>
    <w:p w:rsidRPr="00BA440C" w:rsidR="009B199C" w:rsidP="008E7DE8" w:rsidRDefault="009B199C" w14:paraId="23285551" w14:textId="4590183A">
      <w:pPr>
        <w:numPr>
          <w:ilvl w:val="0"/>
          <w:numId w:val="19"/>
        </w:numPr>
        <w:suppressAutoHyphens/>
        <w:ind w:left="567" w:hanging="567"/>
      </w:pPr>
      <w:r w:rsidRPr="00BA440C">
        <w:t>Zgadza się z wnioskiem zawartym w sprawozdaniu Draghiego, że głównym czynnikiem powodującym negatywne różnice w wydajności i konkurencyjności gospodarki UE w</w:t>
      </w:r>
      <w:r w:rsidR="00EA0B93">
        <w:t> </w:t>
      </w:r>
      <w:r w:rsidRPr="00BA440C">
        <w:t>porównaniu z USA i Chinami jest duży deficyt inwestycyjny nagromadzony w ciągu ostatnich dwudziestu lat.</w:t>
      </w:r>
    </w:p>
    <w:p w:rsidRPr="00BA440C" w:rsidR="009B199C" w:rsidP="008E7DE8" w:rsidRDefault="009B199C" w14:paraId="5D5DDAD1" w14:textId="77777777">
      <w:pPr>
        <w:numPr>
          <w:ilvl w:val="0"/>
          <w:numId w:val="19"/>
        </w:numPr>
        <w:suppressAutoHyphens/>
        <w:ind w:left="567" w:hanging="567"/>
      </w:pPr>
      <w:r w:rsidRPr="00BA440C">
        <w:t>Uważa, że inwestycje muszą być finansowane z kapitału publicznego i prywatnego, tak krajowego, jak i europejskiego.</w:t>
      </w:r>
    </w:p>
    <w:p w:rsidRPr="00BA440C" w:rsidR="009B199C" w:rsidP="008E7DE8" w:rsidRDefault="009B199C" w14:paraId="74A06E52" w14:textId="77777777">
      <w:pPr>
        <w:numPr>
          <w:ilvl w:val="0"/>
          <w:numId w:val="19"/>
        </w:numPr>
        <w:suppressAutoHyphens/>
        <w:ind w:left="567" w:hanging="567"/>
      </w:pPr>
      <w:r w:rsidRPr="00BA440C">
        <w:t>Przyjmuje do wiadomości propozycję Komisji, aby zalecenia dla poszczególnych krajów były ukierunkowane na lepsze wdrażanie reform i inwestycji zawartych w Instrumencie na rzecz Odbudowy i Zwiększania Odporności (RRF) oraz w WRF, ponieważ oba instrumenty wkrótce wygasną (odpowiednio w 2026 r. i 2027 r.).</w:t>
      </w:r>
    </w:p>
    <w:p w:rsidRPr="00BA440C" w:rsidR="009B199C" w:rsidP="008E7DE8" w:rsidRDefault="009B199C" w14:paraId="49B53D4B" w14:textId="77777777">
      <w:pPr>
        <w:numPr>
          <w:ilvl w:val="0"/>
          <w:numId w:val="19"/>
        </w:numPr>
        <w:suppressAutoHyphens/>
        <w:ind w:left="567" w:hanging="567"/>
      </w:pPr>
      <w:r w:rsidRPr="00BA440C">
        <w:t>Uważa, że w trudnej sytuacji politycznej i gospodarczej, z jaką boryka się UE, kluczem do pokonania przeszkód jest lepsza współpraca między państwami członkowskimi.</w:t>
      </w:r>
    </w:p>
    <w:p w:rsidRPr="00BA440C" w:rsidR="009B199C" w:rsidP="008E7DE8" w:rsidRDefault="009B199C" w14:paraId="48FD49AD" w14:textId="77777777">
      <w:pPr>
        <w:numPr>
          <w:ilvl w:val="0"/>
          <w:numId w:val="19"/>
        </w:numPr>
        <w:suppressAutoHyphens/>
        <w:ind w:left="567" w:hanging="567"/>
      </w:pPr>
      <w:r w:rsidRPr="00BA440C">
        <w:t>Sądzi, że analizy i ustalenia Komisji zawarte we wspólnym sprawozdaniu o zatrudnieniu są prawidłowe i nadają się do starannego przekształcenia w zalecenia dla poszczególnych krajów.</w:t>
      </w:r>
    </w:p>
    <w:p w:rsidRPr="00BA440C" w:rsidR="009B199C" w:rsidP="008E7DE8" w:rsidRDefault="009B199C" w14:paraId="38004D1C" w14:textId="77777777">
      <w:pPr>
        <w:numPr>
          <w:ilvl w:val="0"/>
          <w:numId w:val="19"/>
        </w:numPr>
        <w:suppressAutoHyphens/>
        <w:ind w:left="567" w:hanging="567"/>
      </w:pPr>
      <w:r w:rsidRPr="00BA440C">
        <w:t xml:space="preserve">Zachęca Komisję do kontynuowania programu mającego na celu zmniejszenie obciążeń nakładanych na europejskie przedsiębiorstwa przez nadmierne regulacje, co ogranicza zdolność tych podmiotów do konkurowania w skali globalnej. </w:t>
      </w:r>
    </w:p>
    <w:p w:rsidRPr="00BA440C" w:rsidR="009B199C" w:rsidP="008E7DE8" w:rsidRDefault="009B199C" w14:paraId="7E9B0E26" w14:textId="36DC5D62">
      <w:pPr>
        <w:numPr>
          <w:ilvl w:val="0"/>
          <w:numId w:val="19"/>
        </w:numPr>
        <w:suppressAutoHyphens/>
        <w:ind w:left="567" w:hanging="567"/>
        <w:rPr>
          <w:bCs/>
          <w:iCs/>
        </w:rPr>
      </w:pPr>
      <w:r w:rsidRPr="00BA440C">
        <w:lastRenderedPageBreak/>
        <w:t>Jest zdania, że w zaleceniach dla poszczególnych krajów propozycje dotyczące inwestycji i</w:t>
      </w:r>
      <w:r w:rsidR="00EA0B93">
        <w:t> </w:t>
      </w:r>
      <w:r w:rsidRPr="00BA440C">
        <w:t>reform powinny priorytetowo potraktować rozwiązanie poważnego problemu mieszkaniowego.</w:t>
      </w:r>
    </w:p>
    <w:p w:rsidRPr="00BA440C" w:rsidR="009B199C" w:rsidP="008E7DE8" w:rsidRDefault="009B199C" w14:paraId="1D7AC5FD" w14:textId="77777777">
      <w:pPr>
        <w:suppressAutoHyphens/>
        <w:ind w:left="709"/>
      </w:pPr>
    </w:p>
    <w:tbl>
      <w:tblPr>
        <w:tblW w:w="5000" w:type="pct"/>
        <w:tblLook w:val="04A0" w:firstRow="1" w:lastRow="0" w:firstColumn="1" w:lastColumn="0" w:noHBand="0" w:noVBand="1"/>
      </w:tblPr>
      <w:tblGrid>
        <w:gridCol w:w="1750"/>
        <w:gridCol w:w="7539"/>
      </w:tblGrid>
      <w:tr w:rsidRPr="00BA440C" w:rsidR="009B199C" w:rsidTr="00BA440C" w14:paraId="6E6E3E29" w14:textId="77777777">
        <w:tc>
          <w:tcPr>
            <w:tcW w:w="942" w:type="pct"/>
          </w:tcPr>
          <w:p w:rsidRPr="00BA440C" w:rsidR="009B199C" w:rsidP="008E7DE8" w:rsidRDefault="009B199C" w14:paraId="0A0A29E5" w14:textId="77777777">
            <w:pPr>
              <w:suppressAutoHyphens/>
              <w:rPr>
                <w:b/>
                <w:i/>
              </w:rPr>
            </w:pPr>
            <w:r w:rsidRPr="00BA440C">
              <w:rPr>
                <w:b/>
                <w:i/>
              </w:rPr>
              <w:t>Kontakt</w:t>
            </w:r>
          </w:p>
        </w:tc>
        <w:tc>
          <w:tcPr>
            <w:tcW w:w="4058" w:type="pct"/>
          </w:tcPr>
          <w:p w:rsidRPr="00BA440C" w:rsidR="009B199C" w:rsidP="008E7DE8" w:rsidRDefault="009B199C" w14:paraId="42F5E565" w14:textId="370BC39C">
            <w:pPr>
              <w:suppressAutoHyphens/>
              <w:rPr>
                <w:b/>
                <w:i/>
              </w:rPr>
            </w:pPr>
            <w:r w:rsidRPr="00BA440C">
              <w:rPr>
                <w:i/>
              </w:rPr>
              <w:t>Anna Pantazi</w:t>
            </w:r>
          </w:p>
        </w:tc>
      </w:tr>
      <w:tr w:rsidRPr="00BA440C" w:rsidR="009B199C" w:rsidTr="00BA440C" w14:paraId="552BEC45" w14:textId="77777777">
        <w:tc>
          <w:tcPr>
            <w:tcW w:w="942" w:type="pct"/>
          </w:tcPr>
          <w:p w:rsidRPr="00BA440C" w:rsidR="009B199C" w:rsidP="008E7DE8" w:rsidRDefault="009B199C" w14:paraId="1653AF5F" w14:textId="77777777">
            <w:pPr>
              <w:suppressAutoHyphens/>
              <w:rPr>
                <w:i/>
              </w:rPr>
            </w:pPr>
            <w:r w:rsidRPr="00BA440C">
              <w:rPr>
                <w:i/>
              </w:rPr>
              <w:t>tel.</w:t>
            </w:r>
          </w:p>
        </w:tc>
        <w:tc>
          <w:tcPr>
            <w:tcW w:w="4058" w:type="pct"/>
          </w:tcPr>
          <w:p w:rsidRPr="00BA440C" w:rsidR="009B199C" w:rsidP="008E7DE8" w:rsidRDefault="009B199C" w14:paraId="237B8862" w14:textId="77777777">
            <w:pPr>
              <w:suppressAutoHyphens/>
              <w:rPr>
                <w:i/>
              </w:rPr>
            </w:pPr>
            <w:r w:rsidRPr="00BA440C">
              <w:rPr>
                <w:i/>
              </w:rPr>
              <w:t>+32 25469231</w:t>
            </w:r>
          </w:p>
        </w:tc>
      </w:tr>
      <w:tr w:rsidRPr="00BA440C" w:rsidR="009B199C" w:rsidTr="00BA440C" w14:paraId="3D3A9CD1" w14:textId="77777777">
        <w:tc>
          <w:tcPr>
            <w:tcW w:w="942" w:type="pct"/>
          </w:tcPr>
          <w:p w:rsidRPr="00BA440C" w:rsidR="009B199C" w:rsidP="008E7DE8" w:rsidRDefault="009B199C" w14:paraId="1113F6A6" w14:textId="77777777">
            <w:pPr>
              <w:suppressAutoHyphens/>
              <w:rPr>
                <w:i/>
              </w:rPr>
            </w:pPr>
            <w:r w:rsidRPr="00BA440C">
              <w:rPr>
                <w:i/>
              </w:rPr>
              <w:t>e-mail</w:t>
            </w:r>
          </w:p>
        </w:tc>
        <w:tc>
          <w:tcPr>
            <w:tcW w:w="4058" w:type="pct"/>
          </w:tcPr>
          <w:p w:rsidRPr="00BA440C" w:rsidR="009B199C" w:rsidP="008E7DE8" w:rsidRDefault="00F220BF" w14:paraId="45EA0124" w14:textId="77777777">
            <w:pPr>
              <w:suppressAutoHyphens/>
              <w:rPr>
                <w:i/>
              </w:rPr>
            </w:pPr>
            <w:hyperlink w:history="1" r:id="rId22">
              <w:r w:rsidRPr="00BA440C" w:rsidR="006E14B4">
                <w:rPr>
                  <w:i/>
                  <w:color w:val="0000FF"/>
                  <w:u w:val="single"/>
                </w:rPr>
                <w:t>Anna.Pantazi@eesc.europa.eu</w:t>
              </w:r>
            </w:hyperlink>
          </w:p>
        </w:tc>
      </w:tr>
    </w:tbl>
    <w:p w:rsidRPr="00BA440C" w:rsidR="009B199C" w:rsidP="008E7DE8" w:rsidRDefault="009B199C" w14:paraId="44976E13" w14:textId="77777777">
      <w:pPr>
        <w:suppressAutoHyphens/>
        <w:jc w:val="left"/>
      </w:pPr>
      <w:r w:rsidRPr="00BA440C">
        <w:br w:type="page"/>
      </w:r>
    </w:p>
    <w:p w:rsidRPr="00B10907" w:rsidR="009B199C" w:rsidP="008E7DE8" w:rsidRDefault="00F220BF" w14:paraId="0066A1A1" w14:textId="4EB1C679">
      <w:pPr>
        <w:numPr>
          <w:ilvl w:val="0"/>
          <w:numId w:val="20"/>
        </w:numPr>
        <w:suppressAutoHyphens/>
        <w:overflowPunct w:val="0"/>
        <w:autoSpaceDE w:val="0"/>
        <w:autoSpaceDN w:val="0"/>
        <w:adjustRightInd w:val="0"/>
        <w:ind w:left="567" w:hanging="567"/>
        <w:textAlignment w:val="baseline"/>
        <w:rPr>
          <w:sz w:val="28"/>
          <w:szCs w:val="28"/>
        </w:rPr>
      </w:pPr>
      <w:hyperlink w:history="1" r:id="rId23">
        <w:r w:rsidRPr="00B10907" w:rsidR="006E14B4">
          <w:rPr>
            <w:b/>
            <w:i/>
            <w:color w:val="0000FF"/>
            <w:sz w:val="28"/>
            <w:szCs w:val="28"/>
            <w:u w:val="single"/>
          </w:rPr>
          <w:t>Współpraca administracyjna w dziedzinie opodatkowania</w:t>
        </w:r>
      </w:hyperlink>
    </w:p>
    <w:p w:rsidRPr="00BA440C" w:rsidR="009B199C" w:rsidP="008E7DE8" w:rsidRDefault="009B199C" w14:paraId="7C533EFA" w14:textId="77777777">
      <w:pPr>
        <w:tabs>
          <w:tab w:val="center" w:pos="284"/>
        </w:tabs>
        <w:suppressAutoHyphen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1687"/>
        <w:gridCol w:w="7602"/>
      </w:tblGrid>
      <w:tr w:rsidRPr="00BA440C" w:rsidR="009B199C" w:rsidTr="00BA440C" w14:paraId="15407EEF" w14:textId="77777777">
        <w:tc>
          <w:tcPr>
            <w:tcW w:w="908" w:type="pct"/>
          </w:tcPr>
          <w:p w:rsidRPr="00BA440C" w:rsidR="009B199C" w:rsidP="008E7DE8" w:rsidRDefault="009B199C" w14:paraId="20A40472" w14:textId="77777777">
            <w:pPr>
              <w:tabs>
                <w:tab w:val="center" w:pos="284"/>
              </w:tabs>
              <w:suppressAutoHyphens/>
              <w:overflowPunct w:val="0"/>
              <w:autoSpaceDE w:val="0"/>
              <w:autoSpaceDN w:val="0"/>
              <w:adjustRightInd w:val="0"/>
              <w:ind w:left="266" w:hanging="266"/>
              <w:textAlignment w:val="baseline"/>
              <w:rPr>
                <w:b/>
              </w:rPr>
            </w:pPr>
            <w:r w:rsidRPr="00BA440C">
              <w:rPr>
                <w:b/>
              </w:rPr>
              <w:t>Sprawozdawca</w:t>
            </w:r>
          </w:p>
        </w:tc>
        <w:tc>
          <w:tcPr>
            <w:tcW w:w="4092" w:type="pct"/>
          </w:tcPr>
          <w:p w:rsidRPr="00BA440C" w:rsidR="009B199C" w:rsidP="008E7DE8" w:rsidRDefault="009B199C" w14:paraId="4F4B426F" w14:textId="77777777">
            <w:pPr>
              <w:tabs>
                <w:tab w:val="center" w:pos="284"/>
              </w:tabs>
              <w:suppressAutoHyphens/>
              <w:overflowPunct w:val="0"/>
              <w:autoSpaceDE w:val="0"/>
              <w:autoSpaceDN w:val="0"/>
              <w:adjustRightInd w:val="0"/>
              <w:ind w:left="266" w:hanging="266"/>
              <w:textAlignment w:val="baseline"/>
            </w:pPr>
            <w:r w:rsidRPr="00BA440C">
              <w:t>Krister ANDERSSON (Grupa Pracodawców – SE)</w:t>
            </w:r>
          </w:p>
        </w:tc>
      </w:tr>
      <w:tr w:rsidRPr="00BA440C" w:rsidR="009B199C" w:rsidTr="00BA440C" w14:paraId="721BA5E2" w14:textId="77777777">
        <w:tc>
          <w:tcPr>
            <w:tcW w:w="908" w:type="pct"/>
            <w:vMerge w:val="restart"/>
          </w:tcPr>
          <w:p w:rsidRPr="00BA440C" w:rsidR="009B199C" w:rsidP="008E7DE8" w:rsidRDefault="009B199C" w14:paraId="7B3F0224" w14:textId="77777777">
            <w:pPr>
              <w:tabs>
                <w:tab w:val="center" w:pos="284"/>
              </w:tabs>
              <w:suppressAutoHyphens/>
              <w:overflowPunct w:val="0"/>
              <w:autoSpaceDE w:val="0"/>
              <w:autoSpaceDN w:val="0"/>
              <w:adjustRightInd w:val="0"/>
              <w:ind w:left="266" w:hanging="266"/>
              <w:textAlignment w:val="baseline"/>
              <w:rPr>
                <w:b/>
              </w:rPr>
            </w:pPr>
            <w:r w:rsidRPr="00BA440C">
              <w:rPr>
                <w:b/>
              </w:rPr>
              <w:t>Dokumenty</w:t>
            </w:r>
          </w:p>
        </w:tc>
        <w:tc>
          <w:tcPr>
            <w:tcW w:w="4092" w:type="pct"/>
          </w:tcPr>
          <w:p w:rsidRPr="00BA440C" w:rsidR="009B199C" w:rsidP="008E7DE8" w:rsidRDefault="009B199C" w14:paraId="3B421B3C" w14:textId="5FD96ECD">
            <w:pPr>
              <w:tabs>
                <w:tab w:val="center" w:pos="284"/>
              </w:tabs>
              <w:suppressAutoHyphens/>
              <w:overflowPunct w:val="0"/>
              <w:autoSpaceDE w:val="0"/>
              <w:autoSpaceDN w:val="0"/>
              <w:adjustRightInd w:val="0"/>
              <w:ind w:left="266" w:hanging="266"/>
              <w:textAlignment w:val="baseline"/>
            </w:pPr>
            <w:r w:rsidRPr="00BA440C">
              <w:t xml:space="preserve">COM(2024) 497 final </w:t>
            </w:r>
          </w:p>
        </w:tc>
      </w:tr>
      <w:tr w:rsidRPr="00BA440C" w:rsidR="009B199C" w:rsidTr="00BA440C" w14:paraId="0644B2C3" w14:textId="77777777">
        <w:tc>
          <w:tcPr>
            <w:tcW w:w="908" w:type="pct"/>
            <w:vMerge/>
          </w:tcPr>
          <w:p w:rsidRPr="00BA440C" w:rsidR="009B199C" w:rsidP="008E7DE8" w:rsidRDefault="009B199C" w14:paraId="29B7CE2E" w14:textId="77777777">
            <w:pPr>
              <w:tabs>
                <w:tab w:val="center" w:pos="284"/>
              </w:tabs>
              <w:suppressAutoHyphens/>
              <w:overflowPunct w:val="0"/>
              <w:autoSpaceDE w:val="0"/>
              <w:autoSpaceDN w:val="0"/>
              <w:adjustRightInd w:val="0"/>
              <w:ind w:left="266" w:hanging="266"/>
              <w:textAlignment w:val="baseline"/>
              <w:rPr>
                <w:b/>
              </w:rPr>
            </w:pPr>
          </w:p>
        </w:tc>
        <w:tc>
          <w:tcPr>
            <w:tcW w:w="4092" w:type="pct"/>
          </w:tcPr>
          <w:p w:rsidRPr="00BA440C" w:rsidR="009B199C" w:rsidP="008E7DE8" w:rsidRDefault="009B199C" w14:paraId="0B6D96F4" w14:textId="337C89A9">
            <w:pPr>
              <w:tabs>
                <w:tab w:val="center" w:pos="284"/>
              </w:tabs>
              <w:suppressAutoHyphens/>
              <w:overflowPunct w:val="0"/>
              <w:autoSpaceDE w:val="0"/>
              <w:autoSpaceDN w:val="0"/>
              <w:adjustRightInd w:val="0"/>
              <w:ind w:left="266" w:hanging="266"/>
              <w:textAlignment w:val="baseline"/>
            </w:pPr>
            <w:r w:rsidRPr="00BA440C">
              <w:t>EESC-2024-04551-00-00-AC</w:t>
            </w:r>
          </w:p>
        </w:tc>
      </w:tr>
    </w:tbl>
    <w:p w:rsidRPr="00BA440C" w:rsidR="009B199C" w:rsidP="008E7DE8" w:rsidRDefault="009B199C" w14:paraId="148A8516" w14:textId="77777777">
      <w:pPr>
        <w:tabs>
          <w:tab w:val="center" w:pos="284"/>
        </w:tabs>
        <w:suppressAutoHyphens/>
        <w:overflowPunct w:val="0"/>
        <w:autoSpaceDE w:val="0"/>
        <w:autoSpaceDN w:val="0"/>
        <w:adjustRightInd w:val="0"/>
        <w:ind w:left="266" w:hanging="266"/>
        <w:textAlignment w:val="baseline"/>
      </w:pPr>
    </w:p>
    <w:p w:rsidRPr="00BA440C" w:rsidR="009B199C" w:rsidP="008E7DE8" w:rsidRDefault="009B199C" w14:paraId="212050D8" w14:textId="77777777">
      <w:pPr>
        <w:tabs>
          <w:tab w:val="center" w:pos="284"/>
        </w:tabs>
        <w:suppressAutoHyphens/>
        <w:overflowPunct w:val="0"/>
        <w:autoSpaceDE w:val="0"/>
        <w:autoSpaceDN w:val="0"/>
        <w:adjustRightInd w:val="0"/>
        <w:ind w:left="266" w:hanging="266"/>
        <w:textAlignment w:val="baseline"/>
        <w:rPr>
          <w:b/>
        </w:rPr>
      </w:pPr>
      <w:r w:rsidRPr="00BA440C">
        <w:rPr>
          <w:b/>
        </w:rPr>
        <w:t>Główne punkty</w:t>
      </w:r>
    </w:p>
    <w:p w:rsidRPr="00BA440C" w:rsidR="009B199C" w:rsidP="008E7DE8" w:rsidRDefault="009B199C" w14:paraId="6FCA3C9E" w14:textId="77777777">
      <w:pPr>
        <w:tabs>
          <w:tab w:val="center" w:pos="284"/>
        </w:tabs>
        <w:suppressAutoHyphens/>
        <w:overflowPunct w:val="0"/>
        <w:autoSpaceDE w:val="0"/>
        <w:autoSpaceDN w:val="0"/>
        <w:adjustRightInd w:val="0"/>
        <w:ind w:left="266" w:hanging="266"/>
        <w:textAlignment w:val="baseline"/>
        <w:rPr>
          <w:b/>
        </w:rPr>
      </w:pPr>
    </w:p>
    <w:p w:rsidR="009B199C" w:rsidP="008E7DE8" w:rsidRDefault="009B199C" w14:paraId="3C84648C" w14:textId="7C865292">
      <w:pPr>
        <w:suppressAutoHyphens/>
        <w:overflowPunct w:val="0"/>
        <w:autoSpaceDE w:val="0"/>
        <w:autoSpaceDN w:val="0"/>
        <w:adjustRightInd w:val="0"/>
        <w:textAlignment w:val="baseline"/>
      </w:pPr>
      <w:r w:rsidRPr="00BA440C">
        <w:t>EKES:</w:t>
      </w:r>
    </w:p>
    <w:p w:rsidRPr="00BA440C" w:rsidR="008E7DE8" w:rsidP="008E7DE8" w:rsidRDefault="008E7DE8" w14:paraId="481AA15A" w14:textId="77777777">
      <w:pPr>
        <w:suppressAutoHyphens/>
        <w:overflowPunct w:val="0"/>
        <w:autoSpaceDE w:val="0"/>
        <w:autoSpaceDN w:val="0"/>
        <w:adjustRightInd w:val="0"/>
        <w:textAlignment w:val="baseline"/>
        <w:rPr>
          <w:bCs/>
          <w:iCs/>
        </w:rPr>
      </w:pPr>
    </w:p>
    <w:p w:rsidRPr="00BA440C" w:rsidR="009B199C" w:rsidP="008E7DE8" w:rsidRDefault="009B199C" w14:paraId="58403D40" w14:textId="77777777">
      <w:pPr>
        <w:numPr>
          <w:ilvl w:val="0"/>
          <w:numId w:val="18"/>
        </w:numPr>
        <w:suppressAutoHyphens/>
        <w:ind w:hanging="567"/>
        <w:rPr>
          <w:bCs/>
          <w:iCs/>
        </w:rPr>
      </w:pPr>
      <w:r w:rsidRPr="00BA440C">
        <w:t>Z aprobatą przyjmuje wniosek dotyczący dyrektywy Rady zmieniającej dyrektywę 2011/16/UE w sprawie współpracy administracyjnej w dziedzinie opodatkowania (DAC9).</w:t>
      </w:r>
    </w:p>
    <w:p w:rsidRPr="00BA440C" w:rsidR="009B199C" w:rsidP="008E7DE8" w:rsidRDefault="009B199C" w14:paraId="337AB66A" w14:textId="77777777">
      <w:pPr>
        <w:numPr>
          <w:ilvl w:val="0"/>
          <w:numId w:val="18"/>
        </w:numPr>
        <w:suppressAutoHyphens/>
        <w:ind w:hanging="567"/>
        <w:rPr>
          <w:bCs/>
          <w:iCs/>
        </w:rPr>
      </w:pPr>
      <w:r w:rsidRPr="00BA440C">
        <w:t>Zauważa, że jest to transpozycja już uzgodnionych otwartych ram OECD/G-20.</w:t>
      </w:r>
    </w:p>
    <w:p w:rsidRPr="00BA440C" w:rsidR="009B199C" w:rsidP="008E7DE8" w:rsidRDefault="009B199C" w14:paraId="05B4C525" w14:textId="77777777">
      <w:pPr>
        <w:numPr>
          <w:ilvl w:val="0"/>
          <w:numId w:val="18"/>
        </w:numPr>
        <w:suppressAutoHyphens/>
        <w:ind w:hanging="567"/>
        <w:rPr>
          <w:bCs/>
          <w:iCs/>
        </w:rPr>
      </w:pPr>
      <w:r w:rsidRPr="00BA440C">
        <w:t>Zwraca uwagę, że pewność i jasność prawa z perspektywy przedsiębiorstw międzynarodowych i administracji podatkowych można zapewnić jedynie poprzez stworzenie jednego zbioru jednolitych przepisów mających zastosowanie do wszystkich państw członkowskich.</w:t>
      </w:r>
    </w:p>
    <w:p w:rsidRPr="00BA440C" w:rsidR="009B199C" w:rsidP="008E7DE8" w:rsidRDefault="009B199C" w14:paraId="02FBDE9B" w14:textId="77777777">
      <w:pPr>
        <w:numPr>
          <w:ilvl w:val="0"/>
          <w:numId w:val="18"/>
        </w:numPr>
        <w:suppressAutoHyphens/>
        <w:ind w:hanging="567"/>
        <w:rPr>
          <w:bCs/>
          <w:iCs/>
        </w:rPr>
      </w:pPr>
      <w:r w:rsidRPr="00BA440C">
        <w:t>Uważa za bardzo istotne, aby informacje gromadzone w ramach proponowanej dyrektywy wykorzystywano tylko i wyłącznie zgodnie z założeniami wniosku Komisji, a nie do innych celów, gdyż mogłoby to umożliwić przedsiębiorstwom w państwach trzecich dostęp do informacji szczególnie chronionych i przez to zaszkodzić pozycji konkurencyjnej europejskich przedsiębiorstw.</w:t>
      </w:r>
    </w:p>
    <w:p w:rsidRPr="00BA440C" w:rsidR="009B199C" w:rsidP="008E7DE8" w:rsidRDefault="009B199C" w14:paraId="1397A2B3" w14:textId="77777777">
      <w:pPr>
        <w:numPr>
          <w:ilvl w:val="0"/>
          <w:numId w:val="18"/>
        </w:numPr>
        <w:suppressAutoHyphens/>
        <w:ind w:hanging="567"/>
        <w:rPr>
          <w:bCs/>
          <w:iCs/>
        </w:rPr>
      </w:pPr>
      <w:r w:rsidRPr="00BA440C">
        <w:t>Ubolewa, że w przypadku omawianego wniosku nie przeprowadzono oceny skutków ani sprawdzianu konkurencyjności. Byłoby ciekawe móc stwierdzić, czy wniosek zbliża nas do ogólnego celu Komisji, jakim jest zmniejszenie obciążeń administracyjnych o 25%.</w:t>
      </w:r>
    </w:p>
    <w:p w:rsidRPr="00BA440C" w:rsidR="009B199C" w:rsidP="008E7DE8" w:rsidRDefault="009B199C" w14:paraId="3B495DF5" w14:textId="77777777">
      <w:pPr>
        <w:numPr>
          <w:ilvl w:val="0"/>
          <w:numId w:val="18"/>
        </w:numPr>
        <w:suppressAutoHyphens/>
        <w:ind w:hanging="567"/>
        <w:rPr>
          <w:bCs/>
          <w:iCs/>
        </w:rPr>
      </w:pPr>
      <w:r w:rsidRPr="00BA440C">
        <w:t xml:space="preserve">Podkreśla, że należy zapewnić pełną zgodność przepisów z bieżącymi pracami OECD. </w:t>
      </w:r>
    </w:p>
    <w:p w:rsidRPr="00BA440C" w:rsidR="009B199C" w:rsidP="008E7DE8" w:rsidRDefault="009B199C" w14:paraId="7207F72C" w14:textId="77777777">
      <w:pPr>
        <w:suppressAutoHyphens/>
        <w:overflowPunct w:val="0"/>
        <w:autoSpaceDE w:val="0"/>
        <w:autoSpaceDN w:val="0"/>
        <w:adjustRightInd w:val="0"/>
        <w:ind w:left="709"/>
        <w:textAlignment w:val="baseline"/>
      </w:pPr>
    </w:p>
    <w:tbl>
      <w:tblPr>
        <w:tblW w:w="5000" w:type="pct"/>
        <w:tblLook w:val="04A0" w:firstRow="1" w:lastRow="0" w:firstColumn="1" w:lastColumn="0" w:noHBand="0" w:noVBand="1"/>
      </w:tblPr>
      <w:tblGrid>
        <w:gridCol w:w="1687"/>
        <w:gridCol w:w="7602"/>
      </w:tblGrid>
      <w:tr w:rsidRPr="00BA440C" w:rsidR="009B199C" w:rsidTr="00BA440C" w14:paraId="51274BC3" w14:textId="77777777">
        <w:tc>
          <w:tcPr>
            <w:tcW w:w="908" w:type="pct"/>
          </w:tcPr>
          <w:p w:rsidRPr="00BA440C" w:rsidR="009B199C" w:rsidP="008E7DE8" w:rsidRDefault="009B199C" w14:paraId="36A23BA9" w14:textId="77777777">
            <w:pPr>
              <w:suppressAutoHyphens/>
              <w:overflowPunct w:val="0"/>
              <w:autoSpaceDE w:val="0"/>
              <w:autoSpaceDN w:val="0"/>
              <w:adjustRightInd w:val="0"/>
              <w:textAlignment w:val="baseline"/>
              <w:rPr>
                <w:i/>
              </w:rPr>
            </w:pPr>
            <w:r w:rsidRPr="00BA440C">
              <w:rPr>
                <w:b/>
                <w:i/>
              </w:rPr>
              <w:t>Kontakt</w:t>
            </w:r>
          </w:p>
        </w:tc>
        <w:tc>
          <w:tcPr>
            <w:tcW w:w="4092" w:type="pct"/>
          </w:tcPr>
          <w:p w:rsidRPr="00BA440C" w:rsidR="009B199C" w:rsidP="008E7DE8" w:rsidRDefault="009B199C" w14:paraId="08D792CC" w14:textId="77777777">
            <w:pPr>
              <w:suppressAutoHyphens/>
              <w:overflowPunct w:val="0"/>
              <w:autoSpaceDE w:val="0"/>
              <w:autoSpaceDN w:val="0"/>
              <w:adjustRightInd w:val="0"/>
              <w:textAlignment w:val="baseline"/>
              <w:rPr>
                <w:i/>
              </w:rPr>
            </w:pPr>
            <w:r w:rsidRPr="00BA440C">
              <w:rPr>
                <w:i/>
              </w:rPr>
              <w:t>Jüri Soosaar</w:t>
            </w:r>
          </w:p>
        </w:tc>
      </w:tr>
      <w:tr w:rsidRPr="00BA440C" w:rsidR="009B199C" w:rsidTr="00BA440C" w14:paraId="1A8CFF57" w14:textId="77777777">
        <w:tc>
          <w:tcPr>
            <w:tcW w:w="908" w:type="pct"/>
          </w:tcPr>
          <w:p w:rsidRPr="00BA440C" w:rsidR="009B199C" w:rsidP="008E7DE8" w:rsidRDefault="009B199C" w14:paraId="6B9265C2" w14:textId="77777777">
            <w:pPr>
              <w:suppressAutoHyphens/>
              <w:overflowPunct w:val="0"/>
              <w:autoSpaceDE w:val="0"/>
              <w:autoSpaceDN w:val="0"/>
              <w:adjustRightInd w:val="0"/>
              <w:textAlignment w:val="baseline"/>
              <w:rPr>
                <w:i/>
              </w:rPr>
            </w:pPr>
            <w:r w:rsidRPr="00BA440C">
              <w:rPr>
                <w:i/>
              </w:rPr>
              <w:t>tel.</w:t>
            </w:r>
          </w:p>
        </w:tc>
        <w:tc>
          <w:tcPr>
            <w:tcW w:w="4092" w:type="pct"/>
          </w:tcPr>
          <w:p w:rsidRPr="00BA440C" w:rsidR="009B199C" w:rsidP="008E7DE8" w:rsidRDefault="009B199C" w14:paraId="6A56AF39" w14:textId="77777777">
            <w:pPr>
              <w:suppressAutoHyphens/>
              <w:overflowPunct w:val="0"/>
              <w:autoSpaceDE w:val="0"/>
              <w:autoSpaceDN w:val="0"/>
              <w:adjustRightInd w:val="0"/>
              <w:textAlignment w:val="baseline"/>
              <w:rPr>
                <w:i/>
              </w:rPr>
            </w:pPr>
            <w:r w:rsidRPr="00BA440C">
              <w:rPr>
                <w:i/>
              </w:rPr>
              <w:t>+32 2</w:t>
            </w:r>
            <w:r w:rsidRPr="00BA440C">
              <w:t xml:space="preserve"> </w:t>
            </w:r>
            <w:r w:rsidRPr="00BA440C">
              <w:rPr>
                <w:i/>
              </w:rPr>
              <w:t>5469628</w:t>
            </w:r>
          </w:p>
        </w:tc>
      </w:tr>
      <w:tr w:rsidRPr="00BA440C" w:rsidR="009B199C" w:rsidTr="00BA440C" w14:paraId="6BB8066B" w14:textId="77777777">
        <w:tc>
          <w:tcPr>
            <w:tcW w:w="908" w:type="pct"/>
          </w:tcPr>
          <w:p w:rsidRPr="00BA440C" w:rsidR="009B199C" w:rsidP="008E7DE8" w:rsidRDefault="007A0964" w14:paraId="2E2C7A15" w14:textId="4BB9F468">
            <w:pPr>
              <w:suppressAutoHyphens/>
              <w:overflowPunct w:val="0"/>
              <w:autoSpaceDE w:val="0"/>
              <w:autoSpaceDN w:val="0"/>
              <w:adjustRightInd w:val="0"/>
              <w:textAlignment w:val="baseline"/>
              <w:rPr>
                <w:i/>
              </w:rPr>
            </w:pPr>
            <w:r w:rsidRPr="00BA440C">
              <w:rPr>
                <w:i/>
              </w:rPr>
              <w:t>e-mail</w:t>
            </w:r>
          </w:p>
        </w:tc>
        <w:tc>
          <w:tcPr>
            <w:tcW w:w="4092" w:type="pct"/>
          </w:tcPr>
          <w:p w:rsidRPr="00BA440C" w:rsidR="009B199C" w:rsidP="008E7DE8" w:rsidRDefault="00F220BF" w14:paraId="7B544A6C" w14:textId="195BC3BF">
            <w:pPr>
              <w:suppressAutoHyphens/>
              <w:overflowPunct w:val="0"/>
              <w:autoSpaceDE w:val="0"/>
              <w:autoSpaceDN w:val="0"/>
              <w:adjustRightInd w:val="0"/>
              <w:textAlignment w:val="baseline"/>
              <w:rPr>
                <w:i/>
              </w:rPr>
            </w:pPr>
            <w:hyperlink w:history="1" r:id="rId24">
              <w:r w:rsidRPr="00BA440C" w:rsidR="006E14B4">
                <w:rPr>
                  <w:i/>
                  <w:color w:val="0000FF"/>
                  <w:u w:val="single"/>
                </w:rPr>
                <w:t>Juri.Soosaar@eesc.europa.eu</w:t>
              </w:r>
            </w:hyperlink>
          </w:p>
        </w:tc>
      </w:tr>
    </w:tbl>
    <w:p w:rsidRPr="00BA440C" w:rsidR="009B199C" w:rsidP="008E7DE8" w:rsidRDefault="009B199C" w14:paraId="2E5B1FF6" w14:textId="77777777">
      <w:pPr>
        <w:suppressAutoHyphens/>
        <w:jc w:val="left"/>
      </w:pPr>
      <w:r w:rsidRPr="00BA440C">
        <w:br w:type="page"/>
      </w:r>
    </w:p>
    <w:p w:rsidRPr="00B10907" w:rsidR="00773E8D" w:rsidP="008E7DE8" w:rsidRDefault="00F220BF" w14:paraId="5A8B385C" w14:textId="56009D42">
      <w:pPr>
        <w:numPr>
          <w:ilvl w:val="0"/>
          <w:numId w:val="7"/>
        </w:numPr>
        <w:suppressAutoHyphens/>
        <w:overflowPunct w:val="0"/>
        <w:autoSpaceDE w:val="0"/>
        <w:autoSpaceDN w:val="0"/>
        <w:adjustRightInd w:val="0"/>
        <w:ind w:left="567" w:hanging="567"/>
        <w:jc w:val="left"/>
        <w:textAlignment w:val="baseline"/>
        <w:rPr>
          <w:sz w:val="28"/>
          <w:szCs w:val="28"/>
        </w:rPr>
      </w:pPr>
      <w:hyperlink w:history="1" r:id="rId25">
        <w:r w:rsidRPr="00B10907" w:rsidR="00773E8D">
          <w:rPr>
            <w:b/>
            <w:i/>
            <w:color w:val="0000FF"/>
            <w:sz w:val="28"/>
            <w:szCs w:val="28"/>
            <w:u w:val="single"/>
          </w:rPr>
          <w:t>Finansowanie obronności w UE</w:t>
        </w:r>
      </w:hyperlink>
    </w:p>
    <w:p w:rsidRPr="00BA440C" w:rsidR="00773E8D" w:rsidP="008E7DE8" w:rsidRDefault="00773E8D" w14:paraId="3EB22D3F" w14:textId="77777777">
      <w:pPr>
        <w:suppressAutoHyphens/>
        <w:overflowPunct w:val="0"/>
        <w:autoSpaceDE w:val="0"/>
        <w:autoSpaceDN w:val="0"/>
        <w:adjustRightInd w:val="0"/>
        <w:jc w:val="left"/>
        <w:textAlignment w:val="baseline"/>
        <w:rPr>
          <w:b/>
          <w:lang w:eastAsia="zh-CN"/>
        </w:rPr>
      </w:pPr>
    </w:p>
    <w:tbl>
      <w:tblPr>
        <w:tblW w:w="5000" w:type="pct"/>
        <w:tblLook w:val="04A0" w:firstRow="1" w:lastRow="0" w:firstColumn="1" w:lastColumn="0" w:noHBand="0" w:noVBand="1"/>
      </w:tblPr>
      <w:tblGrid>
        <w:gridCol w:w="1798"/>
        <w:gridCol w:w="7491"/>
      </w:tblGrid>
      <w:tr w:rsidRPr="00BA440C" w:rsidR="00773E8D" w:rsidTr="00BA440C" w14:paraId="7736047E" w14:textId="77777777">
        <w:tc>
          <w:tcPr>
            <w:tcW w:w="968" w:type="pct"/>
          </w:tcPr>
          <w:p w:rsidRPr="00BA440C" w:rsidR="00773E8D" w:rsidP="008E7DE8" w:rsidRDefault="00773E8D" w14:paraId="29FDFBF0" w14:textId="77777777">
            <w:pPr>
              <w:suppressAutoHyphens/>
              <w:overflowPunct w:val="0"/>
              <w:autoSpaceDE w:val="0"/>
              <w:autoSpaceDN w:val="0"/>
              <w:adjustRightInd w:val="0"/>
              <w:ind w:left="176" w:hanging="284"/>
              <w:textAlignment w:val="baseline"/>
              <w:rPr>
                <w:b/>
              </w:rPr>
            </w:pPr>
            <w:r w:rsidRPr="00BA440C">
              <w:rPr>
                <w:b/>
              </w:rPr>
              <w:t>Sprawozdawca</w:t>
            </w:r>
          </w:p>
        </w:tc>
        <w:tc>
          <w:tcPr>
            <w:tcW w:w="4032" w:type="pct"/>
          </w:tcPr>
          <w:p w:rsidRPr="00BA440C" w:rsidR="00773E8D" w:rsidP="008E7DE8" w:rsidRDefault="00773E8D" w14:paraId="0FB6E9DA" w14:textId="77777777">
            <w:pPr>
              <w:tabs>
                <w:tab w:val="center" w:pos="284"/>
              </w:tabs>
              <w:suppressAutoHyphens/>
              <w:overflowPunct w:val="0"/>
              <w:autoSpaceDE w:val="0"/>
              <w:autoSpaceDN w:val="0"/>
              <w:adjustRightInd w:val="0"/>
              <w:textAlignment w:val="baseline"/>
            </w:pPr>
            <w:r w:rsidRPr="00BA440C">
              <w:t>Marcin NOWACKI (Grupa Pracodawców – PL)</w:t>
            </w:r>
          </w:p>
        </w:tc>
      </w:tr>
      <w:tr w:rsidRPr="00BA440C" w:rsidR="00773E8D" w:rsidTr="00BA440C" w14:paraId="1DEF454E" w14:textId="77777777">
        <w:tc>
          <w:tcPr>
            <w:tcW w:w="968" w:type="pct"/>
          </w:tcPr>
          <w:p w:rsidRPr="00BA440C" w:rsidR="00773E8D" w:rsidP="008E7DE8" w:rsidRDefault="00773E8D" w14:paraId="18280023" w14:textId="49E04DB4">
            <w:pPr>
              <w:tabs>
                <w:tab w:val="center" w:pos="284"/>
              </w:tabs>
              <w:suppressAutoHyphens/>
              <w:overflowPunct w:val="0"/>
              <w:autoSpaceDE w:val="0"/>
              <w:autoSpaceDN w:val="0"/>
              <w:adjustRightInd w:val="0"/>
              <w:ind w:left="266" w:hanging="374"/>
              <w:textAlignment w:val="baseline"/>
              <w:rPr>
                <w:b/>
              </w:rPr>
            </w:pPr>
            <w:r w:rsidRPr="00BA440C">
              <w:rPr>
                <w:b/>
              </w:rPr>
              <w:t>Dokumenty</w:t>
            </w:r>
          </w:p>
        </w:tc>
        <w:tc>
          <w:tcPr>
            <w:tcW w:w="4032" w:type="pct"/>
          </w:tcPr>
          <w:p w:rsidRPr="00BA440C" w:rsidR="00773E8D" w:rsidP="008E7DE8" w:rsidRDefault="00773E8D" w14:paraId="519A0CF0" w14:textId="0E3E4972">
            <w:pPr>
              <w:tabs>
                <w:tab w:val="center" w:pos="284"/>
              </w:tabs>
              <w:suppressAutoHyphens/>
              <w:overflowPunct w:val="0"/>
              <w:autoSpaceDE w:val="0"/>
              <w:autoSpaceDN w:val="0"/>
              <w:adjustRightInd w:val="0"/>
              <w:textAlignment w:val="baseline"/>
              <w:rPr>
                <w:highlight w:val="yellow"/>
              </w:rPr>
            </w:pPr>
            <w:r w:rsidRPr="00BA440C">
              <w:t>Opinia rozpoznawcza – EESC-2024-03643-00-01-AC</w:t>
            </w:r>
          </w:p>
        </w:tc>
      </w:tr>
    </w:tbl>
    <w:p w:rsidRPr="00BA440C" w:rsidR="00773E8D" w:rsidP="008E7DE8" w:rsidRDefault="00773E8D" w14:paraId="7F428D4F" w14:textId="77777777">
      <w:pPr>
        <w:tabs>
          <w:tab w:val="center" w:pos="284"/>
        </w:tabs>
        <w:suppressAutoHyphens/>
        <w:overflowPunct w:val="0"/>
        <w:autoSpaceDE w:val="0"/>
        <w:autoSpaceDN w:val="0"/>
        <w:adjustRightInd w:val="0"/>
        <w:ind w:left="266" w:hanging="266"/>
        <w:textAlignment w:val="baseline"/>
        <w:rPr>
          <w:b/>
        </w:rPr>
      </w:pPr>
    </w:p>
    <w:p w:rsidRPr="00BA440C" w:rsidR="00773E8D" w:rsidP="008E7DE8" w:rsidRDefault="00773E8D" w14:paraId="373416F2" w14:textId="77777777">
      <w:pPr>
        <w:tabs>
          <w:tab w:val="center" w:pos="284"/>
        </w:tabs>
        <w:suppressAutoHyphens/>
        <w:overflowPunct w:val="0"/>
        <w:autoSpaceDE w:val="0"/>
        <w:autoSpaceDN w:val="0"/>
        <w:adjustRightInd w:val="0"/>
        <w:ind w:left="266" w:hanging="266"/>
        <w:textAlignment w:val="baseline"/>
        <w:rPr>
          <w:b/>
        </w:rPr>
      </w:pPr>
      <w:r w:rsidRPr="00BA440C">
        <w:rPr>
          <w:b/>
        </w:rPr>
        <w:t>Główne punkty</w:t>
      </w:r>
    </w:p>
    <w:p w:rsidRPr="00BA440C" w:rsidR="00773E8D" w:rsidP="008E7DE8" w:rsidRDefault="00773E8D" w14:paraId="64611682" w14:textId="77777777">
      <w:pPr>
        <w:tabs>
          <w:tab w:val="center" w:pos="284"/>
        </w:tabs>
        <w:suppressAutoHyphens/>
        <w:overflowPunct w:val="0"/>
        <w:autoSpaceDE w:val="0"/>
        <w:autoSpaceDN w:val="0"/>
        <w:adjustRightInd w:val="0"/>
        <w:ind w:left="266" w:hanging="266"/>
        <w:textAlignment w:val="baseline"/>
        <w:rPr>
          <w:b/>
        </w:rPr>
      </w:pPr>
    </w:p>
    <w:p w:rsidR="00773E8D" w:rsidP="008E7DE8" w:rsidRDefault="00773E8D" w14:paraId="7BA955D6" w14:textId="01C7AC97">
      <w:pPr>
        <w:suppressAutoHyphens/>
        <w:overflowPunct w:val="0"/>
        <w:autoSpaceDE w:val="0"/>
        <w:autoSpaceDN w:val="0"/>
        <w:adjustRightInd w:val="0"/>
        <w:ind w:left="425" w:hanging="425"/>
        <w:textAlignment w:val="baseline"/>
      </w:pPr>
      <w:r w:rsidRPr="00BA440C">
        <w:t>EKES:</w:t>
      </w:r>
    </w:p>
    <w:p w:rsidRPr="00BA440C" w:rsidR="008E7DE8" w:rsidP="008E7DE8" w:rsidRDefault="008E7DE8" w14:paraId="6434DB7E" w14:textId="77777777">
      <w:pPr>
        <w:suppressAutoHyphens/>
        <w:overflowPunct w:val="0"/>
        <w:autoSpaceDE w:val="0"/>
        <w:autoSpaceDN w:val="0"/>
        <w:adjustRightInd w:val="0"/>
        <w:ind w:left="425" w:hanging="425"/>
        <w:textAlignment w:val="baseline"/>
      </w:pPr>
    </w:p>
    <w:p w:rsidRPr="00BA440C" w:rsidR="00773E8D" w:rsidP="008E7DE8" w:rsidRDefault="00773E8D" w14:paraId="2A4EE010" w14:textId="77777777">
      <w:pPr>
        <w:numPr>
          <w:ilvl w:val="0"/>
          <w:numId w:val="44"/>
        </w:numPr>
        <w:suppressAutoHyphens/>
        <w:ind w:left="567" w:hanging="567"/>
      </w:pPr>
      <w:r w:rsidRPr="00BA440C">
        <w:t>Podkreśla pilną potrzebę zajęcia się zmieniającym się krajobrazem bezpieczeństwa w Europie przez wprowadzenie solidnych i ujednoliconych mechanizmów finansowania obronności. Wyzwania geopolityczne, zwłaszcza rosyjska agresja na Ukrainę, wymagają natychmiastowych i strategicznych inwestycji w zdolności obronne, w gotowość zarówno wojskową, jak i cywilną, w celu ochrony podstawowych wartości UE, pokoju, bezpieczeństwa i interesów gospodarczych.</w:t>
      </w:r>
    </w:p>
    <w:p w:rsidRPr="00BA440C" w:rsidR="00773E8D" w:rsidP="008E7DE8" w:rsidRDefault="00773E8D" w14:paraId="2EF6A041" w14:textId="77777777">
      <w:pPr>
        <w:numPr>
          <w:ilvl w:val="0"/>
          <w:numId w:val="44"/>
        </w:numPr>
        <w:suppressAutoHyphens/>
        <w:ind w:left="567" w:hanging="567"/>
      </w:pPr>
      <w:r w:rsidRPr="00BA440C">
        <w:t>Zwraca uwagę, że UE musi jasno określić cele swojej polityki obronnej i wzmocnić europejski filar obrony, który musi połączyć swoje zasoby i zdolności operacyjne z NATO. Polityka obronna jest częścią polityki zagranicznej i bezpieczeństwa UE, która musi promować pokój, demokrację i prawa człowieka na naszym kontynencie i w jego otoczeniu geograficznym oraz na świecie, a także bronić wielostronnych instytucji systemu ONZ.</w:t>
      </w:r>
    </w:p>
    <w:p w:rsidRPr="00BA440C" w:rsidR="00773E8D" w:rsidP="008E7DE8" w:rsidRDefault="00773E8D" w14:paraId="466E9A4E" w14:textId="6E6F7B49">
      <w:pPr>
        <w:numPr>
          <w:ilvl w:val="0"/>
          <w:numId w:val="44"/>
        </w:numPr>
        <w:suppressAutoHyphens/>
        <w:ind w:left="567" w:hanging="567"/>
      </w:pPr>
      <w:r w:rsidRPr="00BA440C">
        <w:t>Podkreśla potrzebę znalezienia sposobów na zwiększenie zdolności obronnych UE zgodnie z</w:t>
      </w:r>
      <w:r w:rsidR="00EA0B93">
        <w:t> </w:t>
      </w:r>
      <w:r w:rsidRPr="00BA440C">
        <w:t>Traktatem.</w:t>
      </w:r>
    </w:p>
    <w:p w:rsidRPr="00BA440C" w:rsidR="00773E8D" w:rsidP="008E7DE8" w:rsidRDefault="00773E8D" w14:paraId="1C22811F" w14:textId="77777777">
      <w:pPr>
        <w:numPr>
          <w:ilvl w:val="0"/>
          <w:numId w:val="44"/>
        </w:numPr>
        <w:suppressAutoHyphens/>
        <w:ind w:left="567" w:hanging="567"/>
      </w:pPr>
      <w:r w:rsidRPr="00BA440C">
        <w:t>Podkreśla znaczenie zacieśnienia współpracy między UE a NATO w celu zapewnienia jednolitego podejścia do kwestii obronności.</w:t>
      </w:r>
    </w:p>
    <w:p w:rsidRPr="00BA440C" w:rsidR="00773E8D" w:rsidP="008E7DE8" w:rsidRDefault="00773E8D" w14:paraId="72C0537B" w14:textId="77777777">
      <w:pPr>
        <w:numPr>
          <w:ilvl w:val="0"/>
          <w:numId w:val="44"/>
        </w:numPr>
        <w:suppressAutoHyphens/>
        <w:ind w:left="567" w:hanging="567"/>
      </w:pPr>
      <w:r w:rsidRPr="00BA440C">
        <w:t>Zaznacza, jak ważne jest zobowiązanie się europejskich członków NATO do przeznaczania co najmniej 2,5% swojego PKB na obronność.</w:t>
      </w:r>
    </w:p>
    <w:p w:rsidRPr="00BA440C" w:rsidR="00773E8D" w:rsidP="008E7DE8" w:rsidRDefault="00773E8D" w14:paraId="574F91FD" w14:textId="3C7C9F15">
      <w:pPr>
        <w:numPr>
          <w:ilvl w:val="0"/>
          <w:numId w:val="44"/>
        </w:numPr>
        <w:suppressAutoHyphens/>
        <w:ind w:left="567" w:hanging="567"/>
      </w:pPr>
      <w:r w:rsidRPr="00BA440C">
        <w:t>Kładzie nacisk na fakt, że najistotniejsze priorytety finansowania powinny obejmować rozwój i</w:t>
      </w:r>
      <w:r w:rsidR="00EA0B93">
        <w:t> </w:t>
      </w:r>
      <w:r w:rsidRPr="00BA440C">
        <w:t>produkcję nowoczesnych technologii obronnych. Należy bezzwłocznie zacząć wzmacniać inwestycje w takie technologie, nawet w bieżącym okresie budżetowym WRF.</w:t>
      </w:r>
    </w:p>
    <w:p w:rsidRPr="00BA440C" w:rsidR="00773E8D" w:rsidP="008E7DE8" w:rsidRDefault="00773E8D" w14:paraId="22A07DF0" w14:textId="403DFE90">
      <w:pPr>
        <w:numPr>
          <w:ilvl w:val="0"/>
          <w:numId w:val="44"/>
        </w:numPr>
        <w:suppressAutoHyphens/>
        <w:ind w:left="567" w:hanging="567"/>
      </w:pPr>
      <w:r w:rsidRPr="00BA440C">
        <w:t>Podkreśla, że wzmocnienie europejskiej bazy technologiczno-przemysłowej sektora obronnego (EDTIB) ma kluczowe znaczenie dla zmniejszenia zależności od zewnętrznych dostawców i</w:t>
      </w:r>
      <w:r w:rsidR="00EA0B93">
        <w:t> </w:t>
      </w:r>
      <w:r w:rsidRPr="00BA440C">
        <w:t>wspierania innowacyjności w UE.</w:t>
      </w:r>
    </w:p>
    <w:p w:rsidRPr="00BA440C" w:rsidR="00773E8D" w:rsidP="008E7DE8" w:rsidRDefault="00773E8D" w14:paraId="020C30AA" w14:textId="77777777">
      <w:pPr>
        <w:numPr>
          <w:ilvl w:val="0"/>
          <w:numId w:val="44"/>
        </w:numPr>
        <w:suppressAutoHyphens/>
        <w:ind w:left="567" w:hanging="567"/>
      </w:pPr>
      <w:r w:rsidRPr="00BA440C">
        <w:t>Opowiada się za rozszerzeniem mechanizmów wspólnych zamówień publicznych, w tym Europejskiego Instrumentu na rzecz Pokoju (EPF), w celu maksymalizacji efektywnego gospodarowania zasobami i wzmocnienia partnerstwa strategicznego. Należy rozszerzyć zakres inicjatyw takich jak rozporządzenie w sprawie wspierania produkcji amunicji (ASAP) oraz akt na rzecz wzmocnienia europejskiego przemysłu obronnego przez wspólne zamówienia (EDIRPA), aby rozwiązać problemy związane z wąskimi gardłami w produkcji i zapewnić gotowość operacyjną.</w:t>
      </w:r>
    </w:p>
    <w:p w:rsidRPr="00BA440C" w:rsidR="00773E8D" w:rsidP="008E7DE8" w:rsidRDefault="00773E8D" w14:paraId="28B3A062" w14:textId="77777777">
      <w:pPr>
        <w:numPr>
          <w:ilvl w:val="0"/>
          <w:numId w:val="44"/>
        </w:numPr>
        <w:suppressAutoHyphens/>
        <w:ind w:left="567" w:hanging="567"/>
      </w:pPr>
      <w:r w:rsidRPr="00BA440C">
        <w:t xml:space="preserve">Podkreśla, że należy nawiązywać partnerstwa z państwami trzecimi w celu promowania wspólnych wysiłków w zakresie infrastruktury bezpieczeństwa i innowacji technologicznych. </w:t>
      </w:r>
    </w:p>
    <w:p w:rsidRPr="00BA440C" w:rsidR="00773E8D" w:rsidP="008E7DE8" w:rsidRDefault="00773E8D" w14:paraId="0E1C930B" w14:textId="77777777">
      <w:pPr>
        <w:numPr>
          <w:ilvl w:val="0"/>
          <w:numId w:val="44"/>
        </w:numPr>
        <w:suppressAutoHyphens/>
        <w:ind w:left="567" w:hanging="567"/>
      </w:pPr>
      <w:r w:rsidRPr="00BA440C">
        <w:t>Kładzie nacisk na znaczenie partnerstw publiczno-prywatnych jako uzupełniającego narzędzia pozyskiwania wiedzy fachowej i zasobów, przyspieszającego innowacje i wdrażanie rozwiązań w kluczowych obszarach.</w:t>
      </w:r>
    </w:p>
    <w:p w:rsidRPr="00BA440C" w:rsidR="00773E8D" w:rsidP="008E7DE8" w:rsidRDefault="00773E8D" w14:paraId="7941C364" w14:textId="77777777">
      <w:pPr>
        <w:numPr>
          <w:ilvl w:val="0"/>
          <w:numId w:val="44"/>
        </w:numPr>
        <w:suppressAutoHyphens/>
        <w:ind w:left="567" w:hanging="567"/>
      </w:pPr>
      <w:r w:rsidRPr="00BA440C">
        <w:lastRenderedPageBreak/>
        <w:t>Podkreśla, że finansowanie obronności powinno w pierwszej kolejności obejmować wsparcie dla państw członkowskich położonych wzdłuż granic zewnętrznych UE, które są w najbardziej bezpośredni sposób dotknięte konfliktami regionalnymi, pod warunkiem że ściśle przestrzegają wspólnych celów oraz zasad UE i NATO.</w:t>
      </w:r>
    </w:p>
    <w:p w:rsidRPr="00BA440C" w:rsidR="00773E8D" w:rsidP="008E7DE8" w:rsidRDefault="00773E8D" w14:paraId="6AF1CE95" w14:textId="77777777">
      <w:pPr>
        <w:numPr>
          <w:ilvl w:val="0"/>
          <w:numId w:val="44"/>
        </w:numPr>
        <w:suppressAutoHyphens/>
        <w:ind w:left="567" w:hanging="567"/>
      </w:pPr>
      <w:r w:rsidRPr="00BA440C">
        <w:t>Podkreśla znaczenie włączenia finansowania obronności do szerszych mechanizmów finansowych UE, w tym kolejnych wieloletnich ram finansowych (WRF), bez uszczerbku dla innych kluczowych priorytetów unijnych, takich jak polityka spójności, transformacja ekologiczna i Europejski filar praw socjalnych.</w:t>
      </w:r>
    </w:p>
    <w:p w:rsidRPr="00BA440C" w:rsidR="00773E8D" w:rsidP="008E7DE8" w:rsidRDefault="00773E8D" w14:paraId="598F22B0" w14:textId="1A936737">
      <w:pPr>
        <w:numPr>
          <w:ilvl w:val="0"/>
          <w:numId w:val="44"/>
        </w:numPr>
        <w:suppressAutoHyphens/>
        <w:ind w:left="567" w:hanging="567"/>
      </w:pPr>
      <w:r w:rsidRPr="00BA440C">
        <w:t>Kładzie nacisk na fakt, że należy przeprowadzić kampanie mające na celu podniesienie świadomości społecznej, aby podkreślić istotną rolę finansowania obronności w zapewnieniu pokoju i bezpieczeństwa w Europie, a także europejskiego demokratycznego stylu życia i</w:t>
      </w:r>
      <w:r w:rsidR="00EA0B93">
        <w:t> </w:t>
      </w:r>
      <w:r w:rsidRPr="00BA440C">
        <w:t>spójności społecznej.</w:t>
      </w:r>
    </w:p>
    <w:p w:rsidRPr="00BA440C" w:rsidR="00773E8D" w:rsidP="008E7DE8" w:rsidRDefault="00773E8D" w14:paraId="63329DD1" w14:textId="77777777">
      <w:pPr>
        <w:numPr>
          <w:ilvl w:val="0"/>
          <w:numId w:val="44"/>
        </w:numPr>
        <w:suppressAutoHyphens/>
        <w:ind w:left="567" w:hanging="567"/>
      </w:pPr>
      <w:r w:rsidRPr="00BA440C">
        <w:t>Uważa, że UE jest zobowiązana do ustanowienia wspólnej polityki obronnej w ramach wspólnej polityki zagranicznej i bezpieczeństwa, do stworzenia silnego europejskiego filaru obrony oraz do podjęcia w tym celu niezbędnych środków ustawodawczych i finansowych.</w:t>
      </w:r>
    </w:p>
    <w:p w:rsidRPr="00BA440C" w:rsidR="00773E8D" w:rsidP="008E7DE8" w:rsidRDefault="00773E8D" w14:paraId="27DD39A3" w14:textId="77777777">
      <w:pPr>
        <w:numPr>
          <w:ilvl w:val="0"/>
          <w:numId w:val="44"/>
        </w:numPr>
        <w:suppressAutoHyphens/>
        <w:ind w:left="567" w:hanging="567"/>
      </w:pPr>
      <w:r w:rsidRPr="00BA440C">
        <w:t>Jest zdania, że UE musi również odgrywać aktywną rolę dyplomatyczną, aby osiągnąć sprawiedliwy pokój w Ukrainie.</w:t>
      </w:r>
    </w:p>
    <w:p w:rsidRPr="00BA440C" w:rsidR="00773E8D" w:rsidP="008E7DE8" w:rsidRDefault="00773E8D" w14:paraId="1D56F3F6" w14:textId="77777777">
      <w:pPr>
        <w:suppressAutoHyphens/>
        <w:overflowPunct w:val="0"/>
        <w:autoSpaceDE w:val="0"/>
        <w:autoSpaceDN w:val="0"/>
        <w:adjustRightInd w:val="0"/>
        <w:ind w:left="284"/>
        <w:textAlignment w:val="baseline"/>
        <w:rPr>
          <w:lang w:eastAsia="zh-CN"/>
        </w:rPr>
      </w:pPr>
    </w:p>
    <w:tbl>
      <w:tblPr>
        <w:tblW w:w="5000" w:type="pct"/>
        <w:tblLook w:val="04A0" w:firstRow="1" w:lastRow="0" w:firstColumn="1" w:lastColumn="0" w:noHBand="0" w:noVBand="1"/>
      </w:tblPr>
      <w:tblGrid>
        <w:gridCol w:w="1687"/>
        <w:gridCol w:w="7602"/>
      </w:tblGrid>
      <w:tr w:rsidRPr="00BA440C" w:rsidR="00773E8D" w:rsidTr="00BA440C" w14:paraId="72A4C0C1" w14:textId="77777777">
        <w:tc>
          <w:tcPr>
            <w:tcW w:w="908" w:type="pct"/>
          </w:tcPr>
          <w:p w:rsidRPr="00BA440C" w:rsidR="00773E8D" w:rsidP="008E7DE8" w:rsidRDefault="00773E8D" w14:paraId="6CF8EC77" w14:textId="77777777">
            <w:pPr>
              <w:suppressAutoHyphens/>
              <w:overflowPunct w:val="0"/>
              <w:autoSpaceDE w:val="0"/>
              <w:autoSpaceDN w:val="0"/>
              <w:adjustRightInd w:val="0"/>
              <w:textAlignment w:val="baseline"/>
              <w:rPr>
                <w:bCs/>
                <w:i/>
              </w:rPr>
            </w:pPr>
            <w:r w:rsidRPr="00BA440C">
              <w:rPr>
                <w:i/>
              </w:rPr>
              <w:t>Kontakt</w:t>
            </w:r>
          </w:p>
        </w:tc>
        <w:tc>
          <w:tcPr>
            <w:tcW w:w="4092" w:type="pct"/>
          </w:tcPr>
          <w:p w:rsidRPr="00BA440C" w:rsidR="00773E8D" w:rsidP="008E7DE8" w:rsidRDefault="00773E8D" w14:paraId="249491A9" w14:textId="3ED401E0">
            <w:pPr>
              <w:suppressAutoHyphens/>
              <w:overflowPunct w:val="0"/>
              <w:autoSpaceDE w:val="0"/>
              <w:autoSpaceDN w:val="0"/>
              <w:adjustRightInd w:val="0"/>
              <w:textAlignment w:val="baseline"/>
              <w:rPr>
                <w:bCs/>
                <w:i/>
                <w:iCs/>
              </w:rPr>
            </w:pPr>
            <w:r w:rsidRPr="00BA440C">
              <w:rPr>
                <w:i/>
              </w:rPr>
              <w:t>Gerald Klec</w:t>
            </w:r>
          </w:p>
        </w:tc>
      </w:tr>
      <w:tr w:rsidRPr="00BA440C" w:rsidR="00773E8D" w:rsidTr="00BA440C" w14:paraId="2C039993" w14:textId="77777777">
        <w:tc>
          <w:tcPr>
            <w:tcW w:w="908" w:type="pct"/>
          </w:tcPr>
          <w:p w:rsidRPr="00BA440C" w:rsidR="00773E8D" w:rsidP="008E7DE8" w:rsidRDefault="00773E8D" w14:paraId="3583AD71" w14:textId="77777777">
            <w:pPr>
              <w:suppressAutoHyphens/>
              <w:overflowPunct w:val="0"/>
              <w:autoSpaceDE w:val="0"/>
              <w:autoSpaceDN w:val="0"/>
              <w:adjustRightInd w:val="0"/>
              <w:textAlignment w:val="baseline"/>
              <w:rPr>
                <w:i/>
              </w:rPr>
            </w:pPr>
            <w:r w:rsidRPr="00BA440C">
              <w:rPr>
                <w:i/>
              </w:rPr>
              <w:t>tel.</w:t>
            </w:r>
          </w:p>
        </w:tc>
        <w:tc>
          <w:tcPr>
            <w:tcW w:w="4092" w:type="pct"/>
          </w:tcPr>
          <w:p w:rsidRPr="00BA440C" w:rsidR="00773E8D" w:rsidP="008E7DE8" w:rsidRDefault="00773E8D" w14:paraId="17A18F4F" w14:textId="77777777">
            <w:pPr>
              <w:suppressAutoHyphens/>
              <w:overflowPunct w:val="0"/>
              <w:autoSpaceDE w:val="0"/>
              <w:autoSpaceDN w:val="0"/>
              <w:adjustRightInd w:val="0"/>
              <w:textAlignment w:val="baseline"/>
              <w:rPr>
                <w:i/>
                <w:iCs/>
              </w:rPr>
            </w:pPr>
            <w:r w:rsidRPr="00BA440C">
              <w:rPr>
                <w:i/>
              </w:rPr>
              <w:t>+32 25469909</w:t>
            </w:r>
          </w:p>
        </w:tc>
      </w:tr>
      <w:tr w:rsidRPr="00BA440C" w:rsidR="00773E8D" w:rsidTr="00BA440C" w14:paraId="161B9255" w14:textId="77777777">
        <w:tc>
          <w:tcPr>
            <w:tcW w:w="908" w:type="pct"/>
          </w:tcPr>
          <w:p w:rsidRPr="00BA440C" w:rsidR="00773E8D" w:rsidP="008E7DE8" w:rsidRDefault="00773E8D" w14:paraId="21276802" w14:textId="77777777">
            <w:pPr>
              <w:suppressAutoHyphens/>
              <w:overflowPunct w:val="0"/>
              <w:autoSpaceDE w:val="0"/>
              <w:autoSpaceDN w:val="0"/>
              <w:adjustRightInd w:val="0"/>
              <w:textAlignment w:val="baseline"/>
              <w:rPr>
                <w:i/>
              </w:rPr>
            </w:pPr>
            <w:r w:rsidRPr="00BA440C">
              <w:rPr>
                <w:i/>
              </w:rPr>
              <w:t>e-mail</w:t>
            </w:r>
          </w:p>
        </w:tc>
        <w:tc>
          <w:tcPr>
            <w:tcW w:w="4092" w:type="pct"/>
          </w:tcPr>
          <w:p w:rsidRPr="00BA440C" w:rsidR="00773E8D" w:rsidP="008E7DE8" w:rsidRDefault="00F220BF" w14:paraId="7FCDD2C3" w14:textId="2AECDE8E">
            <w:pPr>
              <w:suppressAutoHyphens/>
              <w:overflowPunct w:val="0"/>
              <w:autoSpaceDE w:val="0"/>
              <w:autoSpaceDN w:val="0"/>
              <w:adjustRightInd w:val="0"/>
              <w:textAlignment w:val="baseline"/>
              <w:rPr>
                <w:i/>
                <w:iCs/>
              </w:rPr>
            </w:pPr>
            <w:hyperlink w:history="1" r:id="rId26">
              <w:r w:rsidRPr="00BA440C" w:rsidR="00773E8D">
                <w:rPr>
                  <w:i/>
                  <w:color w:val="0000FF"/>
                  <w:u w:val="single"/>
                </w:rPr>
                <w:t>Gerald.Klec@eesc.europa.eu</w:t>
              </w:r>
            </w:hyperlink>
          </w:p>
        </w:tc>
      </w:tr>
    </w:tbl>
    <w:p w:rsidRPr="00BA440C" w:rsidR="009B199C" w:rsidP="008E7DE8" w:rsidRDefault="009B199C" w14:paraId="26817FC4" w14:textId="77777777">
      <w:pPr>
        <w:suppressAutoHyphens/>
        <w:jc w:val="left"/>
      </w:pPr>
      <w:r w:rsidRPr="00BA440C">
        <w:br w:type="page"/>
      </w:r>
    </w:p>
    <w:p w:rsidRPr="00B10907" w:rsidR="009B199C" w:rsidP="008E7DE8" w:rsidRDefault="00F220BF" w14:paraId="510F45CA" w14:textId="58C2B1AF">
      <w:pPr>
        <w:numPr>
          <w:ilvl w:val="0"/>
          <w:numId w:val="2"/>
        </w:numPr>
        <w:suppressAutoHyphens/>
        <w:overflowPunct w:val="0"/>
        <w:autoSpaceDE w:val="0"/>
        <w:autoSpaceDN w:val="0"/>
        <w:adjustRightInd w:val="0"/>
        <w:ind w:hanging="567"/>
        <w:textAlignment w:val="baseline"/>
        <w:rPr>
          <w:sz w:val="28"/>
          <w:szCs w:val="28"/>
        </w:rPr>
      </w:pPr>
      <w:hyperlink w:history="1" r:id="rId27">
        <w:r w:rsidRPr="00B10907" w:rsidR="006E14B4">
          <w:rPr>
            <w:b/>
            <w:i/>
            <w:color w:val="0000FF"/>
            <w:sz w:val="28"/>
            <w:szCs w:val="28"/>
            <w:u w:val="single"/>
          </w:rPr>
          <w:t>Wzmocnienie orientacji na rezultaty w ramach polityki spójności po 2027 r. – wyzwania, ryzyka i szanse</w:t>
        </w:r>
      </w:hyperlink>
    </w:p>
    <w:p w:rsidRPr="00BA440C" w:rsidR="009B199C" w:rsidP="008E7DE8" w:rsidRDefault="009B199C" w14:paraId="51F52A14" w14:textId="77777777">
      <w:pPr>
        <w:suppressAutoHyphens/>
        <w:overflowPunct w:val="0"/>
        <w:autoSpaceDE w:val="0"/>
        <w:autoSpaceDN w:val="0"/>
        <w:adjustRightInd w:val="0"/>
        <w:ind w:left="283"/>
        <w:textAlignment w:val="baseline"/>
        <w:rPr>
          <w:b/>
          <w:i/>
          <w:iCs/>
        </w:rPr>
      </w:pPr>
    </w:p>
    <w:tbl>
      <w:tblPr>
        <w:tblW w:w="5000" w:type="pct"/>
        <w:tblLook w:val="04A0" w:firstRow="1" w:lastRow="0" w:firstColumn="1" w:lastColumn="0" w:noHBand="0" w:noVBand="1"/>
      </w:tblPr>
      <w:tblGrid>
        <w:gridCol w:w="2198"/>
        <w:gridCol w:w="7091"/>
      </w:tblGrid>
      <w:tr w:rsidRPr="00BA440C" w:rsidR="009B199C" w:rsidTr="00BA440C" w14:paraId="5BC5C730" w14:textId="77777777">
        <w:tc>
          <w:tcPr>
            <w:tcW w:w="1183" w:type="pct"/>
          </w:tcPr>
          <w:p w:rsidRPr="00BA440C" w:rsidR="009B199C" w:rsidP="008E7DE8" w:rsidRDefault="009B199C" w14:paraId="455C16FC" w14:textId="77777777">
            <w:pPr>
              <w:tabs>
                <w:tab w:val="center" w:pos="284"/>
              </w:tabs>
              <w:suppressAutoHyphens/>
              <w:overflowPunct w:val="0"/>
              <w:autoSpaceDE w:val="0"/>
              <w:autoSpaceDN w:val="0"/>
              <w:adjustRightInd w:val="0"/>
              <w:ind w:left="266" w:hanging="266"/>
              <w:textAlignment w:val="baseline"/>
              <w:rPr>
                <w:b/>
              </w:rPr>
            </w:pPr>
            <w:r w:rsidRPr="00BA440C">
              <w:rPr>
                <w:b/>
              </w:rPr>
              <w:t>Sprawozdawca</w:t>
            </w:r>
          </w:p>
          <w:p w:rsidRPr="00BA440C" w:rsidR="009B199C" w:rsidP="008E7DE8" w:rsidRDefault="009B199C" w14:paraId="78EA9397" w14:textId="77777777">
            <w:pPr>
              <w:tabs>
                <w:tab w:val="center" w:pos="284"/>
              </w:tabs>
              <w:suppressAutoHyphens/>
              <w:overflowPunct w:val="0"/>
              <w:autoSpaceDE w:val="0"/>
              <w:autoSpaceDN w:val="0"/>
              <w:adjustRightInd w:val="0"/>
              <w:ind w:left="266" w:hanging="266"/>
              <w:textAlignment w:val="baseline"/>
              <w:rPr>
                <w:b/>
              </w:rPr>
            </w:pPr>
            <w:r w:rsidRPr="00BA440C">
              <w:rPr>
                <w:b/>
              </w:rPr>
              <w:t>Współsprawozdawca</w:t>
            </w:r>
          </w:p>
        </w:tc>
        <w:tc>
          <w:tcPr>
            <w:tcW w:w="3817" w:type="pct"/>
          </w:tcPr>
          <w:p w:rsidRPr="00BA440C" w:rsidR="009B199C" w:rsidP="008E7DE8" w:rsidRDefault="009B199C" w14:paraId="5A2D0416" w14:textId="40276D4D">
            <w:pPr>
              <w:tabs>
                <w:tab w:val="center" w:pos="284"/>
              </w:tabs>
              <w:suppressAutoHyphens/>
              <w:overflowPunct w:val="0"/>
              <w:autoSpaceDE w:val="0"/>
              <w:autoSpaceDN w:val="0"/>
              <w:adjustRightInd w:val="0"/>
              <w:ind w:left="266" w:hanging="266"/>
              <w:textAlignment w:val="baseline"/>
            </w:pPr>
            <w:r w:rsidRPr="00BA440C">
              <w:t>David SVENTEK (Grupa Pracodawców – CZ)</w:t>
            </w:r>
          </w:p>
          <w:p w:rsidRPr="00BA440C" w:rsidR="005F41D0" w:rsidP="008E7DE8" w:rsidRDefault="009B199C" w14:paraId="0C02A021" w14:textId="4BEC0AEE">
            <w:pPr>
              <w:tabs>
                <w:tab w:val="center" w:pos="284"/>
              </w:tabs>
              <w:suppressAutoHyphens/>
              <w:overflowPunct w:val="0"/>
              <w:autoSpaceDE w:val="0"/>
              <w:autoSpaceDN w:val="0"/>
              <w:adjustRightInd w:val="0"/>
              <w:ind w:left="266" w:hanging="266"/>
              <w:textAlignment w:val="baseline"/>
              <w:rPr>
                <w:bCs/>
              </w:rPr>
            </w:pPr>
            <w:r w:rsidRPr="00BA440C">
              <w:t>Florian MARIN (Grupa Pracowników – RO)</w:t>
            </w:r>
          </w:p>
        </w:tc>
      </w:tr>
      <w:tr w:rsidRPr="00BA440C" w:rsidR="009B199C" w:rsidTr="00BA440C" w14:paraId="4A10BF69" w14:textId="77777777">
        <w:tc>
          <w:tcPr>
            <w:tcW w:w="1183" w:type="pct"/>
          </w:tcPr>
          <w:p w:rsidRPr="00BA440C" w:rsidR="009B199C" w:rsidP="008E7DE8" w:rsidRDefault="009B199C" w14:paraId="4D7754ED" w14:textId="396C246D">
            <w:pPr>
              <w:tabs>
                <w:tab w:val="center" w:pos="284"/>
              </w:tabs>
              <w:suppressAutoHyphens/>
              <w:overflowPunct w:val="0"/>
              <w:autoSpaceDE w:val="0"/>
              <w:autoSpaceDN w:val="0"/>
              <w:adjustRightInd w:val="0"/>
              <w:ind w:left="266" w:hanging="266"/>
              <w:textAlignment w:val="baseline"/>
              <w:rPr>
                <w:b/>
              </w:rPr>
            </w:pPr>
            <w:r w:rsidRPr="00BA440C">
              <w:rPr>
                <w:b/>
              </w:rPr>
              <w:t>Dokumenty</w:t>
            </w:r>
          </w:p>
        </w:tc>
        <w:tc>
          <w:tcPr>
            <w:tcW w:w="3817" w:type="pct"/>
          </w:tcPr>
          <w:p w:rsidRPr="00BA440C" w:rsidR="009B199C" w:rsidP="008E7DE8" w:rsidRDefault="009B199C" w14:paraId="7601F5CA" w14:textId="00E8D08D">
            <w:pPr>
              <w:suppressAutoHyphens/>
              <w:overflowPunct w:val="0"/>
              <w:autoSpaceDE w:val="0"/>
              <w:autoSpaceDN w:val="0"/>
              <w:adjustRightInd w:val="0"/>
              <w:ind w:left="266" w:hanging="266"/>
              <w:textAlignment w:val="baseline"/>
            </w:pPr>
            <w:r w:rsidRPr="00BA440C">
              <w:t>Opinia rozpoznawcza na wniosek polskiej prezydencji Rady UE</w:t>
            </w:r>
          </w:p>
          <w:p w:rsidRPr="00BA440C" w:rsidR="009B199C" w:rsidP="008E7DE8" w:rsidRDefault="009B199C" w14:paraId="443F4397" w14:textId="7E955EB3">
            <w:pPr>
              <w:suppressAutoHyphens/>
              <w:overflowPunct w:val="0"/>
              <w:autoSpaceDE w:val="0"/>
              <w:autoSpaceDN w:val="0"/>
              <w:adjustRightInd w:val="0"/>
              <w:ind w:left="266" w:hanging="266"/>
              <w:textAlignment w:val="baseline"/>
            </w:pPr>
            <w:r w:rsidRPr="00BA440C">
              <w:t>EESC-2024-03481-00-00-AC</w:t>
            </w:r>
          </w:p>
        </w:tc>
      </w:tr>
    </w:tbl>
    <w:p w:rsidRPr="00BA440C" w:rsidR="009B199C" w:rsidP="008E7DE8" w:rsidRDefault="009B199C" w14:paraId="7F8C0AE3" w14:textId="77777777">
      <w:pPr>
        <w:tabs>
          <w:tab w:val="center" w:pos="284"/>
        </w:tabs>
        <w:suppressAutoHyphens/>
        <w:overflowPunct w:val="0"/>
        <w:autoSpaceDE w:val="0"/>
        <w:autoSpaceDN w:val="0"/>
        <w:adjustRightInd w:val="0"/>
        <w:ind w:left="266" w:hanging="266"/>
        <w:textAlignment w:val="baseline"/>
        <w:rPr>
          <w:b/>
        </w:rPr>
      </w:pPr>
    </w:p>
    <w:p w:rsidRPr="00BA440C" w:rsidR="009B199C" w:rsidP="008E7DE8" w:rsidRDefault="009B199C" w14:paraId="3A8AAE4F" w14:textId="77777777">
      <w:pPr>
        <w:tabs>
          <w:tab w:val="center" w:pos="284"/>
        </w:tabs>
        <w:suppressAutoHyphens/>
        <w:overflowPunct w:val="0"/>
        <w:autoSpaceDE w:val="0"/>
        <w:autoSpaceDN w:val="0"/>
        <w:adjustRightInd w:val="0"/>
        <w:ind w:left="266" w:hanging="266"/>
        <w:textAlignment w:val="baseline"/>
        <w:rPr>
          <w:b/>
        </w:rPr>
      </w:pPr>
      <w:r w:rsidRPr="00BA440C">
        <w:rPr>
          <w:b/>
        </w:rPr>
        <w:t>Główne punkty</w:t>
      </w:r>
    </w:p>
    <w:p w:rsidRPr="00BA440C" w:rsidR="009B199C" w:rsidP="008E7DE8" w:rsidRDefault="009B199C" w14:paraId="754DF2AC" w14:textId="77777777">
      <w:pPr>
        <w:tabs>
          <w:tab w:val="center" w:pos="284"/>
        </w:tabs>
        <w:suppressAutoHyphens/>
        <w:overflowPunct w:val="0"/>
        <w:autoSpaceDE w:val="0"/>
        <w:autoSpaceDN w:val="0"/>
        <w:adjustRightInd w:val="0"/>
        <w:ind w:left="266" w:hanging="266"/>
        <w:textAlignment w:val="baseline"/>
        <w:rPr>
          <w:b/>
        </w:rPr>
      </w:pPr>
    </w:p>
    <w:p w:rsidR="009B199C" w:rsidP="008E7DE8" w:rsidRDefault="009B199C" w14:paraId="4A63B8DB" w14:textId="66AA08F8">
      <w:pPr>
        <w:tabs>
          <w:tab w:val="center" w:pos="284"/>
        </w:tabs>
        <w:suppressAutoHyphens/>
        <w:overflowPunct w:val="0"/>
        <w:autoSpaceDE w:val="0"/>
        <w:autoSpaceDN w:val="0"/>
        <w:adjustRightInd w:val="0"/>
        <w:ind w:left="266" w:hanging="266"/>
        <w:textAlignment w:val="baseline"/>
      </w:pPr>
      <w:r w:rsidRPr="00BA440C">
        <w:t>EKES:</w:t>
      </w:r>
    </w:p>
    <w:p w:rsidRPr="00BA440C" w:rsidR="008E7DE8" w:rsidP="008E7DE8" w:rsidRDefault="008E7DE8" w14:paraId="2426F081" w14:textId="77777777">
      <w:pPr>
        <w:tabs>
          <w:tab w:val="center" w:pos="284"/>
        </w:tabs>
        <w:suppressAutoHyphens/>
        <w:overflowPunct w:val="0"/>
        <w:autoSpaceDE w:val="0"/>
        <w:autoSpaceDN w:val="0"/>
        <w:adjustRightInd w:val="0"/>
        <w:ind w:left="266" w:hanging="266"/>
        <w:textAlignment w:val="baseline"/>
        <w:rPr>
          <w:bCs/>
          <w:iCs/>
        </w:rPr>
      </w:pPr>
    </w:p>
    <w:p w:rsidRPr="00BA440C" w:rsidR="009B199C" w:rsidP="008E7DE8" w:rsidRDefault="009B199C" w14:paraId="6EB77383" w14:textId="77777777">
      <w:pPr>
        <w:numPr>
          <w:ilvl w:val="0"/>
          <w:numId w:val="22"/>
        </w:numPr>
        <w:suppressAutoHyphens/>
        <w:ind w:left="567" w:hanging="567"/>
        <w:rPr>
          <w:bCs/>
          <w:iCs/>
        </w:rPr>
      </w:pPr>
      <w:r w:rsidRPr="00BA440C">
        <w:t>Zdecydowanie popiera kontynuację polityki spójności UE, uznając stojące za nią powody za jasne, racjonalne i uzasadnione. Z drugiej strony uznaje, że polityka spójności musi zostać zmodernizowana i dostosowana, z odzwierciedleniem tendencji i potrzeb rozwojowych.</w:t>
      </w:r>
    </w:p>
    <w:p w:rsidRPr="00BA440C" w:rsidR="009B199C" w:rsidP="008E7DE8" w:rsidRDefault="009B199C" w14:paraId="0ED74D26" w14:textId="77777777">
      <w:pPr>
        <w:numPr>
          <w:ilvl w:val="0"/>
          <w:numId w:val="22"/>
        </w:numPr>
        <w:suppressAutoHyphens/>
        <w:ind w:left="567" w:hanging="567"/>
        <w:rPr>
          <w:bCs/>
          <w:iCs/>
        </w:rPr>
      </w:pPr>
      <w:r w:rsidRPr="00BA440C">
        <w:t>Uważa, że obecny udział budżetu UE na politykę spójności nie powinien być zmniejszony, tylko zwiększony w kolejnych FRP.</w:t>
      </w:r>
    </w:p>
    <w:p w:rsidRPr="00BA440C" w:rsidR="009B199C" w:rsidP="008E7DE8" w:rsidRDefault="009B199C" w14:paraId="74B75549" w14:textId="1B3C986F">
      <w:pPr>
        <w:numPr>
          <w:ilvl w:val="0"/>
          <w:numId w:val="22"/>
        </w:numPr>
        <w:suppressAutoHyphens/>
        <w:ind w:left="567" w:hanging="567"/>
        <w:rPr>
          <w:bCs/>
          <w:iCs/>
        </w:rPr>
      </w:pPr>
      <w:r w:rsidRPr="00BA440C">
        <w:t>Zaleca zarządzanie polityką spójności w przyszłości zgodnie z następującymi zasadami ogólnymi: partnerstwo (w tym aktywny wkład zorganizowanego społeczeństwa obywatelskiego); zarządzanie dzielone (zrównoważony udział władz UE, krajowych i</w:t>
      </w:r>
      <w:r w:rsidR="00EA0B93">
        <w:t> </w:t>
      </w:r>
      <w:r w:rsidRPr="00BA440C">
        <w:t>regionalnych); wielopoziomowe sprawowanie rządów (z uwzględnieniem regionów, miast, władz lokalnych i zainteresowanych stron); podejście ukierunkowane na konkretny obszar (wdrażanie podejścia oddolnego); koncentracja tematyczna (wzajemne powiązanie poprzez proces europejskiego semestru); ukierunkowanie terytorialne (również w oparciu o regionalną specyfikę); ukierunkowanie na rezultaty (uzyskanie rzeczywistych i wymiernych korzyści); uproszczenie (zasad i procedur) oraz uwarunkowania społeczne dla finansowanych inwestycji.</w:t>
      </w:r>
    </w:p>
    <w:p w:rsidRPr="00BA440C" w:rsidR="009B199C" w:rsidP="008E7DE8" w:rsidRDefault="009B199C" w14:paraId="384FD159" w14:textId="77777777">
      <w:pPr>
        <w:numPr>
          <w:ilvl w:val="0"/>
          <w:numId w:val="22"/>
        </w:numPr>
        <w:suppressAutoHyphens/>
        <w:ind w:left="567" w:hanging="567"/>
        <w:rPr>
          <w:bCs/>
          <w:iCs/>
        </w:rPr>
      </w:pPr>
      <w:r w:rsidRPr="00BA440C">
        <w:t>Uważa, że przyszła, zorientowana na rezultaty polityka spójności powinna zdecydowanie obejmować wyzwania geopolityczne, potrzebę inwestycji w budowanie zdolności i zasadę partnerstwa.</w:t>
      </w:r>
    </w:p>
    <w:p w:rsidRPr="00BA440C" w:rsidR="009B199C" w:rsidP="008E7DE8" w:rsidRDefault="009B199C" w14:paraId="691F18AC" w14:textId="77777777">
      <w:pPr>
        <w:numPr>
          <w:ilvl w:val="0"/>
          <w:numId w:val="22"/>
        </w:numPr>
        <w:suppressAutoHyphens/>
        <w:ind w:left="567" w:hanging="567"/>
        <w:rPr>
          <w:bCs/>
          <w:iCs/>
        </w:rPr>
      </w:pPr>
      <w:r w:rsidRPr="00BA440C">
        <w:t>Podkreśla, że uczynienie z podejścia opartego na wynikach podstawowej zasady przyczyni się do skuteczniejszej alokacji ograniczonych zasobów polityki spójności oraz przyniesie widoczne i przejrzyste korzyści.</w:t>
      </w:r>
    </w:p>
    <w:p w:rsidRPr="00BA440C" w:rsidR="009B199C" w:rsidP="008E7DE8" w:rsidRDefault="009B199C" w14:paraId="69027A6A" w14:textId="77777777">
      <w:pPr>
        <w:numPr>
          <w:ilvl w:val="0"/>
          <w:numId w:val="22"/>
        </w:numPr>
        <w:suppressAutoHyphens/>
        <w:ind w:left="567" w:hanging="567"/>
        <w:rPr>
          <w:bCs/>
          <w:iCs/>
        </w:rPr>
      </w:pPr>
      <w:r w:rsidRPr="00BA440C">
        <w:t>Uważa, że do już istniejących procesów kontroli i audytu służących weryfikacji skuteczności, wydajności i oszczędności wydatków na projekty finansowane ze środków funduszy spójności nie należy dodawać obowiązków wynikających z wprowadzenia podejścia opartego na wynikach.</w:t>
      </w:r>
    </w:p>
    <w:p w:rsidRPr="00BA440C" w:rsidR="009B199C" w:rsidP="008E7DE8" w:rsidRDefault="009B199C" w14:paraId="1F1F1EFC" w14:textId="77777777">
      <w:pPr>
        <w:numPr>
          <w:ilvl w:val="0"/>
          <w:numId w:val="22"/>
        </w:numPr>
        <w:suppressAutoHyphens/>
        <w:ind w:left="567" w:hanging="567"/>
        <w:rPr>
          <w:bCs/>
          <w:iCs/>
        </w:rPr>
      </w:pPr>
      <w:r w:rsidRPr="00BA440C">
        <w:t>Jest głęboko przekonany, że pomimo wszelkich niezbędnych zmian w treści i kierunkach polityki spójności istotą tej polityki muszą pozostać regiony i ich szczególne potrzeby rozwojowe i potrzeby w zakresie odporności, przy jednoczesnym dążeniu do zmniejszenia nierówności.</w:t>
      </w:r>
    </w:p>
    <w:p w:rsidRPr="00BA440C" w:rsidR="009B199C" w:rsidP="008E7DE8" w:rsidRDefault="009B199C" w14:paraId="07F4614C" w14:textId="2CB71FDE">
      <w:pPr>
        <w:numPr>
          <w:ilvl w:val="0"/>
          <w:numId w:val="22"/>
        </w:numPr>
        <w:suppressAutoHyphens/>
        <w:ind w:left="567" w:hanging="567"/>
        <w:rPr>
          <w:bCs/>
          <w:iCs/>
        </w:rPr>
      </w:pPr>
      <w:r w:rsidRPr="00BA440C">
        <w:t>Sądzi, że większą uwagę należy poświęcić inwestycjom społecznym,</w:t>
      </w:r>
      <w:r w:rsidR="002B51B6">
        <w:t xml:space="preserve"> </w:t>
      </w:r>
      <w:r w:rsidRPr="00BA440C">
        <w:t xml:space="preserve">w tym mieszkalnictwu, jako kluczowym elementom rozwoju terytorialnego, z myślą o dostępie do wysokiej jakości usług publicznych oraz o wyzwaniach demograficznych. </w:t>
      </w:r>
    </w:p>
    <w:p w:rsidRPr="00BA440C" w:rsidR="009B199C" w:rsidP="008E7DE8" w:rsidRDefault="009B199C" w14:paraId="4545597B" w14:textId="77777777">
      <w:pPr>
        <w:numPr>
          <w:ilvl w:val="0"/>
          <w:numId w:val="22"/>
        </w:numPr>
        <w:suppressAutoHyphens/>
        <w:ind w:left="567" w:hanging="567"/>
        <w:rPr>
          <w:bCs/>
          <w:iCs/>
        </w:rPr>
      </w:pPr>
      <w:r w:rsidRPr="00BA440C">
        <w:lastRenderedPageBreak/>
        <w:t>Zaleca stworzenie przejrzystego otoczenia politycznego z jasno określonym miejscem dla konkretnych zainteresowanych stron, w tym przedstawicieli zorganizowanego społeczeństwa obywatelskiego.</w:t>
      </w:r>
    </w:p>
    <w:p w:rsidRPr="00BA440C" w:rsidR="009B199C" w:rsidP="008E7DE8" w:rsidRDefault="009B199C" w14:paraId="1086985B" w14:textId="77777777">
      <w:pPr>
        <w:numPr>
          <w:ilvl w:val="0"/>
          <w:numId w:val="22"/>
        </w:numPr>
        <w:suppressAutoHyphens/>
        <w:ind w:left="567" w:hanging="567"/>
        <w:rPr>
          <w:bCs/>
          <w:iCs/>
          <w:spacing w:val="-2"/>
        </w:rPr>
      </w:pPr>
      <w:r w:rsidRPr="00BA440C">
        <w:t>Jest świadomy złożoności systemu, który wymaga znacznego uproszczenia i zwiększenia przejrzystości.</w:t>
      </w:r>
    </w:p>
    <w:p w:rsidRPr="00BA440C" w:rsidR="009B199C" w:rsidP="008E7DE8" w:rsidRDefault="009B199C" w14:paraId="168F9847" w14:textId="5082D160">
      <w:pPr>
        <w:numPr>
          <w:ilvl w:val="0"/>
          <w:numId w:val="22"/>
        </w:numPr>
        <w:suppressAutoHyphens/>
        <w:ind w:left="567" w:hanging="567"/>
        <w:rPr>
          <w:bCs/>
          <w:iCs/>
        </w:rPr>
      </w:pPr>
      <w:r w:rsidRPr="00BA440C">
        <w:t>Podkreśla, że zwłaszcza w obecnym i nadchodzącym okresie rozwoju gospodarczego i</w:t>
      </w:r>
      <w:r w:rsidR="00EA0B93">
        <w:t> </w:t>
      </w:r>
      <w:r w:rsidRPr="00BA440C">
        <w:t>społecznego w UE konwergencja i zrównoważona konkurencyjność nie są ze sobą sprzeczne.</w:t>
      </w:r>
    </w:p>
    <w:p w:rsidRPr="00BA440C" w:rsidR="009B199C" w:rsidP="008E7DE8" w:rsidRDefault="009B199C" w14:paraId="1DD19EA2" w14:textId="66A2333D">
      <w:pPr>
        <w:suppressAutoHyphens/>
        <w:ind w:left="360"/>
        <w:rPr>
          <w:bCs/>
          <w:iCs/>
          <w:lang w:eastAsia="zh-CN"/>
        </w:rPr>
      </w:pPr>
    </w:p>
    <w:tbl>
      <w:tblPr>
        <w:tblW w:w="5000" w:type="pct"/>
        <w:tblLook w:val="04A0" w:firstRow="1" w:lastRow="0" w:firstColumn="1" w:lastColumn="0" w:noHBand="0" w:noVBand="1"/>
      </w:tblPr>
      <w:tblGrid>
        <w:gridCol w:w="1663"/>
        <w:gridCol w:w="7626"/>
      </w:tblGrid>
      <w:tr w:rsidRPr="00BA440C" w:rsidR="00E14D8E" w:rsidTr="00BA440C" w14:paraId="6547EFA9" w14:textId="77777777">
        <w:tc>
          <w:tcPr>
            <w:tcW w:w="895" w:type="pct"/>
          </w:tcPr>
          <w:p w:rsidRPr="00BA440C" w:rsidR="00E14D8E" w:rsidP="008E7DE8" w:rsidRDefault="00E14D8E" w14:paraId="4258610F" w14:textId="77777777">
            <w:pPr>
              <w:suppressAutoHyphens/>
              <w:overflowPunct w:val="0"/>
              <w:autoSpaceDE w:val="0"/>
              <w:autoSpaceDN w:val="0"/>
              <w:adjustRightInd w:val="0"/>
              <w:textAlignment w:val="baseline"/>
              <w:rPr>
                <w:i/>
              </w:rPr>
            </w:pPr>
            <w:r w:rsidRPr="00BA440C">
              <w:rPr>
                <w:b/>
                <w:i/>
              </w:rPr>
              <w:t>Kontakt</w:t>
            </w:r>
          </w:p>
        </w:tc>
        <w:tc>
          <w:tcPr>
            <w:tcW w:w="4105" w:type="pct"/>
          </w:tcPr>
          <w:p w:rsidRPr="00BA440C" w:rsidR="00E14D8E" w:rsidP="008E7DE8" w:rsidRDefault="00E14D8E" w14:paraId="5390638D" w14:textId="77777777">
            <w:pPr>
              <w:suppressAutoHyphens/>
              <w:overflowPunct w:val="0"/>
              <w:autoSpaceDE w:val="0"/>
              <w:autoSpaceDN w:val="0"/>
              <w:adjustRightInd w:val="0"/>
              <w:textAlignment w:val="baseline"/>
              <w:rPr>
                <w:i/>
              </w:rPr>
            </w:pPr>
            <w:r w:rsidRPr="00BA440C">
              <w:rPr>
                <w:i/>
              </w:rPr>
              <w:t>Georgios MELEAS</w:t>
            </w:r>
          </w:p>
        </w:tc>
      </w:tr>
      <w:tr w:rsidRPr="00BA440C" w:rsidR="00E14D8E" w:rsidTr="00BA440C" w14:paraId="5F576F6C" w14:textId="77777777">
        <w:tc>
          <w:tcPr>
            <w:tcW w:w="895" w:type="pct"/>
          </w:tcPr>
          <w:p w:rsidRPr="00BA440C" w:rsidR="00E14D8E" w:rsidP="008E7DE8" w:rsidRDefault="00E14D8E" w14:paraId="13C225A0" w14:textId="77777777">
            <w:pPr>
              <w:suppressAutoHyphens/>
              <w:overflowPunct w:val="0"/>
              <w:autoSpaceDE w:val="0"/>
              <w:autoSpaceDN w:val="0"/>
              <w:adjustRightInd w:val="0"/>
              <w:textAlignment w:val="baseline"/>
              <w:rPr>
                <w:i/>
              </w:rPr>
            </w:pPr>
            <w:r w:rsidRPr="00BA440C">
              <w:rPr>
                <w:i/>
              </w:rPr>
              <w:t>tel.</w:t>
            </w:r>
          </w:p>
        </w:tc>
        <w:tc>
          <w:tcPr>
            <w:tcW w:w="4105" w:type="pct"/>
          </w:tcPr>
          <w:p w:rsidRPr="00BA440C" w:rsidR="00E14D8E" w:rsidP="008E7DE8" w:rsidRDefault="00E14D8E" w14:paraId="1A2A2EF0" w14:textId="77777777">
            <w:pPr>
              <w:suppressAutoHyphens/>
              <w:overflowPunct w:val="0"/>
              <w:autoSpaceDE w:val="0"/>
              <w:autoSpaceDN w:val="0"/>
              <w:adjustRightInd w:val="0"/>
              <w:textAlignment w:val="baseline"/>
              <w:rPr>
                <w:i/>
              </w:rPr>
            </w:pPr>
            <w:r w:rsidRPr="00BA440C">
              <w:rPr>
                <w:i/>
              </w:rPr>
              <w:t>+32 2 5469795</w:t>
            </w:r>
          </w:p>
        </w:tc>
      </w:tr>
      <w:tr w:rsidRPr="00BA440C" w:rsidR="00E14D8E" w:rsidTr="00BA440C" w14:paraId="243EA6DE" w14:textId="77777777">
        <w:tc>
          <w:tcPr>
            <w:tcW w:w="895" w:type="pct"/>
          </w:tcPr>
          <w:p w:rsidRPr="00BA440C" w:rsidR="00E14D8E" w:rsidP="008E7DE8" w:rsidRDefault="00E14D8E" w14:paraId="385A71F4" w14:textId="77777777">
            <w:pPr>
              <w:suppressAutoHyphens/>
              <w:overflowPunct w:val="0"/>
              <w:autoSpaceDE w:val="0"/>
              <w:autoSpaceDN w:val="0"/>
              <w:adjustRightInd w:val="0"/>
              <w:textAlignment w:val="baseline"/>
              <w:rPr>
                <w:i/>
              </w:rPr>
            </w:pPr>
            <w:r w:rsidRPr="00BA440C">
              <w:rPr>
                <w:i/>
              </w:rPr>
              <w:t>e-mail</w:t>
            </w:r>
          </w:p>
        </w:tc>
        <w:tc>
          <w:tcPr>
            <w:tcW w:w="4105" w:type="pct"/>
          </w:tcPr>
          <w:p w:rsidRPr="00BA440C" w:rsidR="00E14D8E" w:rsidP="008E7DE8" w:rsidRDefault="00F220BF" w14:paraId="00D270D1" w14:textId="77777777">
            <w:pPr>
              <w:suppressAutoHyphens/>
              <w:overflowPunct w:val="0"/>
              <w:autoSpaceDE w:val="0"/>
              <w:autoSpaceDN w:val="0"/>
              <w:adjustRightInd w:val="0"/>
              <w:textAlignment w:val="baseline"/>
              <w:rPr>
                <w:i/>
                <w:iCs/>
              </w:rPr>
            </w:pPr>
            <w:hyperlink w:history="1" r:id="rId28">
              <w:r w:rsidRPr="00BA440C" w:rsidR="006E14B4">
                <w:rPr>
                  <w:i/>
                  <w:color w:val="0000FF"/>
                  <w:u w:val="single"/>
                </w:rPr>
                <w:t>Georgios.Meleas@eesc.europa.eu</w:t>
              </w:r>
            </w:hyperlink>
          </w:p>
        </w:tc>
      </w:tr>
    </w:tbl>
    <w:p w:rsidRPr="00BA440C" w:rsidR="00E14D8E" w:rsidP="008E7DE8" w:rsidRDefault="00E14D8E" w14:paraId="14382163" w14:textId="77777777">
      <w:pPr>
        <w:suppressAutoHyphens/>
        <w:jc w:val="left"/>
        <w:rPr>
          <w:bCs/>
          <w:iCs/>
        </w:rPr>
      </w:pPr>
      <w:r w:rsidRPr="00BA440C">
        <w:br w:type="page"/>
      </w:r>
    </w:p>
    <w:p w:rsidRPr="00BA440C" w:rsidR="004D7AC0" w:rsidP="008E7DE8" w:rsidRDefault="004D7AC0" w14:paraId="4982DD99" w14:textId="77777777">
      <w:pPr>
        <w:pStyle w:val="Heading1"/>
        <w:suppressAutoHyphens/>
        <w:rPr>
          <w:b/>
        </w:rPr>
      </w:pPr>
      <w:bookmarkStart w:name="_Toc192059218" w:id="1"/>
      <w:bookmarkStart w:name="_Toc192059438" w:id="2"/>
      <w:bookmarkStart w:name="_Toc192060291" w:id="3"/>
      <w:bookmarkStart w:name="_Toc192060608" w:id="4"/>
      <w:bookmarkStart w:name="_Toc192059219" w:id="5"/>
      <w:bookmarkStart w:name="_Toc192059439" w:id="6"/>
      <w:bookmarkStart w:name="_Toc192060292" w:id="7"/>
      <w:bookmarkStart w:name="_Toc192060609" w:id="8"/>
      <w:bookmarkStart w:name="_Toc75527081" w:id="9"/>
      <w:bookmarkStart w:name="_Toc192768379" w:id="10"/>
      <w:bookmarkEnd w:id="1"/>
      <w:bookmarkEnd w:id="2"/>
      <w:bookmarkEnd w:id="3"/>
      <w:bookmarkEnd w:id="4"/>
      <w:bookmarkEnd w:id="5"/>
      <w:bookmarkEnd w:id="6"/>
      <w:bookmarkEnd w:id="7"/>
      <w:bookmarkEnd w:id="8"/>
      <w:r w:rsidRPr="00BA440C">
        <w:rPr>
          <w:b/>
        </w:rPr>
        <w:lastRenderedPageBreak/>
        <w:t>ZATRUDNIENIE, SPRAWY SPOŁECZNE I OBYWATELSTWO</w:t>
      </w:r>
      <w:bookmarkEnd w:id="9"/>
      <w:bookmarkEnd w:id="10"/>
    </w:p>
    <w:p w:rsidRPr="00BA440C" w:rsidR="004D7AC0" w:rsidP="008E7DE8" w:rsidRDefault="004D7AC0" w14:paraId="4982DD9A" w14:textId="77777777">
      <w:pPr>
        <w:suppressAutoHyphens/>
      </w:pPr>
    </w:p>
    <w:p w:rsidRPr="00B10907" w:rsidR="005820A0" w:rsidP="008E7DE8" w:rsidRDefault="00F220BF" w14:paraId="1351645C" w14:textId="5889E847">
      <w:pPr>
        <w:numPr>
          <w:ilvl w:val="0"/>
          <w:numId w:val="10"/>
        </w:numPr>
        <w:suppressAutoHyphens/>
        <w:overflowPunct w:val="0"/>
        <w:autoSpaceDE w:val="0"/>
        <w:autoSpaceDN w:val="0"/>
        <w:adjustRightInd w:val="0"/>
        <w:ind w:left="567" w:hanging="567"/>
        <w:textAlignment w:val="baseline"/>
        <w:rPr>
          <w:sz w:val="28"/>
          <w:szCs w:val="28"/>
        </w:rPr>
      </w:pPr>
      <w:hyperlink w:history="1" r:id="rId29">
        <w:r w:rsidRPr="00B10907" w:rsidR="006E14B4">
          <w:rPr>
            <w:rStyle w:val="Hyperlink"/>
            <w:b/>
            <w:i/>
            <w:sz w:val="28"/>
            <w:szCs w:val="28"/>
          </w:rPr>
          <w:t>Przeciwdziałanie samotności: konsolidacja środków na rzecz spójności demograficznej</w:t>
        </w:r>
      </w:hyperlink>
    </w:p>
    <w:p w:rsidRPr="00BA440C" w:rsidR="005820A0" w:rsidP="008E7DE8" w:rsidRDefault="005820A0" w14:paraId="3483E009" w14:textId="77777777">
      <w:pPr>
        <w:tabs>
          <w:tab w:val="center" w:pos="284"/>
        </w:tabs>
        <w:suppressAutoHyphens/>
        <w:ind w:left="266" w:hanging="266"/>
        <w:rPr>
          <w:b/>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8"/>
        <w:gridCol w:w="7641"/>
      </w:tblGrid>
      <w:tr w:rsidRPr="00BA440C" w:rsidR="005820A0" w:rsidTr="00BA440C" w14:paraId="67BD490D" w14:textId="77777777">
        <w:tc>
          <w:tcPr>
            <w:tcW w:w="887" w:type="pct"/>
          </w:tcPr>
          <w:p w:rsidRPr="00BA440C" w:rsidR="005820A0" w:rsidP="008E7DE8" w:rsidRDefault="005820A0" w14:paraId="42367F1A" w14:textId="701C1F82">
            <w:pPr>
              <w:tabs>
                <w:tab w:val="center" w:pos="284"/>
              </w:tabs>
              <w:suppressAutoHyphens/>
              <w:ind w:left="266" w:hanging="266"/>
              <w:rPr>
                <w:b/>
              </w:rPr>
            </w:pPr>
            <w:r w:rsidRPr="00BA440C">
              <w:rPr>
                <w:b/>
              </w:rPr>
              <w:t>Sprawozdawca</w:t>
            </w:r>
          </w:p>
        </w:tc>
        <w:tc>
          <w:tcPr>
            <w:tcW w:w="4113" w:type="pct"/>
          </w:tcPr>
          <w:p w:rsidRPr="00BA440C" w:rsidR="005820A0" w:rsidP="002B51B6" w:rsidRDefault="005820A0" w14:paraId="3FB6ED60" w14:textId="3DA0CD80">
            <w:pPr>
              <w:tabs>
                <w:tab w:val="center" w:pos="284"/>
              </w:tabs>
              <w:suppressAutoHyphens/>
            </w:pPr>
            <w:r w:rsidRPr="00BA440C">
              <w:t>Miguel Ángel CABRA DE LUNA (Grupa Organizacji Społeczeństwa Obywatelskiego – ES)</w:t>
            </w:r>
          </w:p>
        </w:tc>
      </w:tr>
      <w:tr w:rsidRPr="00BA440C" w:rsidR="005820A0" w:rsidTr="00BA440C" w14:paraId="6076883C" w14:textId="77777777">
        <w:tc>
          <w:tcPr>
            <w:tcW w:w="887" w:type="pct"/>
            <w:vMerge w:val="restart"/>
          </w:tcPr>
          <w:p w:rsidRPr="00BA440C" w:rsidR="005820A0" w:rsidP="008E7DE8" w:rsidRDefault="005820A0" w14:paraId="544AEDE8" w14:textId="4C4437C3">
            <w:pPr>
              <w:tabs>
                <w:tab w:val="center" w:pos="284"/>
              </w:tabs>
              <w:suppressAutoHyphens/>
              <w:ind w:left="266" w:hanging="266"/>
              <w:rPr>
                <w:b/>
              </w:rPr>
            </w:pPr>
            <w:r w:rsidRPr="00BA440C">
              <w:rPr>
                <w:b/>
              </w:rPr>
              <w:t>Dokumenty</w:t>
            </w:r>
          </w:p>
        </w:tc>
        <w:tc>
          <w:tcPr>
            <w:tcW w:w="4113" w:type="pct"/>
          </w:tcPr>
          <w:p w:rsidRPr="00BA440C" w:rsidR="005820A0" w:rsidP="008E7DE8" w:rsidRDefault="005820A0" w14:paraId="5995BCBD" w14:textId="77777777">
            <w:pPr>
              <w:tabs>
                <w:tab w:val="center" w:pos="284"/>
              </w:tabs>
              <w:suppressAutoHyphens/>
              <w:ind w:left="266" w:hanging="266"/>
            </w:pPr>
            <w:r w:rsidRPr="00BA440C">
              <w:t>Opinia z inicjatywy własnej</w:t>
            </w:r>
          </w:p>
        </w:tc>
      </w:tr>
      <w:tr w:rsidRPr="00BA440C" w:rsidR="005820A0" w:rsidTr="00BA440C" w14:paraId="4CBB60AE" w14:textId="77777777">
        <w:tc>
          <w:tcPr>
            <w:tcW w:w="887" w:type="pct"/>
            <w:vMerge/>
          </w:tcPr>
          <w:p w:rsidRPr="00BA440C" w:rsidR="005820A0" w:rsidP="008E7DE8" w:rsidRDefault="005820A0" w14:paraId="3E553D04" w14:textId="77777777">
            <w:pPr>
              <w:tabs>
                <w:tab w:val="center" w:pos="284"/>
              </w:tabs>
              <w:suppressAutoHyphens/>
              <w:ind w:left="266" w:hanging="266"/>
              <w:rPr>
                <w:b/>
              </w:rPr>
            </w:pPr>
          </w:p>
        </w:tc>
        <w:tc>
          <w:tcPr>
            <w:tcW w:w="4113" w:type="pct"/>
          </w:tcPr>
          <w:p w:rsidRPr="00BA440C" w:rsidR="005820A0" w:rsidP="008E7DE8" w:rsidRDefault="005820A0" w14:paraId="67128669" w14:textId="77777777">
            <w:pPr>
              <w:tabs>
                <w:tab w:val="center" w:pos="284"/>
              </w:tabs>
              <w:suppressAutoHyphens/>
              <w:ind w:left="266" w:hanging="266"/>
            </w:pPr>
            <w:r w:rsidRPr="00BA440C">
              <w:t>EESC-2024-03264-00-00-AC</w:t>
            </w:r>
          </w:p>
        </w:tc>
      </w:tr>
    </w:tbl>
    <w:p w:rsidRPr="00BA440C" w:rsidR="005820A0" w:rsidP="008E7DE8" w:rsidRDefault="005820A0" w14:paraId="4B78DAB0" w14:textId="77777777">
      <w:pPr>
        <w:tabs>
          <w:tab w:val="center" w:pos="284"/>
        </w:tabs>
        <w:suppressAutoHyphens/>
        <w:ind w:left="266" w:hanging="266"/>
      </w:pPr>
    </w:p>
    <w:p w:rsidRPr="00BA440C" w:rsidR="005820A0" w:rsidP="008E7DE8" w:rsidRDefault="005820A0" w14:paraId="766A65DB" w14:textId="77777777">
      <w:pPr>
        <w:tabs>
          <w:tab w:val="center" w:pos="284"/>
        </w:tabs>
        <w:suppressAutoHyphens/>
        <w:ind w:left="266" w:hanging="266"/>
        <w:rPr>
          <w:b/>
        </w:rPr>
      </w:pPr>
      <w:r w:rsidRPr="00BA440C">
        <w:rPr>
          <w:b/>
        </w:rPr>
        <w:t>Główne punkty</w:t>
      </w:r>
    </w:p>
    <w:p w:rsidRPr="00BA440C" w:rsidR="005820A0" w:rsidP="008E7DE8" w:rsidRDefault="005820A0" w14:paraId="6AD26D2E" w14:textId="77777777">
      <w:pPr>
        <w:tabs>
          <w:tab w:val="center" w:pos="284"/>
        </w:tabs>
        <w:suppressAutoHyphens/>
        <w:ind w:left="266" w:hanging="266"/>
        <w:rPr>
          <w:b/>
        </w:rPr>
      </w:pPr>
    </w:p>
    <w:p w:rsidR="005820A0" w:rsidP="008E7DE8" w:rsidRDefault="008E7DE8" w14:paraId="25B369D6" w14:textId="58BD3124">
      <w:pPr>
        <w:suppressAutoHyphens/>
      </w:pPr>
      <w:r>
        <w:t>EKES</w:t>
      </w:r>
    </w:p>
    <w:p w:rsidRPr="00BA440C" w:rsidR="008E7DE8" w:rsidP="008E7DE8" w:rsidRDefault="008E7DE8" w14:paraId="46EF44AD" w14:textId="77777777">
      <w:pPr>
        <w:suppressAutoHyphens/>
        <w:rPr>
          <w:bCs/>
          <w:iCs/>
        </w:rPr>
      </w:pPr>
    </w:p>
    <w:p w:rsidRPr="00BA440C" w:rsidR="005820A0" w:rsidP="008E7DE8" w:rsidRDefault="005820A0" w14:paraId="6EEFEE69" w14:textId="1C8F683B">
      <w:pPr>
        <w:numPr>
          <w:ilvl w:val="0"/>
          <w:numId w:val="23"/>
        </w:numPr>
        <w:suppressAutoHyphens/>
        <w:ind w:left="567" w:hanging="567"/>
      </w:pPr>
      <w:r w:rsidRPr="00BA440C">
        <w:t>Wzywa Komisję do przyjęcia podczas kadencji 2025–2029 europejskiej strategii dotyczącej samotności, która wzmocniłaby wiedzę na temat samotności, przeanalizowała i oceniła istniejące środki, uwzględniła podejście intersekcjonalne, zajęła się podstawowymi przyczynami samotności za pomocą podejścia zapobiegawczego, zwiększyła świadomość i</w:t>
      </w:r>
      <w:r w:rsidR="00EA0B93">
        <w:t> </w:t>
      </w:r>
      <w:r w:rsidRPr="00BA440C">
        <w:t>wyeliminowała stygmatyzację, zmniejszyła presję na systemy opieki zdrowotnej i uruchomiła wsparcie finansowe.</w:t>
      </w:r>
    </w:p>
    <w:p w:rsidRPr="00BA440C" w:rsidR="005820A0" w:rsidP="008E7DE8" w:rsidRDefault="005820A0" w14:paraId="059A30C7" w14:textId="01089A1C">
      <w:pPr>
        <w:numPr>
          <w:ilvl w:val="0"/>
          <w:numId w:val="23"/>
        </w:numPr>
        <w:suppressAutoHyphens/>
        <w:ind w:left="567" w:hanging="567"/>
      </w:pPr>
      <w:r w:rsidRPr="00BA440C">
        <w:t>Podkreśla zasadniczą rolę, jaką organizacje społeczeństwa obywatelskiego odgrywają w walce z</w:t>
      </w:r>
      <w:r w:rsidR="00EA0B93">
        <w:t> </w:t>
      </w:r>
      <w:r w:rsidRPr="00BA440C">
        <w:t>samotnością, i uznaje, że partnerzy społeczni mogą również wnieść wkład w tym zakresie.</w:t>
      </w:r>
    </w:p>
    <w:p w:rsidRPr="00BA440C" w:rsidR="005820A0" w:rsidP="008E7DE8" w:rsidRDefault="005820A0" w14:paraId="074DF4E0" w14:textId="77777777">
      <w:pPr>
        <w:numPr>
          <w:ilvl w:val="0"/>
          <w:numId w:val="23"/>
        </w:numPr>
        <w:suppressAutoHyphens/>
        <w:ind w:left="567" w:hanging="567"/>
      </w:pPr>
      <w:r w:rsidRPr="00BA440C">
        <w:t>Wzywa do opracowania na szczeblu UE konkretnych środków przeciwko samotności w ramach europejskiej strategii na rzecz osób starszych (opinia SOC/757) oraz przyszłej europejskiej strategii na rzecz sprawiedliwości międzypokoleniowej (opinia SOC/800), w tym planów krajowych.</w:t>
      </w:r>
    </w:p>
    <w:p w:rsidRPr="00BA440C" w:rsidR="005820A0" w:rsidP="008E7DE8" w:rsidRDefault="005820A0" w14:paraId="54B7D9CA" w14:textId="77777777">
      <w:pPr>
        <w:numPr>
          <w:ilvl w:val="0"/>
          <w:numId w:val="23"/>
        </w:numPr>
        <w:suppressAutoHyphens/>
        <w:ind w:left="567" w:hanging="567"/>
      </w:pPr>
      <w:r w:rsidRPr="00BA440C">
        <w:t>Uważa, że strategie powinny uwzględniać samotność na wszystkich etapach życia, koncentrując się na kluczowych okresach przejściowych. Wymagają one również przywództwa na wysokim szczeblu i zaangażowania wszystkich zainteresowanych stron, w tym administracji publicznej (w szczególności władz lokalnych), zorganizowanego społeczeństwa obywatelskiego, partnerów społecznych, gospodarki społecznej i mediów.</w:t>
      </w:r>
    </w:p>
    <w:p w:rsidRPr="00BA440C" w:rsidR="005820A0" w:rsidP="008E7DE8" w:rsidRDefault="005820A0" w14:paraId="2C2AFEDD" w14:textId="77777777">
      <w:pPr>
        <w:numPr>
          <w:ilvl w:val="0"/>
          <w:numId w:val="23"/>
        </w:numPr>
        <w:suppressAutoHyphens/>
        <w:ind w:left="567" w:hanging="567"/>
      </w:pPr>
      <w:r w:rsidRPr="00BA440C">
        <w:t>Apeluje do Komisji Europejskiej o kontynuowanie projektu pilotażowego dotyczącego niepożądanej samotności, rozpoczętego na wniosek Parlamentu Europejskiego w 2022 r.</w:t>
      </w:r>
    </w:p>
    <w:p w:rsidRPr="00BA440C" w:rsidR="005820A0" w:rsidP="008E7DE8" w:rsidRDefault="005820A0" w14:paraId="08802E05" w14:textId="77777777">
      <w:pPr>
        <w:numPr>
          <w:ilvl w:val="0"/>
          <w:numId w:val="23"/>
        </w:numPr>
        <w:suppressAutoHyphens/>
        <w:ind w:left="567" w:hanging="567"/>
      </w:pPr>
      <w:r w:rsidRPr="00BA440C">
        <w:t>Wzywa do uwzględnienia wymiaru samotności w przyszłej inicjatywie „Ocena wpływu polityki na młodzież”.</w:t>
      </w:r>
    </w:p>
    <w:p w:rsidRPr="00BA440C" w:rsidR="005820A0" w:rsidP="008E7DE8" w:rsidRDefault="005820A0" w14:paraId="38721F1A" w14:textId="77777777">
      <w:pPr>
        <w:numPr>
          <w:ilvl w:val="0"/>
          <w:numId w:val="23"/>
        </w:numPr>
        <w:suppressAutoHyphens/>
        <w:ind w:left="567" w:hanging="567"/>
      </w:pPr>
      <w:r w:rsidRPr="00BA440C">
        <w:t>Zachęca Europejski Komitet Regionów do zaangażowania się w proponowaną strategię.</w:t>
      </w:r>
    </w:p>
    <w:p w:rsidRPr="00BA440C" w:rsidR="005820A0" w:rsidP="008E7DE8" w:rsidRDefault="005820A0" w14:paraId="0D200582" w14:textId="77777777">
      <w:pPr>
        <w:suppressAutoHyphens/>
        <w:ind w:left="709"/>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87"/>
        <w:gridCol w:w="7602"/>
      </w:tblGrid>
      <w:tr w:rsidRPr="00BA440C" w:rsidR="005820A0" w:rsidTr="00BA440C" w14:paraId="7592C7BE" w14:textId="77777777">
        <w:tc>
          <w:tcPr>
            <w:tcW w:w="908" w:type="pct"/>
          </w:tcPr>
          <w:p w:rsidRPr="00BA440C" w:rsidR="005820A0" w:rsidP="008E7DE8" w:rsidRDefault="005820A0" w14:paraId="208016A2" w14:textId="5CF87BF1">
            <w:pPr>
              <w:suppressAutoHyphens/>
              <w:rPr>
                <w:i/>
              </w:rPr>
            </w:pPr>
            <w:r w:rsidRPr="00BA440C">
              <w:rPr>
                <w:b/>
                <w:i/>
              </w:rPr>
              <w:t>Kontakt</w:t>
            </w:r>
          </w:p>
        </w:tc>
        <w:tc>
          <w:tcPr>
            <w:tcW w:w="4092" w:type="pct"/>
          </w:tcPr>
          <w:p w:rsidRPr="00BA440C" w:rsidR="005820A0" w:rsidP="008E7DE8" w:rsidRDefault="005820A0" w14:paraId="6CF1067D" w14:textId="712D966F">
            <w:pPr>
              <w:suppressAutoHyphens/>
              <w:rPr>
                <w:i/>
              </w:rPr>
            </w:pPr>
            <w:r w:rsidRPr="00BA440C">
              <w:rPr>
                <w:i/>
              </w:rPr>
              <w:t>Valeria Atzori</w:t>
            </w:r>
          </w:p>
        </w:tc>
      </w:tr>
      <w:tr w:rsidRPr="00BA440C" w:rsidR="005820A0" w:rsidTr="00BA440C" w14:paraId="6C8121C6" w14:textId="77777777">
        <w:tc>
          <w:tcPr>
            <w:tcW w:w="908" w:type="pct"/>
          </w:tcPr>
          <w:p w:rsidRPr="00BA440C" w:rsidR="005820A0" w:rsidP="008E7DE8" w:rsidRDefault="005820A0" w14:paraId="1B05B83D" w14:textId="43B7C197">
            <w:pPr>
              <w:suppressAutoHyphens/>
              <w:rPr>
                <w:i/>
              </w:rPr>
            </w:pPr>
            <w:r w:rsidRPr="00BA440C">
              <w:rPr>
                <w:i/>
              </w:rPr>
              <w:t>tel.</w:t>
            </w:r>
          </w:p>
        </w:tc>
        <w:tc>
          <w:tcPr>
            <w:tcW w:w="4092" w:type="pct"/>
          </w:tcPr>
          <w:p w:rsidRPr="00BA440C" w:rsidR="005820A0" w:rsidP="008E7DE8" w:rsidRDefault="005820A0" w14:paraId="4579CB82" w14:textId="77777777">
            <w:pPr>
              <w:suppressAutoHyphens/>
              <w:rPr>
                <w:i/>
              </w:rPr>
            </w:pPr>
            <w:r w:rsidRPr="00BA440C">
              <w:rPr>
                <w:i/>
              </w:rPr>
              <w:t>+32 25468774</w:t>
            </w:r>
          </w:p>
        </w:tc>
      </w:tr>
      <w:tr w:rsidRPr="00BA440C" w:rsidR="005820A0" w:rsidTr="00BA440C" w14:paraId="7DF31CE8" w14:textId="77777777">
        <w:trPr>
          <w:trHeight w:val="285"/>
        </w:trPr>
        <w:tc>
          <w:tcPr>
            <w:tcW w:w="908" w:type="pct"/>
          </w:tcPr>
          <w:p w:rsidRPr="00BA440C" w:rsidR="005820A0" w:rsidP="008E7DE8" w:rsidRDefault="005820A0" w14:paraId="30F9AA2F" w14:textId="7B8A8D0D">
            <w:pPr>
              <w:suppressAutoHyphens/>
              <w:rPr>
                <w:i/>
              </w:rPr>
            </w:pPr>
            <w:r w:rsidRPr="00BA440C">
              <w:rPr>
                <w:i/>
              </w:rPr>
              <w:t>e-mail</w:t>
            </w:r>
          </w:p>
        </w:tc>
        <w:tc>
          <w:tcPr>
            <w:tcW w:w="4092" w:type="pct"/>
          </w:tcPr>
          <w:p w:rsidRPr="00BA440C" w:rsidR="005820A0" w:rsidP="008E7DE8" w:rsidRDefault="00F220BF" w14:paraId="75028D49" w14:textId="77777777">
            <w:pPr>
              <w:suppressAutoHyphens/>
              <w:rPr>
                <w:i/>
                <w:iCs/>
              </w:rPr>
            </w:pPr>
            <w:hyperlink w:history="1" r:id="rId30">
              <w:r w:rsidRPr="00BA440C" w:rsidR="006E14B4">
                <w:rPr>
                  <w:rStyle w:val="Hyperlink"/>
                  <w:i/>
                </w:rPr>
                <w:t>Valeria.Atzori@eesc.europa.eu</w:t>
              </w:r>
            </w:hyperlink>
          </w:p>
        </w:tc>
      </w:tr>
    </w:tbl>
    <w:p w:rsidRPr="00BA440C" w:rsidR="005820A0" w:rsidP="008E7DE8" w:rsidRDefault="005820A0" w14:paraId="1C8B6452" w14:textId="77777777">
      <w:pPr>
        <w:suppressAutoHyphens/>
        <w:jc w:val="left"/>
      </w:pPr>
    </w:p>
    <w:p w:rsidRPr="00BA440C" w:rsidR="005820A0" w:rsidP="008E7DE8" w:rsidRDefault="005820A0" w14:paraId="18575FDC" w14:textId="77777777">
      <w:pPr>
        <w:suppressAutoHyphens/>
        <w:jc w:val="left"/>
      </w:pPr>
      <w:r w:rsidRPr="00BA440C">
        <w:br w:type="page"/>
      </w:r>
    </w:p>
    <w:p w:rsidRPr="00B10907" w:rsidR="006D1DFA" w:rsidP="008E7DE8" w:rsidRDefault="00F220BF" w14:paraId="4A9CF9A9" w14:textId="0D522BB4">
      <w:pPr>
        <w:numPr>
          <w:ilvl w:val="0"/>
          <w:numId w:val="3"/>
        </w:numPr>
        <w:suppressAutoHyphens/>
        <w:overflowPunct w:val="0"/>
        <w:autoSpaceDE w:val="0"/>
        <w:autoSpaceDN w:val="0"/>
        <w:adjustRightInd w:val="0"/>
        <w:ind w:left="567" w:hanging="567"/>
        <w:textAlignment w:val="baseline"/>
        <w:rPr>
          <w:sz w:val="28"/>
          <w:szCs w:val="28"/>
        </w:rPr>
      </w:pPr>
      <w:hyperlink w:history="1" r:id="rId31">
        <w:r w:rsidRPr="00B10907" w:rsidR="006E14B4">
          <w:rPr>
            <w:b/>
            <w:i/>
            <w:color w:val="0000FF"/>
            <w:sz w:val="28"/>
            <w:szCs w:val="28"/>
            <w:u w:val="single"/>
          </w:rPr>
          <w:t>Przemoc wobec kobiet jako zagadnienie praw człowieka: aktualna sytuacja w UE w zakresie środków działania</w:t>
        </w:r>
      </w:hyperlink>
    </w:p>
    <w:p w:rsidRPr="00BA440C" w:rsidR="006D1DFA" w:rsidP="008E7DE8" w:rsidRDefault="006D1DFA" w14:paraId="0322A41C" w14:textId="77777777">
      <w:pPr>
        <w:tabs>
          <w:tab w:val="center" w:pos="284"/>
        </w:tabs>
        <w:suppressAutoHyphens/>
        <w:overflowPunct w:val="0"/>
        <w:autoSpaceDE w:val="0"/>
        <w:autoSpaceDN w:val="0"/>
        <w:adjustRightInd w:val="0"/>
        <w:ind w:left="567" w:hanging="567"/>
        <w:textAlignment w:val="baseline"/>
      </w:pPr>
    </w:p>
    <w:tbl>
      <w:tblPr>
        <w:tblW w:w="5000" w:type="pct"/>
        <w:tblLook w:val="04A0" w:firstRow="1" w:lastRow="0" w:firstColumn="1" w:lastColumn="0" w:noHBand="0" w:noVBand="1"/>
      </w:tblPr>
      <w:tblGrid>
        <w:gridCol w:w="2478"/>
        <w:gridCol w:w="6811"/>
      </w:tblGrid>
      <w:tr w:rsidRPr="00BA440C" w:rsidR="006D1DFA" w:rsidTr="00BA440C" w14:paraId="4E8132D8" w14:textId="77777777">
        <w:tc>
          <w:tcPr>
            <w:tcW w:w="1329" w:type="pct"/>
          </w:tcPr>
          <w:p w:rsidRPr="00BA440C" w:rsidR="006D1DFA" w:rsidP="008E7DE8" w:rsidRDefault="006D1DFA" w14:paraId="62FE863C" w14:textId="77777777">
            <w:pPr>
              <w:tabs>
                <w:tab w:val="center" w:pos="284"/>
              </w:tabs>
              <w:suppressAutoHyphens/>
              <w:overflowPunct w:val="0"/>
              <w:autoSpaceDE w:val="0"/>
              <w:autoSpaceDN w:val="0"/>
              <w:adjustRightInd w:val="0"/>
              <w:ind w:left="567" w:hanging="567"/>
              <w:textAlignment w:val="baseline"/>
              <w:rPr>
                <w:b/>
              </w:rPr>
            </w:pPr>
            <w:r w:rsidRPr="00BA440C">
              <w:rPr>
                <w:b/>
              </w:rPr>
              <w:t>Sprawozdawca</w:t>
            </w:r>
          </w:p>
        </w:tc>
        <w:tc>
          <w:tcPr>
            <w:tcW w:w="3671" w:type="pct"/>
          </w:tcPr>
          <w:p w:rsidRPr="00BA440C" w:rsidR="006D1DFA" w:rsidP="008E7DE8" w:rsidRDefault="006D1DFA" w14:paraId="59709140" w14:textId="77777777">
            <w:pPr>
              <w:suppressAutoHyphens/>
              <w:overflowPunct w:val="0"/>
              <w:autoSpaceDE w:val="0"/>
              <w:autoSpaceDN w:val="0"/>
              <w:adjustRightInd w:val="0"/>
              <w:textAlignment w:val="baseline"/>
            </w:pPr>
            <w:r w:rsidRPr="00BA440C">
              <w:t>José Antonio MORENO DÍAZ (Grupa Pracowników – ES)</w:t>
            </w:r>
          </w:p>
        </w:tc>
      </w:tr>
      <w:tr w:rsidRPr="00BA440C" w:rsidR="006D1DFA" w:rsidTr="00BA440C" w14:paraId="30BC9238" w14:textId="77777777">
        <w:tc>
          <w:tcPr>
            <w:tcW w:w="1329" w:type="pct"/>
          </w:tcPr>
          <w:p w:rsidRPr="00BA440C" w:rsidR="006D1DFA" w:rsidP="008E7DE8" w:rsidRDefault="006D1DFA" w14:paraId="4D886634" w14:textId="77777777">
            <w:pPr>
              <w:tabs>
                <w:tab w:val="center" w:pos="284"/>
              </w:tabs>
              <w:suppressAutoHyphens/>
              <w:overflowPunct w:val="0"/>
              <w:autoSpaceDE w:val="0"/>
              <w:autoSpaceDN w:val="0"/>
              <w:adjustRightInd w:val="0"/>
              <w:ind w:left="567" w:hanging="567"/>
              <w:textAlignment w:val="baseline"/>
              <w:rPr>
                <w:b/>
              </w:rPr>
            </w:pPr>
            <w:r w:rsidRPr="00BA440C">
              <w:rPr>
                <w:b/>
              </w:rPr>
              <w:t>Współsprawozdawczyni</w:t>
            </w:r>
          </w:p>
        </w:tc>
        <w:tc>
          <w:tcPr>
            <w:tcW w:w="3671" w:type="pct"/>
          </w:tcPr>
          <w:p w:rsidRPr="00BA440C" w:rsidR="006D1DFA" w:rsidP="008E7DE8" w:rsidRDefault="006D1DFA" w14:paraId="04C5BBA6" w14:textId="24635529">
            <w:pPr>
              <w:suppressAutoHyphens/>
              <w:overflowPunct w:val="0"/>
              <w:autoSpaceDE w:val="0"/>
              <w:autoSpaceDN w:val="0"/>
              <w:adjustRightInd w:val="0"/>
              <w:textAlignment w:val="baseline"/>
            </w:pPr>
            <w:r w:rsidRPr="00BA440C">
              <w:t>Dovilė JUODKAITĖ (Grupa Organizacji Społeczeństwa Obywatelskiego – LT)</w:t>
            </w:r>
          </w:p>
        </w:tc>
      </w:tr>
      <w:tr w:rsidRPr="00BA440C" w:rsidR="006D1DFA" w:rsidTr="00BA440C" w14:paraId="51A5C160" w14:textId="77777777">
        <w:tc>
          <w:tcPr>
            <w:tcW w:w="1329" w:type="pct"/>
          </w:tcPr>
          <w:p w:rsidRPr="00BA440C" w:rsidR="006D1DFA" w:rsidP="008E7DE8" w:rsidRDefault="006D1DFA" w14:paraId="1546DA25" w14:textId="112DF30C">
            <w:pPr>
              <w:tabs>
                <w:tab w:val="center" w:pos="284"/>
              </w:tabs>
              <w:suppressAutoHyphens/>
              <w:overflowPunct w:val="0"/>
              <w:autoSpaceDE w:val="0"/>
              <w:autoSpaceDN w:val="0"/>
              <w:adjustRightInd w:val="0"/>
              <w:ind w:left="567" w:hanging="567"/>
              <w:textAlignment w:val="baseline"/>
              <w:rPr>
                <w:b/>
              </w:rPr>
            </w:pPr>
            <w:r w:rsidRPr="00BA440C">
              <w:rPr>
                <w:b/>
              </w:rPr>
              <w:t>Dokumenty</w:t>
            </w:r>
          </w:p>
        </w:tc>
        <w:tc>
          <w:tcPr>
            <w:tcW w:w="3671" w:type="pct"/>
          </w:tcPr>
          <w:p w:rsidRPr="00BA440C" w:rsidR="00C87D91" w:rsidP="008E7DE8" w:rsidRDefault="00C87D91" w14:paraId="4F80F6D2" w14:textId="5951F9F7">
            <w:pPr>
              <w:tabs>
                <w:tab w:val="center" w:pos="284"/>
              </w:tabs>
              <w:suppressAutoHyphens/>
              <w:overflowPunct w:val="0"/>
              <w:autoSpaceDE w:val="0"/>
              <w:autoSpaceDN w:val="0"/>
              <w:adjustRightInd w:val="0"/>
              <w:ind w:left="567" w:hanging="567"/>
              <w:textAlignment w:val="baseline"/>
            </w:pPr>
            <w:r w:rsidRPr="00BA440C">
              <w:t>Opinia z inicjatywy własnej</w:t>
            </w:r>
          </w:p>
          <w:p w:rsidRPr="00BA440C" w:rsidR="006D1DFA" w:rsidP="008E7DE8" w:rsidRDefault="006D1DFA" w14:paraId="5A2B7EA1" w14:textId="6B30F056">
            <w:pPr>
              <w:tabs>
                <w:tab w:val="center" w:pos="284"/>
              </w:tabs>
              <w:suppressAutoHyphens/>
              <w:overflowPunct w:val="0"/>
              <w:autoSpaceDE w:val="0"/>
              <w:autoSpaceDN w:val="0"/>
              <w:adjustRightInd w:val="0"/>
              <w:ind w:left="567" w:hanging="567"/>
              <w:textAlignment w:val="baseline"/>
            </w:pPr>
            <w:r w:rsidRPr="00BA440C">
              <w:t>EESC-2024-01831-00-00-AC</w:t>
            </w:r>
          </w:p>
        </w:tc>
      </w:tr>
    </w:tbl>
    <w:p w:rsidRPr="00BA440C" w:rsidR="0083181F" w:rsidP="008E7DE8" w:rsidRDefault="0083181F" w14:paraId="2171E13E" w14:textId="77777777">
      <w:pPr>
        <w:tabs>
          <w:tab w:val="center" w:pos="284"/>
        </w:tabs>
        <w:suppressAutoHyphens/>
        <w:overflowPunct w:val="0"/>
        <w:autoSpaceDE w:val="0"/>
        <w:autoSpaceDN w:val="0"/>
        <w:adjustRightInd w:val="0"/>
        <w:ind w:left="266" w:hanging="266"/>
        <w:textAlignment w:val="baseline"/>
        <w:rPr>
          <w:b/>
        </w:rPr>
      </w:pPr>
    </w:p>
    <w:p w:rsidRPr="00BA440C" w:rsidR="006D1DFA" w:rsidP="008E7DE8" w:rsidRDefault="006D1DFA" w14:paraId="5EF86660" w14:textId="2D834EC7">
      <w:pPr>
        <w:tabs>
          <w:tab w:val="center" w:pos="284"/>
        </w:tabs>
        <w:suppressAutoHyphens/>
        <w:overflowPunct w:val="0"/>
        <w:autoSpaceDE w:val="0"/>
        <w:autoSpaceDN w:val="0"/>
        <w:adjustRightInd w:val="0"/>
        <w:ind w:left="266" w:hanging="266"/>
        <w:textAlignment w:val="baseline"/>
        <w:rPr>
          <w:b/>
        </w:rPr>
      </w:pPr>
      <w:r w:rsidRPr="00BA440C">
        <w:rPr>
          <w:b/>
        </w:rPr>
        <w:t>Główne punkty</w:t>
      </w:r>
    </w:p>
    <w:p w:rsidRPr="00BA440C" w:rsidR="006D1DFA" w:rsidP="008E7DE8" w:rsidRDefault="006D1DFA" w14:paraId="7A7C5D4B" w14:textId="77777777">
      <w:pPr>
        <w:suppressAutoHyphens/>
        <w:overflowPunct w:val="0"/>
        <w:autoSpaceDE w:val="0"/>
        <w:autoSpaceDN w:val="0"/>
        <w:adjustRightInd w:val="0"/>
        <w:textAlignment w:val="baseline"/>
      </w:pPr>
    </w:p>
    <w:p w:rsidR="006D1DFA" w:rsidP="008E7DE8" w:rsidRDefault="006D1DFA" w14:paraId="10140015" w14:textId="60631669">
      <w:pPr>
        <w:suppressAutoHyphens/>
        <w:overflowPunct w:val="0"/>
        <w:autoSpaceDE w:val="0"/>
        <w:autoSpaceDN w:val="0"/>
        <w:adjustRightInd w:val="0"/>
        <w:textAlignment w:val="baseline"/>
      </w:pPr>
      <w:r w:rsidRPr="00BA440C">
        <w:t>EKES:</w:t>
      </w:r>
    </w:p>
    <w:p w:rsidRPr="00BA440C" w:rsidR="00C1081A" w:rsidP="008E7DE8" w:rsidRDefault="00C1081A" w14:paraId="545FA4C4" w14:textId="77777777">
      <w:pPr>
        <w:suppressAutoHyphens/>
        <w:overflowPunct w:val="0"/>
        <w:autoSpaceDE w:val="0"/>
        <w:autoSpaceDN w:val="0"/>
        <w:adjustRightInd w:val="0"/>
        <w:textAlignment w:val="baseline"/>
      </w:pPr>
    </w:p>
    <w:p w:rsidRPr="00BA440C" w:rsidR="006D1DFA" w:rsidP="008E7DE8" w:rsidRDefault="006D1DFA" w14:paraId="6A53E697" w14:textId="1B3D366E">
      <w:pPr>
        <w:numPr>
          <w:ilvl w:val="0"/>
          <w:numId w:val="24"/>
        </w:numPr>
        <w:suppressAutoHyphens/>
        <w:ind w:left="567" w:hanging="567"/>
      </w:pPr>
      <w:r w:rsidRPr="00BA440C">
        <w:t>Przypomina, że przemoc wobec kobiet i dziewcząt jest pogwałceniem praw człowieka i należy do najtrwalszych form dyskryminacji ze względu na płeć. Wzywa do ratyfikacji i wdrożenia konwencji Rady Europy o zapobieganiu i zwalczaniu przemocy wobec kobiet i przemocy domowej (konwencji stambulskiej) i konwencji Międzynarodowej Organizacji Pracy nr 190 w</w:t>
      </w:r>
      <w:r w:rsidR="00EA0B93">
        <w:t> </w:t>
      </w:r>
      <w:r w:rsidRPr="00BA440C">
        <w:t>sprawie eliminacji przemocy i molestowania w miejscu pracy (w tym szczególnie jej zalecenia nr 206) oraz do ich promowania i wdrożenia we wszystkich państwach członkowskich i przez samą UE.</w:t>
      </w:r>
    </w:p>
    <w:p w:rsidRPr="00BA440C" w:rsidR="006D1DFA" w:rsidP="008E7DE8" w:rsidRDefault="006D1DFA" w14:paraId="2FC21B34" w14:textId="2723BA83">
      <w:pPr>
        <w:numPr>
          <w:ilvl w:val="0"/>
          <w:numId w:val="24"/>
        </w:numPr>
        <w:suppressAutoHyphens/>
        <w:ind w:left="567" w:hanging="567"/>
      </w:pPr>
      <w:r w:rsidRPr="00BA440C">
        <w:t>Uważa, że dyrektywa (UE) 2024/1385 w sprawie zwalczania przemocy wobec kobiet i</w:t>
      </w:r>
      <w:r w:rsidR="00EA0B93">
        <w:t> </w:t>
      </w:r>
      <w:r w:rsidRPr="00BA440C">
        <w:t>przemocy domowej powinna dotyczyć wszystkich form przemocy wobec kobiet, w tym m.in.</w:t>
      </w:r>
      <w:r w:rsidR="00EA0B93">
        <w:t> </w:t>
      </w:r>
      <w:r w:rsidRPr="00BA440C">
        <w:t>przemocy instytucjonalnej, prostytucji, pornografii komercyjnej lub opartej na wyzysku, wykorzystywania reprodukcyjnego, przemocy pośredniej, odurzenia za pomocą substancji chemicznych, molestowania na ulicy, molestowania seksualnego, molestowania ze względu na płeć oraz przymusowej sterylizacji kobiet z niepełnosprawnościami.</w:t>
      </w:r>
    </w:p>
    <w:p w:rsidRPr="00BA440C" w:rsidR="006D1DFA" w:rsidP="008E7DE8" w:rsidRDefault="006D1DFA" w14:paraId="449A6664" w14:textId="410785A8">
      <w:pPr>
        <w:numPr>
          <w:ilvl w:val="0"/>
          <w:numId w:val="24"/>
        </w:numPr>
        <w:suppressAutoHyphens/>
        <w:ind w:left="567" w:hanging="567"/>
      </w:pPr>
      <w:r w:rsidRPr="00BA440C">
        <w:t>Wzywa do uwzględnienia przemocy seksualnej i gwałtu w dyrektywie jako formy przemocy, a</w:t>
      </w:r>
      <w:r w:rsidR="00EA0B93">
        <w:t> </w:t>
      </w:r>
      <w:r w:rsidRPr="00BA440C">
        <w:t>także uznania za przestępstwo ze względu na brak zgody. Potrzebna jest definicja „zgody” odnośnie do przemocy seksualnej. Do wykazu „europrzestępstw”, o którym mowa w art. 83 ust.</w:t>
      </w:r>
      <w:r w:rsidR="00EA0B93">
        <w:t> </w:t>
      </w:r>
      <w:r w:rsidRPr="00BA440C">
        <w:t>1 TFUE, należy dodać przemoc ze względu na płeć, w tym gwałt.</w:t>
      </w:r>
    </w:p>
    <w:p w:rsidRPr="00BA440C" w:rsidR="006D1DFA" w:rsidP="008E7DE8" w:rsidRDefault="006D1DFA" w14:paraId="7256F59F" w14:textId="77777777">
      <w:pPr>
        <w:numPr>
          <w:ilvl w:val="0"/>
          <w:numId w:val="24"/>
        </w:numPr>
        <w:suppressAutoHyphens/>
        <w:ind w:left="567" w:hanging="567"/>
      </w:pPr>
      <w:r w:rsidRPr="00BA440C">
        <w:t xml:space="preserve">Wyraża zaniepokojenie tym, że przemocy fizycznej, psychologicznej i seksualnej, które stanowią składowe elementy prostytucji, nie zaliczono do form przemocy wobec kobiet, podobnie jak ograniczeń dotyczących swobodnego i bezpiecznego dobrowolnego przerywania ciąży </w:t>
      </w:r>
    </w:p>
    <w:p w:rsidRPr="00BA440C" w:rsidR="006D1DFA" w:rsidP="008E7DE8" w:rsidRDefault="006D1DFA" w14:paraId="0D19D92A" w14:textId="63CB3952">
      <w:pPr>
        <w:numPr>
          <w:ilvl w:val="0"/>
          <w:numId w:val="24"/>
        </w:numPr>
        <w:suppressAutoHyphens/>
        <w:ind w:left="567" w:hanging="567"/>
      </w:pPr>
      <w:r w:rsidRPr="00BA440C">
        <w:t>Podkreślając, że wszelkie formy przemocy wobec kobiet stanowią poważny problem zdrowia publicznego i klinicznego, zwraca uwagę na dyskryminację z wielu przyczyn jednocześnie i</w:t>
      </w:r>
      <w:r w:rsidR="00EA0B93">
        <w:t> </w:t>
      </w:r>
      <w:r w:rsidRPr="00BA440C">
        <w:t>dyskryminację krzyżową, której doświadczają kobiety z niepełnosprawnościami, a</w:t>
      </w:r>
      <w:r w:rsidR="00EA0B93">
        <w:t> </w:t>
      </w:r>
      <w:r w:rsidRPr="00BA440C">
        <w:t>w</w:t>
      </w:r>
      <w:r w:rsidR="00EA0B93">
        <w:t> </w:t>
      </w:r>
      <w:r w:rsidRPr="00BA440C">
        <w:t>szczególności kobiety z zaburzeniami psychicznymi oraz niepełnosprawnościami psychospołecznymi lub intelektualnymi i wzywa do uznania tego rodzaju przemocy za kwestię zdrowia publicznego o długofalowych konsekwencjach. Wzywa również do gromadzenia danych zdezagregowanych według niepełnosprawności.</w:t>
      </w:r>
    </w:p>
    <w:p w:rsidRPr="00BA440C" w:rsidR="006D1DFA" w:rsidP="008E7DE8" w:rsidRDefault="006D1DFA" w14:paraId="33ACD23C" w14:textId="0D02755E">
      <w:pPr>
        <w:numPr>
          <w:ilvl w:val="0"/>
          <w:numId w:val="24"/>
        </w:numPr>
        <w:suppressAutoHyphens/>
        <w:ind w:left="567" w:hanging="567"/>
      </w:pPr>
      <w:r w:rsidRPr="00BA440C">
        <w:t xml:space="preserve">Jest głęboko zaniepokojony stwierdzeniami, które zaprzeczają przemocy wobec kobiet jako szczególnej formy przemocy ze względu na sam fakt, że są kobietami, podważając w ten sposób wartości i zasady określone w art. 2 TFUE. Uważa, że edukacja, w tym edukacja seksualna, ma kluczowe znaczenie w kształtowaniu ról i stereotypów związanych z płcią, oraz wzywa do </w:t>
      </w:r>
      <w:r w:rsidRPr="00BA440C">
        <w:lastRenderedPageBreak/>
        <w:t>włączenia społeczności edukacyjnej, organizacji społeczeństwa obywatelskiego i partnerów społecznych we współpracę instytucjonalną w celu zapobiegania przemocy ze względu na płeć i</w:t>
      </w:r>
      <w:r w:rsidR="00EA0B93">
        <w:t> </w:t>
      </w:r>
      <w:r w:rsidRPr="00BA440C">
        <w:t>jej zwalczania.</w:t>
      </w:r>
    </w:p>
    <w:p w:rsidRPr="00BA440C" w:rsidR="006D1DFA" w:rsidP="008E7DE8" w:rsidRDefault="006D1DFA" w14:paraId="080A278F" w14:textId="77777777">
      <w:pPr>
        <w:numPr>
          <w:ilvl w:val="0"/>
          <w:numId w:val="24"/>
        </w:numPr>
        <w:suppressAutoHyphens/>
        <w:ind w:left="567" w:hanging="567"/>
      </w:pPr>
      <w:r w:rsidRPr="00BA440C">
        <w:t>Wzywa do uwzględnienia konkretnych środków w dziedzinie dialogu społecznego, rokowań zbiorowych i niezbędnych negocjacji z partnerami społecznymi w celu zwiększenia zatrudnienia oraz umiejętności przystosowania zawodowego ofiar przemocy motywowanej płcią.</w:t>
      </w:r>
    </w:p>
    <w:p w:rsidRPr="00BA440C" w:rsidR="0083181F" w:rsidP="008E7DE8" w:rsidRDefault="0083181F" w14:paraId="1D0159F4" w14:textId="77777777">
      <w:pPr>
        <w:suppressAutoHyphens/>
        <w:overflowPunct w:val="0"/>
        <w:autoSpaceDE w:val="0"/>
        <w:autoSpaceDN w:val="0"/>
        <w:adjustRightInd w:val="0"/>
        <w:ind w:left="360"/>
        <w:textAlignment w:val="baseline"/>
        <w:rPr>
          <w:lang w:eastAsia="zh-CN"/>
        </w:rPr>
      </w:pPr>
    </w:p>
    <w:tbl>
      <w:tblPr>
        <w:tblW w:w="5000" w:type="pct"/>
        <w:tblLook w:val="04A0" w:firstRow="1" w:lastRow="0" w:firstColumn="1" w:lastColumn="0" w:noHBand="0" w:noVBand="1"/>
      </w:tblPr>
      <w:tblGrid>
        <w:gridCol w:w="1668"/>
        <w:gridCol w:w="7621"/>
      </w:tblGrid>
      <w:tr w:rsidRPr="00BA440C" w:rsidR="006D1DFA" w:rsidTr="00BA440C" w14:paraId="4A8CFBCD" w14:textId="77777777">
        <w:trPr>
          <w:trHeight w:val="60"/>
        </w:trPr>
        <w:tc>
          <w:tcPr>
            <w:tcW w:w="898" w:type="pct"/>
            <w:hideMark/>
          </w:tcPr>
          <w:p w:rsidRPr="00BA440C" w:rsidR="006D1DFA" w:rsidP="008E7DE8" w:rsidRDefault="006D1DFA" w14:paraId="089C51AC" w14:textId="77777777">
            <w:pPr>
              <w:suppressAutoHyphens/>
              <w:overflowPunct w:val="0"/>
              <w:autoSpaceDE w:val="0"/>
              <w:autoSpaceDN w:val="0"/>
              <w:adjustRightInd w:val="0"/>
              <w:textAlignment w:val="baseline"/>
              <w:rPr>
                <w:i/>
              </w:rPr>
            </w:pPr>
            <w:r w:rsidRPr="00BA440C">
              <w:rPr>
                <w:b/>
                <w:i/>
              </w:rPr>
              <w:t>Kontakt</w:t>
            </w:r>
          </w:p>
        </w:tc>
        <w:tc>
          <w:tcPr>
            <w:tcW w:w="4102" w:type="pct"/>
            <w:hideMark/>
          </w:tcPr>
          <w:p w:rsidRPr="00BA440C" w:rsidR="006D1DFA" w:rsidP="008E7DE8" w:rsidRDefault="006D1DFA" w14:paraId="6FF5FA37" w14:textId="11C6C549">
            <w:pPr>
              <w:suppressAutoHyphens/>
              <w:overflowPunct w:val="0"/>
              <w:autoSpaceDE w:val="0"/>
              <w:autoSpaceDN w:val="0"/>
              <w:adjustRightInd w:val="0"/>
              <w:textAlignment w:val="baseline"/>
              <w:rPr>
                <w:i/>
                <w:iCs/>
              </w:rPr>
            </w:pPr>
            <w:r w:rsidRPr="00BA440C">
              <w:rPr>
                <w:i/>
              </w:rPr>
              <w:t>Gabriela Grasu</w:t>
            </w:r>
          </w:p>
        </w:tc>
      </w:tr>
      <w:tr w:rsidRPr="00BA440C" w:rsidR="006D1DFA" w:rsidTr="00BA440C" w14:paraId="77817741" w14:textId="77777777">
        <w:tc>
          <w:tcPr>
            <w:tcW w:w="898" w:type="pct"/>
            <w:hideMark/>
          </w:tcPr>
          <w:p w:rsidRPr="00BA440C" w:rsidR="006D1DFA" w:rsidP="008E7DE8" w:rsidRDefault="006D1DFA" w14:paraId="1DA4D000" w14:textId="77777777">
            <w:pPr>
              <w:suppressAutoHyphens/>
              <w:overflowPunct w:val="0"/>
              <w:autoSpaceDE w:val="0"/>
              <w:autoSpaceDN w:val="0"/>
              <w:adjustRightInd w:val="0"/>
              <w:textAlignment w:val="baseline"/>
              <w:rPr>
                <w:i/>
              </w:rPr>
            </w:pPr>
            <w:r w:rsidRPr="00BA440C">
              <w:rPr>
                <w:i/>
              </w:rPr>
              <w:t>tel.</w:t>
            </w:r>
          </w:p>
        </w:tc>
        <w:tc>
          <w:tcPr>
            <w:tcW w:w="4102" w:type="pct"/>
            <w:hideMark/>
          </w:tcPr>
          <w:p w:rsidRPr="00BA440C" w:rsidR="006D1DFA" w:rsidP="008E7DE8" w:rsidRDefault="006D1DFA" w14:paraId="56CC5263" w14:textId="77777777">
            <w:pPr>
              <w:suppressAutoHyphens/>
              <w:overflowPunct w:val="0"/>
              <w:autoSpaceDE w:val="0"/>
              <w:autoSpaceDN w:val="0"/>
              <w:adjustRightInd w:val="0"/>
              <w:textAlignment w:val="baseline"/>
              <w:rPr>
                <w:i/>
              </w:rPr>
            </w:pPr>
            <w:r w:rsidRPr="00BA440C">
              <w:rPr>
                <w:i/>
              </w:rPr>
              <w:t>+32 25469162</w:t>
            </w:r>
          </w:p>
        </w:tc>
      </w:tr>
      <w:tr w:rsidRPr="00BA440C" w:rsidR="006D1DFA" w:rsidTr="00BA440C" w14:paraId="6F84E5BA" w14:textId="77777777">
        <w:tc>
          <w:tcPr>
            <w:tcW w:w="898" w:type="pct"/>
            <w:hideMark/>
          </w:tcPr>
          <w:p w:rsidRPr="00BA440C" w:rsidR="006D1DFA" w:rsidP="008E7DE8" w:rsidRDefault="006D1DFA" w14:paraId="3CC8E9E8" w14:textId="77777777">
            <w:pPr>
              <w:suppressAutoHyphens/>
              <w:overflowPunct w:val="0"/>
              <w:autoSpaceDE w:val="0"/>
              <w:autoSpaceDN w:val="0"/>
              <w:adjustRightInd w:val="0"/>
              <w:textAlignment w:val="baseline"/>
              <w:rPr>
                <w:i/>
              </w:rPr>
            </w:pPr>
            <w:r w:rsidRPr="00BA440C">
              <w:rPr>
                <w:i/>
              </w:rPr>
              <w:t>e-mail</w:t>
            </w:r>
          </w:p>
        </w:tc>
        <w:tc>
          <w:tcPr>
            <w:tcW w:w="4102" w:type="pct"/>
            <w:hideMark/>
          </w:tcPr>
          <w:p w:rsidRPr="00BA440C" w:rsidR="006D1DFA" w:rsidP="008E7DE8" w:rsidRDefault="00F220BF" w14:paraId="02C23556" w14:textId="4AC0EB0F">
            <w:pPr>
              <w:suppressAutoHyphens/>
              <w:overflowPunct w:val="0"/>
              <w:autoSpaceDE w:val="0"/>
              <w:autoSpaceDN w:val="0"/>
              <w:adjustRightInd w:val="0"/>
              <w:textAlignment w:val="baseline"/>
              <w:rPr>
                <w:i/>
              </w:rPr>
            </w:pPr>
            <w:hyperlink w:history="1" r:id="rId32">
              <w:r w:rsidRPr="00BA440C" w:rsidR="006E14B4">
                <w:rPr>
                  <w:i/>
                  <w:color w:val="0000FF"/>
                  <w:u w:val="single"/>
                </w:rPr>
                <w:t>Grasu.Gabriela@eesc.europa.eu</w:t>
              </w:r>
            </w:hyperlink>
          </w:p>
        </w:tc>
      </w:tr>
    </w:tbl>
    <w:p w:rsidRPr="00BA440C" w:rsidR="00E14D8E" w:rsidP="008E7DE8" w:rsidRDefault="00E14D8E" w14:paraId="7F936985" w14:textId="77777777">
      <w:pPr>
        <w:suppressAutoHyphens/>
        <w:jc w:val="left"/>
      </w:pPr>
      <w:r w:rsidRPr="00BA440C">
        <w:br w:type="page"/>
      </w:r>
    </w:p>
    <w:p w:rsidRPr="00B10907" w:rsidR="00910C90" w:rsidP="008E7DE8" w:rsidRDefault="00F220BF" w14:paraId="6D8670E5" w14:textId="28540015">
      <w:pPr>
        <w:numPr>
          <w:ilvl w:val="0"/>
          <w:numId w:val="10"/>
        </w:numPr>
        <w:suppressAutoHyphens/>
        <w:overflowPunct w:val="0"/>
        <w:autoSpaceDE w:val="0"/>
        <w:autoSpaceDN w:val="0"/>
        <w:adjustRightInd w:val="0"/>
        <w:ind w:left="567" w:hanging="567"/>
        <w:textAlignment w:val="baseline"/>
        <w:rPr>
          <w:sz w:val="28"/>
          <w:szCs w:val="28"/>
        </w:rPr>
      </w:pPr>
      <w:hyperlink w:history="1" r:id="rId33">
        <w:r w:rsidRPr="00B10907" w:rsidR="006E14B4">
          <w:rPr>
            <w:b/>
            <w:i/>
            <w:color w:val="0000FF"/>
            <w:sz w:val="28"/>
            <w:szCs w:val="28"/>
            <w:u w:val="single"/>
          </w:rPr>
          <w:t>Wkład EKES-u w priorytety UE w ramach UNCSW69</w:t>
        </w:r>
      </w:hyperlink>
    </w:p>
    <w:p w:rsidRPr="00BA440C" w:rsidR="00910C90" w:rsidP="008E7DE8" w:rsidRDefault="00910C90" w14:paraId="59A5F3E8" w14:textId="77777777">
      <w:pPr>
        <w:tabs>
          <w:tab w:val="center" w:pos="284"/>
        </w:tabs>
        <w:suppressAutoHyphen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1915"/>
        <w:gridCol w:w="7374"/>
      </w:tblGrid>
      <w:tr w:rsidRPr="00BA440C" w:rsidR="00910C90" w:rsidTr="00BA440C" w14:paraId="465F2FF7" w14:textId="77777777">
        <w:tc>
          <w:tcPr>
            <w:tcW w:w="1031" w:type="pct"/>
          </w:tcPr>
          <w:p w:rsidRPr="00BA440C" w:rsidR="00910C90" w:rsidP="008E7DE8" w:rsidRDefault="00910C90" w14:paraId="4E8AE8B7" w14:textId="77777777">
            <w:pPr>
              <w:tabs>
                <w:tab w:val="center" w:pos="284"/>
              </w:tabs>
              <w:suppressAutoHyphens/>
              <w:overflowPunct w:val="0"/>
              <w:autoSpaceDE w:val="0"/>
              <w:autoSpaceDN w:val="0"/>
              <w:adjustRightInd w:val="0"/>
              <w:ind w:left="266" w:hanging="266"/>
              <w:textAlignment w:val="baseline"/>
              <w:rPr>
                <w:b/>
              </w:rPr>
            </w:pPr>
            <w:r w:rsidRPr="00BA440C">
              <w:rPr>
                <w:b/>
              </w:rPr>
              <w:t>Sprawozdawczyni</w:t>
            </w:r>
          </w:p>
        </w:tc>
        <w:tc>
          <w:tcPr>
            <w:tcW w:w="3969" w:type="pct"/>
          </w:tcPr>
          <w:p w:rsidRPr="00BA440C" w:rsidR="00910C90" w:rsidP="008E7DE8" w:rsidRDefault="00910C90" w14:paraId="420EA1BA" w14:textId="3993E2B2">
            <w:pPr>
              <w:tabs>
                <w:tab w:val="center" w:pos="284"/>
              </w:tabs>
              <w:suppressAutoHyphens/>
              <w:overflowPunct w:val="0"/>
              <w:autoSpaceDE w:val="0"/>
              <w:autoSpaceDN w:val="0"/>
              <w:adjustRightInd w:val="0"/>
              <w:ind w:left="266" w:hanging="266"/>
              <w:textAlignment w:val="baseline"/>
            </w:pPr>
            <w:r w:rsidRPr="00BA440C">
              <w:t>Maria NIKOLOPOULOU (Grupa Pracowników – ES)</w:t>
            </w:r>
          </w:p>
        </w:tc>
      </w:tr>
      <w:tr w:rsidRPr="00BA440C" w:rsidR="00910C90" w:rsidTr="00BA440C" w14:paraId="417FB600" w14:textId="77777777">
        <w:tc>
          <w:tcPr>
            <w:tcW w:w="1031" w:type="pct"/>
            <w:vMerge w:val="restart"/>
          </w:tcPr>
          <w:p w:rsidRPr="00BA440C" w:rsidR="00910C90" w:rsidP="008E7DE8" w:rsidRDefault="00910C90" w14:paraId="41736237" w14:textId="3B749ABF">
            <w:pPr>
              <w:tabs>
                <w:tab w:val="center" w:pos="284"/>
              </w:tabs>
              <w:suppressAutoHyphens/>
              <w:overflowPunct w:val="0"/>
              <w:autoSpaceDE w:val="0"/>
              <w:autoSpaceDN w:val="0"/>
              <w:adjustRightInd w:val="0"/>
              <w:ind w:left="266" w:hanging="266"/>
              <w:textAlignment w:val="baseline"/>
              <w:rPr>
                <w:b/>
              </w:rPr>
            </w:pPr>
            <w:r w:rsidRPr="00BA440C">
              <w:rPr>
                <w:b/>
              </w:rPr>
              <w:t>Dokumenty</w:t>
            </w:r>
          </w:p>
        </w:tc>
        <w:tc>
          <w:tcPr>
            <w:tcW w:w="3969" w:type="pct"/>
          </w:tcPr>
          <w:p w:rsidRPr="00BA440C" w:rsidR="00910C90" w:rsidP="008E7DE8" w:rsidRDefault="00910C90" w14:paraId="028B9FD7" w14:textId="77777777">
            <w:pPr>
              <w:tabs>
                <w:tab w:val="center" w:pos="284"/>
              </w:tabs>
              <w:suppressAutoHyphens/>
              <w:overflowPunct w:val="0"/>
              <w:autoSpaceDE w:val="0"/>
              <w:autoSpaceDN w:val="0"/>
              <w:adjustRightInd w:val="0"/>
              <w:ind w:left="266" w:hanging="266"/>
              <w:textAlignment w:val="baseline"/>
            </w:pPr>
            <w:r w:rsidRPr="00BA440C">
              <w:t>Opinia z inicjatywy własnej</w:t>
            </w:r>
          </w:p>
        </w:tc>
      </w:tr>
      <w:tr w:rsidRPr="00BA440C" w:rsidR="00910C90" w:rsidTr="00BA440C" w14:paraId="08D488E3" w14:textId="77777777">
        <w:tc>
          <w:tcPr>
            <w:tcW w:w="1031" w:type="pct"/>
            <w:vMerge/>
          </w:tcPr>
          <w:p w:rsidRPr="00BA440C" w:rsidR="00910C90" w:rsidP="008E7DE8" w:rsidRDefault="00910C90" w14:paraId="5B75EF00" w14:textId="77777777">
            <w:pPr>
              <w:tabs>
                <w:tab w:val="center" w:pos="284"/>
              </w:tabs>
              <w:suppressAutoHyphens/>
              <w:overflowPunct w:val="0"/>
              <w:autoSpaceDE w:val="0"/>
              <w:autoSpaceDN w:val="0"/>
              <w:adjustRightInd w:val="0"/>
              <w:ind w:left="266" w:hanging="266"/>
              <w:textAlignment w:val="baseline"/>
              <w:rPr>
                <w:b/>
              </w:rPr>
            </w:pPr>
          </w:p>
        </w:tc>
        <w:tc>
          <w:tcPr>
            <w:tcW w:w="3969" w:type="pct"/>
          </w:tcPr>
          <w:p w:rsidRPr="00BA440C" w:rsidR="00910C90" w:rsidP="008E7DE8" w:rsidRDefault="00910C90" w14:paraId="565EAB0A" w14:textId="77777777">
            <w:pPr>
              <w:tabs>
                <w:tab w:val="center" w:pos="284"/>
              </w:tabs>
              <w:suppressAutoHyphens/>
              <w:overflowPunct w:val="0"/>
              <w:autoSpaceDE w:val="0"/>
              <w:autoSpaceDN w:val="0"/>
              <w:adjustRightInd w:val="0"/>
              <w:ind w:left="266" w:hanging="266"/>
              <w:textAlignment w:val="baseline"/>
            </w:pPr>
            <w:r w:rsidRPr="00BA440C">
              <w:t>EESC-2024-03990-00-00-AC</w:t>
            </w:r>
          </w:p>
        </w:tc>
      </w:tr>
    </w:tbl>
    <w:p w:rsidRPr="00BA440C" w:rsidR="00910C90" w:rsidP="008E7DE8" w:rsidRDefault="00910C90" w14:paraId="5C940F4E" w14:textId="77777777">
      <w:pPr>
        <w:tabs>
          <w:tab w:val="center" w:pos="284"/>
        </w:tabs>
        <w:suppressAutoHyphens/>
        <w:overflowPunct w:val="0"/>
        <w:autoSpaceDE w:val="0"/>
        <w:autoSpaceDN w:val="0"/>
        <w:adjustRightInd w:val="0"/>
        <w:ind w:left="266" w:hanging="266"/>
        <w:textAlignment w:val="baseline"/>
        <w:rPr>
          <w:b/>
        </w:rPr>
      </w:pPr>
    </w:p>
    <w:p w:rsidRPr="00BA440C" w:rsidR="00910C90" w:rsidP="008E7DE8" w:rsidRDefault="00910C90" w14:paraId="371C0EEF" w14:textId="4AB8EF1C">
      <w:pPr>
        <w:tabs>
          <w:tab w:val="center" w:pos="284"/>
        </w:tabs>
        <w:suppressAutoHyphens/>
        <w:overflowPunct w:val="0"/>
        <w:autoSpaceDE w:val="0"/>
        <w:autoSpaceDN w:val="0"/>
        <w:adjustRightInd w:val="0"/>
        <w:ind w:left="266" w:hanging="266"/>
        <w:textAlignment w:val="baseline"/>
        <w:rPr>
          <w:b/>
        </w:rPr>
      </w:pPr>
      <w:r w:rsidRPr="00BA440C">
        <w:rPr>
          <w:b/>
        </w:rPr>
        <w:t>Główne punkty</w:t>
      </w:r>
    </w:p>
    <w:p w:rsidRPr="00BA440C" w:rsidR="00910C90" w:rsidP="008E7DE8" w:rsidRDefault="00910C90" w14:paraId="4A75BA5E" w14:textId="77777777">
      <w:pPr>
        <w:tabs>
          <w:tab w:val="center" w:pos="284"/>
        </w:tabs>
        <w:suppressAutoHyphens/>
        <w:overflowPunct w:val="0"/>
        <w:autoSpaceDE w:val="0"/>
        <w:autoSpaceDN w:val="0"/>
        <w:adjustRightInd w:val="0"/>
        <w:ind w:left="266" w:hanging="266"/>
        <w:textAlignment w:val="baseline"/>
        <w:rPr>
          <w:b/>
        </w:rPr>
      </w:pPr>
    </w:p>
    <w:p w:rsidR="00910C90" w:rsidP="008E7DE8" w:rsidRDefault="00910C90" w14:paraId="217B964C" w14:textId="66C61C07">
      <w:pPr>
        <w:suppressAutoHyphens/>
        <w:overflowPunct w:val="0"/>
        <w:autoSpaceDE w:val="0"/>
        <w:autoSpaceDN w:val="0"/>
        <w:adjustRightInd w:val="0"/>
        <w:textAlignment w:val="baseline"/>
      </w:pPr>
      <w:r w:rsidRPr="00BA440C">
        <w:t>EKES:</w:t>
      </w:r>
    </w:p>
    <w:p w:rsidRPr="00BA440C" w:rsidR="00C1081A" w:rsidP="008E7DE8" w:rsidRDefault="00C1081A" w14:paraId="592E26FC" w14:textId="77777777">
      <w:pPr>
        <w:suppressAutoHyphens/>
        <w:overflowPunct w:val="0"/>
        <w:autoSpaceDE w:val="0"/>
        <w:autoSpaceDN w:val="0"/>
        <w:adjustRightInd w:val="0"/>
        <w:textAlignment w:val="baseline"/>
        <w:rPr>
          <w:bCs/>
          <w:iCs/>
        </w:rPr>
      </w:pPr>
    </w:p>
    <w:p w:rsidRPr="00BA440C" w:rsidR="00910C90" w:rsidP="008E7DE8" w:rsidRDefault="00910C90" w14:paraId="1D41958A" w14:textId="77777777">
      <w:pPr>
        <w:numPr>
          <w:ilvl w:val="0"/>
          <w:numId w:val="26"/>
        </w:numPr>
        <w:suppressAutoHyphens/>
        <w:ind w:left="567" w:hanging="567"/>
      </w:pPr>
      <w:r w:rsidRPr="00BA440C">
        <w:t>Wzywa UE i państwa członkowskie do zwiększenia tempa postępów w zakresie równouprawnienia płci, bardziej ambitnych działań, wypowiadania się na temat kurczącej się przestrzeni dla społeczeństwa obywatelskiego i blokowania regresu w dziedzinie praw kobiet, które to prawa są obecnie przedmiotem ataku w szczególności ze strony skrajnie prawicowych partii politycznych.</w:t>
      </w:r>
    </w:p>
    <w:p w:rsidRPr="00BA440C" w:rsidR="00910C90" w:rsidP="008E7DE8" w:rsidRDefault="00910C90" w14:paraId="78127DE3" w14:textId="77777777">
      <w:pPr>
        <w:numPr>
          <w:ilvl w:val="0"/>
          <w:numId w:val="26"/>
        </w:numPr>
        <w:suppressAutoHyphens/>
        <w:ind w:left="567" w:hanging="567"/>
      </w:pPr>
      <w:r w:rsidRPr="00BA440C">
        <w:t>Sugeruje, by Unia Europejska, państwa członkowskie i partie polityczne zobowiązały się do podjęcia działań mających na celu przyciągnięcie kobiet do polityki, w tym poprzez wprowadzenie środków zachęcających do wybierania i mianowania kobiet na kluczowe stanowiska, takich jak parytety, listy naprzemienne, współprzewodnictwo, podział kadencji oraz proponowanie kandydatów płci męskiej i żeńskiej.</w:t>
      </w:r>
    </w:p>
    <w:p w:rsidRPr="00BA440C" w:rsidR="00910C90" w:rsidP="008E7DE8" w:rsidRDefault="00910C90" w14:paraId="7874547D" w14:textId="6971A06F">
      <w:pPr>
        <w:numPr>
          <w:ilvl w:val="0"/>
          <w:numId w:val="26"/>
        </w:numPr>
        <w:suppressAutoHyphens/>
        <w:ind w:left="567" w:hanging="567"/>
      </w:pPr>
      <w:r w:rsidRPr="00BA440C">
        <w:t>Wzywa państwa członkowskie do przeznaczania wystarczających środków na krajowe plany działania mające położyć kres przemocy wobec kobiet i do opracowania tych planów w</w:t>
      </w:r>
      <w:r w:rsidR="00EA0B93">
        <w:t> </w:t>
      </w:r>
      <w:r w:rsidRPr="00BA440C">
        <w:t>porozumieniu z organizacjami społeczeństwa obywatelskiego. Apeluje, by podjęto więcej działań w celu zwalczania przemocy wobec kobiet w internecie i przemocy ekonomicznej, a</w:t>
      </w:r>
      <w:r w:rsidR="00EA0B93">
        <w:t> </w:t>
      </w:r>
      <w:r w:rsidRPr="00BA440C">
        <w:t xml:space="preserve">także zapewnienia poszanowania zdrowia seksualnego i prokreacyjnego kobiet oraz ich praw seksualnych i reprodukcyjnych. </w:t>
      </w:r>
    </w:p>
    <w:p w:rsidRPr="00BA440C" w:rsidR="00910C90" w:rsidP="008E7DE8" w:rsidRDefault="00910C90" w14:paraId="21DA3653" w14:textId="18974DA1">
      <w:pPr>
        <w:numPr>
          <w:ilvl w:val="0"/>
          <w:numId w:val="26"/>
        </w:numPr>
        <w:suppressAutoHyphens/>
        <w:ind w:left="567" w:hanging="567"/>
      </w:pPr>
      <w:r w:rsidRPr="00BA440C">
        <w:t>Uważa, że unijne ramy sprawiedliwej transformacji powinny obejmować strategię na rzecz umiejętności, aby zaradzić istniejącym wcześniej nierównościom płci, nie zapominając przy tym o kobietach i dziewczętach na globalnym Południu i na obszarach wiejskich, które w</w:t>
      </w:r>
      <w:r w:rsidR="00EA0B93">
        <w:t> </w:t>
      </w:r>
      <w:r w:rsidRPr="00BA440C">
        <w:t>nieproporcjonalnym stopniu dotyka potrójny kryzys planetarny.</w:t>
      </w:r>
    </w:p>
    <w:p w:rsidRPr="00BA440C" w:rsidR="00910C90" w:rsidP="008E7DE8" w:rsidRDefault="00910C90" w14:paraId="4B62CBD1" w14:textId="55633F54">
      <w:pPr>
        <w:numPr>
          <w:ilvl w:val="0"/>
          <w:numId w:val="26"/>
        </w:numPr>
        <w:suppressAutoHyphens/>
        <w:ind w:left="567" w:hanging="567"/>
      </w:pPr>
      <w:r w:rsidRPr="00BA440C">
        <w:t>Wzywa do zniwelowania przepaści cyfrowej między kobietami a mężczyznami i uwzględnienia perspektyw kobiet przy projektowaniu, opracowywaniu i wdrażaniu sztucznej inteligencji (AI) i</w:t>
      </w:r>
      <w:r w:rsidR="00EA0B93">
        <w:t> </w:t>
      </w:r>
      <w:r w:rsidRPr="00BA440C">
        <w:t>algorytmów, w trosce o to, by AI była wrażliwa społecznie i sprzyjała włączeniu społecznemu.</w:t>
      </w:r>
    </w:p>
    <w:p w:rsidRPr="00BA440C" w:rsidR="00910C90" w:rsidP="008E7DE8" w:rsidRDefault="00910C90" w14:paraId="2831FD93" w14:textId="060E5C3E">
      <w:pPr>
        <w:numPr>
          <w:ilvl w:val="0"/>
          <w:numId w:val="26"/>
        </w:numPr>
        <w:suppressAutoHyphens/>
        <w:ind w:left="567" w:hanging="567"/>
      </w:pPr>
      <w:r w:rsidRPr="00BA440C">
        <w:t>Apeluje o środki mające na celu zlikwidować nierówność płci w zakresie nieodpłatnych obowiązków opiekuńczych i pomóc kobietom w pozostaniu na rynku pracy, w tym poprzez zapewnienie przystępnych cenowo, dostępnych i wysokiej jakości usług opieki zdrowotnej i</w:t>
      </w:r>
      <w:r w:rsidR="00EA0B93">
        <w:t> </w:t>
      </w:r>
      <w:r w:rsidRPr="00BA440C">
        <w:t>opiekuńczej, a także siatek bezpieczeństwa, zgodnie z przepisami krajowymi.</w:t>
      </w:r>
    </w:p>
    <w:p w:rsidRPr="00BA440C" w:rsidR="00910C90" w:rsidP="008E7DE8" w:rsidRDefault="00910C90" w14:paraId="20D9B26B" w14:textId="77777777">
      <w:pPr>
        <w:numPr>
          <w:ilvl w:val="0"/>
          <w:numId w:val="26"/>
        </w:numPr>
        <w:suppressAutoHyphens/>
        <w:ind w:left="567" w:hanging="567"/>
      </w:pPr>
      <w:r w:rsidRPr="00BA440C">
        <w:t>Apeluje o silną i ambitną długoterminową strategię UE na rzecz polityki zagranicznej sprzyjającej włączeniu społecznemu, w której sercu znajdzie się równouprawnienie płci, prawa człowieka, feministyczna dyplomacja i sprawiedliwość społeczna.</w:t>
      </w:r>
    </w:p>
    <w:p w:rsidRPr="00BA440C" w:rsidR="00910C90" w:rsidP="008E7DE8" w:rsidRDefault="00910C90" w14:paraId="5A9E6752" w14:textId="77777777">
      <w:pPr>
        <w:numPr>
          <w:ilvl w:val="0"/>
          <w:numId w:val="26"/>
        </w:numPr>
        <w:suppressAutoHyphens/>
        <w:ind w:left="567" w:hanging="567"/>
      </w:pPr>
      <w:r w:rsidRPr="00BA440C">
        <w:t>Podkreśla potrzebę większej ilości przekrojowych danych zdezagregowanych ze względu na płeć w celu kształtowania strategii i podejmowania działań następczych, a także potrzebę stosowania narzędzi sporządzania budżetu z uwzględnieniem aspektu płci oraz uwzględniania aspektu płci w polityce fiskalnej.</w:t>
      </w:r>
    </w:p>
    <w:p w:rsidRPr="00BA440C" w:rsidR="008B7F9B" w:rsidP="008E7DE8" w:rsidRDefault="008B7F9B" w14:paraId="0A0E47B6" w14:textId="77777777">
      <w:pPr>
        <w:suppressAutoHyphens/>
        <w:overflowPunct w:val="0"/>
        <w:autoSpaceDE w:val="0"/>
        <w:autoSpaceDN w:val="0"/>
        <w:adjustRightInd w:val="0"/>
        <w:textAlignment w:val="baseline"/>
        <w:rPr>
          <w:lang w:eastAsia="zh-CN"/>
        </w:rPr>
      </w:pPr>
    </w:p>
    <w:tbl>
      <w:tblPr>
        <w:tblW w:w="5000" w:type="pct"/>
        <w:tblLook w:val="04A0" w:firstRow="1" w:lastRow="0" w:firstColumn="1" w:lastColumn="0" w:noHBand="0" w:noVBand="1"/>
      </w:tblPr>
      <w:tblGrid>
        <w:gridCol w:w="1687"/>
        <w:gridCol w:w="7602"/>
      </w:tblGrid>
      <w:tr w:rsidRPr="00BA440C" w:rsidR="00910C90" w:rsidTr="00BA440C" w14:paraId="0D75D5FA" w14:textId="77777777">
        <w:tc>
          <w:tcPr>
            <w:tcW w:w="908" w:type="pct"/>
          </w:tcPr>
          <w:p w:rsidRPr="00BA440C" w:rsidR="00910C90" w:rsidP="008E7DE8" w:rsidRDefault="00910C90" w14:paraId="09EE9454" w14:textId="796CA1EC">
            <w:pPr>
              <w:suppressAutoHyphens/>
              <w:overflowPunct w:val="0"/>
              <w:autoSpaceDE w:val="0"/>
              <w:autoSpaceDN w:val="0"/>
              <w:adjustRightInd w:val="0"/>
              <w:textAlignment w:val="baseline"/>
              <w:rPr>
                <w:i/>
              </w:rPr>
            </w:pPr>
            <w:r w:rsidRPr="00BA440C">
              <w:rPr>
                <w:b/>
                <w:i/>
              </w:rPr>
              <w:lastRenderedPageBreak/>
              <w:t>Kontakt</w:t>
            </w:r>
          </w:p>
        </w:tc>
        <w:tc>
          <w:tcPr>
            <w:tcW w:w="4092" w:type="pct"/>
          </w:tcPr>
          <w:p w:rsidRPr="00BA440C" w:rsidR="00910C90" w:rsidP="008E7DE8" w:rsidRDefault="00910C90" w14:paraId="20BCFE55" w14:textId="48EB87B0">
            <w:pPr>
              <w:suppressAutoHyphens/>
              <w:overflowPunct w:val="0"/>
              <w:autoSpaceDE w:val="0"/>
              <w:autoSpaceDN w:val="0"/>
              <w:adjustRightInd w:val="0"/>
              <w:textAlignment w:val="baseline"/>
              <w:rPr>
                <w:i/>
              </w:rPr>
            </w:pPr>
            <w:r w:rsidRPr="00BA440C">
              <w:rPr>
                <w:i/>
              </w:rPr>
              <w:t>Gabriela Grasu</w:t>
            </w:r>
          </w:p>
        </w:tc>
      </w:tr>
      <w:tr w:rsidRPr="00BA440C" w:rsidR="00910C90" w:rsidTr="00BA440C" w14:paraId="10BE1906" w14:textId="77777777">
        <w:tc>
          <w:tcPr>
            <w:tcW w:w="908" w:type="pct"/>
          </w:tcPr>
          <w:p w:rsidRPr="00BA440C" w:rsidR="00910C90" w:rsidP="008E7DE8" w:rsidRDefault="00910C90" w14:paraId="7C9E9C27" w14:textId="578CE414">
            <w:pPr>
              <w:suppressAutoHyphens/>
              <w:overflowPunct w:val="0"/>
              <w:autoSpaceDE w:val="0"/>
              <w:autoSpaceDN w:val="0"/>
              <w:adjustRightInd w:val="0"/>
              <w:textAlignment w:val="baseline"/>
              <w:rPr>
                <w:i/>
              </w:rPr>
            </w:pPr>
            <w:r w:rsidRPr="00BA440C">
              <w:rPr>
                <w:i/>
              </w:rPr>
              <w:t>tel.</w:t>
            </w:r>
          </w:p>
        </w:tc>
        <w:tc>
          <w:tcPr>
            <w:tcW w:w="4092" w:type="pct"/>
          </w:tcPr>
          <w:p w:rsidRPr="00BA440C" w:rsidR="00910C90" w:rsidP="008E7DE8" w:rsidRDefault="00910C90" w14:paraId="6BD9772E" w14:textId="77777777">
            <w:pPr>
              <w:suppressAutoHyphens/>
              <w:overflowPunct w:val="0"/>
              <w:autoSpaceDE w:val="0"/>
              <w:autoSpaceDN w:val="0"/>
              <w:adjustRightInd w:val="0"/>
              <w:textAlignment w:val="baseline"/>
              <w:rPr>
                <w:i/>
              </w:rPr>
            </w:pPr>
            <w:r w:rsidRPr="00BA440C">
              <w:rPr>
                <w:i/>
              </w:rPr>
              <w:t>+32 25469162</w:t>
            </w:r>
          </w:p>
        </w:tc>
      </w:tr>
      <w:tr w:rsidRPr="00BA440C" w:rsidR="00910C90" w:rsidTr="00BA440C" w14:paraId="378A4268" w14:textId="77777777">
        <w:tc>
          <w:tcPr>
            <w:tcW w:w="908" w:type="pct"/>
          </w:tcPr>
          <w:p w:rsidRPr="00BA440C" w:rsidR="00910C90" w:rsidP="008E7DE8" w:rsidRDefault="00910C90" w14:paraId="67D2B1A7" w14:textId="5316AB28">
            <w:pPr>
              <w:suppressAutoHyphens/>
              <w:overflowPunct w:val="0"/>
              <w:autoSpaceDE w:val="0"/>
              <w:autoSpaceDN w:val="0"/>
              <w:adjustRightInd w:val="0"/>
              <w:textAlignment w:val="baseline"/>
              <w:rPr>
                <w:i/>
              </w:rPr>
            </w:pPr>
            <w:r w:rsidRPr="00BA440C">
              <w:rPr>
                <w:i/>
              </w:rPr>
              <w:t>e-mail</w:t>
            </w:r>
          </w:p>
        </w:tc>
        <w:tc>
          <w:tcPr>
            <w:tcW w:w="4092" w:type="pct"/>
          </w:tcPr>
          <w:p w:rsidRPr="00BA440C" w:rsidR="00910C90" w:rsidP="008E7DE8" w:rsidRDefault="00F220BF" w14:paraId="18F62F88" w14:textId="03616BAE">
            <w:pPr>
              <w:suppressAutoHyphens/>
              <w:overflowPunct w:val="0"/>
              <w:autoSpaceDE w:val="0"/>
              <w:autoSpaceDN w:val="0"/>
              <w:adjustRightInd w:val="0"/>
              <w:textAlignment w:val="baseline"/>
              <w:rPr>
                <w:i/>
                <w:iCs/>
              </w:rPr>
            </w:pPr>
            <w:hyperlink w:history="1" r:id="rId34">
              <w:r w:rsidRPr="00BA440C" w:rsidR="006E14B4">
                <w:rPr>
                  <w:i/>
                  <w:color w:val="0000FF"/>
                  <w:u w:val="single"/>
                </w:rPr>
                <w:t>Gabriela.Grasu@eesc.europa.eu</w:t>
              </w:r>
            </w:hyperlink>
          </w:p>
        </w:tc>
      </w:tr>
    </w:tbl>
    <w:p w:rsidRPr="00BA440C" w:rsidR="00D5795F" w:rsidP="008E7DE8" w:rsidRDefault="00D5795F" w14:paraId="0F5B3C36" w14:textId="77777777">
      <w:pPr>
        <w:suppressAutoHyphens/>
        <w:jc w:val="left"/>
      </w:pPr>
      <w:r w:rsidRPr="00BA440C">
        <w:br w:type="page"/>
      </w:r>
    </w:p>
    <w:p w:rsidRPr="00B10907" w:rsidR="00981AAC" w:rsidP="008E7DE8" w:rsidRDefault="00981AAC" w14:paraId="48226001" w14:textId="27B0F9D8">
      <w:pPr>
        <w:numPr>
          <w:ilvl w:val="0"/>
          <w:numId w:val="2"/>
        </w:numPr>
        <w:suppressAutoHyphens/>
        <w:overflowPunct w:val="0"/>
        <w:autoSpaceDE w:val="0"/>
        <w:autoSpaceDN w:val="0"/>
        <w:adjustRightInd w:val="0"/>
        <w:ind w:hanging="567"/>
        <w:textAlignment w:val="baseline"/>
        <w:rPr>
          <w:sz w:val="28"/>
          <w:szCs w:val="28"/>
        </w:rPr>
      </w:pPr>
      <w:r w:rsidRPr="00BA440C">
        <w:rPr>
          <w:b/>
          <w:i/>
        </w:rPr>
        <w:lastRenderedPageBreak/>
        <w:fldChar w:fldCharType="begin"/>
      </w:r>
      <w:r w:rsidRPr="00BA440C">
        <w:rPr>
          <w:b/>
          <w:i/>
        </w:rPr>
        <w:instrText>HYPERLINK "https://www.eesc.europa.eu/pl/our-work/opinions-information-reports/opinions/older-people-employment-systemic-factors-choosing-work-longer"</w:instrText>
      </w:r>
      <w:r w:rsidRPr="00BA440C">
        <w:rPr>
          <w:b/>
          <w:i/>
        </w:rPr>
        <w:fldChar w:fldCharType="separate"/>
      </w:r>
      <w:r w:rsidRPr="00B10907">
        <w:rPr>
          <w:b/>
          <w:i/>
          <w:color w:val="0000FF"/>
          <w:sz w:val="28"/>
          <w:szCs w:val="28"/>
          <w:u w:val="single"/>
        </w:rPr>
        <w:t>Osoby starsze w zatrudnieniu – uwarunkowania systemowe dobrowolnej dłuższej aktywności zawodowej</w:t>
      </w:r>
    </w:p>
    <w:p w:rsidRPr="00BA440C" w:rsidR="00981AAC" w:rsidP="008E7DE8" w:rsidRDefault="00981AAC" w14:paraId="69C9F195" w14:textId="77777777">
      <w:pPr>
        <w:suppressAutoHyphens/>
        <w:overflowPunct w:val="0"/>
        <w:autoSpaceDE w:val="0"/>
        <w:autoSpaceDN w:val="0"/>
        <w:adjustRightInd w:val="0"/>
        <w:ind w:left="567"/>
        <w:textAlignment w:val="baseline"/>
        <w:rPr>
          <w:b/>
          <w:i/>
        </w:rPr>
      </w:pPr>
      <w:r w:rsidRPr="00BA440C">
        <w:rPr>
          <w:b/>
          <w:i/>
        </w:rPr>
        <w:fldChar w:fldCharType="end"/>
      </w:r>
    </w:p>
    <w:tbl>
      <w:tblPr>
        <w:tblW w:w="5000" w:type="pct"/>
        <w:tblLook w:val="04A0" w:firstRow="1" w:lastRow="0" w:firstColumn="1" w:lastColumn="0" w:noHBand="0" w:noVBand="1"/>
      </w:tblPr>
      <w:tblGrid>
        <w:gridCol w:w="1668"/>
        <w:gridCol w:w="7621"/>
      </w:tblGrid>
      <w:tr w:rsidRPr="00BA440C" w:rsidR="00981AAC" w:rsidTr="00BA440C" w14:paraId="564BEBA9" w14:textId="77777777">
        <w:tc>
          <w:tcPr>
            <w:tcW w:w="898" w:type="pct"/>
          </w:tcPr>
          <w:p w:rsidRPr="00BA440C" w:rsidR="00981AAC" w:rsidP="008E7DE8" w:rsidRDefault="00981AAC" w14:paraId="0345DE90" w14:textId="77777777">
            <w:pPr>
              <w:suppressAutoHyphens/>
              <w:overflowPunct w:val="0"/>
              <w:autoSpaceDE w:val="0"/>
              <w:autoSpaceDN w:val="0"/>
              <w:adjustRightInd w:val="0"/>
              <w:ind w:left="-113"/>
              <w:textAlignment w:val="baseline"/>
              <w:rPr>
                <w:b/>
              </w:rPr>
            </w:pPr>
            <w:r w:rsidRPr="00BA440C">
              <w:rPr>
                <w:b/>
              </w:rPr>
              <w:t>Sprawozdawca</w:t>
            </w:r>
          </w:p>
        </w:tc>
        <w:tc>
          <w:tcPr>
            <w:tcW w:w="4102" w:type="pct"/>
          </w:tcPr>
          <w:p w:rsidRPr="00BA440C" w:rsidR="00382A22" w:rsidP="008E7DE8" w:rsidRDefault="00981AAC" w14:paraId="2A77F056" w14:textId="351CBDDF">
            <w:pPr>
              <w:tabs>
                <w:tab w:val="left" w:pos="4572"/>
              </w:tabs>
              <w:suppressAutoHyphens/>
              <w:overflowPunct w:val="0"/>
              <w:autoSpaceDE w:val="0"/>
              <w:autoSpaceDN w:val="0"/>
              <w:adjustRightInd w:val="0"/>
              <w:ind w:left="-113" w:right="-823"/>
              <w:textAlignment w:val="baseline"/>
            </w:pPr>
            <w:r w:rsidRPr="00BA440C">
              <w:t>Krzysztof BALON (Grupa Organizacji Społeczeństwa Obywatelskiego – PL)</w:t>
            </w:r>
          </w:p>
        </w:tc>
      </w:tr>
      <w:tr w:rsidRPr="00BA440C" w:rsidR="00981AAC" w:rsidTr="00BA440C" w14:paraId="3AF74D98" w14:textId="77777777">
        <w:tc>
          <w:tcPr>
            <w:tcW w:w="898" w:type="pct"/>
          </w:tcPr>
          <w:p w:rsidRPr="00BA440C" w:rsidR="00981AAC" w:rsidP="008E7DE8" w:rsidRDefault="00981AAC" w14:paraId="399C89C3" w14:textId="7F5F6409">
            <w:pPr>
              <w:suppressAutoHyphens/>
              <w:overflowPunct w:val="0"/>
              <w:autoSpaceDE w:val="0"/>
              <w:autoSpaceDN w:val="0"/>
              <w:adjustRightInd w:val="0"/>
              <w:ind w:left="-113"/>
              <w:textAlignment w:val="baseline"/>
              <w:rPr>
                <w:b/>
              </w:rPr>
            </w:pPr>
            <w:r w:rsidRPr="00BA440C">
              <w:rPr>
                <w:b/>
              </w:rPr>
              <w:t>Dokumenty</w:t>
            </w:r>
          </w:p>
        </w:tc>
        <w:tc>
          <w:tcPr>
            <w:tcW w:w="4102" w:type="pct"/>
          </w:tcPr>
          <w:p w:rsidRPr="00BA440C" w:rsidR="00382A22" w:rsidP="008E7DE8" w:rsidRDefault="00382A22" w14:paraId="15365992" w14:textId="791A85F1">
            <w:pPr>
              <w:tabs>
                <w:tab w:val="left" w:pos="4430"/>
              </w:tabs>
              <w:suppressAutoHyphens/>
              <w:overflowPunct w:val="0"/>
              <w:autoSpaceDE w:val="0"/>
              <w:autoSpaceDN w:val="0"/>
              <w:adjustRightInd w:val="0"/>
              <w:ind w:left="-113" w:right="-823"/>
              <w:textAlignment w:val="baseline"/>
            </w:pPr>
            <w:r w:rsidRPr="00BA440C">
              <w:t>Opinia rozpoznawcza na wniosek polskiej prezydencji Rady UE</w:t>
            </w:r>
          </w:p>
          <w:p w:rsidRPr="00BA440C" w:rsidR="00981AAC" w:rsidP="008E7DE8" w:rsidRDefault="00981AAC" w14:paraId="455DCFBD" w14:textId="0C759088">
            <w:pPr>
              <w:tabs>
                <w:tab w:val="left" w:pos="4430"/>
              </w:tabs>
              <w:suppressAutoHyphens/>
              <w:overflowPunct w:val="0"/>
              <w:autoSpaceDE w:val="0"/>
              <w:autoSpaceDN w:val="0"/>
              <w:adjustRightInd w:val="0"/>
              <w:ind w:left="-113" w:right="-823"/>
              <w:textAlignment w:val="baseline"/>
            </w:pPr>
            <w:r w:rsidRPr="00BA440C">
              <w:t>EESC-2024-03788-00-00-AC</w:t>
            </w:r>
          </w:p>
        </w:tc>
      </w:tr>
    </w:tbl>
    <w:p w:rsidRPr="00BA440C" w:rsidR="00652335" w:rsidP="008E7DE8" w:rsidRDefault="00652335" w14:paraId="789D81F8" w14:textId="77777777">
      <w:pPr>
        <w:tabs>
          <w:tab w:val="center" w:pos="284"/>
        </w:tabs>
        <w:suppressAutoHyphens/>
        <w:overflowPunct w:val="0"/>
        <w:autoSpaceDE w:val="0"/>
        <w:autoSpaceDN w:val="0"/>
        <w:adjustRightInd w:val="0"/>
        <w:ind w:left="266" w:hanging="266"/>
        <w:textAlignment w:val="baseline"/>
        <w:rPr>
          <w:b/>
        </w:rPr>
      </w:pPr>
    </w:p>
    <w:p w:rsidRPr="00BA440C" w:rsidR="00981AAC" w:rsidP="008E7DE8" w:rsidRDefault="00981AAC" w14:paraId="4B8CB502" w14:textId="1F116006">
      <w:pPr>
        <w:tabs>
          <w:tab w:val="center" w:pos="284"/>
        </w:tabs>
        <w:suppressAutoHyphens/>
        <w:overflowPunct w:val="0"/>
        <w:autoSpaceDE w:val="0"/>
        <w:autoSpaceDN w:val="0"/>
        <w:adjustRightInd w:val="0"/>
        <w:ind w:left="266" w:hanging="266"/>
        <w:textAlignment w:val="baseline"/>
        <w:rPr>
          <w:b/>
        </w:rPr>
      </w:pPr>
      <w:r w:rsidRPr="00BA440C">
        <w:rPr>
          <w:b/>
        </w:rPr>
        <w:t>Główne punkty</w:t>
      </w:r>
    </w:p>
    <w:p w:rsidRPr="00BA440C" w:rsidR="00981AAC" w:rsidP="008E7DE8" w:rsidRDefault="00981AAC" w14:paraId="7008E7DD" w14:textId="77777777">
      <w:pPr>
        <w:tabs>
          <w:tab w:val="center" w:pos="284"/>
        </w:tabs>
        <w:suppressAutoHyphens/>
        <w:overflowPunct w:val="0"/>
        <w:autoSpaceDE w:val="0"/>
        <w:autoSpaceDN w:val="0"/>
        <w:adjustRightInd w:val="0"/>
        <w:ind w:left="266" w:hanging="266"/>
        <w:textAlignment w:val="baseline"/>
        <w:rPr>
          <w:b/>
        </w:rPr>
      </w:pPr>
    </w:p>
    <w:p w:rsidR="00E83667" w:rsidP="008E7DE8" w:rsidRDefault="00981AAC" w14:paraId="7F206CE5" w14:textId="29C4D08E">
      <w:pPr>
        <w:tabs>
          <w:tab w:val="center" w:pos="284"/>
        </w:tabs>
        <w:suppressAutoHyphens/>
        <w:overflowPunct w:val="0"/>
        <w:autoSpaceDE w:val="0"/>
        <w:autoSpaceDN w:val="0"/>
        <w:adjustRightInd w:val="0"/>
        <w:ind w:left="266" w:hanging="266"/>
        <w:textAlignment w:val="baseline"/>
      </w:pPr>
      <w:r w:rsidRPr="00BA440C">
        <w:t>EKES:</w:t>
      </w:r>
    </w:p>
    <w:p w:rsidRPr="00BA440C" w:rsidR="00C1081A" w:rsidP="008E7DE8" w:rsidRDefault="00C1081A" w14:paraId="7E819D57" w14:textId="77777777">
      <w:pPr>
        <w:tabs>
          <w:tab w:val="center" w:pos="284"/>
        </w:tabs>
        <w:suppressAutoHyphens/>
        <w:overflowPunct w:val="0"/>
        <w:autoSpaceDE w:val="0"/>
        <w:autoSpaceDN w:val="0"/>
        <w:adjustRightInd w:val="0"/>
        <w:ind w:left="266" w:hanging="266"/>
        <w:textAlignment w:val="baseline"/>
      </w:pPr>
    </w:p>
    <w:p w:rsidRPr="00BA440C" w:rsidR="00981AAC" w:rsidP="008E7DE8" w:rsidRDefault="00981AAC" w14:paraId="3311126F" w14:textId="77777777">
      <w:pPr>
        <w:pStyle w:val="ListParagraph"/>
        <w:numPr>
          <w:ilvl w:val="0"/>
          <w:numId w:val="42"/>
        </w:numPr>
        <w:suppressAutoHyphens/>
        <w:ind w:left="567" w:hanging="567"/>
        <w:contextualSpacing w:val="0"/>
      </w:pPr>
      <w:bookmarkStart w:name="_Toc191974009" w:id="11"/>
      <w:r w:rsidRPr="00BA440C">
        <w:t xml:space="preserve">Podziela pogląd polskiej prezydencji Rady Unii Europejskiej, że </w:t>
      </w:r>
      <w:r w:rsidRPr="00BA440C">
        <w:rPr>
          <w:b/>
        </w:rPr>
        <w:t>aktywizacja zawodowa osób starszych</w:t>
      </w:r>
      <w:r w:rsidRPr="00BA440C">
        <w:t xml:space="preserve"> stała się jednym z </w:t>
      </w:r>
      <w:r w:rsidRPr="00BA440C">
        <w:rPr>
          <w:b/>
        </w:rPr>
        <w:t>kluczowych wyzwań dla polityki publicznej</w:t>
      </w:r>
      <w:r w:rsidRPr="00BA440C">
        <w:t xml:space="preserve">. Ponieważ w UE przedłuża się średnie dalsze trwanie życia w dobrym zdrowiu, </w:t>
      </w:r>
      <w:r w:rsidRPr="00BA440C">
        <w:rPr>
          <w:b/>
        </w:rPr>
        <w:t>aktywność zawodowa osób starszych</w:t>
      </w:r>
      <w:r w:rsidRPr="00BA440C">
        <w:t xml:space="preserve"> ma potencjał </w:t>
      </w:r>
      <w:r w:rsidRPr="00BA440C">
        <w:rPr>
          <w:b/>
        </w:rPr>
        <w:t>pozytywnego wpływania</w:t>
      </w:r>
      <w:r w:rsidRPr="00BA440C">
        <w:t xml:space="preserve"> nie tylko na </w:t>
      </w:r>
      <w:r w:rsidRPr="00BA440C">
        <w:rPr>
          <w:b/>
        </w:rPr>
        <w:t>rozwój gospodarczy</w:t>
      </w:r>
      <w:r w:rsidRPr="00BA440C">
        <w:t xml:space="preserve">, ale i </w:t>
      </w:r>
      <w:r w:rsidRPr="00BA440C">
        <w:rPr>
          <w:b/>
        </w:rPr>
        <w:t>na dobrostan tych osób</w:t>
      </w:r>
      <w:r w:rsidRPr="00BA440C">
        <w:t xml:space="preserve"> – dzięki lepszej </w:t>
      </w:r>
      <w:r w:rsidRPr="00BA440C">
        <w:rPr>
          <w:b/>
        </w:rPr>
        <w:t>kondycji finansowej</w:t>
      </w:r>
      <w:r w:rsidRPr="00BA440C">
        <w:t xml:space="preserve">, </w:t>
      </w:r>
      <w:r w:rsidRPr="00BA440C">
        <w:rPr>
          <w:b/>
        </w:rPr>
        <w:t>społecznej</w:t>
      </w:r>
      <w:r w:rsidRPr="00BA440C">
        <w:t xml:space="preserve"> i </w:t>
      </w:r>
      <w:r w:rsidRPr="00BA440C">
        <w:rPr>
          <w:b/>
        </w:rPr>
        <w:t>zdrowotnej</w:t>
      </w:r>
      <w:r w:rsidRPr="00BA440C">
        <w:t>, a także na solidarność międzypokoleniową w społeczeństwie.</w:t>
      </w:r>
      <w:bookmarkEnd w:id="11"/>
    </w:p>
    <w:p w:rsidRPr="00BA440C" w:rsidR="00981AAC" w:rsidP="008E7DE8" w:rsidRDefault="00981AAC" w14:paraId="30FD09FC" w14:textId="77777777">
      <w:pPr>
        <w:pStyle w:val="ListParagraph"/>
        <w:numPr>
          <w:ilvl w:val="0"/>
          <w:numId w:val="42"/>
        </w:numPr>
        <w:suppressAutoHyphens/>
        <w:ind w:left="567" w:hanging="567"/>
        <w:contextualSpacing w:val="0"/>
      </w:pPr>
      <w:bookmarkStart w:name="_Toc191974010" w:id="12"/>
      <w:r w:rsidRPr="00BA440C">
        <w:t xml:space="preserve">Zauważa, że </w:t>
      </w:r>
      <w:r w:rsidRPr="00BA440C">
        <w:rPr>
          <w:b/>
        </w:rPr>
        <w:t>niezbędne jest pełne wdrożenie 15. zasady Europejskiego filaru praw socjalnych</w:t>
      </w:r>
      <w:r w:rsidRPr="00BA440C">
        <w:t xml:space="preserve"> (prawa do emerytury odpowiadającej zgromadzonemu wkładowi i zapewniającej odpowiedni dochód umożliwiający godne życie w starszym wieku).</w:t>
      </w:r>
      <w:bookmarkEnd w:id="12"/>
    </w:p>
    <w:p w:rsidRPr="00BA440C" w:rsidR="00981AAC" w:rsidP="008E7DE8" w:rsidRDefault="00981AAC" w14:paraId="7674E455" w14:textId="187F7C4A">
      <w:pPr>
        <w:pStyle w:val="ListParagraph"/>
        <w:numPr>
          <w:ilvl w:val="0"/>
          <w:numId w:val="42"/>
        </w:numPr>
        <w:suppressAutoHyphens/>
        <w:ind w:left="567" w:hanging="567"/>
        <w:contextualSpacing w:val="0"/>
      </w:pPr>
      <w:bookmarkStart w:name="_Toc191974011" w:id="13"/>
      <w:r w:rsidRPr="00BA440C">
        <w:t xml:space="preserve">Zwraca uwagę, że ważnym aspektem jest </w:t>
      </w:r>
      <w:r w:rsidRPr="00BA440C">
        <w:rPr>
          <w:b/>
        </w:rPr>
        <w:t>tworzenie</w:t>
      </w:r>
      <w:r w:rsidRPr="00BA440C">
        <w:t xml:space="preserve"> </w:t>
      </w:r>
      <w:r w:rsidRPr="00BA440C">
        <w:rPr>
          <w:b/>
        </w:rPr>
        <w:t>miejsc pracy wysokiej jakości i</w:t>
      </w:r>
      <w:r w:rsidR="00EA0B93">
        <w:t> </w:t>
      </w:r>
      <w:r w:rsidRPr="00BA440C">
        <w:rPr>
          <w:b/>
        </w:rPr>
        <w:t>środowisk pracy</w:t>
      </w:r>
      <w:r w:rsidRPr="00BA440C">
        <w:t xml:space="preserve"> zachęcających wszystkie grupy wiekowe do </w:t>
      </w:r>
      <w:r w:rsidRPr="00BA440C">
        <w:rPr>
          <w:b/>
        </w:rPr>
        <w:t>wejścia na rynek pracy i</w:t>
      </w:r>
      <w:r w:rsidR="00EA0B93">
        <w:t> </w:t>
      </w:r>
      <w:r w:rsidRPr="00BA440C">
        <w:rPr>
          <w:b/>
        </w:rPr>
        <w:t>pozostania na nim</w:t>
      </w:r>
      <w:r w:rsidRPr="00BA440C">
        <w:t>.</w:t>
      </w:r>
      <w:bookmarkEnd w:id="13"/>
      <w:r w:rsidRPr="00BA440C">
        <w:t xml:space="preserve"> </w:t>
      </w:r>
    </w:p>
    <w:p w:rsidRPr="00BA440C" w:rsidR="00981AAC" w:rsidP="008E7DE8" w:rsidRDefault="00981AAC" w14:paraId="7D687E45" w14:textId="5EF9AA9F">
      <w:pPr>
        <w:pStyle w:val="ListParagraph"/>
        <w:numPr>
          <w:ilvl w:val="0"/>
          <w:numId w:val="41"/>
        </w:numPr>
        <w:suppressAutoHyphens/>
        <w:ind w:left="567" w:hanging="567"/>
        <w:contextualSpacing w:val="0"/>
      </w:pPr>
      <w:bookmarkStart w:name="_Toc191974012" w:id="14"/>
      <w:r w:rsidRPr="00BA440C">
        <w:t xml:space="preserve">Odnotowuje, że kolejnym czynnikiem zwiększającym zatrudnienie osób starszych jest </w:t>
      </w:r>
      <w:r w:rsidRPr="00BA440C">
        <w:rPr>
          <w:b/>
        </w:rPr>
        <w:t>tworzenie wielopokoleniowych zespołów roboczych</w:t>
      </w:r>
      <w:r w:rsidRPr="00BA440C">
        <w:t xml:space="preserve">, i </w:t>
      </w:r>
      <w:r w:rsidRPr="00BA440C">
        <w:rPr>
          <w:b/>
        </w:rPr>
        <w:t>ponawia</w:t>
      </w:r>
      <w:r w:rsidRPr="00BA440C">
        <w:t xml:space="preserve"> apel do </w:t>
      </w:r>
      <w:r w:rsidRPr="00BA440C">
        <w:rPr>
          <w:b/>
        </w:rPr>
        <w:t>Komisji Europejskiej</w:t>
      </w:r>
      <w:r w:rsidRPr="00BA440C">
        <w:t xml:space="preserve">, aby przyjęła </w:t>
      </w:r>
      <w:r w:rsidRPr="00BA440C">
        <w:rPr>
          <w:b/>
        </w:rPr>
        <w:t>zalecenie</w:t>
      </w:r>
      <w:r w:rsidRPr="00BA440C">
        <w:t xml:space="preserve"> wzywające państwa członkowskie do </w:t>
      </w:r>
      <w:r w:rsidRPr="00BA440C">
        <w:rPr>
          <w:b/>
        </w:rPr>
        <w:t>zapewnienia w</w:t>
      </w:r>
      <w:r w:rsidR="00EA0B93">
        <w:t> </w:t>
      </w:r>
      <w:r w:rsidRPr="00BA440C">
        <w:rPr>
          <w:b/>
        </w:rPr>
        <w:t>miejscu pracy obecności pracowników z różnych pokoleń oraz ich współpracy</w:t>
      </w:r>
      <w:r w:rsidRPr="00BA440C">
        <w:t>.</w:t>
      </w:r>
      <w:bookmarkEnd w:id="14"/>
    </w:p>
    <w:p w:rsidRPr="00BA440C" w:rsidR="00981AAC" w:rsidP="008E7DE8" w:rsidRDefault="00981AAC" w14:paraId="2CC124C3" w14:textId="3E21F8D9">
      <w:pPr>
        <w:pStyle w:val="ListParagraph"/>
        <w:numPr>
          <w:ilvl w:val="0"/>
          <w:numId w:val="40"/>
        </w:numPr>
        <w:suppressAutoHyphens/>
        <w:ind w:left="567" w:hanging="567"/>
        <w:contextualSpacing w:val="0"/>
      </w:pPr>
      <w:bookmarkStart w:name="_Toc191974013" w:id="15"/>
      <w:r w:rsidRPr="00BA440C">
        <w:t xml:space="preserve">Do instrumentów wspierających zatrudnienie osób starszych należy zaliczyć: (a) </w:t>
      </w:r>
      <w:r w:rsidRPr="00BA440C">
        <w:rPr>
          <w:b/>
        </w:rPr>
        <w:t>tworzenie sprzyjającego środowiska pracy</w:t>
      </w:r>
      <w:r w:rsidRPr="00BA440C">
        <w:t xml:space="preserve"> zachęcającego seniorów do dłuższego pozostania na rynku pracy, jeśli sobie tego życzą, (b) </w:t>
      </w:r>
      <w:r w:rsidRPr="00BA440C">
        <w:rPr>
          <w:b/>
        </w:rPr>
        <w:t>podtrzymywanie i podnoszenie kwalifikacji w ramach polityki uczenia się przez całe życie</w:t>
      </w:r>
      <w:r w:rsidRPr="00BA440C">
        <w:t xml:space="preserve">, (c) rozwiązania pozwalające </w:t>
      </w:r>
      <w:r w:rsidRPr="00BA440C">
        <w:rPr>
          <w:b/>
        </w:rPr>
        <w:t>łączyć pracę zawodową i</w:t>
      </w:r>
      <w:r w:rsidR="00EA0B93">
        <w:t> </w:t>
      </w:r>
      <w:r w:rsidRPr="00BA440C">
        <w:rPr>
          <w:b/>
        </w:rPr>
        <w:t>obowiązki z zakresu opieki</w:t>
      </w:r>
      <w:r w:rsidRPr="00BA440C">
        <w:t xml:space="preserve"> nad sędziwymi osobami bliskimi, (d) </w:t>
      </w:r>
      <w:r w:rsidRPr="00BA440C">
        <w:rPr>
          <w:b/>
        </w:rPr>
        <w:t>propagowanie wydłużania aktywności zawodowej</w:t>
      </w:r>
      <w:r w:rsidRPr="00BA440C">
        <w:t xml:space="preserve"> oraz e) </w:t>
      </w:r>
      <w:r w:rsidRPr="00BA440C">
        <w:rPr>
          <w:b/>
        </w:rPr>
        <w:t>zwalczanie dyskryminacji związanej z wiekiem</w:t>
      </w:r>
      <w:r w:rsidRPr="00BA440C">
        <w:t xml:space="preserve"> i innych czynników uniemożliwiających starszym pracownikom pozostanie na rynku pracy. We wszystkich tych obszarach kluczowa rola przypada podmiotom gospodarki społecznej, organizacjom społeczeństwa obywatelskiego i partnerom społecznym.</w:t>
      </w:r>
      <w:bookmarkEnd w:id="15"/>
    </w:p>
    <w:p w:rsidRPr="00BA440C" w:rsidR="00981AAC" w:rsidP="008E7DE8" w:rsidRDefault="00981AAC" w14:paraId="08AC24E2" w14:textId="4815FA21">
      <w:pPr>
        <w:pStyle w:val="ListParagraph"/>
        <w:numPr>
          <w:ilvl w:val="0"/>
          <w:numId w:val="39"/>
        </w:numPr>
        <w:suppressAutoHyphens/>
        <w:ind w:left="567" w:hanging="567"/>
        <w:contextualSpacing w:val="0"/>
      </w:pPr>
      <w:bookmarkStart w:name="_Toc191974014" w:id="16"/>
      <w:r w:rsidRPr="00BA440C">
        <w:t xml:space="preserve">Proponuje, by </w:t>
      </w:r>
      <w:r w:rsidRPr="00BA440C">
        <w:rPr>
          <w:b/>
        </w:rPr>
        <w:t>Komisja Europejska</w:t>
      </w:r>
      <w:r w:rsidRPr="00BA440C">
        <w:t>, we współpracy z EKES-em, partnerami społecznymi i</w:t>
      </w:r>
      <w:r w:rsidR="00EA0B93">
        <w:t> </w:t>
      </w:r>
      <w:r w:rsidRPr="00BA440C">
        <w:t xml:space="preserve">innymi organizacjami społeczeństwa obywatelskiego, </w:t>
      </w:r>
      <w:r w:rsidRPr="00BA440C">
        <w:rPr>
          <w:b/>
        </w:rPr>
        <w:t>stworzyła forum wymiany dobrych praktyk</w:t>
      </w:r>
      <w:r w:rsidRPr="00BA440C">
        <w:t xml:space="preserve"> między państwami członkowskimi. Następnie, biorąc pod uwagę wyniki dyskusji na forum, Komisja Europejska mogłaby opublikować „zestaw narzędzi” dotyczący najlepszych praktyk.</w:t>
      </w:r>
      <w:bookmarkEnd w:id="16"/>
    </w:p>
    <w:p w:rsidRPr="002B51B6" w:rsidR="00981AAC" w:rsidP="008E7DE8" w:rsidRDefault="00981AAC" w14:paraId="4F0FB5FC" w14:textId="77777777">
      <w:pPr>
        <w:suppressAutoHyphens/>
        <w:overflowPunct w:val="0"/>
        <w:autoSpaceDE w:val="0"/>
        <w:autoSpaceDN w:val="0"/>
        <w:adjustRightInd w:val="0"/>
        <w:textAlignment w:val="baseline"/>
        <w:rPr>
          <w:sz w:val="20"/>
          <w:szCs w:val="20"/>
        </w:rPr>
      </w:pPr>
    </w:p>
    <w:tbl>
      <w:tblPr>
        <w:tblW w:w="5000" w:type="pct"/>
        <w:tblLook w:val="04A0" w:firstRow="1" w:lastRow="0" w:firstColumn="1" w:lastColumn="0" w:noHBand="0" w:noVBand="1"/>
      </w:tblPr>
      <w:tblGrid>
        <w:gridCol w:w="1689"/>
        <w:gridCol w:w="7600"/>
      </w:tblGrid>
      <w:tr w:rsidRPr="00BA440C" w:rsidR="00981AAC" w:rsidTr="00BA440C" w14:paraId="561BB3E5" w14:textId="77777777">
        <w:tc>
          <w:tcPr>
            <w:tcW w:w="909" w:type="pct"/>
          </w:tcPr>
          <w:p w:rsidRPr="00BA440C" w:rsidR="00981AAC" w:rsidP="008E7DE8" w:rsidRDefault="00981AAC" w14:paraId="28C5741E" w14:textId="77777777">
            <w:pPr>
              <w:suppressAutoHyphens/>
              <w:overflowPunct w:val="0"/>
              <w:autoSpaceDE w:val="0"/>
              <w:autoSpaceDN w:val="0"/>
              <w:adjustRightInd w:val="0"/>
              <w:textAlignment w:val="baseline"/>
              <w:rPr>
                <w:i/>
              </w:rPr>
            </w:pPr>
            <w:r w:rsidRPr="00BA440C">
              <w:rPr>
                <w:b/>
                <w:i/>
              </w:rPr>
              <w:t>Kontakt</w:t>
            </w:r>
          </w:p>
        </w:tc>
        <w:tc>
          <w:tcPr>
            <w:tcW w:w="4091" w:type="pct"/>
          </w:tcPr>
          <w:p w:rsidRPr="00BA440C" w:rsidR="00981AAC" w:rsidP="008E7DE8" w:rsidRDefault="00981AAC" w14:paraId="3A046822" w14:textId="6C427D2F">
            <w:pPr>
              <w:suppressAutoHyphens/>
              <w:overflowPunct w:val="0"/>
              <w:autoSpaceDE w:val="0"/>
              <w:autoSpaceDN w:val="0"/>
              <w:adjustRightInd w:val="0"/>
              <w:textAlignment w:val="baseline"/>
              <w:rPr>
                <w:i/>
              </w:rPr>
            </w:pPr>
            <w:r w:rsidRPr="00BA440C">
              <w:rPr>
                <w:i/>
              </w:rPr>
              <w:t>Triin Aasmaa Gomes</w:t>
            </w:r>
          </w:p>
        </w:tc>
      </w:tr>
      <w:tr w:rsidRPr="00BA440C" w:rsidR="00981AAC" w:rsidTr="00BA440C" w14:paraId="5B86D599" w14:textId="77777777">
        <w:tc>
          <w:tcPr>
            <w:tcW w:w="909" w:type="pct"/>
          </w:tcPr>
          <w:p w:rsidRPr="00BA440C" w:rsidR="00981AAC" w:rsidP="008E7DE8" w:rsidRDefault="00981AAC" w14:paraId="7FD14655" w14:textId="77777777">
            <w:pPr>
              <w:suppressAutoHyphens/>
              <w:overflowPunct w:val="0"/>
              <w:autoSpaceDE w:val="0"/>
              <w:autoSpaceDN w:val="0"/>
              <w:adjustRightInd w:val="0"/>
              <w:textAlignment w:val="baseline"/>
              <w:rPr>
                <w:i/>
              </w:rPr>
            </w:pPr>
            <w:r w:rsidRPr="00BA440C">
              <w:rPr>
                <w:i/>
              </w:rPr>
              <w:t>tel.</w:t>
            </w:r>
          </w:p>
        </w:tc>
        <w:tc>
          <w:tcPr>
            <w:tcW w:w="4091" w:type="pct"/>
          </w:tcPr>
          <w:p w:rsidRPr="00BA440C" w:rsidR="00981AAC" w:rsidP="008E7DE8" w:rsidRDefault="00981AAC" w14:paraId="1A842B89" w14:textId="77777777">
            <w:pPr>
              <w:suppressAutoHyphens/>
              <w:overflowPunct w:val="0"/>
              <w:autoSpaceDE w:val="0"/>
              <w:autoSpaceDN w:val="0"/>
              <w:adjustRightInd w:val="0"/>
              <w:textAlignment w:val="baseline"/>
              <w:rPr>
                <w:i/>
              </w:rPr>
            </w:pPr>
            <w:r w:rsidRPr="00BA440C">
              <w:rPr>
                <w:i/>
              </w:rPr>
              <w:t>+32 25469524</w:t>
            </w:r>
          </w:p>
        </w:tc>
      </w:tr>
      <w:tr w:rsidRPr="00BA440C" w:rsidR="00981AAC" w:rsidTr="00BA440C" w14:paraId="4FA7AC41" w14:textId="77777777">
        <w:tc>
          <w:tcPr>
            <w:tcW w:w="909" w:type="pct"/>
          </w:tcPr>
          <w:p w:rsidRPr="00BA440C" w:rsidR="00981AAC" w:rsidP="008E7DE8" w:rsidRDefault="00981AAC" w14:paraId="5EBD3C93" w14:textId="77777777">
            <w:pPr>
              <w:suppressAutoHyphens/>
              <w:overflowPunct w:val="0"/>
              <w:autoSpaceDE w:val="0"/>
              <w:autoSpaceDN w:val="0"/>
              <w:adjustRightInd w:val="0"/>
              <w:textAlignment w:val="baseline"/>
              <w:rPr>
                <w:i/>
              </w:rPr>
            </w:pPr>
            <w:r w:rsidRPr="00BA440C">
              <w:rPr>
                <w:i/>
              </w:rPr>
              <w:t>e-mail</w:t>
            </w:r>
          </w:p>
        </w:tc>
        <w:tc>
          <w:tcPr>
            <w:tcW w:w="4091" w:type="pct"/>
          </w:tcPr>
          <w:p w:rsidRPr="00BA440C" w:rsidR="00981AAC" w:rsidP="008E7DE8" w:rsidRDefault="00F220BF" w14:paraId="03C24A43" w14:textId="0AF7A5D3">
            <w:pPr>
              <w:suppressAutoHyphens/>
              <w:overflowPunct w:val="0"/>
              <w:autoSpaceDE w:val="0"/>
              <w:autoSpaceDN w:val="0"/>
              <w:adjustRightInd w:val="0"/>
              <w:textAlignment w:val="baseline"/>
            </w:pPr>
            <w:hyperlink w:history="1" r:id="rId35">
              <w:r w:rsidRPr="00BA440C" w:rsidR="006E14B4">
                <w:rPr>
                  <w:i/>
                  <w:color w:val="0000FF"/>
                  <w:u w:val="single"/>
                </w:rPr>
                <w:t>Triin.AasmaaGomes@eesc.europa.eu</w:t>
              </w:r>
            </w:hyperlink>
          </w:p>
        </w:tc>
      </w:tr>
    </w:tbl>
    <w:p w:rsidRPr="002B51B6" w:rsidR="000D43E1" w:rsidP="008E7DE8" w:rsidRDefault="000D43E1" w14:paraId="4982DDC2" w14:textId="686E2E23">
      <w:pPr>
        <w:suppressAutoHyphens/>
        <w:jc w:val="left"/>
        <w:rPr>
          <w:sz w:val="2"/>
          <w:szCs w:val="2"/>
        </w:rPr>
      </w:pPr>
      <w:r w:rsidRPr="002B51B6">
        <w:rPr>
          <w:sz w:val="2"/>
          <w:szCs w:val="2"/>
        </w:rPr>
        <w:br w:type="page"/>
      </w:r>
    </w:p>
    <w:p w:rsidRPr="00BA440C" w:rsidR="004D7AC0" w:rsidP="008E7DE8" w:rsidRDefault="004D7AC0" w14:paraId="4982DDC6" w14:textId="77777777">
      <w:pPr>
        <w:pStyle w:val="Heading1"/>
        <w:suppressAutoHyphens/>
        <w:rPr>
          <w:b/>
        </w:rPr>
      </w:pPr>
      <w:bookmarkStart w:name="_Toc24617160" w:id="17"/>
      <w:bookmarkStart w:name="_Toc75527082" w:id="18"/>
      <w:bookmarkStart w:name="_Toc192768380" w:id="19"/>
      <w:r w:rsidRPr="00BA440C">
        <w:rPr>
          <w:b/>
        </w:rPr>
        <w:lastRenderedPageBreak/>
        <w:t>TRANSPORT, ENERGIA, INFRASTRUKTURA I SPOŁECZEŃSTWO INFORMACYJNE</w:t>
      </w:r>
      <w:bookmarkEnd w:id="17"/>
      <w:bookmarkEnd w:id="18"/>
      <w:bookmarkEnd w:id="19"/>
    </w:p>
    <w:p w:rsidRPr="00BA440C" w:rsidR="004D7AC0" w:rsidP="008E7DE8" w:rsidRDefault="004D7AC0" w14:paraId="4982DDF1" w14:textId="77777777">
      <w:pPr>
        <w:suppressAutoHyphens/>
      </w:pPr>
    </w:p>
    <w:p w:rsidRPr="00B10907" w:rsidR="00A230A4" w:rsidP="008E7DE8" w:rsidRDefault="00F220BF" w14:paraId="64C335F9" w14:textId="3ECD80EF">
      <w:pPr>
        <w:numPr>
          <w:ilvl w:val="0"/>
          <w:numId w:val="2"/>
        </w:numPr>
        <w:suppressAutoHyphens/>
        <w:overflowPunct w:val="0"/>
        <w:autoSpaceDE w:val="0"/>
        <w:autoSpaceDN w:val="0"/>
        <w:adjustRightInd w:val="0"/>
        <w:ind w:hanging="567"/>
        <w:textAlignment w:val="baseline"/>
        <w:rPr>
          <w:b/>
          <w:bCs/>
          <w:i/>
          <w:iCs/>
          <w:sz w:val="28"/>
          <w:szCs w:val="28"/>
        </w:rPr>
      </w:pPr>
      <w:hyperlink w:history="1" r:id="rId36">
        <w:r w:rsidRPr="00B10907" w:rsidR="006E14B4">
          <w:rPr>
            <w:b/>
            <w:i/>
            <w:color w:val="0000FF"/>
            <w:sz w:val="28"/>
            <w:szCs w:val="28"/>
            <w:u w:val="single"/>
          </w:rPr>
          <w:t>Fizyczne urzeczywistnienie rynku wewnętrznego UE w nowej sytuacji geopolitycznej</w:t>
        </w:r>
      </w:hyperlink>
    </w:p>
    <w:p w:rsidRPr="00BA440C" w:rsidR="00A230A4" w:rsidP="008E7DE8" w:rsidRDefault="00A230A4" w14:paraId="2FFA7CD5" w14:textId="77777777">
      <w:pPr>
        <w:tabs>
          <w:tab w:val="center" w:pos="284"/>
        </w:tabs>
        <w:suppressAutoHyphen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1915"/>
        <w:gridCol w:w="7374"/>
      </w:tblGrid>
      <w:tr w:rsidRPr="00BA440C" w:rsidR="00A230A4" w:rsidTr="00BA440C" w14:paraId="6D4A0388" w14:textId="77777777">
        <w:tc>
          <w:tcPr>
            <w:tcW w:w="1031" w:type="pct"/>
          </w:tcPr>
          <w:p w:rsidRPr="00BA440C" w:rsidR="00A230A4" w:rsidP="008E7DE8" w:rsidRDefault="00A230A4" w14:paraId="3793B605" w14:textId="77777777">
            <w:pPr>
              <w:tabs>
                <w:tab w:val="center" w:pos="284"/>
              </w:tabs>
              <w:suppressAutoHyphens/>
              <w:overflowPunct w:val="0"/>
              <w:autoSpaceDE w:val="0"/>
              <w:autoSpaceDN w:val="0"/>
              <w:adjustRightInd w:val="0"/>
              <w:ind w:left="266" w:hanging="266"/>
              <w:textAlignment w:val="baseline"/>
              <w:rPr>
                <w:b/>
              </w:rPr>
            </w:pPr>
            <w:r w:rsidRPr="00BA440C">
              <w:rPr>
                <w:b/>
              </w:rPr>
              <w:t>Sprawozdawczyni</w:t>
            </w:r>
          </w:p>
        </w:tc>
        <w:tc>
          <w:tcPr>
            <w:tcW w:w="3969" w:type="pct"/>
          </w:tcPr>
          <w:p w:rsidRPr="00BA440C" w:rsidR="00A230A4" w:rsidP="008E7DE8" w:rsidRDefault="00A230A4" w14:paraId="38BAB1F6" w14:textId="6CD83440">
            <w:pPr>
              <w:tabs>
                <w:tab w:val="center" w:pos="284"/>
              </w:tabs>
              <w:suppressAutoHyphens/>
              <w:overflowPunct w:val="0"/>
              <w:autoSpaceDE w:val="0"/>
              <w:autoSpaceDN w:val="0"/>
              <w:adjustRightInd w:val="0"/>
              <w:ind w:left="266" w:hanging="266"/>
              <w:textAlignment w:val="baseline"/>
            </w:pPr>
            <w:r w:rsidRPr="00BA440C">
              <w:t>Päivi Elina WOOD (Grupa Pracodawców – FI)</w:t>
            </w:r>
          </w:p>
        </w:tc>
      </w:tr>
      <w:tr w:rsidRPr="00BA440C" w:rsidR="00A230A4" w:rsidTr="00BA440C" w14:paraId="19E7978D" w14:textId="77777777">
        <w:tc>
          <w:tcPr>
            <w:tcW w:w="1031" w:type="pct"/>
          </w:tcPr>
          <w:p w:rsidRPr="00BA440C" w:rsidR="00A230A4" w:rsidP="008E7DE8" w:rsidRDefault="00A230A4" w14:paraId="21EBC6AF" w14:textId="1650C1F5">
            <w:pPr>
              <w:tabs>
                <w:tab w:val="center" w:pos="284"/>
              </w:tabs>
              <w:suppressAutoHyphens/>
              <w:overflowPunct w:val="0"/>
              <w:autoSpaceDE w:val="0"/>
              <w:autoSpaceDN w:val="0"/>
              <w:adjustRightInd w:val="0"/>
              <w:ind w:left="266" w:hanging="266"/>
              <w:textAlignment w:val="baseline"/>
              <w:rPr>
                <w:b/>
              </w:rPr>
            </w:pPr>
            <w:r w:rsidRPr="00BA440C">
              <w:rPr>
                <w:b/>
              </w:rPr>
              <w:t>Dokumenty</w:t>
            </w:r>
          </w:p>
        </w:tc>
        <w:tc>
          <w:tcPr>
            <w:tcW w:w="3969" w:type="pct"/>
          </w:tcPr>
          <w:p w:rsidRPr="00BA440C" w:rsidR="00A230A4" w:rsidP="008E7DE8" w:rsidRDefault="00A230A4" w14:paraId="6D31E889" w14:textId="77777777">
            <w:pPr>
              <w:tabs>
                <w:tab w:val="center" w:pos="284"/>
              </w:tabs>
              <w:suppressAutoHyphens/>
              <w:overflowPunct w:val="0"/>
              <w:autoSpaceDE w:val="0"/>
              <w:autoSpaceDN w:val="0"/>
              <w:adjustRightInd w:val="0"/>
              <w:ind w:left="266" w:hanging="266"/>
              <w:textAlignment w:val="baseline"/>
            </w:pPr>
            <w:r w:rsidRPr="00BA440C">
              <w:t>Opinia z inicjatywy własnej</w:t>
            </w:r>
          </w:p>
          <w:p w:rsidRPr="00BA440C" w:rsidR="00A230A4" w:rsidP="008E7DE8" w:rsidRDefault="00A230A4" w14:paraId="2EB2BC1E" w14:textId="77777777">
            <w:pPr>
              <w:tabs>
                <w:tab w:val="center" w:pos="284"/>
              </w:tabs>
              <w:suppressAutoHyphens/>
              <w:overflowPunct w:val="0"/>
              <w:autoSpaceDE w:val="0"/>
              <w:autoSpaceDN w:val="0"/>
              <w:adjustRightInd w:val="0"/>
              <w:ind w:left="266" w:hanging="266"/>
              <w:textAlignment w:val="baseline"/>
            </w:pPr>
            <w:r w:rsidRPr="00BA440C">
              <w:t>EESC-2024-03902-00-00-AC</w:t>
            </w:r>
          </w:p>
        </w:tc>
      </w:tr>
    </w:tbl>
    <w:p w:rsidRPr="00BA440C" w:rsidR="00A230A4" w:rsidP="008E7DE8" w:rsidRDefault="00A230A4" w14:paraId="1945C70F" w14:textId="77777777">
      <w:pPr>
        <w:tabs>
          <w:tab w:val="center" w:pos="284"/>
        </w:tabs>
        <w:suppressAutoHyphens/>
        <w:overflowPunct w:val="0"/>
        <w:autoSpaceDE w:val="0"/>
        <w:autoSpaceDN w:val="0"/>
        <w:adjustRightInd w:val="0"/>
        <w:ind w:left="266" w:hanging="266"/>
        <w:textAlignment w:val="baseline"/>
      </w:pPr>
    </w:p>
    <w:p w:rsidRPr="00BA440C" w:rsidR="00A230A4" w:rsidP="008E7DE8" w:rsidRDefault="00A230A4" w14:paraId="24F24472" w14:textId="77777777">
      <w:pPr>
        <w:tabs>
          <w:tab w:val="center" w:pos="284"/>
        </w:tabs>
        <w:suppressAutoHyphens/>
        <w:overflowPunct w:val="0"/>
        <w:autoSpaceDE w:val="0"/>
        <w:autoSpaceDN w:val="0"/>
        <w:adjustRightInd w:val="0"/>
        <w:ind w:left="266" w:hanging="266"/>
        <w:textAlignment w:val="baseline"/>
        <w:rPr>
          <w:b/>
        </w:rPr>
      </w:pPr>
      <w:r w:rsidRPr="00BA440C">
        <w:rPr>
          <w:b/>
        </w:rPr>
        <w:t>Główne punkty</w:t>
      </w:r>
    </w:p>
    <w:p w:rsidRPr="00BA440C" w:rsidR="00A230A4" w:rsidP="008E7DE8" w:rsidRDefault="00A230A4" w14:paraId="7D389384" w14:textId="77777777">
      <w:pPr>
        <w:tabs>
          <w:tab w:val="center" w:pos="284"/>
        </w:tabs>
        <w:suppressAutoHyphens/>
        <w:overflowPunct w:val="0"/>
        <w:autoSpaceDE w:val="0"/>
        <w:autoSpaceDN w:val="0"/>
        <w:adjustRightInd w:val="0"/>
        <w:ind w:left="266" w:hanging="266"/>
        <w:textAlignment w:val="baseline"/>
        <w:rPr>
          <w:b/>
        </w:rPr>
      </w:pPr>
    </w:p>
    <w:p w:rsidR="00A230A4" w:rsidP="008E7DE8" w:rsidRDefault="00A230A4" w14:paraId="7E802171" w14:textId="6C092600">
      <w:pPr>
        <w:suppressAutoHyphens/>
        <w:overflowPunct w:val="0"/>
        <w:autoSpaceDE w:val="0"/>
        <w:autoSpaceDN w:val="0"/>
        <w:adjustRightInd w:val="0"/>
        <w:textAlignment w:val="baseline"/>
      </w:pPr>
      <w:r w:rsidRPr="00BA440C">
        <w:t>EKES:</w:t>
      </w:r>
    </w:p>
    <w:p w:rsidRPr="00BA440C" w:rsidR="00C1081A" w:rsidP="008E7DE8" w:rsidRDefault="00C1081A" w14:paraId="3603C7AF" w14:textId="77777777">
      <w:pPr>
        <w:suppressAutoHyphens/>
        <w:overflowPunct w:val="0"/>
        <w:autoSpaceDE w:val="0"/>
        <w:autoSpaceDN w:val="0"/>
        <w:adjustRightInd w:val="0"/>
        <w:textAlignment w:val="baseline"/>
        <w:rPr>
          <w:bCs/>
          <w:iCs/>
        </w:rPr>
      </w:pPr>
    </w:p>
    <w:p w:rsidRPr="00BA440C" w:rsidR="00A230A4" w:rsidP="008E7DE8" w:rsidRDefault="00A230A4" w14:paraId="6DCC695C" w14:textId="77B80CFB">
      <w:pPr>
        <w:numPr>
          <w:ilvl w:val="0"/>
          <w:numId w:val="28"/>
        </w:numPr>
        <w:suppressAutoHyphens/>
        <w:ind w:left="567" w:hanging="567"/>
        <w:rPr>
          <w:bCs/>
          <w:iCs/>
        </w:rPr>
      </w:pPr>
      <w:r w:rsidRPr="00BA440C">
        <w:t>Uważa, że kluczowe znaczenie ma włożenie większego wysiłku w zwiększanie odporności i</w:t>
      </w:r>
      <w:r w:rsidR="00EA0B93">
        <w:t> </w:t>
      </w:r>
      <w:r w:rsidRPr="00BA440C">
        <w:t>niezawodności systemów transportowych. Podkreśla, że trzeba właściwie zanalizować skutki kryzysu dla wszystkich rodzajów transportu oraz ewentualne nowe utrudnienia, jeżeli chodzi o</w:t>
      </w:r>
      <w:r w:rsidR="00EA0B93">
        <w:t> </w:t>
      </w:r>
      <w:r w:rsidRPr="00BA440C">
        <w:t>możliwości połączeń różnych obszarów w UE.</w:t>
      </w:r>
    </w:p>
    <w:p w:rsidRPr="00BA440C" w:rsidR="00A230A4" w:rsidP="008E7DE8" w:rsidRDefault="00A230A4" w14:paraId="55F2F225" w14:textId="77777777">
      <w:pPr>
        <w:numPr>
          <w:ilvl w:val="0"/>
          <w:numId w:val="28"/>
        </w:numPr>
        <w:suppressAutoHyphens/>
        <w:ind w:left="567" w:hanging="567"/>
      </w:pPr>
      <w:r w:rsidRPr="00BA440C">
        <w:t>Uważa, że w kolejnych WRF trzeba przeznaczyć odpowiednią pulę środków finansowych na właściwie ukierunkowane inwestycje w rozwój i utrzymanie infrastruktury transportowej, począwszy od celu ukończenia sieci bazowej TEN-T do 2030 r.</w:t>
      </w:r>
    </w:p>
    <w:p w:rsidRPr="00BA440C" w:rsidR="00A230A4" w:rsidP="008E7DE8" w:rsidRDefault="00A230A4" w14:paraId="64405BDE" w14:textId="77777777">
      <w:pPr>
        <w:numPr>
          <w:ilvl w:val="0"/>
          <w:numId w:val="28"/>
        </w:numPr>
        <w:suppressAutoHyphens/>
        <w:ind w:left="567" w:hanging="567"/>
      </w:pPr>
      <w:r w:rsidRPr="00BA440C">
        <w:t>Wzywa do położenia większego nacisku na podwójne zastosowanie infrastruktury i na mobilność wojskową, a także do współpracy z NATO.</w:t>
      </w:r>
    </w:p>
    <w:p w:rsidRPr="00BA440C" w:rsidR="00A230A4" w:rsidP="008E7DE8" w:rsidRDefault="00A230A4" w14:paraId="1411391B" w14:textId="77777777">
      <w:pPr>
        <w:numPr>
          <w:ilvl w:val="0"/>
          <w:numId w:val="28"/>
        </w:numPr>
        <w:suppressAutoHyphens/>
        <w:ind w:left="567" w:hanging="567"/>
      </w:pPr>
      <w:r w:rsidRPr="00BA440C">
        <w:t>Zaznacza, że z punktu widzenia bezpieczeństwa ważne jest, aby poprawić dynamikę regionów przygranicznych UE i ich połączenia na jednolitym rynku.</w:t>
      </w:r>
    </w:p>
    <w:p w:rsidRPr="00BA440C" w:rsidR="00A230A4" w:rsidP="008E7DE8" w:rsidRDefault="00A230A4" w14:paraId="73C87209" w14:textId="77777777">
      <w:pPr>
        <w:numPr>
          <w:ilvl w:val="0"/>
          <w:numId w:val="28"/>
        </w:numPr>
        <w:suppressAutoHyphens/>
        <w:ind w:left="567" w:hanging="567"/>
      </w:pPr>
      <w:r w:rsidRPr="00BA440C">
        <w:t>Apeluje o podjęcie kroków na rzecz ułatwienia mobilności pracowników, podniesienia kompetencji i umiejętności oraz zwiększenia atrakcyjności sektora transportu.</w:t>
      </w:r>
    </w:p>
    <w:p w:rsidRPr="00BA440C" w:rsidR="00A230A4" w:rsidP="008E7DE8" w:rsidRDefault="00A230A4" w14:paraId="7F485678" w14:textId="77777777">
      <w:pPr>
        <w:suppressAutoHyphens/>
        <w:overflowPunct w:val="0"/>
        <w:autoSpaceDE w:val="0"/>
        <w:autoSpaceDN w:val="0"/>
        <w:adjustRightInd w:val="0"/>
        <w:textAlignment w:val="baseline"/>
      </w:pPr>
    </w:p>
    <w:tbl>
      <w:tblPr>
        <w:tblW w:w="5000" w:type="pct"/>
        <w:tblLook w:val="04A0" w:firstRow="1" w:lastRow="0" w:firstColumn="1" w:lastColumn="0" w:noHBand="0" w:noVBand="1"/>
      </w:tblPr>
      <w:tblGrid>
        <w:gridCol w:w="1663"/>
        <w:gridCol w:w="7626"/>
      </w:tblGrid>
      <w:tr w:rsidRPr="00BA440C" w:rsidR="00A230A4" w:rsidTr="00BA440C" w14:paraId="4840AB28" w14:textId="77777777">
        <w:tc>
          <w:tcPr>
            <w:tcW w:w="895" w:type="pct"/>
          </w:tcPr>
          <w:p w:rsidRPr="00BA440C" w:rsidR="00A230A4" w:rsidP="008E7DE8" w:rsidRDefault="00A230A4" w14:paraId="152A2305" w14:textId="77777777">
            <w:pPr>
              <w:suppressAutoHyphens/>
              <w:overflowPunct w:val="0"/>
              <w:autoSpaceDE w:val="0"/>
              <w:autoSpaceDN w:val="0"/>
              <w:adjustRightInd w:val="0"/>
              <w:textAlignment w:val="baseline"/>
              <w:rPr>
                <w:i/>
              </w:rPr>
            </w:pPr>
            <w:r w:rsidRPr="00BA440C">
              <w:rPr>
                <w:b/>
                <w:i/>
              </w:rPr>
              <w:t>Kontakt</w:t>
            </w:r>
          </w:p>
        </w:tc>
        <w:tc>
          <w:tcPr>
            <w:tcW w:w="4105" w:type="pct"/>
          </w:tcPr>
          <w:p w:rsidRPr="00BA440C" w:rsidR="00A230A4" w:rsidP="008E7DE8" w:rsidRDefault="00A230A4" w14:paraId="0C8E402D" w14:textId="2EF89DD1">
            <w:pPr>
              <w:suppressAutoHyphens/>
              <w:overflowPunct w:val="0"/>
              <w:autoSpaceDE w:val="0"/>
              <w:autoSpaceDN w:val="0"/>
              <w:adjustRightInd w:val="0"/>
              <w:textAlignment w:val="baseline"/>
              <w:rPr>
                <w:i/>
              </w:rPr>
            </w:pPr>
            <w:r w:rsidRPr="00BA440C">
              <w:rPr>
                <w:i/>
              </w:rPr>
              <w:t>Albert Precup</w:t>
            </w:r>
          </w:p>
        </w:tc>
      </w:tr>
      <w:tr w:rsidRPr="00BA440C" w:rsidR="00A230A4" w:rsidTr="00BA440C" w14:paraId="19BEAAAD" w14:textId="77777777">
        <w:tc>
          <w:tcPr>
            <w:tcW w:w="895" w:type="pct"/>
          </w:tcPr>
          <w:p w:rsidRPr="00BA440C" w:rsidR="00A230A4" w:rsidP="008E7DE8" w:rsidRDefault="00A230A4" w14:paraId="73F2E8D5" w14:textId="77777777">
            <w:pPr>
              <w:suppressAutoHyphens/>
              <w:overflowPunct w:val="0"/>
              <w:autoSpaceDE w:val="0"/>
              <w:autoSpaceDN w:val="0"/>
              <w:adjustRightInd w:val="0"/>
              <w:textAlignment w:val="baseline"/>
              <w:rPr>
                <w:i/>
              </w:rPr>
            </w:pPr>
            <w:r w:rsidRPr="00BA440C">
              <w:rPr>
                <w:i/>
              </w:rPr>
              <w:t>tel.</w:t>
            </w:r>
          </w:p>
        </w:tc>
        <w:tc>
          <w:tcPr>
            <w:tcW w:w="4105" w:type="pct"/>
          </w:tcPr>
          <w:p w:rsidRPr="00BA440C" w:rsidR="00A230A4" w:rsidP="008E7DE8" w:rsidRDefault="00A230A4" w14:paraId="48DB2246" w14:textId="44656696">
            <w:pPr>
              <w:suppressAutoHyphens/>
              <w:overflowPunct w:val="0"/>
              <w:autoSpaceDE w:val="0"/>
              <w:autoSpaceDN w:val="0"/>
              <w:adjustRightInd w:val="0"/>
              <w:textAlignment w:val="baseline"/>
              <w:rPr>
                <w:i/>
              </w:rPr>
            </w:pPr>
            <w:r w:rsidRPr="00BA440C">
              <w:rPr>
                <w:i/>
              </w:rPr>
              <w:t>+32 25469326</w:t>
            </w:r>
          </w:p>
        </w:tc>
      </w:tr>
      <w:tr w:rsidRPr="00BA440C" w:rsidR="00A230A4" w:rsidTr="00BA440C" w14:paraId="0708081C" w14:textId="77777777">
        <w:tc>
          <w:tcPr>
            <w:tcW w:w="895" w:type="pct"/>
          </w:tcPr>
          <w:p w:rsidRPr="00BA440C" w:rsidR="00A230A4" w:rsidP="008E7DE8" w:rsidRDefault="0005257A" w14:paraId="42A6811E" w14:textId="3D597CE0">
            <w:pPr>
              <w:suppressAutoHyphens/>
              <w:overflowPunct w:val="0"/>
              <w:autoSpaceDE w:val="0"/>
              <w:autoSpaceDN w:val="0"/>
              <w:adjustRightInd w:val="0"/>
              <w:textAlignment w:val="baseline"/>
              <w:rPr>
                <w:i/>
              </w:rPr>
            </w:pPr>
            <w:r w:rsidRPr="00BA440C">
              <w:rPr>
                <w:i/>
              </w:rPr>
              <w:t>e-mail</w:t>
            </w:r>
          </w:p>
        </w:tc>
        <w:tc>
          <w:tcPr>
            <w:tcW w:w="4105" w:type="pct"/>
          </w:tcPr>
          <w:p w:rsidRPr="00BA440C" w:rsidR="00A230A4" w:rsidP="008E7DE8" w:rsidRDefault="00F220BF" w14:paraId="08B446AD" w14:textId="03934908">
            <w:pPr>
              <w:suppressAutoHyphens/>
              <w:overflowPunct w:val="0"/>
              <w:autoSpaceDE w:val="0"/>
              <w:autoSpaceDN w:val="0"/>
              <w:adjustRightInd w:val="0"/>
              <w:textAlignment w:val="baseline"/>
              <w:rPr>
                <w:i/>
              </w:rPr>
            </w:pPr>
            <w:hyperlink w:history="1" r:id="rId37">
              <w:r w:rsidRPr="00BA440C" w:rsidR="006E14B4">
                <w:rPr>
                  <w:i/>
                  <w:color w:val="0000FF"/>
                  <w:u w:val="single"/>
                </w:rPr>
                <w:t>Albert.Precup@eesc.europa.eu</w:t>
              </w:r>
            </w:hyperlink>
          </w:p>
        </w:tc>
      </w:tr>
    </w:tbl>
    <w:p w:rsidRPr="00BA440C" w:rsidR="004D7AC0" w:rsidP="008E7DE8" w:rsidRDefault="004D7AC0" w14:paraId="4982DDF2" w14:textId="77777777">
      <w:pPr>
        <w:suppressAutoHyphens/>
        <w:jc w:val="left"/>
      </w:pPr>
      <w:r w:rsidRPr="00BA440C">
        <w:br w:type="page"/>
      </w:r>
    </w:p>
    <w:p w:rsidRPr="00BA440C" w:rsidR="004D7AC0" w:rsidP="008E7DE8" w:rsidRDefault="004D7AC0" w14:paraId="4982DDF3" w14:textId="77777777">
      <w:pPr>
        <w:pStyle w:val="Heading1"/>
        <w:suppressAutoHyphens/>
        <w:rPr>
          <w:b/>
        </w:rPr>
      </w:pPr>
      <w:bookmarkStart w:name="_Toc75527083" w:id="20"/>
      <w:bookmarkStart w:name="_Toc192768381" w:id="21"/>
      <w:r w:rsidRPr="00BA440C">
        <w:rPr>
          <w:b/>
        </w:rPr>
        <w:lastRenderedPageBreak/>
        <w:t>JEDNOLITY RYNEK, PRODUKCJA I KONSUMPCJA</w:t>
      </w:r>
      <w:bookmarkEnd w:id="20"/>
      <w:bookmarkEnd w:id="21"/>
    </w:p>
    <w:p w:rsidRPr="00B10907" w:rsidR="004D7AC0" w:rsidP="008E7DE8" w:rsidRDefault="004D7AC0" w14:paraId="4982DDF4" w14:textId="77777777">
      <w:pPr>
        <w:suppressAutoHyphens/>
      </w:pPr>
    </w:p>
    <w:p w:rsidRPr="00BA440C" w:rsidR="009D7E2D" w:rsidP="008E7DE8" w:rsidRDefault="00F220BF" w14:paraId="4C3E6230" w14:textId="2999EF33">
      <w:pPr>
        <w:numPr>
          <w:ilvl w:val="0"/>
          <w:numId w:val="2"/>
        </w:numPr>
        <w:suppressAutoHyphens/>
        <w:overflowPunct w:val="0"/>
        <w:autoSpaceDE w:val="0"/>
        <w:autoSpaceDN w:val="0"/>
        <w:adjustRightInd w:val="0"/>
        <w:ind w:hanging="567"/>
        <w:textAlignment w:val="baseline"/>
        <w:rPr>
          <w:b/>
          <w:bCs/>
          <w:i/>
          <w:iCs/>
        </w:rPr>
      </w:pPr>
      <w:hyperlink w:history="1" r:id="rId38">
        <w:r w:rsidRPr="00B10907" w:rsidR="006E14B4">
          <w:rPr>
            <w:rStyle w:val="Hyperlink"/>
            <w:b/>
            <w:i/>
            <w:sz w:val="28"/>
            <w:szCs w:val="28"/>
          </w:rPr>
          <w:t>Ochrona konsumentów oraz wpływ transformacji cyfrowej i ekologicznej na ich sytuację</w:t>
        </w:r>
      </w:hyperlink>
    </w:p>
    <w:p w:rsidRPr="00BA440C" w:rsidR="009D7E2D" w:rsidP="008E7DE8" w:rsidRDefault="009D7E2D" w14:paraId="1049AE1F" w14:textId="77777777">
      <w:pPr>
        <w:suppressAutoHyphens/>
        <w:overflowPunct w:val="0"/>
        <w:autoSpaceDE w:val="0"/>
        <w:autoSpaceDN w:val="0"/>
        <w:adjustRightInd w:val="0"/>
        <w:ind w:left="266"/>
        <w:textAlignment w:val="baseline"/>
        <w:rPr>
          <w:b/>
        </w:rPr>
      </w:pPr>
    </w:p>
    <w:tbl>
      <w:tblPr>
        <w:tblW w:w="5000" w:type="pct"/>
        <w:tblLook w:val="04A0" w:firstRow="1" w:lastRow="0" w:firstColumn="1" w:lastColumn="0" w:noHBand="0" w:noVBand="1"/>
      </w:tblPr>
      <w:tblGrid>
        <w:gridCol w:w="1938"/>
        <w:gridCol w:w="7351"/>
      </w:tblGrid>
      <w:tr w:rsidRPr="00BA440C" w:rsidR="009D7E2D" w:rsidTr="00BA440C" w14:paraId="436EE5FD" w14:textId="77777777">
        <w:tc>
          <w:tcPr>
            <w:tcW w:w="1043" w:type="pct"/>
          </w:tcPr>
          <w:p w:rsidRPr="00BA440C" w:rsidR="009D7E2D" w:rsidP="008E7DE8" w:rsidRDefault="009D7E2D" w14:paraId="75A99734" w14:textId="77777777">
            <w:pPr>
              <w:tabs>
                <w:tab w:val="center" w:pos="284"/>
              </w:tabs>
              <w:suppressAutoHyphens/>
              <w:overflowPunct w:val="0"/>
              <w:autoSpaceDE w:val="0"/>
              <w:autoSpaceDN w:val="0"/>
              <w:adjustRightInd w:val="0"/>
              <w:ind w:left="266" w:hanging="266"/>
              <w:textAlignment w:val="baseline"/>
              <w:rPr>
                <w:b/>
              </w:rPr>
            </w:pPr>
            <w:r w:rsidRPr="00BA440C">
              <w:rPr>
                <w:b/>
              </w:rPr>
              <w:t>Sprawozdawczyni</w:t>
            </w:r>
          </w:p>
        </w:tc>
        <w:tc>
          <w:tcPr>
            <w:tcW w:w="3957" w:type="pct"/>
          </w:tcPr>
          <w:p w:rsidRPr="00BA440C" w:rsidR="009D7E2D" w:rsidP="008E7DE8" w:rsidRDefault="009D7E2D" w14:paraId="061A8BB9" w14:textId="77777777">
            <w:pPr>
              <w:suppressAutoHyphens/>
              <w:overflowPunct w:val="0"/>
              <w:autoSpaceDE w:val="0"/>
              <w:autoSpaceDN w:val="0"/>
              <w:adjustRightInd w:val="0"/>
              <w:textAlignment w:val="baseline"/>
            </w:pPr>
            <w:r w:rsidRPr="00BA440C">
              <w:t>Ileana IZVERNICEANU DE LA IGLESIA (Grupa Organizacji Społeczeństwa Obywatelskiego – ES)</w:t>
            </w:r>
          </w:p>
        </w:tc>
      </w:tr>
      <w:tr w:rsidRPr="00BA440C" w:rsidR="009D7E2D" w:rsidTr="00BA440C" w14:paraId="61B6CD20" w14:textId="77777777">
        <w:tc>
          <w:tcPr>
            <w:tcW w:w="1043" w:type="pct"/>
            <w:vMerge w:val="restart"/>
          </w:tcPr>
          <w:p w:rsidRPr="00BA440C" w:rsidR="009D7E2D" w:rsidP="008E7DE8" w:rsidRDefault="009D7E2D" w14:paraId="4A0DBE9C" w14:textId="011D688E">
            <w:pPr>
              <w:tabs>
                <w:tab w:val="center" w:pos="284"/>
              </w:tabs>
              <w:suppressAutoHyphens/>
              <w:overflowPunct w:val="0"/>
              <w:autoSpaceDE w:val="0"/>
              <w:autoSpaceDN w:val="0"/>
              <w:adjustRightInd w:val="0"/>
              <w:ind w:left="266" w:hanging="266"/>
              <w:textAlignment w:val="baseline"/>
              <w:rPr>
                <w:b/>
              </w:rPr>
            </w:pPr>
            <w:r w:rsidRPr="00BA440C">
              <w:rPr>
                <w:b/>
              </w:rPr>
              <w:t>Dokumenty</w:t>
            </w:r>
          </w:p>
        </w:tc>
        <w:tc>
          <w:tcPr>
            <w:tcW w:w="3957" w:type="pct"/>
          </w:tcPr>
          <w:p w:rsidRPr="00BA440C" w:rsidR="009D7E2D" w:rsidP="008E7DE8" w:rsidRDefault="009D7E2D" w14:paraId="0C563187" w14:textId="052EB171">
            <w:pPr>
              <w:suppressAutoHyphens/>
              <w:overflowPunct w:val="0"/>
              <w:autoSpaceDE w:val="0"/>
              <w:autoSpaceDN w:val="0"/>
              <w:adjustRightInd w:val="0"/>
              <w:textAlignment w:val="baseline"/>
            </w:pPr>
            <w:r w:rsidRPr="00BA440C">
              <w:t>Opinia rozpoznawcza na wniosek polskiej prezydencji Rady UE</w:t>
            </w:r>
          </w:p>
        </w:tc>
      </w:tr>
      <w:tr w:rsidRPr="00BA440C" w:rsidR="009D7E2D" w:rsidTr="00BA440C" w14:paraId="52EB6CD9" w14:textId="77777777">
        <w:tc>
          <w:tcPr>
            <w:tcW w:w="1043" w:type="pct"/>
            <w:vMerge/>
          </w:tcPr>
          <w:p w:rsidRPr="00BA440C" w:rsidR="009D7E2D" w:rsidP="008E7DE8" w:rsidRDefault="009D7E2D" w14:paraId="3CE83099" w14:textId="77777777">
            <w:pPr>
              <w:tabs>
                <w:tab w:val="center" w:pos="284"/>
              </w:tabs>
              <w:suppressAutoHyphens/>
              <w:overflowPunct w:val="0"/>
              <w:autoSpaceDE w:val="0"/>
              <w:autoSpaceDN w:val="0"/>
              <w:adjustRightInd w:val="0"/>
              <w:ind w:left="266" w:hanging="266"/>
              <w:textAlignment w:val="baseline"/>
              <w:rPr>
                <w:b/>
              </w:rPr>
            </w:pPr>
          </w:p>
        </w:tc>
        <w:tc>
          <w:tcPr>
            <w:tcW w:w="3957" w:type="pct"/>
          </w:tcPr>
          <w:p w:rsidRPr="00BA440C" w:rsidR="009D7E2D" w:rsidP="008E7DE8" w:rsidRDefault="009D7E2D" w14:paraId="329D2D9B" w14:textId="77777777">
            <w:pPr>
              <w:tabs>
                <w:tab w:val="center" w:pos="284"/>
              </w:tabs>
              <w:suppressAutoHyphens/>
              <w:overflowPunct w:val="0"/>
              <w:autoSpaceDE w:val="0"/>
              <w:autoSpaceDN w:val="0"/>
              <w:adjustRightInd w:val="0"/>
              <w:ind w:left="266" w:hanging="266"/>
              <w:textAlignment w:val="baseline"/>
            </w:pPr>
            <w:r w:rsidRPr="00BA440C">
              <w:t>EESC-2024-03566-00-00-AC</w:t>
            </w:r>
          </w:p>
        </w:tc>
      </w:tr>
    </w:tbl>
    <w:p w:rsidRPr="00BA440C" w:rsidR="009D7E2D" w:rsidP="008E7DE8" w:rsidRDefault="009D7E2D" w14:paraId="2CBB9CFF" w14:textId="77777777">
      <w:pPr>
        <w:tabs>
          <w:tab w:val="center" w:pos="284"/>
        </w:tabs>
        <w:suppressAutoHyphens/>
        <w:overflowPunct w:val="0"/>
        <w:autoSpaceDE w:val="0"/>
        <w:autoSpaceDN w:val="0"/>
        <w:adjustRightInd w:val="0"/>
        <w:ind w:left="266" w:hanging="266"/>
        <w:textAlignment w:val="baseline"/>
      </w:pPr>
    </w:p>
    <w:p w:rsidRPr="00BA440C" w:rsidR="009D7E2D" w:rsidP="008E7DE8" w:rsidRDefault="009D7E2D" w14:paraId="3482A626" w14:textId="77777777">
      <w:pPr>
        <w:tabs>
          <w:tab w:val="center" w:pos="284"/>
        </w:tabs>
        <w:suppressAutoHyphens/>
        <w:overflowPunct w:val="0"/>
        <w:autoSpaceDE w:val="0"/>
        <w:autoSpaceDN w:val="0"/>
        <w:adjustRightInd w:val="0"/>
        <w:ind w:left="266" w:hanging="266"/>
        <w:textAlignment w:val="baseline"/>
        <w:rPr>
          <w:b/>
        </w:rPr>
      </w:pPr>
      <w:r w:rsidRPr="00BA440C">
        <w:rPr>
          <w:b/>
        </w:rPr>
        <w:t>Główne punkty</w:t>
      </w:r>
    </w:p>
    <w:p w:rsidRPr="00BA440C" w:rsidR="009D7E2D" w:rsidP="008E7DE8" w:rsidRDefault="009D7E2D" w14:paraId="132CCC89" w14:textId="77777777">
      <w:pPr>
        <w:tabs>
          <w:tab w:val="center" w:pos="284"/>
        </w:tabs>
        <w:suppressAutoHyphens/>
        <w:overflowPunct w:val="0"/>
        <w:autoSpaceDE w:val="0"/>
        <w:autoSpaceDN w:val="0"/>
        <w:adjustRightInd w:val="0"/>
        <w:ind w:left="266" w:hanging="266"/>
        <w:textAlignment w:val="baseline"/>
        <w:rPr>
          <w:b/>
        </w:rPr>
      </w:pPr>
    </w:p>
    <w:p w:rsidRPr="00BA440C" w:rsidR="009D7E2D" w:rsidP="008E7DE8" w:rsidRDefault="009D7E2D" w14:paraId="38AF573F" w14:textId="77777777">
      <w:pPr>
        <w:suppressAutoHyphens/>
        <w:overflowPunct w:val="0"/>
        <w:autoSpaceDE w:val="0"/>
        <w:autoSpaceDN w:val="0"/>
        <w:adjustRightInd w:val="0"/>
        <w:textAlignment w:val="baseline"/>
        <w:rPr>
          <w:i/>
          <w:iCs/>
        </w:rPr>
      </w:pPr>
      <w:r w:rsidRPr="00BA440C">
        <w:rPr>
          <w:i/>
        </w:rPr>
        <w:t xml:space="preserve">W stosunku do tej opinii przeprowadzany jest obecnie w EKES-ie </w:t>
      </w:r>
      <w:hyperlink w:history="1" r:id="rId39">
        <w:r w:rsidRPr="00BA440C">
          <w:rPr>
            <w:i/>
            <w:color w:val="0000FF"/>
            <w:u w:val="single"/>
          </w:rPr>
          <w:t>test wpływu polityki UE na młodzież</w:t>
        </w:r>
      </w:hyperlink>
      <w:r w:rsidRPr="00BA440C">
        <w:rPr>
          <w:i/>
        </w:rPr>
        <w:t>. Grupa zainteresowanych organizacji młodzieżowych wybrała Europejską Młodzieżową Sieć Energetyczną, by je reprezentowała w procesie opiniodawczym.</w:t>
      </w:r>
    </w:p>
    <w:p w:rsidRPr="00BA440C" w:rsidR="009D7E2D" w:rsidP="008E7DE8" w:rsidRDefault="009D7E2D" w14:paraId="39B2DD8F" w14:textId="77777777">
      <w:pPr>
        <w:tabs>
          <w:tab w:val="center" w:pos="284"/>
        </w:tabs>
        <w:suppressAutoHyphens/>
        <w:overflowPunct w:val="0"/>
        <w:autoSpaceDE w:val="0"/>
        <w:autoSpaceDN w:val="0"/>
        <w:adjustRightInd w:val="0"/>
        <w:ind w:left="266" w:hanging="266"/>
        <w:textAlignment w:val="baseline"/>
        <w:rPr>
          <w:b/>
        </w:rPr>
      </w:pPr>
    </w:p>
    <w:p w:rsidR="009D7E2D" w:rsidP="008E7DE8" w:rsidRDefault="009D7E2D" w14:paraId="1DEA9057" w14:textId="5584F20D">
      <w:pPr>
        <w:suppressAutoHyphens/>
        <w:overflowPunct w:val="0"/>
        <w:autoSpaceDE w:val="0"/>
        <w:autoSpaceDN w:val="0"/>
        <w:adjustRightInd w:val="0"/>
        <w:textAlignment w:val="baseline"/>
      </w:pPr>
      <w:r w:rsidRPr="00BA440C">
        <w:t>EKES:</w:t>
      </w:r>
    </w:p>
    <w:p w:rsidRPr="00BA440C" w:rsidR="00C1081A" w:rsidP="008E7DE8" w:rsidRDefault="00C1081A" w14:paraId="6846AF5E" w14:textId="77777777">
      <w:pPr>
        <w:suppressAutoHyphens/>
        <w:overflowPunct w:val="0"/>
        <w:autoSpaceDE w:val="0"/>
        <w:autoSpaceDN w:val="0"/>
        <w:adjustRightInd w:val="0"/>
        <w:textAlignment w:val="baseline"/>
        <w:rPr>
          <w:bCs/>
          <w:iCs/>
        </w:rPr>
      </w:pPr>
    </w:p>
    <w:p w:rsidRPr="00BA440C" w:rsidR="009D7E2D" w:rsidP="008E7DE8" w:rsidRDefault="009D7E2D" w14:paraId="4AB027D5" w14:textId="77777777">
      <w:pPr>
        <w:numPr>
          <w:ilvl w:val="0"/>
          <w:numId w:val="29"/>
        </w:numPr>
        <w:suppressAutoHyphens/>
        <w:ind w:left="567" w:hanging="567"/>
        <w:rPr>
          <w:bCs/>
          <w:iCs/>
        </w:rPr>
      </w:pPr>
      <w:r w:rsidRPr="00BA440C">
        <w:t>Uważa, że należy w skali ogólnoeuropejskiej zharmonizować obowiązkowe i dobrowolne wymogi dotyczące informacji o produkcie, unikać nadmiaru informacji i zapewnić rzetelność etykiet, tak aby konsumenci mogli przyjmować bardziej zrównoważone wzorce konsumpcji.</w:t>
      </w:r>
    </w:p>
    <w:p w:rsidRPr="00BA440C" w:rsidR="009D7E2D" w:rsidP="008E7DE8" w:rsidRDefault="009D7E2D" w14:paraId="62F4E221" w14:textId="7933F8A3">
      <w:pPr>
        <w:numPr>
          <w:ilvl w:val="0"/>
          <w:numId w:val="29"/>
        </w:numPr>
        <w:suppressAutoHyphens/>
        <w:ind w:left="567" w:hanging="567"/>
        <w:rPr>
          <w:bCs/>
          <w:iCs/>
        </w:rPr>
      </w:pPr>
      <w:r w:rsidRPr="00BA440C">
        <w:t>Stwierdza, że jest bardzo ważne, aby etykietować produkty w sposób ułatwiający świadome zakupy, przekazując informacje o koszcie cyklu życia, o efektywności energetycznej, trwałości i</w:t>
      </w:r>
      <w:r w:rsidR="00EA0B93">
        <w:t> </w:t>
      </w:r>
      <w:r w:rsidRPr="00BA440C">
        <w:t>możliwości naprawy produktów.</w:t>
      </w:r>
    </w:p>
    <w:p w:rsidRPr="00BA440C" w:rsidR="009D7E2D" w:rsidP="008E7DE8" w:rsidRDefault="009D7E2D" w14:paraId="6793FE54" w14:textId="77777777">
      <w:pPr>
        <w:numPr>
          <w:ilvl w:val="0"/>
          <w:numId w:val="29"/>
        </w:numPr>
        <w:suppressAutoHyphens/>
        <w:ind w:left="567" w:hanging="567"/>
        <w:rPr>
          <w:bCs/>
          <w:iCs/>
        </w:rPr>
      </w:pPr>
      <w:r w:rsidRPr="00BA440C">
        <w:t>Wzywa Komisję i organy krajowe do opracowania odpowiednich ram zapewniających dostęp do zrównoważonych produktów poprzez zachęty podatkowe, a w niektórych przypadkach również bezpośrednie dotacje, w celu zmniejszenia różnic w cenach.</w:t>
      </w:r>
    </w:p>
    <w:p w:rsidRPr="00BA440C" w:rsidR="009D7E2D" w:rsidP="008E7DE8" w:rsidRDefault="009D7E2D" w14:paraId="3390BD66" w14:textId="77777777">
      <w:pPr>
        <w:numPr>
          <w:ilvl w:val="0"/>
          <w:numId w:val="29"/>
        </w:numPr>
        <w:suppressAutoHyphens/>
        <w:ind w:left="567" w:hanging="567"/>
        <w:rPr>
          <w:bCs/>
          <w:iCs/>
        </w:rPr>
      </w:pPr>
      <w:r w:rsidRPr="00BA440C">
        <w:t>Domaga się, aby wdrożono skuteczne strategie polityczne w celu zapewnienia dostępu do rynku cyfrowego, zwłaszcza na obszarach wiejskich i mniej zaludnionych, oraz by włączono konsumentów o mniejszych umiejętnościach cyfrowych.</w:t>
      </w:r>
    </w:p>
    <w:p w:rsidRPr="00BA440C" w:rsidR="009D7E2D" w:rsidP="008E7DE8" w:rsidRDefault="009D7E2D" w14:paraId="52BEC693" w14:textId="77777777">
      <w:pPr>
        <w:numPr>
          <w:ilvl w:val="0"/>
          <w:numId w:val="29"/>
        </w:numPr>
        <w:suppressAutoHyphens/>
        <w:ind w:left="567" w:hanging="567"/>
      </w:pPr>
      <w:r w:rsidRPr="00BA440C">
        <w:t>Ponownie podkreśla, jak jest ważne, by edukować konsumentów do podejmowania świadomych decyzji.</w:t>
      </w:r>
    </w:p>
    <w:p w:rsidRPr="00BA440C" w:rsidR="009D7E2D" w:rsidP="008E7DE8" w:rsidRDefault="009D7E2D" w14:paraId="7BD4CB0B" w14:textId="4235B23E">
      <w:pPr>
        <w:numPr>
          <w:ilvl w:val="0"/>
          <w:numId w:val="29"/>
        </w:numPr>
        <w:suppressAutoHyphens/>
        <w:ind w:left="567" w:hanging="567"/>
      </w:pPr>
      <w:r w:rsidRPr="00BA440C">
        <w:t>Kładzie szczególny nacisk na ważną rolę organizacji konsumenckich w transformacji cyfrowej i</w:t>
      </w:r>
      <w:r w:rsidR="00EA0B93">
        <w:t> </w:t>
      </w:r>
      <w:r w:rsidRPr="00BA440C">
        <w:t>ekologicznej, podkreślając potrzebę zabezpieczenia ich finansowania.</w:t>
      </w:r>
    </w:p>
    <w:p w:rsidRPr="00BA440C" w:rsidR="009D7E2D" w:rsidP="008E7DE8" w:rsidRDefault="009D7E2D" w14:paraId="2D7E5670" w14:textId="77777777">
      <w:pPr>
        <w:numPr>
          <w:ilvl w:val="0"/>
          <w:numId w:val="29"/>
        </w:numPr>
        <w:suppressAutoHyphens/>
        <w:ind w:left="567" w:hanging="567"/>
      </w:pPr>
      <w:r w:rsidRPr="00BA440C">
        <w:t>Wzywa do zapewnienia dostępu do przystępnych cenowo i zrównoważonych produktów również konsumentom znajdującym się w trudnej sytuacji, mając na uwadze, że podatność na zagrożenia może mieć różny charakter i zmieniać się z upływem czasu.</w:t>
      </w:r>
    </w:p>
    <w:p w:rsidRPr="00BA440C" w:rsidR="009D7E2D" w:rsidP="008E7DE8" w:rsidRDefault="009D7E2D" w14:paraId="62C6E0D3" w14:textId="77777777">
      <w:pPr>
        <w:numPr>
          <w:ilvl w:val="0"/>
          <w:numId w:val="29"/>
        </w:numPr>
        <w:suppressAutoHyphens/>
        <w:ind w:left="567" w:hanging="567"/>
      </w:pPr>
      <w:r w:rsidRPr="00BA440C">
        <w:t>Uważa, że Unia Europejska powinna zająć się negatywnymi skutkami oferowania produktów po niskich cenach przez platformy z państw trzecich i wprowadzić bardziej rygorystyczne przepisy, w tym skuteczne cła.</w:t>
      </w:r>
    </w:p>
    <w:p w:rsidRPr="00BA440C" w:rsidR="009D7E2D" w:rsidP="008E7DE8" w:rsidRDefault="009D7E2D" w14:paraId="02ABEC34" w14:textId="77777777">
      <w:pPr>
        <w:suppressAutoHyphens/>
        <w:overflowPunct w:val="0"/>
        <w:autoSpaceDE w:val="0"/>
        <w:autoSpaceDN w:val="0"/>
        <w:adjustRightInd w:val="0"/>
        <w:ind w:left="709"/>
        <w:textAlignment w:val="baseline"/>
      </w:pPr>
    </w:p>
    <w:tbl>
      <w:tblPr>
        <w:tblW w:w="5000" w:type="pct"/>
        <w:tblLook w:val="04A0" w:firstRow="1" w:lastRow="0" w:firstColumn="1" w:lastColumn="0" w:noHBand="0" w:noVBand="1"/>
      </w:tblPr>
      <w:tblGrid>
        <w:gridCol w:w="1995"/>
        <w:gridCol w:w="7294"/>
      </w:tblGrid>
      <w:tr w:rsidRPr="00BA440C" w:rsidR="009D7E2D" w:rsidTr="00BA440C" w14:paraId="5FEB6264" w14:textId="77777777">
        <w:tc>
          <w:tcPr>
            <w:tcW w:w="1074" w:type="pct"/>
          </w:tcPr>
          <w:p w:rsidRPr="00BA440C" w:rsidR="009D7E2D" w:rsidP="00CA0DDE" w:rsidRDefault="009D7E2D" w14:paraId="1891296F" w14:textId="332D9305">
            <w:pPr>
              <w:keepNext/>
              <w:keepLines/>
              <w:suppressAutoHyphens/>
              <w:overflowPunct w:val="0"/>
              <w:autoSpaceDE w:val="0"/>
              <w:autoSpaceDN w:val="0"/>
              <w:adjustRightInd w:val="0"/>
              <w:textAlignment w:val="baseline"/>
              <w:rPr>
                <w:i/>
              </w:rPr>
            </w:pPr>
            <w:r w:rsidRPr="00BA440C">
              <w:rPr>
                <w:b/>
                <w:i/>
              </w:rPr>
              <w:lastRenderedPageBreak/>
              <w:t>Kontakt</w:t>
            </w:r>
          </w:p>
        </w:tc>
        <w:tc>
          <w:tcPr>
            <w:tcW w:w="3926" w:type="pct"/>
          </w:tcPr>
          <w:p w:rsidRPr="00BA440C" w:rsidR="00713105" w:rsidP="00CA0DDE" w:rsidRDefault="009D7E2D" w14:paraId="2EBED78A" w14:textId="77777777">
            <w:pPr>
              <w:keepNext/>
              <w:keepLines/>
              <w:suppressAutoHyphens/>
              <w:overflowPunct w:val="0"/>
              <w:autoSpaceDE w:val="0"/>
              <w:autoSpaceDN w:val="0"/>
              <w:adjustRightInd w:val="0"/>
              <w:textAlignment w:val="baseline"/>
              <w:rPr>
                <w:bCs/>
                <w:i/>
              </w:rPr>
            </w:pPr>
            <w:r w:rsidRPr="00BA440C">
              <w:rPr>
                <w:i/>
              </w:rPr>
              <w:t>Radoslava Stefankova</w:t>
            </w:r>
          </w:p>
          <w:p w:rsidRPr="00BA440C" w:rsidR="009D7E2D" w:rsidP="00CA0DDE" w:rsidRDefault="009D7E2D" w14:paraId="13EF570E" w14:textId="166D0132">
            <w:pPr>
              <w:keepNext/>
              <w:keepLines/>
              <w:suppressAutoHyphens/>
              <w:overflowPunct w:val="0"/>
              <w:autoSpaceDE w:val="0"/>
              <w:autoSpaceDN w:val="0"/>
              <w:adjustRightInd w:val="0"/>
              <w:textAlignment w:val="baseline"/>
              <w:rPr>
                <w:bCs/>
                <w:i/>
              </w:rPr>
            </w:pPr>
            <w:r w:rsidRPr="00BA440C">
              <w:rPr>
                <w:i/>
              </w:rPr>
              <w:t>Yousra Asbouni El Ouahabi</w:t>
            </w:r>
          </w:p>
        </w:tc>
      </w:tr>
      <w:tr w:rsidRPr="00BA440C" w:rsidR="009D7E2D" w:rsidTr="00BA440C" w14:paraId="56CD236C" w14:textId="77777777">
        <w:tc>
          <w:tcPr>
            <w:tcW w:w="1074" w:type="pct"/>
          </w:tcPr>
          <w:p w:rsidRPr="00BA440C" w:rsidR="009D7E2D" w:rsidP="00CA0DDE" w:rsidRDefault="009D7E2D" w14:paraId="642A79E8" w14:textId="77777777">
            <w:pPr>
              <w:keepNext/>
              <w:keepLines/>
              <w:suppressAutoHyphens/>
              <w:overflowPunct w:val="0"/>
              <w:autoSpaceDE w:val="0"/>
              <w:autoSpaceDN w:val="0"/>
              <w:adjustRightInd w:val="0"/>
              <w:textAlignment w:val="baseline"/>
              <w:rPr>
                <w:i/>
              </w:rPr>
            </w:pPr>
            <w:r w:rsidRPr="00BA440C">
              <w:rPr>
                <w:i/>
              </w:rPr>
              <w:t>tel.</w:t>
            </w:r>
          </w:p>
        </w:tc>
        <w:tc>
          <w:tcPr>
            <w:tcW w:w="3926" w:type="pct"/>
          </w:tcPr>
          <w:p w:rsidRPr="00BA440C" w:rsidR="00866666" w:rsidP="00CA0DDE" w:rsidRDefault="009D7E2D" w14:paraId="6BF80798" w14:textId="77777777">
            <w:pPr>
              <w:keepNext/>
              <w:keepLines/>
              <w:suppressAutoHyphens/>
              <w:overflowPunct w:val="0"/>
              <w:autoSpaceDE w:val="0"/>
              <w:autoSpaceDN w:val="0"/>
              <w:adjustRightInd w:val="0"/>
              <w:textAlignment w:val="baseline"/>
              <w:rPr>
                <w:i/>
              </w:rPr>
            </w:pPr>
            <w:r w:rsidRPr="00BA440C">
              <w:rPr>
                <w:i/>
              </w:rPr>
              <w:t>+32 25468188</w:t>
            </w:r>
          </w:p>
          <w:p w:rsidRPr="00BA440C" w:rsidR="009D7E2D" w:rsidP="00CA0DDE" w:rsidRDefault="009D7E2D" w14:paraId="4C93A27B" w14:textId="441660D1">
            <w:pPr>
              <w:keepNext/>
              <w:keepLines/>
              <w:suppressAutoHyphens/>
              <w:overflowPunct w:val="0"/>
              <w:autoSpaceDE w:val="0"/>
              <w:autoSpaceDN w:val="0"/>
              <w:adjustRightInd w:val="0"/>
              <w:textAlignment w:val="baseline"/>
              <w:rPr>
                <w:i/>
              </w:rPr>
            </w:pPr>
            <w:r w:rsidRPr="00BA440C">
              <w:rPr>
                <w:i/>
              </w:rPr>
              <w:t>+32 25468485</w:t>
            </w:r>
          </w:p>
        </w:tc>
      </w:tr>
      <w:tr w:rsidRPr="00BA440C" w:rsidR="009D7E2D" w:rsidTr="00BA440C" w14:paraId="79FB8085" w14:textId="77777777">
        <w:tc>
          <w:tcPr>
            <w:tcW w:w="1074" w:type="pct"/>
          </w:tcPr>
          <w:p w:rsidRPr="00BA440C" w:rsidR="009D7E2D" w:rsidP="008E7DE8" w:rsidRDefault="009D7E2D" w14:paraId="16D4BECD" w14:textId="766DF770">
            <w:pPr>
              <w:suppressAutoHyphens/>
              <w:overflowPunct w:val="0"/>
              <w:autoSpaceDE w:val="0"/>
              <w:autoSpaceDN w:val="0"/>
              <w:adjustRightInd w:val="0"/>
              <w:textAlignment w:val="baseline"/>
              <w:rPr>
                <w:i/>
              </w:rPr>
            </w:pPr>
            <w:r w:rsidRPr="00BA440C">
              <w:rPr>
                <w:i/>
              </w:rPr>
              <w:t>e-mail</w:t>
            </w:r>
          </w:p>
        </w:tc>
        <w:tc>
          <w:tcPr>
            <w:tcW w:w="3926" w:type="pct"/>
          </w:tcPr>
          <w:p w:rsidRPr="00BA440C" w:rsidR="009D7E2D" w:rsidP="008E7DE8" w:rsidRDefault="00F220BF" w14:paraId="7AA88CC5" w14:textId="77777777">
            <w:pPr>
              <w:suppressAutoHyphens/>
              <w:overflowPunct w:val="0"/>
              <w:autoSpaceDE w:val="0"/>
              <w:autoSpaceDN w:val="0"/>
              <w:adjustRightInd w:val="0"/>
              <w:textAlignment w:val="baseline"/>
            </w:pPr>
            <w:hyperlink w:history="1" r:id="rId40">
              <w:r w:rsidRPr="00BA440C" w:rsidR="006E14B4">
                <w:rPr>
                  <w:i/>
                  <w:color w:val="0000FF"/>
                  <w:u w:val="single"/>
                </w:rPr>
                <w:t>Radoslava.Stefankova@eesc.europa.eu</w:t>
              </w:r>
            </w:hyperlink>
          </w:p>
          <w:p w:rsidRPr="00BA440C" w:rsidR="009D7E2D" w:rsidP="008E7DE8" w:rsidRDefault="00F220BF" w14:paraId="2F2D5AA7" w14:textId="77777777">
            <w:pPr>
              <w:suppressAutoHyphens/>
              <w:overflowPunct w:val="0"/>
              <w:autoSpaceDE w:val="0"/>
              <w:autoSpaceDN w:val="0"/>
              <w:adjustRightInd w:val="0"/>
              <w:textAlignment w:val="baseline"/>
              <w:rPr>
                <w:i/>
              </w:rPr>
            </w:pPr>
            <w:hyperlink w:history="1" r:id="rId41">
              <w:r w:rsidRPr="00BA440C" w:rsidR="006E14B4">
                <w:rPr>
                  <w:i/>
                  <w:color w:val="0000FF"/>
                  <w:u w:val="single"/>
                </w:rPr>
                <w:t>Yousra.Asbounielouahabi@eesc.europa.eu</w:t>
              </w:r>
            </w:hyperlink>
          </w:p>
        </w:tc>
      </w:tr>
    </w:tbl>
    <w:p w:rsidRPr="00BA440C" w:rsidR="009D7E2D" w:rsidP="008E7DE8" w:rsidRDefault="009D7E2D" w14:paraId="1988C04D" w14:textId="77777777">
      <w:pPr>
        <w:suppressAutoHyphens/>
        <w:jc w:val="left"/>
      </w:pPr>
      <w:r w:rsidRPr="00BA440C">
        <w:br w:type="page"/>
      </w:r>
    </w:p>
    <w:p w:rsidRPr="00B10907" w:rsidR="00FD106B" w:rsidP="008E7DE8" w:rsidRDefault="00F220BF" w14:paraId="3CC025EB" w14:textId="799BA3FD">
      <w:pPr>
        <w:numPr>
          <w:ilvl w:val="0"/>
          <w:numId w:val="2"/>
        </w:numPr>
        <w:suppressAutoHyphens/>
        <w:overflowPunct w:val="0"/>
        <w:autoSpaceDE w:val="0"/>
        <w:autoSpaceDN w:val="0"/>
        <w:adjustRightInd w:val="0"/>
        <w:ind w:hanging="567"/>
        <w:textAlignment w:val="baseline"/>
        <w:rPr>
          <w:b/>
          <w:sz w:val="28"/>
          <w:szCs w:val="28"/>
        </w:rPr>
      </w:pPr>
      <w:hyperlink w:tgtFrame="_blank" w:history="1" r:id="rId42">
        <w:r w:rsidRPr="00B10907" w:rsidR="006E14B4">
          <w:rPr>
            <w:b/>
            <w:i/>
            <w:color w:val="0000FF"/>
            <w:sz w:val="28"/>
            <w:szCs w:val="28"/>
            <w:u w:val="single"/>
          </w:rPr>
          <w:t>Ocena sprawozdań Letty i Draghiego na temat funkcjonowania i</w:t>
        </w:r>
        <w:r w:rsidR="00EA0B93">
          <w:rPr>
            <w:b/>
            <w:i/>
            <w:color w:val="0000FF"/>
            <w:sz w:val="28"/>
            <w:szCs w:val="28"/>
            <w:u w:val="single"/>
          </w:rPr>
          <w:t> </w:t>
        </w:r>
        <w:r w:rsidRPr="00B10907" w:rsidR="006E14B4">
          <w:rPr>
            <w:b/>
            <w:i/>
            <w:color w:val="0000FF"/>
            <w:sz w:val="28"/>
            <w:szCs w:val="28"/>
            <w:u w:val="single"/>
          </w:rPr>
          <w:t>konkurencyjności jednolitego rynku UE</w:t>
        </w:r>
      </w:hyperlink>
    </w:p>
    <w:p w:rsidRPr="00BA440C" w:rsidR="00627052" w:rsidP="008E7DE8" w:rsidRDefault="00627052" w14:paraId="13CC97A0" w14:textId="77777777">
      <w:pPr>
        <w:suppressAutoHyphens/>
        <w:overflowPunct w:val="0"/>
        <w:autoSpaceDE w:val="0"/>
        <w:autoSpaceDN w:val="0"/>
        <w:adjustRightInd w:val="0"/>
        <w:ind w:left="284"/>
        <w:textAlignment w:val="baseline"/>
        <w:rPr>
          <w:b/>
        </w:rPr>
      </w:pPr>
    </w:p>
    <w:tbl>
      <w:tblPr>
        <w:tblW w:w="5000" w:type="pct"/>
        <w:tblLook w:val="04A0" w:firstRow="1" w:lastRow="0" w:firstColumn="1" w:lastColumn="0" w:noHBand="0" w:noVBand="1"/>
      </w:tblPr>
      <w:tblGrid>
        <w:gridCol w:w="2057"/>
        <w:gridCol w:w="7232"/>
      </w:tblGrid>
      <w:tr w:rsidRPr="00BA440C" w:rsidR="00FD106B" w:rsidTr="00BA440C" w14:paraId="6CE7B306" w14:textId="77777777">
        <w:tc>
          <w:tcPr>
            <w:tcW w:w="1107" w:type="pct"/>
          </w:tcPr>
          <w:p w:rsidRPr="00BA440C" w:rsidR="00FD106B" w:rsidP="008E7DE8" w:rsidRDefault="00FD106B" w14:paraId="327B6AE9" w14:textId="77777777">
            <w:pPr>
              <w:tabs>
                <w:tab w:val="center" w:pos="284"/>
              </w:tabs>
              <w:suppressAutoHyphens/>
              <w:overflowPunct w:val="0"/>
              <w:autoSpaceDE w:val="0"/>
              <w:autoSpaceDN w:val="0"/>
              <w:adjustRightInd w:val="0"/>
              <w:ind w:left="266" w:hanging="266"/>
              <w:textAlignment w:val="baseline"/>
              <w:rPr>
                <w:b/>
              </w:rPr>
            </w:pPr>
            <w:r w:rsidRPr="00BA440C">
              <w:rPr>
                <w:b/>
              </w:rPr>
              <w:t>Sprawozdawcy</w:t>
            </w:r>
          </w:p>
        </w:tc>
        <w:tc>
          <w:tcPr>
            <w:tcW w:w="3893" w:type="pct"/>
          </w:tcPr>
          <w:p w:rsidRPr="00BA440C" w:rsidR="00FD106B" w:rsidP="008E7DE8" w:rsidRDefault="00FD106B" w14:paraId="43C12B82" w14:textId="24791F53">
            <w:pPr>
              <w:tabs>
                <w:tab w:val="center" w:pos="284"/>
              </w:tabs>
              <w:suppressAutoHyphens/>
              <w:overflowPunct w:val="0"/>
              <w:autoSpaceDE w:val="0"/>
              <w:autoSpaceDN w:val="0"/>
              <w:adjustRightInd w:val="0"/>
              <w:ind w:left="266" w:hanging="266"/>
              <w:textAlignment w:val="baseline"/>
            </w:pPr>
            <w:r w:rsidRPr="00BA440C">
              <w:t>Matteo Carlo BORSANI (Grupa Pracodawców – IT)</w:t>
            </w:r>
          </w:p>
          <w:p w:rsidRPr="00BA440C" w:rsidR="009A2569" w:rsidP="008E7DE8" w:rsidRDefault="009A2569" w14:paraId="550E4016" w14:textId="61E3CEA7">
            <w:pPr>
              <w:tabs>
                <w:tab w:val="center" w:pos="284"/>
              </w:tabs>
              <w:suppressAutoHyphens/>
              <w:overflowPunct w:val="0"/>
              <w:autoSpaceDE w:val="0"/>
              <w:autoSpaceDN w:val="0"/>
              <w:adjustRightInd w:val="0"/>
              <w:ind w:left="266" w:hanging="266"/>
              <w:textAlignment w:val="baseline"/>
            </w:pPr>
            <w:r w:rsidRPr="00BA440C">
              <w:t>Stefano PALMIERI (Grupa Pracowników – IT)</w:t>
            </w:r>
          </w:p>
          <w:p w:rsidRPr="00BA440C" w:rsidR="00FD106B" w:rsidP="008E7DE8" w:rsidRDefault="00FD106B" w14:paraId="291D8799" w14:textId="6ED3A591">
            <w:pPr>
              <w:tabs>
                <w:tab w:val="center" w:pos="284"/>
              </w:tabs>
              <w:suppressAutoHyphens/>
              <w:overflowPunct w:val="0"/>
              <w:autoSpaceDE w:val="0"/>
              <w:autoSpaceDN w:val="0"/>
              <w:adjustRightInd w:val="0"/>
              <w:ind w:left="266" w:hanging="266"/>
              <w:textAlignment w:val="baseline"/>
            </w:pPr>
            <w:r w:rsidRPr="00BA440C">
              <w:t>Giuseppe GUERINI (Grupa Organizacji Społeczeństwa Obywatelskiego – IT)</w:t>
            </w:r>
          </w:p>
        </w:tc>
      </w:tr>
      <w:tr w:rsidRPr="00BA440C" w:rsidR="00FD106B" w:rsidTr="00BA440C" w14:paraId="63D5E164" w14:textId="77777777">
        <w:tc>
          <w:tcPr>
            <w:tcW w:w="1107" w:type="pct"/>
            <w:vMerge w:val="restart"/>
          </w:tcPr>
          <w:p w:rsidRPr="00BA440C" w:rsidR="00FD106B" w:rsidP="008E7DE8" w:rsidRDefault="00FD106B" w14:paraId="2C38529F" w14:textId="7DEB39C5">
            <w:pPr>
              <w:tabs>
                <w:tab w:val="center" w:pos="284"/>
              </w:tabs>
              <w:suppressAutoHyphens/>
              <w:overflowPunct w:val="0"/>
              <w:autoSpaceDE w:val="0"/>
              <w:autoSpaceDN w:val="0"/>
              <w:adjustRightInd w:val="0"/>
              <w:ind w:left="266" w:hanging="266"/>
              <w:textAlignment w:val="baseline"/>
              <w:rPr>
                <w:b/>
              </w:rPr>
            </w:pPr>
            <w:r w:rsidRPr="00BA440C">
              <w:rPr>
                <w:b/>
              </w:rPr>
              <w:t>Dokumenty</w:t>
            </w:r>
          </w:p>
        </w:tc>
        <w:tc>
          <w:tcPr>
            <w:tcW w:w="3893" w:type="pct"/>
          </w:tcPr>
          <w:p w:rsidRPr="00BA440C" w:rsidR="00FD106B" w:rsidP="008E7DE8" w:rsidRDefault="00FD106B" w14:paraId="07C67728" w14:textId="77777777">
            <w:pPr>
              <w:tabs>
                <w:tab w:val="center" w:pos="284"/>
              </w:tabs>
              <w:suppressAutoHyphens/>
              <w:overflowPunct w:val="0"/>
              <w:autoSpaceDE w:val="0"/>
              <w:autoSpaceDN w:val="0"/>
              <w:adjustRightInd w:val="0"/>
              <w:ind w:left="266" w:hanging="266"/>
              <w:textAlignment w:val="baseline"/>
            </w:pPr>
            <w:r w:rsidRPr="00BA440C">
              <w:t>Opinia z inicjatywy własnej</w:t>
            </w:r>
          </w:p>
        </w:tc>
      </w:tr>
      <w:tr w:rsidRPr="00BA440C" w:rsidR="00FD106B" w:rsidTr="00BA440C" w14:paraId="5BF5DD36" w14:textId="77777777">
        <w:tc>
          <w:tcPr>
            <w:tcW w:w="1107" w:type="pct"/>
            <w:vMerge/>
          </w:tcPr>
          <w:p w:rsidRPr="00BA440C" w:rsidR="00FD106B" w:rsidP="008E7DE8" w:rsidRDefault="00FD106B" w14:paraId="1F34AB72" w14:textId="77777777">
            <w:pPr>
              <w:tabs>
                <w:tab w:val="center" w:pos="284"/>
              </w:tabs>
              <w:suppressAutoHyphens/>
              <w:overflowPunct w:val="0"/>
              <w:autoSpaceDE w:val="0"/>
              <w:autoSpaceDN w:val="0"/>
              <w:adjustRightInd w:val="0"/>
              <w:ind w:left="266" w:hanging="266"/>
              <w:textAlignment w:val="baseline"/>
              <w:rPr>
                <w:b/>
              </w:rPr>
            </w:pPr>
          </w:p>
        </w:tc>
        <w:tc>
          <w:tcPr>
            <w:tcW w:w="3893" w:type="pct"/>
          </w:tcPr>
          <w:p w:rsidRPr="00BA440C" w:rsidR="00FD106B" w:rsidP="008E7DE8" w:rsidRDefault="00FD106B" w14:paraId="42A20064" w14:textId="77777777">
            <w:pPr>
              <w:tabs>
                <w:tab w:val="center" w:pos="284"/>
              </w:tabs>
              <w:suppressAutoHyphens/>
              <w:overflowPunct w:val="0"/>
              <w:autoSpaceDE w:val="0"/>
              <w:autoSpaceDN w:val="0"/>
              <w:adjustRightInd w:val="0"/>
              <w:ind w:left="266" w:hanging="266"/>
              <w:textAlignment w:val="baseline"/>
            </w:pPr>
            <w:r w:rsidRPr="00BA440C">
              <w:t>EESC-2024-03441-00-00-AC</w:t>
            </w:r>
          </w:p>
        </w:tc>
      </w:tr>
    </w:tbl>
    <w:p w:rsidRPr="00BA440C" w:rsidR="00FD106B" w:rsidP="008E7DE8" w:rsidRDefault="00FD106B" w14:paraId="02343524" w14:textId="77777777">
      <w:pPr>
        <w:tabs>
          <w:tab w:val="center" w:pos="284"/>
        </w:tabs>
        <w:suppressAutoHyphens/>
        <w:overflowPunct w:val="0"/>
        <w:autoSpaceDE w:val="0"/>
        <w:autoSpaceDN w:val="0"/>
        <w:adjustRightInd w:val="0"/>
        <w:ind w:left="266" w:hanging="266"/>
        <w:textAlignment w:val="baseline"/>
      </w:pPr>
    </w:p>
    <w:p w:rsidRPr="00BA440C" w:rsidR="00FD106B" w:rsidP="008E7DE8" w:rsidRDefault="00FD106B" w14:paraId="27E7555C" w14:textId="77777777">
      <w:pPr>
        <w:tabs>
          <w:tab w:val="center" w:pos="284"/>
        </w:tabs>
        <w:suppressAutoHyphens/>
        <w:overflowPunct w:val="0"/>
        <w:autoSpaceDE w:val="0"/>
        <w:autoSpaceDN w:val="0"/>
        <w:adjustRightInd w:val="0"/>
        <w:ind w:left="266" w:hanging="266"/>
        <w:textAlignment w:val="baseline"/>
        <w:rPr>
          <w:b/>
        </w:rPr>
      </w:pPr>
      <w:r w:rsidRPr="00BA440C">
        <w:rPr>
          <w:b/>
        </w:rPr>
        <w:t>Główne punkty</w:t>
      </w:r>
    </w:p>
    <w:p w:rsidRPr="00BA440C" w:rsidR="00FD106B" w:rsidP="008E7DE8" w:rsidRDefault="00FD106B" w14:paraId="70C27580" w14:textId="77777777">
      <w:pPr>
        <w:tabs>
          <w:tab w:val="center" w:pos="284"/>
        </w:tabs>
        <w:suppressAutoHyphens/>
        <w:overflowPunct w:val="0"/>
        <w:autoSpaceDE w:val="0"/>
        <w:autoSpaceDN w:val="0"/>
        <w:adjustRightInd w:val="0"/>
        <w:ind w:left="266" w:hanging="266"/>
        <w:textAlignment w:val="baseline"/>
        <w:rPr>
          <w:b/>
        </w:rPr>
      </w:pPr>
    </w:p>
    <w:p w:rsidR="00FD106B" w:rsidP="008E7DE8" w:rsidRDefault="00FD106B" w14:paraId="6F22A07D" w14:textId="2B015D4B">
      <w:pPr>
        <w:suppressAutoHyphens/>
        <w:overflowPunct w:val="0"/>
        <w:autoSpaceDE w:val="0"/>
        <w:autoSpaceDN w:val="0"/>
        <w:adjustRightInd w:val="0"/>
        <w:textAlignment w:val="baseline"/>
      </w:pPr>
      <w:r w:rsidRPr="00BA440C">
        <w:t>EKES:</w:t>
      </w:r>
    </w:p>
    <w:p w:rsidRPr="00BA440C" w:rsidR="00C1081A" w:rsidP="008E7DE8" w:rsidRDefault="00C1081A" w14:paraId="6E64CE53" w14:textId="77777777">
      <w:pPr>
        <w:suppressAutoHyphens/>
        <w:overflowPunct w:val="0"/>
        <w:autoSpaceDE w:val="0"/>
        <w:autoSpaceDN w:val="0"/>
        <w:adjustRightInd w:val="0"/>
        <w:textAlignment w:val="baseline"/>
        <w:rPr>
          <w:bCs/>
          <w:iCs/>
        </w:rPr>
      </w:pPr>
    </w:p>
    <w:p w:rsidRPr="00BA440C" w:rsidR="00FD106B" w:rsidP="008E7DE8" w:rsidRDefault="00FD106B" w14:paraId="1E73D851" w14:textId="77777777">
      <w:pPr>
        <w:numPr>
          <w:ilvl w:val="0"/>
          <w:numId w:val="30"/>
        </w:numPr>
        <w:suppressAutoHyphens/>
        <w:ind w:left="567" w:hanging="567"/>
      </w:pPr>
      <w:r w:rsidRPr="00BA440C">
        <w:t xml:space="preserve">Podkreśla pilną potrzebę </w:t>
      </w:r>
      <w:r w:rsidRPr="00BA440C">
        <w:rPr>
          <w:b/>
        </w:rPr>
        <w:t>zwiększenia europejskiej konkurencyjności przy jednoczesnym zapewnieniu zrównoważonego rozwoju i spójności społecznej</w:t>
      </w:r>
      <w:r w:rsidRPr="00BA440C">
        <w:t>. UE stoi w obliczu rosnącej globalnej konkurencji i musi podjąć zdecydowane działania w celu wzmocnienia swojej pozycji gospodarczej. Nie powinno to jednak odbywać się kosztem zrównoważenia środowiskowego, praw pracowniczych ani równowagi regionalnej. EKES wzywa do przyjęcia podejścia łączącego wzrost gospodarczy z zasadami spójności społecznej i terytorialnej.</w:t>
      </w:r>
    </w:p>
    <w:p w:rsidRPr="00BA440C" w:rsidR="00FD106B" w:rsidP="008E7DE8" w:rsidRDefault="00FD106B" w14:paraId="5D3E6D79" w14:textId="77777777">
      <w:pPr>
        <w:numPr>
          <w:ilvl w:val="0"/>
          <w:numId w:val="30"/>
        </w:numPr>
        <w:suppressAutoHyphens/>
        <w:ind w:left="567" w:hanging="567"/>
      </w:pPr>
      <w:r w:rsidRPr="00BA440C">
        <w:t xml:space="preserve">Wzywa do </w:t>
      </w:r>
      <w:r w:rsidRPr="00BA440C">
        <w:rPr>
          <w:b/>
        </w:rPr>
        <w:t>zwiększenia inwestycji w kluczowych obszarach, takich jak infrastruktura społeczna, transformacja cyfrowa i transformacja energetyczna</w:t>
      </w:r>
      <w:r w:rsidRPr="00BA440C">
        <w:t>. Uznając, że konkurencyjność opiera się na mocnych podstawach, EKES podkreśla potrzebę znacznych inwestycji w nowoczesną infrastrukturę, w tym edukację, badania naukowe, cyfryzację i energię ze źródeł odnawialnych. Inwestycje te mają zasadnicze znaczenie dla utrzymania siły gospodarczej Europy przy jednoczesnym zajęciu się zmianami demograficznymi, postępem technologicznym i wyzwaniami klimatycznymi.</w:t>
      </w:r>
    </w:p>
    <w:p w:rsidRPr="00BA440C" w:rsidR="00FD106B" w:rsidP="008E7DE8" w:rsidRDefault="00FD106B" w14:paraId="3EFA90D3" w14:textId="77777777">
      <w:pPr>
        <w:numPr>
          <w:ilvl w:val="0"/>
          <w:numId w:val="30"/>
        </w:numPr>
        <w:suppressAutoHyphens/>
        <w:ind w:left="567" w:hanging="567"/>
      </w:pPr>
      <w:r w:rsidRPr="00BA440C">
        <w:t xml:space="preserve">Podkreśla, że UE musi aktywnie kształtować globalną transformację gospodarczą, a nie tylko zachować dotychczasowe osiągnięcia. EKES podkreśla, że Europa znajduje się na rozdrożu: może ona odgrywać aktywną rolę w globalnej transformacji gospodarczej lub grozi jej pozostanie w tyle. Oznacza to </w:t>
      </w:r>
      <w:r w:rsidRPr="00BA440C">
        <w:rPr>
          <w:b/>
        </w:rPr>
        <w:t>dostosowanie jednolitego rynku do nowych realiów geopolitycznych</w:t>
      </w:r>
      <w:r w:rsidRPr="00BA440C">
        <w:t xml:space="preserve">, zmniejszenie strategicznej zależności od łańcuchów dostaw spoza UE oraz zwiększenie roli Europy w strategicznych gałęziach przemysłu. </w:t>
      </w:r>
    </w:p>
    <w:p w:rsidRPr="00BA440C" w:rsidR="00FD106B" w:rsidP="008E7DE8" w:rsidRDefault="00FD106B" w14:paraId="2D92CEA3" w14:textId="77777777">
      <w:pPr>
        <w:suppressAutoHyphens/>
        <w:overflowPunct w:val="0"/>
        <w:autoSpaceDE w:val="0"/>
        <w:autoSpaceDN w:val="0"/>
        <w:adjustRightInd w:val="0"/>
        <w:ind w:left="709"/>
        <w:textAlignment w:val="baseline"/>
      </w:pPr>
    </w:p>
    <w:tbl>
      <w:tblPr>
        <w:tblW w:w="5000" w:type="pct"/>
        <w:tblLook w:val="04A0" w:firstRow="1" w:lastRow="0" w:firstColumn="1" w:lastColumn="0" w:noHBand="0" w:noVBand="1"/>
      </w:tblPr>
      <w:tblGrid>
        <w:gridCol w:w="2025"/>
        <w:gridCol w:w="7264"/>
      </w:tblGrid>
      <w:tr w:rsidRPr="00BA440C" w:rsidR="00FD106B" w:rsidTr="00BA440C" w14:paraId="221C8BB2" w14:textId="77777777">
        <w:tc>
          <w:tcPr>
            <w:tcW w:w="1090" w:type="pct"/>
          </w:tcPr>
          <w:p w:rsidRPr="00BA440C" w:rsidR="00FD106B" w:rsidP="008E7DE8" w:rsidRDefault="00FD106B" w14:paraId="740E10D6" w14:textId="77777777">
            <w:pPr>
              <w:suppressAutoHyphens/>
              <w:overflowPunct w:val="0"/>
              <w:autoSpaceDE w:val="0"/>
              <w:autoSpaceDN w:val="0"/>
              <w:adjustRightInd w:val="0"/>
              <w:textAlignment w:val="baseline"/>
              <w:rPr>
                <w:i/>
              </w:rPr>
            </w:pPr>
            <w:r w:rsidRPr="00BA440C">
              <w:rPr>
                <w:b/>
                <w:i/>
              </w:rPr>
              <w:t>Kontakt</w:t>
            </w:r>
          </w:p>
        </w:tc>
        <w:tc>
          <w:tcPr>
            <w:tcW w:w="3910" w:type="pct"/>
          </w:tcPr>
          <w:p w:rsidRPr="00BA440C" w:rsidR="00FD106B" w:rsidP="008E7DE8" w:rsidRDefault="00FD106B" w14:paraId="5AA8E8D6" w14:textId="77777777">
            <w:pPr>
              <w:suppressAutoHyphens/>
              <w:overflowPunct w:val="0"/>
              <w:autoSpaceDE w:val="0"/>
              <w:autoSpaceDN w:val="0"/>
              <w:adjustRightInd w:val="0"/>
              <w:textAlignment w:val="baseline"/>
              <w:rPr>
                <w:i/>
              </w:rPr>
            </w:pPr>
            <w:r w:rsidRPr="00BA440C">
              <w:rPr>
                <w:i/>
              </w:rPr>
              <w:t>Annalisa Tessarolo</w:t>
            </w:r>
          </w:p>
          <w:p w:rsidRPr="00BA440C" w:rsidR="00FD106B" w:rsidP="008E7DE8" w:rsidRDefault="00FD106B" w14:paraId="1CF946C4" w14:textId="77777777">
            <w:pPr>
              <w:suppressAutoHyphens/>
              <w:overflowPunct w:val="0"/>
              <w:autoSpaceDE w:val="0"/>
              <w:autoSpaceDN w:val="0"/>
              <w:adjustRightInd w:val="0"/>
              <w:textAlignment w:val="baseline"/>
              <w:rPr>
                <w:i/>
              </w:rPr>
            </w:pPr>
            <w:r w:rsidRPr="00BA440C">
              <w:rPr>
                <w:i/>
              </w:rPr>
              <w:t>Silvia Staffa</w:t>
            </w:r>
          </w:p>
        </w:tc>
      </w:tr>
      <w:tr w:rsidRPr="00BA440C" w:rsidR="00FD106B" w:rsidTr="00BA440C" w14:paraId="7C7B09FE" w14:textId="77777777">
        <w:tc>
          <w:tcPr>
            <w:tcW w:w="1090" w:type="pct"/>
          </w:tcPr>
          <w:p w:rsidRPr="00BA440C" w:rsidR="00FD106B" w:rsidP="008E7DE8" w:rsidRDefault="00FD106B" w14:paraId="3C27F1DF" w14:textId="77777777">
            <w:pPr>
              <w:suppressAutoHyphens/>
              <w:overflowPunct w:val="0"/>
              <w:autoSpaceDE w:val="0"/>
              <w:autoSpaceDN w:val="0"/>
              <w:adjustRightInd w:val="0"/>
              <w:textAlignment w:val="baseline"/>
              <w:rPr>
                <w:i/>
              </w:rPr>
            </w:pPr>
            <w:r w:rsidRPr="00BA440C">
              <w:rPr>
                <w:i/>
              </w:rPr>
              <w:t>tel.</w:t>
            </w:r>
          </w:p>
        </w:tc>
        <w:tc>
          <w:tcPr>
            <w:tcW w:w="3910" w:type="pct"/>
          </w:tcPr>
          <w:p w:rsidRPr="00BA440C" w:rsidR="00FD106B" w:rsidP="008E7DE8" w:rsidRDefault="00FD106B" w14:paraId="6376D96B" w14:textId="77777777">
            <w:pPr>
              <w:suppressAutoHyphens/>
              <w:overflowPunct w:val="0"/>
              <w:autoSpaceDE w:val="0"/>
              <w:autoSpaceDN w:val="0"/>
              <w:adjustRightInd w:val="0"/>
              <w:textAlignment w:val="baseline"/>
              <w:rPr>
                <w:i/>
              </w:rPr>
            </w:pPr>
            <w:r w:rsidRPr="00BA440C">
              <w:rPr>
                <w:i/>
              </w:rPr>
              <w:t>+32 25469732</w:t>
            </w:r>
          </w:p>
          <w:p w:rsidRPr="00BA440C" w:rsidR="00FD106B" w:rsidP="008E7DE8" w:rsidRDefault="00FD106B" w14:paraId="617FBCCE" w14:textId="77777777">
            <w:pPr>
              <w:suppressAutoHyphens/>
              <w:overflowPunct w:val="0"/>
              <w:autoSpaceDE w:val="0"/>
              <w:autoSpaceDN w:val="0"/>
              <w:adjustRightInd w:val="0"/>
              <w:textAlignment w:val="baseline"/>
              <w:rPr>
                <w:i/>
              </w:rPr>
            </w:pPr>
            <w:r w:rsidRPr="00BA440C">
              <w:rPr>
                <w:i/>
              </w:rPr>
              <w:t>+32 25468378</w:t>
            </w:r>
          </w:p>
        </w:tc>
      </w:tr>
      <w:tr w:rsidRPr="00BA440C" w:rsidR="00FD106B" w:rsidTr="00BA440C" w14:paraId="28A6E007" w14:textId="77777777">
        <w:tc>
          <w:tcPr>
            <w:tcW w:w="1090" w:type="pct"/>
          </w:tcPr>
          <w:p w:rsidRPr="00BA440C" w:rsidR="00FD106B" w:rsidP="008E7DE8" w:rsidRDefault="00FD106B" w14:paraId="173B4957" w14:textId="77777777">
            <w:pPr>
              <w:suppressAutoHyphens/>
              <w:overflowPunct w:val="0"/>
              <w:autoSpaceDE w:val="0"/>
              <w:autoSpaceDN w:val="0"/>
              <w:adjustRightInd w:val="0"/>
              <w:textAlignment w:val="baseline"/>
              <w:rPr>
                <w:i/>
              </w:rPr>
            </w:pPr>
            <w:r w:rsidRPr="00BA440C">
              <w:rPr>
                <w:i/>
              </w:rPr>
              <w:t>e-mail</w:t>
            </w:r>
          </w:p>
        </w:tc>
        <w:tc>
          <w:tcPr>
            <w:tcW w:w="3910" w:type="pct"/>
          </w:tcPr>
          <w:p w:rsidRPr="00BA440C" w:rsidR="00FD106B" w:rsidP="008E7DE8" w:rsidRDefault="00F220BF" w14:paraId="58795004" w14:textId="77777777">
            <w:pPr>
              <w:suppressAutoHyphens/>
              <w:overflowPunct w:val="0"/>
              <w:autoSpaceDE w:val="0"/>
              <w:autoSpaceDN w:val="0"/>
              <w:adjustRightInd w:val="0"/>
              <w:textAlignment w:val="baseline"/>
              <w:rPr>
                <w:i/>
                <w:iCs/>
              </w:rPr>
            </w:pPr>
            <w:hyperlink w:history="1" r:id="rId43">
              <w:r w:rsidRPr="00BA440C" w:rsidR="006E14B4">
                <w:rPr>
                  <w:i/>
                  <w:color w:val="0000FF"/>
                  <w:u w:val="single"/>
                </w:rPr>
                <w:t>Annalisa.Tessarolo@eesc.europa.eu</w:t>
              </w:r>
            </w:hyperlink>
          </w:p>
          <w:p w:rsidRPr="00BA440C" w:rsidR="00FD106B" w:rsidP="008E7DE8" w:rsidRDefault="00F220BF" w14:paraId="40FF993F" w14:textId="77777777">
            <w:pPr>
              <w:suppressAutoHyphens/>
              <w:overflowPunct w:val="0"/>
              <w:autoSpaceDE w:val="0"/>
              <w:autoSpaceDN w:val="0"/>
              <w:adjustRightInd w:val="0"/>
              <w:textAlignment w:val="baseline"/>
              <w:rPr>
                <w:i/>
              </w:rPr>
            </w:pPr>
            <w:hyperlink w:history="1" r:id="rId44">
              <w:r w:rsidRPr="00BA440C" w:rsidR="006E14B4">
                <w:rPr>
                  <w:i/>
                  <w:color w:val="0000FF"/>
                  <w:u w:val="single"/>
                </w:rPr>
                <w:t>Silvia.Staffa@eesc.europa.eu</w:t>
              </w:r>
            </w:hyperlink>
          </w:p>
        </w:tc>
      </w:tr>
    </w:tbl>
    <w:p w:rsidRPr="00BA440C" w:rsidR="00FD106B" w:rsidP="008E7DE8" w:rsidRDefault="00FD106B" w14:paraId="78591677" w14:textId="77777777">
      <w:pPr>
        <w:suppressAutoHyphens/>
        <w:jc w:val="left"/>
      </w:pPr>
      <w:r w:rsidRPr="00BA440C">
        <w:br w:type="page"/>
      </w:r>
    </w:p>
    <w:p w:rsidRPr="00B10907" w:rsidR="00D03AEC" w:rsidP="008E7DE8" w:rsidRDefault="00F220BF" w14:paraId="5D829D13" w14:textId="2B5C8229">
      <w:pPr>
        <w:numPr>
          <w:ilvl w:val="0"/>
          <w:numId w:val="2"/>
        </w:numPr>
        <w:suppressAutoHyphens/>
        <w:overflowPunct w:val="0"/>
        <w:autoSpaceDE w:val="0"/>
        <w:autoSpaceDN w:val="0"/>
        <w:adjustRightInd w:val="0"/>
        <w:ind w:hanging="567"/>
        <w:textAlignment w:val="baseline"/>
        <w:rPr>
          <w:sz w:val="28"/>
          <w:szCs w:val="28"/>
        </w:rPr>
      </w:pPr>
      <w:hyperlink w:history="1" r:id="rId45">
        <w:r w:rsidRPr="00B10907" w:rsidR="006E14B4">
          <w:rPr>
            <w:b/>
            <w:i/>
            <w:color w:val="0000FF"/>
            <w:sz w:val="28"/>
            <w:szCs w:val="28"/>
            <w:u w:val="single"/>
          </w:rPr>
          <w:t>Konkurencyjność małych i średnich przedsiębiorstw w UE w obliczu nowych obciążeń i obowiązków administracyjnych</w:t>
        </w:r>
      </w:hyperlink>
    </w:p>
    <w:p w:rsidRPr="00BA440C" w:rsidR="00D03AEC" w:rsidP="008E7DE8" w:rsidRDefault="00D03AEC" w14:paraId="76D0C029" w14:textId="77777777">
      <w:pPr>
        <w:tabs>
          <w:tab w:val="center" w:pos="284"/>
        </w:tabs>
        <w:suppressAutoHyphen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1653"/>
        <w:gridCol w:w="7636"/>
      </w:tblGrid>
      <w:tr w:rsidRPr="00BA440C" w:rsidR="00D03AEC" w:rsidTr="00BA440C" w14:paraId="385F137A" w14:textId="77777777">
        <w:trPr>
          <w:trHeight w:val="323"/>
        </w:trPr>
        <w:tc>
          <w:tcPr>
            <w:tcW w:w="890" w:type="pct"/>
          </w:tcPr>
          <w:p w:rsidRPr="00BA440C" w:rsidR="00D03AEC" w:rsidP="008E7DE8" w:rsidRDefault="00D03AEC" w14:paraId="6D4FA2AD" w14:textId="44144662">
            <w:pPr>
              <w:tabs>
                <w:tab w:val="center" w:pos="284"/>
              </w:tabs>
              <w:suppressAutoHyphens/>
              <w:overflowPunct w:val="0"/>
              <w:autoSpaceDE w:val="0"/>
              <w:autoSpaceDN w:val="0"/>
              <w:adjustRightInd w:val="0"/>
              <w:ind w:left="266" w:hanging="266"/>
              <w:textAlignment w:val="baseline"/>
              <w:rPr>
                <w:b/>
              </w:rPr>
            </w:pPr>
            <w:r w:rsidRPr="00BA440C">
              <w:rPr>
                <w:b/>
              </w:rPr>
              <w:t>Sprawozdawca</w:t>
            </w:r>
          </w:p>
        </w:tc>
        <w:tc>
          <w:tcPr>
            <w:tcW w:w="4110" w:type="pct"/>
          </w:tcPr>
          <w:p w:rsidRPr="00BA440C" w:rsidR="00D03AEC" w:rsidP="008E7DE8" w:rsidRDefault="00D03AEC" w14:paraId="2320B226" w14:textId="16FA16A5">
            <w:pPr>
              <w:tabs>
                <w:tab w:val="center" w:pos="0"/>
              </w:tabs>
              <w:suppressAutoHyphens/>
              <w:overflowPunct w:val="0"/>
              <w:autoSpaceDE w:val="0"/>
              <w:autoSpaceDN w:val="0"/>
              <w:adjustRightInd w:val="0"/>
              <w:ind w:left="266" w:right="-387" w:hanging="266"/>
              <w:textAlignment w:val="baseline"/>
            </w:pPr>
            <w:r w:rsidRPr="00BA440C">
              <w:t>Paul RÜBIG (Grupa Pracodawców- AT)</w:t>
            </w:r>
          </w:p>
        </w:tc>
      </w:tr>
      <w:tr w:rsidRPr="00BA440C" w:rsidR="00D03AEC" w:rsidTr="00BA440C" w14:paraId="2544DD25" w14:textId="77777777">
        <w:tc>
          <w:tcPr>
            <w:tcW w:w="890" w:type="pct"/>
          </w:tcPr>
          <w:p w:rsidRPr="00BA440C" w:rsidR="00D03AEC" w:rsidP="008E7DE8" w:rsidRDefault="00D03AEC" w14:paraId="327B0796" w14:textId="569A93C2">
            <w:pPr>
              <w:tabs>
                <w:tab w:val="center" w:pos="284"/>
              </w:tabs>
              <w:suppressAutoHyphens/>
              <w:overflowPunct w:val="0"/>
              <w:autoSpaceDE w:val="0"/>
              <w:autoSpaceDN w:val="0"/>
              <w:adjustRightInd w:val="0"/>
              <w:ind w:left="266" w:hanging="266"/>
              <w:textAlignment w:val="baseline"/>
              <w:rPr>
                <w:b/>
              </w:rPr>
            </w:pPr>
            <w:r w:rsidRPr="00BA440C">
              <w:rPr>
                <w:b/>
              </w:rPr>
              <w:t>Dokumenty</w:t>
            </w:r>
          </w:p>
        </w:tc>
        <w:tc>
          <w:tcPr>
            <w:tcW w:w="4110" w:type="pct"/>
          </w:tcPr>
          <w:p w:rsidRPr="00BA440C" w:rsidR="00D03AEC" w:rsidP="008E7DE8" w:rsidRDefault="00D03AEC" w14:paraId="34DEDE49" w14:textId="588F8405">
            <w:pPr>
              <w:tabs>
                <w:tab w:val="center" w:pos="284"/>
              </w:tabs>
              <w:suppressAutoHyphens/>
              <w:overflowPunct w:val="0"/>
              <w:autoSpaceDE w:val="0"/>
              <w:autoSpaceDN w:val="0"/>
              <w:adjustRightInd w:val="0"/>
              <w:ind w:left="266" w:right="-387" w:hanging="266"/>
              <w:textAlignment w:val="baseline"/>
            </w:pPr>
            <w:r w:rsidRPr="00BA440C">
              <w:t>Opinia rozpoznawcza na wniosek polskiej prezydencji Rady UE</w:t>
            </w:r>
          </w:p>
          <w:p w:rsidRPr="00BA440C" w:rsidR="00D03AEC" w:rsidP="008E7DE8" w:rsidRDefault="00D03AEC" w14:paraId="6502535C" w14:textId="77777777">
            <w:pPr>
              <w:tabs>
                <w:tab w:val="center" w:pos="284"/>
              </w:tabs>
              <w:suppressAutoHyphens/>
              <w:overflowPunct w:val="0"/>
              <w:autoSpaceDE w:val="0"/>
              <w:autoSpaceDN w:val="0"/>
              <w:adjustRightInd w:val="0"/>
              <w:ind w:left="266" w:right="-387" w:hanging="266"/>
              <w:textAlignment w:val="baseline"/>
            </w:pPr>
            <w:r w:rsidRPr="00BA440C">
              <w:t>EESC-2024-03549-00-00-AC</w:t>
            </w:r>
          </w:p>
        </w:tc>
      </w:tr>
    </w:tbl>
    <w:p w:rsidRPr="00BA440C" w:rsidR="00D03AEC" w:rsidP="008E7DE8" w:rsidRDefault="00D03AEC" w14:paraId="5DE49D6C" w14:textId="77777777">
      <w:pPr>
        <w:tabs>
          <w:tab w:val="center" w:pos="284"/>
        </w:tabs>
        <w:suppressAutoHyphens/>
        <w:overflowPunct w:val="0"/>
        <w:autoSpaceDE w:val="0"/>
        <w:autoSpaceDN w:val="0"/>
        <w:adjustRightInd w:val="0"/>
        <w:ind w:left="266" w:hanging="266"/>
        <w:textAlignment w:val="baseline"/>
        <w:rPr>
          <w:b/>
        </w:rPr>
      </w:pPr>
    </w:p>
    <w:p w:rsidRPr="00BA440C" w:rsidR="00D03AEC" w:rsidP="008E7DE8" w:rsidRDefault="00D03AEC" w14:paraId="26780EEE" w14:textId="77777777">
      <w:pPr>
        <w:tabs>
          <w:tab w:val="center" w:pos="284"/>
        </w:tabs>
        <w:suppressAutoHyphens/>
        <w:overflowPunct w:val="0"/>
        <w:autoSpaceDE w:val="0"/>
        <w:autoSpaceDN w:val="0"/>
        <w:adjustRightInd w:val="0"/>
        <w:ind w:left="266" w:hanging="266"/>
        <w:textAlignment w:val="baseline"/>
        <w:rPr>
          <w:b/>
        </w:rPr>
      </w:pPr>
      <w:r w:rsidRPr="00BA440C">
        <w:rPr>
          <w:b/>
        </w:rPr>
        <w:t>Główne punkty</w:t>
      </w:r>
    </w:p>
    <w:p w:rsidRPr="00BA440C" w:rsidR="00D03AEC" w:rsidP="008E7DE8" w:rsidRDefault="00D03AEC" w14:paraId="66E17A01" w14:textId="77777777">
      <w:pPr>
        <w:tabs>
          <w:tab w:val="center" w:pos="284"/>
        </w:tabs>
        <w:suppressAutoHyphens/>
        <w:overflowPunct w:val="0"/>
        <w:autoSpaceDE w:val="0"/>
        <w:autoSpaceDN w:val="0"/>
        <w:adjustRightInd w:val="0"/>
        <w:ind w:left="266" w:hanging="266"/>
        <w:textAlignment w:val="baseline"/>
        <w:rPr>
          <w:bCs/>
        </w:rPr>
      </w:pPr>
    </w:p>
    <w:p w:rsidR="00D03AEC" w:rsidP="008E7DE8" w:rsidRDefault="00D03AEC" w14:paraId="73126562" w14:textId="1966CC3F">
      <w:pPr>
        <w:suppressAutoHyphens/>
        <w:overflowPunct w:val="0"/>
        <w:autoSpaceDE w:val="0"/>
        <w:autoSpaceDN w:val="0"/>
        <w:adjustRightInd w:val="0"/>
        <w:textAlignment w:val="baseline"/>
      </w:pPr>
      <w:r w:rsidRPr="00BA440C">
        <w:t>EKES:</w:t>
      </w:r>
    </w:p>
    <w:p w:rsidRPr="00BA440C" w:rsidR="00C1081A" w:rsidP="008E7DE8" w:rsidRDefault="00C1081A" w14:paraId="17B6392C" w14:textId="77777777">
      <w:pPr>
        <w:suppressAutoHyphens/>
        <w:overflowPunct w:val="0"/>
        <w:autoSpaceDE w:val="0"/>
        <w:autoSpaceDN w:val="0"/>
        <w:adjustRightInd w:val="0"/>
        <w:textAlignment w:val="baseline"/>
        <w:rPr>
          <w:bCs/>
          <w:iCs/>
        </w:rPr>
      </w:pPr>
    </w:p>
    <w:p w:rsidRPr="00BA440C" w:rsidR="00D03AEC" w:rsidP="008E7DE8" w:rsidRDefault="00D03AEC" w14:paraId="551D5FDC" w14:textId="77777777">
      <w:pPr>
        <w:numPr>
          <w:ilvl w:val="0"/>
          <w:numId w:val="31"/>
        </w:numPr>
        <w:suppressAutoHyphens/>
        <w:ind w:left="567" w:hanging="567"/>
        <w:rPr>
          <w:bCs/>
          <w:iCs/>
        </w:rPr>
      </w:pPr>
      <w:r w:rsidRPr="00BA440C">
        <w:t>Uważa, że pomimo uruchomienia w przeszłości różnych inicjatyw Unii Europejskiej, nadal konieczne są dalsze usprawnienia w zakresie zmniejszenia obciążeń regulacyjnych, biorąc pod uwagę, że MŚP stoją w obliczu podwójnych i potrójnych wymogów prawnych w wyniku fali dodatkowych regulacji i istniejących wymogów, również w odniesieniu do Zielonego Ładu.</w:t>
      </w:r>
    </w:p>
    <w:p w:rsidRPr="00BA440C" w:rsidR="00D03AEC" w:rsidP="008E7DE8" w:rsidRDefault="00D03AEC" w14:paraId="62F36A43" w14:textId="77777777">
      <w:pPr>
        <w:numPr>
          <w:ilvl w:val="0"/>
          <w:numId w:val="31"/>
        </w:numPr>
        <w:suppressAutoHyphens/>
        <w:ind w:left="567" w:hanging="567"/>
        <w:rPr>
          <w:bCs/>
          <w:iCs/>
        </w:rPr>
      </w:pPr>
      <w:r w:rsidRPr="00BA440C">
        <w:t>Jednocześnie jest zdania, że zmniejszenie obciążeń regulacyjnych nie może zagrażać przestrzeganiu ustanowionych na szczeblu międzynarodowym i unijnym praw i norm społecznych, środowiskowych i związanych z bezpieczeństwem konsumentów. Nie może też zagrażać przestrzeganiu zasady przejrzystości i praworządności w UE.</w:t>
      </w:r>
    </w:p>
    <w:p w:rsidRPr="00BA440C" w:rsidR="00D03AEC" w:rsidP="008E7DE8" w:rsidRDefault="00D03AEC" w14:paraId="2F408966" w14:textId="77777777">
      <w:pPr>
        <w:numPr>
          <w:ilvl w:val="0"/>
          <w:numId w:val="31"/>
        </w:numPr>
        <w:suppressAutoHyphens/>
        <w:ind w:left="567" w:hanging="567"/>
        <w:rPr>
          <w:bCs/>
          <w:iCs/>
        </w:rPr>
      </w:pPr>
      <w:r w:rsidRPr="00BA440C">
        <w:t>Zaleca znaczące wzmocnienie Rady ds. Kontroli Regulacyjnej i zwiększenie jej niezależności poprzez przeprowadzanie kontroli spójności i pomocniczości na początku każdego procesu legislacyjnego oraz przyznanie jej odpowiednich uprawnień w zakresie dokonywania przeglądu i doradztwa.</w:t>
      </w:r>
    </w:p>
    <w:p w:rsidRPr="00BA440C" w:rsidR="00D03AEC" w:rsidP="008E7DE8" w:rsidRDefault="00D03AEC" w14:paraId="59E3C799" w14:textId="77777777">
      <w:pPr>
        <w:numPr>
          <w:ilvl w:val="0"/>
          <w:numId w:val="31"/>
        </w:numPr>
        <w:suppressAutoHyphens/>
        <w:ind w:left="567" w:hanging="567"/>
        <w:rPr>
          <w:bCs/>
          <w:iCs/>
        </w:rPr>
      </w:pPr>
      <w:r w:rsidRPr="00BA440C">
        <w:t>Zaleca, by test MŚP i sprawdzian konkurencyjności zostały połączone w jedną procedurę.</w:t>
      </w:r>
    </w:p>
    <w:p w:rsidRPr="00BA440C" w:rsidR="00D03AEC" w:rsidP="008E7DE8" w:rsidRDefault="00D03AEC" w14:paraId="126D259B" w14:textId="77777777">
      <w:pPr>
        <w:numPr>
          <w:ilvl w:val="0"/>
          <w:numId w:val="31"/>
        </w:numPr>
        <w:suppressAutoHyphens/>
        <w:ind w:left="567" w:hanging="567"/>
        <w:rPr>
          <w:bCs/>
          <w:iCs/>
        </w:rPr>
      </w:pPr>
      <w:r w:rsidRPr="00BA440C">
        <w:t>Zaleca ponadto, by wykorzystać sztuczną inteligencję i narzędzia uczenia maszynowego do stworzenia łatwego w użyciu jednolitego narzędzia sprawozdawczego, które może zapewnić MŚP, spółkom o średniej kapitalizacji i innym przedsiębiorstwom informacje na temat wszystkich istotnych dla UE obowiązków sprawozdawczych, terminów i sankcji.</w:t>
      </w:r>
    </w:p>
    <w:p w:rsidRPr="00BA440C" w:rsidR="00D03AEC" w:rsidP="008E7DE8" w:rsidRDefault="00D03AEC" w14:paraId="004869CE" w14:textId="6B9673DA">
      <w:pPr>
        <w:numPr>
          <w:ilvl w:val="0"/>
          <w:numId w:val="31"/>
        </w:numPr>
        <w:suppressAutoHyphens/>
        <w:ind w:left="567" w:hanging="567"/>
        <w:rPr>
          <w:bCs/>
          <w:iCs/>
        </w:rPr>
      </w:pPr>
      <w:r w:rsidRPr="00BA440C">
        <w:t>Zaznacza, że Parlament Europejski i Rada UE powinny opracować przyspieszoną procedurę oceny skutków i ryzyka przeprowadzanej przez ich własne departamenty tematyczne w</w:t>
      </w:r>
      <w:r w:rsidR="00EA0B93">
        <w:t> </w:t>
      </w:r>
      <w:r w:rsidRPr="00BA440C">
        <w:t>przypadku poprawek, które znacznie zmieniają wnioski Komisji Europejskiej.</w:t>
      </w:r>
    </w:p>
    <w:p w:rsidRPr="00BA440C" w:rsidR="00D03AEC" w:rsidP="008E7DE8" w:rsidRDefault="00D03AEC" w14:paraId="750FA3AD" w14:textId="7ADD02F3">
      <w:pPr>
        <w:numPr>
          <w:ilvl w:val="0"/>
          <w:numId w:val="31"/>
        </w:numPr>
        <w:suppressAutoHyphens/>
        <w:ind w:left="567" w:hanging="567"/>
        <w:rPr>
          <w:bCs/>
          <w:iCs/>
        </w:rPr>
      </w:pPr>
      <w:r w:rsidRPr="00BA440C">
        <w:t>Uważa, że Rada Unii Europejskiej oraz władze krajowe powinny również w większym stopniu wykorzystywać możliwości kontroli odpowiedzialności (pomocniczość), zwłaszcza w</w:t>
      </w:r>
      <w:r w:rsidR="00EA0B93">
        <w:t> </w:t>
      </w:r>
      <w:r w:rsidRPr="00BA440C">
        <w:t>odniesieniu do wpływu na MŚP, konsumentów, administrację i wymiar sprawiedliwości.</w:t>
      </w:r>
    </w:p>
    <w:p w:rsidRPr="00BA440C" w:rsidR="00860DE0" w:rsidP="008E7DE8" w:rsidRDefault="00860DE0" w14:paraId="70E7E138" w14:textId="77777777">
      <w:pPr>
        <w:suppressAutoHyphens/>
        <w:overflowPunct w:val="0"/>
        <w:autoSpaceDE w:val="0"/>
        <w:autoSpaceDN w:val="0"/>
        <w:adjustRightInd w:val="0"/>
        <w:ind w:left="284"/>
        <w:textAlignment w:val="baseline"/>
        <w:rPr>
          <w:bCs/>
          <w:iCs/>
        </w:rPr>
      </w:pPr>
    </w:p>
    <w:tbl>
      <w:tblPr>
        <w:tblW w:w="5000" w:type="pct"/>
        <w:tblLook w:val="04A0" w:firstRow="1" w:lastRow="0" w:firstColumn="1" w:lastColumn="0" w:noHBand="0" w:noVBand="1"/>
      </w:tblPr>
      <w:tblGrid>
        <w:gridCol w:w="1663"/>
        <w:gridCol w:w="7626"/>
      </w:tblGrid>
      <w:tr w:rsidRPr="00BA440C" w:rsidR="00D03AEC" w:rsidTr="00BA440C" w14:paraId="5FB02248" w14:textId="77777777">
        <w:tc>
          <w:tcPr>
            <w:tcW w:w="895" w:type="pct"/>
          </w:tcPr>
          <w:p w:rsidRPr="00BA440C" w:rsidR="00D03AEC" w:rsidP="008E7DE8" w:rsidRDefault="00D03AEC" w14:paraId="74072B9E" w14:textId="77777777">
            <w:pPr>
              <w:suppressAutoHyphens/>
              <w:overflowPunct w:val="0"/>
              <w:autoSpaceDE w:val="0"/>
              <w:autoSpaceDN w:val="0"/>
              <w:adjustRightInd w:val="0"/>
              <w:textAlignment w:val="baseline"/>
              <w:rPr>
                <w:i/>
              </w:rPr>
            </w:pPr>
            <w:r w:rsidRPr="00BA440C">
              <w:rPr>
                <w:b/>
                <w:i/>
              </w:rPr>
              <w:t>Kontakt</w:t>
            </w:r>
          </w:p>
        </w:tc>
        <w:tc>
          <w:tcPr>
            <w:tcW w:w="4105" w:type="pct"/>
          </w:tcPr>
          <w:p w:rsidRPr="00BA440C" w:rsidR="00D03AEC" w:rsidP="008E7DE8" w:rsidRDefault="00D03AEC" w14:paraId="522139B8" w14:textId="781982F3">
            <w:pPr>
              <w:suppressAutoHyphens/>
              <w:overflowPunct w:val="0"/>
              <w:autoSpaceDE w:val="0"/>
              <w:autoSpaceDN w:val="0"/>
              <w:adjustRightInd w:val="0"/>
              <w:textAlignment w:val="baseline"/>
              <w:rPr>
                <w:i/>
              </w:rPr>
            </w:pPr>
            <w:r w:rsidRPr="00BA440C">
              <w:rPr>
                <w:i/>
              </w:rPr>
              <w:t>Marco Manfroni</w:t>
            </w:r>
          </w:p>
        </w:tc>
      </w:tr>
      <w:tr w:rsidRPr="00BA440C" w:rsidR="00D03AEC" w:rsidTr="00BA440C" w14:paraId="608E1DA4" w14:textId="77777777">
        <w:tc>
          <w:tcPr>
            <w:tcW w:w="895" w:type="pct"/>
          </w:tcPr>
          <w:p w:rsidRPr="00BA440C" w:rsidR="00D03AEC" w:rsidP="008E7DE8" w:rsidRDefault="00D03AEC" w14:paraId="03200737" w14:textId="77777777">
            <w:pPr>
              <w:suppressAutoHyphens/>
              <w:overflowPunct w:val="0"/>
              <w:autoSpaceDE w:val="0"/>
              <w:autoSpaceDN w:val="0"/>
              <w:adjustRightInd w:val="0"/>
              <w:textAlignment w:val="baseline"/>
              <w:rPr>
                <w:i/>
              </w:rPr>
            </w:pPr>
            <w:r w:rsidRPr="00BA440C">
              <w:rPr>
                <w:i/>
              </w:rPr>
              <w:t>tel.</w:t>
            </w:r>
          </w:p>
        </w:tc>
        <w:tc>
          <w:tcPr>
            <w:tcW w:w="4105" w:type="pct"/>
          </w:tcPr>
          <w:p w:rsidRPr="00BA440C" w:rsidR="00D03AEC" w:rsidP="008E7DE8" w:rsidRDefault="00D03AEC" w14:paraId="7EC18166" w14:textId="03235857">
            <w:pPr>
              <w:suppressAutoHyphens/>
              <w:overflowPunct w:val="0"/>
              <w:autoSpaceDE w:val="0"/>
              <w:autoSpaceDN w:val="0"/>
              <w:adjustRightInd w:val="0"/>
              <w:textAlignment w:val="baseline"/>
              <w:rPr>
                <w:i/>
              </w:rPr>
            </w:pPr>
            <w:r w:rsidRPr="00BA440C">
              <w:rPr>
                <w:i/>
              </w:rPr>
              <w:t>+32 25469140</w:t>
            </w:r>
          </w:p>
        </w:tc>
      </w:tr>
      <w:tr w:rsidRPr="00BA440C" w:rsidR="00D03AEC" w:rsidTr="00BA440C" w14:paraId="18ACE9E6" w14:textId="77777777">
        <w:tc>
          <w:tcPr>
            <w:tcW w:w="895" w:type="pct"/>
          </w:tcPr>
          <w:p w:rsidRPr="00BA440C" w:rsidR="00D03AEC" w:rsidP="008E7DE8" w:rsidRDefault="00D03AEC" w14:paraId="47140999" w14:textId="77777777">
            <w:pPr>
              <w:suppressAutoHyphens/>
              <w:overflowPunct w:val="0"/>
              <w:autoSpaceDE w:val="0"/>
              <w:autoSpaceDN w:val="0"/>
              <w:adjustRightInd w:val="0"/>
              <w:textAlignment w:val="baseline"/>
              <w:rPr>
                <w:i/>
              </w:rPr>
            </w:pPr>
            <w:r w:rsidRPr="00BA440C">
              <w:rPr>
                <w:i/>
              </w:rPr>
              <w:t>e-mail</w:t>
            </w:r>
          </w:p>
        </w:tc>
        <w:tc>
          <w:tcPr>
            <w:tcW w:w="4105" w:type="pct"/>
          </w:tcPr>
          <w:p w:rsidRPr="00BA440C" w:rsidR="00D03AEC" w:rsidP="008E7DE8" w:rsidRDefault="00F220BF" w14:paraId="66C1176F" w14:textId="6F5AA9D0">
            <w:pPr>
              <w:suppressAutoHyphens/>
              <w:overflowPunct w:val="0"/>
              <w:autoSpaceDE w:val="0"/>
              <w:autoSpaceDN w:val="0"/>
              <w:adjustRightInd w:val="0"/>
              <w:textAlignment w:val="baseline"/>
              <w:rPr>
                <w:i/>
                <w:iCs/>
              </w:rPr>
            </w:pPr>
            <w:hyperlink w:history="1" r:id="rId46">
              <w:r w:rsidRPr="00BA440C" w:rsidR="006E14B4">
                <w:rPr>
                  <w:i/>
                  <w:color w:val="0000FF"/>
                  <w:u w:val="single"/>
                </w:rPr>
                <w:t>Marco.Manfroni@eesc.europa.eu</w:t>
              </w:r>
            </w:hyperlink>
          </w:p>
        </w:tc>
      </w:tr>
    </w:tbl>
    <w:p w:rsidRPr="00BA440C" w:rsidR="00D03AEC" w:rsidP="008E7DE8" w:rsidRDefault="00D03AEC" w14:paraId="20B99FD5" w14:textId="77777777">
      <w:pPr>
        <w:suppressAutoHyphens/>
        <w:jc w:val="left"/>
      </w:pPr>
      <w:r w:rsidRPr="00BA440C">
        <w:br w:type="page"/>
      </w:r>
    </w:p>
    <w:p w:rsidRPr="00B10907" w:rsidR="008413EF" w:rsidP="008E7DE8" w:rsidRDefault="00F220BF" w14:paraId="70DDD8A1" w14:textId="1D4BB03C">
      <w:pPr>
        <w:numPr>
          <w:ilvl w:val="0"/>
          <w:numId w:val="2"/>
        </w:numPr>
        <w:suppressAutoHyphens/>
        <w:overflowPunct w:val="0"/>
        <w:autoSpaceDE w:val="0"/>
        <w:autoSpaceDN w:val="0"/>
        <w:adjustRightInd w:val="0"/>
        <w:ind w:hanging="567"/>
        <w:textAlignment w:val="baseline"/>
        <w:rPr>
          <w:b/>
          <w:sz w:val="28"/>
          <w:szCs w:val="28"/>
        </w:rPr>
      </w:pPr>
      <w:hyperlink w:tgtFrame="_blank" w:history="1" r:id="rId47">
        <w:r w:rsidRPr="00B10907" w:rsidR="006E14B4">
          <w:rPr>
            <w:b/>
            <w:i/>
            <w:color w:val="0000FF"/>
            <w:sz w:val="28"/>
            <w:szCs w:val="28"/>
            <w:u w:val="single"/>
          </w:rPr>
          <w:t>Sektor usług w Unii Europejskiej</w:t>
        </w:r>
      </w:hyperlink>
    </w:p>
    <w:p w:rsidRPr="00BA440C" w:rsidR="008413EF" w:rsidP="008E7DE8" w:rsidRDefault="008413EF" w14:paraId="09CC9878" w14:textId="77777777">
      <w:pPr>
        <w:suppressAutoHyphens/>
        <w:overflowPunct w:val="0"/>
        <w:autoSpaceDE w:val="0"/>
        <w:autoSpaceDN w:val="0"/>
        <w:adjustRightInd w:val="0"/>
        <w:textAlignment w:val="baseline"/>
        <w:rPr>
          <w:b/>
        </w:rPr>
      </w:pPr>
    </w:p>
    <w:tbl>
      <w:tblPr>
        <w:tblW w:w="0" w:type="auto"/>
        <w:tblLook w:val="04A0" w:firstRow="1" w:lastRow="0" w:firstColumn="1" w:lastColumn="0" w:noHBand="0" w:noVBand="1"/>
      </w:tblPr>
      <w:tblGrid>
        <w:gridCol w:w="1701"/>
        <w:gridCol w:w="7479"/>
      </w:tblGrid>
      <w:tr w:rsidRPr="00BA440C" w:rsidR="008413EF" w:rsidTr="00713105" w14:paraId="7A748E72" w14:textId="77777777">
        <w:tc>
          <w:tcPr>
            <w:tcW w:w="1701" w:type="dxa"/>
          </w:tcPr>
          <w:p w:rsidRPr="00BA440C" w:rsidR="008413EF" w:rsidP="008E7DE8" w:rsidRDefault="008413EF" w14:paraId="0901F05D" w14:textId="77777777">
            <w:pPr>
              <w:tabs>
                <w:tab w:val="center" w:pos="284"/>
              </w:tabs>
              <w:suppressAutoHyphens/>
              <w:overflowPunct w:val="0"/>
              <w:autoSpaceDE w:val="0"/>
              <w:autoSpaceDN w:val="0"/>
              <w:adjustRightInd w:val="0"/>
              <w:ind w:left="266" w:hanging="266"/>
              <w:textAlignment w:val="baseline"/>
              <w:rPr>
                <w:b/>
              </w:rPr>
            </w:pPr>
            <w:r w:rsidRPr="00BA440C">
              <w:rPr>
                <w:b/>
              </w:rPr>
              <w:t>Sprawozdawca</w:t>
            </w:r>
          </w:p>
        </w:tc>
        <w:tc>
          <w:tcPr>
            <w:tcW w:w="7479" w:type="dxa"/>
          </w:tcPr>
          <w:p w:rsidRPr="00BA440C" w:rsidR="008413EF" w:rsidP="008E7DE8" w:rsidRDefault="008413EF" w14:paraId="2A6EDF2D" w14:textId="7BB4AB03">
            <w:pPr>
              <w:tabs>
                <w:tab w:val="center" w:pos="284"/>
              </w:tabs>
              <w:suppressAutoHyphens/>
              <w:overflowPunct w:val="0"/>
              <w:autoSpaceDE w:val="0"/>
              <w:autoSpaceDN w:val="0"/>
              <w:adjustRightInd w:val="0"/>
              <w:ind w:left="266" w:hanging="266"/>
              <w:textAlignment w:val="baseline"/>
            </w:pPr>
            <w:r w:rsidRPr="00BA440C">
              <w:t>Marcin NOWACKI (Grupa Pracodawców – PL)</w:t>
            </w:r>
          </w:p>
        </w:tc>
      </w:tr>
      <w:tr w:rsidRPr="00BA440C" w:rsidR="008413EF" w:rsidTr="00713105" w14:paraId="6A5323D9" w14:textId="77777777">
        <w:tc>
          <w:tcPr>
            <w:tcW w:w="1701" w:type="dxa"/>
            <w:vMerge w:val="restart"/>
          </w:tcPr>
          <w:p w:rsidRPr="00BA440C" w:rsidR="008413EF" w:rsidP="008E7DE8" w:rsidRDefault="008413EF" w14:paraId="037595AE" w14:textId="7E00B36E">
            <w:pPr>
              <w:tabs>
                <w:tab w:val="center" w:pos="284"/>
              </w:tabs>
              <w:suppressAutoHyphens/>
              <w:overflowPunct w:val="0"/>
              <w:autoSpaceDE w:val="0"/>
              <w:autoSpaceDN w:val="0"/>
              <w:adjustRightInd w:val="0"/>
              <w:ind w:left="266" w:hanging="266"/>
              <w:textAlignment w:val="baseline"/>
              <w:rPr>
                <w:b/>
              </w:rPr>
            </w:pPr>
            <w:r w:rsidRPr="00BA440C">
              <w:rPr>
                <w:b/>
              </w:rPr>
              <w:t>Dokumenty</w:t>
            </w:r>
          </w:p>
        </w:tc>
        <w:tc>
          <w:tcPr>
            <w:tcW w:w="7479" w:type="dxa"/>
          </w:tcPr>
          <w:p w:rsidRPr="00BA440C" w:rsidR="008413EF" w:rsidP="008E7DE8" w:rsidRDefault="008413EF" w14:paraId="50FBE37D" w14:textId="5D117B4A">
            <w:pPr>
              <w:suppressAutoHyphens/>
              <w:overflowPunct w:val="0"/>
              <w:autoSpaceDE w:val="0"/>
              <w:autoSpaceDN w:val="0"/>
              <w:adjustRightInd w:val="0"/>
              <w:textAlignment w:val="baseline"/>
            </w:pPr>
            <w:r w:rsidRPr="00BA440C">
              <w:t>Opinia rozpoznawcza na wniosek polskiej prezydencji Rady UE</w:t>
            </w:r>
          </w:p>
        </w:tc>
      </w:tr>
      <w:tr w:rsidRPr="00BA440C" w:rsidR="008413EF" w:rsidTr="00713105" w14:paraId="730528B8" w14:textId="77777777">
        <w:tc>
          <w:tcPr>
            <w:tcW w:w="1701" w:type="dxa"/>
            <w:vMerge/>
          </w:tcPr>
          <w:p w:rsidRPr="00BA440C" w:rsidR="008413EF" w:rsidP="008E7DE8" w:rsidRDefault="008413EF" w14:paraId="12933C30" w14:textId="77777777">
            <w:pPr>
              <w:tabs>
                <w:tab w:val="center" w:pos="284"/>
              </w:tabs>
              <w:suppressAutoHyphens/>
              <w:overflowPunct w:val="0"/>
              <w:autoSpaceDE w:val="0"/>
              <w:autoSpaceDN w:val="0"/>
              <w:adjustRightInd w:val="0"/>
              <w:ind w:left="266" w:hanging="266"/>
              <w:textAlignment w:val="baseline"/>
              <w:rPr>
                <w:b/>
              </w:rPr>
            </w:pPr>
          </w:p>
        </w:tc>
        <w:tc>
          <w:tcPr>
            <w:tcW w:w="7479" w:type="dxa"/>
          </w:tcPr>
          <w:p w:rsidRPr="00BA440C" w:rsidR="008413EF" w:rsidP="008E7DE8" w:rsidRDefault="008413EF" w14:paraId="3578B6AF" w14:textId="02B3A0A0">
            <w:pPr>
              <w:tabs>
                <w:tab w:val="center" w:pos="284"/>
              </w:tabs>
              <w:suppressAutoHyphens/>
              <w:overflowPunct w:val="0"/>
              <w:autoSpaceDE w:val="0"/>
              <w:autoSpaceDN w:val="0"/>
              <w:adjustRightInd w:val="0"/>
              <w:ind w:left="266" w:hanging="266"/>
              <w:textAlignment w:val="baseline"/>
            </w:pPr>
            <w:r w:rsidRPr="00BA440C">
              <w:t>EESC-2024-03619-00-00-AC</w:t>
            </w:r>
          </w:p>
        </w:tc>
      </w:tr>
    </w:tbl>
    <w:p w:rsidRPr="00BA440C" w:rsidR="008413EF" w:rsidP="008E7DE8" w:rsidRDefault="008413EF" w14:paraId="27F8102F" w14:textId="77777777">
      <w:pPr>
        <w:tabs>
          <w:tab w:val="center" w:pos="284"/>
        </w:tabs>
        <w:suppressAutoHyphens/>
        <w:overflowPunct w:val="0"/>
        <w:autoSpaceDE w:val="0"/>
        <w:autoSpaceDN w:val="0"/>
        <w:adjustRightInd w:val="0"/>
        <w:ind w:left="266" w:hanging="266"/>
        <w:textAlignment w:val="baseline"/>
      </w:pPr>
    </w:p>
    <w:p w:rsidRPr="00BA440C" w:rsidR="008413EF" w:rsidP="008E7DE8" w:rsidRDefault="008413EF" w14:paraId="72919FEE" w14:textId="77777777">
      <w:pPr>
        <w:tabs>
          <w:tab w:val="center" w:pos="284"/>
        </w:tabs>
        <w:suppressAutoHyphens/>
        <w:overflowPunct w:val="0"/>
        <w:autoSpaceDE w:val="0"/>
        <w:autoSpaceDN w:val="0"/>
        <w:adjustRightInd w:val="0"/>
        <w:ind w:left="266" w:hanging="266"/>
        <w:textAlignment w:val="baseline"/>
        <w:rPr>
          <w:b/>
        </w:rPr>
      </w:pPr>
      <w:r w:rsidRPr="00BA440C">
        <w:rPr>
          <w:b/>
        </w:rPr>
        <w:t>Główne punkty</w:t>
      </w:r>
    </w:p>
    <w:p w:rsidRPr="00BA440C" w:rsidR="008413EF" w:rsidP="008E7DE8" w:rsidRDefault="008413EF" w14:paraId="57B16AE4" w14:textId="77777777">
      <w:pPr>
        <w:tabs>
          <w:tab w:val="center" w:pos="284"/>
        </w:tabs>
        <w:suppressAutoHyphens/>
        <w:overflowPunct w:val="0"/>
        <w:autoSpaceDE w:val="0"/>
        <w:autoSpaceDN w:val="0"/>
        <w:adjustRightInd w:val="0"/>
        <w:ind w:left="266" w:hanging="266"/>
        <w:textAlignment w:val="baseline"/>
        <w:rPr>
          <w:b/>
        </w:rPr>
      </w:pPr>
    </w:p>
    <w:p w:rsidR="008413EF" w:rsidP="008E7DE8" w:rsidRDefault="008413EF" w14:paraId="4C5E895D" w14:textId="3380E0D5">
      <w:pPr>
        <w:suppressAutoHyphens/>
        <w:overflowPunct w:val="0"/>
        <w:autoSpaceDE w:val="0"/>
        <w:autoSpaceDN w:val="0"/>
        <w:adjustRightInd w:val="0"/>
        <w:textAlignment w:val="baseline"/>
      </w:pPr>
      <w:r w:rsidRPr="00BA440C">
        <w:t>EKES:</w:t>
      </w:r>
    </w:p>
    <w:p w:rsidRPr="00BA440C" w:rsidR="00C1081A" w:rsidP="008E7DE8" w:rsidRDefault="00C1081A" w14:paraId="723E1D93" w14:textId="77777777">
      <w:pPr>
        <w:suppressAutoHyphens/>
        <w:overflowPunct w:val="0"/>
        <w:autoSpaceDE w:val="0"/>
        <w:autoSpaceDN w:val="0"/>
        <w:adjustRightInd w:val="0"/>
        <w:textAlignment w:val="baseline"/>
        <w:rPr>
          <w:bCs/>
          <w:iCs/>
        </w:rPr>
      </w:pPr>
    </w:p>
    <w:p w:rsidRPr="00BA440C" w:rsidR="008413EF" w:rsidP="008E7DE8" w:rsidRDefault="008413EF" w14:paraId="67F46C33" w14:textId="77777777">
      <w:pPr>
        <w:numPr>
          <w:ilvl w:val="0"/>
          <w:numId w:val="32"/>
        </w:numPr>
        <w:suppressAutoHyphens/>
        <w:ind w:left="567" w:hanging="567"/>
        <w:rPr>
          <w:bCs/>
          <w:iCs/>
        </w:rPr>
      </w:pPr>
      <w:r w:rsidRPr="00BA440C">
        <w:t>Podkreśla potrzebę harmonizacji dyrektywy usługowej i dyrektywy w sprawie uznawania kwalifikacji zawodowych w celu sprostania problemowi rozdrobnienia w unijnym sektorze usług.</w:t>
      </w:r>
    </w:p>
    <w:p w:rsidRPr="00BA440C" w:rsidR="008413EF" w:rsidP="008E7DE8" w:rsidRDefault="008413EF" w14:paraId="232D5697" w14:textId="77777777">
      <w:pPr>
        <w:numPr>
          <w:ilvl w:val="0"/>
          <w:numId w:val="32"/>
        </w:numPr>
        <w:suppressAutoHyphens/>
        <w:ind w:left="567" w:hanging="567"/>
        <w:rPr>
          <w:bCs/>
          <w:iCs/>
        </w:rPr>
      </w:pPr>
      <w:r w:rsidRPr="00BA440C">
        <w:t>Uważa, że należy wprowadzić tzw. pakiet 100 zawodów w celu usunięcia najpoważniejszych barier regulacyjnych we wszystkich państwach członkowskich.</w:t>
      </w:r>
    </w:p>
    <w:p w:rsidRPr="00BA440C" w:rsidR="008413EF" w:rsidP="008E7DE8" w:rsidRDefault="008413EF" w14:paraId="783B2481" w14:textId="77777777">
      <w:pPr>
        <w:numPr>
          <w:ilvl w:val="0"/>
          <w:numId w:val="32"/>
        </w:numPr>
        <w:suppressAutoHyphens/>
        <w:ind w:left="567" w:hanging="567"/>
        <w:rPr>
          <w:bCs/>
          <w:iCs/>
        </w:rPr>
      </w:pPr>
      <w:r w:rsidRPr="00BA440C">
        <w:t>Sądzi, że cyfryzacja powinna odgrywać kluczową rolę w modernizacji procesów administracyjnych. Jeden cyfrowy portal oświadczeń oraz cyfryzacja formularzy A1 nie tylko zmniejszyłyby obciążenia administracyjne dla MŚP, lecz także usprawniłyby usługi transgraniczne, zapewniając zarówno przedsiębiorstwom, jak i konsumentom szybsze i łatwiej dostępne usługi.</w:t>
      </w:r>
    </w:p>
    <w:p w:rsidRPr="00BA440C" w:rsidR="008413EF" w:rsidP="008E7DE8" w:rsidRDefault="008413EF" w14:paraId="2AA10EB1" w14:textId="77777777">
      <w:pPr>
        <w:numPr>
          <w:ilvl w:val="0"/>
          <w:numId w:val="32"/>
        </w:numPr>
        <w:suppressAutoHyphens/>
        <w:ind w:left="567" w:hanging="567"/>
        <w:rPr>
          <w:bCs/>
          <w:iCs/>
        </w:rPr>
      </w:pPr>
      <w:r w:rsidRPr="00BA440C">
        <w:t>Uważa, że ukierunkowane reformy sektorowe są konieczne w celu usunięcia barier w takich branżach jak budownictwo, handel detaliczny i usługi finansowe.</w:t>
      </w:r>
    </w:p>
    <w:p w:rsidRPr="00BA440C" w:rsidR="008413EF" w:rsidP="008E7DE8" w:rsidRDefault="008413EF" w14:paraId="1EFD5C32" w14:textId="77777777">
      <w:pPr>
        <w:numPr>
          <w:ilvl w:val="0"/>
          <w:numId w:val="32"/>
        </w:numPr>
        <w:suppressAutoHyphens/>
        <w:ind w:left="567" w:hanging="567"/>
        <w:rPr>
          <w:bCs/>
          <w:iCs/>
        </w:rPr>
      </w:pPr>
      <w:r w:rsidRPr="00BA440C">
        <w:t>Zaznacza, że ochrona pracy, rokowania zbiorowe oraz układy zbiorowe nie mogą być postrzegane jako zbędne obciążenia.</w:t>
      </w:r>
    </w:p>
    <w:p w:rsidRPr="00BA440C" w:rsidR="008413EF" w:rsidP="008E7DE8" w:rsidRDefault="008413EF" w14:paraId="7AEFFC54" w14:textId="77777777">
      <w:pPr>
        <w:numPr>
          <w:ilvl w:val="0"/>
          <w:numId w:val="32"/>
        </w:numPr>
        <w:suppressAutoHyphens/>
        <w:ind w:left="567" w:hanging="567"/>
        <w:rPr>
          <w:bCs/>
          <w:iCs/>
        </w:rPr>
      </w:pPr>
      <w:r w:rsidRPr="00BA440C">
        <w:t>Podkreśla potrzebę gromadzenia danych na temat sektora usług, zwłaszcza odnośnie do MŚP, aby wspierać kształtowanie polityki i usuwać bariery na jednolitym rynku.</w:t>
      </w:r>
    </w:p>
    <w:p w:rsidRPr="00BA440C" w:rsidR="008413EF" w:rsidP="008E7DE8" w:rsidRDefault="008413EF" w14:paraId="74735E25" w14:textId="77777777">
      <w:pPr>
        <w:numPr>
          <w:ilvl w:val="0"/>
          <w:numId w:val="32"/>
        </w:numPr>
        <w:suppressAutoHyphens/>
        <w:ind w:left="567" w:hanging="567"/>
        <w:rPr>
          <w:bCs/>
          <w:iCs/>
        </w:rPr>
      </w:pPr>
      <w:r w:rsidRPr="00BA440C">
        <w:t xml:space="preserve">Sądzi, że do zaktualizowanej strategii jednolitego rynku należy włączyć kompleksowy sektorowy plan działania na rzecz integracji rynku usług. </w:t>
      </w:r>
    </w:p>
    <w:p w:rsidRPr="00BA440C" w:rsidR="008413EF" w:rsidP="008E7DE8" w:rsidRDefault="008413EF" w14:paraId="08EF99E5" w14:textId="77777777">
      <w:pPr>
        <w:suppressAutoHyphens/>
        <w:overflowPunct w:val="0"/>
        <w:autoSpaceDE w:val="0"/>
        <w:autoSpaceDN w:val="0"/>
        <w:adjustRightInd w:val="0"/>
        <w:textAlignment w:val="baseline"/>
        <w:rPr>
          <w:bCs/>
          <w:iCs/>
        </w:rPr>
      </w:pPr>
    </w:p>
    <w:tbl>
      <w:tblPr>
        <w:tblW w:w="0" w:type="auto"/>
        <w:tblLook w:val="04A0" w:firstRow="1" w:lastRow="0" w:firstColumn="1" w:lastColumn="0" w:noHBand="0" w:noVBand="1"/>
      </w:tblPr>
      <w:tblGrid>
        <w:gridCol w:w="1668"/>
        <w:gridCol w:w="7512"/>
      </w:tblGrid>
      <w:tr w:rsidRPr="00BA440C" w:rsidR="008413EF" w:rsidTr="00713105" w14:paraId="33B11F7A" w14:textId="77777777">
        <w:tc>
          <w:tcPr>
            <w:tcW w:w="1668" w:type="dxa"/>
          </w:tcPr>
          <w:p w:rsidRPr="00BA440C" w:rsidR="008413EF" w:rsidP="008E7DE8" w:rsidRDefault="008413EF" w14:paraId="6AEFA1C2" w14:textId="77777777">
            <w:pPr>
              <w:suppressAutoHyphens/>
              <w:overflowPunct w:val="0"/>
              <w:autoSpaceDE w:val="0"/>
              <w:autoSpaceDN w:val="0"/>
              <w:adjustRightInd w:val="0"/>
              <w:textAlignment w:val="baseline"/>
              <w:rPr>
                <w:i/>
              </w:rPr>
            </w:pPr>
            <w:r w:rsidRPr="00BA440C">
              <w:rPr>
                <w:b/>
                <w:i/>
              </w:rPr>
              <w:t>Kontakt</w:t>
            </w:r>
          </w:p>
        </w:tc>
        <w:tc>
          <w:tcPr>
            <w:tcW w:w="7512" w:type="dxa"/>
          </w:tcPr>
          <w:p w:rsidRPr="00BA440C" w:rsidR="008413EF" w:rsidP="008E7DE8" w:rsidRDefault="008413EF" w14:paraId="061D78D4" w14:textId="77777777">
            <w:pPr>
              <w:suppressAutoHyphens/>
              <w:overflowPunct w:val="0"/>
              <w:autoSpaceDE w:val="0"/>
              <w:autoSpaceDN w:val="0"/>
              <w:adjustRightInd w:val="0"/>
              <w:textAlignment w:val="baseline"/>
              <w:rPr>
                <w:i/>
              </w:rPr>
            </w:pPr>
            <w:r w:rsidRPr="00BA440C">
              <w:rPr>
                <w:i/>
              </w:rPr>
              <w:t>Annalisa Tessarolo</w:t>
            </w:r>
          </w:p>
        </w:tc>
      </w:tr>
      <w:tr w:rsidRPr="00BA440C" w:rsidR="008413EF" w:rsidTr="00713105" w14:paraId="40FDA69D" w14:textId="77777777">
        <w:tc>
          <w:tcPr>
            <w:tcW w:w="1668" w:type="dxa"/>
          </w:tcPr>
          <w:p w:rsidRPr="00BA440C" w:rsidR="008413EF" w:rsidP="008E7DE8" w:rsidRDefault="008413EF" w14:paraId="2D116995" w14:textId="77777777">
            <w:pPr>
              <w:suppressAutoHyphens/>
              <w:overflowPunct w:val="0"/>
              <w:autoSpaceDE w:val="0"/>
              <w:autoSpaceDN w:val="0"/>
              <w:adjustRightInd w:val="0"/>
              <w:textAlignment w:val="baseline"/>
              <w:rPr>
                <w:i/>
              </w:rPr>
            </w:pPr>
            <w:r w:rsidRPr="00BA440C">
              <w:rPr>
                <w:i/>
              </w:rPr>
              <w:t>tel.</w:t>
            </w:r>
          </w:p>
        </w:tc>
        <w:tc>
          <w:tcPr>
            <w:tcW w:w="7512" w:type="dxa"/>
          </w:tcPr>
          <w:p w:rsidRPr="00BA440C" w:rsidR="008413EF" w:rsidP="008E7DE8" w:rsidRDefault="008413EF" w14:paraId="100C3FF0" w14:textId="4D96929A">
            <w:pPr>
              <w:suppressAutoHyphens/>
              <w:overflowPunct w:val="0"/>
              <w:autoSpaceDE w:val="0"/>
              <w:autoSpaceDN w:val="0"/>
              <w:adjustRightInd w:val="0"/>
              <w:textAlignment w:val="baseline"/>
              <w:rPr>
                <w:i/>
              </w:rPr>
            </w:pPr>
            <w:r w:rsidRPr="00BA440C">
              <w:rPr>
                <w:i/>
              </w:rPr>
              <w:t>+32 2 54697432</w:t>
            </w:r>
          </w:p>
        </w:tc>
      </w:tr>
      <w:tr w:rsidRPr="00BA440C" w:rsidR="008413EF" w:rsidTr="00713105" w14:paraId="37302371" w14:textId="77777777">
        <w:tc>
          <w:tcPr>
            <w:tcW w:w="1668" w:type="dxa"/>
          </w:tcPr>
          <w:p w:rsidRPr="00BA440C" w:rsidR="008413EF" w:rsidP="008E7DE8" w:rsidRDefault="00AD28C9" w14:paraId="5DEDB95D" w14:textId="4025CC54">
            <w:pPr>
              <w:suppressAutoHyphens/>
              <w:overflowPunct w:val="0"/>
              <w:autoSpaceDE w:val="0"/>
              <w:autoSpaceDN w:val="0"/>
              <w:adjustRightInd w:val="0"/>
              <w:textAlignment w:val="baseline"/>
              <w:rPr>
                <w:i/>
              </w:rPr>
            </w:pPr>
            <w:r w:rsidRPr="00BA440C">
              <w:rPr>
                <w:i/>
              </w:rPr>
              <w:t>e-mail</w:t>
            </w:r>
          </w:p>
        </w:tc>
        <w:tc>
          <w:tcPr>
            <w:tcW w:w="7512" w:type="dxa"/>
          </w:tcPr>
          <w:p w:rsidRPr="00BA440C" w:rsidR="008413EF" w:rsidP="008E7DE8" w:rsidRDefault="00F220BF" w14:paraId="03ED06F2" w14:textId="4676909C">
            <w:pPr>
              <w:suppressAutoHyphens/>
              <w:overflowPunct w:val="0"/>
              <w:autoSpaceDE w:val="0"/>
              <w:autoSpaceDN w:val="0"/>
              <w:adjustRightInd w:val="0"/>
              <w:textAlignment w:val="baseline"/>
              <w:rPr>
                <w:i/>
              </w:rPr>
            </w:pPr>
            <w:hyperlink w:history="1" r:id="rId48">
              <w:r w:rsidRPr="00BA440C" w:rsidR="006E14B4">
                <w:rPr>
                  <w:rStyle w:val="Hyperlink"/>
                  <w:i/>
                </w:rPr>
                <w:t>Annalisa.Tessarolo@eesc.europa.eu</w:t>
              </w:r>
            </w:hyperlink>
          </w:p>
        </w:tc>
      </w:tr>
    </w:tbl>
    <w:p w:rsidRPr="00BA440C" w:rsidR="008413EF" w:rsidP="008E7DE8" w:rsidRDefault="008413EF" w14:paraId="617BC9EE" w14:textId="77777777">
      <w:pPr>
        <w:suppressAutoHyphens/>
        <w:jc w:val="left"/>
      </w:pPr>
    </w:p>
    <w:p w:rsidRPr="00BA440C" w:rsidR="008413EF" w:rsidP="008E7DE8" w:rsidRDefault="008413EF" w14:paraId="191624E6" w14:textId="77777777">
      <w:pPr>
        <w:suppressAutoHyphens/>
        <w:jc w:val="left"/>
      </w:pPr>
      <w:r w:rsidRPr="00BA440C">
        <w:br w:type="page"/>
      </w:r>
    </w:p>
    <w:p w:rsidRPr="00B10907" w:rsidR="001C0AB9" w:rsidP="008E7DE8" w:rsidRDefault="00F220BF" w14:paraId="42F00AC9" w14:textId="1255E321">
      <w:pPr>
        <w:numPr>
          <w:ilvl w:val="0"/>
          <w:numId w:val="2"/>
        </w:numPr>
        <w:suppressAutoHyphens/>
        <w:overflowPunct w:val="0"/>
        <w:autoSpaceDE w:val="0"/>
        <w:autoSpaceDN w:val="0"/>
        <w:adjustRightInd w:val="0"/>
        <w:ind w:hanging="567"/>
        <w:textAlignment w:val="baseline"/>
        <w:rPr>
          <w:sz w:val="28"/>
          <w:szCs w:val="28"/>
        </w:rPr>
      </w:pPr>
      <w:hyperlink w:tgtFrame="_blank" w:history="1" r:id="rId49">
        <w:r w:rsidRPr="00B10907" w:rsidR="006E14B4">
          <w:rPr>
            <w:b/>
            <w:i/>
            <w:color w:val="0000FF"/>
            <w:sz w:val="28"/>
            <w:szCs w:val="28"/>
            <w:u w:val="single"/>
          </w:rPr>
          <w:t>Przyszłość przemysłu Unii Europejskiej w obliczu wysokich cen energii i</w:t>
        </w:r>
        <w:r w:rsidR="00EA0B93">
          <w:rPr>
            <w:b/>
            <w:i/>
            <w:color w:val="0000FF"/>
            <w:sz w:val="28"/>
            <w:szCs w:val="28"/>
            <w:u w:val="single"/>
          </w:rPr>
          <w:t> </w:t>
        </w:r>
        <w:r w:rsidRPr="00B10907" w:rsidR="006E14B4">
          <w:rPr>
            <w:b/>
            <w:i/>
            <w:color w:val="0000FF"/>
            <w:sz w:val="28"/>
            <w:szCs w:val="28"/>
            <w:u w:val="single"/>
          </w:rPr>
          <w:t>kosztów transformacji</w:t>
        </w:r>
      </w:hyperlink>
    </w:p>
    <w:p w:rsidRPr="00BA440C" w:rsidR="001C0AB9" w:rsidP="008E7DE8" w:rsidRDefault="001C0AB9" w14:paraId="0DDA99F6" w14:textId="77777777">
      <w:pPr>
        <w:suppressAutoHyphens/>
        <w:overflowPunct w:val="0"/>
        <w:autoSpaceDE w:val="0"/>
        <w:autoSpaceDN w:val="0"/>
        <w:adjustRightInd w:val="0"/>
        <w:ind w:left="284"/>
        <w:textAlignment w:val="baseline"/>
        <w:rPr>
          <w:b/>
        </w:rPr>
      </w:pPr>
    </w:p>
    <w:tbl>
      <w:tblPr>
        <w:tblW w:w="4942" w:type="pct"/>
        <w:tblLook w:val="04A0" w:firstRow="1" w:lastRow="0" w:firstColumn="1" w:lastColumn="0" w:noHBand="0" w:noVBand="1"/>
      </w:tblPr>
      <w:tblGrid>
        <w:gridCol w:w="1667"/>
        <w:gridCol w:w="7514"/>
      </w:tblGrid>
      <w:tr w:rsidRPr="00BA440C" w:rsidR="001C0AB9" w:rsidTr="00713105" w14:paraId="302E5F77" w14:textId="77777777">
        <w:tc>
          <w:tcPr>
            <w:tcW w:w="908" w:type="pct"/>
          </w:tcPr>
          <w:p w:rsidRPr="00BA440C" w:rsidR="001C0AB9" w:rsidP="008E7DE8" w:rsidRDefault="001C0AB9" w14:paraId="16513D26" w14:textId="77777777">
            <w:pPr>
              <w:tabs>
                <w:tab w:val="center" w:pos="284"/>
              </w:tabs>
              <w:suppressAutoHyphens/>
              <w:overflowPunct w:val="0"/>
              <w:autoSpaceDE w:val="0"/>
              <w:autoSpaceDN w:val="0"/>
              <w:adjustRightInd w:val="0"/>
              <w:ind w:left="266" w:hanging="266"/>
              <w:textAlignment w:val="baseline"/>
              <w:rPr>
                <w:b/>
              </w:rPr>
            </w:pPr>
            <w:r w:rsidRPr="00BA440C">
              <w:rPr>
                <w:b/>
              </w:rPr>
              <w:t>Sprawozdawca</w:t>
            </w:r>
          </w:p>
        </w:tc>
        <w:tc>
          <w:tcPr>
            <w:tcW w:w="4092" w:type="pct"/>
          </w:tcPr>
          <w:p w:rsidRPr="00BA440C" w:rsidR="001C0AB9" w:rsidP="008E7DE8" w:rsidRDefault="001C0AB9" w14:paraId="45A398EC" w14:textId="18D9B476">
            <w:pPr>
              <w:tabs>
                <w:tab w:val="center" w:pos="284"/>
              </w:tabs>
              <w:suppressAutoHyphens/>
              <w:overflowPunct w:val="0"/>
              <w:autoSpaceDE w:val="0"/>
              <w:autoSpaceDN w:val="0"/>
              <w:adjustRightInd w:val="0"/>
              <w:ind w:left="266" w:hanging="266"/>
              <w:textAlignment w:val="baseline"/>
            </w:pPr>
            <w:r w:rsidRPr="00BA440C">
              <w:t>Andrea MONE (Grupa Pracowników – IT)</w:t>
            </w:r>
          </w:p>
        </w:tc>
      </w:tr>
      <w:tr w:rsidRPr="00BA440C" w:rsidR="001C0AB9" w:rsidTr="00713105" w14:paraId="49E0B6DD" w14:textId="77777777">
        <w:tc>
          <w:tcPr>
            <w:tcW w:w="908" w:type="pct"/>
            <w:vMerge w:val="restart"/>
          </w:tcPr>
          <w:p w:rsidRPr="00BA440C" w:rsidR="001C0AB9" w:rsidP="008E7DE8" w:rsidRDefault="001C0AB9" w14:paraId="2351E607" w14:textId="2483074C">
            <w:pPr>
              <w:tabs>
                <w:tab w:val="center" w:pos="284"/>
              </w:tabs>
              <w:suppressAutoHyphens/>
              <w:overflowPunct w:val="0"/>
              <w:autoSpaceDE w:val="0"/>
              <w:autoSpaceDN w:val="0"/>
              <w:adjustRightInd w:val="0"/>
              <w:ind w:left="266" w:hanging="266"/>
              <w:textAlignment w:val="baseline"/>
              <w:rPr>
                <w:b/>
              </w:rPr>
            </w:pPr>
            <w:r w:rsidRPr="00BA440C">
              <w:rPr>
                <w:b/>
              </w:rPr>
              <w:t>Dokumenty</w:t>
            </w:r>
          </w:p>
        </w:tc>
        <w:tc>
          <w:tcPr>
            <w:tcW w:w="4092" w:type="pct"/>
          </w:tcPr>
          <w:p w:rsidRPr="00BA440C" w:rsidR="001C0AB9" w:rsidP="008E7DE8" w:rsidRDefault="001C0AB9" w14:paraId="17F26A32" w14:textId="51BBB0EC">
            <w:pPr>
              <w:tabs>
                <w:tab w:val="center" w:pos="284"/>
              </w:tabs>
              <w:suppressAutoHyphens/>
              <w:overflowPunct w:val="0"/>
              <w:autoSpaceDE w:val="0"/>
              <w:autoSpaceDN w:val="0"/>
              <w:adjustRightInd w:val="0"/>
              <w:ind w:left="266" w:right="-387" w:hanging="266"/>
              <w:textAlignment w:val="baseline"/>
            </w:pPr>
            <w:r w:rsidRPr="00BA440C">
              <w:t>Opinia rozpoznawcza na wniosek polskiej prezydencji Rady UE</w:t>
            </w:r>
          </w:p>
        </w:tc>
      </w:tr>
      <w:tr w:rsidRPr="00BA440C" w:rsidR="001C0AB9" w:rsidTr="00713105" w14:paraId="21E65686" w14:textId="77777777">
        <w:tc>
          <w:tcPr>
            <w:tcW w:w="908" w:type="pct"/>
            <w:vMerge/>
          </w:tcPr>
          <w:p w:rsidRPr="00BA440C" w:rsidR="001C0AB9" w:rsidP="008E7DE8" w:rsidRDefault="001C0AB9" w14:paraId="4CD406B0" w14:textId="77777777">
            <w:pPr>
              <w:tabs>
                <w:tab w:val="center" w:pos="284"/>
              </w:tabs>
              <w:suppressAutoHyphens/>
              <w:overflowPunct w:val="0"/>
              <w:autoSpaceDE w:val="0"/>
              <w:autoSpaceDN w:val="0"/>
              <w:adjustRightInd w:val="0"/>
              <w:ind w:left="266" w:hanging="266"/>
              <w:textAlignment w:val="baseline"/>
              <w:rPr>
                <w:b/>
              </w:rPr>
            </w:pPr>
          </w:p>
        </w:tc>
        <w:tc>
          <w:tcPr>
            <w:tcW w:w="4092" w:type="pct"/>
          </w:tcPr>
          <w:p w:rsidRPr="00BA440C" w:rsidR="001C0AB9" w:rsidP="008E7DE8" w:rsidRDefault="001C0AB9" w14:paraId="7D1175EF" w14:textId="77777777">
            <w:pPr>
              <w:tabs>
                <w:tab w:val="center" w:pos="284"/>
              </w:tabs>
              <w:suppressAutoHyphens/>
              <w:overflowPunct w:val="0"/>
              <w:autoSpaceDE w:val="0"/>
              <w:autoSpaceDN w:val="0"/>
              <w:adjustRightInd w:val="0"/>
              <w:ind w:left="266" w:hanging="266"/>
              <w:textAlignment w:val="baseline"/>
            </w:pPr>
            <w:r w:rsidRPr="00BA440C">
              <w:t>EESC-2024-03583-00-00-AC</w:t>
            </w:r>
          </w:p>
        </w:tc>
      </w:tr>
    </w:tbl>
    <w:p w:rsidRPr="00BA440C" w:rsidR="001C0AB9" w:rsidP="008E7DE8" w:rsidRDefault="001C0AB9" w14:paraId="1C922088" w14:textId="77777777">
      <w:pPr>
        <w:tabs>
          <w:tab w:val="center" w:pos="284"/>
        </w:tabs>
        <w:suppressAutoHyphens/>
        <w:overflowPunct w:val="0"/>
        <w:autoSpaceDE w:val="0"/>
        <w:autoSpaceDN w:val="0"/>
        <w:adjustRightInd w:val="0"/>
        <w:ind w:left="266" w:hanging="266"/>
        <w:textAlignment w:val="baseline"/>
      </w:pPr>
    </w:p>
    <w:p w:rsidRPr="00BA440C" w:rsidR="001C0AB9" w:rsidP="008E7DE8" w:rsidRDefault="001C0AB9" w14:paraId="2CF6D0AF" w14:textId="77777777">
      <w:pPr>
        <w:tabs>
          <w:tab w:val="center" w:pos="284"/>
        </w:tabs>
        <w:suppressAutoHyphens/>
        <w:overflowPunct w:val="0"/>
        <w:autoSpaceDE w:val="0"/>
        <w:autoSpaceDN w:val="0"/>
        <w:adjustRightInd w:val="0"/>
        <w:ind w:left="266" w:hanging="266"/>
        <w:textAlignment w:val="baseline"/>
        <w:rPr>
          <w:b/>
        </w:rPr>
      </w:pPr>
      <w:r w:rsidRPr="00BA440C">
        <w:rPr>
          <w:b/>
        </w:rPr>
        <w:t>Główne punkty</w:t>
      </w:r>
    </w:p>
    <w:p w:rsidRPr="00BA440C" w:rsidR="001C0AB9" w:rsidP="008E7DE8" w:rsidRDefault="001C0AB9" w14:paraId="13B083CC" w14:textId="77777777">
      <w:pPr>
        <w:tabs>
          <w:tab w:val="center" w:pos="284"/>
        </w:tabs>
        <w:suppressAutoHyphens/>
        <w:overflowPunct w:val="0"/>
        <w:autoSpaceDE w:val="0"/>
        <w:autoSpaceDN w:val="0"/>
        <w:adjustRightInd w:val="0"/>
        <w:ind w:left="266" w:hanging="266"/>
        <w:textAlignment w:val="baseline"/>
        <w:rPr>
          <w:b/>
        </w:rPr>
      </w:pPr>
    </w:p>
    <w:p w:rsidR="00402449" w:rsidP="008E7DE8" w:rsidRDefault="001C0AB9" w14:paraId="7AD5576E" w14:textId="1AE8A0F6">
      <w:pPr>
        <w:suppressAutoHyphens/>
        <w:overflowPunct w:val="0"/>
        <w:autoSpaceDE w:val="0"/>
        <w:autoSpaceDN w:val="0"/>
        <w:adjustRightInd w:val="0"/>
        <w:textAlignment w:val="baseline"/>
      </w:pPr>
      <w:r w:rsidRPr="00BA440C">
        <w:t>EKES:</w:t>
      </w:r>
    </w:p>
    <w:p w:rsidRPr="00BA440C" w:rsidR="00C1081A" w:rsidP="008E7DE8" w:rsidRDefault="00C1081A" w14:paraId="6973B5F0" w14:textId="77777777">
      <w:pPr>
        <w:suppressAutoHyphens/>
        <w:overflowPunct w:val="0"/>
        <w:autoSpaceDE w:val="0"/>
        <w:autoSpaceDN w:val="0"/>
        <w:adjustRightInd w:val="0"/>
        <w:textAlignment w:val="baseline"/>
        <w:rPr>
          <w:bCs/>
          <w:iCs/>
        </w:rPr>
      </w:pPr>
    </w:p>
    <w:p w:rsidRPr="00BA440C" w:rsidR="001C0AB9" w:rsidP="008E7DE8" w:rsidRDefault="001C0AB9" w14:paraId="6A2D8F3D" w14:textId="77777777">
      <w:pPr>
        <w:numPr>
          <w:ilvl w:val="0"/>
          <w:numId w:val="33"/>
        </w:numPr>
        <w:tabs>
          <w:tab w:val="clear" w:pos="720"/>
          <w:tab w:val="num" w:pos="567"/>
        </w:tabs>
        <w:suppressAutoHyphens/>
        <w:ind w:left="567" w:hanging="567"/>
      </w:pPr>
      <w:r w:rsidRPr="00BA440C">
        <w:t xml:space="preserve">Wzywa do podjęcia pilnych działań w celu ustanowienia </w:t>
      </w:r>
      <w:r w:rsidRPr="00BA440C">
        <w:rPr>
          <w:b/>
        </w:rPr>
        <w:t>kompleksowej strategii przemysłowej UE</w:t>
      </w:r>
      <w:r w:rsidRPr="00BA440C">
        <w:t xml:space="preserve"> zapewniającej </w:t>
      </w:r>
      <w:r w:rsidRPr="00BA440C">
        <w:rPr>
          <w:b/>
        </w:rPr>
        <w:t>konkurencyjność przemysłu i wysoką jakość miejsc pracy</w:t>
      </w:r>
      <w:r w:rsidRPr="00BA440C">
        <w:t xml:space="preserve">, zgodnej z celami Zielonego Ładu poprzez </w:t>
      </w:r>
      <w:r w:rsidRPr="00BA440C">
        <w:rPr>
          <w:b/>
        </w:rPr>
        <w:t>ścisłe</w:t>
      </w:r>
      <w:r w:rsidRPr="00BA440C">
        <w:t xml:space="preserve"> monitorowanie i ukierunkowane dostosowania.</w:t>
      </w:r>
    </w:p>
    <w:p w:rsidRPr="00BA440C" w:rsidR="001C0AB9" w:rsidP="008E7DE8" w:rsidRDefault="001C0AB9" w14:paraId="70DD072D" w14:textId="192C30C4">
      <w:pPr>
        <w:numPr>
          <w:ilvl w:val="0"/>
          <w:numId w:val="33"/>
        </w:numPr>
        <w:tabs>
          <w:tab w:val="clear" w:pos="720"/>
          <w:tab w:val="num" w:pos="567"/>
        </w:tabs>
        <w:suppressAutoHyphens/>
        <w:ind w:left="567" w:hanging="567"/>
      </w:pPr>
      <w:r w:rsidRPr="00BA440C">
        <w:t xml:space="preserve">Wzywa do poprawy </w:t>
      </w:r>
      <w:r w:rsidRPr="00BA440C">
        <w:rPr>
          <w:b/>
        </w:rPr>
        <w:t>otoczenia gospodarczego i regulacyjnego</w:t>
      </w:r>
      <w:r w:rsidRPr="00BA440C">
        <w:t xml:space="preserve"> w celu sprostania </w:t>
      </w:r>
      <w:r w:rsidRPr="00BA440C">
        <w:rPr>
          <w:b/>
        </w:rPr>
        <w:t>wyzwaniom związanym ze strukturalną konkurencyjnością Europy</w:t>
      </w:r>
      <w:r w:rsidRPr="00BA440C">
        <w:t>, w tym wysokim kosztom energii i</w:t>
      </w:r>
      <w:r w:rsidR="00EA0B93">
        <w:t> </w:t>
      </w:r>
      <w:r w:rsidRPr="00BA440C">
        <w:t>surowców, początkowym inwestycjom i obciążeniom związanym z przestrzeganiem przepisów w związku z zieloną transformacją, nieodpowiedniej infrastrukturze, utrzymującym się niedoborom wykwalifikowanej siły roboczej, ograniczonemu finansowaniu i popytowi wewnętrznemu oraz niepełnemu jednolitemu rynkowi.</w:t>
      </w:r>
    </w:p>
    <w:p w:rsidRPr="00BA440C" w:rsidR="001C0AB9" w:rsidP="008E7DE8" w:rsidRDefault="001C0AB9" w14:paraId="6A693864" w14:textId="203CF816">
      <w:pPr>
        <w:numPr>
          <w:ilvl w:val="0"/>
          <w:numId w:val="33"/>
        </w:numPr>
        <w:tabs>
          <w:tab w:val="clear" w:pos="720"/>
          <w:tab w:val="num" w:pos="567"/>
        </w:tabs>
        <w:suppressAutoHyphens/>
        <w:ind w:left="567" w:hanging="567"/>
      </w:pPr>
      <w:r w:rsidRPr="00BA440C">
        <w:t xml:space="preserve">Opowiada się za </w:t>
      </w:r>
      <w:r w:rsidRPr="00BA440C">
        <w:rPr>
          <w:b/>
        </w:rPr>
        <w:t>polityką konkurencyjności</w:t>
      </w:r>
      <w:r w:rsidRPr="00BA440C">
        <w:t xml:space="preserve">, w której priorytetowo traktuje się </w:t>
      </w:r>
      <w:r w:rsidRPr="00BA440C">
        <w:rPr>
          <w:b/>
        </w:rPr>
        <w:t>inwestycje i</w:t>
      </w:r>
      <w:r w:rsidR="00EA0B93">
        <w:t> </w:t>
      </w:r>
      <w:r w:rsidRPr="00BA440C">
        <w:rPr>
          <w:b/>
        </w:rPr>
        <w:t>innowacje</w:t>
      </w:r>
      <w:r w:rsidRPr="00BA440C">
        <w:t xml:space="preserve">, przy jednoczesnym promowaniu </w:t>
      </w:r>
      <w:r w:rsidRPr="00BA440C">
        <w:rPr>
          <w:b/>
        </w:rPr>
        <w:t>włączenia społecznego i terytorialnego</w:t>
      </w:r>
      <w:r w:rsidRPr="00BA440C">
        <w:t xml:space="preserve"> oraz zapewnieniu, aby </w:t>
      </w:r>
      <w:r w:rsidRPr="00BA440C">
        <w:rPr>
          <w:b/>
        </w:rPr>
        <w:t>dialog społeczny i rokowania zbiorowe</w:t>
      </w:r>
      <w:r w:rsidRPr="00BA440C">
        <w:t xml:space="preserve"> kierowały zmianami strukturalnymi w sprawiedliwy sposób.</w:t>
      </w:r>
    </w:p>
    <w:p w:rsidRPr="00BA440C" w:rsidR="001C0AB9" w:rsidP="008E7DE8" w:rsidRDefault="001C0AB9" w14:paraId="61A535A9" w14:textId="77777777">
      <w:pPr>
        <w:numPr>
          <w:ilvl w:val="0"/>
          <w:numId w:val="33"/>
        </w:numPr>
        <w:tabs>
          <w:tab w:val="clear" w:pos="720"/>
          <w:tab w:val="num" w:pos="567"/>
        </w:tabs>
        <w:suppressAutoHyphens/>
        <w:ind w:left="567" w:hanging="567"/>
      </w:pPr>
      <w:r w:rsidRPr="00BA440C">
        <w:t xml:space="preserve">Wzywa do opracowania </w:t>
      </w:r>
      <w:r w:rsidRPr="00BA440C">
        <w:rPr>
          <w:b/>
        </w:rPr>
        <w:t>sektorowej strategii przemysłowej</w:t>
      </w:r>
      <w:r w:rsidRPr="00BA440C">
        <w:t xml:space="preserve">, która zwiększy </w:t>
      </w:r>
      <w:r w:rsidRPr="00BA440C">
        <w:rPr>
          <w:b/>
        </w:rPr>
        <w:t>spójność polityki, zoptymalizuje przydział zasobów, ustanowi specjalny europejski fundusz inwestycyjny</w:t>
      </w:r>
      <w:r w:rsidRPr="00BA440C">
        <w:t xml:space="preserve"> na rzecz priorytetów strategicznych oraz uwzględni </w:t>
      </w:r>
      <w:r w:rsidRPr="00BA440C">
        <w:rPr>
          <w:b/>
        </w:rPr>
        <w:t>ponadnarodowy wymiar</w:t>
      </w:r>
      <w:r w:rsidRPr="00BA440C">
        <w:t xml:space="preserve"> kluczowych obszarów, takich jak </w:t>
      </w:r>
      <w:r w:rsidRPr="00BA440C">
        <w:rPr>
          <w:b/>
        </w:rPr>
        <w:t>energia, badania naukowe i innowacje oraz umiejętności</w:t>
      </w:r>
      <w:r w:rsidRPr="00BA440C">
        <w:t>.</w:t>
      </w:r>
    </w:p>
    <w:p w:rsidRPr="00BA440C" w:rsidR="001C0AB9" w:rsidP="008E7DE8" w:rsidRDefault="001C0AB9" w14:paraId="1A086C5D" w14:textId="77777777">
      <w:pPr>
        <w:numPr>
          <w:ilvl w:val="0"/>
          <w:numId w:val="33"/>
        </w:numPr>
        <w:tabs>
          <w:tab w:val="clear" w:pos="720"/>
          <w:tab w:val="num" w:pos="567"/>
        </w:tabs>
        <w:suppressAutoHyphens/>
        <w:ind w:left="567" w:hanging="567"/>
      </w:pPr>
      <w:r w:rsidRPr="00BA440C">
        <w:rPr>
          <w:b/>
        </w:rPr>
        <w:t>Podkreśla potrzebę odpornej polityki handlowej UE</w:t>
      </w:r>
      <w:r w:rsidRPr="00BA440C">
        <w:t xml:space="preserve">, która łagodzi ryzyko </w:t>
      </w:r>
      <w:r w:rsidRPr="00BA440C">
        <w:rPr>
          <w:b/>
        </w:rPr>
        <w:t>asymetrycznej dekarbonizacji, globalnej nadwyżki mocy produkcyjnych i nasilających się napięć handlowych</w:t>
      </w:r>
      <w:r w:rsidRPr="00BA440C">
        <w:t xml:space="preserve">, a jednocześnie </w:t>
      </w:r>
      <w:r w:rsidRPr="00BA440C">
        <w:rPr>
          <w:b/>
        </w:rPr>
        <w:t>wzmacnia autonomię w zakresie surowców krytycznych</w:t>
      </w:r>
      <w:r w:rsidRPr="00BA440C">
        <w:t xml:space="preserve"> w celu ochrony przyszłości przemysłu europejskiego.</w:t>
      </w:r>
    </w:p>
    <w:p w:rsidRPr="00BA440C" w:rsidR="001C0AB9" w:rsidP="008E7DE8" w:rsidRDefault="001C0AB9" w14:paraId="5031E8B4" w14:textId="77777777">
      <w:pPr>
        <w:suppressAutoHyphens/>
        <w:overflowPunct w:val="0"/>
        <w:autoSpaceDE w:val="0"/>
        <w:autoSpaceDN w:val="0"/>
        <w:adjustRightInd w:val="0"/>
        <w:ind w:left="709"/>
        <w:textAlignment w:val="baseline"/>
      </w:pPr>
    </w:p>
    <w:tbl>
      <w:tblPr>
        <w:tblW w:w="4942" w:type="pct"/>
        <w:tblLook w:val="04A0" w:firstRow="1" w:lastRow="0" w:firstColumn="1" w:lastColumn="0" w:noHBand="0" w:noVBand="1"/>
      </w:tblPr>
      <w:tblGrid>
        <w:gridCol w:w="1667"/>
        <w:gridCol w:w="7514"/>
      </w:tblGrid>
      <w:tr w:rsidRPr="00BA440C" w:rsidR="001C0AB9" w:rsidTr="00713105" w14:paraId="255B6976" w14:textId="77777777">
        <w:tc>
          <w:tcPr>
            <w:tcW w:w="908" w:type="pct"/>
          </w:tcPr>
          <w:p w:rsidRPr="00BA440C" w:rsidR="001C0AB9" w:rsidP="008E7DE8" w:rsidRDefault="001C0AB9" w14:paraId="25B90EB8" w14:textId="77777777">
            <w:pPr>
              <w:suppressAutoHyphens/>
              <w:overflowPunct w:val="0"/>
              <w:autoSpaceDE w:val="0"/>
              <w:autoSpaceDN w:val="0"/>
              <w:adjustRightInd w:val="0"/>
              <w:textAlignment w:val="baseline"/>
              <w:rPr>
                <w:i/>
              </w:rPr>
            </w:pPr>
            <w:r w:rsidRPr="00BA440C">
              <w:rPr>
                <w:b/>
                <w:i/>
              </w:rPr>
              <w:t>Kontakt</w:t>
            </w:r>
          </w:p>
        </w:tc>
        <w:tc>
          <w:tcPr>
            <w:tcW w:w="4092" w:type="pct"/>
          </w:tcPr>
          <w:p w:rsidRPr="00BA440C" w:rsidR="001C0AB9" w:rsidP="008E7DE8" w:rsidRDefault="001C0AB9" w14:paraId="47766DB4" w14:textId="77777777">
            <w:pPr>
              <w:suppressAutoHyphens/>
              <w:overflowPunct w:val="0"/>
              <w:autoSpaceDE w:val="0"/>
              <w:autoSpaceDN w:val="0"/>
              <w:adjustRightInd w:val="0"/>
              <w:textAlignment w:val="baseline"/>
              <w:rPr>
                <w:i/>
              </w:rPr>
            </w:pPr>
            <w:r w:rsidRPr="00BA440C">
              <w:rPr>
                <w:i/>
              </w:rPr>
              <w:t>Silvia Staffa</w:t>
            </w:r>
          </w:p>
        </w:tc>
      </w:tr>
      <w:tr w:rsidRPr="00BA440C" w:rsidR="001C0AB9" w:rsidTr="00713105" w14:paraId="7C1DD93F" w14:textId="77777777">
        <w:tc>
          <w:tcPr>
            <w:tcW w:w="908" w:type="pct"/>
          </w:tcPr>
          <w:p w:rsidRPr="00BA440C" w:rsidR="001C0AB9" w:rsidP="008E7DE8" w:rsidRDefault="001C0AB9" w14:paraId="3EE989E4" w14:textId="77777777">
            <w:pPr>
              <w:suppressAutoHyphens/>
              <w:overflowPunct w:val="0"/>
              <w:autoSpaceDE w:val="0"/>
              <w:autoSpaceDN w:val="0"/>
              <w:adjustRightInd w:val="0"/>
              <w:textAlignment w:val="baseline"/>
              <w:rPr>
                <w:i/>
              </w:rPr>
            </w:pPr>
            <w:r w:rsidRPr="00BA440C">
              <w:rPr>
                <w:i/>
              </w:rPr>
              <w:t>tel.</w:t>
            </w:r>
          </w:p>
        </w:tc>
        <w:tc>
          <w:tcPr>
            <w:tcW w:w="4092" w:type="pct"/>
          </w:tcPr>
          <w:p w:rsidRPr="00BA440C" w:rsidR="001C0AB9" w:rsidP="008E7DE8" w:rsidRDefault="001C0AB9" w14:paraId="205BC83F" w14:textId="77777777">
            <w:pPr>
              <w:suppressAutoHyphens/>
              <w:overflowPunct w:val="0"/>
              <w:autoSpaceDE w:val="0"/>
              <w:autoSpaceDN w:val="0"/>
              <w:adjustRightInd w:val="0"/>
              <w:textAlignment w:val="baseline"/>
              <w:rPr>
                <w:i/>
              </w:rPr>
            </w:pPr>
            <w:r w:rsidRPr="00BA440C">
              <w:rPr>
                <w:i/>
              </w:rPr>
              <w:t>+32 25468378</w:t>
            </w:r>
          </w:p>
        </w:tc>
      </w:tr>
      <w:tr w:rsidRPr="00BA440C" w:rsidR="001C0AB9" w:rsidTr="00713105" w14:paraId="0E5D8409" w14:textId="77777777">
        <w:tc>
          <w:tcPr>
            <w:tcW w:w="908" w:type="pct"/>
          </w:tcPr>
          <w:p w:rsidRPr="00BA440C" w:rsidR="001C0AB9" w:rsidP="008E7DE8" w:rsidRDefault="00402449" w14:paraId="20244737" w14:textId="72ECCE95">
            <w:pPr>
              <w:suppressAutoHyphens/>
              <w:overflowPunct w:val="0"/>
              <w:autoSpaceDE w:val="0"/>
              <w:autoSpaceDN w:val="0"/>
              <w:adjustRightInd w:val="0"/>
              <w:textAlignment w:val="baseline"/>
              <w:rPr>
                <w:i/>
              </w:rPr>
            </w:pPr>
            <w:r w:rsidRPr="00BA440C">
              <w:rPr>
                <w:i/>
              </w:rPr>
              <w:t>e-mail</w:t>
            </w:r>
          </w:p>
        </w:tc>
        <w:tc>
          <w:tcPr>
            <w:tcW w:w="4092" w:type="pct"/>
          </w:tcPr>
          <w:p w:rsidRPr="00BA440C" w:rsidR="001C0AB9" w:rsidP="008E7DE8" w:rsidRDefault="00F220BF" w14:paraId="2ACCD03D" w14:textId="77777777">
            <w:pPr>
              <w:suppressAutoHyphens/>
              <w:overflowPunct w:val="0"/>
              <w:autoSpaceDE w:val="0"/>
              <w:autoSpaceDN w:val="0"/>
              <w:adjustRightInd w:val="0"/>
              <w:textAlignment w:val="baseline"/>
              <w:rPr>
                <w:i/>
              </w:rPr>
            </w:pPr>
            <w:hyperlink w:history="1" r:id="rId50">
              <w:r w:rsidRPr="00BA440C" w:rsidR="006E14B4">
                <w:rPr>
                  <w:i/>
                  <w:color w:val="0000FF"/>
                  <w:u w:val="single"/>
                </w:rPr>
                <w:t>Silvia.Staffa@eesc.europa.eu</w:t>
              </w:r>
            </w:hyperlink>
          </w:p>
        </w:tc>
      </w:tr>
    </w:tbl>
    <w:p w:rsidRPr="00BA440C" w:rsidR="00A124AE" w:rsidP="008E7DE8" w:rsidRDefault="00A124AE" w14:paraId="5E11233F" w14:textId="77777777">
      <w:pPr>
        <w:suppressAutoHyphens/>
        <w:jc w:val="left"/>
      </w:pPr>
    </w:p>
    <w:p w:rsidRPr="00BA440C" w:rsidR="00A124AE" w:rsidP="008E7DE8" w:rsidRDefault="00A124AE" w14:paraId="64128581" w14:textId="77777777">
      <w:pPr>
        <w:suppressAutoHyphens/>
        <w:jc w:val="left"/>
      </w:pPr>
      <w:r w:rsidRPr="00BA440C">
        <w:br w:type="page"/>
      </w:r>
    </w:p>
    <w:p w:rsidRPr="00B10907" w:rsidR="00A124AE" w:rsidP="008E7DE8" w:rsidRDefault="00F220BF" w14:paraId="6CCC3167" w14:textId="151451A1">
      <w:pPr>
        <w:numPr>
          <w:ilvl w:val="0"/>
          <w:numId w:val="2"/>
        </w:numPr>
        <w:suppressAutoHyphens/>
        <w:overflowPunct w:val="0"/>
        <w:autoSpaceDE w:val="0"/>
        <w:autoSpaceDN w:val="0"/>
        <w:adjustRightInd w:val="0"/>
        <w:ind w:hanging="567"/>
        <w:textAlignment w:val="baseline"/>
        <w:rPr>
          <w:b/>
          <w:bCs/>
          <w:i/>
          <w:iCs/>
          <w:sz w:val="28"/>
          <w:szCs w:val="28"/>
          <w:u w:val="single"/>
        </w:rPr>
      </w:pPr>
      <w:hyperlink w:history="1" r:id="rId51">
        <w:r w:rsidRPr="00B10907" w:rsidR="006E14B4">
          <w:rPr>
            <w:b/>
            <w:i/>
            <w:color w:val="0000FF"/>
            <w:sz w:val="28"/>
            <w:szCs w:val="28"/>
            <w:u w:val="single"/>
          </w:rPr>
          <w:t>Turystyka w UE: zrównoważony rozwój siłą napędową długofalowej konkurencyjności</w:t>
        </w:r>
      </w:hyperlink>
    </w:p>
    <w:p w:rsidRPr="00BA440C" w:rsidR="00A124AE" w:rsidP="008E7DE8" w:rsidRDefault="00A124AE" w14:paraId="70901E46" w14:textId="77777777">
      <w:pPr>
        <w:tabs>
          <w:tab w:val="center" w:pos="284"/>
        </w:tabs>
        <w:suppressAutoHyphen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2025"/>
        <w:gridCol w:w="7264"/>
      </w:tblGrid>
      <w:tr w:rsidRPr="00BA440C" w:rsidR="00A124AE" w:rsidTr="00713105" w14:paraId="5244175C" w14:textId="77777777">
        <w:trPr>
          <w:trHeight w:val="322"/>
        </w:trPr>
        <w:tc>
          <w:tcPr>
            <w:tcW w:w="1090" w:type="pct"/>
          </w:tcPr>
          <w:p w:rsidRPr="00BA440C" w:rsidR="00A124AE" w:rsidP="008E7DE8" w:rsidRDefault="00A124AE" w14:paraId="1416C2D0" w14:textId="3DD291D0">
            <w:pPr>
              <w:tabs>
                <w:tab w:val="center" w:pos="284"/>
              </w:tabs>
              <w:suppressAutoHyphens/>
              <w:overflowPunct w:val="0"/>
              <w:autoSpaceDE w:val="0"/>
              <w:autoSpaceDN w:val="0"/>
              <w:adjustRightInd w:val="0"/>
              <w:ind w:left="266" w:hanging="266"/>
              <w:textAlignment w:val="baseline"/>
              <w:rPr>
                <w:b/>
              </w:rPr>
            </w:pPr>
            <w:r w:rsidRPr="00BA440C">
              <w:rPr>
                <w:b/>
              </w:rPr>
              <w:t>Sprawozdawczyni</w:t>
            </w:r>
          </w:p>
        </w:tc>
        <w:tc>
          <w:tcPr>
            <w:tcW w:w="3910" w:type="pct"/>
          </w:tcPr>
          <w:p w:rsidRPr="00BA440C" w:rsidR="00A124AE" w:rsidP="008E7DE8" w:rsidRDefault="00A124AE" w14:paraId="483C743D" w14:textId="478C4635">
            <w:pPr>
              <w:tabs>
                <w:tab w:val="center" w:pos="0"/>
              </w:tabs>
              <w:suppressAutoHyphens/>
              <w:overflowPunct w:val="0"/>
              <w:autoSpaceDE w:val="0"/>
              <w:autoSpaceDN w:val="0"/>
              <w:adjustRightInd w:val="0"/>
              <w:ind w:left="266" w:hanging="266"/>
              <w:textAlignment w:val="baseline"/>
            </w:pPr>
            <w:r w:rsidRPr="00BA440C">
              <w:t>Isabel YGLESIAS (Grupa Pracodawców – Hiszpania)</w:t>
            </w:r>
          </w:p>
        </w:tc>
      </w:tr>
      <w:tr w:rsidRPr="00BA440C" w:rsidR="00A124AE" w:rsidTr="00713105" w14:paraId="466A9A73" w14:textId="77777777">
        <w:tc>
          <w:tcPr>
            <w:tcW w:w="1090" w:type="pct"/>
          </w:tcPr>
          <w:p w:rsidRPr="00BA440C" w:rsidR="00A124AE" w:rsidP="008E7DE8" w:rsidRDefault="00A124AE" w14:paraId="1940FE0A" w14:textId="7BF07B25">
            <w:pPr>
              <w:tabs>
                <w:tab w:val="center" w:pos="284"/>
              </w:tabs>
              <w:suppressAutoHyphens/>
              <w:overflowPunct w:val="0"/>
              <w:autoSpaceDE w:val="0"/>
              <w:autoSpaceDN w:val="0"/>
              <w:adjustRightInd w:val="0"/>
              <w:ind w:left="266" w:hanging="266"/>
              <w:textAlignment w:val="baseline"/>
              <w:rPr>
                <w:b/>
              </w:rPr>
            </w:pPr>
            <w:r w:rsidRPr="00BA440C">
              <w:rPr>
                <w:b/>
              </w:rPr>
              <w:t>Dokumenty</w:t>
            </w:r>
          </w:p>
        </w:tc>
        <w:tc>
          <w:tcPr>
            <w:tcW w:w="3910" w:type="pct"/>
          </w:tcPr>
          <w:p w:rsidRPr="00BA440C" w:rsidR="00A124AE" w:rsidP="008E7DE8" w:rsidRDefault="00A124AE" w14:paraId="6D5E8266" w14:textId="709DE05D">
            <w:pPr>
              <w:tabs>
                <w:tab w:val="center" w:pos="284"/>
              </w:tabs>
              <w:suppressAutoHyphens/>
              <w:overflowPunct w:val="0"/>
              <w:autoSpaceDE w:val="0"/>
              <w:autoSpaceDN w:val="0"/>
              <w:adjustRightInd w:val="0"/>
              <w:ind w:left="266" w:hanging="266"/>
              <w:textAlignment w:val="baseline"/>
            </w:pPr>
            <w:r w:rsidRPr="00BA440C">
              <w:t>Opinia z inicjatywy własnej</w:t>
            </w:r>
          </w:p>
          <w:p w:rsidRPr="00BA440C" w:rsidR="00A124AE" w:rsidP="008E7DE8" w:rsidRDefault="00A124AE" w14:paraId="5DBD68CE" w14:textId="77777777">
            <w:pPr>
              <w:tabs>
                <w:tab w:val="center" w:pos="284"/>
              </w:tabs>
              <w:suppressAutoHyphens/>
              <w:overflowPunct w:val="0"/>
              <w:autoSpaceDE w:val="0"/>
              <w:autoSpaceDN w:val="0"/>
              <w:adjustRightInd w:val="0"/>
              <w:ind w:left="266" w:hanging="266"/>
              <w:textAlignment w:val="baseline"/>
            </w:pPr>
            <w:r w:rsidRPr="00BA440C">
              <w:t>EESC-2024-00656-00-00-AC</w:t>
            </w:r>
          </w:p>
        </w:tc>
      </w:tr>
    </w:tbl>
    <w:p w:rsidRPr="00BA440C" w:rsidR="00A124AE" w:rsidP="008E7DE8" w:rsidRDefault="00A124AE" w14:paraId="02B41209" w14:textId="77777777">
      <w:pPr>
        <w:tabs>
          <w:tab w:val="center" w:pos="284"/>
        </w:tabs>
        <w:suppressAutoHyphens/>
        <w:overflowPunct w:val="0"/>
        <w:autoSpaceDE w:val="0"/>
        <w:autoSpaceDN w:val="0"/>
        <w:adjustRightInd w:val="0"/>
        <w:ind w:left="266" w:hanging="266"/>
        <w:textAlignment w:val="baseline"/>
        <w:rPr>
          <w:b/>
        </w:rPr>
      </w:pPr>
    </w:p>
    <w:p w:rsidRPr="00BA440C" w:rsidR="00A124AE" w:rsidP="008E7DE8" w:rsidRDefault="00A124AE" w14:paraId="51249818" w14:textId="77777777">
      <w:pPr>
        <w:tabs>
          <w:tab w:val="center" w:pos="284"/>
        </w:tabs>
        <w:suppressAutoHyphens/>
        <w:overflowPunct w:val="0"/>
        <w:autoSpaceDE w:val="0"/>
        <w:autoSpaceDN w:val="0"/>
        <w:adjustRightInd w:val="0"/>
        <w:ind w:left="266" w:hanging="266"/>
        <w:textAlignment w:val="baseline"/>
        <w:rPr>
          <w:b/>
        </w:rPr>
      </w:pPr>
      <w:r w:rsidRPr="00BA440C">
        <w:rPr>
          <w:b/>
        </w:rPr>
        <w:t>Główne punkty</w:t>
      </w:r>
    </w:p>
    <w:p w:rsidRPr="00BA440C" w:rsidR="00A124AE" w:rsidP="008E7DE8" w:rsidRDefault="00A124AE" w14:paraId="03EBACBD" w14:textId="77777777">
      <w:pPr>
        <w:tabs>
          <w:tab w:val="center" w:pos="284"/>
        </w:tabs>
        <w:suppressAutoHyphens/>
        <w:overflowPunct w:val="0"/>
        <w:autoSpaceDE w:val="0"/>
        <w:autoSpaceDN w:val="0"/>
        <w:adjustRightInd w:val="0"/>
        <w:ind w:left="266" w:hanging="266"/>
        <w:textAlignment w:val="baseline"/>
        <w:rPr>
          <w:bCs/>
        </w:rPr>
      </w:pPr>
    </w:p>
    <w:p w:rsidR="00A124AE" w:rsidP="008E7DE8" w:rsidRDefault="00A124AE" w14:paraId="73E68146" w14:textId="5A045190">
      <w:pPr>
        <w:suppressAutoHyphens/>
        <w:overflowPunct w:val="0"/>
        <w:autoSpaceDE w:val="0"/>
        <w:autoSpaceDN w:val="0"/>
        <w:adjustRightInd w:val="0"/>
        <w:textAlignment w:val="baseline"/>
      </w:pPr>
      <w:r w:rsidRPr="00BA440C">
        <w:t>EKES:</w:t>
      </w:r>
    </w:p>
    <w:p w:rsidRPr="00BA440C" w:rsidR="00C1081A" w:rsidP="008E7DE8" w:rsidRDefault="00C1081A" w14:paraId="72B9EA49" w14:textId="77777777">
      <w:pPr>
        <w:suppressAutoHyphens/>
        <w:overflowPunct w:val="0"/>
        <w:autoSpaceDE w:val="0"/>
        <w:autoSpaceDN w:val="0"/>
        <w:adjustRightInd w:val="0"/>
        <w:textAlignment w:val="baseline"/>
        <w:rPr>
          <w:bCs/>
          <w:iCs/>
        </w:rPr>
      </w:pPr>
    </w:p>
    <w:p w:rsidRPr="00BA440C" w:rsidR="00A124AE" w:rsidP="008E7DE8" w:rsidRDefault="00A124AE" w14:paraId="6CFA5AB5" w14:textId="62FB2B08">
      <w:pPr>
        <w:numPr>
          <w:ilvl w:val="0"/>
          <w:numId w:val="34"/>
        </w:numPr>
        <w:suppressAutoHyphens/>
        <w:ind w:left="567" w:hanging="567"/>
        <w:rPr>
          <w:bCs/>
          <w:iCs/>
        </w:rPr>
      </w:pPr>
      <w:r w:rsidRPr="00BA440C">
        <w:t xml:space="preserve">Podkreśla, że należy </w:t>
      </w:r>
      <w:r w:rsidRPr="00BA440C">
        <w:rPr>
          <w:b/>
        </w:rPr>
        <w:t>przyspieszyć przejście na turystykę zrównoważoną</w:t>
      </w:r>
      <w:r w:rsidRPr="00BA440C">
        <w:t xml:space="preserve"> oraz </w:t>
      </w:r>
      <w:r w:rsidRPr="00BA440C">
        <w:rPr>
          <w:b/>
        </w:rPr>
        <w:t>wdrożyć strategie na rzecz turystyki regeneracyjnej</w:t>
      </w:r>
      <w:r w:rsidRPr="00BA440C">
        <w:t>, aby regiony wysoce wyspecjalizowane w</w:t>
      </w:r>
      <w:r w:rsidR="00EA0B93">
        <w:t> </w:t>
      </w:r>
      <w:r w:rsidRPr="00BA440C">
        <w:t>turystyce mogły w pełni przyczynić się do ożywienia konkurencyjności UE za pomocą turystyki. Turystyka regeneracyjna sięga dalej niż turystyka zrównoważona: obejmuje praktyki mające na celu odbudowę i wzmocnienie kapitału naturalnego, społecznego i gospodarczego, a</w:t>
      </w:r>
      <w:r w:rsidR="00EA0B93">
        <w:t> </w:t>
      </w:r>
      <w:r w:rsidRPr="00BA440C">
        <w:t>także wywołuje pozytywne i trwałe skutki w ośrodkach turystycznych oraz zamieszkujących je społecznościach.</w:t>
      </w:r>
    </w:p>
    <w:p w:rsidRPr="00BA440C" w:rsidR="00A124AE" w:rsidP="008E7DE8" w:rsidRDefault="00A124AE" w14:paraId="5B76C178" w14:textId="5B200674">
      <w:pPr>
        <w:numPr>
          <w:ilvl w:val="0"/>
          <w:numId w:val="34"/>
        </w:numPr>
        <w:suppressAutoHyphens/>
        <w:ind w:left="567" w:hanging="567"/>
        <w:rPr>
          <w:bCs/>
          <w:iCs/>
        </w:rPr>
      </w:pPr>
      <w:r w:rsidRPr="00BA440C">
        <w:t xml:space="preserve">Zaleca, aby </w:t>
      </w:r>
      <w:r w:rsidRPr="00BA440C">
        <w:rPr>
          <w:b/>
        </w:rPr>
        <w:t>nowy europejski cykl legislacyjny sprzyjał polityce turystycznej uwzględniającej cele w zakresie aktywnej odbudowy</w:t>
      </w:r>
      <w:r w:rsidRPr="00BA440C">
        <w:t xml:space="preserve"> oraz wzajemne powiązanie wszystkich elementów ośrodka turystycznego: ekosystemów, społeczności, gospodarki lokalnej i</w:t>
      </w:r>
      <w:r w:rsidR="00EA0B93">
        <w:t> </w:t>
      </w:r>
      <w:r w:rsidRPr="00BA440C">
        <w:t>odwiedzających.</w:t>
      </w:r>
    </w:p>
    <w:p w:rsidRPr="00BA440C" w:rsidR="00A124AE" w:rsidP="008E7DE8" w:rsidRDefault="00A124AE" w14:paraId="75E91233" w14:textId="42C81D6F">
      <w:pPr>
        <w:numPr>
          <w:ilvl w:val="0"/>
          <w:numId w:val="34"/>
        </w:numPr>
        <w:suppressAutoHyphens/>
        <w:ind w:left="567" w:hanging="567"/>
        <w:rPr>
          <w:bCs/>
          <w:iCs/>
        </w:rPr>
      </w:pPr>
      <w:r w:rsidRPr="00BA440C">
        <w:t xml:space="preserve">Proponuje opracowanie </w:t>
      </w:r>
      <w:r w:rsidRPr="00BA440C">
        <w:rPr>
          <w:b/>
        </w:rPr>
        <w:t>jasnych wytycznych oraz konkretnych działań z myślą o</w:t>
      </w:r>
      <w:r w:rsidR="00EA0B93">
        <w:t> </w:t>
      </w:r>
      <w:r w:rsidRPr="00BA440C">
        <w:rPr>
          <w:b/>
        </w:rPr>
        <w:t>przyspieszeniu przejścia</w:t>
      </w:r>
      <w:r w:rsidRPr="00BA440C">
        <w:t xml:space="preserve"> na model turystyki ukierunkowany na aktywną odbudowę i wartość społeczną w ramach strategii na rzecz zrównoważonej turystyki. Ta strategia powinna iść w</w:t>
      </w:r>
      <w:r w:rsidR="00EA0B93">
        <w:t> </w:t>
      </w:r>
      <w:r w:rsidRPr="00BA440C">
        <w:t xml:space="preserve">parze z odpowiednimi </w:t>
      </w:r>
      <w:r w:rsidRPr="00BA440C">
        <w:rPr>
          <w:b/>
        </w:rPr>
        <w:t>programami finansowania i badań</w:t>
      </w:r>
      <w:r w:rsidRPr="00BA440C">
        <w:t xml:space="preserve"> oraz z </w:t>
      </w:r>
      <w:r w:rsidRPr="00BA440C">
        <w:rPr>
          <w:b/>
        </w:rPr>
        <w:t>polityką społeczną i</w:t>
      </w:r>
      <w:r w:rsidR="00EA0B93">
        <w:t> </w:t>
      </w:r>
      <w:r w:rsidRPr="00BA440C">
        <w:rPr>
          <w:b/>
        </w:rPr>
        <w:t>szkoleniową</w:t>
      </w:r>
      <w:r w:rsidRPr="00BA440C">
        <w:t>, które zagwarantują jej skuteczną realizację.</w:t>
      </w:r>
    </w:p>
    <w:p w:rsidRPr="00BA440C" w:rsidR="00A124AE" w:rsidP="008E7DE8" w:rsidRDefault="00A124AE" w14:paraId="096C272A" w14:textId="6CD84EA5">
      <w:pPr>
        <w:numPr>
          <w:ilvl w:val="0"/>
          <w:numId w:val="34"/>
        </w:numPr>
        <w:suppressAutoHyphens/>
        <w:ind w:left="567" w:hanging="567"/>
        <w:rPr>
          <w:bCs/>
          <w:iCs/>
        </w:rPr>
      </w:pPr>
      <w:r w:rsidRPr="00BA440C">
        <w:t xml:space="preserve">Zwraca uwagę, że </w:t>
      </w:r>
      <w:r w:rsidRPr="00BA440C">
        <w:rPr>
          <w:b/>
        </w:rPr>
        <w:t>szkolenie i doskonalenie zawodowe pracowników w dziedzinie zrównoważonego rozwoju oraz gospodarki o obiegu zamkniętym</w:t>
      </w:r>
      <w:r w:rsidRPr="00BA440C">
        <w:t xml:space="preserve"> mają zasadnicze znaczenie dla podniesienia jakości zatrudnienia oraz dla przyciągnięcia i zatrzymania talentów niezbędnych do przejścia na turystykę regeneracyjną. By zrealizować te cele, konieczne będzie zadbanie o lepszy i większy współudział konsumentów. Kluczem do zapewnienia szerszego i</w:t>
      </w:r>
      <w:r w:rsidR="00EA0B93">
        <w:t> </w:t>
      </w:r>
      <w:r w:rsidRPr="00BA440C">
        <w:t xml:space="preserve">skuteczniejszego udziału jest połączenie zachęt gospodarczych, strategii </w:t>
      </w:r>
      <w:r w:rsidRPr="00BA440C">
        <w:rPr>
          <w:b/>
        </w:rPr>
        <w:t>przeciwdziałania sezonowości</w:t>
      </w:r>
      <w:r w:rsidRPr="00BA440C">
        <w:t xml:space="preserve"> ruchu turystycznego i dostępnych modeli.</w:t>
      </w:r>
    </w:p>
    <w:p w:rsidRPr="00BA440C" w:rsidR="00A124AE" w:rsidP="008E7DE8" w:rsidRDefault="00A124AE" w14:paraId="15273AD2" w14:textId="77777777">
      <w:pPr>
        <w:suppressAutoHyphens/>
        <w:ind w:left="567"/>
        <w:rPr>
          <w:bCs/>
          <w:iCs/>
        </w:rPr>
      </w:pPr>
    </w:p>
    <w:tbl>
      <w:tblPr>
        <w:tblW w:w="5000" w:type="pct"/>
        <w:tblLook w:val="04A0" w:firstRow="1" w:lastRow="0" w:firstColumn="1" w:lastColumn="0" w:noHBand="0" w:noVBand="1"/>
      </w:tblPr>
      <w:tblGrid>
        <w:gridCol w:w="1663"/>
        <w:gridCol w:w="7626"/>
      </w:tblGrid>
      <w:tr w:rsidRPr="00BA440C" w:rsidR="00A124AE" w:rsidTr="00713105" w14:paraId="7E775A80" w14:textId="77777777">
        <w:tc>
          <w:tcPr>
            <w:tcW w:w="895" w:type="pct"/>
          </w:tcPr>
          <w:p w:rsidRPr="00BA440C" w:rsidR="00A124AE" w:rsidP="008E7DE8" w:rsidRDefault="00A124AE" w14:paraId="1D08457C" w14:textId="77777777">
            <w:pPr>
              <w:suppressAutoHyphens/>
              <w:overflowPunct w:val="0"/>
              <w:autoSpaceDE w:val="0"/>
              <w:autoSpaceDN w:val="0"/>
              <w:adjustRightInd w:val="0"/>
              <w:textAlignment w:val="baseline"/>
              <w:rPr>
                <w:i/>
              </w:rPr>
            </w:pPr>
            <w:r w:rsidRPr="00BA440C">
              <w:rPr>
                <w:b/>
                <w:i/>
              </w:rPr>
              <w:t>Kontakt</w:t>
            </w:r>
          </w:p>
        </w:tc>
        <w:tc>
          <w:tcPr>
            <w:tcW w:w="4105" w:type="pct"/>
          </w:tcPr>
          <w:p w:rsidRPr="00BA440C" w:rsidR="00A124AE" w:rsidP="008E7DE8" w:rsidRDefault="00A124AE" w14:paraId="615E6C8D" w14:textId="36E1239F">
            <w:pPr>
              <w:suppressAutoHyphens/>
              <w:overflowPunct w:val="0"/>
              <w:autoSpaceDE w:val="0"/>
              <w:autoSpaceDN w:val="0"/>
              <w:adjustRightInd w:val="0"/>
              <w:textAlignment w:val="baseline"/>
              <w:rPr>
                <w:i/>
              </w:rPr>
            </w:pPr>
            <w:r w:rsidRPr="00BA440C">
              <w:rPr>
                <w:i/>
              </w:rPr>
              <w:t>Silvia Staffa</w:t>
            </w:r>
          </w:p>
        </w:tc>
      </w:tr>
      <w:tr w:rsidRPr="00BA440C" w:rsidR="00A124AE" w:rsidTr="00713105" w14:paraId="2BB8DEB2" w14:textId="77777777">
        <w:tc>
          <w:tcPr>
            <w:tcW w:w="895" w:type="pct"/>
          </w:tcPr>
          <w:p w:rsidRPr="00BA440C" w:rsidR="00A124AE" w:rsidP="008E7DE8" w:rsidRDefault="00A124AE" w14:paraId="43D7D550" w14:textId="77777777">
            <w:pPr>
              <w:suppressAutoHyphens/>
              <w:overflowPunct w:val="0"/>
              <w:autoSpaceDE w:val="0"/>
              <w:autoSpaceDN w:val="0"/>
              <w:adjustRightInd w:val="0"/>
              <w:textAlignment w:val="baseline"/>
              <w:rPr>
                <w:i/>
              </w:rPr>
            </w:pPr>
            <w:r w:rsidRPr="00BA440C">
              <w:rPr>
                <w:i/>
              </w:rPr>
              <w:t>tel.</w:t>
            </w:r>
          </w:p>
        </w:tc>
        <w:tc>
          <w:tcPr>
            <w:tcW w:w="4105" w:type="pct"/>
          </w:tcPr>
          <w:p w:rsidRPr="00BA440C" w:rsidR="00A124AE" w:rsidP="008E7DE8" w:rsidRDefault="00A124AE" w14:paraId="4A1F3ECB" w14:textId="4482010E">
            <w:pPr>
              <w:suppressAutoHyphens/>
              <w:overflowPunct w:val="0"/>
              <w:autoSpaceDE w:val="0"/>
              <w:autoSpaceDN w:val="0"/>
              <w:adjustRightInd w:val="0"/>
              <w:textAlignment w:val="baseline"/>
              <w:rPr>
                <w:i/>
              </w:rPr>
            </w:pPr>
            <w:r w:rsidRPr="00BA440C">
              <w:rPr>
                <w:i/>
              </w:rPr>
              <w:t>+32 25468378</w:t>
            </w:r>
          </w:p>
        </w:tc>
      </w:tr>
      <w:tr w:rsidRPr="00BA440C" w:rsidR="00A124AE" w:rsidTr="00713105" w14:paraId="2D7C493D" w14:textId="77777777">
        <w:tc>
          <w:tcPr>
            <w:tcW w:w="895" w:type="pct"/>
          </w:tcPr>
          <w:p w:rsidRPr="00BA440C" w:rsidR="00A124AE" w:rsidP="008E7DE8" w:rsidRDefault="00A124AE" w14:paraId="6E440A2F" w14:textId="77777777">
            <w:pPr>
              <w:suppressAutoHyphens/>
              <w:overflowPunct w:val="0"/>
              <w:autoSpaceDE w:val="0"/>
              <w:autoSpaceDN w:val="0"/>
              <w:adjustRightInd w:val="0"/>
              <w:textAlignment w:val="baseline"/>
              <w:rPr>
                <w:i/>
              </w:rPr>
            </w:pPr>
            <w:r w:rsidRPr="00BA440C">
              <w:rPr>
                <w:i/>
              </w:rPr>
              <w:t>e-mail</w:t>
            </w:r>
          </w:p>
        </w:tc>
        <w:tc>
          <w:tcPr>
            <w:tcW w:w="4105" w:type="pct"/>
          </w:tcPr>
          <w:p w:rsidRPr="00BA440C" w:rsidR="00A124AE" w:rsidP="008E7DE8" w:rsidRDefault="00F220BF" w14:paraId="43479DC4" w14:textId="7E7AB516">
            <w:pPr>
              <w:suppressAutoHyphens/>
              <w:overflowPunct w:val="0"/>
              <w:autoSpaceDE w:val="0"/>
              <w:autoSpaceDN w:val="0"/>
              <w:adjustRightInd w:val="0"/>
              <w:textAlignment w:val="baseline"/>
              <w:rPr>
                <w:i/>
                <w:iCs/>
              </w:rPr>
            </w:pPr>
            <w:hyperlink w:history="1" r:id="rId52">
              <w:r w:rsidRPr="00BA440C" w:rsidR="006E14B4">
                <w:rPr>
                  <w:i/>
                  <w:color w:val="0000FF"/>
                  <w:u w:val="single"/>
                </w:rPr>
                <w:t>Silvia.Staffa@eesc.europa.eu</w:t>
              </w:r>
            </w:hyperlink>
          </w:p>
        </w:tc>
      </w:tr>
    </w:tbl>
    <w:p w:rsidRPr="00BA440C" w:rsidR="00A124AE" w:rsidP="008E7DE8" w:rsidRDefault="00A124AE" w14:paraId="521215C5" w14:textId="77777777">
      <w:pPr>
        <w:suppressAutoHyphens/>
        <w:jc w:val="left"/>
      </w:pPr>
    </w:p>
    <w:p w:rsidRPr="00BA440C" w:rsidR="00A124AE" w:rsidP="008E7DE8" w:rsidRDefault="00A124AE" w14:paraId="3A56B00C" w14:textId="77777777">
      <w:pPr>
        <w:suppressAutoHyphens/>
        <w:jc w:val="left"/>
      </w:pPr>
      <w:r w:rsidRPr="00BA440C">
        <w:br w:type="page"/>
      </w:r>
    </w:p>
    <w:p w:rsidRPr="00BA440C" w:rsidR="004D7AC0" w:rsidP="008E7DE8" w:rsidRDefault="004D7AC0" w14:paraId="4982DE1F" w14:textId="77777777">
      <w:pPr>
        <w:pStyle w:val="Heading1"/>
        <w:suppressAutoHyphens/>
        <w:rPr>
          <w:b/>
        </w:rPr>
      </w:pPr>
      <w:bookmarkStart w:name="_Toc189059540" w:id="22"/>
      <w:bookmarkStart w:name="_Toc70322234" w:id="23"/>
      <w:bookmarkStart w:name="_Toc75527084" w:id="24"/>
      <w:bookmarkStart w:name="_Toc192768382" w:id="25"/>
      <w:bookmarkEnd w:id="22"/>
      <w:r w:rsidRPr="00BA440C">
        <w:rPr>
          <w:b/>
        </w:rPr>
        <w:lastRenderedPageBreak/>
        <w:t>ROLNICTWO, ROZWÓJ WSI I ŚRODOWISKO NATURALNE</w:t>
      </w:r>
      <w:bookmarkEnd w:id="23"/>
      <w:bookmarkEnd w:id="24"/>
      <w:bookmarkEnd w:id="25"/>
    </w:p>
    <w:p w:rsidRPr="00BA440C" w:rsidR="007F5784" w:rsidP="008E7DE8" w:rsidRDefault="007F5784" w14:paraId="715DB2BD" w14:textId="6CA1C4B2">
      <w:pPr>
        <w:suppressAutoHyphens/>
        <w:jc w:val="left"/>
      </w:pPr>
    </w:p>
    <w:p w:rsidRPr="00B10907" w:rsidR="00DE2D96" w:rsidP="008E7DE8" w:rsidRDefault="00F220BF" w14:paraId="642C5AC4" w14:textId="7DDD8912">
      <w:pPr>
        <w:numPr>
          <w:ilvl w:val="0"/>
          <w:numId w:val="10"/>
        </w:numPr>
        <w:suppressAutoHyphens/>
        <w:overflowPunct w:val="0"/>
        <w:autoSpaceDE w:val="0"/>
        <w:autoSpaceDN w:val="0"/>
        <w:adjustRightInd w:val="0"/>
        <w:ind w:left="567" w:hanging="567"/>
        <w:textAlignment w:val="baseline"/>
        <w:rPr>
          <w:b/>
          <w:bCs/>
          <w:i/>
          <w:iCs/>
          <w:sz w:val="28"/>
          <w:szCs w:val="28"/>
          <w:u w:val="single"/>
        </w:rPr>
      </w:pPr>
      <w:hyperlink w:history="1" r:id="rId53">
        <w:r w:rsidRPr="00B10907" w:rsidR="006E14B4">
          <w:rPr>
            <w:b/>
            <w:i/>
            <w:color w:val="0000FF"/>
            <w:sz w:val="28"/>
            <w:szCs w:val="28"/>
            <w:u w:val="single"/>
          </w:rPr>
          <w:t>Zrównoważona produkcja żywności i zapewnienie sprawiedliwego dochodu europejskim rolnikom w obliczu wyzwań rynkowych, środowiskowych i klimatycznych</w:t>
        </w:r>
      </w:hyperlink>
    </w:p>
    <w:p w:rsidRPr="00BA440C" w:rsidR="00DE2D96" w:rsidP="008E7DE8" w:rsidRDefault="00DE2D96" w14:paraId="14A2FD1A" w14:textId="77777777">
      <w:pPr>
        <w:tabs>
          <w:tab w:val="center" w:pos="284"/>
        </w:tabs>
        <w:suppressAutoHyphen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2099"/>
        <w:gridCol w:w="7190"/>
      </w:tblGrid>
      <w:tr w:rsidRPr="00BA440C" w:rsidR="00DE2D96" w:rsidTr="00BA440C" w14:paraId="518A9EA4" w14:textId="77777777">
        <w:tc>
          <w:tcPr>
            <w:tcW w:w="1130" w:type="pct"/>
          </w:tcPr>
          <w:p w:rsidRPr="00BA440C" w:rsidR="00DE2D96" w:rsidP="008E7DE8" w:rsidRDefault="00DE2D96" w14:paraId="4BD49780" w14:textId="77777777">
            <w:pPr>
              <w:tabs>
                <w:tab w:val="center" w:pos="284"/>
              </w:tabs>
              <w:suppressAutoHyphens/>
              <w:overflowPunct w:val="0"/>
              <w:autoSpaceDE w:val="0"/>
              <w:autoSpaceDN w:val="0"/>
              <w:adjustRightInd w:val="0"/>
              <w:ind w:left="266" w:hanging="266"/>
              <w:textAlignment w:val="baseline"/>
              <w:rPr>
                <w:b/>
              </w:rPr>
            </w:pPr>
            <w:r w:rsidRPr="00BA440C">
              <w:rPr>
                <w:b/>
              </w:rPr>
              <w:t>Sprawozdawcy</w:t>
            </w:r>
          </w:p>
        </w:tc>
        <w:tc>
          <w:tcPr>
            <w:tcW w:w="3870" w:type="pct"/>
          </w:tcPr>
          <w:p w:rsidRPr="00BA440C" w:rsidR="00DE2D96" w:rsidP="008E7DE8" w:rsidRDefault="00366FB1" w14:paraId="35C4E729" w14:textId="0173DE28">
            <w:pPr>
              <w:tabs>
                <w:tab w:val="center" w:pos="284"/>
              </w:tabs>
              <w:suppressAutoHyphens/>
              <w:overflowPunct w:val="0"/>
              <w:autoSpaceDE w:val="0"/>
              <w:autoSpaceDN w:val="0"/>
              <w:adjustRightInd w:val="0"/>
              <w:ind w:left="266" w:hanging="266"/>
              <w:textAlignment w:val="baseline"/>
            </w:pPr>
            <w:r w:rsidRPr="00BA440C">
              <w:t>Arnold PUECH d’ALISSAC (Grupa Pracodawców – FR)</w:t>
            </w:r>
          </w:p>
          <w:p w:rsidRPr="00BA440C" w:rsidR="00DE2D96" w:rsidP="008E7DE8" w:rsidRDefault="00DE2D96" w14:paraId="5DE4EBAE" w14:textId="77777777">
            <w:pPr>
              <w:tabs>
                <w:tab w:val="center" w:pos="284"/>
              </w:tabs>
              <w:suppressAutoHyphens/>
              <w:overflowPunct w:val="0"/>
              <w:autoSpaceDE w:val="0"/>
              <w:autoSpaceDN w:val="0"/>
              <w:adjustRightInd w:val="0"/>
              <w:ind w:left="266" w:hanging="266"/>
              <w:textAlignment w:val="baseline"/>
            </w:pPr>
            <w:r w:rsidRPr="00BA440C">
              <w:t>Piroska KÁLLAY (Grupa Pracowników – HU)</w:t>
            </w:r>
          </w:p>
          <w:p w:rsidRPr="00BA440C" w:rsidR="00DE2D96" w:rsidP="008E7DE8" w:rsidRDefault="00366FB1" w14:paraId="32325F9B" w14:textId="30D7031F">
            <w:pPr>
              <w:tabs>
                <w:tab w:val="center" w:pos="284"/>
              </w:tabs>
              <w:suppressAutoHyphens/>
              <w:overflowPunct w:val="0"/>
              <w:autoSpaceDE w:val="0"/>
              <w:autoSpaceDN w:val="0"/>
              <w:adjustRightInd w:val="0"/>
              <w:ind w:left="266" w:hanging="266"/>
              <w:textAlignment w:val="baseline"/>
            </w:pPr>
            <w:r w:rsidRPr="00BA440C">
              <w:t>Joe HEALY (Grupa Organizacji Społeczeństwa Obywatelskiego – IE)</w:t>
            </w:r>
          </w:p>
        </w:tc>
      </w:tr>
      <w:tr w:rsidRPr="00BA440C" w:rsidR="00DE2D96" w:rsidTr="00BA440C" w14:paraId="4B6FEDD4" w14:textId="77777777">
        <w:tc>
          <w:tcPr>
            <w:tcW w:w="1130" w:type="pct"/>
          </w:tcPr>
          <w:p w:rsidRPr="00BA440C" w:rsidR="00DE2D96" w:rsidP="008E7DE8" w:rsidRDefault="00DE2D96" w14:paraId="5A19339E" w14:textId="439F828B">
            <w:pPr>
              <w:tabs>
                <w:tab w:val="center" w:pos="284"/>
              </w:tabs>
              <w:suppressAutoHyphens/>
              <w:overflowPunct w:val="0"/>
              <w:autoSpaceDE w:val="0"/>
              <w:autoSpaceDN w:val="0"/>
              <w:adjustRightInd w:val="0"/>
              <w:ind w:left="266" w:hanging="266"/>
              <w:textAlignment w:val="baseline"/>
              <w:rPr>
                <w:b/>
              </w:rPr>
            </w:pPr>
            <w:r w:rsidRPr="00BA440C">
              <w:rPr>
                <w:b/>
              </w:rPr>
              <w:t>Dokumenty</w:t>
            </w:r>
          </w:p>
        </w:tc>
        <w:tc>
          <w:tcPr>
            <w:tcW w:w="3870" w:type="pct"/>
          </w:tcPr>
          <w:p w:rsidRPr="00BA440C" w:rsidR="00366FB1" w:rsidP="008E7DE8" w:rsidRDefault="00366FB1" w14:paraId="1D8B27BA" w14:textId="77777777">
            <w:pPr>
              <w:tabs>
                <w:tab w:val="center" w:pos="284"/>
              </w:tabs>
              <w:suppressAutoHyphens/>
              <w:overflowPunct w:val="0"/>
              <w:autoSpaceDE w:val="0"/>
              <w:autoSpaceDN w:val="0"/>
              <w:adjustRightInd w:val="0"/>
              <w:ind w:left="266" w:right="-387" w:hanging="266"/>
              <w:textAlignment w:val="baseline"/>
            </w:pPr>
            <w:r w:rsidRPr="00BA440C">
              <w:t>Opinia rozpoznawcza na wniosek polskiej prezydencji Rady UE</w:t>
            </w:r>
          </w:p>
          <w:p w:rsidRPr="00BA440C" w:rsidR="00DE2D96" w:rsidP="008E7DE8" w:rsidRDefault="00DE2D96" w14:paraId="13DE1FA0" w14:textId="22E0B95D">
            <w:pPr>
              <w:tabs>
                <w:tab w:val="center" w:pos="284"/>
              </w:tabs>
              <w:suppressAutoHyphens/>
              <w:overflowPunct w:val="0"/>
              <w:autoSpaceDE w:val="0"/>
              <w:autoSpaceDN w:val="0"/>
              <w:adjustRightInd w:val="0"/>
              <w:ind w:left="266" w:hanging="266"/>
              <w:textAlignment w:val="baseline"/>
            </w:pPr>
            <w:r w:rsidRPr="00BA440C">
              <w:t>EESC-2024-03974-00-00-AC</w:t>
            </w:r>
          </w:p>
        </w:tc>
      </w:tr>
    </w:tbl>
    <w:p w:rsidRPr="00BA440C" w:rsidR="00713105" w:rsidP="008E7DE8" w:rsidRDefault="00713105" w14:paraId="518EA3D3" w14:textId="77777777">
      <w:pPr>
        <w:tabs>
          <w:tab w:val="center" w:pos="284"/>
        </w:tabs>
        <w:suppressAutoHyphens/>
        <w:overflowPunct w:val="0"/>
        <w:autoSpaceDE w:val="0"/>
        <w:autoSpaceDN w:val="0"/>
        <w:adjustRightInd w:val="0"/>
        <w:ind w:left="266" w:hanging="266"/>
        <w:textAlignment w:val="baseline"/>
        <w:rPr>
          <w:b/>
        </w:rPr>
      </w:pPr>
    </w:p>
    <w:p w:rsidRPr="00BA440C" w:rsidR="00DE2D96" w:rsidP="008E7DE8" w:rsidRDefault="00DE2D96" w14:paraId="1B8691C6" w14:textId="595FF6DF">
      <w:pPr>
        <w:tabs>
          <w:tab w:val="center" w:pos="284"/>
        </w:tabs>
        <w:suppressAutoHyphens/>
        <w:overflowPunct w:val="0"/>
        <w:autoSpaceDE w:val="0"/>
        <w:autoSpaceDN w:val="0"/>
        <w:adjustRightInd w:val="0"/>
        <w:ind w:left="266" w:hanging="266"/>
        <w:textAlignment w:val="baseline"/>
        <w:rPr>
          <w:b/>
        </w:rPr>
      </w:pPr>
      <w:r w:rsidRPr="00BA440C">
        <w:rPr>
          <w:b/>
        </w:rPr>
        <w:t>Główne punkty</w:t>
      </w:r>
    </w:p>
    <w:p w:rsidRPr="00BA440C" w:rsidR="00DE2D96" w:rsidP="008E7DE8" w:rsidRDefault="00DE2D96" w14:paraId="1493200A" w14:textId="77777777">
      <w:pPr>
        <w:tabs>
          <w:tab w:val="center" w:pos="284"/>
        </w:tabs>
        <w:suppressAutoHyphens/>
        <w:overflowPunct w:val="0"/>
        <w:autoSpaceDE w:val="0"/>
        <w:autoSpaceDN w:val="0"/>
        <w:adjustRightInd w:val="0"/>
        <w:ind w:left="266" w:hanging="266"/>
        <w:textAlignment w:val="baseline"/>
        <w:rPr>
          <w:b/>
        </w:rPr>
      </w:pPr>
    </w:p>
    <w:p w:rsidR="00DE2D96" w:rsidP="008E7DE8" w:rsidRDefault="00DE2D96" w14:paraId="6B40E191" w14:textId="26653C0C">
      <w:pPr>
        <w:suppressAutoHyphens/>
        <w:overflowPunct w:val="0"/>
        <w:autoSpaceDE w:val="0"/>
        <w:autoSpaceDN w:val="0"/>
        <w:adjustRightInd w:val="0"/>
        <w:textAlignment w:val="baseline"/>
      </w:pPr>
      <w:r w:rsidRPr="00BA440C">
        <w:t>EKES:</w:t>
      </w:r>
    </w:p>
    <w:p w:rsidRPr="00BA440C" w:rsidR="00C1081A" w:rsidP="008E7DE8" w:rsidRDefault="00C1081A" w14:paraId="14BD623E" w14:textId="77777777">
      <w:pPr>
        <w:suppressAutoHyphens/>
        <w:overflowPunct w:val="0"/>
        <w:autoSpaceDE w:val="0"/>
        <w:autoSpaceDN w:val="0"/>
        <w:adjustRightInd w:val="0"/>
        <w:textAlignment w:val="baseline"/>
        <w:rPr>
          <w:bCs/>
          <w:iCs/>
        </w:rPr>
      </w:pPr>
    </w:p>
    <w:p w:rsidRPr="00BA440C" w:rsidR="00DE2D96" w:rsidP="008E7DE8" w:rsidRDefault="00DE2D96" w14:paraId="331A71E3" w14:textId="77777777">
      <w:pPr>
        <w:numPr>
          <w:ilvl w:val="0"/>
          <w:numId w:val="35"/>
        </w:numPr>
        <w:suppressAutoHyphens/>
        <w:ind w:left="567" w:hanging="567"/>
        <w:rPr>
          <w:bCs/>
          <w:iCs/>
        </w:rPr>
      </w:pPr>
      <w:r w:rsidRPr="00BA440C">
        <w:t>Proponuje opracowanie i wdrożenie – w ramach WPR i poza nią – krótko- i długoterminowych narzędzi wspierających dochody rolników, takich jak:</w:t>
      </w:r>
    </w:p>
    <w:p w:rsidRPr="00BA440C" w:rsidR="00DE2D96" w:rsidP="00CA0DDE" w:rsidRDefault="00DE2D96" w14:paraId="188FCED5" w14:textId="77777777">
      <w:pPr>
        <w:numPr>
          <w:ilvl w:val="1"/>
          <w:numId w:val="36"/>
        </w:numPr>
        <w:suppressAutoHyphens/>
        <w:overflowPunct w:val="0"/>
        <w:autoSpaceDE w:val="0"/>
        <w:autoSpaceDN w:val="0"/>
        <w:adjustRightInd w:val="0"/>
        <w:ind w:left="851" w:hanging="284"/>
        <w:textAlignment w:val="baseline"/>
        <w:rPr>
          <w:bCs/>
          <w:iCs/>
        </w:rPr>
      </w:pPr>
      <w:r w:rsidRPr="00BA440C">
        <w:rPr>
          <w:b/>
        </w:rPr>
        <w:t>systemy ubezpieczeń służące ubezpieczeniu od klęsk klimatycznych i ekologicznych:</w:t>
      </w:r>
      <w:r w:rsidRPr="00BA440C">
        <w:t xml:space="preserve"> prace nad modelem ubezpieczeń opartym na partnerstwie publiczno-prywatnym i przegląd metod określania danych referencyjnych; </w:t>
      </w:r>
    </w:p>
    <w:p w:rsidRPr="00BA440C" w:rsidR="00DE2D96" w:rsidP="00CA0DDE" w:rsidRDefault="00DE2D96" w14:paraId="5FFE9226" w14:textId="297420B1">
      <w:pPr>
        <w:numPr>
          <w:ilvl w:val="1"/>
          <w:numId w:val="36"/>
        </w:numPr>
        <w:suppressAutoHyphens/>
        <w:overflowPunct w:val="0"/>
        <w:autoSpaceDE w:val="0"/>
        <w:autoSpaceDN w:val="0"/>
        <w:adjustRightInd w:val="0"/>
        <w:ind w:left="851" w:hanging="284"/>
        <w:textAlignment w:val="baseline"/>
        <w:rPr>
          <w:bCs/>
          <w:iCs/>
        </w:rPr>
      </w:pPr>
      <w:r w:rsidRPr="00BA440C">
        <w:rPr>
          <w:b/>
        </w:rPr>
        <w:t>systemy ubezpieczeń służące ubezpieczeniu od skutków napięć rynkowych</w:t>
      </w:r>
      <w:r w:rsidRPr="00BA440C">
        <w:t xml:space="preserve"> zbadanie rozwoju innowacyjnych dźwigni, takich jak instrument ubezpieczeń parametrycznych, i</w:t>
      </w:r>
      <w:r w:rsidR="00EA0B93">
        <w:t> </w:t>
      </w:r>
      <w:r w:rsidRPr="00BA440C">
        <w:t>uwzględnienie w instrumentach WPR po 2027 r. elementów antycyklicznych, aby reagować na dużą presję ze strony rynków;</w:t>
      </w:r>
    </w:p>
    <w:p w:rsidRPr="00BA440C" w:rsidR="00DE2D96" w:rsidP="00CA0DDE" w:rsidRDefault="00DE2D96" w14:paraId="4439B4AA" w14:textId="02D86DE3">
      <w:pPr>
        <w:numPr>
          <w:ilvl w:val="1"/>
          <w:numId w:val="36"/>
        </w:numPr>
        <w:suppressAutoHyphens/>
        <w:overflowPunct w:val="0"/>
        <w:autoSpaceDE w:val="0"/>
        <w:autoSpaceDN w:val="0"/>
        <w:adjustRightInd w:val="0"/>
        <w:ind w:left="851" w:hanging="284"/>
        <w:textAlignment w:val="baseline"/>
        <w:rPr>
          <w:bCs/>
          <w:iCs/>
        </w:rPr>
      </w:pPr>
      <w:r w:rsidRPr="00BA440C">
        <w:rPr>
          <w:b/>
        </w:rPr>
        <w:t>narzędzia zarządzania ryzykiem i narzędzia zarządzania kryzysowego:</w:t>
      </w:r>
      <w:r w:rsidRPr="00BA440C">
        <w:t xml:space="preserve"> przywrócenie budżetu WPR do poziomu 0,5% PKB UE w kolejnych wieloletnich ramach finansowych (WRF), poprawa i promowanie wykorzystania na poziomie państw członkowskich 3%</w:t>
      </w:r>
      <w:r w:rsidR="00135E56">
        <w:t> </w:t>
      </w:r>
      <w:r w:rsidRPr="00BA440C">
        <w:t>płatności bezpośrednich, które mogą być przeznaczone na wkład rolników na rzecz instrumentu zarządzania ryzykiem; przekształcenie i znaczne zwiększenie na szczeblu UE rezerwy na wypadek kryzysów w sektorze rolnym; rozwój, na szczeblu państw członkowskich, funduszy ubezpieczeń wzajemnych od ryzyka dla zdrowia i ryzyka środowiskowego;</w:t>
      </w:r>
    </w:p>
    <w:p w:rsidRPr="00BA440C" w:rsidR="00DE2D96" w:rsidP="00CA0DDE" w:rsidRDefault="00DE2D96" w14:paraId="74D4B712" w14:textId="0FDD5BCE">
      <w:pPr>
        <w:numPr>
          <w:ilvl w:val="1"/>
          <w:numId w:val="36"/>
        </w:numPr>
        <w:suppressAutoHyphens/>
        <w:overflowPunct w:val="0"/>
        <w:autoSpaceDE w:val="0"/>
        <w:autoSpaceDN w:val="0"/>
        <w:adjustRightInd w:val="0"/>
        <w:ind w:left="851" w:hanging="284"/>
        <w:textAlignment w:val="baseline"/>
        <w:rPr>
          <w:b/>
          <w:bCs/>
        </w:rPr>
      </w:pPr>
      <w:r w:rsidRPr="00BA440C">
        <w:rPr>
          <w:b/>
        </w:rPr>
        <w:t>narzędzia finansowe zapewniane przez WPR i banki:</w:t>
      </w:r>
      <w:r w:rsidRPr="00BA440C">
        <w:t xml:space="preserve"> wspieranie zdolności inwestycyjnych rolników, w szczególności młodych rolników, za pomocą prostych, dostosowanych i</w:t>
      </w:r>
      <w:r w:rsidR="00EA0B93">
        <w:t> </w:t>
      </w:r>
      <w:r w:rsidRPr="00BA440C">
        <w:t>niebiurokratycznych instrumentów finansowych, poprzez produkty finansowe oferowane przez banki (kredyty pilotażowe, kredyty o zerowym oprocentowaniu, kredyty na rozpoczęcie działalności rolniczej) o ale również przez inne podmioty:</w:t>
      </w:r>
    </w:p>
    <w:p w:rsidRPr="00BA440C" w:rsidR="00DE2D96" w:rsidP="00CA0DDE" w:rsidRDefault="00DE2D96" w14:paraId="1F801B29" w14:textId="77777777">
      <w:pPr>
        <w:numPr>
          <w:ilvl w:val="1"/>
          <w:numId w:val="36"/>
        </w:numPr>
        <w:suppressAutoHyphens/>
        <w:overflowPunct w:val="0"/>
        <w:autoSpaceDE w:val="0"/>
        <w:autoSpaceDN w:val="0"/>
        <w:adjustRightInd w:val="0"/>
        <w:ind w:left="851" w:hanging="284"/>
        <w:textAlignment w:val="baseline"/>
        <w:rPr>
          <w:bCs/>
          <w:iCs/>
        </w:rPr>
      </w:pPr>
      <w:r w:rsidRPr="00BA440C">
        <w:rPr>
          <w:b/>
        </w:rPr>
        <w:t>narzędzia służące zapewnieniu rolnikom dochodów i zwiększeniu ich siły przetargowej:</w:t>
      </w:r>
      <w:r w:rsidRPr="00BA440C">
        <w:t xml:space="preserve"> rozważenie rozszerzenia dyrektywy w sprawie nieuczciwych praktyk handlowych w celu zakazania sprzedaży poniżej kosztów poprzez zakazanie nabywcom dokonywania zakupów poniżej kosztów po dokładnym przeanalizowaniu skutków tego zakazu dla wszystkich podmiotów łańcucha żywnościowego; zapewnienie nowej polityki UE, aby umożliwić rolnikom zbiorowe negocjowanie cen i zwiększyć wsparcie dla spółdzielni i organizacji producentów; ochrona, wzmocnienie i lepsze ukierunkowanie płatności bezpośrednich na </w:t>
      </w:r>
      <w:r w:rsidRPr="00BA440C">
        <w:lastRenderedPageBreak/>
        <w:t>aktywnych rolników w następnej WPR; wkład w zrównoważony rozwój na rzecz transformacji; zapewnienie równoważności norm produkcji żywności we wszystkich umowach handlowych.</w:t>
      </w:r>
    </w:p>
    <w:p w:rsidRPr="00BA440C" w:rsidR="00366FB1" w:rsidP="008E7DE8" w:rsidRDefault="00DE2D96" w14:paraId="496376A0" w14:textId="1BA2FAF8">
      <w:pPr>
        <w:numPr>
          <w:ilvl w:val="0"/>
          <w:numId w:val="35"/>
        </w:numPr>
        <w:suppressAutoHyphens/>
        <w:overflowPunct w:val="0"/>
        <w:autoSpaceDE w:val="0"/>
        <w:autoSpaceDN w:val="0"/>
        <w:adjustRightInd w:val="0"/>
        <w:ind w:left="567" w:hanging="567"/>
        <w:textAlignment w:val="baseline"/>
        <w:rPr>
          <w:bCs/>
          <w:iCs/>
        </w:rPr>
      </w:pPr>
      <w:r w:rsidRPr="00BA440C">
        <w:t>Zaleca dalsze promowanie zarządzania partycypacyjnego w poszczególnych sektorach i</w:t>
      </w:r>
      <w:r w:rsidR="00EA0B93">
        <w:t> </w:t>
      </w:r>
      <w:r w:rsidRPr="00BA440C">
        <w:t>wzmocnienie dialogu społecznego w sektorze rolno-spożywczym.</w:t>
      </w:r>
    </w:p>
    <w:p w:rsidRPr="00BA440C" w:rsidR="00DE2D96" w:rsidP="008E7DE8" w:rsidRDefault="00DE2D96" w14:paraId="35CC080A" w14:textId="77777777">
      <w:pPr>
        <w:numPr>
          <w:ilvl w:val="0"/>
          <w:numId w:val="35"/>
        </w:numPr>
        <w:suppressAutoHyphens/>
        <w:overflowPunct w:val="0"/>
        <w:autoSpaceDE w:val="0"/>
        <w:autoSpaceDN w:val="0"/>
        <w:adjustRightInd w:val="0"/>
        <w:ind w:left="567" w:hanging="567"/>
        <w:textAlignment w:val="baseline"/>
        <w:rPr>
          <w:bCs/>
          <w:iCs/>
        </w:rPr>
      </w:pPr>
      <w:r w:rsidRPr="00BA440C">
        <w:t>Zwraca uwagę na potrzebę wysokiej jakości badań i inwestycji w dziedzinie rolnictwa.</w:t>
      </w:r>
    </w:p>
    <w:p w:rsidRPr="00BA440C" w:rsidR="00DE2D96" w:rsidP="008E7DE8" w:rsidRDefault="00DE2D96" w14:paraId="6F5D47EA" w14:textId="77777777">
      <w:pPr>
        <w:numPr>
          <w:ilvl w:val="0"/>
          <w:numId w:val="35"/>
        </w:numPr>
        <w:suppressAutoHyphens/>
        <w:overflowPunct w:val="0"/>
        <w:autoSpaceDE w:val="0"/>
        <w:autoSpaceDN w:val="0"/>
        <w:adjustRightInd w:val="0"/>
        <w:ind w:left="567" w:hanging="567"/>
        <w:textAlignment w:val="baseline"/>
        <w:rPr>
          <w:bCs/>
          <w:iCs/>
        </w:rPr>
      </w:pPr>
      <w:r w:rsidRPr="00BA440C">
        <w:t>Podkreśla znaczenie utrzymania dynamicznej produkcji rolnej w całej Europie i zwraca uwagę, że ważne jest, aby rozwój obszarów wiejskich pozostał istotnym celem wspólnej polityki rolnej oraz aby na rozwój obszarów wiejskich przeznaczono wystarczające środki finansowe.</w:t>
      </w:r>
    </w:p>
    <w:p w:rsidRPr="00BA440C" w:rsidR="002A61F5" w:rsidP="008E7DE8" w:rsidRDefault="002A61F5" w14:paraId="3C8AA267" w14:textId="77777777">
      <w:pPr>
        <w:suppressAutoHyphens/>
        <w:overflowPunct w:val="0"/>
        <w:autoSpaceDE w:val="0"/>
        <w:autoSpaceDN w:val="0"/>
        <w:adjustRightInd w:val="0"/>
        <w:ind w:left="709" w:hanging="425"/>
        <w:textAlignment w:val="baseline"/>
      </w:pPr>
    </w:p>
    <w:tbl>
      <w:tblPr>
        <w:tblW w:w="5000" w:type="pct"/>
        <w:tblLook w:val="04A0" w:firstRow="1" w:lastRow="0" w:firstColumn="1" w:lastColumn="0" w:noHBand="0" w:noVBand="1"/>
      </w:tblPr>
      <w:tblGrid>
        <w:gridCol w:w="2057"/>
        <w:gridCol w:w="7232"/>
      </w:tblGrid>
      <w:tr w:rsidRPr="00BA440C" w:rsidR="00DE2D96" w:rsidTr="00BA440C" w14:paraId="0E76CB38" w14:textId="77777777">
        <w:tc>
          <w:tcPr>
            <w:tcW w:w="1107" w:type="pct"/>
          </w:tcPr>
          <w:p w:rsidRPr="00BA440C" w:rsidR="00DE2D96" w:rsidP="008E7DE8" w:rsidRDefault="00DE2D96" w14:paraId="6151DC79" w14:textId="77777777">
            <w:pPr>
              <w:suppressAutoHyphens/>
              <w:overflowPunct w:val="0"/>
              <w:autoSpaceDE w:val="0"/>
              <w:autoSpaceDN w:val="0"/>
              <w:adjustRightInd w:val="0"/>
              <w:textAlignment w:val="baseline"/>
              <w:rPr>
                <w:i/>
              </w:rPr>
            </w:pPr>
            <w:r w:rsidRPr="00BA440C">
              <w:rPr>
                <w:b/>
                <w:i/>
              </w:rPr>
              <w:t>Kontakt</w:t>
            </w:r>
          </w:p>
        </w:tc>
        <w:tc>
          <w:tcPr>
            <w:tcW w:w="3893" w:type="pct"/>
          </w:tcPr>
          <w:p w:rsidRPr="00BA440C" w:rsidR="00DE2D96" w:rsidP="008E7DE8" w:rsidRDefault="00DE2D96" w14:paraId="1C83FC67" w14:textId="58C849C6">
            <w:pPr>
              <w:suppressAutoHyphens/>
              <w:overflowPunct w:val="0"/>
              <w:autoSpaceDE w:val="0"/>
              <w:autoSpaceDN w:val="0"/>
              <w:adjustRightInd w:val="0"/>
              <w:textAlignment w:val="baseline"/>
              <w:rPr>
                <w:i/>
              </w:rPr>
            </w:pPr>
            <w:r w:rsidRPr="00BA440C">
              <w:rPr>
                <w:i/>
              </w:rPr>
              <w:t>Myrto Kolyva</w:t>
            </w:r>
          </w:p>
        </w:tc>
      </w:tr>
      <w:tr w:rsidRPr="00BA440C" w:rsidR="00DE2D96" w:rsidTr="00BA440C" w14:paraId="188EFACC" w14:textId="77777777">
        <w:tc>
          <w:tcPr>
            <w:tcW w:w="1107" w:type="pct"/>
          </w:tcPr>
          <w:p w:rsidRPr="00BA440C" w:rsidR="00DE2D96" w:rsidP="008E7DE8" w:rsidRDefault="00DE2D96" w14:paraId="7E5EE7F9" w14:textId="77777777">
            <w:pPr>
              <w:suppressAutoHyphens/>
              <w:overflowPunct w:val="0"/>
              <w:autoSpaceDE w:val="0"/>
              <w:autoSpaceDN w:val="0"/>
              <w:adjustRightInd w:val="0"/>
              <w:textAlignment w:val="baseline"/>
              <w:rPr>
                <w:i/>
              </w:rPr>
            </w:pPr>
            <w:r w:rsidRPr="00BA440C">
              <w:rPr>
                <w:i/>
              </w:rPr>
              <w:t>tel.</w:t>
            </w:r>
          </w:p>
        </w:tc>
        <w:tc>
          <w:tcPr>
            <w:tcW w:w="3893" w:type="pct"/>
          </w:tcPr>
          <w:p w:rsidRPr="00BA440C" w:rsidR="00DE2D96" w:rsidP="008E7DE8" w:rsidRDefault="00DE2D96" w14:paraId="19F64A59" w14:textId="77777777">
            <w:pPr>
              <w:suppressAutoHyphens/>
              <w:overflowPunct w:val="0"/>
              <w:autoSpaceDE w:val="0"/>
              <w:autoSpaceDN w:val="0"/>
              <w:adjustRightInd w:val="0"/>
              <w:textAlignment w:val="baseline"/>
              <w:rPr>
                <w:i/>
              </w:rPr>
            </w:pPr>
            <w:r w:rsidRPr="00BA440C">
              <w:rPr>
                <w:i/>
              </w:rPr>
              <w:t>+32 25468718</w:t>
            </w:r>
          </w:p>
        </w:tc>
      </w:tr>
      <w:tr w:rsidRPr="00BA440C" w:rsidR="00DE2D96" w:rsidTr="00BA440C" w14:paraId="1C6D3733" w14:textId="77777777">
        <w:tc>
          <w:tcPr>
            <w:tcW w:w="1107" w:type="pct"/>
          </w:tcPr>
          <w:p w:rsidRPr="00BA440C" w:rsidR="00DE2D96" w:rsidP="008E7DE8" w:rsidRDefault="00DE2D96" w14:paraId="40381C02" w14:textId="77777777">
            <w:pPr>
              <w:suppressAutoHyphens/>
              <w:overflowPunct w:val="0"/>
              <w:autoSpaceDE w:val="0"/>
              <w:autoSpaceDN w:val="0"/>
              <w:adjustRightInd w:val="0"/>
              <w:textAlignment w:val="baseline"/>
              <w:rPr>
                <w:i/>
              </w:rPr>
            </w:pPr>
            <w:r w:rsidRPr="00BA440C">
              <w:rPr>
                <w:i/>
              </w:rPr>
              <w:t>e-mail</w:t>
            </w:r>
          </w:p>
        </w:tc>
        <w:tc>
          <w:tcPr>
            <w:tcW w:w="3893" w:type="pct"/>
          </w:tcPr>
          <w:p w:rsidRPr="00BA440C" w:rsidR="00DE2D96" w:rsidP="008E7DE8" w:rsidRDefault="00F220BF" w14:paraId="43973F89" w14:textId="77E8A581">
            <w:pPr>
              <w:suppressAutoHyphens/>
              <w:overflowPunct w:val="0"/>
              <w:autoSpaceDE w:val="0"/>
              <w:autoSpaceDN w:val="0"/>
              <w:adjustRightInd w:val="0"/>
              <w:textAlignment w:val="baseline"/>
              <w:rPr>
                <w:color w:val="0000FF"/>
                <w:u w:val="single"/>
              </w:rPr>
            </w:pPr>
            <w:hyperlink w:history="1" r:id="rId54">
              <w:r w:rsidRPr="00BA440C" w:rsidR="006E14B4">
                <w:rPr>
                  <w:i/>
                  <w:color w:val="0000FF"/>
                  <w:u w:val="single"/>
                </w:rPr>
                <w:t>Myrto.Kolyva@eesc.europa.eu</w:t>
              </w:r>
            </w:hyperlink>
          </w:p>
        </w:tc>
      </w:tr>
    </w:tbl>
    <w:p w:rsidRPr="00BA440C" w:rsidR="00366FB1" w:rsidP="008E7DE8" w:rsidRDefault="00366FB1" w14:paraId="1FDF3A66" w14:textId="77777777">
      <w:pPr>
        <w:suppressAutoHyphens/>
        <w:jc w:val="left"/>
      </w:pPr>
      <w:r w:rsidRPr="00BA440C">
        <w:br w:type="page"/>
      </w:r>
    </w:p>
    <w:p w:rsidRPr="00BA440C" w:rsidR="007F5784" w:rsidP="008E7DE8" w:rsidRDefault="00EE5F16" w14:paraId="14026A78" w14:textId="0BB4DE42">
      <w:pPr>
        <w:pStyle w:val="Heading1"/>
        <w:suppressAutoHyphens/>
        <w:rPr>
          <w:b/>
        </w:rPr>
      </w:pPr>
      <w:bookmarkStart w:name="_Toc192768383" w:id="26"/>
      <w:r w:rsidRPr="00BA440C">
        <w:rPr>
          <w:b/>
        </w:rPr>
        <w:lastRenderedPageBreak/>
        <w:t>KOMISJA KONSULTACYJNA DS. PRZEMIAN W PRZEMYŚLE</w:t>
      </w:r>
      <w:bookmarkEnd w:id="26"/>
    </w:p>
    <w:p w:rsidRPr="00BA440C" w:rsidR="003F4AD5" w:rsidP="008E7DE8" w:rsidRDefault="003F4AD5" w14:paraId="7C8ED9AD" w14:textId="77777777">
      <w:pPr>
        <w:suppressAutoHyphens/>
      </w:pPr>
    </w:p>
    <w:p w:rsidRPr="00B10907" w:rsidR="00623E9E" w:rsidP="008E7DE8" w:rsidRDefault="00F220BF" w14:paraId="7953BEAF" w14:textId="2D580F8B">
      <w:pPr>
        <w:numPr>
          <w:ilvl w:val="0"/>
          <w:numId w:val="2"/>
        </w:numPr>
        <w:suppressAutoHyphens/>
        <w:overflowPunct w:val="0"/>
        <w:autoSpaceDE w:val="0"/>
        <w:autoSpaceDN w:val="0"/>
        <w:adjustRightInd w:val="0"/>
        <w:ind w:hanging="567"/>
        <w:textAlignment w:val="baseline"/>
        <w:rPr>
          <w:b/>
          <w:sz w:val="24"/>
          <w:szCs w:val="24"/>
        </w:rPr>
      </w:pPr>
      <w:hyperlink w:history="1" r:id="rId55">
        <w:r w:rsidRPr="00B10907" w:rsidR="006E14B4">
          <w:rPr>
            <w:b/>
            <w:i/>
            <w:color w:val="0000FF"/>
            <w:sz w:val="24"/>
            <w:szCs w:val="24"/>
            <w:u w:val="single"/>
            <w:shd w:val="clear" w:color="auto" w:fill="FEFEFE"/>
          </w:rPr>
          <w:t>Wkład metawersum robotyki w sektor medyczny</w:t>
        </w:r>
      </w:hyperlink>
    </w:p>
    <w:p w:rsidRPr="00BA440C" w:rsidR="00623E9E" w:rsidP="008E7DE8" w:rsidRDefault="00623E9E" w14:paraId="1CC73896" w14:textId="77777777">
      <w:pPr>
        <w:suppressAutoHyphens/>
        <w:overflowPunct w:val="0"/>
        <w:autoSpaceDE w:val="0"/>
        <w:autoSpaceDN w:val="0"/>
        <w:adjustRightInd w:val="0"/>
        <w:ind w:left="266"/>
        <w:textAlignment w:val="baseline"/>
        <w:rPr>
          <w:b/>
        </w:rPr>
      </w:pPr>
    </w:p>
    <w:tbl>
      <w:tblPr>
        <w:tblW w:w="5000" w:type="pct"/>
        <w:tblLook w:val="04A0" w:firstRow="1" w:lastRow="0" w:firstColumn="1" w:lastColumn="0" w:noHBand="0" w:noVBand="1"/>
      </w:tblPr>
      <w:tblGrid>
        <w:gridCol w:w="2198"/>
        <w:gridCol w:w="7091"/>
      </w:tblGrid>
      <w:tr w:rsidRPr="00BA440C" w:rsidR="00623E9E" w:rsidTr="00BA440C" w14:paraId="269248EA" w14:textId="77777777">
        <w:tc>
          <w:tcPr>
            <w:tcW w:w="1183" w:type="pct"/>
          </w:tcPr>
          <w:p w:rsidRPr="00BA440C" w:rsidR="00623E9E" w:rsidP="008E7DE8" w:rsidRDefault="00623E9E" w14:paraId="21D29375" w14:textId="77777777">
            <w:pPr>
              <w:tabs>
                <w:tab w:val="center" w:pos="284"/>
              </w:tabs>
              <w:suppressAutoHyphens/>
              <w:overflowPunct w:val="0"/>
              <w:autoSpaceDE w:val="0"/>
              <w:autoSpaceDN w:val="0"/>
              <w:adjustRightInd w:val="0"/>
              <w:ind w:left="266" w:hanging="266"/>
              <w:textAlignment w:val="baseline"/>
              <w:rPr>
                <w:b/>
              </w:rPr>
            </w:pPr>
            <w:r w:rsidRPr="00BA440C">
              <w:rPr>
                <w:b/>
              </w:rPr>
              <w:t>Sprawozdawca</w:t>
            </w:r>
          </w:p>
        </w:tc>
        <w:tc>
          <w:tcPr>
            <w:tcW w:w="3817" w:type="pct"/>
          </w:tcPr>
          <w:p w:rsidRPr="00BA440C" w:rsidR="00623E9E" w:rsidP="008E7DE8" w:rsidRDefault="00623E9E" w14:paraId="266FB57D" w14:textId="2659163F">
            <w:pPr>
              <w:tabs>
                <w:tab w:val="center" w:pos="284"/>
              </w:tabs>
              <w:suppressAutoHyphens/>
              <w:overflowPunct w:val="0"/>
              <w:autoSpaceDE w:val="0"/>
              <w:autoSpaceDN w:val="0"/>
              <w:adjustRightInd w:val="0"/>
              <w:ind w:left="266" w:hanging="266"/>
              <w:textAlignment w:val="baseline"/>
            </w:pPr>
            <w:r w:rsidRPr="00BA440C">
              <w:t>Martin BÖHME (Grupa Organizacji Społeczeństwa Obywatelskiego – DE)</w:t>
            </w:r>
          </w:p>
        </w:tc>
      </w:tr>
      <w:tr w:rsidRPr="00BA440C" w:rsidR="00623E9E" w:rsidTr="00BA440C" w14:paraId="361B26C2" w14:textId="77777777">
        <w:tc>
          <w:tcPr>
            <w:tcW w:w="1183" w:type="pct"/>
          </w:tcPr>
          <w:p w:rsidRPr="00BA440C" w:rsidR="00623E9E" w:rsidP="008E7DE8" w:rsidRDefault="00623E9E" w14:paraId="5503FDF1" w14:textId="77777777">
            <w:pPr>
              <w:tabs>
                <w:tab w:val="center" w:pos="284"/>
              </w:tabs>
              <w:suppressAutoHyphens/>
              <w:overflowPunct w:val="0"/>
              <w:autoSpaceDE w:val="0"/>
              <w:autoSpaceDN w:val="0"/>
              <w:adjustRightInd w:val="0"/>
              <w:ind w:left="266" w:hanging="266"/>
              <w:textAlignment w:val="baseline"/>
              <w:rPr>
                <w:b/>
              </w:rPr>
            </w:pPr>
            <w:r w:rsidRPr="00BA440C">
              <w:rPr>
                <w:b/>
              </w:rPr>
              <w:t>Współsprawozdawca</w:t>
            </w:r>
          </w:p>
        </w:tc>
        <w:tc>
          <w:tcPr>
            <w:tcW w:w="3817" w:type="pct"/>
          </w:tcPr>
          <w:p w:rsidRPr="00BA440C" w:rsidR="00623E9E" w:rsidP="008E7DE8" w:rsidRDefault="00623E9E" w14:paraId="1531E497" w14:textId="0BE0FF95">
            <w:pPr>
              <w:tabs>
                <w:tab w:val="center" w:pos="284"/>
              </w:tabs>
              <w:suppressAutoHyphens/>
              <w:overflowPunct w:val="0"/>
              <w:autoSpaceDE w:val="0"/>
              <w:autoSpaceDN w:val="0"/>
              <w:adjustRightInd w:val="0"/>
              <w:ind w:left="266" w:hanging="266"/>
              <w:textAlignment w:val="baseline"/>
            </w:pPr>
            <w:r w:rsidRPr="00BA440C">
              <w:t>Hervé JEANNIN (Kat. 2 – FR)</w:t>
            </w:r>
          </w:p>
        </w:tc>
      </w:tr>
      <w:tr w:rsidRPr="00BA440C" w:rsidR="00623E9E" w:rsidTr="00BA440C" w14:paraId="74813AA8" w14:textId="77777777">
        <w:tc>
          <w:tcPr>
            <w:tcW w:w="1183" w:type="pct"/>
          </w:tcPr>
          <w:p w:rsidRPr="00BA440C" w:rsidR="00623E9E" w:rsidP="008E7DE8" w:rsidRDefault="00623E9E" w14:paraId="1103D901" w14:textId="719ACEE8">
            <w:pPr>
              <w:tabs>
                <w:tab w:val="center" w:pos="284"/>
              </w:tabs>
              <w:suppressAutoHyphens/>
              <w:overflowPunct w:val="0"/>
              <w:autoSpaceDE w:val="0"/>
              <w:autoSpaceDN w:val="0"/>
              <w:adjustRightInd w:val="0"/>
              <w:ind w:left="266" w:hanging="266"/>
              <w:textAlignment w:val="baseline"/>
              <w:rPr>
                <w:b/>
              </w:rPr>
            </w:pPr>
            <w:r w:rsidRPr="00BA440C">
              <w:rPr>
                <w:b/>
              </w:rPr>
              <w:t>Dokumenty</w:t>
            </w:r>
          </w:p>
        </w:tc>
        <w:tc>
          <w:tcPr>
            <w:tcW w:w="3817" w:type="pct"/>
          </w:tcPr>
          <w:p w:rsidRPr="00BA440C" w:rsidR="004F23ED" w:rsidP="008E7DE8" w:rsidRDefault="004F23ED" w14:paraId="2AEBD737" w14:textId="4C750945">
            <w:pPr>
              <w:tabs>
                <w:tab w:val="center" w:pos="284"/>
              </w:tabs>
              <w:suppressAutoHyphens/>
              <w:overflowPunct w:val="0"/>
              <w:autoSpaceDE w:val="0"/>
              <w:autoSpaceDN w:val="0"/>
              <w:adjustRightInd w:val="0"/>
              <w:ind w:left="266" w:hanging="266"/>
              <w:textAlignment w:val="baseline"/>
            </w:pPr>
            <w:r w:rsidRPr="00BA440C">
              <w:t>Opinia z inicjatywy własnej</w:t>
            </w:r>
          </w:p>
          <w:p w:rsidRPr="00BA440C" w:rsidR="00623E9E" w:rsidP="008E7DE8" w:rsidRDefault="00623E9E" w14:paraId="5BA8C458" w14:textId="5B035BF6">
            <w:pPr>
              <w:tabs>
                <w:tab w:val="center" w:pos="284"/>
              </w:tabs>
              <w:suppressAutoHyphens/>
              <w:overflowPunct w:val="0"/>
              <w:autoSpaceDE w:val="0"/>
              <w:autoSpaceDN w:val="0"/>
              <w:adjustRightInd w:val="0"/>
              <w:ind w:left="266" w:hanging="266"/>
              <w:textAlignment w:val="baseline"/>
            </w:pPr>
            <w:r w:rsidRPr="00BA440C">
              <w:t>EESC-2024-02859-00-00-AC-TRA</w:t>
            </w:r>
          </w:p>
        </w:tc>
      </w:tr>
    </w:tbl>
    <w:p w:rsidRPr="00BA440C" w:rsidR="009B596B" w:rsidP="008E7DE8" w:rsidRDefault="009B596B" w14:paraId="7BB8F2C0" w14:textId="77777777">
      <w:pPr>
        <w:tabs>
          <w:tab w:val="center" w:pos="284"/>
        </w:tabs>
        <w:suppressAutoHyphens/>
        <w:overflowPunct w:val="0"/>
        <w:autoSpaceDE w:val="0"/>
        <w:autoSpaceDN w:val="0"/>
        <w:adjustRightInd w:val="0"/>
        <w:ind w:left="266" w:hanging="266"/>
        <w:textAlignment w:val="baseline"/>
        <w:rPr>
          <w:b/>
        </w:rPr>
      </w:pPr>
    </w:p>
    <w:p w:rsidRPr="00BA440C" w:rsidR="00623E9E" w:rsidP="008E7DE8" w:rsidRDefault="00623E9E" w14:paraId="30B2B833" w14:textId="33B9D8A5">
      <w:pPr>
        <w:tabs>
          <w:tab w:val="center" w:pos="284"/>
        </w:tabs>
        <w:suppressAutoHyphens/>
        <w:overflowPunct w:val="0"/>
        <w:autoSpaceDE w:val="0"/>
        <w:autoSpaceDN w:val="0"/>
        <w:adjustRightInd w:val="0"/>
        <w:ind w:left="266" w:hanging="266"/>
        <w:textAlignment w:val="baseline"/>
        <w:rPr>
          <w:b/>
        </w:rPr>
      </w:pPr>
      <w:r w:rsidRPr="00BA440C">
        <w:rPr>
          <w:b/>
        </w:rPr>
        <w:t>Główne punkty</w:t>
      </w:r>
    </w:p>
    <w:p w:rsidRPr="00BA440C" w:rsidR="00623E9E" w:rsidP="008E7DE8" w:rsidRDefault="00623E9E" w14:paraId="53513792" w14:textId="77777777">
      <w:pPr>
        <w:tabs>
          <w:tab w:val="center" w:pos="284"/>
        </w:tabs>
        <w:suppressAutoHyphens/>
        <w:overflowPunct w:val="0"/>
        <w:autoSpaceDE w:val="0"/>
        <w:autoSpaceDN w:val="0"/>
        <w:adjustRightInd w:val="0"/>
        <w:ind w:left="266" w:hanging="266"/>
        <w:textAlignment w:val="baseline"/>
        <w:rPr>
          <w:b/>
        </w:rPr>
      </w:pPr>
    </w:p>
    <w:p w:rsidR="00623E9E" w:rsidP="008E7DE8" w:rsidRDefault="00623E9E" w14:paraId="6DCDBAF9" w14:textId="39A1BB4B">
      <w:pPr>
        <w:suppressAutoHyphens/>
        <w:overflowPunct w:val="0"/>
        <w:autoSpaceDE w:val="0"/>
        <w:autoSpaceDN w:val="0"/>
        <w:adjustRightInd w:val="0"/>
        <w:textAlignment w:val="baseline"/>
      </w:pPr>
      <w:r w:rsidRPr="00BA440C">
        <w:t>EKES:</w:t>
      </w:r>
    </w:p>
    <w:p w:rsidRPr="00BA440C" w:rsidR="00C1081A" w:rsidP="008E7DE8" w:rsidRDefault="00C1081A" w14:paraId="0C9B0D48" w14:textId="77777777">
      <w:pPr>
        <w:suppressAutoHyphens/>
        <w:overflowPunct w:val="0"/>
        <w:autoSpaceDE w:val="0"/>
        <w:autoSpaceDN w:val="0"/>
        <w:adjustRightInd w:val="0"/>
        <w:textAlignment w:val="baseline"/>
      </w:pPr>
    </w:p>
    <w:p w:rsidRPr="00BA440C" w:rsidR="00623E9E" w:rsidP="008E7DE8" w:rsidRDefault="00623E9E" w14:paraId="4E329840" w14:textId="33AAA6C8">
      <w:pPr>
        <w:pStyle w:val="ListParagraph"/>
        <w:numPr>
          <w:ilvl w:val="0"/>
          <w:numId w:val="43"/>
        </w:numPr>
        <w:suppressAutoHyphens/>
        <w:ind w:left="567" w:hanging="567"/>
        <w:contextualSpacing w:val="0"/>
      </w:pPr>
      <w:bookmarkStart w:name="_Toc191974019" w:id="27"/>
      <w:r w:rsidRPr="00BA440C">
        <w:t xml:space="preserve">Zaleca </w:t>
      </w:r>
      <w:r w:rsidRPr="00BA440C">
        <w:rPr>
          <w:b/>
        </w:rPr>
        <w:t>opracowanie kompleksowych ram regulacyjnych dla robotyki</w:t>
      </w:r>
      <w:r w:rsidRPr="00BA440C">
        <w:t xml:space="preserve"> i metawersum w</w:t>
      </w:r>
      <w:r w:rsidR="00EA0B93">
        <w:t> </w:t>
      </w:r>
      <w:r w:rsidRPr="00BA440C">
        <w:t>opiece zdrowotnej.</w:t>
      </w:r>
      <w:bookmarkEnd w:id="27"/>
    </w:p>
    <w:p w:rsidRPr="00BA440C" w:rsidR="00623E9E" w:rsidP="008E7DE8" w:rsidRDefault="00623E9E" w14:paraId="06079E87" w14:textId="77777777">
      <w:pPr>
        <w:pStyle w:val="ListParagraph"/>
        <w:numPr>
          <w:ilvl w:val="0"/>
          <w:numId w:val="43"/>
        </w:numPr>
        <w:suppressAutoHyphens/>
        <w:ind w:left="567" w:hanging="567"/>
        <w:contextualSpacing w:val="0"/>
      </w:pPr>
      <w:bookmarkStart w:name="_Toc191974020" w:id="28"/>
      <w:r w:rsidRPr="00BA440C">
        <w:t xml:space="preserve">Podkreśla znaczenie </w:t>
      </w:r>
      <w:r w:rsidRPr="00BA440C">
        <w:rPr>
          <w:b/>
        </w:rPr>
        <w:t>promowania standardów etycznych i protokołów zgody pacjenta</w:t>
      </w:r>
      <w:r w:rsidRPr="00BA440C">
        <w:t>.</w:t>
      </w:r>
      <w:bookmarkEnd w:id="28"/>
    </w:p>
    <w:p w:rsidRPr="00BA440C" w:rsidR="00623E9E" w:rsidP="008E7DE8" w:rsidRDefault="00623E9E" w14:paraId="6D595B43" w14:textId="03A33E63">
      <w:pPr>
        <w:pStyle w:val="ListParagraph"/>
        <w:numPr>
          <w:ilvl w:val="0"/>
          <w:numId w:val="43"/>
        </w:numPr>
        <w:suppressAutoHyphens/>
        <w:ind w:left="567" w:hanging="567"/>
        <w:contextualSpacing w:val="0"/>
      </w:pPr>
      <w:bookmarkStart w:name="_Toc191974021" w:id="29"/>
      <w:r w:rsidRPr="00BA440C">
        <w:t xml:space="preserve">Apeluje o </w:t>
      </w:r>
      <w:r w:rsidRPr="00BA440C">
        <w:rPr>
          <w:b/>
        </w:rPr>
        <w:t>inwestycje w infrastrukturę cyfrową w celu zapewnienia równego dostępu</w:t>
      </w:r>
      <w:r w:rsidRPr="00BA440C">
        <w:t xml:space="preserve"> i</w:t>
      </w:r>
      <w:r w:rsidR="00EA0B93">
        <w:t> </w:t>
      </w:r>
      <w:r w:rsidRPr="00BA440C">
        <w:t xml:space="preserve">podkreśla znaczenie inwestowania w infrastrukturę cyfrową, zwłaszcza na </w:t>
      </w:r>
      <w:r w:rsidRPr="00BA440C">
        <w:rPr>
          <w:b/>
        </w:rPr>
        <w:t>obszarach wiejskich i niedoinwestowanych</w:t>
      </w:r>
      <w:r w:rsidRPr="00BA440C">
        <w:t>, aby zapobiegać wykluczeniu cyfrowemu. UE powinna na pierwszym miejscu stawiać wdrażanie sieci 5G i 6G, aby wspierać bezpieczne i niezawodne działanie technologii robotyki i metawersum. Równy dostęp do tych postępów w opiece zdrowotnej we wszystkich państwach członkowskich jest kluczowym priorytetem.</w:t>
      </w:r>
      <w:bookmarkEnd w:id="29"/>
    </w:p>
    <w:p w:rsidRPr="00BA440C" w:rsidR="00623E9E" w:rsidP="008E7DE8" w:rsidRDefault="00623E9E" w14:paraId="180EF85A" w14:textId="5E411AF7">
      <w:pPr>
        <w:pStyle w:val="ListParagraph"/>
        <w:numPr>
          <w:ilvl w:val="0"/>
          <w:numId w:val="43"/>
        </w:numPr>
        <w:suppressAutoHyphens/>
        <w:ind w:left="567" w:hanging="567"/>
        <w:contextualSpacing w:val="0"/>
      </w:pPr>
      <w:bookmarkStart w:name="_Toc191974022" w:id="30"/>
      <w:r w:rsidRPr="00BA440C">
        <w:t xml:space="preserve">Opowiada się za </w:t>
      </w:r>
      <w:r w:rsidRPr="00BA440C">
        <w:rPr>
          <w:b/>
        </w:rPr>
        <w:t>większym wsparciem edukacyjnym i szkoleniowym dla pracowników służby zdrowia</w:t>
      </w:r>
      <w:r w:rsidRPr="00BA440C">
        <w:t>. Uważa, że UE musi finansować i promować programy edukacyjne i</w:t>
      </w:r>
      <w:r w:rsidR="00EA0B93">
        <w:t> </w:t>
      </w:r>
      <w:r w:rsidRPr="00BA440C">
        <w:t>szkoleniowe przygotowujące personel medyczny do integracji technologii robotyki i</w:t>
      </w:r>
      <w:r w:rsidR="00EA0B93">
        <w:t> </w:t>
      </w:r>
      <w:r w:rsidRPr="00BA440C">
        <w:t>metawersum.</w:t>
      </w:r>
      <w:bookmarkEnd w:id="30"/>
    </w:p>
    <w:p w:rsidRPr="00BA440C" w:rsidR="00623E9E" w:rsidP="008E7DE8" w:rsidRDefault="00623E9E" w14:paraId="115A5476" w14:textId="77777777">
      <w:pPr>
        <w:pStyle w:val="ListParagraph"/>
        <w:numPr>
          <w:ilvl w:val="0"/>
          <w:numId w:val="43"/>
        </w:numPr>
        <w:suppressAutoHyphens/>
        <w:ind w:left="567" w:hanging="567"/>
        <w:contextualSpacing w:val="0"/>
      </w:pPr>
      <w:bookmarkStart w:name="_Toc191974023" w:id="31"/>
      <w:r w:rsidRPr="00BA440C">
        <w:t xml:space="preserve">Zachęca do </w:t>
      </w:r>
      <w:r w:rsidRPr="00BA440C">
        <w:rPr>
          <w:b/>
        </w:rPr>
        <w:t>wspierania innowacyjności poprzez ukierunkowaną strategię inwestycyjną UE</w:t>
      </w:r>
      <w:r w:rsidRPr="00BA440C">
        <w:t>. Zdecydowanie zaleca, aby UE opracowała ukierunkowaną strategię inwestycyjną, mającą na celu zwłaszcza wspieranie małych i średnich przedsiębiorstw (MŚP) pracujących nad rozwiązaniami z zakresu robotyki i metawersum dla opieki zdrowotnej.</w:t>
      </w:r>
      <w:bookmarkEnd w:id="31"/>
    </w:p>
    <w:p w:rsidRPr="00BA440C" w:rsidR="00623E9E" w:rsidP="008E7DE8" w:rsidRDefault="00623E9E" w14:paraId="5166FC72" w14:textId="5522A398">
      <w:pPr>
        <w:pStyle w:val="ListParagraph"/>
        <w:numPr>
          <w:ilvl w:val="0"/>
          <w:numId w:val="43"/>
        </w:numPr>
        <w:suppressAutoHyphens/>
        <w:ind w:left="567" w:hanging="567"/>
        <w:contextualSpacing w:val="0"/>
      </w:pPr>
      <w:bookmarkStart w:name="_Toc191974024" w:id="32"/>
      <w:r w:rsidRPr="00BA440C">
        <w:t xml:space="preserve">Podkreśla potrzebę </w:t>
      </w:r>
      <w:r w:rsidRPr="00BA440C">
        <w:rPr>
          <w:b/>
        </w:rPr>
        <w:t>solidnej ochrony prywatności danych i cyberbezpieczeństwa</w:t>
      </w:r>
      <w:r w:rsidRPr="00BA440C">
        <w:t>. Wzywa UE do wdrożenia rygorystycznych przepisów dotyczących prywatności danych i</w:t>
      </w:r>
      <w:r w:rsidR="00EA0B93">
        <w:t> </w:t>
      </w:r>
      <w:r w:rsidRPr="00BA440C">
        <w:t>cyberbezpieczeństwa w celu ochrony wrażliwych danych dotyczących zdrowia i zapewnienia ochrony przed cyberatakami. Obejmuje to zabezpieczenie połączeń między robotyką, metawersum i urządzeniami interfejsu przeznaczonego do użytku przez człowieka. EKES wskazuje również, że kwestia suwerenności danych i zgodności z przepisami musi być uwzględniana w różnych jurysdykcjach, aby chronić prawa pacjentów i zagwarantować zaufanie do transgranicznych usług opieki zdrowotnej.</w:t>
      </w:r>
      <w:bookmarkEnd w:id="32"/>
    </w:p>
    <w:p w:rsidRPr="00BA440C" w:rsidR="00623E9E" w:rsidP="008E7DE8" w:rsidRDefault="00623E9E" w14:paraId="189CE723" w14:textId="77777777">
      <w:pPr>
        <w:suppressAutoHyphens/>
      </w:pPr>
    </w:p>
    <w:tbl>
      <w:tblPr>
        <w:tblW w:w="5000" w:type="pct"/>
        <w:tblLook w:val="04A0" w:firstRow="1" w:lastRow="0" w:firstColumn="1" w:lastColumn="0" w:noHBand="0" w:noVBand="1"/>
      </w:tblPr>
      <w:tblGrid>
        <w:gridCol w:w="1858"/>
        <w:gridCol w:w="7431"/>
      </w:tblGrid>
      <w:tr w:rsidRPr="00BA440C" w:rsidR="00623E9E" w:rsidTr="00BA440C" w14:paraId="5AA87467" w14:textId="77777777">
        <w:tc>
          <w:tcPr>
            <w:tcW w:w="1000" w:type="pct"/>
          </w:tcPr>
          <w:p w:rsidRPr="00BA440C" w:rsidR="00623E9E" w:rsidP="008E7DE8" w:rsidRDefault="00623E9E" w14:paraId="565BF265" w14:textId="77777777">
            <w:pPr>
              <w:suppressAutoHyphens/>
              <w:overflowPunct w:val="0"/>
              <w:autoSpaceDE w:val="0"/>
              <w:autoSpaceDN w:val="0"/>
              <w:adjustRightInd w:val="0"/>
              <w:textAlignment w:val="baseline"/>
              <w:rPr>
                <w:i/>
              </w:rPr>
            </w:pPr>
            <w:r w:rsidRPr="00BA440C">
              <w:rPr>
                <w:b/>
                <w:i/>
              </w:rPr>
              <w:t>Kontakt</w:t>
            </w:r>
          </w:p>
        </w:tc>
        <w:tc>
          <w:tcPr>
            <w:tcW w:w="4000" w:type="pct"/>
          </w:tcPr>
          <w:p w:rsidRPr="00BA440C" w:rsidR="00623E9E" w:rsidP="008E7DE8" w:rsidRDefault="00623E9E" w14:paraId="206EEDE0" w14:textId="77777777">
            <w:pPr>
              <w:suppressAutoHyphens/>
              <w:overflowPunct w:val="0"/>
              <w:autoSpaceDE w:val="0"/>
              <w:autoSpaceDN w:val="0"/>
              <w:adjustRightInd w:val="0"/>
              <w:textAlignment w:val="baseline"/>
              <w:rPr>
                <w:i/>
              </w:rPr>
            </w:pPr>
            <w:r w:rsidRPr="00BA440C">
              <w:rPr>
                <w:i/>
              </w:rPr>
              <w:t>Marie-Laurence Drillon</w:t>
            </w:r>
          </w:p>
        </w:tc>
      </w:tr>
      <w:tr w:rsidRPr="00BA440C" w:rsidR="00623E9E" w:rsidTr="00BA440C" w14:paraId="1831ADE5" w14:textId="77777777">
        <w:tc>
          <w:tcPr>
            <w:tcW w:w="1000" w:type="pct"/>
          </w:tcPr>
          <w:p w:rsidRPr="00BA440C" w:rsidR="00623E9E" w:rsidP="008E7DE8" w:rsidRDefault="00623E9E" w14:paraId="0B867EF2" w14:textId="77777777">
            <w:pPr>
              <w:suppressAutoHyphens/>
              <w:overflowPunct w:val="0"/>
              <w:autoSpaceDE w:val="0"/>
              <w:autoSpaceDN w:val="0"/>
              <w:adjustRightInd w:val="0"/>
              <w:textAlignment w:val="baseline"/>
              <w:rPr>
                <w:i/>
              </w:rPr>
            </w:pPr>
            <w:r w:rsidRPr="00BA440C">
              <w:rPr>
                <w:i/>
              </w:rPr>
              <w:t>tel.</w:t>
            </w:r>
          </w:p>
        </w:tc>
        <w:tc>
          <w:tcPr>
            <w:tcW w:w="4000" w:type="pct"/>
          </w:tcPr>
          <w:p w:rsidRPr="00BA440C" w:rsidR="00623E9E" w:rsidP="008E7DE8" w:rsidRDefault="00623E9E" w14:paraId="41C0B021" w14:textId="77777777">
            <w:pPr>
              <w:suppressAutoHyphens/>
              <w:overflowPunct w:val="0"/>
              <w:autoSpaceDE w:val="0"/>
              <w:autoSpaceDN w:val="0"/>
              <w:adjustRightInd w:val="0"/>
              <w:textAlignment w:val="baseline"/>
              <w:rPr>
                <w:i/>
              </w:rPr>
            </w:pPr>
            <w:r w:rsidRPr="00BA440C">
              <w:rPr>
                <w:i/>
              </w:rPr>
              <w:t>+32 2 546 8320</w:t>
            </w:r>
          </w:p>
        </w:tc>
      </w:tr>
      <w:tr w:rsidRPr="00BA440C" w:rsidR="00623E9E" w:rsidTr="00BA440C" w14:paraId="042D4108" w14:textId="77777777">
        <w:tc>
          <w:tcPr>
            <w:tcW w:w="1000" w:type="pct"/>
          </w:tcPr>
          <w:p w:rsidRPr="00BA440C" w:rsidR="00623E9E" w:rsidP="008E7DE8" w:rsidRDefault="00752F62" w14:paraId="44E8DDBE" w14:textId="17714177">
            <w:pPr>
              <w:suppressAutoHyphens/>
              <w:overflowPunct w:val="0"/>
              <w:autoSpaceDE w:val="0"/>
              <w:autoSpaceDN w:val="0"/>
              <w:adjustRightInd w:val="0"/>
              <w:textAlignment w:val="baseline"/>
              <w:rPr>
                <w:i/>
              </w:rPr>
            </w:pPr>
            <w:r w:rsidRPr="00BA440C">
              <w:rPr>
                <w:i/>
              </w:rPr>
              <w:t>e-mail</w:t>
            </w:r>
          </w:p>
        </w:tc>
        <w:tc>
          <w:tcPr>
            <w:tcW w:w="4000" w:type="pct"/>
          </w:tcPr>
          <w:p w:rsidRPr="00BA440C" w:rsidR="00623E9E" w:rsidP="008E7DE8" w:rsidRDefault="00F220BF" w14:paraId="348F9AAA" w14:textId="77777777">
            <w:pPr>
              <w:suppressAutoHyphens/>
              <w:overflowPunct w:val="0"/>
              <w:autoSpaceDE w:val="0"/>
              <w:autoSpaceDN w:val="0"/>
              <w:adjustRightInd w:val="0"/>
              <w:textAlignment w:val="baseline"/>
              <w:rPr>
                <w:i/>
              </w:rPr>
            </w:pPr>
            <w:hyperlink w:history="1" r:id="rId56">
              <w:r w:rsidRPr="00BA440C" w:rsidR="006E14B4">
                <w:rPr>
                  <w:i/>
                  <w:color w:val="0000FF"/>
                  <w:u w:val="single"/>
                </w:rPr>
                <w:t>Marie-Laurence.Drillon@eesc.europa.eu</w:t>
              </w:r>
            </w:hyperlink>
          </w:p>
        </w:tc>
      </w:tr>
    </w:tbl>
    <w:p w:rsidR="00BA440C" w:rsidP="008E7DE8" w:rsidRDefault="00BA440C" w14:paraId="00E015F7" w14:textId="77777777">
      <w:pPr>
        <w:suppressAutoHyphens/>
        <w:jc w:val="center"/>
      </w:pPr>
    </w:p>
    <w:p w:rsidRPr="00BA440C" w:rsidR="000D394D" w:rsidP="008E7DE8" w:rsidRDefault="00726351" w14:paraId="2E28EF19" w14:textId="11F1B602">
      <w:pPr>
        <w:suppressAutoHyphens/>
        <w:jc w:val="center"/>
      </w:pPr>
      <w:r w:rsidRPr="00BA440C">
        <w:t>_____________</w:t>
      </w:r>
    </w:p>
    <w:sectPr w:rsidRPr="00BA440C" w:rsidR="000D394D" w:rsidSect="00BA440C">
      <w:headerReference w:type="even" r:id="rId57"/>
      <w:headerReference w:type="default" r:id="rId58"/>
      <w:footerReference w:type="even" r:id="rId59"/>
      <w:footerReference w:type="default" r:id="rId60"/>
      <w:headerReference w:type="first" r:id="rId61"/>
      <w:footerReference w:type="first" r:id="rId62"/>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5A4C4" w14:textId="77777777" w:rsidR="00227559" w:rsidRDefault="00227559" w:rsidP="00B518C9">
      <w:pPr>
        <w:spacing w:line="240" w:lineRule="auto"/>
      </w:pPr>
      <w:r>
        <w:separator/>
      </w:r>
    </w:p>
    <w:p w14:paraId="3A5ED762" w14:textId="77777777" w:rsidR="00227559" w:rsidRDefault="00227559"/>
  </w:endnote>
  <w:endnote w:type="continuationSeparator" w:id="0">
    <w:p w14:paraId="4BCEBE6C" w14:textId="77777777" w:rsidR="00227559" w:rsidRDefault="00227559" w:rsidP="00B518C9">
      <w:pPr>
        <w:spacing w:line="240" w:lineRule="auto"/>
      </w:pPr>
      <w:r>
        <w:continuationSeparator/>
      </w:r>
    </w:p>
    <w:p w14:paraId="556C10CC" w14:textId="77777777" w:rsidR="00227559" w:rsidRDefault="00227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1E2A" w14:textId="77777777" w:rsidR="00F250D5" w:rsidRPr="00BA440C" w:rsidRDefault="00F250D5" w:rsidP="00BA44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2BE0C119" w:rsidR="00B518C9" w:rsidRPr="00BA440C" w:rsidRDefault="00BA440C" w:rsidP="00BA440C">
    <w:pPr>
      <w:pStyle w:val="Footer"/>
    </w:pPr>
    <w:r>
      <w:t xml:space="preserve">EESC-2025-00345-00-01-TCD-TRA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fldSimple w:instr=" NUMPAGES ">
      <w:r w:rsidR="00A9466E">
        <w:rPr>
          <w:noProof/>
        </w:rPr>
        <w:instrText>26</w:instrText>
      </w:r>
    </w:fldSimple>
    <w:r>
      <w:instrText xml:space="preserve"> -0 </w:instrText>
    </w:r>
    <w:r>
      <w:fldChar w:fldCharType="separate"/>
    </w:r>
    <w:r w:rsidR="00A9466E">
      <w:rPr>
        <w:noProof/>
      </w:rPr>
      <w:t>26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274A4" w14:textId="77777777" w:rsidR="00F250D5" w:rsidRPr="00BA440C" w:rsidRDefault="00F250D5" w:rsidP="00BA44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0EDD" w14:textId="77777777" w:rsidR="0067428C" w:rsidRPr="00BA440C" w:rsidRDefault="0067428C" w:rsidP="00BA44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FA535" w14:textId="1E48F690" w:rsidR="0067428C" w:rsidRPr="00BA440C" w:rsidRDefault="00BA440C" w:rsidP="00BA440C">
    <w:pPr>
      <w:pStyle w:val="Footer"/>
    </w:pPr>
    <w:r>
      <w:t xml:space="preserve">EESC-2025-00345-00-01-TCD-TRA (EN)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 </w:instrText>
    </w:r>
    <w:fldSimple w:instr=" NUMPAGES ">
      <w:r w:rsidR="00A9466E">
        <w:rPr>
          <w:noProof/>
        </w:rPr>
        <w:instrText>26</w:instrText>
      </w:r>
    </w:fldSimple>
    <w:r>
      <w:instrText xml:space="preserve"> -0 </w:instrText>
    </w:r>
    <w:r>
      <w:fldChar w:fldCharType="separate"/>
    </w:r>
    <w:r w:rsidR="00A9466E">
      <w:rPr>
        <w:noProof/>
      </w:rPr>
      <w:t>26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99D3" w14:textId="77777777" w:rsidR="00EE160A" w:rsidRPr="00BA440C" w:rsidRDefault="00EE160A" w:rsidP="00BA4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85884" w14:textId="77777777" w:rsidR="00227559" w:rsidRDefault="00227559" w:rsidP="00B518C9">
      <w:pPr>
        <w:spacing w:line="240" w:lineRule="auto"/>
      </w:pPr>
      <w:r>
        <w:separator/>
      </w:r>
    </w:p>
    <w:p w14:paraId="68988782" w14:textId="77777777" w:rsidR="00227559" w:rsidRDefault="00227559"/>
  </w:footnote>
  <w:footnote w:type="continuationSeparator" w:id="0">
    <w:p w14:paraId="39883EF1" w14:textId="77777777" w:rsidR="00227559" w:rsidRDefault="00227559" w:rsidP="00B518C9">
      <w:pPr>
        <w:spacing w:line="240" w:lineRule="auto"/>
      </w:pPr>
      <w:r>
        <w:continuationSeparator/>
      </w:r>
    </w:p>
    <w:p w14:paraId="3AE36317" w14:textId="77777777" w:rsidR="00227559" w:rsidRDefault="002275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1D47C" w14:textId="77777777" w:rsidR="00F250D5" w:rsidRPr="00BA440C" w:rsidRDefault="00F250D5" w:rsidP="00BA44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78CD0" w14:textId="26DDA75F" w:rsidR="00F250D5" w:rsidRPr="00BA440C" w:rsidRDefault="00F250D5" w:rsidP="00BA44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66853" w14:textId="77777777" w:rsidR="00F250D5" w:rsidRPr="00BA440C" w:rsidRDefault="00F250D5" w:rsidP="00BA44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7FC30" w14:textId="77777777" w:rsidR="0067428C" w:rsidRPr="00BA440C" w:rsidRDefault="0067428C" w:rsidP="00BA44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92C5D" w14:textId="3724526D" w:rsidR="0067428C" w:rsidRPr="00BA440C" w:rsidRDefault="0067428C" w:rsidP="00BA44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5D0A" w14:textId="77777777" w:rsidR="00EE160A" w:rsidRPr="00BA440C" w:rsidRDefault="00EE160A" w:rsidP="00BA44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E78A658"/>
    <w:lvl w:ilvl="0">
      <w:start w:val="1"/>
      <w:numFmt w:val="decimal"/>
      <w:pStyle w:val="Heading1"/>
      <w:lvlText w:val="%1."/>
      <w:legacy w:legacy="1" w:legacySpace="0" w:legacyIndent="0"/>
      <w:lvlJc w:val="left"/>
      <w:rPr>
        <w:b w:val="0"/>
        <w:bCs/>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E06ABCBE"/>
    <w:lvl w:ilvl="0">
      <w:numFmt w:val="decimal"/>
      <w:lvlText w:val="*"/>
      <w:lvlJc w:val="left"/>
    </w:lvl>
  </w:abstractNum>
  <w:abstractNum w:abstractNumId="2" w15:restartNumberingAfterBreak="0">
    <w:nsid w:val="003B78BD"/>
    <w:multiLevelType w:val="hybridMultilevel"/>
    <w:tmpl w:val="66DEF13E"/>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3" w15:restartNumberingAfterBreak="0">
    <w:nsid w:val="017F16A7"/>
    <w:multiLevelType w:val="hybridMultilevel"/>
    <w:tmpl w:val="7612248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8F1F91"/>
    <w:multiLevelType w:val="hybridMultilevel"/>
    <w:tmpl w:val="C946376A"/>
    <w:lvl w:ilvl="0" w:tplc="FFFFFFFF">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C53A5C"/>
    <w:multiLevelType w:val="hybridMultilevel"/>
    <w:tmpl w:val="2CB206D8"/>
    <w:lvl w:ilvl="0" w:tplc="8E864B0C">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080A122A"/>
    <w:multiLevelType w:val="hybridMultilevel"/>
    <w:tmpl w:val="0BB8EE18"/>
    <w:lvl w:ilvl="0" w:tplc="8E864B0C">
      <w:start w:val="1"/>
      <w:numFmt w:val="bullet"/>
      <w:lvlText w:val=""/>
      <w:lvlJc w:val="left"/>
      <w:pPr>
        <w:ind w:left="720" w:hanging="360"/>
      </w:pPr>
      <w:rPr>
        <w:rFonts w:ascii="Symbol" w:hAnsi="Symbol" w:hint="default"/>
        <w:color w:val="auto"/>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B475CB"/>
    <w:multiLevelType w:val="hybridMultilevel"/>
    <w:tmpl w:val="7BFE4DA0"/>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0CDE4774"/>
    <w:multiLevelType w:val="hybridMultilevel"/>
    <w:tmpl w:val="37BA4F42"/>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10F77DDB"/>
    <w:multiLevelType w:val="hybridMultilevel"/>
    <w:tmpl w:val="33DC056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94116E1"/>
    <w:multiLevelType w:val="hybridMultilevel"/>
    <w:tmpl w:val="DFE84AE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9883396"/>
    <w:multiLevelType w:val="hybridMultilevel"/>
    <w:tmpl w:val="5EC05AF6"/>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2" w15:restartNumberingAfterBreak="0">
    <w:nsid w:val="1BBA7630"/>
    <w:multiLevelType w:val="singleLevel"/>
    <w:tmpl w:val="20000001"/>
    <w:lvl w:ilvl="0">
      <w:start w:val="1"/>
      <w:numFmt w:val="bullet"/>
      <w:lvlText w:val=""/>
      <w:lvlJc w:val="left"/>
      <w:pPr>
        <w:ind w:left="720" w:hanging="360"/>
      </w:pPr>
      <w:rPr>
        <w:rFonts w:ascii="Symbol" w:hAnsi="Symbol" w:hint="default"/>
      </w:rPr>
    </w:lvl>
  </w:abstractNum>
  <w:abstractNum w:abstractNumId="13" w15:restartNumberingAfterBreak="0">
    <w:nsid w:val="1C4658E6"/>
    <w:multiLevelType w:val="hybridMultilevel"/>
    <w:tmpl w:val="8746298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4" w15:restartNumberingAfterBreak="0">
    <w:nsid w:val="1E5D0EFB"/>
    <w:multiLevelType w:val="hybridMultilevel"/>
    <w:tmpl w:val="FC00356E"/>
    <w:lvl w:ilvl="0" w:tplc="8E864B0C">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1FFA70D8"/>
    <w:multiLevelType w:val="hybridMultilevel"/>
    <w:tmpl w:val="81BC6AFA"/>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24202159"/>
    <w:multiLevelType w:val="hybridMultilevel"/>
    <w:tmpl w:val="02F24922"/>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6158AC"/>
    <w:multiLevelType w:val="multilevel"/>
    <w:tmpl w:val="0BC8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D83E27"/>
    <w:multiLevelType w:val="hybridMultilevel"/>
    <w:tmpl w:val="1F4CEE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0375C3D"/>
    <w:multiLevelType w:val="hybridMultilevel"/>
    <w:tmpl w:val="A06E2070"/>
    <w:lvl w:ilvl="0" w:tplc="8E864B0C">
      <w:start w:val="1"/>
      <w:numFmt w:val="bullet"/>
      <w:lvlText w:val=""/>
      <w:lvlJc w:val="left"/>
      <w:pPr>
        <w:ind w:left="1429" w:hanging="360"/>
      </w:pPr>
      <w:rPr>
        <w:rFonts w:ascii="Symbol" w:hAnsi="Symbol" w:hint="default"/>
        <w:color w:val="auto"/>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2" w15:restartNumberingAfterBreak="0">
    <w:nsid w:val="327B5574"/>
    <w:multiLevelType w:val="hybridMultilevel"/>
    <w:tmpl w:val="1854AB3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3" w15:restartNumberingAfterBreak="0">
    <w:nsid w:val="35F41A11"/>
    <w:multiLevelType w:val="hybridMultilevel"/>
    <w:tmpl w:val="BF64D86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AC60B2F"/>
    <w:multiLevelType w:val="hybridMultilevel"/>
    <w:tmpl w:val="76C615E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5" w15:restartNumberingAfterBreak="0">
    <w:nsid w:val="418E1E35"/>
    <w:multiLevelType w:val="multilevel"/>
    <w:tmpl w:val="972E55B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23467D"/>
    <w:multiLevelType w:val="hybridMultilevel"/>
    <w:tmpl w:val="A724B3C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FE12C5B"/>
    <w:multiLevelType w:val="hybridMultilevel"/>
    <w:tmpl w:val="A59A9AF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8" w15:restartNumberingAfterBreak="0">
    <w:nsid w:val="52CA61C9"/>
    <w:multiLevelType w:val="hybridMultilevel"/>
    <w:tmpl w:val="6F5442C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54382302"/>
    <w:multiLevelType w:val="hybridMultilevel"/>
    <w:tmpl w:val="13C23AD6"/>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4F92C6D"/>
    <w:multiLevelType w:val="hybridMultilevel"/>
    <w:tmpl w:val="246A71BC"/>
    <w:lvl w:ilvl="0" w:tplc="04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5928275E"/>
    <w:multiLevelType w:val="hybridMultilevel"/>
    <w:tmpl w:val="F3E2DFF8"/>
    <w:lvl w:ilvl="0" w:tplc="8E864B0C">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2" w15:restartNumberingAfterBreak="0">
    <w:nsid w:val="59CD5CD1"/>
    <w:multiLevelType w:val="hybridMultilevel"/>
    <w:tmpl w:val="EA264F8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3" w15:restartNumberingAfterBreak="0">
    <w:nsid w:val="5D195562"/>
    <w:multiLevelType w:val="hybridMultilevel"/>
    <w:tmpl w:val="916C5084"/>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FCF522C"/>
    <w:multiLevelType w:val="hybridMultilevel"/>
    <w:tmpl w:val="FAC885D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5" w15:restartNumberingAfterBreak="0">
    <w:nsid w:val="627C73E2"/>
    <w:multiLevelType w:val="hybridMultilevel"/>
    <w:tmpl w:val="D9784A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97D1E3D"/>
    <w:multiLevelType w:val="hybridMultilevel"/>
    <w:tmpl w:val="8BEA0D7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6D11A3"/>
    <w:multiLevelType w:val="singleLevel"/>
    <w:tmpl w:val="C97AF652"/>
    <w:lvl w:ilvl="0">
      <w:numFmt w:val="decimal"/>
      <w:lvlText w:val="*"/>
      <w:lvlJc w:val="left"/>
    </w:lvl>
  </w:abstractNum>
  <w:abstractNum w:abstractNumId="38" w15:restartNumberingAfterBreak="0">
    <w:nsid w:val="6C3C7753"/>
    <w:multiLevelType w:val="hybridMultilevel"/>
    <w:tmpl w:val="F4C60320"/>
    <w:lvl w:ilvl="0" w:tplc="8E864B0C">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9" w15:restartNumberingAfterBreak="0">
    <w:nsid w:val="6F781A53"/>
    <w:multiLevelType w:val="hybridMultilevel"/>
    <w:tmpl w:val="20F6F7E8"/>
    <w:lvl w:ilvl="0" w:tplc="8E864B0C">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0" w15:restartNumberingAfterBreak="0">
    <w:nsid w:val="72EB051D"/>
    <w:multiLevelType w:val="hybridMultilevel"/>
    <w:tmpl w:val="D5B6578A"/>
    <w:lvl w:ilvl="0" w:tplc="8E864B0C">
      <w:start w:val="1"/>
      <w:numFmt w:val="bullet"/>
      <w:lvlText w:val=""/>
      <w:lvlJc w:val="left"/>
      <w:pPr>
        <w:ind w:left="567" w:hanging="283"/>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1" w15:restartNumberingAfterBreak="0">
    <w:nsid w:val="7E085AB1"/>
    <w:multiLevelType w:val="hybridMultilevel"/>
    <w:tmpl w:val="06FC5AFA"/>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2" w15:restartNumberingAfterBreak="0">
    <w:nsid w:val="7E1A7F53"/>
    <w:multiLevelType w:val="hybridMultilevel"/>
    <w:tmpl w:val="B080A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1"/>
    <w:lvlOverride w:ilvl="0">
      <w:lvl w:ilvl="0">
        <w:start w:val="1"/>
        <w:numFmt w:val="bullet"/>
        <w:lvlText w:val=""/>
        <w:lvlJc w:val="left"/>
        <w:pPr>
          <w:ind w:left="720" w:hanging="360"/>
        </w:pPr>
        <w:rPr>
          <w:rFonts w:ascii="Symbol" w:hAnsi="Symbol" w:hint="default"/>
          <w:color w:val="auto"/>
        </w:rPr>
      </w:lvl>
    </w:lvlOverride>
  </w:num>
  <w:num w:numId="4">
    <w:abstractNumId w:val="17"/>
  </w:num>
  <w:num w:numId="5">
    <w:abstractNumId w:val="30"/>
  </w:num>
  <w:num w:numId="6">
    <w:abstractNumId w:val="20"/>
  </w:num>
  <w:num w:numId="7">
    <w:abstractNumId w:val="18"/>
  </w:num>
  <w:num w:numId="8">
    <w:abstractNumId w:val="28"/>
  </w:num>
  <w:num w:numId="9">
    <w:abstractNumId w:val="34"/>
  </w:num>
  <w:num w:numId="10">
    <w:abstractNumId w:val="12"/>
  </w:num>
  <w:num w:numId="11">
    <w:abstractNumId w:val="37"/>
  </w:num>
  <w:num w:numId="12">
    <w:abstractNumId w:val="35"/>
  </w:num>
  <w:num w:numId="13">
    <w:abstractNumId w:val="9"/>
  </w:num>
  <w:num w:numId="14">
    <w:abstractNumId w:val="19"/>
  </w:num>
  <w:num w:numId="15">
    <w:abstractNumId w:val="2"/>
  </w:num>
  <w:num w:numId="16">
    <w:abstractNumId w:val="42"/>
  </w:num>
  <w:num w:numId="17">
    <w:abstractNumId w:val="36"/>
  </w:num>
  <w:num w:numId="18">
    <w:abstractNumId w:val="40"/>
  </w:num>
  <w:num w:numId="19">
    <w:abstractNumId w:val="27"/>
  </w:num>
  <w:num w:numId="20">
    <w:abstractNumId w:val="15"/>
  </w:num>
  <w:num w:numId="21">
    <w:abstractNumId w:val="29"/>
  </w:num>
  <w:num w:numId="22">
    <w:abstractNumId w:val="16"/>
  </w:num>
  <w:num w:numId="23">
    <w:abstractNumId w:val="7"/>
  </w:num>
  <w:num w:numId="24">
    <w:abstractNumId w:val="6"/>
  </w:num>
  <w:num w:numId="25">
    <w:abstractNumId w:val="8"/>
  </w:num>
  <w:num w:numId="26">
    <w:abstractNumId w:val="26"/>
  </w:num>
  <w:num w:numId="27">
    <w:abstractNumId w:val="10"/>
  </w:num>
  <w:num w:numId="28">
    <w:abstractNumId w:val="22"/>
  </w:num>
  <w:num w:numId="29">
    <w:abstractNumId w:val="41"/>
  </w:num>
  <w:num w:numId="30">
    <w:abstractNumId w:val="11"/>
  </w:num>
  <w:num w:numId="31">
    <w:abstractNumId w:val="13"/>
  </w:num>
  <w:num w:numId="32">
    <w:abstractNumId w:val="33"/>
  </w:num>
  <w:num w:numId="33">
    <w:abstractNumId w:val="25"/>
  </w:num>
  <w:num w:numId="34">
    <w:abstractNumId w:val="24"/>
  </w:num>
  <w:num w:numId="35">
    <w:abstractNumId w:val="23"/>
  </w:num>
  <w:num w:numId="36">
    <w:abstractNumId w:val="4"/>
  </w:num>
  <w:num w:numId="37">
    <w:abstractNumId w:val="21"/>
  </w:num>
  <w:num w:numId="38">
    <w:abstractNumId w:val="32"/>
  </w:num>
  <w:num w:numId="39">
    <w:abstractNumId w:val="39"/>
  </w:num>
  <w:num w:numId="40">
    <w:abstractNumId w:val="38"/>
  </w:num>
  <w:num w:numId="41">
    <w:abstractNumId w:val="31"/>
  </w:num>
  <w:num w:numId="42">
    <w:abstractNumId w:val="14"/>
  </w:num>
  <w:num w:numId="43">
    <w:abstractNumId w:val="5"/>
  </w:num>
  <w:num w:numId="4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462A"/>
    <w:rsid w:val="00010A4D"/>
    <w:rsid w:val="00032230"/>
    <w:rsid w:val="0005257A"/>
    <w:rsid w:val="00063DFF"/>
    <w:rsid w:val="00077D3D"/>
    <w:rsid w:val="00083115"/>
    <w:rsid w:val="000857F2"/>
    <w:rsid w:val="00093B0F"/>
    <w:rsid w:val="000A2214"/>
    <w:rsid w:val="000A6A5A"/>
    <w:rsid w:val="000B40B4"/>
    <w:rsid w:val="000D394D"/>
    <w:rsid w:val="000D43E1"/>
    <w:rsid w:val="000D533F"/>
    <w:rsid w:val="000E4936"/>
    <w:rsid w:val="00107677"/>
    <w:rsid w:val="001131B6"/>
    <w:rsid w:val="00114665"/>
    <w:rsid w:val="00114D45"/>
    <w:rsid w:val="00116EE0"/>
    <w:rsid w:val="001208E1"/>
    <w:rsid w:val="00126764"/>
    <w:rsid w:val="00135E56"/>
    <w:rsid w:val="0015044C"/>
    <w:rsid w:val="0015267F"/>
    <w:rsid w:val="00154A6C"/>
    <w:rsid w:val="00157297"/>
    <w:rsid w:val="001638E9"/>
    <w:rsid w:val="00175F5A"/>
    <w:rsid w:val="001826A4"/>
    <w:rsid w:val="0018354A"/>
    <w:rsid w:val="001900C9"/>
    <w:rsid w:val="00195DF6"/>
    <w:rsid w:val="001C0AB9"/>
    <w:rsid w:val="001C4BA5"/>
    <w:rsid w:val="001C5762"/>
    <w:rsid w:val="001E391D"/>
    <w:rsid w:val="0020320E"/>
    <w:rsid w:val="00204020"/>
    <w:rsid w:val="00217685"/>
    <w:rsid w:val="00225BB6"/>
    <w:rsid w:val="00227559"/>
    <w:rsid w:val="00232656"/>
    <w:rsid w:val="00247F8B"/>
    <w:rsid w:val="002538AC"/>
    <w:rsid w:val="00264FC2"/>
    <w:rsid w:val="0027707F"/>
    <w:rsid w:val="00293191"/>
    <w:rsid w:val="002A5636"/>
    <w:rsid w:val="002A61F5"/>
    <w:rsid w:val="002B51B6"/>
    <w:rsid w:val="002B7981"/>
    <w:rsid w:val="002E05A2"/>
    <w:rsid w:val="00302537"/>
    <w:rsid w:val="003066BE"/>
    <w:rsid w:val="00321FDD"/>
    <w:rsid w:val="003227CC"/>
    <w:rsid w:val="003232BE"/>
    <w:rsid w:val="00343F74"/>
    <w:rsid w:val="003442FB"/>
    <w:rsid w:val="00366FB1"/>
    <w:rsid w:val="00382A22"/>
    <w:rsid w:val="00392B2D"/>
    <w:rsid w:val="003A4752"/>
    <w:rsid w:val="003B3B1A"/>
    <w:rsid w:val="003C2964"/>
    <w:rsid w:val="003F326D"/>
    <w:rsid w:val="003F4AD5"/>
    <w:rsid w:val="003F79EF"/>
    <w:rsid w:val="00402449"/>
    <w:rsid w:val="0041135D"/>
    <w:rsid w:val="00421AAB"/>
    <w:rsid w:val="004229C4"/>
    <w:rsid w:val="004255DD"/>
    <w:rsid w:val="0043191A"/>
    <w:rsid w:val="00435AEF"/>
    <w:rsid w:val="00444504"/>
    <w:rsid w:val="00465FCD"/>
    <w:rsid w:val="00486DAE"/>
    <w:rsid w:val="004A5CD7"/>
    <w:rsid w:val="004C2B61"/>
    <w:rsid w:val="004D7AC0"/>
    <w:rsid w:val="004E3508"/>
    <w:rsid w:val="004E411F"/>
    <w:rsid w:val="004E492E"/>
    <w:rsid w:val="004F23ED"/>
    <w:rsid w:val="004F2989"/>
    <w:rsid w:val="004F7E9C"/>
    <w:rsid w:val="0052107B"/>
    <w:rsid w:val="005234CD"/>
    <w:rsid w:val="00532089"/>
    <w:rsid w:val="005404CB"/>
    <w:rsid w:val="005820A0"/>
    <w:rsid w:val="00586B4B"/>
    <w:rsid w:val="005873B0"/>
    <w:rsid w:val="005904B2"/>
    <w:rsid w:val="00592F07"/>
    <w:rsid w:val="00593C9F"/>
    <w:rsid w:val="005A0BDA"/>
    <w:rsid w:val="005A3D14"/>
    <w:rsid w:val="005A4C58"/>
    <w:rsid w:val="005B5258"/>
    <w:rsid w:val="005C66E1"/>
    <w:rsid w:val="005E43B3"/>
    <w:rsid w:val="005E7651"/>
    <w:rsid w:val="005F41D0"/>
    <w:rsid w:val="005F55DC"/>
    <w:rsid w:val="00623E9E"/>
    <w:rsid w:val="00625CA3"/>
    <w:rsid w:val="00627052"/>
    <w:rsid w:val="00641262"/>
    <w:rsid w:val="00652335"/>
    <w:rsid w:val="0067428C"/>
    <w:rsid w:val="006825FC"/>
    <w:rsid w:val="00691BA5"/>
    <w:rsid w:val="006B21A0"/>
    <w:rsid w:val="006C0A65"/>
    <w:rsid w:val="006C533B"/>
    <w:rsid w:val="006C6ECE"/>
    <w:rsid w:val="006D16C7"/>
    <w:rsid w:val="006D1DFA"/>
    <w:rsid w:val="006D2C8A"/>
    <w:rsid w:val="006D2D64"/>
    <w:rsid w:val="006E14B4"/>
    <w:rsid w:val="006E2EF5"/>
    <w:rsid w:val="006E62F7"/>
    <w:rsid w:val="006F1989"/>
    <w:rsid w:val="00713105"/>
    <w:rsid w:val="00720580"/>
    <w:rsid w:val="00726351"/>
    <w:rsid w:val="007448E4"/>
    <w:rsid w:val="00752F62"/>
    <w:rsid w:val="00754027"/>
    <w:rsid w:val="007554BE"/>
    <w:rsid w:val="00766B1A"/>
    <w:rsid w:val="00770B4A"/>
    <w:rsid w:val="00773E8D"/>
    <w:rsid w:val="00777195"/>
    <w:rsid w:val="0079405E"/>
    <w:rsid w:val="00795836"/>
    <w:rsid w:val="007A0964"/>
    <w:rsid w:val="007A0BE6"/>
    <w:rsid w:val="007B1DCA"/>
    <w:rsid w:val="007C1ABC"/>
    <w:rsid w:val="007D30C1"/>
    <w:rsid w:val="007F5784"/>
    <w:rsid w:val="008171FA"/>
    <w:rsid w:val="0083181F"/>
    <w:rsid w:val="00832938"/>
    <w:rsid w:val="00840FC8"/>
    <w:rsid w:val="008413EF"/>
    <w:rsid w:val="0084417F"/>
    <w:rsid w:val="008452C8"/>
    <w:rsid w:val="00845F24"/>
    <w:rsid w:val="00850929"/>
    <w:rsid w:val="00860DE0"/>
    <w:rsid w:val="00864670"/>
    <w:rsid w:val="00865A78"/>
    <w:rsid w:val="00866666"/>
    <w:rsid w:val="0086679E"/>
    <w:rsid w:val="00871DCF"/>
    <w:rsid w:val="008752F5"/>
    <w:rsid w:val="008761FA"/>
    <w:rsid w:val="0088219D"/>
    <w:rsid w:val="00892F37"/>
    <w:rsid w:val="00895E2D"/>
    <w:rsid w:val="008B5FC5"/>
    <w:rsid w:val="008B7F9B"/>
    <w:rsid w:val="008C5361"/>
    <w:rsid w:val="008C7452"/>
    <w:rsid w:val="008D0303"/>
    <w:rsid w:val="008D05C8"/>
    <w:rsid w:val="008D44E2"/>
    <w:rsid w:val="008E7DE8"/>
    <w:rsid w:val="0090254F"/>
    <w:rsid w:val="00904A22"/>
    <w:rsid w:val="00910C90"/>
    <w:rsid w:val="009144BA"/>
    <w:rsid w:val="00941874"/>
    <w:rsid w:val="0094356F"/>
    <w:rsid w:val="00945147"/>
    <w:rsid w:val="00980902"/>
    <w:rsid w:val="0098098F"/>
    <w:rsid w:val="00981AAC"/>
    <w:rsid w:val="00996457"/>
    <w:rsid w:val="009A2569"/>
    <w:rsid w:val="009B04E2"/>
    <w:rsid w:val="009B199C"/>
    <w:rsid w:val="009B596B"/>
    <w:rsid w:val="009C3A5E"/>
    <w:rsid w:val="009D7E2D"/>
    <w:rsid w:val="009E747C"/>
    <w:rsid w:val="00A02A59"/>
    <w:rsid w:val="00A073FB"/>
    <w:rsid w:val="00A124AE"/>
    <w:rsid w:val="00A20E9D"/>
    <w:rsid w:val="00A230A4"/>
    <w:rsid w:val="00A26A65"/>
    <w:rsid w:val="00A272B2"/>
    <w:rsid w:val="00A30FAD"/>
    <w:rsid w:val="00A33529"/>
    <w:rsid w:val="00A50553"/>
    <w:rsid w:val="00A5081E"/>
    <w:rsid w:val="00A512D0"/>
    <w:rsid w:val="00A71030"/>
    <w:rsid w:val="00A81F18"/>
    <w:rsid w:val="00A832E6"/>
    <w:rsid w:val="00A94349"/>
    <w:rsid w:val="00A9466E"/>
    <w:rsid w:val="00AC7540"/>
    <w:rsid w:val="00AD28C9"/>
    <w:rsid w:val="00AE5791"/>
    <w:rsid w:val="00AF6DC1"/>
    <w:rsid w:val="00AF7CA7"/>
    <w:rsid w:val="00B10907"/>
    <w:rsid w:val="00B11B7E"/>
    <w:rsid w:val="00B16AE4"/>
    <w:rsid w:val="00B203DA"/>
    <w:rsid w:val="00B21DC6"/>
    <w:rsid w:val="00B227BF"/>
    <w:rsid w:val="00B47C02"/>
    <w:rsid w:val="00B518C9"/>
    <w:rsid w:val="00B51A72"/>
    <w:rsid w:val="00B60670"/>
    <w:rsid w:val="00B73BE7"/>
    <w:rsid w:val="00B80EC0"/>
    <w:rsid w:val="00B83272"/>
    <w:rsid w:val="00B8503F"/>
    <w:rsid w:val="00B87220"/>
    <w:rsid w:val="00B95DFE"/>
    <w:rsid w:val="00B97319"/>
    <w:rsid w:val="00BA081D"/>
    <w:rsid w:val="00BA2F3D"/>
    <w:rsid w:val="00BA440C"/>
    <w:rsid w:val="00BA71AC"/>
    <w:rsid w:val="00BB020C"/>
    <w:rsid w:val="00BB1131"/>
    <w:rsid w:val="00BB118B"/>
    <w:rsid w:val="00BB17B1"/>
    <w:rsid w:val="00BB7501"/>
    <w:rsid w:val="00BC003D"/>
    <w:rsid w:val="00BC15D3"/>
    <w:rsid w:val="00BC1D26"/>
    <w:rsid w:val="00BC5818"/>
    <w:rsid w:val="00BC6AA1"/>
    <w:rsid w:val="00BD3C24"/>
    <w:rsid w:val="00BD6AD8"/>
    <w:rsid w:val="00BE1F8F"/>
    <w:rsid w:val="00BE37B5"/>
    <w:rsid w:val="00BE54B3"/>
    <w:rsid w:val="00C008B4"/>
    <w:rsid w:val="00C05074"/>
    <w:rsid w:val="00C1081A"/>
    <w:rsid w:val="00C17ABD"/>
    <w:rsid w:val="00C26C67"/>
    <w:rsid w:val="00C3059A"/>
    <w:rsid w:val="00C4084F"/>
    <w:rsid w:val="00C417FE"/>
    <w:rsid w:val="00C43D3E"/>
    <w:rsid w:val="00C52092"/>
    <w:rsid w:val="00C63C88"/>
    <w:rsid w:val="00C65E51"/>
    <w:rsid w:val="00C65EA7"/>
    <w:rsid w:val="00C67580"/>
    <w:rsid w:val="00C67D5A"/>
    <w:rsid w:val="00C77862"/>
    <w:rsid w:val="00C804F4"/>
    <w:rsid w:val="00C8173B"/>
    <w:rsid w:val="00C821A5"/>
    <w:rsid w:val="00C87D91"/>
    <w:rsid w:val="00C94866"/>
    <w:rsid w:val="00CA0DDE"/>
    <w:rsid w:val="00CC44CF"/>
    <w:rsid w:val="00CF233F"/>
    <w:rsid w:val="00CF7E15"/>
    <w:rsid w:val="00D03AEC"/>
    <w:rsid w:val="00D1047D"/>
    <w:rsid w:val="00D24919"/>
    <w:rsid w:val="00D26CB8"/>
    <w:rsid w:val="00D43613"/>
    <w:rsid w:val="00D5795F"/>
    <w:rsid w:val="00D615E8"/>
    <w:rsid w:val="00D63232"/>
    <w:rsid w:val="00D6450A"/>
    <w:rsid w:val="00D66820"/>
    <w:rsid w:val="00D7076A"/>
    <w:rsid w:val="00D7172A"/>
    <w:rsid w:val="00D81F5E"/>
    <w:rsid w:val="00D92269"/>
    <w:rsid w:val="00D92715"/>
    <w:rsid w:val="00DB0EC9"/>
    <w:rsid w:val="00DC329C"/>
    <w:rsid w:val="00DC348C"/>
    <w:rsid w:val="00DC45BC"/>
    <w:rsid w:val="00DE176A"/>
    <w:rsid w:val="00DE2D96"/>
    <w:rsid w:val="00DE7710"/>
    <w:rsid w:val="00DF0344"/>
    <w:rsid w:val="00DF3CEF"/>
    <w:rsid w:val="00E00A6B"/>
    <w:rsid w:val="00E13806"/>
    <w:rsid w:val="00E14D8E"/>
    <w:rsid w:val="00E16E3C"/>
    <w:rsid w:val="00E348EA"/>
    <w:rsid w:val="00E44ADA"/>
    <w:rsid w:val="00E55DDF"/>
    <w:rsid w:val="00E57BB9"/>
    <w:rsid w:val="00E624FB"/>
    <w:rsid w:val="00E77899"/>
    <w:rsid w:val="00E83667"/>
    <w:rsid w:val="00E9219E"/>
    <w:rsid w:val="00EA0B93"/>
    <w:rsid w:val="00EA3596"/>
    <w:rsid w:val="00EB5E2E"/>
    <w:rsid w:val="00EB629E"/>
    <w:rsid w:val="00EC0F9A"/>
    <w:rsid w:val="00EC5572"/>
    <w:rsid w:val="00ED1DE3"/>
    <w:rsid w:val="00EE160A"/>
    <w:rsid w:val="00EE5F16"/>
    <w:rsid w:val="00EF40DB"/>
    <w:rsid w:val="00F02BB5"/>
    <w:rsid w:val="00F23122"/>
    <w:rsid w:val="00F250D5"/>
    <w:rsid w:val="00F54496"/>
    <w:rsid w:val="00F54B68"/>
    <w:rsid w:val="00F60997"/>
    <w:rsid w:val="00F617CE"/>
    <w:rsid w:val="00F70422"/>
    <w:rsid w:val="00F83C17"/>
    <w:rsid w:val="00F84774"/>
    <w:rsid w:val="00F93648"/>
    <w:rsid w:val="00F96D7F"/>
    <w:rsid w:val="00FA33C4"/>
    <w:rsid w:val="00FA4B28"/>
    <w:rsid w:val="00FA7642"/>
    <w:rsid w:val="00FA7854"/>
    <w:rsid w:val="00FC3ED8"/>
    <w:rsid w:val="00FC456F"/>
    <w:rsid w:val="00FD106B"/>
    <w:rsid w:val="00FD5458"/>
    <w:rsid w:val="00FF0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6C6ECE"/>
    <w:pPr>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6523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pl/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mailto:Gerald.Klec@eesc.europa.eu" TargetMode="External"/><Relationship Id="rId39" Type="http://schemas.openxmlformats.org/officeDocument/2006/relationships/hyperlink" Target="https://www.eesc.europa.eu/pl/initiatives/eu-youth-test-eesc" TargetMode="External"/><Relationship Id="rId21" Type="http://schemas.openxmlformats.org/officeDocument/2006/relationships/hyperlink" Target="https://www.eesc.europa.eu/pl/our-work/opinions-information-reports/opinions/2025-european-semester-autumn-package" TargetMode="External"/><Relationship Id="rId34" Type="http://schemas.openxmlformats.org/officeDocument/2006/relationships/hyperlink" Target="mailto:Gabriela.Grasu@eesc.europa.eu" TargetMode="External"/><Relationship Id="rId42" Type="http://schemas.openxmlformats.org/officeDocument/2006/relationships/hyperlink" Target="https://www.eesc.europa.eu/pl/our-work/opinions-information-reports/opinions/assessment-letta-and-draghi-reports-functioning-and-competitiveness-eus-single-market" TargetMode="External"/><Relationship Id="rId47" Type="http://schemas.openxmlformats.org/officeDocument/2006/relationships/hyperlink" Target="https://www.eesc.europa.eu/pl/our-work/opinions-information-reports/opinions/services-sector-european-union" TargetMode="External"/><Relationship Id="rId50" Type="http://schemas.openxmlformats.org/officeDocument/2006/relationships/hyperlink" Target="mailto:Silvia.Staffa@eesc.europa.eu" TargetMode="External"/><Relationship Id="rId55" Type="http://schemas.openxmlformats.org/officeDocument/2006/relationships/hyperlink" Target="https://www.eesc.europa.eu/pl/our-work/opinions-information-reports/opinions/contribution-robotics-metaverse-medical-sector" TargetMode="External"/><Relationship Id="rId63" Type="http://schemas.openxmlformats.org/officeDocument/2006/relationships/fontTable" Target="fontTable.xml"/><Relationship Id="rId68" Type="http://schemas.openxmlformats.org/officeDocument/2006/relationships/customXml" Target="../customXml/item4.xml"/><Relationship Id="rId7"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https://www.eesc.europa.eu/pl/our-work/opinions-information-reports/opinions/addressing-loneliness-cementing-measures-demographic-cohesion" TargetMode="External"/><Relationship Id="rId11" Type="http://schemas.openxmlformats.org/officeDocument/2006/relationships/endnotes" Target="endnotes.xml"/><Relationship Id="rId24" Type="http://schemas.openxmlformats.org/officeDocument/2006/relationships/hyperlink" Target="mailto:Juri.Soosaar@eesc.europa.eu" TargetMode="External"/><Relationship Id="rId32" Type="http://schemas.openxmlformats.org/officeDocument/2006/relationships/hyperlink" Target="mailto:Grasu.Gabriela@eesc.europa.eu" TargetMode="External"/><Relationship Id="rId37" Type="http://schemas.openxmlformats.org/officeDocument/2006/relationships/hyperlink" Target="mailto:Albert.Precup@eesc.europa.eu" TargetMode="External"/><Relationship Id="rId40" Type="http://schemas.openxmlformats.org/officeDocument/2006/relationships/hyperlink" Target="mailto:Radoslava.Stefankova@eesc.europa.eu" TargetMode="External"/><Relationship Id="rId45" Type="http://schemas.openxmlformats.org/officeDocument/2006/relationships/hyperlink" Target="https://www.eesc.europa.eu/pl/our-work/opinions-information-reports/opinions/competitiveness-eus-small-and-medium-sized-enterprises-light-new-administrative-burdensobligations" TargetMode="External"/><Relationship Id="rId53" Type="http://schemas.openxmlformats.org/officeDocument/2006/relationships/hyperlink" Target="https://www.eesc.europa.eu/pl/our-work/opinions-information-reports/opinions/ensuring-sustainable-food-production-and-fair-income-european-farmers-face-market-environmental-and-climate-challenges" TargetMode="External"/><Relationship Id="rId58" Type="http://schemas.openxmlformats.org/officeDocument/2006/relationships/header" Target="header5.xml"/><Relationship Id="rId66" Type="http://schemas.openxmlformats.org/officeDocument/2006/relationships/customXml" Target="../customXml/item2.xml"/><Relationship Id="rId61" Type="http://schemas.openxmlformats.org/officeDocument/2006/relationships/header" Target="header6.xm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Anna.Pantazi@eesc.europa.eu" TargetMode="External"/><Relationship Id="rId27" Type="http://schemas.openxmlformats.org/officeDocument/2006/relationships/hyperlink" Target="https://www.eesc.europa.eu/pl/our-work/opinions-information-reports/opinions/strengthening-results-orientation-post-2027-cohesion-policy-challenges-risks-and-opportunities" TargetMode="External"/><Relationship Id="rId30" Type="http://schemas.openxmlformats.org/officeDocument/2006/relationships/hyperlink" Target="mailto:Valeria.Atzori@eesc.europa.eu" TargetMode="External"/><Relationship Id="rId35" Type="http://schemas.openxmlformats.org/officeDocument/2006/relationships/hyperlink" Target="mailto:Triin.AasmaaGomes@eesc.europa.eu" TargetMode="External"/><Relationship Id="rId43" Type="http://schemas.openxmlformats.org/officeDocument/2006/relationships/hyperlink" Target="mailto:Annalisa.Tessarolo@eesc.europa.eu" TargetMode="External"/><Relationship Id="rId48" Type="http://schemas.openxmlformats.org/officeDocument/2006/relationships/hyperlink" Target="mailto:Annalisa.Tessarolo@eesc.europa.eu" TargetMode="External"/><Relationship Id="rId56" Type="http://schemas.openxmlformats.org/officeDocument/2006/relationships/hyperlink" Target="mailto:Marie-Laurence.Drillon@eesc.europa.eu"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eesc.europa.eu/pl/our-work/opinions-information-reports/opinions/tourism-eu-sustainability-driver-long-term-competitiveness" TargetMode="Externa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pl/our-work/opinions-information-reports/opinions/defence-funding-eu" TargetMode="External"/><Relationship Id="rId33" Type="http://schemas.openxmlformats.org/officeDocument/2006/relationships/hyperlink" Target="https://www.eesc.europa.eu/pl/our-work/opinions-information-reports/opinions/eesc-contribution-eus-priorities-uncsw69" TargetMode="External"/><Relationship Id="rId38" Type="http://schemas.openxmlformats.org/officeDocument/2006/relationships/hyperlink" Target="https://www.eesc.europa.eu/pl/our-work/opinions-information-reports/opinions/consumer-protection-and-impact-digital-and-green-transitions-consumers" TargetMode="External"/><Relationship Id="rId46" Type="http://schemas.openxmlformats.org/officeDocument/2006/relationships/hyperlink" Target="mailto:Marco.Manfroni@eesc.europa.eu" TargetMode="External"/><Relationship Id="rId59" Type="http://schemas.openxmlformats.org/officeDocument/2006/relationships/footer" Target="footer4.xml"/><Relationship Id="rId67" Type="http://schemas.openxmlformats.org/officeDocument/2006/relationships/customXml" Target="../customXml/item3.xml"/><Relationship Id="rId20" Type="http://schemas.openxmlformats.org/officeDocument/2006/relationships/footer" Target="footer3.xml"/><Relationship Id="rId41" Type="http://schemas.openxmlformats.org/officeDocument/2006/relationships/hyperlink" Target="mailto:Yousra.Asbounielouahabi@eesc.europa.eu" TargetMode="External"/><Relationship Id="rId54" Type="http://schemas.openxmlformats.org/officeDocument/2006/relationships/hyperlink" Target="mailto:Myrto.Kolyva@eesc.europa.eu" TargetMode="External"/><Relationship Id="rId62" Type="http://schemas.openxmlformats.org/officeDocument/2006/relationships/footer" Target="footer6.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esc.europa.eu/pl/our-work/opinions-information-reports/opinions/administrative-cooperation-field-taxation-dac9" TargetMode="External"/><Relationship Id="rId28" Type="http://schemas.openxmlformats.org/officeDocument/2006/relationships/hyperlink" Target="mailto:Georgios.Meleas@eesc.europa.eu" TargetMode="External"/><Relationship Id="rId36" Type="http://schemas.openxmlformats.org/officeDocument/2006/relationships/hyperlink" Target="https://www.eesc.europa.eu/pl/our-work/opinions-information-reports/opinions/physical-completion-eus-internal-market-new-geopolitical-situation" TargetMode="External"/><Relationship Id="rId49" Type="http://schemas.openxmlformats.org/officeDocument/2006/relationships/hyperlink" Target="https://www.eesc.europa.eu/pl/our-work/opinions-information-reports/opinions/future-eu-industry-face-high-energy-prices-and-transition-costs" TargetMode="External"/><Relationship Id="rId57" Type="http://schemas.openxmlformats.org/officeDocument/2006/relationships/header" Target="header4.xml"/><Relationship Id="rId10" Type="http://schemas.openxmlformats.org/officeDocument/2006/relationships/footnotes" Target="footnotes.xml"/><Relationship Id="rId31" Type="http://schemas.openxmlformats.org/officeDocument/2006/relationships/hyperlink" Target="https://www.eesc.europa.eu/pl/our-work/opinions-information-reports/opinions/violence-against-women-human-rights-issue-state-play-measures-across-eu" TargetMode="External"/><Relationship Id="rId44" Type="http://schemas.openxmlformats.org/officeDocument/2006/relationships/hyperlink" Target="mailto:Silvia.Staffa@eesc.europa.eu" TargetMode="External"/><Relationship Id="rId52" Type="http://schemas.openxmlformats.org/officeDocument/2006/relationships/hyperlink" Target="mailto:Silvia.Staffa@eesc.europa.eu" TargetMode="External"/><Relationship Id="rId60" Type="http://schemas.openxmlformats.org/officeDocument/2006/relationships/footer" Target="footer5.xml"/><Relationship Id="rId65" Type="http://schemas.openxmlformats.org/officeDocument/2006/relationships/customXml" Target="../customXml/item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A6WAAD5KZT2Q-604569563-4763</_dlc_DocId>
    <_dlc_DocIdUrl xmlns="1a33af13-4045-4f88-9d7b-618e30f79918">
      <Url>http://dm/eesc/2025/_layouts/15/DocIdRedir.aspx?ID=A6WAAD5KZT2Q-604569563-4763</Url>
      <Description>A6WAAD5KZT2Q-604569563-4763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2025-03-13T12:00:00+00:00</ProductionDate>
    <DocumentNumber xmlns="be3ca9a7-9286-4008-99ec-aebc20da9dc2">345</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2025-03-26T12:00:00+00:00</MeetingDate>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2534</FicheNumber>
    <OriginalSender xmlns="1a33af13-4045-4f88-9d7b-618e30f79918">
      <UserInfo>
        <DisplayName>Wisniewska Malgorzata</DisplayName>
        <AccountId>1539</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595</MeetingNumber>
    <DossierName_0 xmlns="http://schemas.microsoft.com/sharepoint/v3/fields">
      <Terms xmlns="http://schemas.microsoft.com/office/infopath/2007/PartnerControls"/>
    </DossierName_0>
    <DocumentVersion xmlns="1a33af13-4045-4f88-9d7b-618e30f79918">1</DocumentVersion>
  </documentManagement>
</p:properties>
</file>

<file path=customXml/itemProps1.xml><?xml version="1.0" encoding="utf-8"?>
<ds:datastoreItem xmlns:ds="http://schemas.openxmlformats.org/officeDocument/2006/customXml" ds:itemID="{E00CC0DF-B38D-400F-95E1-01EEC9DB5B07}"/>
</file>

<file path=customXml/itemProps2.xml><?xml version="1.0" encoding="utf-8"?>
<ds:datastoreItem xmlns:ds="http://schemas.openxmlformats.org/officeDocument/2006/customXml" ds:itemID="{9B469F6C-8450-4C6E-80AB-7E0A2C58776D}"/>
</file>

<file path=customXml/itemProps3.xml><?xml version="1.0" encoding="utf-8"?>
<ds:datastoreItem xmlns:ds="http://schemas.openxmlformats.org/officeDocument/2006/customXml" ds:itemID="{FCB6F4B5-F941-42C4-8276-E15917ACBA5D}"/>
</file>

<file path=customXml/itemProps4.xml><?xml version="1.0" encoding="utf-8"?>
<ds:datastoreItem xmlns:ds="http://schemas.openxmlformats.org/officeDocument/2006/customXml" ds:itemID="{1F70CC25-D73A-4C23-82D1-4A8F0C006AB6}"/>
</file>

<file path=docProps/app.xml><?xml version="1.0" encoding="utf-8"?>
<Properties xmlns="http://schemas.openxmlformats.org/officeDocument/2006/extended-properties" xmlns:vt="http://schemas.openxmlformats.org/officeDocument/2006/docPropsVTypes">
  <Template>Normal.dotm</Template>
  <TotalTime>0</TotalTime>
  <Pages>26</Pages>
  <Words>7079</Words>
  <Characters>40353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Summary of opinions - 593rd plenary session - January 2025</vt:lpstr>
    </vt:vector>
  </TitlesOfParts>
  <Company>CESE-CdR</Company>
  <LinksUpToDate>false</LinksUpToDate>
  <CharactersWithSpaces>47338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Streszczenie opinii - 594. sesja plenarna - luty 2025 r.</dc:title>
  <dc:subject>TCD</dc:subject>
  <dc:creator>Nieddu Emma</dc:creator>
  <cp:keywords>EESC-2025-00345-00-01-TCD-TRA-EN</cp:keywords>
  <dc:description>Rapporteur:  - Original language: EN - Date of document: 13 03 2025 - Date of meeting: 30 26 2025 14:30 - External documents:  - Administrator: MME TAMASAUSKIENE Julija</dc:description>
  <cp:lastModifiedBy>Wisniewska Malgorzata</cp:lastModifiedBy>
  <cp:revision>22</cp:revision>
  <dcterms:created xsi:type="dcterms:W3CDTF">2025-03-12T09:56:00Z</dcterms:created>
  <dcterms:modified xsi:type="dcterms:W3CDTF">2025-03-13T15:06:00Z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12/03/2025, 05/03/2025, 29/01/2025, 02/05/2022, 02/05/2022, 28/06/2021</vt:lpwstr>
  </property>
  <property fmtid="{D5CDD505-2E9C-101B-9397-08002B2CF9AE}" pid="4" name="Pref_Time">
    <vt:lpwstr>10:27:20, 09:28:12, 15:29:38, 12:28:29, 12:25:37, 08:41:48</vt:lpwstr>
  </property>
  <property fmtid="{D5CDD505-2E9C-101B-9397-08002B2CF9AE}" pid="5" name="Pref_User">
    <vt:lpwstr>amett, enied, amett, enied, enied, enied</vt:lpwstr>
  </property>
  <property fmtid="{D5CDD505-2E9C-101B-9397-08002B2CF9AE}" pid="6" name="Pref_FileName">
    <vt:lpwstr>EESC-2025-00345-00-01-TCD-ORI.docx, EESC-2025-00345-00-00-TCD-ORI.docx, EESC-2024-04576-00-00-TCD-ORI.docx, Summary of opinions.docx, COR-EESC-2022-02370-00-00-ADMIN-ORI.docx, Synthese des avis Template.docx</vt:lpwstr>
  </property>
  <property fmtid="{D5CDD505-2E9C-101B-9397-08002B2CF9AE}" pid="7" name="ContentTypeId">
    <vt:lpwstr>0x010100EA97B91038054C99906057A708A1480A006BB3B767F3CF4149BF520211D4A86BC0</vt:lpwstr>
  </property>
  <property fmtid="{D5CDD505-2E9C-101B-9397-08002B2CF9AE}" pid="8" name="_dlc_DocIdItemGuid">
    <vt:lpwstr>ec4eddb9-10c7-49d2-9379-31dee5dbecbc</vt:lpwstr>
  </property>
  <property fmtid="{D5CDD505-2E9C-101B-9397-08002B2CF9AE}" pid="9" name="AvailableTranslations">
    <vt:lpwstr>34;#IT|0774613c-01ed-4e5d-a25d-11d2388de825;#30;#LT|a7ff5ce7-6123-4f68-865a-a57c31810414;#23;#DE|f6b31e5a-26fa-4935-b661-318e46daf27e;#50;#HR|2f555653-ed1a-4fe6-8362-9082d95989e5;#16;#ES|e7a6b05b-ae16-40c8-add9-68b64b03aeba;#40;#DA|5d49c027-8956-412b-aa16-e85a0f96ad0e;#42;#EL|6d4f4d51-af9b-4650-94b4-4276bee85c91;#24;#PL|1e03da61-4678-4e07-b136-b5024ca9197b;#46;#SK|46d9fce0-ef79-4f71-b89b-cd6aa82426b8;#27;#NL|55c6556c-b4f4-441d-9acf-c498d4f838bd;#33;#PT|50ccc04a-eadd-42ae-a0cb-acaf45f812ba;#5;#EN|f2175f21-25d7-44a3-96da-d6a61b075e1b;#39;#LV|46f7e311-5d9f-4663-b433-18aeccb7ace7;#37;#HU|6b229040-c589-4408-b4c1-4285663d20a8;#36;#RO|feb747a2-64cd-4299-af12-4833ddc30497;#29;#CS|72f9705b-0217-4fd3-bea2-cbc7ed80e26e;#12;#FR|d2afafd3-4c81-4f60-8f52-ee33f2f54ff3;#35;#FI|87606a43-d45f-42d6-b8c9-e1a3457db5b7;#31;#SL|98a412ae-eb01-49e9-ae3d-585a81724cfc;#41;#ET|ff6c3f4c-b02c-4c3c-ab07-2c37995a7a0a;#28;#SV|c2ed69e7-a339-43d7-8f22-d93680a92aa0;#47;#BG|1a1b3951-7821-4e6a-85f5-5673fc08bd2c</vt:lpwstr>
  </property>
  <property fmtid="{D5CDD505-2E9C-101B-9397-08002B2CF9AE}" pid="10" name="DocumentType_0">
    <vt:lpwstr>TCD|cd9d6eb6-3f4f-424a-b2d1-57c9d450eaaf</vt:lpwstr>
  </property>
  <property fmtid="{D5CDD505-2E9C-101B-9397-08002B2CF9AE}" pid="11" name="MeetingNumber">
    <vt:i4>595</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345</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19;#TCD|cd9d6eb6-3f4f-424a-b2d1-57c9d450eaaf</vt:lpwstr>
  </property>
  <property fmtid="{D5CDD505-2E9C-101B-9397-08002B2CF9AE}" pid="22" name="RequestingService">
    <vt:lpwstr>Greffe</vt:lpwstr>
  </property>
  <property fmtid="{D5CDD505-2E9C-101B-9397-08002B2CF9AE}" pid="23" name="Confidentiality">
    <vt:lpwstr>15;#Unrestricted|826e22d7-d029-4ec0-a450-0c28ff673572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67;#SPL-CES|32d8cb1f-c9ec-4365-95c7-8385a18618ac</vt:lpwstr>
  </property>
  <property fmtid="{D5CDD505-2E9C-101B-9397-08002B2CF9AE}" pid="28" name="MeetingDate">
    <vt:filetime>2025-03-26T12:00:00Z</vt:filetime>
  </property>
  <property fmtid="{D5CDD505-2E9C-101B-9397-08002B2CF9AE}" pid="29" name="AvailableTranslations_0">
    <vt:lpwstr>IT|0774613c-01ed-4e5d-a25d-11d2388de825;LT|a7ff5ce7-6123-4f68-865a-a57c31810414;HR|2f555653-ed1a-4fe6-8362-9082d95989e5;ES|e7a6b05b-ae16-40c8-add9-68b64b03aeba;SK|46d9fce0-ef79-4f71-b89b-cd6aa82426b8;NL|55c6556c-b4f4-441d-9acf-c498d4f838bd;PT|50ccc04a-eadd-42ae-a0cb-acaf45f812ba;EN|f2175f21-25d7-44a3-96da-d6a61b075e1b;LV|46f7e311-5d9f-4663-b433-18aeccb7ace7;CS|72f9705b-0217-4fd3-bea2-cbc7ed80e26e;FR|d2afafd3-4c81-4f60-8f52-ee33f2f54ff3;FI|87606a43-d45f-42d6-b8c9-e1a3457db5b7;SL|98a412ae-eb01-49e9-ae3d-585a81724cfc;ET|ff6c3f4c-b02c-4c3c-ab07-2c37995a7a0a;SV|c2ed69e7-a339-43d7-8f22-d93680a92aa0</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35;#FI|87606a43-d45f-42d6-b8c9-e1a3457db5b7;#34;#IT|0774613c-01ed-4e5d-a25d-11d2388de825;#33;#PT|50ccc04a-eadd-42ae-a0cb-acaf45f812ba;#13;#TRA|150d2a88-1431-44e6-a8ca-0bb753ab8672;#30;#LT|a7ff5ce7-6123-4f68-865a-a57c31810414;#67;#SPL-CES|32d8cb1f-c9ec-4365-95c7-8385a18618ac;#31;#SL|98a412ae-eb01-49e9-ae3d-585a81724cfc;#27;#NL|55c6556c-b4f4-441d-9acf-c498d4f838bd;#19;#TCD|cd9d6eb6-3f4f-424a-b2d1-57c9d450eaaf;#28;#SV|c2ed69e7-a339-43d7-8f22-d93680a92aa0;#16;#ES|e7a6b05b-ae16-40c8-add9-68b64b03aeba;#15;#Unrestricted|826e22d7-d029-4ec0-a450-0c28ff673572;#50;#HR|2f555653-ed1a-4fe6-8362-9082d95989e5;#12;#FR|d2afafd3-4c81-4f60-8f52-ee33f2f54ff3;#46;#SK|46d9fce0-ef79-4f71-b89b-cd6aa82426b8;#8;#Final|ea5e6674-7b27-4bac-b091-73adbb394efe;#29;#CS|72f9705b-0217-4fd3-bea2-cbc7ed80e26e;#5;#EN|f2175f21-25d7-44a3-96da-d6a61b075e1b;#41;#ET|ff6c3f4c-b02c-4c3c-ab07-2c37995a7a0a;#39;#LV|46f7e311-5d9f-4663-b433-18aeccb7ace7;#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2025</vt:i4>
  </property>
  <property fmtid="{D5CDD505-2E9C-101B-9397-08002B2CF9AE}" pid="36" name="FicheNumber">
    <vt:i4>2534</vt:i4>
  </property>
  <property fmtid="{D5CDD505-2E9C-101B-9397-08002B2CF9AE}" pid="37" name="DocumentLanguage">
    <vt:lpwstr>24;#PL|1e03da61-4678-4e07-b136-b5024ca9197b</vt:lpwstr>
  </property>
</Properties>
</file>