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972E61" w14:paraId="4982DD4D" w14:textId="71701890">
      <w:pPr>
        <w:jc w:val="center"/>
      </w:pPr>
      <w:r>
        <w:rPr>
          <w:noProof/>
        </w:rPr>
        <w:drawing>
          <wp:inline distT="0" distB="0" distL="0" distR="0" wp14:anchorId="3DF50BB3" wp14:editId="50C00441">
            <wp:extent cx="1792605" cy="1239520"/>
            <wp:effectExtent l="0" t="0" r="0" b="0"/>
            <wp:docPr id="1" name="Picture 1" title="EESCLogo_NL"/>
            <wp:cNvGraphicFramePr/>
            <a:graphic xmlns:a="http://schemas.openxmlformats.org/drawingml/2006/main">
              <a:graphicData uri="http://schemas.openxmlformats.org/drawingml/2006/picture">
                <pic:pic xmlns:pic="http://schemas.openxmlformats.org/drawingml/2006/picture">
                  <pic:nvPicPr>
                    <pic:cNvPr id="1" name="Picture 1" title="EESCLogo_N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746B3C2D"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Brussel, 14 maart 2025</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w:t>
            </w:r>
            <w:r>
              <w:rPr>
                <w:b/>
                <w:sz w:val="32"/>
                <w:vertAlign w:val="superscript"/>
              </w:rPr>
              <w:t>e</w:t>
            </w:r>
            <w:r>
              <w:rPr>
                <w:b/>
                <w:sz w:val="32"/>
              </w:rPr>
              <w:t xml:space="preserve"> ZITTING</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26 en 27 februari 2025</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SAMENVATTING VAN DE GOEDGEKEURDE ADVIEZEN, RESOLUTIES, INFORMATIEVE RAPPORTEN EN EVALUATIEVERSLAGEN</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Dit document is in alle officiële talen van de EU op te vragen op de website van het EESC:</w:t>
            </w:r>
          </w:p>
          <w:p w:rsidR="00726351" w:rsidP="00BE1F8F" w:rsidRDefault="00726351" w14:paraId="65F2BC50" w14:textId="77777777">
            <w:pPr>
              <w:snapToGrid w:val="0"/>
              <w:jc w:val="center"/>
            </w:pPr>
          </w:p>
          <w:p w:rsidRPr="0081153B" w:rsidR="004D7AC0" w:rsidP="00BE1F8F" w:rsidRDefault="00BD521E" w14:paraId="4982DD5A" w14:textId="4DF10D40">
            <w:pPr>
              <w:snapToGrid w:val="0"/>
              <w:jc w:val="center"/>
            </w:pPr>
            <w:hyperlink w:history="1" r:id="rId13">
              <w:r w:rsidR="00972E61">
                <w:rPr>
                  <w:rStyle w:val="Hyperlink"/>
                </w:rPr>
                <w:t>https://www.eesc.europa.eu/nl/our-work/opinions-information-reports/plenary-session-summaries</w:t>
              </w:r>
            </w:hyperlink>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De genoemde adviezen kunnen online worden geraadpleegd via de zoekmachine van het EESC:</w:t>
            </w:r>
          </w:p>
          <w:p w:rsidR="00726351" w:rsidP="00BE1F8F" w:rsidRDefault="00726351" w14:paraId="0E196128" w14:textId="77777777">
            <w:pPr>
              <w:snapToGrid w:val="0"/>
              <w:jc w:val="center"/>
            </w:pPr>
          </w:p>
          <w:p w:rsidRPr="00044561" w:rsidR="004D7AC0" w:rsidP="00BE1F8F" w:rsidRDefault="00BD521E" w14:paraId="4982DD5D" w14:textId="339632B5">
            <w:pPr>
              <w:snapToGrid w:val="0"/>
              <w:jc w:val="center"/>
            </w:pPr>
            <w:hyperlink w:history="1" r:id="rId14">
              <w:r w:rsidR="00972E61">
                <w:rPr>
                  <w:rStyle w:val="Hyperlink"/>
                </w:rPr>
                <w:t>https://dmsearch.eesc.europa.eu/search/opinion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Inhoudsopgave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AE0425" w:rsidRDefault="004D7AC0" w14:paraId="77CFE057" w14:textId="45759A4A">
          <w:pPr>
            <w:pStyle w:val="TOC1"/>
            <w:tabs>
              <w:tab w:val="left" w:pos="440"/>
              <w:tab w:val="right" w:leader="dot" w:pos="9061"/>
            </w:tabs>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192750662">
            <w:r w:rsidRPr="000F68C4" w:rsidR="00AE0425">
              <w:rPr>
                <w:rStyle w:val="Hyperlink"/>
                <w:bCs/>
                <w:noProof/>
              </w:rPr>
              <w:t>1.</w:t>
            </w:r>
            <w:r w:rsidR="00AE0425">
              <w:rPr>
                <w:rFonts w:asciiTheme="minorHAnsi" w:hAnsiTheme="minorHAnsi" w:eastAsiaTheme="minorEastAsia" w:cstheme="minorBidi"/>
                <w:noProof/>
                <w:lang w:val="fr-BE" w:eastAsia="fr-BE"/>
              </w:rPr>
              <w:tab/>
            </w:r>
            <w:r w:rsidRPr="000F68C4" w:rsidR="00AE0425">
              <w:rPr>
                <w:rStyle w:val="Hyperlink"/>
                <w:b/>
                <w:noProof/>
              </w:rPr>
              <w:t xml:space="preserve">ECONOMISCHE EN MONETAIRE UNIE, ECONOMISCHE EN SOCIALE </w:t>
            </w:r>
            <w:r w:rsidR="00AE0425">
              <w:rPr>
                <w:rStyle w:val="Hyperlink"/>
                <w:b/>
                <w:noProof/>
              </w:rPr>
              <w:tab/>
            </w:r>
            <w:r w:rsidRPr="000F68C4" w:rsidR="00AE0425">
              <w:rPr>
                <w:rStyle w:val="Hyperlink"/>
                <w:b/>
                <w:noProof/>
              </w:rPr>
              <w:t>SAMENHANG</w:t>
            </w:r>
            <w:r w:rsidR="00AE0425">
              <w:rPr>
                <w:noProof/>
                <w:webHidden/>
              </w:rPr>
              <w:tab/>
            </w:r>
            <w:r w:rsidR="00AE0425">
              <w:rPr>
                <w:noProof/>
                <w:webHidden/>
              </w:rPr>
              <w:fldChar w:fldCharType="begin"/>
            </w:r>
            <w:r w:rsidR="00AE0425">
              <w:rPr>
                <w:noProof/>
                <w:webHidden/>
              </w:rPr>
              <w:instrText xml:space="preserve"> PAGEREF _Toc192750662 \h </w:instrText>
            </w:r>
            <w:r w:rsidR="00AE0425">
              <w:rPr>
                <w:noProof/>
                <w:webHidden/>
              </w:rPr>
            </w:r>
            <w:r w:rsidR="00AE0425">
              <w:rPr>
                <w:noProof/>
                <w:webHidden/>
              </w:rPr>
              <w:fldChar w:fldCharType="separate"/>
            </w:r>
            <w:r w:rsidR="00AE0425">
              <w:rPr>
                <w:noProof/>
                <w:webHidden/>
              </w:rPr>
              <w:t>3</w:t>
            </w:r>
            <w:r w:rsidR="00AE0425">
              <w:rPr>
                <w:noProof/>
                <w:webHidden/>
              </w:rPr>
              <w:fldChar w:fldCharType="end"/>
            </w:r>
          </w:hyperlink>
        </w:p>
        <w:p w:rsidR="00AE0425" w:rsidRDefault="00BD521E" w14:paraId="7CDE54E6" w14:textId="2CA1A0E8">
          <w:pPr>
            <w:pStyle w:val="TOC1"/>
            <w:tabs>
              <w:tab w:val="left" w:pos="440"/>
              <w:tab w:val="right" w:leader="dot" w:pos="9061"/>
            </w:tabs>
            <w:rPr>
              <w:rFonts w:asciiTheme="minorHAnsi" w:hAnsiTheme="minorHAnsi" w:eastAsiaTheme="minorEastAsia" w:cstheme="minorBidi"/>
              <w:noProof/>
              <w:lang w:val="fr-BE" w:eastAsia="fr-BE"/>
            </w:rPr>
          </w:pPr>
          <w:hyperlink w:history="1" w:anchor="_Toc192750663">
            <w:r w:rsidRPr="000F68C4" w:rsidR="00AE0425">
              <w:rPr>
                <w:rStyle w:val="Hyperlink"/>
                <w:bCs/>
                <w:noProof/>
              </w:rPr>
              <w:t>2.</w:t>
            </w:r>
            <w:r w:rsidR="00AE0425">
              <w:rPr>
                <w:rFonts w:asciiTheme="minorHAnsi" w:hAnsiTheme="minorHAnsi" w:eastAsiaTheme="minorEastAsia" w:cstheme="minorBidi"/>
                <w:noProof/>
                <w:lang w:val="fr-BE" w:eastAsia="fr-BE"/>
              </w:rPr>
              <w:tab/>
            </w:r>
            <w:r w:rsidRPr="000F68C4" w:rsidR="00AE0425">
              <w:rPr>
                <w:rStyle w:val="Hyperlink"/>
                <w:b/>
                <w:noProof/>
              </w:rPr>
              <w:t>WERKGELEGENHEID, SOCIALE ZAKEN EN BURGERSCHAP</w:t>
            </w:r>
            <w:r w:rsidR="00AE0425">
              <w:rPr>
                <w:noProof/>
                <w:webHidden/>
              </w:rPr>
              <w:tab/>
            </w:r>
            <w:r w:rsidR="00AE0425">
              <w:rPr>
                <w:noProof/>
                <w:webHidden/>
              </w:rPr>
              <w:fldChar w:fldCharType="begin"/>
            </w:r>
            <w:r w:rsidR="00AE0425">
              <w:rPr>
                <w:noProof/>
                <w:webHidden/>
              </w:rPr>
              <w:instrText xml:space="preserve"> PAGEREF _Toc192750663 \h </w:instrText>
            </w:r>
            <w:r w:rsidR="00AE0425">
              <w:rPr>
                <w:noProof/>
                <w:webHidden/>
              </w:rPr>
            </w:r>
            <w:r w:rsidR="00AE0425">
              <w:rPr>
                <w:noProof/>
                <w:webHidden/>
              </w:rPr>
              <w:fldChar w:fldCharType="separate"/>
            </w:r>
            <w:r w:rsidR="00AE0425">
              <w:rPr>
                <w:noProof/>
                <w:webHidden/>
              </w:rPr>
              <w:t>10</w:t>
            </w:r>
            <w:r w:rsidR="00AE0425">
              <w:rPr>
                <w:noProof/>
                <w:webHidden/>
              </w:rPr>
              <w:fldChar w:fldCharType="end"/>
            </w:r>
          </w:hyperlink>
        </w:p>
        <w:p w:rsidR="00AE0425" w:rsidRDefault="00BD521E" w14:paraId="786BFFF3" w14:textId="28E84FC7">
          <w:pPr>
            <w:pStyle w:val="TOC1"/>
            <w:tabs>
              <w:tab w:val="left" w:pos="440"/>
              <w:tab w:val="right" w:leader="dot" w:pos="9061"/>
            </w:tabs>
            <w:rPr>
              <w:rFonts w:asciiTheme="minorHAnsi" w:hAnsiTheme="minorHAnsi" w:eastAsiaTheme="minorEastAsia" w:cstheme="minorBidi"/>
              <w:noProof/>
              <w:lang w:val="fr-BE" w:eastAsia="fr-BE"/>
            </w:rPr>
          </w:pPr>
          <w:hyperlink w:history="1" w:anchor="_Toc192750664">
            <w:r w:rsidRPr="000F68C4" w:rsidR="00AE0425">
              <w:rPr>
                <w:rStyle w:val="Hyperlink"/>
                <w:bCs/>
                <w:noProof/>
              </w:rPr>
              <w:t>3.</w:t>
            </w:r>
            <w:r w:rsidR="00AE0425">
              <w:rPr>
                <w:rFonts w:asciiTheme="minorHAnsi" w:hAnsiTheme="minorHAnsi" w:eastAsiaTheme="minorEastAsia" w:cstheme="minorBidi"/>
                <w:noProof/>
                <w:lang w:val="fr-BE" w:eastAsia="fr-BE"/>
              </w:rPr>
              <w:tab/>
            </w:r>
            <w:r w:rsidRPr="000F68C4" w:rsidR="00AE0425">
              <w:rPr>
                <w:rStyle w:val="Hyperlink"/>
                <w:b/>
                <w:noProof/>
              </w:rPr>
              <w:t>VERVOER, ENERGIE, INFRASTRUCTUUR EN INFORMATIEMAATSCHAPPIJ</w:t>
            </w:r>
            <w:r w:rsidR="00AE0425">
              <w:rPr>
                <w:noProof/>
                <w:webHidden/>
              </w:rPr>
              <w:tab/>
            </w:r>
            <w:r w:rsidR="00AE0425">
              <w:rPr>
                <w:noProof/>
                <w:webHidden/>
              </w:rPr>
              <w:fldChar w:fldCharType="begin"/>
            </w:r>
            <w:r w:rsidR="00AE0425">
              <w:rPr>
                <w:noProof/>
                <w:webHidden/>
              </w:rPr>
              <w:instrText xml:space="preserve"> PAGEREF _Toc192750664 \h </w:instrText>
            </w:r>
            <w:r w:rsidR="00AE0425">
              <w:rPr>
                <w:noProof/>
                <w:webHidden/>
              </w:rPr>
            </w:r>
            <w:r w:rsidR="00AE0425">
              <w:rPr>
                <w:noProof/>
                <w:webHidden/>
              </w:rPr>
              <w:fldChar w:fldCharType="separate"/>
            </w:r>
            <w:r w:rsidR="00AE0425">
              <w:rPr>
                <w:noProof/>
                <w:webHidden/>
              </w:rPr>
              <w:t>15</w:t>
            </w:r>
            <w:r w:rsidR="00AE0425">
              <w:rPr>
                <w:noProof/>
                <w:webHidden/>
              </w:rPr>
              <w:fldChar w:fldCharType="end"/>
            </w:r>
          </w:hyperlink>
        </w:p>
        <w:p w:rsidR="00AE0425" w:rsidRDefault="00BD521E" w14:paraId="62470BFB" w14:textId="3D60BEDA">
          <w:pPr>
            <w:pStyle w:val="TOC1"/>
            <w:tabs>
              <w:tab w:val="left" w:pos="440"/>
              <w:tab w:val="right" w:leader="dot" w:pos="9061"/>
            </w:tabs>
            <w:rPr>
              <w:rFonts w:asciiTheme="minorHAnsi" w:hAnsiTheme="minorHAnsi" w:eastAsiaTheme="minorEastAsia" w:cstheme="minorBidi"/>
              <w:noProof/>
              <w:lang w:val="fr-BE" w:eastAsia="fr-BE"/>
            </w:rPr>
          </w:pPr>
          <w:hyperlink w:history="1" w:anchor="_Toc192750665">
            <w:r w:rsidRPr="000F68C4" w:rsidR="00AE0425">
              <w:rPr>
                <w:rStyle w:val="Hyperlink"/>
                <w:bCs/>
                <w:noProof/>
              </w:rPr>
              <w:t>4.</w:t>
            </w:r>
            <w:r w:rsidR="00AE0425">
              <w:rPr>
                <w:rFonts w:asciiTheme="minorHAnsi" w:hAnsiTheme="minorHAnsi" w:eastAsiaTheme="minorEastAsia" w:cstheme="minorBidi"/>
                <w:noProof/>
                <w:lang w:val="fr-BE" w:eastAsia="fr-BE"/>
              </w:rPr>
              <w:tab/>
            </w:r>
            <w:r w:rsidRPr="000F68C4" w:rsidR="00AE0425">
              <w:rPr>
                <w:rStyle w:val="Hyperlink"/>
                <w:b/>
                <w:noProof/>
              </w:rPr>
              <w:t>INTERNE MARKT, PRODUCTIE EN CONSUMPTIE</w:t>
            </w:r>
            <w:r w:rsidR="00AE0425">
              <w:rPr>
                <w:noProof/>
                <w:webHidden/>
              </w:rPr>
              <w:tab/>
            </w:r>
            <w:r w:rsidR="00AE0425">
              <w:rPr>
                <w:noProof/>
                <w:webHidden/>
              </w:rPr>
              <w:fldChar w:fldCharType="begin"/>
            </w:r>
            <w:r w:rsidR="00AE0425">
              <w:rPr>
                <w:noProof/>
                <w:webHidden/>
              </w:rPr>
              <w:instrText xml:space="preserve"> PAGEREF _Toc192750665 \h </w:instrText>
            </w:r>
            <w:r w:rsidR="00AE0425">
              <w:rPr>
                <w:noProof/>
                <w:webHidden/>
              </w:rPr>
            </w:r>
            <w:r w:rsidR="00AE0425">
              <w:rPr>
                <w:noProof/>
                <w:webHidden/>
              </w:rPr>
              <w:fldChar w:fldCharType="separate"/>
            </w:r>
            <w:r w:rsidR="00AE0425">
              <w:rPr>
                <w:noProof/>
                <w:webHidden/>
              </w:rPr>
              <w:t>16</w:t>
            </w:r>
            <w:r w:rsidR="00AE0425">
              <w:rPr>
                <w:noProof/>
                <w:webHidden/>
              </w:rPr>
              <w:fldChar w:fldCharType="end"/>
            </w:r>
          </w:hyperlink>
        </w:p>
        <w:p w:rsidR="00AE0425" w:rsidRDefault="00BD521E" w14:paraId="5AA37C04" w14:textId="7EB6A478">
          <w:pPr>
            <w:pStyle w:val="TOC1"/>
            <w:tabs>
              <w:tab w:val="left" w:pos="440"/>
              <w:tab w:val="right" w:leader="dot" w:pos="9061"/>
            </w:tabs>
            <w:rPr>
              <w:rFonts w:asciiTheme="minorHAnsi" w:hAnsiTheme="minorHAnsi" w:eastAsiaTheme="minorEastAsia" w:cstheme="minorBidi"/>
              <w:noProof/>
              <w:lang w:val="fr-BE" w:eastAsia="fr-BE"/>
            </w:rPr>
          </w:pPr>
          <w:hyperlink w:history="1" w:anchor="_Toc192750666">
            <w:r w:rsidRPr="000F68C4" w:rsidR="00AE0425">
              <w:rPr>
                <w:rStyle w:val="Hyperlink"/>
                <w:bCs/>
                <w:noProof/>
              </w:rPr>
              <w:t>5.</w:t>
            </w:r>
            <w:r w:rsidR="00AE0425">
              <w:rPr>
                <w:rFonts w:asciiTheme="minorHAnsi" w:hAnsiTheme="minorHAnsi" w:eastAsiaTheme="minorEastAsia" w:cstheme="minorBidi"/>
                <w:noProof/>
                <w:lang w:val="fr-BE" w:eastAsia="fr-BE"/>
              </w:rPr>
              <w:tab/>
            </w:r>
            <w:r w:rsidRPr="000F68C4" w:rsidR="00AE0425">
              <w:rPr>
                <w:rStyle w:val="Hyperlink"/>
                <w:b/>
                <w:noProof/>
              </w:rPr>
              <w:t>LANDBOUW, PLATTELANDSONTWIKKELING EN MILIEU</w:t>
            </w:r>
            <w:r w:rsidR="00AE0425">
              <w:rPr>
                <w:noProof/>
                <w:webHidden/>
              </w:rPr>
              <w:tab/>
            </w:r>
            <w:r w:rsidR="00AE0425">
              <w:rPr>
                <w:noProof/>
                <w:webHidden/>
              </w:rPr>
              <w:fldChar w:fldCharType="begin"/>
            </w:r>
            <w:r w:rsidR="00AE0425">
              <w:rPr>
                <w:noProof/>
                <w:webHidden/>
              </w:rPr>
              <w:instrText xml:space="preserve"> PAGEREF _Toc192750666 \h </w:instrText>
            </w:r>
            <w:r w:rsidR="00AE0425">
              <w:rPr>
                <w:noProof/>
                <w:webHidden/>
              </w:rPr>
            </w:r>
            <w:r w:rsidR="00AE0425">
              <w:rPr>
                <w:noProof/>
                <w:webHidden/>
              </w:rPr>
              <w:fldChar w:fldCharType="separate"/>
            </w:r>
            <w:r w:rsidR="00AE0425">
              <w:rPr>
                <w:noProof/>
                <w:webHidden/>
              </w:rPr>
              <w:t>23</w:t>
            </w:r>
            <w:r w:rsidR="00AE0425">
              <w:rPr>
                <w:noProof/>
                <w:webHidden/>
              </w:rPr>
              <w:fldChar w:fldCharType="end"/>
            </w:r>
          </w:hyperlink>
        </w:p>
        <w:p w:rsidR="00AE0425" w:rsidRDefault="00BD521E" w14:paraId="4CD98B81" w14:textId="269BCDDC">
          <w:pPr>
            <w:pStyle w:val="TOC1"/>
            <w:tabs>
              <w:tab w:val="left" w:pos="440"/>
              <w:tab w:val="right" w:leader="dot" w:pos="9061"/>
            </w:tabs>
            <w:rPr>
              <w:rFonts w:asciiTheme="minorHAnsi" w:hAnsiTheme="minorHAnsi" w:eastAsiaTheme="minorEastAsia" w:cstheme="minorBidi"/>
              <w:noProof/>
              <w:lang w:val="fr-BE" w:eastAsia="fr-BE"/>
            </w:rPr>
          </w:pPr>
          <w:hyperlink w:history="1" w:anchor="_Toc192750667">
            <w:r w:rsidRPr="000F68C4" w:rsidR="00AE0425">
              <w:rPr>
                <w:rStyle w:val="Hyperlink"/>
                <w:bCs/>
                <w:noProof/>
              </w:rPr>
              <w:t>6.</w:t>
            </w:r>
            <w:r w:rsidR="00AE0425">
              <w:rPr>
                <w:rFonts w:asciiTheme="minorHAnsi" w:hAnsiTheme="minorHAnsi" w:eastAsiaTheme="minorEastAsia" w:cstheme="minorBidi"/>
                <w:noProof/>
                <w:lang w:val="fr-BE" w:eastAsia="fr-BE"/>
              </w:rPr>
              <w:tab/>
            </w:r>
            <w:r w:rsidRPr="000F68C4" w:rsidR="00AE0425">
              <w:rPr>
                <w:rStyle w:val="Hyperlink"/>
                <w:b/>
                <w:noProof/>
              </w:rPr>
              <w:t>ADVIESCOMMISSIE INDUSTRIËLE RECONVERSIE</w:t>
            </w:r>
            <w:r w:rsidR="00AE0425">
              <w:rPr>
                <w:noProof/>
                <w:webHidden/>
              </w:rPr>
              <w:tab/>
            </w:r>
            <w:r w:rsidR="00AE0425">
              <w:rPr>
                <w:noProof/>
                <w:webHidden/>
              </w:rPr>
              <w:fldChar w:fldCharType="begin"/>
            </w:r>
            <w:r w:rsidR="00AE0425">
              <w:rPr>
                <w:noProof/>
                <w:webHidden/>
              </w:rPr>
              <w:instrText xml:space="preserve"> PAGEREF _Toc192750667 \h </w:instrText>
            </w:r>
            <w:r w:rsidR="00AE0425">
              <w:rPr>
                <w:noProof/>
                <w:webHidden/>
              </w:rPr>
            </w:r>
            <w:r w:rsidR="00AE0425">
              <w:rPr>
                <w:noProof/>
                <w:webHidden/>
              </w:rPr>
              <w:fldChar w:fldCharType="separate"/>
            </w:r>
            <w:r w:rsidR="00AE0425">
              <w:rPr>
                <w:noProof/>
                <w:webHidden/>
              </w:rPr>
              <w:t>25</w:t>
            </w:r>
            <w:r w:rsidR="00AE0425">
              <w:rPr>
                <w:noProof/>
                <w:webHidden/>
              </w:rPr>
              <w:fldChar w:fldCharType="end"/>
            </w:r>
          </w:hyperlink>
        </w:p>
        <w:p w:rsidR="004D7AC0" w:rsidP="00BE1F8F" w:rsidRDefault="004D7AC0" w14:paraId="4982DD6A" w14:textId="50C9BCD6">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BE1F8F" w:rsidRDefault="004D7AC0" w14:paraId="4982DD6D" w14:textId="77777777">
      <w:pPr>
        <w:pStyle w:val="Heading1"/>
        <w:rPr>
          <w:b/>
        </w:rPr>
      </w:pPr>
      <w:bookmarkStart w:name="_Toc192750662" w:id="0"/>
      <w:r>
        <w:rPr>
          <w:b/>
        </w:rPr>
        <w:lastRenderedPageBreak/>
        <w:t>ECONOMISCHE EN MONETAIRE UNIE, ECONOMISCHE EN SOCIALE SAMENHANG</w:t>
      </w:r>
      <w:bookmarkEnd w:id="0"/>
    </w:p>
    <w:p w:rsidR="004D7AC0" w:rsidP="00BE1F8F" w:rsidRDefault="004D7AC0" w14:paraId="4982DD6E" w14:textId="77777777"/>
    <w:p w:rsidRPr="00BE1F8F" w:rsidR="00BE1F8F" w:rsidP="00BE1F8F" w:rsidRDefault="00BD521E" w14:paraId="1ECDFE60" w14:textId="77777777">
      <w:pPr>
        <w:widowControl w:val="0"/>
        <w:numPr>
          <w:ilvl w:val="0"/>
          <w:numId w:val="20"/>
        </w:numPr>
        <w:ind w:left="567" w:hanging="567"/>
        <w:jc w:val="left"/>
        <w:rPr>
          <w:bCs/>
          <w:iCs/>
        </w:rPr>
      </w:pPr>
      <w:hyperlink w:history="1" r:id="rId21">
        <w:r w:rsidR="00972E61">
          <w:rPr>
            <w:b/>
            <w:i/>
            <w:color w:val="0000FF"/>
            <w:sz w:val="28"/>
            <w:u w:val="single"/>
          </w:rPr>
          <w:t>Europees Semester 2025 – Najaarspakket</w:t>
        </w:r>
      </w:hyperlink>
    </w:p>
    <w:p w:rsidRPr="00795836" w:rsidR="009B199C" w:rsidP="00BE1F8F" w:rsidRDefault="009B199C" w14:paraId="475281DB" w14:textId="0688FCBB">
      <w:pPr>
        <w:widowControl w:val="0"/>
        <w:ind w:left="567"/>
        <w:jc w:val="left"/>
        <w:rPr>
          <w:bCs/>
          <w:iCs/>
        </w:rPr>
      </w:pPr>
    </w:p>
    <w:tbl>
      <w:tblPr>
        <w:tblW w:w="5000" w:type="pct"/>
        <w:tblLook w:val="04A0" w:firstRow="1" w:lastRow="0" w:firstColumn="1" w:lastColumn="0" w:noHBand="0" w:noVBand="1"/>
      </w:tblPr>
      <w:tblGrid>
        <w:gridCol w:w="2342"/>
        <w:gridCol w:w="6945"/>
      </w:tblGrid>
      <w:tr w:rsidRPr="005C4571" w:rsidR="009B199C" w:rsidTr="00BE1F8F" w14:paraId="7E2330F9" w14:textId="77777777">
        <w:trPr>
          <w:trHeight w:val="269"/>
        </w:trPr>
        <w:tc>
          <w:tcPr>
            <w:tcW w:w="898" w:type="pct"/>
          </w:tcPr>
          <w:p w:rsidRPr="005C4571" w:rsidR="009B199C" w:rsidP="00BE1F8F" w:rsidRDefault="009B199C" w14:paraId="11357475" w14:textId="5FA4627E">
            <w:pPr>
              <w:tabs>
                <w:tab w:val="center" w:pos="284"/>
              </w:tabs>
              <w:ind w:left="266" w:hanging="266"/>
              <w:rPr>
                <w:b/>
              </w:rPr>
            </w:pPr>
            <w:r>
              <w:rPr>
                <w:b/>
              </w:rPr>
              <w:t>Rapporteur</w:t>
            </w:r>
          </w:p>
        </w:tc>
        <w:tc>
          <w:tcPr>
            <w:tcW w:w="4102" w:type="pct"/>
          </w:tcPr>
          <w:p w:rsidRPr="00BE1F8F" w:rsidR="009B199C" w:rsidP="00BE1F8F" w:rsidRDefault="009B199C" w14:paraId="7707B7CD" w14:textId="40636FC3">
            <w:pPr>
              <w:tabs>
                <w:tab w:val="center" w:pos="284"/>
              </w:tabs>
              <w:ind w:left="266" w:hanging="266"/>
              <w:rPr>
                <w:bCs/>
              </w:rPr>
            </w:pPr>
            <w:r>
              <w:t>Petru Sorin DANDEA (groep Werknemers – RO)</w:t>
            </w:r>
          </w:p>
        </w:tc>
      </w:tr>
      <w:tr w:rsidRPr="005C4571" w:rsidR="009B199C" w:rsidTr="00BE1F8F" w14:paraId="78616870" w14:textId="77777777">
        <w:trPr>
          <w:trHeight w:val="484"/>
        </w:trPr>
        <w:tc>
          <w:tcPr>
            <w:tcW w:w="898" w:type="pct"/>
          </w:tcPr>
          <w:p w:rsidRPr="005C4571" w:rsidR="009B199C" w:rsidP="00BE1F8F" w:rsidRDefault="009B199C" w14:paraId="271ACA41" w14:textId="77777777">
            <w:pPr>
              <w:tabs>
                <w:tab w:val="center" w:pos="284"/>
              </w:tabs>
              <w:ind w:left="266" w:hanging="266"/>
              <w:rPr>
                <w:b/>
              </w:rPr>
            </w:pPr>
            <w:r>
              <w:rPr>
                <w:b/>
              </w:rPr>
              <w:t>Referentiedocumenten</w:t>
            </w:r>
          </w:p>
        </w:tc>
        <w:tc>
          <w:tcPr>
            <w:tcW w:w="4102" w:type="pct"/>
          </w:tcPr>
          <w:p w:rsidR="00FA7642" w:rsidP="00BE1F8F" w:rsidRDefault="009B199C" w14:paraId="3B2FCABD" w14:textId="77777777">
            <w:pPr>
              <w:tabs>
                <w:tab w:val="center" w:pos="284"/>
              </w:tabs>
              <w:ind w:left="266" w:hanging="266"/>
            </w:pPr>
            <w:r>
              <w:t>COM(2024) 700 final</w:t>
            </w:r>
          </w:p>
          <w:p w:rsidRPr="005C4571" w:rsidR="009B199C" w:rsidP="00BE1F8F" w:rsidRDefault="009B199C" w14:paraId="49CDD496" w14:textId="3FA98205">
            <w:pPr>
              <w:tabs>
                <w:tab w:val="center" w:pos="284"/>
              </w:tabs>
              <w:ind w:left="266" w:hanging="266"/>
            </w:pPr>
            <w:r>
              <w:t>EESC-2024-04138-00-00-AC</w:t>
            </w:r>
          </w:p>
        </w:tc>
      </w:tr>
    </w:tbl>
    <w:p w:rsidR="00BE1F8F" w:rsidP="00BE1F8F" w:rsidRDefault="00BE1F8F" w14:paraId="012909FD" w14:textId="77777777">
      <w:pPr>
        <w:keepNext/>
        <w:keepLines/>
        <w:tabs>
          <w:tab w:val="center" w:pos="284"/>
        </w:tabs>
        <w:ind w:left="266" w:hanging="266"/>
        <w:rPr>
          <w:b/>
        </w:rPr>
      </w:pPr>
    </w:p>
    <w:p w:rsidRPr="005C4571" w:rsidR="009B199C" w:rsidP="00BE1F8F" w:rsidRDefault="009B199C" w14:paraId="4BF08ABF" w14:textId="41C36C93">
      <w:pPr>
        <w:keepNext/>
        <w:keepLines/>
        <w:tabs>
          <w:tab w:val="center" w:pos="284"/>
        </w:tabs>
        <w:ind w:left="266" w:hanging="266"/>
        <w:rPr>
          <w:b/>
        </w:rPr>
      </w:pPr>
      <w:r>
        <w:rPr>
          <w:b/>
        </w:rPr>
        <w:t>Hoofdpunten</w:t>
      </w:r>
    </w:p>
    <w:p w:rsidRPr="005C4571" w:rsidR="009B199C" w:rsidP="00BE1F8F" w:rsidRDefault="009B199C" w14:paraId="6607972D" w14:textId="77777777">
      <w:pPr>
        <w:keepNext/>
        <w:keepLines/>
        <w:tabs>
          <w:tab w:val="center" w:pos="284"/>
        </w:tabs>
        <w:ind w:left="266" w:hanging="266"/>
        <w:rPr>
          <w:b/>
        </w:rPr>
      </w:pPr>
    </w:p>
    <w:p w:rsidR="009B199C" w:rsidP="00BE1F8F" w:rsidRDefault="009B199C" w14:paraId="4C3F98BA" w14:textId="77777777">
      <w:pPr>
        <w:rPr>
          <w:bCs/>
          <w:iCs/>
        </w:rPr>
      </w:pPr>
      <w:r>
        <w:t>Het EESC:</w:t>
      </w:r>
    </w:p>
    <w:p w:rsidRPr="005C4571" w:rsidR="009B199C" w:rsidP="00BE1F8F" w:rsidRDefault="009B199C" w14:paraId="3ED2E951" w14:textId="77777777">
      <w:pPr>
        <w:numPr>
          <w:ilvl w:val="0"/>
          <w:numId w:val="19"/>
        </w:numPr>
        <w:ind w:left="284" w:hanging="284"/>
        <w:contextualSpacing/>
      </w:pPr>
      <w:r>
        <w:t>betreurt het ten zeerste en vindt het onbegrijpelijk dat de Europese Commissie er ondanks de huidige turbulente politieke, sociale en economische context voor heeft gekozen de jaarlijkse duurzamegroeianalyse niet te publiceren;</w:t>
      </w:r>
    </w:p>
    <w:p w:rsidRPr="005C4571" w:rsidR="009B199C" w:rsidP="00BE1F8F" w:rsidRDefault="009B199C" w14:paraId="3C4DA8C9" w14:textId="77777777">
      <w:pPr>
        <w:numPr>
          <w:ilvl w:val="0"/>
          <w:numId w:val="19"/>
        </w:numPr>
        <w:ind w:left="284" w:hanging="284"/>
        <w:contextualSpacing/>
      </w:pPr>
      <w:r>
        <w:t>is van mening dat de ernstige en toenemende geopolitieke risico’s en de verzwakking van multilaterale instellingen uiteindelijk ernstige gevolgen kunnen hebben voor de Europese economieën, handel, inflatie en groei;</w:t>
      </w:r>
    </w:p>
    <w:p w:rsidRPr="005C4571" w:rsidR="009B199C" w:rsidP="00BE1F8F" w:rsidRDefault="009B199C" w14:paraId="0A50F121" w14:textId="77777777">
      <w:pPr>
        <w:numPr>
          <w:ilvl w:val="0"/>
          <w:numId w:val="19"/>
        </w:numPr>
        <w:ind w:left="284" w:hanging="284"/>
        <w:contextualSpacing/>
      </w:pPr>
      <w:r>
        <w:t>is ingenomen met de inspanningen van de Commissie om de uitvoeringscyclus van het nieuwe Europese governancekader op gang te brengen en moedigt haar aan dit proces zo spoedig mogelijk af te ronden;</w:t>
      </w:r>
    </w:p>
    <w:p w:rsidRPr="005C4571" w:rsidR="009B199C" w:rsidP="00BE1F8F" w:rsidRDefault="009B199C" w14:paraId="5E3F24C0" w14:textId="77777777">
      <w:pPr>
        <w:numPr>
          <w:ilvl w:val="0"/>
          <w:numId w:val="19"/>
        </w:numPr>
        <w:ind w:left="284" w:hanging="284"/>
        <w:contextualSpacing/>
      </w:pPr>
      <w:r>
        <w:t>onderstreept het standpunt van het maatschappelijk middenveld dat hoewel in het najaarspakket duidelijk wordt gepleit voor de betrokkenheid van belanghebbenden, het ontbreekt aan concrete mechanismen om de sociale partners en maatschappelijke organisaties op nationaal niveau adequaat en doeltreffend bij het proces te betrekken;</w:t>
      </w:r>
    </w:p>
    <w:p w:rsidRPr="005C4571" w:rsidR="009B199C" w:rsidP="00BE1F8F" w:rsidRDefault="009B199C" w14:paraId="3771C892" w14:textId="77777777">
      <w:pPr>
        <w:numPr>
          <w:ilvl w:val="0"/>
          <w:numId w:val="19"/>
        </w:numPr>
        <w:ind w:left="284" w:hanging="284"/>
        <w:contextualSpacing/>
      </w:pPr>
      <w:r>
        <w:t>stemt in met het voorstel van de Commissie om een kompas voor het concurrentievermogen te lanceren;</w:t>
      </w:r>
    </w:p>
    <w:p w:rsidRPr="005C4571" w:rsidR="009B199C" w:rsidP="00BE1F8F" w:rsidRDefault="009B199C" w14:paraId="23285551" w14:textId="77777777">
      <w:pPr>
        <w:numPr>
          <w:ilvl w:val="0"/>
          <w:numId w:val="19"/>
        </w:numPr>
        <w:ind w:left="284" w:hanging="284"/>
        <w:contextualSpacing/>
      </w:pPr>
      <w:r>
        <w:t>is het eens met de conclusie van het Draghi-verslag dat het grote investeringstekort van de afgelopen twee decennia de belangrijkste reden is waarom de EU-economie qua productiviteit en concurrentievermogen achterloopt bij de VS en China;</w:t>
      </w:r>
    </w:p>
    <w:p w:rsidRPr="005C4571" w:rsidR="009B199C" w:rsidP="00BE1F8F" w:rsidRDefault="009B199C" w14:paraId="5D5DDAD1" w14:textId="77777777">
      <w:pPr>
        <w:numPr>
          <w:ilvl w:val="0"/>
          <w:numId w:val="19"/>
        </w:numPr>
        <w:ind w:left="284" w:hanging="284"/>
        <w:contextualSpacing/>
      </w:pPr>
      <w:r>
        <w:t>is ervan overtuigd dat de investeringen moeten worden gefinancierd met publiek en particulier, nationaal en Europees kapitaal;</w:t>
      </w:r>
    </w:p>
    <w:p w:rsidRPr="005C4571" w:rsidR="009B199C" w:rsidP="00BE1F8F" w:rsidRDefault="009B199C" w14:paraId="74A06E52" w14:textId="77777777">
      <w:pPr>
        <w:numPr>
          <w:ilvl w:val="0"/>
          <w:numId w:val="19"/>
        </w:numPr>
        <w:ind w:left="284" w:hanging="284"/>
        <w:contextualSpacing/>
      </w:pPr>
      <w:r>
        <w:t>kan zich vinden in het voorstel van de Commissie om de landspecifieke aanbevelingen (LSA’s) te richten op een betere uitvoering van de hervormingen en investeringen die zijn opgenomen in de herstel- en veerkrachtfaciliteit (RRF) en het MFK, die respectievelijk in 2026 en 2027 aflopen;</w:t>
      </w:r>
    </w:p>
    <w:p w:rsidRPr="005C4571" w:rsidR="009B199C" w:rsidP="00BE1F8F" w:rsidRDefault="009B199C" w14:paraId="49B53D4B" w14:textId="77777777">
      <w:pPr>
        <w:numPr>
          <w:ilvl w:val="0"/>
          <w:numId w:val="19"/>
        </w:numPr>
        <w:ind w:left="284" w:hanging="284"/>
        <w:contextualSpacing/>
      </w:pPr>
      <w:r>
        <w:t>denkt dat, in de moeilijke politieke en economische context waarin de EU zich momenteel bevindt, een betere samenwerking tussen de lidstaten van cruciaal belang is om deze belemmeringen weg te nemen;</w:t>
      </w:r>
    </w:p>
    <w:p w:rsidRPr="005C4571" w:rsidR="009B199C" w:rsidP="00BE1F8F" w:rsidRDefault="009B199C" w14:paraId="48FD49AD" w14:textId="77777777">
      <w:pPr>
        <w:numPr>
          <w:ilvl w:val="0"/>
          <w:numId w:val="19"/>
        </w:numPr>
        <w:ind w:left="284" w:hanging="284"/>
        <w:contextualSpacing/>
      </w:pPr>
      <w:r>
        <w:t>vindt de analyses en bevindingen van de Commissie in het gezamenlijk verslag over de werkgelegenheid correct en acht ze geschikt om zorgvuldig te worden omgezet in LSA’s;</w:t>
      </w:r>
    </w:p>
    <w:p w:rsidRPr="005C4571" w:rsidR="009B199C" w:rsidP="00BE1F8F" w:rsidRDefault="009B199C" w14:paraId="38004D1C" w14:textId="77777777">
      <w:pPr>
        <w:numPr>
          <w:ilvl w:val="0"/>
          <w:numId w:val="19"/>
        </w:numPr>
        <w:ind w:left="284" w:hanging="284"/>
        <w:contextualSpacing/>
      </w:pPr>
      <w:r>
        <w:t xml:space="preserve">moedigt de Commissie aan zich te blijven inzetten voor het programma dat is bedoeld om de buitensporige regelgeving voor Europese bedrijven, waardoor hun vermogen om wereldwijd te concurreren afneemt, te verminderen; </w:t>
      </w:r>
    </w:p>
    <w:p w:rsidRPr="005C4571" w:rsidR="009B199C" w:rsidP="00BE1F8F" w:rsidRDefault="009B199C" w14:paraId="7E9B0E26" w14:textId="77777777">
      <w:pPr>
        <w:widowControl w:val="0"/>
        <w:numPr>
          <w:ilvl w:val="0"/>
          <w:numId w:val="19"/>
        </w:numPr>
        <w:ind w:left="284" w:hanging="284"/>
        <w:rPr>
          <w:bCs/>
          <w:iCs/>
        </w:rPr>
      </w:pPr>
      <w:r>
        <w:t>is van mening dat er in de landspecifieke aanbevelingen, bij de voorstellen voor investeringen en hervormingen, prioriteit moet worden gegeven aan de aanpak van het ernstige huisvestingsprobleem.</w:t>
      </w:r>
    </w:p>
    <w:p w:rsidRPr="005C4571" w:rsidR="009B199C" w:rsidP="00BE1F8F" w:rsidRDefault="009B199C" w14:paraId="1D7AC5FD" w14:textId="77777777">
      <w:pPr>
        <w:widowControl w:val="0"/>
        <w:ind w:left="709"/>
      </w:pPr>
    </w:p>
    <w:tbl>
      <w:tblPr>
        <w:tblW w:w="4942" w:type="pct"/>
        <w:tblLook w:val="04A0" w:firstRow="1" w:lastRow="0" w:firstColumn="1" w:lastColumn="0" w:noHBand="0" w:noVBand="1"/>
      </w:tblPr>
      <w:tblGrid>
        <w:gridCol w:w="1729"/>
        <w:gridCol w:w="7450"/>
      </w:tblGrid>
      <w:tr w:rsidRPr="005C4571" w:rsidR="009B199C" w:rsidTr="00A3780E" w14:paraId="6E6E3E29" w14:textId="77777777">
        <w:tc>
          <w:tcPr>
            <w:tcW w:w="942" w:type="pct"/>
          </w:tcPr>
          <w:p w:rsidRPr="005C4571" w:rsidR="009B199C" w:rsidP="00BE1F8F" w:rsidRDefault="009B199C" w14:paraId="0A0A29E5" w14:textId="77777777">
            <w:pPr>
              <w:rPr>
                <w:b/>
                <w:i/>
              </w:rPr>
            </w:pPr>
            <w:r>
              <w:rPr>
                <w:b/>
                <w:i/>
              </w:rPr>
              <w:t>Contactpersoon</w:t>
            </w:r>
          </w:p>
        </w:tc>
        <w:tc>
          <w:tcPr>
            <w:tcW w:w="4058" w:type="pct"/>
          </w:tcPr>
          <w:p w:rsidRPr="005C4571" w:rsidR="009B199C" w:rsidP="00BE1F8F" w:rsidRDefault="009B199C" w14:paraId="42F5E565" w14:textId="370BC39C">
            <w:pPr>
              <w:rPr>
                <w:b/>
                <w:i/>
              </w:rPr>
            </w:pPr>
            <w:r>
              <w:rPr>
                <w:i/>
              </w:rPr>
              <w:t>Anna Pantazi</w:t>
            </w:r>
          </w:p>
        </w:tc>
      </w:tr>
      <w:tr w:rsidRPr="005C4571" w:rsidR="009B199C" w:rsidTr="00A3780E" w14:paraId="552BEC45" w14:textId="77777777">
        <w:tc>
          <w:tcPr>
            <w:tcW w:w="942" w:type="pct"/>
          </w:tcPr>
          <w:p w:rsidRPr="005C4571" w:rsidR="009B199C" w:rsidP="00BE1F8F" w:rsidRDefault="009B199C" w14:paraId="1653AF5F" w14:textId="77777777">
            <w:pPr>
              <w:rPr>
                <w:i/>
              </w:rPr>
            </w:pPr>
            <w:r>
              <w:rPr>
                <w:i/>
              </w:rPr>
              <w:t>Tel.</w:t>
            </w:r>
          </w:p>
        </w:tc>
        <w:tc>
          <w:tcPr>
            <w:tcW w:w="4058" w:type="pct"/>
          </w:tcPr>
          <w:p w:rsidRPr="005C4571" w:rsidR="009B199C" w:rsidP="00BE1F8F" w:rsidRDefault="009B199C" w14:paraId="237B8862" w14:textId="77777777">
            <w:pPr>
              <w:rPr>
                <w:i/>
              </w:rPr>
            </w:pPr>
            <w:r>
              <w:rPr>
                <w:i/>
              </w:rPr>
              <w:t>+32 25469231</w:t>
            </w:r>
          </w:p>
        </w:tc>
      </w:tr>
      <w:tr w:rsidRPr="005C4571" w:rsidR="009B199C" w:rsidTr="00A3780E" w14:paraId="3D3A9CD1" w14:textId="77777777">
        <w:tc>
          <w:tcPr>
            <w:tcW w:w="942" w:type="pct"/>
          </w:tcPr>
          <w:p w:rsidRPr="005C4571" w:rsidR="009B199C" w:rsidP="00BE1F8F" w:rsidRDefault="009B199C" w14:paraId="1113F6A6" w14:textId="77777777">
            <w:pPr>
              <w:rPr>
                <w:i/>
              </w:rPr>
            </w:pPr>
            <w:r>
              <w:rPr>
                <w:i/>
              </w:rPr>
              <w:t>E-mail</w:t>
            </w:r>
          </w:p>
        </w:tc>
        <w:tc>
          <w:tcPr>
            <w:tcW w:w="4058" w:type="pct"/>
          </w:tcPr>
          <w:p w:rsidRPr="005C4571" w:rsidR="009B199C" w:rsidP="00BE1F8F" w:rsidRDefault="00BD521E" w14:paraId="45EA0124" w14:textId="77777777">
            <w:pPr>
              <w:rPr>
                <w:i/>
              </w:rPr>
            </w:pPr>
            <w:hyperlink w:history="1" r:id="rId22">
              <w:r w:rsidR="00972E61">
                <w:rPr>
                  <w:i/>
                  <w:color w:val="0000FF"/>
                  <w:u w:val="single"/>
                </w:rPr>
                <w:t>Anna.Pantazi@eesc.europa.eu</w:t>
              </w:r>
            </w:hyperlink>
          </w:p>
        </w:tc>
      </w:tr>
    </w:tbl>
    <w:p w:rsidR="009B199C" w:rsidP="00BE1F8F" w:rsidRDefault="009B199C" w14:paraId="44976E13" w14:textId="77777777">
      <w:pPr>
        <w:jc w:val="left"/>
      </w:pPr>
      <w:r>
        <w:br w:type="page"/>
      </w:r>
    </w:p>
    <w:p w:rsidRPr="003442FB" w:rsidR="009B199C" w:rsidP="00BE1F8F" w:rsidRDefault="00BD521E"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972E61">
          <w:rPr>
            <w:b/>
            <w:i/>
            <w:color w:val="0000FF"/>
            <w:sz w:val="28"/>
            <w:u w:val="single"/>
          </w:rPr>
          <w:t>Administratieve samenwerking op het gebied van de belastingen (DAC9)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342"/>
        <w:gridCol w:w="6835"/>
      </w:tblGrid>
      <w:tr w:rsidRPr="00EF5B43" w:rsidR="009B199C" w:rsidTr="00BE1F8F" w14:paraId="15407EEF" w14:textId="77777777">
        <w:tc>
          <w:tcPr>
            <w:tcW w:w="908"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Rapporteur</w:t>
            </w:r>
          </w:p>
        </w:tc>
        <w:tc>
          <w:tcPr>
            <w:tcW w:w="4092"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(groep Werkgevers – SE)</w:t>
            </w:r>
          </w:p>
        </w:tc>
      </w:tr>
      <w:tr w:rsidRPr="00EF5B43" w:rsidR="009B199C" w:rsidTr="00BE1F8F" w14:paraId="721BA5E2" w14:textId="77777777">
        <w:tc>
          <w:tcPr>
            <w:tcW w:w="908"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4092"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r>
              <w:t xml:space="preserve">COM(2024) 497 final </w:t>
            </w:r>
          </w:p>
        </w:tc>
      </w:tr>
      <w:tr w:rsidRPr="00EF5B43" w:rsidR="009B199C" w:rsidTr="00BE1F8F" w14:paraId="0644B2C3" w14:textId="77777777">
        <w:tc>
          <w:tcPr>
            <w:tcW w:w="908"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4092"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Het EESC:</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is ingenomen met het voorstel voor een Richtlijn van de Raad tot wijziging van Richtlijn 2011/16/EU betreffende de administratieve samenwerking op het gebied van belastingen (“DAC9”);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merkt op dat het hierbij gaat om een omzetting van het inclusief kader van de OESO/G20, waarover reeds overeenstemming is bereikt;</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wijst erop dat rechtszekerheid en duidelijkheid voor multinationale ondernemingen en belastingdiensten alleen gewaarborgd kunnen worden door het vaststellen van één reeks uniforme regels die van toepassing zijn op alle lidstaten;</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acht het van cruciaal belang dat de in het kader van DAC9 verzamelde informatie enkel en alleen wordt gebruikt zoals bedoeld in het voorstel van de Commissie en niet voor andere doeleinden waardoor bedrijven in derde landen toegang zouden kunnen krijgen tot gevoelige informatie, hetgeen de concurrentiepositie van Europese bedrijven zou kunnen schaden;</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betreurt dat er bij het onderhavige voorstel geen effectbeoordeling of concurrentievermogenstoets is uitgevoerd. Het zou interessant zijn na te kunnen gaan of de algemene doelstelling van de Commissie om de administratieve lasten met 25 % te verminderen met dit voorstel dichterbij wordt gebracht;</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acht het noodzakelijk ervoor te zorgen dat de regels volledig blijven aansluiten op de lopende werkzaamheden van de OESO.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667"/>
        <w:gridCol w:w="7510"/>
      </w:tblGrid>
      <w:tr w:rsidRPr="00EF5B43" w:rsidR="009B199C" w:rsidTr="00BE1F8F" w14:paraId="51274BC3" w14:textId="77777777">
        <w:tc>
          <w:tcPr>
            <w:tcW w:w="908" w:type="pct"/>
          </w:tcPr>
          <w:p w:rsidRPr="00EF5B43" w:rsidR="009B199C" w:rsidP="00BE1F8F" w:rsidRDefault="009B199C" w14:paraId="36A23BA9" w14:textId="77777777">
            <w:pPr>
              <w:overflowPunct w:val="0"/>
              <w:autoSpaceDE w:val="0"/>
              <w:autoSpaceDN w:val="0"/>
              <w:adjustRightInd w:val="0"/>
              <w:textAlignment w:val="baseline"/>
              <w:rPr>
                <w:i/>
              </w:rPr>
            </w:pPr>
            <w:r>
              <w:rPr>
                <w:b/>
                <w:i/>
              </w:rPr>
              <w:t>Contactpersoon</w:t>
            </w:r>
          </w:p>
        </w:tc>
        <w:tc>
          <w:tcPr>
            <w:tcW w:w="4092" w:type="pct"/>
          </w:tcPr>
          <w:p w:rsidRPr="00EF5B43" w:rsidR="009B199C" w:rsidP="00BE1F8F" w:rsidRDefault="009B199C" w14:paraId="08D792CC" w14:textId="77777777">
            <w:pPr>
              <w:overflowPunct w:val="0"/>
              <w:autoSpaceDE w:val="0"/>
              <w:autoSpaceDN w:val="0"/>
              <w:adjustRightInd w:val="0"/>
              <w:textAlignment w:val="baseline"/>
              <w:rPr>
                <w:i/>
              </w:rPr>
            </w:pPr>
            <w:r>
              <w:rPr>
                <w:i/>
              </w:rPr>
              <w:t>Jüri Soosaar</w:t>
            </w:r>
          </w:p>
        </w:tc>
      </w:tr>
      <w:tr w:rsidRPr="00EF5B43" w:rsidR="009B199C" w:rsidTr="00BE1F8F" w14:paraId="1A8CFF57" w14:textId="77777777">
        <w:tc>
          <w:tcPr>
            <w:tcW w:w="908" w:type="pct"/>
          </w:tcPr>
          <w:p w:rsidRPr="00EF5B43" w:rsidR="009B199C" w:rsidP="00BE1F8F" w:rsidRDefault="009B199C" w14:paraId="6B9265C2" w14:textId="77777777">
            <w:pPr>
              <w:overflowPunct w:val="0"/>
              <w:autoSpaceDE w:val="0"/>
              <w:autoSpaceDN w:val="0"/>
              <w:adjustRightInd w:val="0"/>
              <w:textAlignment w:val="baseline"/>
              <w:rPr>
                <w:i/>
              </w:rPr>
            </w:pPr>
            <w:r>
              <w:rPr>
                <w:i/>
              </w:rPr>
              <w:t>Tel.</w:t>
            </w:r>
          </w:p>
        </w:tc>
        <w:tc>
          <w:tcPr>
            <w:tcW w:w="4092" w:type="pct"/>
          </w:tcPr>
          <w:p w:rsidRPr="00EF5B43" w:rsidR="009B199C" w:rsidP="00BE1F8F" w:rsidRDefault="009B199C" w14:paraId="6A56AF39" w14:textId="77777777">
            <w:pPr>
              <w:overflowPunct w:val="0"/>
              <w:autoSpaceDE w:val="0"/>
              <w:autoSpaceDN w:val="0"/>
              <w:adjustRightInd w:val="0"/>
              <w:textAlignment w:val="baseline"/>
              <w:rPr>
                <w:i/>
              </w:rPr>
            </w:pPr>
            <w:r>
              <w:rPr>
                <w:i/>
              </w:rPr>
              <w:t>+32 2</w:t>
            </w:r>
            <w:r>
              <w:t xml:space="preserve"> </w:t>
            </w:r>
            <w:r>
              <w:rPr>
                <w:i/>
              </w:rPr>
              <w:t>5469628</w:t>
            </w:r>
          </w:p>
        </w:tc>
      </w:tr>
      <w:tr w:rsidRPr="00EF5B43" w:rsidR="009B199C" w:rsidTr="00BE1F8F" w14:paraId="6BB8066B" w14:textId="77777777">
        <w:tc>
          <w:tcPr>
            <w:tcW w:w="908" w:type="pct"/>
          </w:tcPr>
          <w:p w:rsidRPr="00EF5B43" w:rsidR="009B199C" w:rsidP="00BE1F8F" w:rsidRDefault="007A0964" w14:paraId="2E2C7A15" w14:textId="4BB9F468">
            <w:pPr>
              <w:overflowPunct w:val="0"/>
              <w:autoSpaceDE w:val="0"/>
              <w:autoSpaceDN w:val="0"/>
              <w:adjustRightInd w:val="0"/>
              <w:textAlignment w:val="baseline"/>
              <w:rPr>
                <w:i/>
              </w:rPr>
            </w:pPr>
            <w:r>
              <w:rPr>
                <w:i/>
              </w:rPr>
              <w:t>E-mail</w:t>
            </w:r>
          </w:p>
        </w:tc>
        <w:tc>
          <w:tcPr>
            <w:tcW w:w="4092" w:type="pct"/>
          </w:tcPr>
          <w:p w:rsidRPr="00EF5B43" w:rsidR="009B199C" w:rsidP="00BE1F8F" w:rsidRDefault="00BD521E" w14:paraId="7B544A6C" w14:textId="195BC3BF">
            <w:pPr>
              <w:overflowPunct w:val="0"/>
              <w:autoSpaceDE w:val="0"/>
              <w:autoSpaceDN w:val="0"/>
              <w:adjustRightInd w:val="0"/>
              <w:textAlignment w:val="baseline"/>
              <w:rPr>
                <w:i/>
              </w:rPr>
            </w:pPr>
            <w:hyperlink w:history="1" r:id="rId24">
              <w:r w:rsidR="00972E61">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BD521E"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Defensiefinanciering in de EU</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2234"/>
        <w:gridCol w:w="7053"/>
      </w:tblGrid>
      <w:tr w:rsidRPr="00773E8D" w:rsidR="00773E8D" w:rsidTr="00257E74" w14:paraId="7736047E" w14:textId="77777777">
        <w:tc>
          <w:tcPr>
            <w:tcW w:w="1701"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Rapporteur</w:t>
            </w:r>
          </w:p>
        </w:tc>
        <w:tc>
          <w:tcPr>
            <w:tcW w:w="7088"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r>
              <w:t>Marcin NOWACKI (groep Werkgevers – PL)</w:t>
            </w:r>
          </w:p>
        </w:tc>
      </w:tr>
      <w:tr w:rsidRPr="00773E8D" w:rsidR="00773E8D" w:rsidTr="00257E74" w14:paraId="1DEF454E" w14:textId="77777777">
        <w:tc>
          <w:tcPr>
            <w:tcW w:w="1701"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Referentiedocumenten</w:t>
            </w:r>
          </w:p>
        </w:tc>
        <w:tc>
          <w:tcPr>
            <w:tcW w:w="7088"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Verkennend advies –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Het EESC:</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wijst erop dat er, gezien het veranderende veiligheidslandschap in Europa, dringend robuuste en uniforme financieringsmechanismen voor defensie nodig zijn. De geopolitieke uitdagingen, met name de Russische agressie tegen Oekraïne, vereisen onmiddellijke en strategische investeringen in defensievermogens en in zowel militaire als civiele paraatheid, om de fundamentele waarden, vrede, veiligheid en economische belangen van de EU te beschermen;</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benadrukt dat de EU de doelstellingen van haar defensiebeleid duidelijk moet omschrijven en moet zorgen voor een versterking van de Europese pijler van defensie, waarvan de middelen en operationele vermogens moeten worden gekoppeld aan die van de NAVO. Het defensiebeleid maakt deel uit van het buitenlands en veiligheidsbeleid van de EU, dat vrede, democratie en mensenrechten op ons continent en zijn geografische omgeving en in de wereld moet bevorderen, en de multilaterale instellingen van het VN-systeem moet verdedigen;</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onderstreept dat er manieren moeten worden gevonden om de defensievermogens van de EU te versterken in overeenstemming met het Verdrag;</w:t>
      </w:r>
    </w:p>
    <w:p w:rsidRPr="00773E8D" w:rsidR="00773E8D" w:rsidP="008171FA" w:rsidRDefault="00773E8D" w14:paraId="1C22811F" w14:textId="77777777">
      <w:pPr>
        <w:numPr>
          <w:ilvl w:val="0"/>
          <w:numId w:val="44"/>
        </w:numPr>
        <w:overflowPunct w:val="0"/>
        <w:autoSpaceDE w:val="0"/>
        <w:autoSpaceDN w:val="0"/>
        <w:adjustRightInd w:val="0"/>
        <w:ind w:left="284" w:hanging="284"/>
        <w:contextualSpacing/>
        <w:textAlignment w:val="baseline"/>
      </w:pPr>
      <w:r>
        <w:t>benadrukt het belang van nauwere samenwerking tussen de EU en de NAVO om een uniforme defensie-aanpak te waarborgen;</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benadrukt dat de Europese NAVO-leden zich ertoe moeten verbinden ten minste 2,5 % van hun bbp aan defensie te besteden;</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benadrukt dat de ontwikkeling en productie van moderne defensiesystemen tot de onmiddellijke financieringsprioriteiten zouden moeten worden gerekend. Er moeten zo snel mogelijk meer middelen worden geïnvesteerd in dergelijke technologieën, zelfs tijdens de lopende begrotingsperiode van het MFK;</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wijst erop dat het versterken van de Europese technologische en industriële defensiebasis (EDTIB) van cruciaal belang is om onze afhankelijkheid van externe leveranciers te verminderen en innovatie binnen de EU te bevorderen;</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pleit voor de uitbreiding van gezamenlijke aanbestedingsmechanismen, zoals de Europese Vredesfaciliteit (EPF), om de hulpbronnenefficiëntie te maximaliseren en het strategisch partnerschap te versterken. Initiatieven zoals de verordening ter ondersteuning van de productie van munitie (ASAP) en de wet ter versterking van de Europese defensie-industrie door middel van gemeenschappelijke aanbestedingen (Edirpa) moeten worden opgeschaald om knelpunten in de productie en operationele paraatheid aan te pakken;</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benadrukt dat de partnerschappen met derde landen moeten worden voortgezet om gezamenlijke inspanningen op het gebied van veiligheidsinfrastructuur en technologische innovatie te bevorderen;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t>onderstreept het belang van publiek-private partnerschappen als aanvullend instrument om expertise en middelen in te zetten en om innovatie en de uitrol ervan op kritieke gebieden te versnellen;</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t>beklemtoont dat bij defensiefinanciering prioriteit moet worden gegeven aan het steunen van de EU-landen aan de buitengrenzen die het meest rechtstreeks te maken hebben met regionale conflicten, op voorwaarde dat zij de collectieve doelstellingen en beginselen van de EU en de NAVO strikt in acht nemen;</w:t>
      </w:r>
    </w:p>
    <w:p w:rsidRPr="00773E8D" w:rsidR="00773E8D" w:rsidP="008171FA" w:rsidRDefault="00773E8D" w14:paraId="6AF1CE95" w14:textId="77777777">
      <w:pPr>
        <w:numPr>
          <w:ilvl w:val="0"/>
          <w:numId w:val="44"/>
        </w:numPr>
        <w:overflowPunct w:val="0"/>
        <w:autoSpaceDE w:val="0"/>
        <w:autoSpaceDN w:val="0"/>
        <w:adjustRightInd w:val="0"/>
        <w:ind w:left="284" w:hanging="284"/>
        <w:contextualSpacing/>
        <w:textAlignment w:val="baseline"/>
      </w:pPr>
      <w:r>
        <w:t>benadrukt dat de defensiefinanciering moet worden geïntegreerd in de bredere financiële mechanismen van de EU, waaronder het volgende meerjarig financieel kader (MFK), maar niet ten koste van andere kritieke EU-prioriteiten, zoals het cohesiebeleid, de groene transitie en de Europese pijler van sociale rechten;</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wijst erop dat bewustmakingscampagnes moeten worden opgezet om de burgers te doordringen van het belang van defensiefinanciering voor het waarborgen van de vrede en veiligheid, de democratische manier van leven en de sociale cohesie in Europa;</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meent dat de EU gedwongen wordt om in het kader van het gemeenschappelijk buitenlands en veiligheidsbeleid een gemeenschappelijk defensiebeleid vast te stellen, een sterke Europese defensiepijler op te bouwen en daartoe de nodige wetgevende en financiële maatregelen te nemen;</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vindt dat de EU ook een actieve diplomatieke rol moet spelen om een rechtvaardige vrede in Oekraïne tot stand te brengen.</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1668"/>
        <w:gridCol w:w="7512"/>
      </w:tblGrid>
      <w:tr w:rsidRPr="00773E8D" w:rsidR="00773E8D" w:rsidTr="00BE1F8F" w14:paraId="72A4C0C1" w14:textId="77777777">
        <w:tc>
          <w:tcPr>
            <w:tcW w:w="1668" w:type="dxa"/>
          </w:tcPr>
          <w:p w:rsidRPr="00773E8D" w:rsidR="00773E8D" w:rsidP="00BE1F8F" w:rsidRDefault="00773E8D" w14:paraId="6CF8EC77" w14:textId="77777777">
            <w:pPr>
              <w:overflowPunct w:val="0"/>
              <w:autoSpaceDE w:val="0"/>
              <w:autoSpaceDN w:val="0"/>
              <w:adjustRightInd w:val="0"/>
              <w:textAlignment w:val="baseline"/>
              <w:rPr>
                <w:bCs/>
                <w:i/>
              </w:rPr>
            </w:pPr>
            <w:r>
              <w:rPr>
                <w:i/>
              </w:rPr>
              <w:t>Contactpersoon</w:t>
            </w:r>
          </w:p>
        </w:tc>
        <w:tc>
          <w:tcPr>
            <w:tcW w:w="7512"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Gerald Klec</w:t>
            </w:r>
          </w:p>
        </w:tc>
      </w:tr>
      <w:tr w:rsidRPr="00773E8D" w:rsidR="00773E8D" w:rsidTr="00BE1F8F" w14:paraId="2C039993" w14:textId="77777777">
        <w:tc>
          <w:tcPr>
            <w:tcW w:w="1668" w:type="dxa"/>
          </w:tcPr>
          <w:p w:rsidRPr="00773E8D" w:rsidR="00773E8D" w:rsidP="00BE1F8F" w:rsidRDefault="00773E8D" w14:paraId="3583AD71" w14:textId="77777777">
            <w:pPr>
              <w:overflowPunct w:val="0"/>
              <w:autoSpaceDE w:val="0"/>
              <w:autoSpaceDN w:val="0"/>
              <w:adjustRightInd w:val="0"/>
              <w:textAlignment w:val="baseline"/>
              <w:rPr>
                <w:i/>
              </w:rPr>
            </w:pPr>
            <w:r>
              <w:rPr>
                <w:i/>
              </w:rPr>
              <w:t>Tel.</w:t>
            </w:r>
          </w:p>
        </w:tc>
        <w:tc>
          <w:tcPr>
            <w:tcW w:w="7512"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+32 25469909</w:t>
            </w:r>
          </w:p>
        </w:tc>
      </w:tr>
      <w:tr w:rsidRPr="00773E8D" w:rsidR="00773E8D" w:rsidTr="00BE1F8F" w14:paraId="161B9255" w14:textId="77777777">
        <w:tc>
          <w:tcPr>
            <w:tcW w:w="1668" w:type="dxa"/>
          </w:tcPr>
          <w:p w:rsidRPr="00773E8D" w:rsidR="00773E8D" w:rsidP="00BE1F8F" w:rsidRDefault="00773E8D" w14:paraId="21276802" w14:textId="77777777">
            <w:pPr>
              <w:overflowPunct w:val="0"/>
              <w:autoSpaceDE w:val="0"/>
              <w:autoSpaceDN w:val="0"/>
              <w:adjustRightInd w:val="0"/>
              <w:textAlignment w:val="baseline"/>
              <w:rPr>
                <w:i/>
              </w:rPr>
            </w:pPr>
            <w:r>
              <w:rPr>
                <w:i/>
              </w:rPr>
              <w:t>E-mail</w:t>
            </w:r>
          </w:p>
        </w:tc>
        <w:tc>
          <w:tcPr>
            <w:tcW w:w="7512" w:type="dxa"/>
          </w:tcPr>
          <w:p w:rsidRPr="00C77862" w:rsidR="00773E8D" w:rsidP="00BE1F8F" w:rsidRDefault="00BD521E" w14:paraId="7FCDD2C3" w14:textId="2AECDE8E">
            <w:pPr>
              <w:overflowPunct w:val="0"/>
              <w:autoSpaceDE w:val="0"/>
              <w:autoSpaceDN w:val="0"/>
              <w:adjustRightInd w:val="0"/>
              <w:textAlignment w:val="baseline"/>
              <w:rPr>
                <w:i/>
                <w:iCs/>
              </w:rPr>
            </w:pPr>
            <w:hyperlink w:history="1" r:id="rId26">
              <w:r w:rsidR="00773E8D">
                <w:rPr>
                  <w:i/>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BD521E" w14:paraId="510F45CA" w14:textId="58C2B1AF">
      <w:pPr>
        <w:widowControl w:val="0"/>
        <w:numPr>
          <w:ilvl w:val="0"/>
          <w:numId w:val="2"/>
        </w:numPr>
        <w:overflowPunct w:val="0"/>
        <w:autoSpaceDE w:val="0"/>
        <w:autoSpaceDN w:val="0"/>
        <w:adjustRightInd w:val="0"/>
        <w:ind w:hanging="567"/>
        <w:textAlignment w:val="baseline"/>
      </w:pPr>
      <w:hyperlink w:history="1" r:id="rId27">
        <w:r w:rsidR="00972E61">
          <w:rPr>
            <w:b/>
            <w:i/>
            <w:color w:val="0000FF"/>
            <w:sz w:val="28"/>
            <w:u w:val="single"/>
          </w:rPr>
          <w:t>Versterking van de resultaatgerichtheid van het cohesiebeleid na 2027 – uitdagingen, risico’s en kansen</w:t>
        </w:r>
      </w:hyperlink>
    </w:p>
    <w:p w:rsidRPr="00BE1F8F" w:rsidR="009B199C" w:rsidP="00BE1F8F" w:rsidRDefault="009B199C" w14:paraId="51F52A14" w14:textId="77777777">
      <w:pPr>
        <w:widowControl w:val="0"/>
        <w:overflowPunct w:val="0"/>
        <w:autoSpaceDE w:val="0"/>
        <w:autoSpaceDN w:val="0"/>
        <w:adjustRightInd w:val="0"/>
        <w:ind w:left="283"/>
        <w:textAlignment w:val="baseline"/>
        <w:rPr>
          <w:b/>
          <w:i/>
          <w:iCs/>
          <w:sz w:val="12"/>
          <w:szCs w:val="12"/>
          <w:lang w:val="en-GB"/>
        </w:rPr>
      </w:pPr>
    </w:p>
    <w:tbl>
      <w:tblPr>
        <w:tblW w:w="0" w:type="auto"/>
        <w:tblLook w:val="04A0" w:firstRow="1" w:lastRow="0" w:firstColumn="1" w:lastColumn="0" w:noHBand="0" w:noVBand="1"/>
      </w:tblPr>
      <w:tblGrid>
        <w:gridCol w:w="2342"/>
        <w:gridCol w:w="6945"/>
      </w:tblGrid>
      <w:tr w:rsidRPr="00792ABA" w:rsidR="009B199C" w:rsidTr="00A3780E" w14:paraId="5BC5C730" w14:textId="77777777">
        <w:tc>
          <w:tcPr>
            <w:tcW w:w="1701"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Rapporteur</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Corapporteur</w:t>
            </w:r>
          </w:p>
        </w:tc>
        <w:tc>
          <w:tcPr>
            <w:tcW w:w="7479"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David SVENTEK (groep Werkgevers – CZ)</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(groep Werknemers – RO)</w:t>
            </w:r>
          </w:p>
        </w:tc>
      </w:tr>
      <w:tr w:rsidRPr="00792ABA" w:rsidR="009B199C" w:rsidTr="00A3780E" w14:paraId="4A10BF69" w14:textId="77777777">
        <w:tc>
          <w:tcPr>
            <w:tcW w:w="1701" w:type="dxa"/>
          </w:tcPr>
          <w:p w:rsidRPr="00792ABA" w:rsidR="009B199C" w:rsidP="00BE1F8F" w:rsidRDefault="009B199C" w14:paraId="4D7754ED" w14:textId="396C246D">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rsidRPr="00792ABA" w:rsidR="009B199C" w:rsidP="00BE1F8F" w:rsidRDefault="009B199C" w14:paraId="7601F5CA" w14:textId="00E8D08D">
            <w:pPr>
              <w:overflowPunct w:val="0"/>
              <w:autoSpaceDE w:val="0"/>
              <w:autoSpaceDN w:val="0"/>
              <w:adjustRightInd w:val="0"/>
              <w:ind w:left="266" w:hanging="266"/>
              <w:textAlignment w:val="baseline"/>
            </w:pPr>
            <w:r>
              <w:t>Verkennend advies op verzoek van het Poolse voorzitterschap van de Raad van de EU</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C43D3E"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C43D3E"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Het EESC:</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is een groot voorstander van de voortzetting van het cohesiebeleid van de EU, dat het duidelijk gerechtvaardigd, rationeel en legitiem acht; erkent tegelijkertijd dat het cohesiebeleid moet worden gemoderniseerd en aangepast aan de ontwikkelingstrends en -behoeften;</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is van mening dat het aandeel dat in de huidige EU-begroting is gereserveerd voor het cohesiebeleid in het volgende MFK niet mag worden verlaagd, maar moet worden verhoogd;</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beveelt aan om het toekomstige cohesiebeleid op de volgende algemene beginselen te baseren: partnerschap (met een actieve bijdrage van het maatschappelijk middenveld), gedeeld beheer (evenwichtige deelname van EU-, nationale en regionale overheden), multilevel governance (betrokkenheid van regio’s, steden, lokale overheden en belanghebbenden), plaatsgebonden aanpak (toepassing van een bottom-upbenadering), thematische concentratie (koppeling aan het Europees Semester), territoriale focus (ook rekening houdend met regionale kenmerken), resultaatgerichtheid (concrete en gekwantificeerde resultaten), vereenvoudiging (van regels en procedures) en sociale voorwaarden gekoppeld aan de financiering van investeringen;</w:t>
      </w:r>
    </w:p>
    <w:p w:rsidRPr="00792ABA" w:rsidR="009B199C" w:rsidP="00BE1F8F" w:rsidRDefault="009B199C" w14:paraId="384FD159" w14:textId="77777777">
      <w:pPr>
        <w:numPr>
          <w:ilvl w:val="0"/>
          <w:numId w:val="22"/>
        </w:numPr>
        <w:overflowPunct w:val="0"/>
        <w:autoSpaceDE w:val="0"/>
        <w:autoSpaceDN w:val="0"/>
        <w:adjustRightInd w:val="0"/>
        <w:ind w:left="284" w:hanging="284"/>
        <w:contextualSpacing/>
        <w:textAlignment w:val="baseline"/>
        <w:rPr>
          <w:bCs/>
          <w:iCs/>
        </w:rPr>
      </w:pPr>
      <w:r>
        <w:t>is van mening dat, in een toekomstig resultaatgericht cohesiebeleid, geopolitieke uitdagingen duidelijk in aanmerking moeten worden genomen, investeringen in capaciteitsopbouw nodig zijn en het partnerschapsbeginsel moet worden geconsolideerd;</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meent dat, door van een resultaatgerichte benadering een kernbeginsel te maken, de beperkte middelen van het cohesiebeleid efficiënter zullen worden toegewezen en de voordelen ervan zichtbaar en transparant zullen worden;</w:t>
      </w:r>
    </w:p>
    <w:p w:rsidRPr="00792ABA" w:rsidR="009B199C" w:rsidP="00BE1F8F" w:rsidRDefault="009B199C" w14:paraId="69027A6A" w14:textId="77777777">
      <w:pPr>
        <w:numPr>
          <w:ilvl w:val="0"/>
          <w:numId w:val="22"/>
        </w:numPr>
        <w:overflowPunct w:val="0"/>
        <w:autoSpaceDE w:val="0"/>
        <w:autoSpaceDN w:val="0"/>
        <w:adjustRightInd w:val="0"/>
        <w:ind w:left="284" w:hanging="284"/>
        <w:contextualSpacing/>
        <w:textAlignment w:val="baseline"/>
        <w:rPr>
          <w:bCs/>
          <w:iCs/>
        </w:rPr>
      </w:pPr>
      <w:r>
        <w:t>is van mening dat de verplichtingen die voortvloeien uit de invoering van een resultaatgerichte aanpak niet mogen worden toegevoegd aan de bestaande controle- en auditprocessen voor het toezicht op de doeltreffendheid, doelmatigheid en zuinigheid van de uitgaven van met cohesiemiddelen gefinancierde projecten;</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is er stellig van overtuigd dat het cohesiebeleid, ongeacht alle noodzakelijke veranderingen in de inhoud en koers ervan, in de eerste plaats gericht moet blijven op de regio’s en hun specifieke ontwikkelings- en veerkrachtbehoeften, en tegelijkertijd moet bijdragen aan de vermindering van ongelijkheden;</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t xml:space="preserve">meent dat er meer aandacht moet worden besteed aan sociale investeringen, waaronder huisvesting, als structurele ingrediënten voor territoriale ontwikkeling, toegang tot hoogwaardige openbare diensten en het aangaan van demografische uitdagingen;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t>beveelt aan een transparant beleidsklimaat tot stand te brengen waarin specifieke belanghebbenden, waaronder vertegenwoordigers van het maatschappelijk middenveld, een duidelijke stem in het kapittel krijgen;</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t>erkent de complexiteit van het systeem, dat aanzienlijk moet worden vereenvoudigd en transparanter moet worden gemaakt;</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t>benadrukt dat, zeker met betrekking tot de huidige en komende periode van economische en sociale ontwikkeling in de EU, convergentie en duurzaam concurrentievermogen niet haaks op elkaar staan.</w:t>
      </w:r>
    </w:p>
    <w:p w:rsidR="009B199C" w:rsidP="00BE1F8F" w:rsidRDefault="009B199C" w14:paraId="1DD19EA2" w14:textId="66A2333D">
      <w:pPr>
        <w:ind w:left="360"/>
        <w:contextualSpacing/>
        <w:rPr>
          <w:rFonts w:ascii="Calibri" w:hAnsi="Calibri"/>
          <w:bCs/>
          <w:iCs/>
          <w:sz w:val="16"/>
          <w:szCs w:val="16"/>
          <w:lang w:val="en-GB" w:eastAsia="zh-CN"/>
        </w:rPr>
      </w:pPr>
    </w:p>
    <w:tbl>
      <w:tblPr>
        <w:tblW w:w="9322" w:type="dxa"/>
        <w:tblLook w:val="04A0" w:firstRow="1" w:lastRow="0" w:firstColumn="1" w:lastColumn="0" w:noHBand="0" w:noVBand="1"/>
      </w:tblPr>
      <w:tblGrid>
        <w:gridCol w:w="1668"/>
        <w:gridCol w:w="7654"/>
      </w:tblGrid>
      <w:tr w:rsidRPr="00792ABA" w:rsidR="00E14D8E" w:rsidTr="00BE1F8F" w14:paraId="6547EFA9" w14:textId="77777777">
        <w:tc>
          <w:tcPr>
            <w:tcW w:w="1668" w:type="dxa"/>
          </w:tcPr>
          <w:p w:rsidRPr="00792ABA" w:rsidR="00E14D8E" w:rsidP="00BE1F8F" w:rsidRDefault="00E14D8E" w14:paraId="4258610F" w14:textId="77777777">
            <w:pPr>
              <w:overflowPunct w:val="0"/>
              <w:autoSpaceDE w:val="0"/>
              <w:autoSpaceDN w:val="0"/>
              <w:adjustRightInd w:val="0"/>
              <w:textAlignment w:val="baseline"/>
              <w:rPr>
                <w:i/>
              </w:rPr>
            </w:pPr>
            <w:r>
              <w:rPr>
                <w:b/>
                <w:i/>
              </w:rPr>
              <w:t>Contactpersoon</w:t>
            </w:r>
          </w:p>
        </w:tc>
        <w:tc>
          <w:tcPr>
            <w:tcW w:w="7654" w:type="dxa"/>
          </w:tcPr>
          <w:p w:rsidRPr="00792ABA" w:rsidR="00E14D8E" w:rsidP="00BE1F8F" w:rsidRDefault="00E14D8E" w14:paraId="5390638D" w14:textId="77777777">
            <w:pPr>
              <w:overflowPunct w:val="0"/>
              <w:autoSpaceDE w:val="0"/>
              <w:autoSpaceDN w:val="0"/>
              <w:adjustRightInd w:val="0"/>
              <w:textAlignment w:val="baseline"/>
              <w:rPr>
                <w:i/>
              </w:rPr>
            </w:pPr>
            <w:r>
              <w:rPr>
                <w:i/>
              </w:rPr>
              <w:t>Georgios MELEAS</w:t>
            </w:r>
          </w:p>
        </w:tc>
      </w:tr>
      <w:tr w:rsidRPr="00792ABA" w:rsidR="00E14D8E" w:rsidTr="00BE1F8F" w14:paraId="5F576F6C" w14:textId="77777777">
        <w:tc>
          <w:tcPr>
            <w:tcW w:w="1668" w:type="dxa"/>
          </w:tcPr>
          <w:p w:rsidRPr="00792ABA" w:rsidR="00E14D8E" w:rsidP="00BE1F8F" w:rsidRDefault="00E14D8E" w14:paraId="13C225A0" w14:textId="77777777">
            <w:pPr>
              <w:overflowPunct w:val="0"/>
              <w:autoSpaceDE w:val="0"/>
              <w:autoSpaceDN w:val="0"/>
              <w:adjustRightInd w:val="0"/>
              <w:textAlignment w:val="baseline"/>
              <w:rPr>
                <w:i/>
              </w:rPr>
            </w:pPr>
            <w:r>
              <w:rPr>
                <w:i/>
              </w:rPr>
              <w:t>Tel.</w:t>
            </w:r>
          </w:p>
        </w:tc>
        <w:tc>
          <w:tcPr>
            <w:tcW w:w="7654" w:type="dxa"/>
          </w:tcPr>
          <w:p w:rsidRPr="00792ABA" w:rsidR="00E14D8E" w:rsidP="00BE1F8F" w:rsidRDefault="00E14D8E" w14:paraId="1A2A2EF0" w14:textId="77777777">
            <w:pPr>
              <w:overflowPunct w:val="0"/>
              <w:autoSpaceDE w:val="0"/>
              <w:autoSpaceDN w:val="0"/>
              <w:adjustRightInd w:val="0"/>
              <w:textAlignment w:val="baseline"/>
              <w:rPr>
                <w:i/>
              </w:rPr>
            </w:pPr>
            <w:r>
              <w:rPr>
                <w:i/>
              </w:rPr>
              <w:t>+32 2 5469795</w:t>
            </w:r>
          </w:p>
        </w:tc>
      </w:tr>
      <w:tr w:rsidRPr="00792ABA" w:rsidR="00E14D8E" w:rsidTr="00BE1F8F" w14:paraId="243EA6DE" w14:textId="77777777">
        <w:tc>
          <w:tcPr>
            <w:tcW w:w="1668" w:type="dxa"/>
          </w:tcPr>
          <w:p w:rsidRPr="00792ABA" w:rsidR="00E14D8E" w:rsidP="00BE1F8F" w:rsidRDefault="00E14D8E" w14:paraId="385A71F4" w14:textId="77777777">
            <w:pPr>
              <w:overflowPunct w:val="0"/>
              <w:autoSpaceDE w:val="0"/>
              <w:autoSpaceDN w:val="0"/>
              <w:adjustRightInd w:val="0"/>
              <w:textAlignment w:val="baseline"/>
              <w:rPr>
                <w:i/>
              </w:rPr>
            </w:pPr>
            <w:r>
              <w:rPr>
                <w:i/>
              </w:rPr>
              <w:t>E-mail</w:t>
            </w:r>
          </w:p>
        </w:tc>
        <w:tc>
          <w:tcPr>
            <w:tcW w:w="7654" w:type="dxa"/>
          </w:tcPr>
          <w:p w:rsidRPr="00792ABA" w:rsidR="00E14D8E" w:rsidP="00BE1F8F" w:rsidRDefault="00BD521E" w14:paraId="00D270D1" w14:textId="77777777">
            <w:pPr>
              <w:overflowPunct w:val="0"/>
              <w:autoSpaceDE w:val="0"/>
              <w:autoSpaceDN w:val="0"/>
              <w:adjustRightInd w:val="0"/>
              <w:textAlignment w:val="baseline"/>
              <w:rPr>
                <w:i/>
                <w:iCs/>
              </w:rPr>
            </w:pPr>
            <w:hyperlink w:history="1" r:id="rId28">
              <w:r w:rsidR="00972E61">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750663" w:id="10"/>
      <w:bookmarkEnd w:id="1"/>
      <w:bookmarkEnd w:id="2"/>
      <w:bookmarkEnd w:id="3"/>
      <w:bookmarkEnd w:id="4"/>
      <w:bookmarkEnd w:id="5"/>
      <w:bookmarkEnd w:id="6"/>
      <w:bookmarkEnd w:id="7"/>
      <w:bookmarkEnd w:id="8"/>
      <w:r>
        <w:rPr>
          <w:b/>
        </w:rPr>
        <w:t>WERKGELEGENHEID, SOCIALE ZAKEN EN BURGERSCHAP</w:t>
      </w:r>
      <w:bookmarkEnd w:id="9"/>
      <w:bookmarkEnd w:id="10"/>
    </w:p>
    <w:p w:rsidR="004D7AC0" w:rsidP="00BE1F8F" w:rsidRDefault="004D7AC0" w14:paraId="4982DD9A" w14:textId="77777777">
      <w:pPr>
        <w:keepNext/>
        <w:keepLines/>
      </w:pPr>
    </w:p>
    <w:p w:rsidRPr="00B4456F" w:rsidR="005820A0" w:rsidP="00BE1F8F" w:rsidRDefault="00BD521E"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972E61">
          <w:rPr>
            <w:rStyle w:val="Hyperlink"/>
            <w:b/>
            <w:i/>
            <w:sz w:val="28"/>
          </w:rPr>
          <w:t>Aanpak van eenzaamheid: krachtigere maatregelen voor demografische cohesie</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7138"/>
      </w:tblGrid>
      <w:tr w:rsidRPr="00B4456F" w:rsidR="005820A0" w:rsidTr="00A3780E" w14:paraId="67BD490D" w14:textId="77777777">
        <w:tc>
          <w:tcPr>
            <w:tcW w:w="1607" w:type="dxa"/>
          </w:tcPr>
          <w:p w:rsidRPr="00C43D3E" w:rsidR="005820A0" w:rsidP="00BE1F8F" w:rsidRDefault="005820A0" w14:paraId="42367F1A" w14:textId="701C1F82">
            <w:pPr>
              <w:tabs>
                <w:tab w:val="center" w:pos="284"/>
              </w:tabs>
              <w:ind w:left="266" w:hanging="266"/>
              <w:rPr>
                <w:b/>
                <w:sz w:val="20"/>
                <w:szCs w:val="20"/>
              </w:rPr>
            </w:pPr>
            <w:r>
              <w:rPr>
                <w:b/>
                <w:sz w:val="20"/>
              </w:rPr>
              <w:t>Rapporteur</w:t>
            </w:r>
          </w:p>
        </w:tc>
        <w:tc>
          <w:tcPr>
            <w:tcW w:w="7573" w:type="dxa"/>
          </w:tcPr>
          <w:p w:rsidRPr="00C43D3E" w:rsidR="005820A0" w:rsidP="00BE1F8F" w:rsidRDefault="005820A0" w14:paraId="3FB6ED60" w14:textId="3DA0CD80">
            <w:pPr>
              <w:tabs>
                <w:tab w:val="center" w:pos="284"/>
              </w:tabs>
              <w:ind w:left="266" w:hanging="266"/>
              <w:rPr>
                <w:sz w:val="20"/>
                <w:szCs w:val="20"/>
              </w:rPr>
            </w:pPr>
            <w:r>
              <w:rPr>
                <w:sz w:val="20"/>
              </w:rPr>
              <w:t>Miguel Ángel CABRA DE LUNA (groep Maatschappelijke Organisaties – ES)</w:t>
            </w:r>
          </w:p>
        </w:tc>
      </w:tr>
      <w:tr w:rsidRPr="00B4456F" w:rsidR="005820A0" w:rsidTr="00A3780E" w14:paraId="6076883C" w14:textId="77777777">
        <w:tc>
          <w:tcPr>
            <w:tcW w:w="1607" w:type="dxa"/>
            <w:vMerge w:val="restart"/>
          </w:tcPr>
          <w:p w:rsidRPr="00C43D3E" w:rsidR="005820A0" w:rsidP="00BE1F8F" w:rsidRDefault="005820A0" w14:paraId="544AEDE8" w14:textId="4C4437C3">
            <w:pPr>
              <w:tabs>
                <w:tab w:val="center" w:pos="284"/>
              </w:tabs>
              <w:ind w:left="266" w:hanging="266"/>
              <w:rPr>
                <w:b/>
                <w:sz w:val="20"/>
                <w:szCs w:val="20"/>
              </w:rPr>
            </w:pPr>
            <w:r>
              <w:rPr>
                <w:b/>
                <w:sz w:val="20"/>
              </w:rPr>
              <w:t>Referentiedocumenten</w:t>
            </w:r>
          </w:p>
        </w:tc>
        <w:tc>
          <w:tcPr>
            <w:tcW w:w="7573" w:type="dxa"/>
          </w:tcPr>
          <w:p w:rsidRPr="00C43D3E" w:rsidR="005820A0" w:rsidP="00BE1F8F" w:rsidRDefault="005820A0" w14:paraId="5995BCBD" w14:textId="77777777">
            <w:pPr>
              <w:tabs>
                <w:tab w:val="center" w:pos="284"/>
              </w:tabs>
              <w:ind w:left="266" w:hanging="266"/>
              <w:rPr>
                <w:sz w:val="20"/>
                <w:szCs w:val="20"/>
              </w:rPr>
            </w:pPr>
            <w:r>
              <w:rPr>
                <w:sz w:val="20"/>
              </w:rPr>
              <w:t>Initiatiefadvies</w:t>
            </w:r>
          </w:p>
        </w:tc>
      </w:tr>
      <w:tr w:rsidRPr="00B4456F" w:rsidR="005820A0" w:rsidTr="00A3780E" w14:paraId="4CBB60AE" w14:textId="77777777">
        <w:tc>
          <w:tcPr>
            <w:tcW w:w="1607" w:type="dxa"/>
            <w:vMerge/>
          </w:tcPr>
          <w:p w:rsidRPr="00C43D3E" w:rsidR="005820A0" w:rsidP="00BE1F8F" w:rsidRDefault="005820A0" w14:paraId="3E553D04" w14:textId="77777777">
            <w:pPr>
              <w:tabs>
                <w:tab w:val="center" w:pos="284"/>
              </w:tabs>
              <w:ind w:left="266" w:hanging="266"/>
              <w:rPr>
                <w:b/>
                <w:sz w:val="20"/>
                <w:szCs w:val="20"/>
              </w:rPr>
            </w:pPr>
          </w:p>
        </w:tc>
        <w:tc>
          <w:tcPr>
            <w:tcW w:w="7573" w:type="dxa"/>
          </w:tcPr>
          <w:p w:rsidRPr="00C43D3E" w:rsidR="005820A0" w:rsidP="00BE1F8F" w:rsidRDefault="005820A0" w14:paraId="67128669" w14:textId="77777777">
            <w:pPr>
              <w:tabs>
                <w:tab w:val="center" w:pos="284"/>
              </w:tabs>
              <w:ind w:left="266" w:hanging="266"/>
              <w:rPr>
                <w:sz w:val="20"/>
                <w:szCs w:val="20"/>
              </w:rPr>
            </w:pPr>
            <w:r>
              <w:rPr>
                <w:sz w:val="20"/>
              </w:rPr>
              <w:t>EESC-2024-03264-00-00-AC</w:t>
            </w:r>
          </w:p>
        </w:tc>
      </w:tr>
    </w:tbl>
    <w:p w:rsidRPr="00B4456F"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Hoofdpunten</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5820A0" w14:paraId="25B369D6" w14:textId="77777777">
      <w:pPr>
        <w:rPr>
          <w:bCs/>
          <w:iCs/>
        </w:rPr>
      </w:pPr>
      <w:r>
        <w:t>Het EESC:</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verzoekt de Europese Commissie tijdens haar mandaatsperiode 2025-2029 een Europese strategie voor de aanpak van eenzaamheid vast te stellen waarmee: de kennis over eenzaamheid wordt geconsolideerd; bestaande maatregelen worden geanalyseerd en geëvalueerd; een intersectionele aanpak wordt toegevoegd; de oorzaken worden aangepakt door middel van een preventieve aanpak; het bewustzijn wordt vergroot en stigma’s worden uitgebannen; de druk op de gezondheidsstelsels wordt verlicht; en financiële steun wordt gemobiliseerd;</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wijst op de sleutelrol die maatschappelijke organisaties spelen in de strijd tegen eenzaamheid en onderstreept dat de sociale partners in dit verband ook een bijdrage kunnen leveren;</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pleit voor specifieke maatregelen tegen eenzaamheid op EU-niveau als onderdeel van de Europese strategie voor ouderen (advies SOC/757) en de toekomstige Europese strategie voor intergenerationele rechtvaardigheid (advies SOC/800), met inbegrip van nationale plannen;</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is van mening dat in de uit te werken strategieën aandacht moet worden besteed aan eenzaamheid in alle levensfasen, met bijzondere aandacht voor overgangsfasen in de levensloop. Deze strategieën vereisen leiderschap op hoog niveau en betrokkenheid van de verschillende actoren, zoals (met name lokale) overheden, maatschappelijke organisaties, de sociale partners, de sociale economie en de media;</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verzoekt de Europese Commissie het proefproject inzake eenzaamheid voort te zetten dat in 2022 op verzoek van het Europees Parlement van start is gegaan;</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dringt erop aan dat eenzaamheid als dimensie wordt opgenomen in het toekomstige “Youth Check”-initiatief (de “jongerentoets”);</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moedigt het Europees Comité van de Regio’s aan om aan de voorgestelde strategie deel te nemen.</w:t>
      </w:r>
    </w:p>
    <w:p w:rsidRPr="00B4456F"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12"/>
      </w:tblGrid>
      <w:tr w:rsidRPr="00BE1F8F" w:rsidR="005820A0" w:rsidTr="00BE1F8F" w14:paraId="7592C7BE" w14:textId="77777777">
        <w:tc>
          <w:tcPr>
            <w:tcW w:w="1668" w:type="dxa"/>
          </w:tcPr>
          <w:p w:rsidRPr="00BE1F8F" w:rsidR="005820A0" w:rsidP="00BE1F8F" w:rsidRDefault="005820A0" w14:paraId="208016A2" w14:textId="5CF87BF1">
            <w:pPr>
              <w:rPr>
                <w:i/>
                <w:sz w:val="20"/>
                <w:szCs w:val="20"/>
              </w:rPr>
            </w:pPr>
            <w:r>
              <w:rPr>
                <w:b/>
                <w:i/>
                <w:sz w:val="20"/>
              </w:rPr>
              <w:t>Contactpersoon</w:t>
            </w:r>
          </w:p>
        </w:tc>
        <w:tc>
          <w:tcPr>
            <w:tcW w:w="7512" w:type="dxa"/>
          </w:tcPr>
          <w:p w:rsidRPr="00BE1F8F" w:rsidR="005820A0" w:rsidP="00BE1F8F" w:rsidRDefault="005820A0" w14:paraId="6CF1067D" w14:textId="712D966F">
            <w:pPr>
              <w:rPr>
                <w:i/>
                <w:sz w:val="20"/>
                <w:szCs w:val="20"/>
              </w:rPr>
            </w:pPr>
            <w:r>
              <w:rPr>
                <w:i/>
                <w:sz w:val="20"/>
              </w:rPr>
              <w:t>Valeria Atzori</w:t>
            </w:r>
          </w:p>
        </w:tc>
      </w:tr>
      <w:tr w:rsidRPr="00BE1F8F" w:rsidR="005820A0" w:rsidTr="00BE1F8F" w14:paraId="6C8121C6" w14:textId="77777777">
        <w:tc>
          <w:tcPr>
            <w:tcW w:w="1668" w:type="dxa"/>
          </w:tcPr>
          <w:p w:rsidRPr="00BE1F8F" w:rsidR="005820A0" w:rsidP="00BE1F8F" w:rsidRDefault="005820A0" w14:paraId="1B05B83D" w14:textId="43B7C197">
            <w:pPr>
              <w:rPr>
                <w:i/>
                <w:sz w:val="20"/>
                <w:szCs w:val="20"/>
              </w:rPr>
            </w:pPr>
            <w:r>
              <w:rPr>
                <w:i/>
                <w:sz w:val="20"/>
              </w:rPr>
              <w:t>Tel.</w:t>
            </w:r>
          </w:p>
        </w:tc>
        <w:tc>
          <w:tcPr>
            <w:tcW w:w="7512" w:type="dxa"/>
          </w:tcPr>
          <w:p w:rsidRPr="00BE1F8F" w:rsidR="005820A0" w:rsidP="00BE1F8F" w:rsidRDefault="005820A0" w14:paraId="4579CB82" w14:textId="77777777">
            <w:pPr>
              <w:rPr>
                <w:i/>
                <w:sz w:val="20"/>
                <w:szCs w:val="20"/>
              </w:rPr>
            </w:pPr>
            <w:r>
              <w:rPr>
                <w:i/>
                <w:sz w:val="20"/>
              </w:rPr>
              <w:t>+32 25468774</w:t>
            </w:r>
          </w:p>
        </w:tc>
      </w:tr>
      <w:tr w:rsidRPr="00BE1F8F" w:rsidR="005820A0" w:rsidTr="00BE1F8F" w14:paraId="7DF31CE8" w14:textId="77777777">
        <w:trPr>
          <w:trHeight w:val="285"/>
        </w:trPr>
        <w:tc>
          <w:tcPr>
            <w:tcW w:w="1668" w:type="dxa"/>
          </w:tcPr>
          <w:p w:rsidRPr="00BE1F8F" w:rsidR="005820A0" w:rsidP="00BE1F8F" w:rsidRDefault="005820A0" w14:paraId="30F9AA2F" w14:textId="7B8A8D0D">
            <w:pPr>
              <w:rPr>
                <w:i/>
                <w:sz w:val="20"/>
                <w:szCs w:val="20"/>
              </w:rPr>
            </w:pPr>
            <w:r>
              <w:rPr>
                <w:i/>
                <w:sz w:val="20"/>
              </w:rPr>
              <w:t>E-mail</w:t>
            </w:r>
          </w:p>
        </w:tc>
        <w:tc>
          <w:tcPr>
            <w:tcW w:w="7512" w:type="dxa"/>
          </w:tcPr>
          <w:p w:rsidRPr="00BE1F8F" w:rsidR="005820A0" w:rsidP="00BE1F8F" w:rsidRDefault="00BD521E" w14:paraId="75028D49" w14:textId="77777777">
            <w:pPr>
              <w:rPr>
                <w:i/>
                <w:iCs/>
                <w:sz w:val="20"/>
                <w:szCs w:val="20"/>
              </w:rPr>
            </w:pPr>
            <w:hyperlink w:history="1" r:id="rId30">
              <w:r w:rsidR="00972E61">
                <w:rPr>
                  <w:rStyle w:val="Hyperlink"/>
                  <w:i/>
                  <w:sz w:val="20"/>
                </w:rPr>
                <w:t>Valeria.Atzori@eesc.europa.eu</w:t>
              </w:r>
            </w:hyperlink>
          </w:p>
        </w:tc>
      </w:tr>
    </w:tbl>
    <w:p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BD521E"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972E61">
          <w:rPr>
            <w:b/>
            <w:i/>
            <w:color w:val="0000FF"/>
            <w:sz w:val="28"/>
            <w:u w:val="single"/>
          </w:rPr>
          <w:t>Geweld tegen vrouwen als mensenrechtenkwestie: stand van zaken van de maatregelen in de EU</w:t>
        </w:r>
      </w:hyperlink>
    </w:p>
    <w:p w:rsidRPr="006D1DFA" w:rsidR="006D1DFA" w:rsidP="00BE1F8F" w:rsidRDefault="006D1DFA" w14:paraId="0322A41C" w14:textId="77777777">
      <w:pPr>
        <w:tabs>
          <w:tab w:val="center" w:pos="284"/>
        </w:tabs>
        <w:overflowPunct w:val="0"/>
        <w:autoSpaceDE w:val="0"/>
        <w:autoSpaceDN w:val="0"/>
        <w:adjustRightInd w:val="0"/>
        <w:ind w:left="567" w:hanging="567"/>
        <w:textAlignment w:val="baseline"/>
        <w:rPr>
          <w:sz w:val="16"/>
          <w:szCs w:val="16"/>
          <w:lang w:val="en-GB"/>
        </w:rPr>
      </w:pPr>
    </w:p>
    <w:tbl>
      <w:tblPr>
        <w:tblW w:w="9322" w:type="dxa"/>
        <w:tblLook w:val="04A0" w:firstRow="1" w:lastRow="0" w:firstColumn="1" w:lastColumn="0" w:noHBand="0" w:noVBand="1"/>
      </w:tblPr>
      <w:tblGrid>
        <w:gridCol w:w="2342"/>
        <w:gridCol w:w="6980"/>
      </w:tblGrid>
      <w:tr w:rsidRPr="00BA71AC" w:rsidR="006D1DFA" w:rsidTr="00BE1F8F" w14:paraId="4E8132D8" w14:textId="77777777">
        <w:tc>
          <w:tcPr>
            <w:tcW w:w="1834"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Rapporteur</w:t>
            </w:r>
          </w:p>
        </w:tc>
        <w:tc>
          <w:tcPr>
            <w:tcW w:w="7488" w:type="dxa"/>
          </w:tcPr>
          <w:p w:rsidRPr="006D1DFA" w:rsidR="006D1DFA" w:rsidP="00BE1F8F" w:rsidRDefault="006D1DFA" w14:paraId="59709140" w14:textId="77777777">
            <w:pPr>
              <w:overflowPunct w:val="0"/>
              <w:autoSpaceDE w:val="0"/>
              <w:autoSpaceDN w:val="0"/>
              <w:adjustRightInd w:val="0"/>
              <w:textAlignment w:val="baseline"/>
            </w:pPr>
            <w:r>
              <w:t>José Antonio MORENO DÍAZ (groep Werknemers – ES)</w:t>
            </w:r>
          </w:p>
        </w:tc>
      </w:tr>
      <w:tr w:rsidRPr="006D1DFA" w:rsidR="006D1DFA" w:rsidTr="00BE1F8F" w14:paraId="30BC9238" w14:textId="77777777">
        <w:tc>
          <w:tcPr>
            <w:tcW w:w="1834"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Corapporteur</w:t>
            </w:r>
          </w:p>
        </w:tc>
        <w:tc>
          <w:tcPr>
            <w:tcW w:w="7488" w:type="dxa"/>
          </w:tcPr>
          <w:p w:rsidRPr="006D1DFA" w:rsidR="006D1DFA" w:rsidP="00BE1F8F" w:rsidRDefault="006D1DFA" w14:paraId="04C5BBA6" w14:textId="24635529">
            <w:pPr>
              <w:overflowPunct w:val="0"/>
              <w:autoSpaceDE w:val="0"/>
              <w:autoSpaceDN w:val="0"/>
              <w:adjustRightInd w:val="0"/>
              <w:textAlignment w:val="baseline"/>
            </w:pPr>
            <w:r>
              <w:t>Dovilė JUODKAITĖ (groep Maatschappelijke Organisaties – LT)</w:t>
            </w:r>
          </w:p>
        </w:tc>
      </w:tr>
      <w:tr w:rsidRPr="006D1DFA" w:rsidR="006D1DFA" w:rsidTr="00BE1F8F" w14:paraId="51A5C160" w14:textId="77777777">
        <w:tc>
          <w:tcPr>
            <w:tcW w:w="1834" w:type="dxa"/>
          </w:tcPr>
          <w:p w:rsidRPr="006D1DFA" w:rsidR="006D1DFA" w:rsidP="00BE1F8F" w:rsidRDefault="006D1DFA" w14:paraId="1546DA25" w14:textId="112DF30C">
            <w:pPr>
              <w:tabs>
                <w:tab w:val="center" w:pos="284"/>
              </w:tabs>
              <w:overflowPunct w:val="0"/>
              <w:autoSpaceDE w:val="0"/>
              <w:autoSpaceDN w:val="0"/>
              <w:adjustRightInd w:val="0"/>
              <w:ind w:left="567" w:hanging="567"/>
              <w:textAlignment w:val="baseline"/>
              <w:rPr>
                <w:b/>
              </w:rPr>
            </w:pPr>
            <w:r>
              <w:rPr>
                <w:b/>
              </w:rPr>
              <w:t>Referentiedocumenten</w:t>
            </w:r>
          </w:p>
        </w:tc>
        <w:tc>
          <w:tcPr>
            <w:tcW w:w="7488"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Initiatiefadvies</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BE1F8F"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Hoofdpunten</w:t>
      </w:r>
    </w:p>
    <w:p w:rsidRPr="00BE1F8F" w:rsidR="006D1DFA" w:rsidP="00BE1F8F" w:rsidRDefault="006D1DFA" w14:paraId="7A7C5D4B" w14:textId="77777777">
      <w:pPr>
        <w:overflowPunct w:val="0"/>
        <w:autoSpaceDE w:val="0"/>
        <w:autoSpaceDN w:val="0"/>
        <w:adjustRightInd w:val="0"/>
        <w:textAlignment w:val="baseline"/>
        <w:rPr>
          <w:sz w:val="16"/>
          <w:szCs w:val="16"/>
          <w:lang w:val="en-GB"/>
        </w:rPr>
      </w:pPr>
    </w:p>
    <w:p w:rsidR="006D1DFA" w:rsidP="00BE1F8F" w:rsidRDefault="006D1DFA" w14:paraId="10140015" w14:textId="77777777">
      <w:pPr>
        <w:overflowPunct w:val="0"/>
        <w:autoSpaceDE w:val="0"/>
        <w:autoSpaceDN w:val="0"/>
        <w:adjustRightInd w:val="0"/>
        <w:textAlignment w:val="baseline"/>
        <w:rPr>
          <w:szCs w:val="20"/>
        </w:rPr>
      </w:pPr>
      <w:r>
        <w:t>Het EESC:</w:t>
      </w:r>
    </w:p>
    <w:p w:rsidRPr="006D1DFA" w:rsidR="006D1DFA" w:rsidP="00BE1F8F" w:rsidRDefault="006D1DFA" w14:paraId="6A53E697" w14:textId="77777777">
      <w:pPr>
        <w:numPr>
          <w:ilvl w:val="0"/>
          <w:numId w:val="24"/>
        </w:numPr>
        <w:overflowPunct w:val="0"/>
        <w:autoSpaceDE w:val="0"/>
        <w:autoSpaceDN w:val="0"/>
        <w:adjustRightInd w:val="0"/>
        <w:ind w:left="284" w:hanging="284"/>
        <w:contextualSpacing/>
        <w:textAlignment w:val="baseline"/>
      </w:pPr>
      <w:r>
        <w:t>herinnert eraan dat geweld tegen vrouwen en meisjes, een van de meest hardnekkige vormen van genderdiscriminatie, neerkomt op een schending van de mensenrechten; roept op tot ratificatie en tenuitvoerlegging van het Verdrag van de Raad van Europa inzake het voorkomen en bestrijden van geweld tegen vrouwen en huiselijk geweld (Verdrag van Istanbul) alsook van IAO-Verdrag 190 betreffende geweld en intimidatie (met name Aanbeveling 206), en tot bevordering van beide verdragen door de lidstaten en op EU-niveau;</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meent dat Richtlijn (EU) 2024/1385 ter bestrijding van geweld tegen vrouwen en huiselijk geweld betrekking moet hebben op alle vormen van geweld tegen vrouwen, onder meer institutioneel geweld, prostitutie, commerciële pornografie en pornografie als vorm van seksuele uitbuiting, reproductieve uitbuiting, plaatsvervangend geweld, chemische onderwerping en intimidatie op straat, alsook seksuele en gendergerelateerde intimidatie en gedwongen sterilisatie van gehandicapte vrouwen;</w:t>
      </w:r>
    </w:p>
    <w:p w:rsidRPr="006D1DFA" w:rsidR="006D1DFA" w:rsidP="00BE1F8F" w:rsidRDefault="006D1DFA" w14:paraId="449A6664" w14:textId="182A06D9">
      <w:pPr>
        <w:numPr>
          <w:ilvl w:val="0"/>
          <w:numId w:val="24"/>
        </w:numPr>
        <w:overflowPunct w:val="0"/>
        <w:autoSpaceDE w:val="0"/>
        <w:autoSpaceDN w:val="0"/>
        <w:adjustRightInd w:val="0"/>
        <w:ind w:left="284" w:hanging="284"/>
        <w:contextualSpacing/>
        <w:textAlignment w:val="baseline"/>
      </w:pPr>
      <w:r>
        <w:t xml:space="preserve">is van mening dat seksueel geweld en verkrachting in de richtlijn moeten worden opgenomen als een vorm van geweld, en strafbaar moeten worden gesteld op grond van het ontbreken van instemming. Er is behoefte aan een definitie van “instemming” met betrekking tot seksueel geweld. </w:t>
      </w:r>
      <w:r w:rsidR="00AE0425">
        <w:t>g</w:t>
      </w:r>
      <w:r>
        <w:t>endergerelateerd geweld, inclusief verkrachting, moet worden toegevoegd aan de lijst van “Euromisdrijven” die worden vermeld in artikel 83, lid 1, VWEU;</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stelt met bezorgdheid vast dat het fysieke, psychologische en seksuele geweld dat kenmerkend is voor prostitutie niet is opgenomen als een vorm van geweld tegen vrouwen, evenmin als de beperkingen op vrije en veilige vrijwillige zwangerschapsonderbreking;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wijst erop dat alle vormen van geweld tegen vrouwen een groot probleem zijn voor de volksgezondheid, maar beklemtoont dat vrouwen met een handicap, en met name vrouwen met psychische aandoeningen en een psychosociale en/of verstandelijke beperking, worden geconfronteerd met meervoudige en intersectionele discriminatie; het pleit er dan ook voor dat dergelijk geweld in dit licht wordt beschouwd als een volksgezondheidsprobleem met langetermijngevolgen. Ook wijst het EESC erop dat naar handicap uitgesplitste gegevens nodig zijn;</w:t>
      </w:r>
    </w:p>
    <w:p w:rsidRPr="006D1DFA" w:rsidR="006D1DFA" w:rsidP="00BE1F8F" w:rsidRDefault="006D1DFA" w14:paraId="33ACD23C" w14:textId="77777777">
      <w:pPr>
        <w:numPr>
          <w:ilvl w:val="0"/>
          <w:numId w:val="24"/>
        </w:numPr>
        <w:overflowPunct w:val="0"/>
        <w:autoSpaceDE w:val="0"/>
        <w:autoSpaceDN w:val="0"/>
        <w:adjustRightInd w:val="0"/>
        <w:ind w:left="284" w:hanging="284"/>
        <w:contextualSpacing/>
        <w:textAlignment w:val="baseline"/>
      </w:pPr>
      <w:r>
        <w:t>is diep verontrust over de standpunten van groepen die weigeren geweld tegen vrouwen enkel vanwege het feit dat zij vrouw zijn, te erkennen als specifieke vorm van geweld, hetgeen indruist tegen de waarden en beginselen van artikel 2 VWEU. Onderwijs, inclusief seksuele opvoeding, speelt een cruciale rol bij de vorming van genderrollen en -stereotypen; de onderwijsgemeenschap, verschillende maatschappelijke organisaties en de sociale partners moeten expliciet worden betrokken bij de institutionele samenwerking om gendergerelateerd geweld te voorkomen en te bestrijden;</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t>is van oordeel dat specifieke maatregelen op het gebied van de sociale dialoog, collectieve onderhandelingen en de noodzakelijke onderhandelingen met de sociale partners moeten worden opgenomen om de werkgelegenheid en de inzetbaarheid van slachtoffers van gendergerelateerd geweld te bevorderen.</w:t>
      </w:r>
    </w:p>
    <w:p w:rsidRPr="00BE1F8F" w:rsidR="0083181F" w:rsidP="00BE1F8F" w:rsidRDefault="0083181F" w14:paraId="1D0159F4" w14:textId="77777777">
      <w:pPr>
        <w:overflowPunct w:val="0"/>
        <w:autoSpaceDE w:val="0"/>
        <w:autoSpaceDN w:val="0"/>
        <w:adjustRightInd w:val="0"/>
        <w:ind w:left="360"/>
        <w:contextualSpacing/>
        <w:textAlignment w:val="baseline"/>
        <w:rPr>
          <w:rFonts w:ascii="Calibri" w:hAnsi="Calibri"/>
          <w:sz w:val="16"/>
          <w:szCs w:val="16"/>
          <w:lang w:val="en-GB" w:eastAsia="zh-CN"/>
        </w:rPr>
      </w:pPr>
    </w:p>
    <w:tbl>
      <w:tblPr>
        <w:tblW w:w="5000" w:type="pct"/>
        <w:tblLook w:val="04A0" w:firstRow="1" w:lastRow="0" w:firstColumn="1" w:lastColumn="0" w:noHBand="0" w:noVBand="1"/>
      </w:tblPr>
      <w:tblGrid>
        <w:gridCol w:w="1668"/>
        <w:gridCol w:w="7619"/>
      </w:tblGrid>
      <w:tr w:rsidRPr="006D1DFA" w:rsidR="006D1DFA" w:rsidTr="00BE1F8F" w14:paraId="4A8CFBCD" w14:textId="77777777">
        <w:trPr>
          <w:trHeight w:val="60"/>
        </w:trPr>
        <w:tc>
          <w:tcPr>
            <w:tcW w:w="898" w:type="pct"/>
            <w:hideMark/>
          </w:tcPr>
          <w:p w:rsidRPr="006D1DFA" w:rsidR="006D1DFA" w:rsidP="00BE1F8F" w:rsidRDefault="006D1DFA" w14:paraId="089C51AC" w14:textId="77777777">
            <w:pPr>
              <w:overflowPunct w:val="0"/>
              <w:autoSpaceDE w:val="0"/>
              <w:autoSpaceDN w:val="0"/>
              <w:adjustRightInd w:val="0"/>
              <w:textAlignment w:val="baseline"/>
              <w:rPr>
                <w:i/>
              </w:rPr>
            </w:pPr>
            <w:r>
              <w:rPr>
                <w:b/>
                <w:i/>
              </w:rPr>
              <w:t>Contactpersoon</w:t>
            </w:r>
          </w:p>
        </w:tc>
        <w:tc>
          <w:tcPr>
            <w:tcW w:w="4102"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Gabriela Grasu</w:t>
            </w:r>
          </w:p>
        </w:tc>
      </w:tr>
      <w:tr w:rsidRPr="006D1DFA" w:rsidR="006D1DFA" w:rsidTr="00BE1F8F" w14:paraId="77817741" w14:textId="77777777">
        <w:tc>
          <w:tcPr>
            <w:tcW w:w="898"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t>Tel.</w:t>
            </w:r>
          </w:p>
        </w:tc>
        <w:tc>
          <w:tcPr>
            <w:tcW w:w="4102"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+32 25469162</w:t>
            </w:r>
          </w:p>
        </w:tc>
      </w:tr>
      <w:tr w:rsidRPr="006D1DFA" w:rsidR="006D1DFA" w:rsidTr="00BE1F8F" w14:paraId="6F84E5BA" w14:textId="77777777">
        <w:tc>
          <w:tcPr>
            <w:tcW w:w="898"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E-mail</w:t>
            </w:r>
          </w:p>
        </w:tc>
        <w:tc>
          <w:tcPr>
            <w:tcW w:w="4102" w:type="pct"/>
            <w:hideMark/>
          </w:tcPr>
          <w:p w:rsidRPr="006D1DFA" w:rsidR="006D1DFA" w:rsidP="00BE1F8F" w:rsidRDefault="00BD521E" w14:paraId="02C23556" w14:textId="4AC0EB0F">
            <w:pPr>
              <w:overflowPunct w:val="0"/>
              <w:autoSpaceDE w:val="0"/>
              <w:autoSpaceDN w:val="0"/>
              <w:adjustRightInd w:val="0"/>
              <w:textAlignment w:val="baseline"/>
              <w:rPr>
                <w:i/>
              </w:rPr>
            </w:pPr>
            <w:hyperlink w:history="1" r:id="rId32">
              <w:r w:rsidR="00972E61">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BD521E"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r w:rsidR="00972E61">
          <w:rPr>
            <w:b/>
            <w:i/>
            <w:color w:val="0000FF"/>
            <w:sz w:val="28"/>
            <w:u w:val="single"/>
          </w:rPr>
          <w:t>EESC-bijdrage aan de EU-prioriteiten voor de UNCSW69</w:t>
        </w:r>
      </w:hyperlink>
    </w:p>
    <w:p w:rsidRPr="00910C90" w:rsidR="00910C90" w:rsidP="00BE1F8F" w:rsidRDefault="00910C90" w14:paraId="59A5F3E8"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42"/>
        <w:gridCol w:w="6945"/>
      </w:tblGrid>
      <w:tr w:rsidRPr="00910C90" w:rsidR="00910C90" w:rsidTr="00BE1F8F" w14:paraId="465F2FF7" w14:textId="77777777">
        <w:tc>
          <w:tcPr>
            <w:tcW w:w="1701"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Maria NIKOLOPOULOU (groep Werknemers – ES)</w:t>
            </w:r>
          </w:p>
        </w:tc>
      </w:tr>
      <w:tr w:rsidRPr="00910C90" w:rsidR="00910C90" w:rsidTr="00BE1F8F" w14:paraId="417FB600" w14:textId="77777777">
        <w:tc>
          <w:tcPr>
            <w:tcW w:w="1701" w:type="dxa"/>
            <w:vMerge w:val="restart"/>
          </w:tcPr>
          <w:p w:rsidRPr="00910C90" w:rsidR="00910C90" w:rsidP="00BE1F8F" w:rsidRDefault="00910C90" w14:paraId="41736237" w14:textId="3B749ABF">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Initiatiefadvies</w:t>
            </w:r>
          </w:p>
        </w:tc>
      </w:tr>
      <w:tr w:rsidRPr="00910C90" w:rsidR="00910C90" w:rsidTr="00BE1F8F" w14:paraId="08D488E3" w14:textId="77777777">
        <w:tc>
          <w:tcPr>
            <w:tcW w:w="1701"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BE1F8F" w:rsidRDefault="00910C90" w14:paraId="5C940F4E" w14:textId="77777777">
      <w:pPr>
        <w:keepNext/>
        <w:keepLines/>
        <w:tabs>
          <w:tab w:val="center" w:pos="284"/>
        </w:tabs>
        <w:overflowPunct w:val="0"/>
        <w:autoSpaceDE w:val="0"/>
        <w:autoSpaceDN w:val="0"/>
        <w:adjustRightInd w:val="0"/>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Hoofdpunten</w:t>
      </w:r>
    </w:p>
    <w:p w:rsidRPr="00910C90" w:rsidR="00910C90" w:rsidP="00BE1F8F" w:rsidRDefault="00910C90" w14:paraId="4A75BA5E" w14:textId="77777777">
      <w:pPr>
        <w:keepNext/>
        <w:keepLines/>
        <w:tabs>
          <w:tab w:val="center" w:pos="284"/>
        </w:tabs>
        <w:overflowPunct w:val="0"/>
        <w:autoSpaceDE w:val="0"/>
        <w:autoSpaceDN w:val="0"/>
        <w:adjustRightInd w:val="0"/>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Het EESC:</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dringt er bij de EU en de lidstaten op aan sneller vooruitgang te boeken op het vlak van gendergelijkheid, ambitieuzer te zijn, het inperken van de ruimte voor het maatschappelijk middenveld aan de kaak te stellen en elke poging om vrouwenrechten te beknotten, die met name door extreemrechtse politieke partijen worden bedreigd, in de kiem te smoren;</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stelt voor dat de EU, de lidstaten en de politieke partijen zich ertoe verbinden om meer vrouwen aan te trekken naar de politiek, door onder meer maatregelen te overwegen die de verkiezing en benoeming van vrouwen op sleutelposities aanmoedigen, zoals quota, lijsten volgens het ritsprincipe, systemen van gedeeld voorzitterschap, gesplitste mandaten en het voordragen van mannelijke en vrouwelijke kandidaten;</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dringt er bij de lidstaten op aan voldoende middelen uit te trekken voor hun nationale actieplannen om een einde te maken aan geweld tegen vrouwen. Bij het opstellen ervan moet overleg worden gepleegd met maatschappelijke organisaties. Er moeten meer maatregelen worden genomen om online en economisch geweld te bestrijden, de fysieke en mentale gezondheid van vrouwen te beschermen en ervoor te zorgen dat de seksuele en reproductieve gezondheid en rechten van vrouwen worden geëerbiedigd;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is van mening dat een EU-kader voor een rechtvaardige transitie een vaardighedenstrategie moet omvatten om reeds bestaande genderongelijkheden aan te pakken. Daarbij moet bijzondere aandacht worden besteed aan vrouwen en meisjes in het Globale Zuiden en in plattelandsgebieden, die onevenredig zwaar worden getroffen door de drievoudige crisis van de planeet;</w:t>
      </w:r>
    </w:p>
    <w:p w:rsidRPr="00910C90" w:rsidR="00910C90" w:rsidP="00BE1F8F" w:rsidRDefault="00910C90" w14:paraId="4B62CBD1" w14:textId="77777777">
      <w:pPr>
        <w:widowControl w:val="0"/>
        <w:numPr>
          <w:ilvl w:val="0"/>
          <w:numId w:val="26"/>
        </w:numPr>
        <w:overflowPunct w:val="0"/>
        <w:autoSpaceDE w:val="0"/>
        <w:autoSpaceDN w:val="0"/>
        <w:adjustRightInd w:val="0"/>
        <w:ind w:left="284" w:hanging="284"/>
        <w:contextualSpacing/>
        <w:textAlignment w:val="baseline"/>
      </w:pPr>
      <w:r>
        <w:t>roept op om de digitale genderkloof te dichten en rekening te houden met het perspectief van vrouwen bij het ontwerp, de ontwikkeling en de uitrol van artificiële intelligentie (AI) en algoritmen, om ervoor te zorgen dat AI sociaal gevoelig en inclusief is;</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pleit voor maatregelen om de genderkloof op het gebied van onbetaalde zorgtaken te dichten en vrouwen te helpen om op de arbeidsmarkt te blijven, door onder meer te voorzien in betaalbare, toegankelijke en hoogwaardige gezondheidszorg en zorgdiensten, alsook vangnetten, overeenkomstig de nationale regels;</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dringt aan op een krachtige en ambitieuze langetermijnstrategie van de EU voor een inclusief buitenlands beleid, waarin gendergelijkheid, mensenrechten, feministische diplomatie en sociale rechtvaardigheid centraal staan;</w:t>
      </w:r>
    </w:p>
    <w:p w:rsidR="00910C90" w:rsidP="00BE1F8F" w:rsidRDefault="00910C90" w14:paraId="5A9E6752" w14:textId="77777777">
      <w:pPr>
        <w:widowControl w:val="0"/>
        <w:numPr>
          <w:ilvl w:val="0"/>
          <w:numId w:val="26"/>
        </w:numPr>
        <w:overflowPunct w:val="0"/>
        <w:autoSpaceDE w:val="0"/>
        <w:autoSpaceDN w:val="0"/>
        <w:adjustRightInd w:val="0"/>
        <w:ind w:left="284" w:hanging="284"/>
        <w:contextualSpacing/>
        <w:textAlignment w:val="baseline"/>
      </w:pPr>
      <w:r>
        <w:t>benadrukt dat er meer naar gender uitgesplitste intersectionele gegevens nodig zijn om strategieën te kunnen uitstippelen en monitoren, zodat gebruik kan worden gemaakt van instrumenten voor genderbudgettering en van een genderlens in het begrotingsbeleid.</w:t>
      </w:r>
    </w:p>
    <w:p w:rsidRPr="00910C90" w:rsidR="008B7F9B" w:rsidP="00BE1F8F" w:rsidRDefault="008B7F9B" w14:paraId="0A0E47B6" w14:textId="77777777">
      <w:pPr>
        <w:widowControl w:val="0"/>
        <w:overflowPunct w:val="0"/>
        <w:autoSpaceDE w:val="0"/>
        <w:autoSpaceDN w:val="0"/>
        <w:adjustRightInd w:val="0"/>
        <w:contextualSpacing/>
        <w:textAlignment w:val="baseline"/>
        <w:rPr>
          <w:lang w:val="en-GB" w:eastAsia="zh-CN"/>
        </w:rPr>
      </w:pPr>
    </w:p>
    <w:tbl>
      <w:tblPr>
        <w:tblW w:w="0" w:type="auto"/>
        <w:tblLook w:val="04A0" w:firstRow="1" w:lastRow="0" w:firstColumn="1" w:lastColumn="0" w:noHBand="0" w:noVBand="1"/>
      </w:tblPr>
      <w:tblGrid>
        <w:gridCol w:w="1668"/>
        <w:gridCol w:w="7512"/>
      </w:tblGrid>
      <w:tr w:rsidRPr="00910C90" w:rsidR="00910C90" w:rsidTr="00713105" w14:paraId="0D75D5FA" w14:textId="77777777">
        <w:tc>
          <w:tcPr>
            <w:tcW w:w="1668" w:type="dxa"/>
          </w:tcPr>
          <w:p w:rsidRPr="00910C90" w:rsidR="00910C90" w:rsidP="00BE1F8F" w:rsidRDefault="00910C90" w14:paraId="09EE9454" w14:textId="796CA1EC">
            <w:pPr>
              <w:overflowPunct w:val="0"/>
              <w:autoSpaceDE w:val="0"/>
              <w:autoSpaceDN w:val="0"/>
              <w:adjustRightInd w:val="0"/>
              <w:textAlignment w:val="baseline"/>
              <w:rPr>
                <w:i/>
              </w:rPr>
            </w:pPr>
            <w:r>
              <w:rPr>
                <w:b/>
                <w:i/>
              </w:rPr>
              <w:t>Contactpersoon</w:t>
            </w:r>
          </w:p>
        </w:tc>
        <w:tc>
          <w:tcPr>
            <w:tcW w:w="7512" w:type="dxa"/>
          </w:tcPr>
          <w:p w:rsidRPr="00910C90" w:rsidR="00910C90" w:rsidP="00BE1F8F" w:rsidRDefault="00910C90" w14:paraId="20BCFE55" w14:textId="48EB87B0">
            <w:pPr>
              <w:overflowPunct w:val="0"/>
              <w:autoSpaceDE w:val="0"/>
              <w:autoSpaceDN w:val="0"/>
              <w:adjustRightInd w:val="0"/>
              <w:textAlignment w:val="baseline"/>
              <w:rPr>
                <w:i/>
              </w:rPr>
            </w:pPr>
            <w:r>
              <w:rPr>
                <w:i/>
              </w:rPr>
              <w:t>Gabriela Grasu</w:t>
            </w:r>
          </w:p>
        </w:tc>
      </w:tr>
      <w:tr w:rsidRPr="00910C90" w:rsidR="00910C90" w:rsidTr="00713105" w14:paraId="10BE1906" w14:textId="77777777">
        <w:tc>
          <w:tcPr>
            <w:tcW w:w="1668" w:type="dxa"/>
          </w:tcPr>
          <w:p w:rsidRPr="00910C90" w:rsidR="00910C90" w:rsidP="00BE1F8F" w:rsidRDefault="00910C90" w14:paraId="7C9E9C27" w14:textId="578CE414">
            <w:pPr>
              <w:overflowPunct w:val="0"/>
              <w:autoSpaceDE w:val="0"/>
              <w:autoSpaceDN w:val="0"/>
              <w:adjustRightInd w:val="0"/>
              <w:textAlignment w:val="baseline"/>
              <w:rPr>
                <w:i/>
              </w:rPr>
            </w:pPr>
            <w:r>
              <w:rPr>
                <w:i/>
              </w:rPr>
              <w:t>Tel.</w:t>
            </w:r>
          </w:p>
        </w:tc>
        <w:tc>
          <w:tcPr>
            <w:tcW w:w="7512" w:type="dxa"/>
          </w:tcPr>
          <w:p w:rsidRPr="00910C90" w:rsidR="00910C90" w:rsidP="00BE1F8F" w:rsidRDefault="00910C90" w14:paraId="6BD9772E" w14:textId="77777777">
            <w:pPr>
              <w:overflowPunct w:val="0"/>
              <w:autoSpaceDE w:val="0"/>
              <w:autoSpaceDN w:val="0"/>
              <w:adjustRightInd w:val="0"/>
              <w:textAlignment w:val="baseline"/>
              <w:rPr>
                <w:i/>
              </w:rPr>
            </w:pPr>
            <w:r>
              <w:rPr>
                <w:i/>
              </w:rPr>
              <w:t>+32 25469162</w:t>
            </w:r>
          </w:p>
        </w:tc>
      </w:tr>
      <w:tr w:rsidRPr="00910C90" w:rsidR="00910C90" w:rsidTr="00713105" w14:paraId="378A4268" w14:textId="77777777">
        <w:tc>
          <w:tcPr>
            <w:tcW w:w="1668" w:type="dxa"/>
          </w:tcPr>
          <w:p w:rsidRPr="00910C90" w:rsidR="00910C90" w:rsidP="00BE1F8F" w:rsidRDefault="00910C90" w14:paraId="67D2B1A7" w14:textId="5316AB28">
            <w:pPr>
              <w:overflowPunct w:val="0"/>
              <w:autoSpaceDE w:val="0"/>
              <w:autoSpaceDN w:val="0"/>
              <w:adjustRightInd w:val="0"/>
              <w:textAlignment w:val="baseline"/>
              <w:rPr>
                <w:i/>
              </w:rPr>
            </w:pPr>
            <w:r>
              <w:rPr>
                <w:i/>
              </w:rPr>
              <w:t>E-mail</w:t>
            </w:r>
          </w:p>
        </w:tc>
        <w:tc>
          <w:tcPr>
            <w:tcW w:w="7512" w:type="dxa"/>
          </w:tcPr>
          <w:p w:rsidRPr="00910C90" w:rsidR="00910C90" w:rsidP="00BE1F8F" w:rsidRDefault="00BD521E" w14:paraId="18F62F88" w14:textId="03616BAE">
            <w:pPr>
              <w:overflowPunct w:val="0"/>
              <w:autoSpaceDE w:val="0"/>
              <w:autoSpaceDN w:val="0"/>
              <w:adjustRightInd w:val="0"/>
              <w:textAlignment w:val="baseline"/>
              <w:rPr>
                <w:i/>
                <w:iCs/>
              </w:rPr>
            </w:pPr>
            <w:hyperlink w:history="1" r:id="rId34">
              <w:r w:rsidR="00972E61">
                <w:rPr>
                  <w:i/>
                  <w:color w:val="0000FF"/>
                  <w:u w:val="single"/>
                </w:rPr>
                <w:t>Gabriela.Grasu@eesc.europa.eu</w:t>
              </w:r>
            </w:hyperlink>
          </w:p>
        </w:tc>
      </w:tr>
    </w:tbl>
    <w:p w:rsidR="00D5795F" w:rsidP="00BE1F8F" w:rsidRDefault="00D5795F" w14:paraId="0F5B3C36" w14:textId="2BE0A3C0">
      <w:pPr>
        <w:jc w:val="left"/>
      </w:pP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fldChar w:fldCharType="begin"/>
      </w:r>
      <w:r w:rsidRPr="00981AAC">
        <w:rPr>
          <w:b/>
          <w:i/>
          <w:sz w:val="28"/>
        </w:rPr>
        <w:instrText>HYPERLINK "https://www.eesc.europa.eu/nl/our-work/opinions-information-reports/opinions/older-people-employment-systemic-factors-choosing-work-longer"</w:instrText>
      </w:r>
      <w:r w:rsidRPr="00981AAC">
        <w:rPr>
          <w:b/>
          <w:i/>
          <w:sz w:val="28"/>
        </w:rPr>
        <w:fldChar w:fldCharType="separate"/>
      </w:r>
      <w:r>
        <w:rPr>
          <w:b/>
          <w:i/>
          <w:color w:val="0000FF"/>
          <w:sz w:val="28"/>
          <w:u w:val="single"/>
        </w:rPr>
        <w:t>Werkende ouderen — systemische factoren bij de keuze om langer te werken</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ook w:val="04A0" w:firstRow="1" w:lastRow="0" w:firstColumn="1" w:lastColumn="0" w:noHBand="0" w:noVBand="1"/>
      </w:tblPr>
      <w:tblGrid>
        <w:gridCol w:w="2229"/>
        <w:gridCol w:w="7058"/>
      </w:tblGrid>
      <w:tr w:rsidRPr="00652335" w:rsidR="00981AAC" w:rsidTr="00713105" w14:paraId="564BEBA9" w14:textId="77777777">
        <w:tc>
          <w:tcPr>
            <w:tcW w:w="898"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Rapporteur</w:t>
            </w:r>
          </w:p>
        </w:tc>
        <w:tc>
          <w:tcPr>
            <w:tcW w:w="4102"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Krzysztof BALON (groep Maatschappelijke Organisaties – PL)</w:t>
            </w:r>
          </w:p>
        </w:tc>
      </w:tr>
      <w:tr w:rsidRPr="00652335" w:rsidR="00981AAC" w:rsidTr="00713105" w14:paraId="3AF74D98" w14:textId="77777777">
        <w:tc>
          <w:tcPr>
            <w:tcW w:w="898" w:type="pct"/>
          </w:tcPr>
          <w:p w:rsidRPr="00C43D3E" w:rsidR="00981AAC" w:rsidP="00BE1F8F" w:rsidRDefault="00981AAC" w14:paraId="399C89C3" w14:textId="7F5F6409">
            <w:pPr>
              <w:overflowPunct w:val="0"/>
              <w:autoSpaceDE w:val="0"/>
              <w:autoSpaceDN w:val="0"/>
              <w:adjustRightInd w:val="0"/>
              <w:ind w:left="-113"/>
              <w:textAlignment w:val="baseline"/>
              <w:rPr>
                <w:b/>
              </w:rPr>
            </w:pPr>
            <w:r>
              <w:rPr>
                <w:b/>
              </w:rPr>
              <w:t>Referentiedocumenten</w:t>
            </w:r>
          </w:p>
        </w:tc>
        <w:tc>
          <w:tcPr>
            <w:tcW w:w="4102" w:type="pct"/>
          </w:tcPr>
          <w:p w:rsidRPr="00C43D3E" w:rsidR="00382A22" w:rsidP="00BE1F8F" w:rsidRDefault="00382A22" w14:paraId="15365992" w14:textId="791A85F1">
            <w:pPr>
              <w:tabs>
                <w:tab w:val="left" w:pos="4430"/>
              </w:tabs>
              <w:overflowPunct w:val="0"/>
              <w:autoSpaceDE w:val="0"/>
              <w:autoSpaceDN w:val="0"/>
              <w:adjustRightInd w:val="0"/>
              <w:ind w:left="-113" w:right="-823"/>
              <w:textAlignment w:val="baseline"/>
            </w:pPr>
            <w:r>
              <w:t>Verkennend advies op verzoek van het Poolse voorzitterschap van de Raad van de EU</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BE1F8F" w:rsidRDefault="00652335" w14:paraId="789D81F8"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Hoofdpunten</w:t>
      </w:r>
    </w:p>
    <w:p w:rsidRPr="00981AAC" w:rsidR="00981AAC" w:rsidP="00BE1F8F" w:rsidRDefault="00981AAC" w14:paraId="7008E7DD"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Het EESC:</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is het eens met het standpunt van het Poolse voorzitterschap van de Raad van de Europese Unie dat het stimuleren van de </w:t>
      </w:r>
      <w:r>
        <w:rPr>
          <w:b/>
        </w:rPr>
        <w:t>arbeidsparticipatie van ouderen</w:t>
      </w:r>
      <w:r>
        <w:t xml:space="preserve"> een van de </w:t>
      </w:r>
      <w:r>
        <w:rPr>
          <w:b/>
        </w:rPr>
        <w:t>belangrijkste uitdagingen voor het overheidsbeleid</w:t>
      </w:r>
      <w:r>
        <w:t xml:space="preserve"> is geworden. Aangezien het verwachte aantal gezonde levensjaren in de EU gemiddeld toeneemt, kan de </w:t>
      </w:r>
      <w:r>
        <w:rPr>
          <w:b/>
        </w:rPr>
        <w:t>deelname van ouderen aan de arbeidsmarkt</w:t>
      </w:r>
      <w:r>
        <w:t xml:space="preserve"> niet alleen een </w:t>
      </w:r>
      <w:r>
        <w:rPr>
          <w:b/>
        </w:rPr>
        <w:t>positief effect</w:t>
      </w:r>
      <w:r>
        <w:t xml:space="preserve"> hebben op de </w:t>
      </w:r>
      <w:r>
        <w:rPr>
          <w:b/>
        </w:rPr>
        <w:t>economische ontwikkeling</w:t>
      </w:r>
      <w:r>
        <w:t xml:space="preserve">, maar ook op hun </w:t>
      </w:r>
      <w:r>
        <w:rPr>
          <w:b/>
        </w:rPr>
        <w:t>financiële, sociale en gezondheidssituatie</w:t>
      </w:r>
      <w:r>
        <w:t xml:space="preserve"> en daarmee op </w:t>
      </w:r>
      <w:r>
        <w:rPr>
          <w:b/>
        </w:rPr>
        <w:t>hun welzijn</w:t>
      </w:r>
      <w:r>
        <w:t>. Tevens kan die deelname leiden tot meer maatschappelijke solidariteit tussen de generaties;</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wijst erop dat </w:t>
      </w:r>
      <w:r>
        <w:rPr>
          <w:b/>
        </w:rPr>
        <w:t>volledig uitvoering moet worden gegeven aan</w:t>
      </w:r>
      <w:r>
        <w:t xml:space="preserve"> </w:t>
      </w:r>
      <w:r>
        <w:rPr>
          <w:b/>
        </w:rPr>
        <w:t>beginsel 15 van de Europese pijler van sociale rechten</w:t>
      </w:r>
      <w:r>
        <w:t xml:space="preserve"> (het recht op een pensioen dat in verhouding staat tot de bijdragen en dat een toereikend inkomen garandeert om een waardig leven op oudere leeftijd mogelijk te maken);</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wijst erop dat het essentieel is om </w:t>
      </w:r>
      <w:r>
        <w:rPr>
          <w:b/>
        </w:rPr>
        <w:t>hoogwaardige banen te creëren met</w:t>
      </w:r>
      <w:r>
        <w:t xml:space="preserve"> een werkomgeving die alle leeftijdsgroepen stimuleert om </w:t>
      </w:r>
      <w:r>
        <w:rPr>
          <w:b/>
        </w:rPr>
        <w:t>de arbeidsmarkt te betreden en aan het werk te blijven</w:t>
      </w:r>
      <w:r>
        <w:t>;</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merkt op dat het aantal werkende ouderen onder meer kan worden vergroot </w:t>
      </w:r>
      <w:r>
        <w:rPr>
          <w:b/>
        </w:rPr>
        <w:t>door op werkplekken teams op te richten bestaande uit werknemers van verschillende generaties</w:t>
      </w:r>
      <w:r>
        <w:t xml:space="preserve"> en herhaalt zijn verzoek aan de Europese Commissie om een </w:t>
      </w:r>
      <w:r>
        <w:rPr>
          <w:b/>
        </w:rPr>
        <w:t>aanbeveling</w:t>
      </w:r>
      <w:r>
        <w:t xml:space="preserve"> waarin de lidstaten worden opgeroepen </w:t>
      </w:r>
      <w:r>
        <w:rPr>
          <w:b/>
        </w:rPr>
        <w:t>ervoor te zorgen dat op alle werkplekken werknemers van verschillende generaties aanwezig zijn en onderling samenwerken</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wijst op andere instrumenten voor het bevorderen van de werkgelegenheid, zoals: a) </w:t>
      </w:r>
      <w:r>
        <w:rPr>
          <w:b/>
        </w:rPr>
        <w:t>het creëren van een gunstig werkklimaat</w:t>
      </w:r>
      <w:r>
        <w:t xml:space="preserve"> dat ouderen aanmoedigt om desgewenst langer op de arbeidsmarkt actief te blijven; b) </w:t>
      </w:r>
      <w:r>
        <w:rPr>
          <w:b/>
        </w:rPr>
        <w:t>het op peil houden en verbeteren van kwalificaties</w:t>
      </w:r>
      <w:r>
        <w:t xml:space="preserve"> in het kader van </w:t>
      </w:r>
      <w:r>
        <w:rPr>
          <w:b/>
        </w:rPr>
        <w:t>beleid voor een leven lang leren</w:t>
      </w:r>
      <w:r>
        <w:t xml:space="preserve">; c) maatregelen die het mogelijk maken om </w:t>
      </w:r>
      <w:r>
        <w:rPr>
          <w:b/>
        </w:rPr>
        <w:t>werk te combineren met de zorg</w:t>
      </w:r>
      <w:r>
        <w:t xml:space="preserve"> voor oudere familieleden; d) </w:t>
      </w:r>
      <w:r>
        <w:rPr>
          <w:b/>
        </w:rPr>
        <w:t>maatregelen om langer doorwerken te promoten</w:t>
      </w:r>
      <w:r>
        <w:t xml:space="preserve">; e) </w:t>
      </w:r>
      <w:r>
        <w:rPr>
          <w:b/>
        </w:rPr>
        <w:t>bestrijding van leeftijdsdiscriminatie</w:t>
      </w:r>
      <w:r>
        <w:t xml:space="preserve"> en andere factoren waardoor oudere werknemers ervoor kiezen om niet langer door te werken. Bij dit alles is een sleutelrol weggelegd voor spelers uit de sociale economie, maatschappelijke organisaties en de sociale partners;</w:t>
      </w:r>
      <w:bookmarkEnd w:id="15"/>
    </w:p>
    <w:p w:rsidRPr="00652335" w:rsidR="00981AAC" w:rsidP="00713105" w:rsidRDefault="00981AAC" w14:paraId="08AC24E2" w14:textId="77777777">
      <w:pPr>
        <w:pStyle w:val="ListParagraph"/>
        <w:numPr>
          <w:ilvl w:val="0"/>
          <w:numId w:val="39"/>
        </w:numPr>
        <w:ind w:left="567" w:hanging="567"/>
      </w:pPr>
      <w:bookmarkStart w:name="_Toc191974014" w:id="16"/>
      <w:r>
        <w:t xml:space="preserve">stelt voor dat de </w:t>
      </w:r>
      <w:r>
        <w:rPr>
          <w:b/>
        </w:rPr>
        <w:t>Europese Commissie</w:t>
      </w:r>
      <w:r>
        <w:t xml:space="preserve"> samen met het EESC, de sociale partners en maatschappelijke organisaties e</w:t>
      </w:r>
      <w:r>
        <w:rPr>
          <w:b/>
        </w:rPr>
        <w:t>en forum opzet voor de uitwisseling van goede praktijken</w:t>
      </w:r>
      <w:r>
        <w:t xml:space="preserve"> tussen de lidstaten. Op basis van de uitkomsten van de op dit forum gevoerde discussies zou de Europese Commissie een “toolbox” met goede praktijkvoorbeelden kunnen publiceren.</w:t>
      </w:r>
      <w:bookmarkEnd w:id="16"/>
    </w:p>
    <w:p w:rsidRPr="00981AAC" w:rsidR="00981AAC" w:rsidP="00BE1F8F" w:rsidRDefault="00981AAC" w14:paraId="4F0FB5FC" w14:textId="77777777">
      <w:pPr>
        <w:overflowPunct w:val="0"/>
        <w:autoSpaceDE w:val="0"/>
        <w:autoSpaceDN w:val="0"/>
        <w:adjustRightInd w:val="0"/>
        <w:textAlignment w:val="baseline"/>
        <w:rPr>
          <w:szCs w:val="20"/>
          <w:lang w:val="en-GB"/>
        </w:rPr>
      </w:pPr>
    </w:p>
    <w:tbl>
      <w:tblPr>
        <w:tblW w:w="4941" w:type="pct"/>
        <w:tblLook w:val="04A0" w:firstRow="1" w:lastRow="0" w:firstColumn="1" w:lastColumn="0" w:noHBand="0" w:noVBand="1"/>
      </w:tblPr>
      <w:tblGrid>
        <w:gridCol w:w="1668"/>
        <w:gridCol w:w="7509"/>
      </w:tblGrid>
      <w:tr w:rsidRPr="00981AAC" w:rsidR="00981AAC" w:rsidTr="00713105" w14:paraId="561BB3E5" w14:textId="77777777">
        <w:tc>
          <w:tcPr>
            <w:tcW w:w="909" w:type="pct"/>
          </w:tcPr>
          <w:p w:rsidRPr="00981AAC" w:rsidR="00981AAC" w:rsidP="00BE1F8F" w:rsidRDefault="00981AAC" w14:paraId="28C5741E" w14:textId="77777777">
            <w:pPr>
              <w:overflowPunct w:val="0"/>
              <w:autoSpaceDE w:val="0"/>
              <w:autoSpaceDN w:val="0"/>
              <w:adjustRightInd w:val="0"/>
              <w:textAlignment w:val="baseline"/>
              <w:rPr>
                <w:i/>
              </w:rPr>
            </w:pPr>
            <w:r>
              <w:rPr>
                <w:b/>
                <w:i/>
              </w:rPr>
              <w:t>Contactpersoon</w:t>
            </w:r>
          </w:p>
        </w:tc>
        <w:tc>
          <w:tcPr>
            <w:tcW w:w="4091" w:type="pct"/>
          </w:tcPr>
          <w:p w:rsidRPr="00981AAC" w:rsidR="00981AAC" w:rsidP="00BE1F8F" w:rsidRDefault="00981AAC" w14:paraId="3A046822" w14:textId="6C427D2F">
            <w:pPr>
              <w:overflowPunct w:val="0"/>
              <w:autoSpaceDE w:val="0"/>
              <w:autoSpaceDN w:val="0"/>
              <w:adjustRightInd w:val="0"/>
              <w:textAlignment w:val="baseline"/>
              <w:rPr>
                <w:i/>
              </w:rPr>
            </w:pPr>
            <w:r>
              <w:rPr>
                <w:i/>
              </w:rPr>
              <w:t>Triin Aasmaa Gomes</w:t>
            </w:r>
          </w:p>
        </w:tc>
      </w:tr>
      <w:tr w:rsidRPr="00981AAC" w:rsidR="00981AAC" w:rsidTr="00713105" w14:paraId="5B86D599" w14:textId="77777777">
        <w:tc>
          <w:tcPr>
            <w:tcW w:w="909" w:type="pct"/>
          </w:tcPr>
          <w:p w:rsidRPr="00981AAC" w:rsidR="00981AAC" w:rsidP="00BE1F8F" w:rsidRDefault="00981AAC" w14:paraId="7FD14655" w14:textId="77777777">
            <w:pPr>
              <w:overflowPunct w:val="0"/>
              <w:autoSpaceDE w:val="0"/>
              <w:autoSpaceDN w:val="0"/>
              <w:adjustRightInd w:val="0"/>
              <w:textAlignment w:val="baseline"/>
              <w:rPr>
                <w:i/>
              </w:rPr>
            </w:pPr>
            <w:r>
              <w:rPr>
                <w:i/>
              </w:rPr>
              <w:t>Tel.</w:t>
            </w:r>
          </w:p>
        </w:tc>
        <w:tc>
          <w:tcPr>
            <w:tcW w:w="4091" w:type="pct"/>
          </w:tcPr>
          <w:p w:rsidRPr="00981AAC" w:rsidR="00981AAC" w:rsidP="00BE1F8F" w:rsidRDefault="00981AAC" w14:paraId="1A842B89" w14:textId="77777777">
            <w:pPr>
              <w:overflowPunct w:val="0"/>
              <w:autoSpaceDE w:val="0"/>
              <w:autoSpaceDN w:val="0"/>
              <w:adjustRightInd w:val="0"/>
              <w:textAlignment w:val="baseline"/>
              <w:rPr>
                <w:i/>
              </w:rPr>
            </w:pPr>
            <w:r>
              <w:rPr>
                <w:i/>
              </w:rPr>
              <w:t>+32 25469524</w:t>
            </w:r>
          </w:p>
        </w:tc>
      </w:tr>
      <w:tr w:rsidRPr="00981AAC" w:rsidR="00981AAC" w:rsidTr="00713105" w14:paraId="4FA7AC41" w14:textId="77777777">
        <w:tc>
          <w:tcPr>
            <w:tcW w:w="909" w:type="pct"/>
          </w:tcPr>
          <w:p w:rsidRPr="00981AAC" w:rsidR="00981AAC" w:rsidP="00BE1F8F" w:rsidRDefault="00981AAC" w14:paraId="5EBD3C93" w14:textId="77777777">
            <w:pPr>
              <w:overflowPunct w:val="0"/>
              <w:autoSpaceDE w:val="0"/>
              <w:autoSpaceDN w:val="0"/>
              <w:adjustRightInd w:val="0"/>
              <w:textAlignment w:val="baseline"/>
              <w:rPr>
                <w:i/>
              </w:rPr>
            </w:pPr>
            <w:r>
              <w:rPr>
                <w:i/>
              </w:rPr>
              <w:t>E-mail</w:t>
            </w:r>
          </w:p>
        </w:tc>
        <w:tc>
          <w:tcPr>
            <w:tcW w:w="4091" w:type="pct"/>
          </w:tcPr>
          <w:p w:rsidRPr="00713105" w:rsidR="00981AAC" w:rsidP="00BE1F8F" w:rsidRDefault="00BD521E" w14:paraId="03C24A43" w14:textId="0AF7A5D3">
            <w:pPr>
              <w:overflowPunct w:val="0"/>
              <w:autoSpaceDE w:val="0"/>
              <w:autoSpaceDN w:val="0"/>
              <w:adjustRightInd w:val="0"/>
              <w:textAlignment w:val="baseline"/>
            </w:pPr>
            <w:hyperlink w:history="1" r:id="rId35">
              <w:r w:rsidR="00972E61">
                <w:rPr>
                  <w:i/>
                  <w:color w:val="0000FF"/>
                  <w:u w:val="single"/>
                </w:rPr>
                <w:t>Triin.AasmaaGomes@eesc.europa.eu</w:t>
              </w:r>
            </w:hyperlink>
          </w:p>
        </w:tc>
      </w:tr>
    </w:tbl>
    <w:p w:rsidRPr="00713105" w:rsidR="000D43E1" w:rsidP="00BE1F8F" w:rsidRDefault="000D43E1" w14:paraId="4982DDC2" w14:textId="1F55711A">
      <w:pPr>
        <w:jc w:val="left"/>
      </w:pPr>
    </w:p>
    <w:p w:rsidRPr="00DC45BC" w:rsidR="004D7AC0" w:rsidP="00BE1F8F" w:rsidRDefault="004D7AC0" w14:paraId="4982DDC5" w14:textId="3495F80F">
      <w:pPr>
        <w:jc w:val="left"/>
        <w:rPr>
          <w:sz w:val="8"/>
          <w:szCs w:val="8"/>
        </w:rPr>
      </w:pPr>
    </w:p>
    <w:p w:rsidR="004D7AC0" w:rsidP="00BE1F8F" w:rsidRDefault="004D7AC0" w14:paraId="4982DDC6" w14:textId="77777777">
      <w:pPr>
        <w:pStyle w:val="Heading1"/>
        <w:keepNext/>
        <w:keepLines/>
        <w:rPr>
          <w:b/>
        </w:rPr>
      </w:pPr>
      <w:bookmarkStart w:name="_Toc24617160" w:id="17"/>
      <w:bookmarkStart w:name="_Toc75527082" w:id="18"/>
      <w:bookmarkStart w:name="_Toc192750664" w:id="19"/>
      <w:r>
        <w:rPr>
          <w:b/>
        </w:rPr>
        <w:t>VERVOER, ENERGIE, INFRASTRUCTUUR EN INFORMATIEMAATSCHAPPIJ</w:t>
      </w:r>
      <w:bookmarkEnd w:id="17"/>
      <w:bookmarkEnd w:id="18"/>
      <w:bookmarkEnd w:id="19"/>
    </w:p>
    <w:p w:rsidR="004D7AC0" w:rsidP="00BE1F8F" w:rsidRDefault="004D7AC0" w14:paraId="4982DDF1" w14:textId="77777777"/>
    <w:p w:rsidRPr="00A230A4" w:rsidR="00A230A4" w:rsidP="00BE1F8F" w:rsidRDefault="00BD521E"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972E61">
          <w:rPr>
            <w:b/>
            <w:i/>
            <w:color w:val="0000FF"/>
            <w:sz w:val="28"/>
            <w:u w:val="single"/>
          </w:rPr>
          <w:t>De fysieke voltooiing van de interne markt van de EU in de nieuwe geopolitieke situatie</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42"/>
        <w:gridCol w:w="6945"/>
      </w:tblGrid>
      <w:tr w:rsidRPr="00A230A4" w:rsidR="00A230A4" w:rsidTr="00713105" w14:paraId="6D4A0388" w14:textId="77777777">
        <w:tc>
          <w:tcPr>
            <w:tcW w:w="1701"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(groep Werkgevers – FI)</w:t>
            </w:r>
          </w:p>
        </w:tc>
      </w:tr>
      <w:tr w:rsidRPr="00A230A4" w:rsidR="00A230A4" w:rsidTr="00713105" w14:paraId="19E7978D" w14:textId="77777777">
        <w:tc>
          <w:tcPr>
            <w:tcW w:w="1701" w:type="dxa"/>
          </w:tcPr>
          <w:p w:rsidRPr="00A230A4" w:rsidR="00A230A4" w:rsidP="00BE1F8F" w:rsidRDefault="00A230A4" w14:paraId="21EBC6AF" w14:textId="1650C1F5">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Initiatiefadvies</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Het EESC:</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vindt dat meer dient te worden gedaan om vervoerssystemen veerkrachtiger en betrouwbaarder te maken; acht het zaak dat de gevolgen van crises voor alle vervoerswijzen en mogelijke nieuwe obstakels in de connectiviteit van verschillende EU-gebieden terdege worden geanalyseerd;</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vindt het noodzakelijk dat in het volgende MFK wordt voorzien in passende financiering voor gerichte investeringen in ontwikkeling en onderhoud van de vervoersinfrastructuur, waarbij de nagestreefde voltooiing van het TEN-T-kernnetwerk in 2030 als eerste ter hand moet worden genomen;</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is van mening dat sterker zou moeten worden ingezet op het tweeërlei gebruik van infrastructuur, waarbij ook met de NAVO moet worden samengewerkt;</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benadrukt dat het uit het oogpunt van veiligheid zaak is om de grensregio’s van de EU vitaler te maken en hun verbindingen met de eengemaakte markt te verbeteren;</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dringt aan op maatregelen om de arbeidsmobiliteit te vergemakkelijken, competenties en vaardigheden te verbeteren en de vervoerssector aantrekkelijker te maken.</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668"/>
        <w:gridCol w:w="7654"/>
      </w:tblGrid>
      <w:tr w:rsidRPr="00A230A4" w:rsidR="00A230A4" w:rsidTr="00713105" w14:paraId="4840AB28" w14:textId="77777777">
        <w:tc>
          <w:tcPr>
            <w:tcW w:w="1668" w:type="dxa"/>
          </w:tcPr>
          <w:p w:rsidRPr="00A230A4" w:rsidR="00A230A4" w:rsidP="00BE1F8F" w:rsidRDefault="00A230A4" w14:paraId="152A2305" w14:textId="77777777">
            <w:pPr>
              <w:overflowPunct w:val="0"/>
              <w:autoSpaceDE w:val="0"/>
              <w:autoSpaceDN w:val="0"/>
              <w:adjustRightInd w:val="0"/>
              <w:textAlignment w:val="baseline"/>
              <w:rPr>
                <w:i/>
              </w:rPr>
            </w:pPr>
            <w:r>
              <w:rPr>
                <w:b/>
                <w:i/>
              </w:rPr>
              <w:t>Contactpersoon</w:t>
            </w:r>
          </w:p>
        </w:tc>
        <w:tc>
          <w:tcPr>
            <w:tcW w:w="7654" w:type="dxa"/>
          </w:tcPr>
          <w:p w:rsidRPr="00A230A4" w:rsidR="00A230A4" w:rsidP="00BE1F8F" w:rsidRDefault="00A230A4" w14:paraId="0C8E402D" w14:textId="2EF89DD1">
            <w:pPr>
              <w:overflowPunct w:val="0"/>
              <w:autoSpaceDE w:val="0"/>
              <w:autoSpaceDN w:val="0"/>
              <w:adjustRightInd w:val="0"/>
              <w:textAlignment w:val="baseline"/>
              <w:rPr>
                <w:i/>
              </w:rPr>
            </w:pPr>
            <w:r>
              <w:rPr>
                <w:i/>
              </w:rPr>
              <w:t>Albert Precup</w:t>
            </w:r>
          </w:p>
        </w:tc>
      </w:tr>
      <w:tr w:rsidRPr="00A230A4" w:rsidR="00A230A4" w:rsidTr="00713105" w14:paraId="19BEAAAD" w14:textId="77777777">
        <w:tc>
          <w:tcPr>
            <w:tcW w:w="1668" w:type="dxa"/>
          </w:tcPr>
          <w:p w:rsidRPr="00A230A4" w:rsidR="00A230A4" w:rsidP="00BE1F8F" w:rsidRDefault="00A230A4" w14:paraId="73F2E8D5" w14:textId="77777777">
            <w:pPr>
              <w:overflowPunct w:val="0"/>
              <w:autoSpaceDE w:val="0"/>
              <w:autoSpaceDN w:val="0"/>
              <w:adjustRightInd w:val="0"/>
              <w:textAlignment w:val="baseline"/>
              <w:rPr>
                <w:i/>
              </w:rPr>
            </w:pPr>
            <w:r>
              <w:rPr>
                <w:i/>
              </w:rPr>
              <w:t>Tel.</w:t>
            </w:r>
          </w:p>
        </w:tc>
        <w:tc>
          <w:tcPr>
            <w:tcW w:w="7654" w:type="dxa"/>
          </w:tcPr>
          <w:p w:rsidRPr="00A230A4" w:rsidR="00A230A4" w:rsidP="00BE1F8F" w:rsidRDefault="00A230A4" w14:paraId="48DB2246" w14:textId="44656696">
            <w:pPr>
              <w:overflowPunct w:val="0"/>
              <w:autoSpaceDE w:val="0"/>
              <w:autoSpaceDN w:val="0"/>
              <w:adjustRightInd w:val="0"/>
              <w:textAlignment w:val="baseline"/>
              <w:rPr>
                <w:i/>
              </w:rPr>
            </w:pPr>
            <w:r>
              <w:rPr>
                <w:i/>
              </w:rPr>
              <w:t>+32 25469326</w:t>
            </w:r>
          </w:p>
        </w:tc>
      </w:tr>
      <w:tr w:rsidRPr="00A230A4" w:rsidR="00A230A4" w:rsidTr="00713105" w14:paraId="0708081C" w14:textId="77777777">
        <w:tc>
          <w:tcPr>
            <w:tcW w:w="1668" w:type="dxa"/>
          </w:tcPr>
          <w:p w:rsidRPr="00A230A4" w:rsidR="00A230A4" w:rsidP="00BE1F8F" w:rsidRDefault="0005257A" w14:paraId="42A6811E" w14:textId="3D597CE0">
            <w:pPr>
              <w:overflowPunct w:val="0"/>
              <w:autoSpaceDE w:val="0"/>
              <w:autoSpaceDN w:val="0"/>
              <w:adjustRightInd w:val="0"/>
              <w:textAlignment w:val="baseline"/>
              <w:rPr>
                <w:i/>
              </w:rPr>
            </w:pPr>
            <w:r>
              <w:rPr>
                <w:i/>
              </w:rPr>
              <w:t>E-mail</w:t>
            </w:r>
          </w:p>
        </w:tc>
        <w:tc>
          <w:tcPr>
            <w:tcW w:w="7654" w:type="dxa"/>
          </w:tcPr>
          <w:p w:rsidRPr="00A230A4" w:rsidR="00A230A4" w:rsidP="00BE1F8F" w:rsidRDefault="00BD521E" w14:paraId="08B446AD" w14:textId="03934908">
            <w:pPr>
              <w:overflowPunct w:val="0"/>
              <w:autoSpaceDE w:val="0"/>
              <w:autoSpaceDN w:val="0"/>
              <w:adjustRightInd w:val="0"/>
              <w:textAlignment w:val="baseline"/>
              <w:rPr>
                <w:i/>
              </w:rPr>
            </w:pPr>
            <w:hyperlink w:history="1" r:id="rId37">
              <w:r w:rsidR="00972E61">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750665" w:id="21"/>
      <w:r>
        <w:rPr>
          <w:b/>
        </w:rPr>
        <w:t>INTERNE MARKT, PRODUCTIE EN CONSUMPTIE</w:t>
      </w:r>
      <w:bookmarkEnd w:id="20"/>
      <w:bookmarkEnd w:id="21"/>
    </w:p>
    <w:p w:rsidR="004D7AC0" w:rsidP="00BE1F8F" w:rsidRDefault="004D7AC0" w14:paraId="4982DDF4" w14:textId="77777777"/>
    <w:p w:rsidRPr="001131B6" w:rsidR="009D7E2D" w:rsidP="001131B6" w:rsidRDefault="00BD521E"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972E61">
          <w:rPr>
            <w:rStyle w:val="Hyperlink"/>
            <w:b/>
            <w:i/>
            <w:sz w:val="28"/>
          </w:rPr>
          <w:t>Consumentenbescherming en de impact van de digitale en de groene transitie op consumenten</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2342"/>
        <w:gridCol w:w="6835"/>
      </w:tblGrid>
      <w:tr w:rsidRPr="009D7E2D" w:rsidR="009D7E2D" w:rsidTr="00B51A72" w14:paraId="436EE5FD" w14:textId="77777777">
        <w:tc>
          <w:tcPr>
            <w:tcW w:w="909"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Rapporteur</w:t>
            </w:r>
          </w:p>
        </w:tc>
        <w:tc>
          <w:tcPr>
            <w:tcW w:w="4091" w:type="pct"/>
          </w:tcPr>
          <w:p w:rsidRPr="009D7E2D" w:rsidR="009D7E2D" w:rsidP="00BE1F8F" w:rsidRDefault="009D7E2D" w14:paraId="061A8BB9" w14:textId="77777777">
            <w:pPr>
              <w:overflowPunct w:val="0"/>
              <w:autoSpaceDE w:val="0"/>
              <w:autoSpaceDN w:val="0"/>
              <w:adjustRightInd w:val="0"/>
              <w:textAlignment w:val="baseline"/>
            </w:pPr>
            <w:r>
              <w:t>Ileana IZVERNICEANU DE LA IGLESIA (groep Maatschappelijke Organisaties – ES)</w:t>
            </w:r>
          </w:p>
        </w:tc>
      </w:tr>
      <w:tr w:rsidRPr="009D7E2D" w:rsidR="009D7E2D" w:rsidTr="00B51A72" w14:paraId="61B6CD20" w14:textId="77777777">
        <w:tc>
          <w:tcPr>
            <w:tcW w:w="909" w:type="pct"/>
            <w:vMerge w:val="restart"/>
          </w:tcPr>
          <w:p w:rsidRPr="009D7E2D" w:rsidR="009D7E2D" w:rsidP="00BE1F8F" w:rsidRDefault="009D7E2D" w14:paraId="4A0DBE9C" w14:textId="011D688E">
            <w:pPr>
              <w:tabs>
                <w:tab w:val="center" w:pos="284"/>
              </w:tabs>
              <w:overflowPunct w:val="0"/>
              <w:autoSpaceDE w:val="0"/>
              <w:autoSpaceDN w:val="0"/>
              <w:adjustRightInd w:val="0"/>
              <w:ind w:left="266" w:hanging="266"/>
              <w:textAlignment w:val="baseline"/>
              <w:rPr>
                <w:b/>
              </w:rPr>
            </w:pPr>
            <w:r>
              <w:rPr>
                <w:b/>
              </w:rPr>
              <w:t>Referentiedocumenten</w:t>
            </w:r>
          </w:p>
        </w:tc>
        <w:tc>
          <w:tcPr>
            <w:tcW w:w="4091" w:type="pct"/>
          </w:tcPr>
          <w:p w:rsidRPr="009D7E2D" w:rsidR="009D7E2D" w:rsidP="00B51A72" w:rsidRDefault="009D7E2D" w14:paraId="0C563187" w14:textId="052EB171">
            <w:pPr>
              <w:overflowPunct w:val="0"/>
              <w:autoSpaceDE w:val="0"/>
              <w:autoSpaceDN w:val="0"/>
              <w:adjustRightInd w:val="0"/>
              <w:textAlignment w:val="baseline"/>
            </w:pPr>
            <w:r>
              <w:t>Verkennend advies op verzoek van het Poolse voorzitterschap van de Raad van de EU</w:t>
            </w:r>
          </w:p>
        </w:tc>
      </w:tr>
      <w:tr w:rsidRPr="009D7E2D" w:rsidR="009D7E2D" w:rsidTr="00B51A72" w14:paraId="52EB6CD9" w14:textId="77777777">
        <w:tc>
          <w:tcPr>
            <w:tcW w:w="909"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4091"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9D7E2D" w14:paraId="38AF573F" w14:textId="77777777">
      <w:pPr>
        <w:overflowPunct w:val="0"/>
        <w:autoSpaceDE w:val="0"/>
        <w:autoSpaceDN w:val="0"/>
        <w:adjustRightInd w:val="0"/>
        <w:textAlignment w:val="baseline"/>
        <w:rPr>
          <w:i/>
          <w:iCs/>
          <w:sz w:val="24"/>
          <w:szCs w:val="24"/>
        </w:rPr>
      </w:pPr>
      <w:r>
        <w:rPr>
          <w:i/>
        </w:rPr>
        <w:t xml:space="preserve">Op dit advies wordt de </w:t>
      </w:r>
      <w:hyperlink w:history="1" r:id="rId39">
        <w:r>
          <w:rPr>
            <w:i/>
            <w:color w:val="0000FF"/>
            <w:u w:val="single"/>
          </w:rPr>
          <w:t>EU-jeugdtest van het EESC</w:t>
        </w:r>
      </w:hyperlink>
      <w:r>
        <w:rPr>
          <w:i/>
        </w:rPr>
        <w:t xml:space="preserve"> toegepast. Het Europees Jongerenenergienetwerk is door een groep geïnteresseerde jongerenorganisaties uitgekozen om al deze organisaties te vertegenwoordigen tijdens het opstellen van het advies.</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r>
        <w:t>Het EESC:</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acht het zaak om in heel Europa de eisen inzake verplichte en vrijwillige productinformatie te harmoniseren, een overdaad aan informatie te voorkomen en ervoor te zorgen dat etiketten waarheidsgetrouw zijn, zodat consumenten voor duurzamere consumptiepatronen kunnen kiezen;</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vindt het van cruciaal belang dat etiketten op producten, met onder andere informatie over hun levenscycluskosten, energie-efficiëntie, duurzaamheid en repareerbaarheid, een weloverwogen aankoop vergemakkelijken;</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roept de Commissie en de nationale autoriteiten op een kader te ontwikkelen waarbinnen de toegang tot duurzame producten gewaarborgd wordt door middel van fiscale stimulansen en, in bepaalde gevallen, rechtstreekse subsidies om het prijsverschil te verkleinen;</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dringt aan op doeltreffend beleid om de toegang tot de digitale markt te waarborgen, met name op het platteland en in dunbevolkte gebieden, zodat minder digitaal vaardige consumenten niet buiten de boot vallen;</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wijst er nogmaals op dat consumenten goed moeten worden voorgelicht, zodat zij weloverwogen keuzes kunnen maken;</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onderstreept de belangrijke rol van consumentenorganisaties bij de digitale en de groene transitie en benadrukt dat zij behoefte hebben aan veilige financiering;</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dringt erop aan de toegang tot betaalbare en duurzame producten ook voor kwetsbare consumenten te waarborgen, aangezien kwetsbaarheid verschillende vormen kan aannemen en in de loop van de tijd kan veranderen;</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is van mening dat de EU met strengere regelgeving, waaronder effectieve douanerechten, tegenwicht moet bieden aan de negatieve invloed van platforms van derde landen die goedkope producten aanbieden.</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995"/>
        <w:gridCol w:w="7292"/>
      </w:tblGrid>
      <w:tr w:rsidRPr="009D7E2D" w:rsidR="009D7E2D" w:rsidTr="00A3780E" w14:paraId="5FEB6264" w14:textId="77777777">
        <w:tc>
          <w:tcPr>
            <w:tcW w:w="1074" w:type="pct"/>
          </w:tcPr>
          <w:p w:rsidRPr="009D7E2D" w:rsidR="009D7E2D" w:rsidP="00BE1F8F" w:rsidRDefault="009D7E2D" w14:paraId="1891296F" w14:textId="332D9305">
            <w:pPr>
              <w:overflowPunct w:val="0"/>
              <w:autoSpaceDE w:val="0"/>
              <w:autoSpaceDN w:val="0"/>
              <w:adjustRightInd w:val="0"/>
              <w:textAlignment w:val="baseline"/>
              <w:rPr>
                <w:i/>
              </w:rPr>
            </w:pPr>
            <w:r>
              <w:rPr>
                <w:b/>
                <w:i/>
              </w:rPr>
              <w:t>Contactpersonen</w:t>
            </w:r>
          </w:p>
        </w:tc>
        <w:tc>
          <w:tcPr>
            <w:tcW w:w="3926" w:type="pct"/>
          </w:tcPr>
          <w:p w:rsidR="00713105" w:rsidP="00BE1F8F" w:rsidRDefault="009D7E2D" w14:paraId="2EBED78A" w14:textId="77777777">
            <w:pPr>
              <w:overflowPunct w:val="0"/>
              <w:autoSpaceDE w:val="0"/>
              <w:autoSpaceDN w:val="0"/>
              <w:adjustRightInd w:val="0"/>
              <w:textAlignment w:val="baseline"/>
              <w:rPr>
                <w:bCs/>
                <w:i/>
              </w:rPr>
            </w:pPr>
            <w:r>
              <w:rPr>
                <w:i/>
              </w:rPr>
              <w:t>Radoslava Stefankova</w:t>
            </w:r>
          </w:p>
          <w:p w:rsidRPr="009D7E2D" w:rsidR="009D7E2D" w:rsidP="00BE1F8F" w:rsidRDefault="009D7E2D" w14:paraId="13EF570E" w14:textId="166D0132">
            <w:pPr>
              <w:overflowPunct w:val="0"/>
              <w:autoSpaceDE w:val="0"/>
              <w:autoSpaceDN w:val="0"/>
              <w:adjustRightInd w:val="0"/>
              <w:textAlignment w:val="baseline"/>
              <w:rPr>
                <w:bCs/>
                <w:i/>
              </w:rPr>
            </w:pPr>
            <w:r>
              <w:rPr>
                <w:i/>
              </w:rPr>
              <w:t>Yousra Asbouni El Ouahabi</w:t>
            </w:r>
          </w:p>
        </w:tc>
      </w:tr>
      <w:tr w:rsidRPr="009D7E2D" w:rsidR="009D7E2D" w:rsidTr="00A3780E" w14:paraId="56CD236C" w14:textId="77777777">
        <w:tc>
          <w:tcPr>
            <w:tcW w:w="1074" w:type="pct"/>
          </w:tcPr>
          <w:p w:rsidRPr="009D7E2D" w:rsidR="009D7E2D" w:rsidP="00BE1F8F" w:rsidRDefault="009D7E2D" w14:paraId="642A79E8" w14:textId="77777777">
            <w:pPr>
              <w:overflowPunct w:val="0"/>
              <w:autoSpaceDE w:val="0"/>
              <w:autoSpaceDN w:val="0"/>
              <w:adjustRightInd w:val="0"/>
              <w:textAlignment w:val="baseline"/>
              <w:rPr>
                <w:i/>
              </w:rPr>
            </w:pPr>
            <w:r>
              <w:rPr>
                <w:i/>
              </w:rPr>
              <w:t>Tel.</w:t>
            </w:r>
          </w:p>
        </w:tc>
        <w:tc>
          <w:tcPr>
            <w:tcW w:w="3926" w:type="pct"/>
          </w:tcPr>
          <w:p w:rsidR="00866666" w:rsidP="00BE1F8F" w:rsidRDefault="009D7E2D" w14:paraId="6BF80798" w14:textId="77777777">
            <w:pPr>
              <w:overflowPunct w:val="0"/>
              <w:autoSpaceDE w:val="0"/>
              <w:autoSpaceDN w:val="0"/>
              <w:adjustRightInd w:val="0"/>
              <w:textAlignment w:val="baseline"/>
              <w:rPr>
                <w:i/>
              </w:rPr>
            </w:pPr>
            <w:r>
              <w:rPr>
                <w:i/>
              </w:rPr>
              <w:t>+32 25468188</w:t>
            </w:r>
          </w:p>
          <w:p w:rsidRPr="009D7E2D" w:rsidR="009D7E2D" w:rsidP="00BE1F8F" w:rsidRDefault="009D7E2D" w14:paraId="4C93A27B" w14:textId="441660D1">
            <w:pPr>
              <w:overflowPunct w:val="0"/>
              <w:autoSpaceDE w:val="0"/>
              <w:autoSpaceDN w:val="0"/>
              <w:adjustRightInd w:val="0"/>
              <w:textAlignment w:val="baseline"/>
              <w:rPr>
                <w:i/>
              </w:rPr>
            </w:pPr>
            <w:r>
              <w:rPr>
                <w:i/>
              </w:rPr>
              <w:t>+32 25468485</w:t>
            </w:r>
          </w:p>
        </w:tc>
      </w:tr>
      <w:tr w:rsidRPr="009D7E2D" w:rsidR="009D7E2D" w:rsidTr="00A3780E" w14:paraId="79FB8085" w14:textId="77777777">
        <w:tc>
          <w:tcPr>
            <w:tcW w:w="1074" w:type="pct"/>
          </w:tcPr>
          <w:p w:rsidRPr="009D7E2D" w:rsidR="009D7E2D" w:rsidP="00BE1F8F" w:rsidRDefault="009D7E2D" w14:paraId="16D4BECD" w14:textId="766DF770">
            <w:pPr>
              <w:overflowPunct w:val="0"/>
              <w:autoSpaceDE w:val="0"/>
              <w:autoSpaceDN w:val="0"/>
              <w:adjustRightInd w:val="0"/>
              <w:textAlignment w:val="baseline"/>
              <w:rPr>
                <w:i/>
              </w:rPr>
            </w:pPr>
            <w:r>
              <w:rPr>
                <w:i/>
              </w:rPr>
              <w:t>E-mail</w:t>
            </w:r>
          </w:p>
        </w:tc>
        <w:tc>
          <w:tcPr>
            <w:tcW w:w="3926" w:type="pct"/>
          </w:tcPr>
          <w:p w:rsidRPr="009D7E2D" w:rsidR="009D7E2D" w:rsidP="00BE1F8F" w:rsidRDefault="00BD521E" w14:paraId="7AA88CC5" w14:textId="77777777">
            <w:pPr>
              <w:overflowPunct w:val="0"/>
              <w:autoSpaceDE w:val="0"/>
              <w:autoSpaceDN w:val="0"/>
              <w:adjustRightInd w:val="0"/>
              <w:textAlignment w:val="baseline"/>
            </w:pPr>
            <w:hyperlink w:history="1" r:id="rId40">
              <w:r w:rsidR="00972E61">
                <w:rPr>
                  <w:i/>
                  <w:color w:val="0000FF"/>
                  <w:u w:val="single"/>
                </w:rPr>
                <w:t>Radoslava.Stefankova@eesc.europa.eu</w:t>
              </w:r>
            </w:hyperlink>
          </w:p>
          <w:p w:rsidRPr="009D7E2D" w:rsidR="009D7E2D" w:rsidP="00BE1F8F" w:rsidRDefault="00BD521E" w14:paraId="2F2D5AA7" w14:textId="77777777">
            <w:pPr>
              <w:overflowPunct w:val="0"/>
              <w:autoSpaceDE w:val="0"/>
              <w:autoSpaceDN w:val="0"/>
              <w:adjustRightInd w:val="0"/>
              <w:textAlignment w:val="baseline"/>
              <w:rPr>
                <w:i/>
              </w:rPr>
            </w:pPr>
            <w:hyperlink w:history="1" r:id="rId41">
              <w:r w:rsidR="00972E61">
                <w:rPr>
                  <w:i/>
                  <w:color w:val="0000FF"/>
                  <w:u w:val="single"/>
                </w:rPr>
                <w:t>Yousra.Asbounielouahabi@eesc.europa.eu</w:t>
              </w:r>
            </w:hyperlink>
          </w:p>
        </w:tc>
      </w:tr>
    </w:tbl>
    <w:p w:rsidR="009D7E2D" w:rsidP="00BE1F8F" w:rsidRDefault="009D7E2D" w14:paraId="1988C04D" w14:textId="77777777">
      <w:pPr>
        <w:jc w:val="left"/>
      </w:pPr>
      <w:r>
        <w:br w:type="page"/>
      </w:r>
    </w:p>
    <w:p w:rsidRPr="00C43D3E" w:rsidR="00FD106B" w:rsidP="00C77862" w:rsidRDefault="00BD521E"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972E61">
          <w:rPr>
            <w:b/>
            <w:i/>
            <w:color w:val="0000FF"/>
            <w:sz w:val="28"/>
            <w:u w:val="single"/>
          </w:rPr>
          <w:t>Evaluatie van de verslagen van Letta en Draghi over de werking en het concurrentievermogen van de eengemaakte markt van de EU</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342"/>
        <w:gridCol w:w="6835"/>
      </w:tblGrid>
      <w:tr w:rsidRPr="00FD106B" w:rsidR="00FD106B" w:rsidTr="00713105" w14:paraId="6CE7B306" w14:textId="77777777">
        <w:tc>
          <w:tcPr>
            <w:tcW w:w="1107"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Rapporteurs</w:t>
            </w:r>
          </w:p>
        </w:tc>
        <w:tc>
          <w:tcPr>
            <w:tcW w:w="3893"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Matteo Carlo BORSANI (groep Werkgevers – IT)</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(groep Werknemers – IT)</w:t>
            </w:r>
          </w:p>
          <w:p w:rsidRPr="00FD106B" w:rsidR="00FD106B" w:rsidP="00BE1F8F" w:rsidRDefault="00FD106B" w14:paraId="291D8799" w14:textId="6ED3A591">
            <w:pPr>
              <w:tabs>
                <w:tab w:val="center" w:pos="284"/>
              </w:tabs>
              <w:overflowPunct w:val="0"/>
              <w:autoSpaceDE w:val="0"/>
              <w:autoSpaceDN w:val="0"/>
              <w:adjustRightInd w:val="0"/>
              <w:ind w:left="266" w:hanging="266"/>
              <w:textAlignment w:val="baseline"/>
            </w:pPr>
            <w:r>
              <w:t>Giuseppe GUERINI (groep Maatschappelijke Organisaties – IT)</w:t>
            </w:r>
          </w:p>
        </w:tc>
      </w:tr>
      <w:tr w:rsidRPr="00FD106B" w:rsidR="00FD106B" w:rsidTr="00713105" w14:paraId="63D5E164" w14:textId="77777777">
        <w:tc>
          <w:tcPr>
            <w:tcW w:w="1107" w:type="pct"/>
            <w:vMerge w:val="restart"/>
          </w:tcPr>
          <w:p w:rsidRPr="00FD106B" w:rsidR="00FD106B" w:rsidP="00BE1F8F" w:rsidRDefault="00FD106B" w14:paraId="2C38529F" w14:textId="7DEB39C5">
            <w:pPr>
              <w:tabs>
                <w:tab w:val="center" w:pos="284"/>
              </w:tabs>
              <w:overflowPunct w:val="0"/>
              <w:autoSpaceDE w:val="0"/>
              <w:autoSpaceDN w:val="0"/>
              <w:adjustRightInd w:val="0"/>
              <w:ind w:left="266" w:hanging="266"/>
              <w:textAlignment w:val="baseline"/>
              <w:rPr>
                <w:b/>
              </w:rPr>
            </w:pPr>
            <w:r>
              <w:rPr>
                <w:b/>
              </w:rPr>
              <w:t>Referentiedocumenten</w:t>
            </w:r>
          </w:p>
        </w:tc>
        <w:tc>
          <w:tcPr>
            <w:tcW w:w="3893"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Initiatiefadvies</w:t>
            </w:r>
          </w:p>
        </w:tc>
      </w:tr>
      <w:tr w:rsidRPr="00FD106B" w:rsidR="00FD106B" w:rsidTr="00713105" w14:paraId="5BF5DD36" w14:textId="77777777">
        <w:tc>
          <w:tcPr>
            <w:tcW w:w="1107"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893"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Het EESC:</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benadrukt de dringende noodzaak </w:t>
      </w:r>
      <w:r>
        <w:rPr>
          <w:b/>
        </w:rPr>
        <w:t>om het Europese concurrentievermogen te stimuleren en tegelijkertijd te zorgen voor duurzaamheid en sociale cohesie</w:t>
      </w:r>
      <w:r>
        <w:t>. De EU staat voor toenemende mondiale concurrentie en moet doortastend optreden om haar economische positie te versterken. Dit mag echter niet ten koste gaan van milieuduurzaamheid, werknemersrechten of regionaal evenwicht. Het EESC bepleit een aanpak waarbij economische groei wordt geïntegreerd in de beginselen van sociale en territoriale samenhang;</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dringt aan op </w:t>
      </w:r>
      <w:r>
        <w:rPr>
          <w:b/>
        </w:rPr>
        <w:t>meer investeringen in belangrijke gebieden zoals sociale infrastructuur, digitale transformatie en energietransitie</w:t>
      </w:r>
      <w:r>
        <w:t>. Daar concurrentievermogen afhankelijk is van sterke fundamenten benadrukt het EESC dat er flinke investeringen nodig zijn in moderne infrastructuur, met inbegrip van onderwijs, onderzoek, digitalisering en hernieuwbare energie. Deze investeringen zijn van essentieel belang voor het behoud van de economische kracht van Europa en tegelijkertijd voor de aanpak van demografische verschuivingen, technologische vooruitgang en klimaatuitdagingen;</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 xml:space="preserve">benadrukt dat de EU actief vorm moet geven aan de wereldwijde economische transformatie in plaats van louter eerdere verworvenheden in stand te houden. Het EESC benadrukt dat Europa zich op een kruispunt bevindt: het kan een proactieve rol spelen bij de wereldwijde economische transformatie of dreigt achterop te raken. Dit betekent dat </w:t>
      </w:r>
      <w:r>
        <w:rPr>
          <w:b/>
        </w:rPr>
        <w:t>de eengemaakte markt moet worden aangepast aan de nieuwe geopolitieke realiteit</w:t>
      </w:r>
      <w:r>
        <w:t xml:space="preserve">, dat de strategische afhankelijkheid van toeleveringsketens buiten de EU moet worden verminderd en dat de rol van Europa in strategische industrieën moet worden versterkt.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25"/>
        <w:gridCol w:w="7262"/>
      </w:tblGrid>
      <w:tr w:rsidRPr="00FD106B" w:rsidR="00FD106B" w:rsidTr="00A3780E" w14:paraId="221C8BB2" w14:textId="77777777">
        <w:tc>
          <w:tcPr>
            <w:tcW w:w="1090" w:type="pct"/>
          </w:tcPr>
          <w:p w:rsidRPr="00FD106B" w:rsidR="00FD106B" w:rsidP="00BE1F8F" w:rsidRDefault="00FD106B" w14:paraId="740E10D6" w14:textId="77777777">
            <w:pPr>
              <w:overflowPunct w:val="0"/>
              <w:autoSpaceDE w:val="0"/>
              <w:autoSpaceDN w:val="0"/>
              <w:adjustRightInd w:val="0"/>
              <w:textAlignment w:val="baseline"/>
              <w:rPr>
                <w:i/>
              </w:rPr>
            </w:pPr>
            <w:r>
              <w:rPr>
                <w:b/>
                <w:i/>
              </w:rPr>
              <w:t>Contactpersonen</w:t>
            </w:r>
          </w:p>
        </w:tc>
        <w:tc>
          <w:tcPr>
            <w:tcW w:w="3910" w:type="pct"/>
          </w:tcPr>
          <w:p w:rsidRPr="00FD106B" w:rsidR="00FD106B" w:rsidP="00BE1F8F" w:rsidRDefault="00FD106B" w14:paraId="5AA8E8D6" w14:textId="77777777">
            <w:pPr>
              <w:overflowPunct w:val="0"/>
              <w:autoSpaceDE w:val="0"/>
              <w:autoSpaceDN w:val="0"/>
              <w:adjustRightInd w:val="0"/>
              <w:textAlignment w:val="baseline"/>
              <w:rPr>
                <w:i/>
              </w:rPr>
            </w:pPr>
            <w:r>
              <w:rPr>
                <w:i/>
              </w:rPr>
              <w:t>Annalisa Tessarolo</w:t>
            </w:r>
          </w:p>
          <w:p w:rsidRPr="00FD106B" w:rsidR="00FD106B" w:rsidP="00BE1F8F" w:rsidRDefault="00FD106B" w14:paraId="1CF946C4" w14:textId="77777777">
            <w:pPr>
              <w:overflowPunct w:val="0"/>
              <w:autoSpaceDE w:val="0"/>
              <w:autoSpaceDN w:val="0"/>
              <w:adjustRightInd w:val="0"/>
              <w:textAlignment w:val="baseline"/>
              <w:rPr>
                <w:i/>
              </w:rPr>
            </w:pPr>
            <w:r>
              <w:rPr>
                <w:i/>
              </w:rPr>
              <w:t>Silvia Staffa</w:t>
            </w:r>
          </w:p>
        </w:tc>
      </w:tr>
      <w:tr w:rsidRPr="00FD106B" w:rsidR="00FD106B" w:rsidTr="00A3780E" w14:paraId="7C7B09FE" w14:textId="77777777">
        <w:tc>
          <w:tcPr>
            <w:tcW w:w="1090" w:type="pct"/>
          </w:tcPr>
          <w:p w:rsidRPr="00FD106B" w:rsidR="00FD106B" w:rsidP="00BE1F8F" w:rsidRDefault="00FD106B" w14:paraId="3C27F1DF" w14:textId="77777777">
            <w:pPr>
              <w:overflowPunct w:val="0"/>
              <w:autoSpaceDE w:val="0"/>
              <w:autoSpaceDN w:val="0"/>
              <w:adjustRightInd w:val="0"/>
              <w:textAlignment w:val="baseline"/>
              <w:rPr>
                <w:i/>
              </w:rPr>
            </w:pPr>
            <w:r>
              <w:rPr>
                <w:i/>
              </w:rPr>
              <w:t>Tel.</w:t>
            </w:r>
          </w:p>
        </w:tc>
        <w:tc>
          <w:tcPr>
            <w:tcW w:w="3910" w:type="pct"/>
          </w:tcPr>
          <w:p w:rsidRPr="00FD106B" w:rsidR="00FD106B" w:rsidP="00BE1F8F" w:rsidRDefault="00FD106B" w14:paraId="6376D96B" w14:textId="77777777">
            <w:pPr>
              <w:overflowPunct w:val="0"/>
              <w:autoSpaceDE w:val="0"/>
              <w:autoSpaceDN w:val="0"/>
              <w:adjustRightInd w:val="0"/>
              <w:textAlignment w:val="baseline"/>
              <w:rPr>
                <w:i/>
              </w:rPr>
            </w:pPr>
            <w:r>
              <w:rPr>
                <w:i/>
              </w:rPr>
              <w:t>+32 25469732</w:t>
            </w:r>
          </w:p>
          <w:p w:rsidRPr="00FD106B" w:rsidR="00FD106B" w:rsidP="00BE1F8F" w:rsidRDefault="00FD106B" w14:paraId="617FBCCE" w14:textId="77777777">
            <w:pPr>
              <w:overflowPunct w:val="0"/>
              <w:autoSpaceDE w:val="0"/>
              <w:autoSpaceDN w:val="0"/>
              <w:adjustRightInd w:val="0"/>
              <w:textAlignment w:val="baseline"/>
              <w:rPr>
                <w:i/>
              </w:rPr>
            </w:pPr>
            <w:r>
              <w:rPr>
                <w:i/>
              </w:rPr>
              <w:t>+32 25468378</w:t>
            </w:r>
          </w:p>
        </w:tc>
      </w:tr>
      <w:tr w:rsidRPr="00FD106B" w:rsidR="00FD106B" w:rsidTr="00A3780E" w14:paraId="28A6E007" w14:textId="77777777">
        <w:tc>
          <w:tcPr>
            <w:tcW w:w="1090" w:type="pct"/>
          </w:tcPr>
          <w:p w:rsidRPr="00FD106B" w:rsidR="00FD106B" w:rsidP="00BE1F8F" w:rsidRDefault="00FD106B" w14:paraId="173B4957" w14:textId="77777777">
            <w:pPr>
              <w:overflowPunct w:val="0"/>
              <w:autoSpaceDE w:val="0"/>
              <w:autoSpaceDN w:val="0"/>
              <w:adjustRightInd w:val="0"/>
              <w:textAlignment w:val="baseline"/>
              <w:rPr>
                <w:i/>
              </w:rPr>
            </w:pPr>
            <w:r>
              <w:rPr>
                <w:i/>
              </w:rPr>
              <w:t>E-mail</w:t>
            </w:r>
          </w:p>
        </w:tc>
        <w:tc>
          <w:tcPr>
            <w:tcW w:w="3910" w:type="pct"/>
          </w:tcPr>
          <w:p w:rsidRPr="00FD106B" w:rsidR="00FD106B" w:rsidP="00BE1F8F" w:rsidRDefault="00BD521E" w14:paraId="58795004" w14:textId="77777777">
            <w:pPr>
              <w:overflowPunct w:val="0"/>
              <w:autoSpaceDE w:val="0"/>
              <w:autoSpaceDN w:val="0"/>
              <w:adjustRightInd w:val="0"/>
              <w:textAlignment w:val="baseline"/>
              <w:rPr>
                <w:i/>
                <w:iCs/>
              </w:rPr>
            </w:pPr>
            <w:hyperlink w:history="1" r:id="rId43">
              <w:r w:rsidR="00972E61">
                <w:rPr>
                  <w:i/>
                  <w:color w:val="0000FF"/>
                  <w:u w:val="single"/>
                </w:rPr>
                <w:t>Annalisa.Tessarolo@eesc.europa.eu</w:t>
              </w:r>
            </w:hyperlink>
          </w:p>
          <w:p w:rsidRPr="00FD106B" w:rsidR="00FD106B" w:rsidP="00BE1F8F" w:rsidRDefault="00BD521E" w14:paraId="40FF993F" w14:textId="77777777">
            <w:pPr>
              <w:overflowPunct w:val="0"/>
              <w:autoSpaceDE w:val="0"/>
              <w:autoSpaceDN w:val="0"/>
              <w:adjustRightInd w:val="0"/>
              <w:textAlignment w:val="baseline"/>
              <w:rPr>
                <w:i/>
              </w:rPr>
            </w:pPr>
            <w:hyperlink w:history="1" r:id="rId44">
              <w:r w:rsidR="00972E61">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BD521E"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972E61">
          <w:rPr>
            <w:b/>
            <w:i/>
            <w:color w:val="0000FF"/>
            <w:sz w:val="28"/>
            <w:u w:val="single"/>
          </w:rPr>
          <w:t>Het concurrentievermogen van kleine en middelgrote ondernemingen in de EU in het licht van nieuwe administratieve lasten/verplichtingen</w:t>
        </w:r>
      </w:hyperlink>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342"/>
        <w:gridCol w:w="6835"/>
      </w:tblGrid>
      <w:tr w:rsidRPr="00D03AEC" w:rsidR="00D03AEC" w:rsidTr="00713105" w14:paraId="385F137A" w14:textId="77777777">
        <w:trPr>
          <w:trHeight w:val="323"/>
        </w:trPr>
        <w:tc>
          <w:tcPr>
            <w:tcW w:w="791"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Rapporteur</w:t>
            </w:r>
          </w:p>
        </w:tc>
        <w:tc>
          <w:tcPr>
            <w:tcW w:w="4209"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Paul RÜBIG (groep Werkgevers – AT)</w:t>
            </w:r>
          </w:p>
        </w:tc>
      </w:tr>
      <w:tr w:rsidRPr="00D03AEC" w:rsidR="00D03AEC" w:rsidTr="00713105" w14:paraId="2544DD25" w14:textId="77777777">
        <w:tc>
          <w:tcPr>
            <w:tcW w:w="791" w:type="pct"/>
          </w:tcPr>
          <w:p w:rsidRPr="00D03AEC" w:rsidR="00D03AEC" w:rsidP="00BE1F8F" w:rsidRDefault="00D03AEC" w14:paraId="327B0796" w14:textId="569A93C2">
            <w:pPr>
              <w:tabs>
                <w:tab w:val="center" w:pos="284"/>
              </w:tabs>
              <w:overflowPunct w:val="0"/>
              <w:autoSpaceDE w:val="0"/>
              <w:autoSpaceDN w:val="0"/>
              <w:adjustRightInd w:val="0"/>
              <w:ind w:left="266" w:hanging="266"/>
              <w:textAlignment w:val="baseline"/>
              <w:rPr>
                <w:b/>
              </w:rPr>
            </w:pPr>
            <w:r>
              <w:rPr>
                <w:b/>
              </w:rPr>
              <w:t>Referentiedocumenten</w:t>
            </w:r>
          </w:p>
        </w:tc>
        <w:tc>
          <w:tcPr>
            <w:tcW w:w="4209" w:type="pct"/>
          </w:tcPr>
          <w:p w:rsidRPr="00D03AEC" w:rsidR="00D03AEC" w:rsidP="00BE1F8F" w:rsidRDefault="00D03AEC" w14:paraId="34DEDE49" w14:textId="588F8405">
            <w:pPr>
              <w:tabs>
                <w:tab w:val="center" w:pos="284"/>
              </w:tabs>
              <w:overflowPunct w:val="0"/>
              <w:autoSpaceDE w:val="0"/>
              <w:autoSpaceDN w:val="0"/>
              <w:adjustRightInd w:val="0"/>
              <w:ind w:left="266" w:right="-387" w:hanging="266"/>
              <w:textAlignment w:val="baseline"/>
            </w:pPr>
            <w:r>
              <w:t>Verkennend advies op verzoek van het Poolse voorzitterschap van de Raad van de EU</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Hoofdpunten</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Het EESC:</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meent dat verdere verbeteringen nodig zijn om de regeldruk te verminderen, de initiatieven die de Europese Commissie in het recente verleden heeft ontplooid ten spijt; kleine en middelgrote ondernemingen (kmo’s) worden namelijk geconfronteerd met dubbele en drievoudige wettelijke vereisten als gevolg van de bijkomende vloed aan regelgeving en bestaande vereisten, ook in verband met de Green Deal;</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is tegelijkertijd van mening dat de vermindering van de regeldruk de naleving van sociale, milieu- en consumentenveiligheidsrechten en -normen die zijn vastgesteld op internationaal niveau en op EU-niveau, alsook het beginsel van transparantie en de rechtsstaat in de EU, niet in gevaar mag brengen;</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zou graag zien dat de Raad voor regelgevingstoetsing (RSB) aanzienlijk wordt versterkt en onafhankelijker gemaakt; de RSB zou aan het begin van elke wetgevingsprocedure een coherentie- en subsidiariteitstoets moeten uitvoeren en passende revisie- en adviesrechten moeten krijgen;</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beveelt aan om de kmo-toets en de concurrentievermogenstoets in één procedure samen te voegen;</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raadt aan om gebruik te maken van artificiële intelligentie en instrumenten voor machinaal leren om één gebruiksvriendelijke rapportagetool te ontwikkelen die kmo’s, midcaps en andere ondernemingen informatie kan verschaffen over alle voor de EU relevante rapportagevereisten, deadlines en sancties;</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wijst erop dat het Europees Parlement en de Raad van de EU een versnelde procedure moeten ontwikkelen voor effect- en risicobeoordelingen die door hun eigen beleidsafdelingen worden uitgevoerd in het geval van amendementen waarmee voorstellen van de Europese Commissie ingrijpend worden gewijzigd;</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vindt dat de Raad van de EU en de nationale overheden ook meer gebruik zouden moeten maken van de mogelijkheden om bevoegdheden te herzien (subsidiariteit), met name wat betreft de impact op kmo’s, consumenten, administratie en justitie.</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1662"/>
        <w:gridCol w:w="7625"/>
      </w:tblGrid>
      <w:tr w:rsidRPr="00D03AEC" w:rsidR="00D03AEC" w:rsidTr="00713105" w14:paraId="5FB02248" w14:textId="77777777">
        <w:tc>
          <w:tcPr>
            <w:tcW w:w="895" w:type="pct"/>
          </w:tcPr>
          <w:p w:rsidRPr="00D03AEC" w:rsidR="00D03AEC" w:rsidP="00BE1F8F" w:rsidRDefault="00D03AEC" w14:paraId="74072B9E" w14:textId="77777777">
            <w:pPr>
              <w:overflowPunct w:val="0"/>
              <w:autoSpaceDE w:val="0"/>
              <w:autoSpaceDN w:val="0"/>
              <w:adjustRightInd w:val="0"/>
              <w:textAlignment w:val="baseline"/>
              <w:rPr>
                <w:i/>
              </w:rPr>
            </w:pPr>
            <w:r>
              <w:rPr>
                <w:b/>
                <w:i/>
              </w:rPr>
              <w:t>Contactpersoon</w:t>
            </w:r>
          </w:p>
        </w:tc>
        <w:tc>
          <w:tcPr>
            <w:tcW w:w="4105" w:type="pct"/>
          </w:tcPr>
          <w:p w:rsidRPr="00D03AEC" w:rsidR="00D03AEC" w:rsidP="00BE1F8F" w:rsidRDefault="00D03AEC" w14:paraId="522139B8" w14:textId="781982F3">
            <w:pPr>
              <w:overflowPunct w:val="0"/>
              <w:autoSpaceDE w:val="0"/>
              <w:autoSpaceDN w:val="0"/>
              <w:adjustRightInd w:val="0"/>
              <w:textAlignment w:val="baseline"/>
              <w:rPr>
                <w:i/>
              </w:rPr>
            </w:pPr>
            <w:r>
              <w:rPr>
                <w:i/>
              </w:rPr>
              <w:t>Marco Manfroni</w:t>
            </w:r>
          </w:p>
        </w:tc>
      </w:tr>
      <w:tr w:rsidRPr="00D03AEC" w:rsidR="00D03AEC" w:rsidTr="00713105" w14:paraId="608E1DA4" w14:textId="77777777">
        <w:tc>
          <w:tcPr>
            <w:tcW w:w="895" w:type="pct"/>
          </w:tcPr>
          <w:p w:rsidRPr="00D03AEC" w:rsidR="00D03AEC" w:rsidP="00BE1F8F" w:rsidRDefault="00D03AEC" w14:paraId="03200737" w14:textId="77777777">
            <w:pPr>
              <w:overflowPunct w:val="0"/>
              <w:autoSpaceDE w:val="0"/>
              <w:autoSpaceDN w:val="0"/>
              <w:adjustRightInd w:val="0"/>
              <w:textAlignment w:val="baseline"/>
              <w:rPr>
                <w:i/>
              </w:rPr>
            </w:pPr>
            <w:r>
              <w:rPr>
                <w:i/>
              </w:rPr>
              <w:t>Tel.</w:t>
            </w:r>
          </w:p>
        </w:tc>
        <w:tc>
          <w:tcPr>
            <w:tcW w:w="4105" w:type="pct"/>
          </w:tcPr>
          <w:p w:rsidRPr="00D03AEC" w:rsidR="00D03AEC" w:rsidP="00BE1F8F" w:rsidRDefault="00D03AEC" w14:paraId="7EC18166" w14:textId="03235857">
            <w:pPr>
              <w:overflowPunct w:val="0"/>
              <w:autoSpaceDE w:val="0"/>
              <w:autoSpaceDN w:val="0"/>
              <w:adjustRightInd w:val="0"/>
              <w:textAlignment w:val="baseline"/>
              <w:rPr>
                <w:i/>
              </w:rPr>
            </w:pPr>
            <w:r>
              <w:rPr>
                <w:i/>
              </w:rPr>
              <w:t>+32 25469140</w:t>
            </w:r>
          </w:p>
        </w:tc>
      </w:tr>
      <w:tr w:rsidRPr="00D03AEC" w:rsidR="00D03AEC" w:rsidTr="00713105" w14:paraId="18ACE9E6" w14:textId="77777777">
        <w:tc>
          <w:tcPr>
            <w:tcW w:w="895" w:type="pct"/>
          </w:tcPr>
          <w:p w:rsidRPr="00D03AEC" w:rsidR="00D03AEC" w:rsidP="00BE1F8F" w:rsidRDefault="00D03AEC" w14:paraId="47140999" w14:textId="77777777">
            <w:pPr>
              <w:overflowPunct w:val="0"/>
              <w:autoSpaceDE w:val="0"/>
              <w:autoSpaceDN w:val="0"/>
              <w:adjustRightInd w:val="0"/>
              <w:textAlignment w:val="baseline"/>
              <w:rPr>
                <w:i/>
              </w:rPr>
            </w:pPr>
            <w:r>
              <w:rPr>
                <w:i/>
              </w:rPr>
              <w:t>E-mail</w:t>
            </w:r>
          </w:p>
        </w:tc>
        <w:tc>
          <w:tcPr>
            <w:tcW w:w="4105" w:type="pct"/>
          </w:tcPr>
          <w:p w:rsidRPr="00D03AEC" w:rsidR="00D03AEC" w:rsidP="00BE1F8F" w:rsidRDefault="00BD521E" w14:paraId="66C1176F" w14:textId="6F5AA9D0">
            <w:pPr>
              <w:overflowPunct w:val="0"/>
              <w:autoSpaceDE w:val="0"/>
              <w:autoSpaceDN w:val="0"/>
              <w:adjustRightInd w:val="0"/>
              <w:textAlignment w:val="baseline"/>
              <w:rPr>
                <w:i/>
                <w:iCs/>
              </w:rPr>
            </w:pPr>
            <w:hyperlink w:history="1" r:id="rId46">
              <w:r w:rsidR="00972E61">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BD521E"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972E61">
          <w:rPr>
            <w:b/>
            <w:i/>
            <w:color w:val="0000FF"/>
            <w:sz w:val="28"/>
            <w:u w:val="single"/>
          </w:rPr>
          <w:t>De dienstensector in de Europese Unie</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2342"/>
        <w:gridCol w:w="6945"/>
      </w:tblGrid>
      <w:tr w:rsidRPr="008413EF" w:rsidR="008413EF" w:rsidTr="00713105" w14:paraId="7A748E72" w14:textId="77777777">
        <w:tc>
          <w:tcPr>
            <w:tcW w:w="1701"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r>
              <w:t>Marcin NOWACKI (groep Werkgevers – PL)</w:t>
            </w:r>
          </w:p>
        </w:tc>
      </w:tr>
      <w:tr w:rsidRPr="008413EF" w:rsidR="008413EF" w:rsidTr="00713105" w14:paraId="6A5323D9" w14:textId="77777777">
        <w:tc>
          <w:tcPr>
            <w:tcW w:w="1701" w:type="dxa"/>
            <w:vMerge w:val="restart"/>
          </w:tcPr>
          <w:p w:rsidRPr="008413EF" w:rsidR="008413EF" w:rsidP="00BE1F8F" w:rsidRDefault="008413EF" w14:paraId="037595AE" w14:textId="7E00B36E">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rsidRPr="008413EF" w:rsidR="008413EF" w:rsidP="00713105" w:rsidRDefault="008413EF" w14:paraId="50FBE37D" w14:textId="5D117B4A">
            <w:pPr>
              <w:overflowPunct w:val="0"/>
              <w:autoSpaceDE w:val="0"/>
              <w:autoSpaceDN w:val="0"/>
              <w:adjustRightInd w:val="0"/>
              <w:textAlignment w:val="baseline"/>
            </w:pPr>
            <w:r>
              <w:t>Verkennend advies op verzoek van het Poolse voorzitterschap van de Raad van de EU</w:t>
            </w:r>
          </w:p>
        </w:tc>
      </w:tr>
      <w:tr w:rsidRPr="008413EF" w:rsidR="008413EF" w:rsidTr="00713105" w14:paraId="730528B8" w14:textId="77777777">
        <w:tc>
          <w:tcPr>
            <w:tcW w:w="1701"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7479"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Het EESC:</w:t>
      </w:r>
    </w:p>
    <w:p w:rsidRPr="008413EF" w:rsidR="008413EF" w:rsidP="00BE1F8F" w:rsidRDefault="008413EF" w14:paraId="67F46C33" w14:textId="77777777">
      <w:pPr>
        <w:numPr>
          <w:ilvl w:val="0"/>
          <w:numId w:val="32"/>
        </w:numPr>
        <w:overflowPunct w:val="0"/>
        <w:autoSpaceDE w:val="0"/>
        <w:autoSpaceDN w:val="0"/>
        <w:adjustRightInd w:val="0"/>
        <w:ind w:left="284" w:hanging="284"/>
        <w:contextualSpacing/>
        <w:textAlignment w:val="baseline"/>
        <w:rPr>
          <w:bCs/>
          <w:iCs/>
        </w:rPr>
      </w:pPr>
      <w:r>
        <w:t>benadrukt dat de dienstenrichtlijn en de richtlijn betreffende de erkenning van beroepskwalificaties moeten worden geharmoniseerd om versnippering in de dienstensector van de EU tegen te gaan;</w:t>
      </w:r>
    </w:p>
    <w:p w:rsidRPr="008413EF" w:rsidR="008413EF" w:rsidP="00BE1F8F" w:rsidRDefault="008413EF" w14:paraId="232D5697" w14:textId="77777777">
      <w:pPr>
        <w:numPr>
          <w:ilvl w:val="0"/>
          <w:numId w:val="32"/>
        </w:numPr>
        <w:overflowPunct w:val="0"/>
        <w:autoSpaceDE w:val="0"/>
        <w:autoSpaceDN w:val="0"/>
        <w:adjustRightInd w:val="0"/>
        <w:ind w:left="284" w:hanging="284"/>
        <w:contextualSpacing/>
        <w:textAlignment w:val="baseline"/>
        <w:rPr>
          <w:bCs/>
          <w:iCs/>
        </w:rPr>
      </w:pPr>
      <w:r>
        <w:t>meent dat er een “pakket voor 100 beroepen” moet worden ingevoerd om iets te doen aan de belangrijkste belemmeringen in de regelgeving in de lidstaten;</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vindt dat digitalisering een centrale rol moet spelen bij de modernisering van administratieve processen. Eén digitaal aangifteportaal en de digitalisering van A1-formulieren zouden niet alleen de administratieve lasten voor kleine en middelgrote ondernemingen verminderen, maar ook grensoverschrijdende diensten stroomlijnen en zorgen voor snellere en toegankelijkere diensten, zowel voor bedrijven als voor consumenten;</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meent dat gerichte, sectorspecifieke hervormingen geboden zijn om belemmeringen in sectoren als de bouw, detailhandel en financiële diensten weg te nemen;</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benadrukt dat arbeidsbescherming, collectieve onderhandelingen en collectieve overeenkomsten niet als onnodige ballast mogen worden beschouwd;</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onderstreept dat er gegevens moeten worden verzameld over de dienstensector, met name met betrekking tot kleine en middelgrote ondernemingen, om de beleidsvorming te ondersteunen en belemmeringen voor de eengemaakte markt weg te nemen;</w:t>
      </w:r>
    </w:p>
    <w:p w:rsidRPr="008413EF" w:rsidR="008413EF" w:rsidP="00BE1F8F" w:rsidRDefault="008413EF" w14:paraId="74735E25" w14:textId="77777777">
      <w:pPr>
        <w:numPr>
          <w:ilvl w:val="0"/>
          <w:numId w:val="32"/>
        </w:numPr>
        <w:overflowPunct w:val="0"/>
        <w:autoSpaceDE w:val="0"/>
        <w:autoSpaceDN w:val="0"/>
        <w:adjustRightInd w:val="0"/>
        <w:ind w:left="284" w:hanging="284"/>
        <w:contextualSpacing/>
        <w:textAlignment w:val="baseline"/>
        <w:rPr>
          <w:bCs/>
          <w:iCs/>
        </w:rPr>
      </w:pPr>
      <w:r>
        <w:t xml:space="preserve">meent dat er in de geactualiseerde strategie voor de eengemaakte markt een alomvattend, sectorspecifiek actieplan voor de integratie van de dienstenmarkt moet worden opgenomen.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668"/>
        <w:gridCol w:w="7512"/>
      </w:tblGrid>
      <w:tr w:rsidRPr="008413EF" w:rsidR="008413EF" w:rsidTr="00713105" w14:paraId="33B11F7A" w14:textId="77777777">
        <w:tc>
          <w:tcPr>
            <w:tcW w:w="1668" w:type="dxa"/>
          </w:tcPr>
          <w:p w:rsidRPr="00713105" w:rsidR="008413EF" w:rsidP="00BE1F8F" w:rsidRDefault="008413EF" w14:paraId="6AEFA1C2" w14:textId="77777777">
            <w:pPr>
              <w:overflowPunct w:val="0"/>
              <w:autoSpaceDE w:val="0"/>
              <w:autoSpaceDN w:val="0"/>
              <w:adjustRightInd w:val="0"/>
              <w:textAlignment w:val="baseline"/>
              <w:rPr>
                <w:i/>
              </w:rPr>
            </w:pPr>
            <w:r>
              <w:rPr>
                <w:b/>
                <w:i/>
              </w:rPr>
              <w:t>Contactpersoon</w:t>
            </w:r>
          </w:p>
        </w:tc>
        <w:tc>
          <w:tcPr>
            <w:tcW w:w="7512" w:type="dxa"/>
          </w:tcPr>
          <w:p w:rsidRPr="00713105" w:rsidR="008413EF" w:rsidP="00BE1F8F" w:rsidRDefault="008413EF" w14:paraId="061D78D4" w14:textId="77777777">
            <w:pPr>
              <w:overflowPunct w:val="0"/>
              <w:autoSpaceDE w:val="0"/>
              <w:autoSpaceDN w:val="0"/>
              <w:adjustRightInd w:val="0"/>
              <w:textAlignment w:val="baseline"/>
              <w:rPr>
                <w:i/>
              </w:rPr>
            </w:pPr>
            <w:r>
              <w:rPr>
                <w:i/>
              </w:rPr>
              <w:t>Annalisa Tessarolo</w:t>
            </w:r>
          </w:p>
        </w:tc>
      </w:tr>
      <w:tr w:rsidRPr="008413EF" w:rsidR="008413EF" w:rsidTr="00713105" w14:paraId="40FDA69D" w14:textId="77777777">
        <w:tc>
          <w:tcPr>
            <w:tcW w:w="1668" w:type="dxa"/>
          </w:tcPr>
          <w:p w:rsidRPr="00713105" w:rsidR="008413EF" w:rsidP="00BE1F8F" w:rsidRDefault="008413EF" w14:paraId="2D116995" w14:textId="77777777">
            <w:pPr>
              <w:overflowPunct w:val="0"/>
              <w:autoSpaceDE w:val="0"/>
              <w:autoSpaceDN w:val="0"/>
              <w:adjustRightInd w:val="0"/>
              <w:textAlignment w:val="baseline"/>
              <w:rPr>
                <w:i/>
              </w:rPr>
            </w:pPr>
            <w:r>
              <w:rPr>
                <w:i/>
              </w:rPr>
              <w:t>Tel.</w:t>
            </w:r>
          </w:p>
        </w:tc>
        <w:tc>
          <w:tcPr>
            <w:tcW w:w="7512" w:type="dxa"/>
          </w:tcPr>
          <w:p w:rsidRPr="00713105" w:rsidR="008413EF" w:rsidP="00BE1F8F" w:rsidRDefault="008413EF" w14:paraId="100C3FF0" w14:textId="4D96929A">
            <w:pPr>
              <w:overflowPunct w:val="0"/>
              <w:autoSpaceDE w:val="0"/>
              <w:autoSpaceDN w:val="0"/>
              <w:adjustRightInd w:val="0"/>
              <w:textAlignment w:val="baseline"/>
              <w:rPr>
                <w:i/>
              </w:rPr>
            </w:pPr>
            <w:r>
              <w:rPr>
                <w:i/>
              </w:rPr>
              <w:t>+32 2 54697432</w:t>
            </w:r>
          </w:p>
        </w:tc>
      </w:tr>
      <w:tr w:rsidRPr="008413EF" w:rsidR="008413EF" w:rsidTr="00713105" w14:paraId="37302371" w14:textId="77777777">
        <w:tc>
          <w:tcPr>
            <w:tcW w:w="1668" w:type="dxa"/>
          </w:tcPr>
          <w:p w:rsidRPr="00713105" w:rsidR="008413EF" w:rsidP="00BE1F8F" w:rsidRDefault="00AD28C9" w14:paraId="5DEDB95D" w14:textId="4025CC54">
            <w:pPr>
              <w:overflowPunct w:val="0"/>
              <w:autoSpaceDE w:val="0"/>
              <w:autoSpaceDN w:val="0"/>
              <w:adjustRightInd w:val="0"/>
              <w:textAlignment w:val="baseline"/>
              <w:rPr>
                <w:i/>
              </w:rPr>
            </w:pPr>
            <w:r>
              <w:rPr>
                <w:i/>
              </w:rPr>
              <w:t>E-mail</w:t>
            </w:r>
          </w:p>
        </w:tc>
        <w:tc>
          <w:tcPr>
            <w:tcW w:w="7512" w:type="dxa"/>
          </w:tcPr>
          <w:p w:rsidRPr="00713105" w:rsidR="008413EF" w:rsidP="00BE1F8F" w:rsidRDefault="00BD521E" w14:paraId="03ED06F2" w14:textId="4676909C">
            <w:pPr>
              <w:overflowPunct w:val="0"/>
              <w:autoSpaceDE w:val="0"/>
              <w:autoSpaceDN w:val="0"/>
              <w:adjustRightInd w:val="0"/>
              <w:textAlignment w:val="baseline"/>
              <w:rPr>
                <w:i/>
              </w:rPr>
            </w:pPr>
            <w:hyperlink w:history="1" r:id="rId48">
              <w:r w:rsidR="00972E61">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BE1F8F" w:rsidRDefault="00BD521E" w14:paraId="42F00AC9" w14:textId="3186BBA7">
      <w:pPr>
        <w:widowControl w:val="0"/>
        <w:numPr>
          <w:ilvl w:val="0"/>
          <w:numId w:val="2"/>
        </w:numPr>
        <w:overflowPunct w:val="0"/>
        <w:autoSpaceDE w:val="0"/>
        <w:autoSpaceDN w:val="0"/>
        <w:adjustRightInd w:val="0"/>
        <w:ind w:left="284" w:hanging="284"/>
        <w:textAlignment w:val="baseline"/>
      </w:pPr>
      <w:hyperlink w:tgtFrame="_blank" w:history="1" r:id="rId49">
        <w:r w:rsidR="00972E61">
          <w:rPr>
            <w:b/>
            <w:i/>
            <w:color w:val="0000FF"/>
            <w:sz w:val="28"/>
            <w:u w:val="single"/>
          </w:rPr>
          <w:t>De toekomst van de EU-industrie in het licht van de hoge energieprijzen en transitiekosten</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2342"/>
        <w:gridCol w:w="6837"/>
      </w:tblGrid>
      <w:tr w:rsidRPr="001C0AB9" w:rsidR="001C0AB9" w:rsidTr="00713105" w14:paraId="302E5F77" w14:textId="77777777">
        <w:tc>
          <w:tcPr>
            <w:tcW w:w="908"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Rapporteur</w:t>
            </w:r>
          </w:p>
        </w:tc>
        <w:tc>
          <w:tcPr>
            <w:tcW w:w="4092"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Andrea MONE (groep Werknemers – IT)</w:t>
            </w:r>
          </w:p>
        </w:tc>
      </w:tr>
      <w:tr w:rsidRPr="001C0AB9" w:rsidR="001C0AB9" w:rsidTr="00713105" w14:paraId="49E0B6DD" w14:textId="77777777">
        <w:tc>
          <w:tcPr>
            <w:tcW w:w="908" w:type="pct"/>
            <w:vMerge w:val="restart"/>
          </w:tcPr>
          <w:p w:rsidRPr="001C0AB9" w:rsidR="001C0AB9" w:rsidP="00BE1F8F" w:rsidRDefault="001C0AB9" w14:paraId="2351E607" w14:textId="2483074C">
            <w:pPr>
              <w:tabs>
                <w:tab w:val="center" w:pos="284"/>
              </w:tabs>
              <w:overflowPunct w:val="0"/>
              <w:autoSpaceDE w:val="0"/>
              <w:autoSpaceDN w:val="0"/>
              <w:adjustRightInd w:val="0"/>
              <w:ind w:left="266" w:hanging="266"/>
              <w:textAlignment w:val="baseline"/>
              <w:rPr>
                <w:b/>
              </w:rPr>
            </w:pPr>
            <w:r>
              <w:rPr>
                <w:b/>
              </w:rPr>
              <w:t>Referentiedocumenten</w:t>
            </w:r>
          </w:p>
        </w:tc>
        <w:tc>
          <w:tcPr>
            <w:tcW w:w="4092" w:type="pct"/>
          </w:tcPr>
          <w:p w:rsidRPr="00C43D3E" w:rsidR="001C0AB9" w:rsidP="00713105" w:rsidRDefault="001C0AB9" w14:paraId="17F26A32" w14:textId="51BBB0EC">
            <w:pPr>
              <w:tabs>
                <w:tab w:val="center" w:pos="284"/>
              </w:tabs>
              <w:overflowPunct w:val="0"/>
              <w:autoSpaceDE w:val="0"/>
              <w:autoSpaceDN w:val="0"/>
              <w:adjustRightInd w:val="0"/>
              <w:ind w:left="266" w:right="-387" w:hanging="266"/>
              <w:textAlignment w:val="baseline"/>
            </w:pPr>
            <w:r>
              <w:t>Verkennend advies op verzoek van het Poolse voorzitterschap van de Raad van de EU</w:t>
            </w:r>
          </w:p>
        </w:tc>
      </w:tr>
      <w:tr w:rsidRPr="001C0AB9" w:rsidR="001C0AB9" w:rsidTr="00713105" w14:paraId="21E65686" w14:textId="77777777">
        <w:tc>
          <w:tcPr>
            <w:tcW w:w="908"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4092"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Het EESC:</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dringt met klem aan op de uitwerking van een </w:t>
      </w:r>
      <w:r>
        <w:rPr>
          <w:b/>
        </w:rPr>
        <w:t>alomvattende EU-industriestrategie voor concurrerende industrieën en hoogwaardige banen,</w:t>
      </w:r>
      <w:r>
        <w:t xml:space="preserve"> die de Green Deal-doelstellingen aanvult met nauwlettend toezicht en gerichte aanpassingsmaatregelen;</w:t>
      </w:r>
    </w:p>
    <w:p w:rsidRPr="001C0AB9" w:rsidR="001C0AB9" w:rsidP="00BE1F8F" w:rsidRDefault="001C0AB9" w14:paraId="70DD072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dringt aan op een beter </w:t>
      </w:r>
      <w:r>
        <w:rPr>
          <w:b/>
        </w:rPr>
        <w:t>economisch en regelgevingskader</w:t>
      </w:r>
      <w:r>
        <w:t xml:space="preserve"> om het </w:t>
      </w:r>
      <w:r>
        <w:rPr>
          <w:b/>
        </w:rPr>
        <w:t>structurele concurrentieprobleem</w:t>
      </w:r>
      <w:r>
        <w:t xml:space="preserve"> aan te pakken waarmee </w:t>
      </w:r>
      <w:r>
        <w:rPr>
          <w:b/>
        </w:rPr>
        <w:t>Europa</w:t>
      </w:r>
      <w:r>
        <w:t xml:space="preserve"> wordt geconfronteerd als gevolg van de hoge energie- en grondstoffenprijzen, de hoge aanloopinvesteringen en nalevingskosten in verband met de groene transitie, de ontoereikende infrastructuurontwikkeling, een endemische vaardighedenkloof, een gebrek aan voldoende financiering en interne vraag, en de onvoltooide eengemaakte markt;</w:t>
      </w:r>
    </w:p>
    <w:p w:rsidRPr="001C0AB9" w:rsidR="001C0AB9" w:rsidP="00BE1F8F" w:rsidRDefault="001C0AB9" w14:paraId="6A693864"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pleit voor een op </w:t>
      </w:r>
      <w:r>
        <w:rPr>
          <w:b/>
        </w:rPr>
        <w:t>investeringen en innovatie</w:t>
      </w:r>
      <w:r>
        <w:t xml:space="preserve"> gebaseerd </w:t>
      </w:r>
      <w:r>
        <w:rPr>
          <w:b/>
        </w:rPr>
        <w:t>concurrentiebeleid</w:t>
      </w:r>
      <w:r>
        <w:t xml:space="preserve"> dat gericht is op </w:t>
      </w:r>
      <w:r>
        <w:rPr>
          <w:b/>
        </w:rPr>
        <w:t>sociale en territoriale inclusiviteit</w:t>
      </w:r>
      <w:r>
        <w:t xml:space="preserve"> en er tegelijkertijd voor zorgt dat de </w:t>
      </w:r>
      <w:r>
        <w:rPr>
          <w:b/>
        </w:rPr>
        <w:t>sociale dialoog en collectieve onderhandelingen</w:t>
      </w:r>
      <w:r>
        <w:t xml:space="preserve"> de structurele veranderingen op een eerlijke en rechtvaardige manier in goede banen leiden;</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roept op tot de uitwerking van </w:t>
      </w:r>
      <w:r>
        <w:rPr>
          <w:b/>
        </w:rPr>
        <w:t>een industriestrategie die geschikt is voor alle sectoren</w:t>
      </w:r>
      <w:r>
        <w:t xml:space="preserve"> en zorgt voor </w:t>
      </w:r>
      <w:r>
        <w:rPr>
          <w:b/>
        </w:rPr>
        <w:t>een betere beleidscoherentie, het gebruik van bestaande middelen optimaliseert, een speciaal Europees investeringsfonds</w:t>
      </w:r>
      <w:r>
        <w:t xml:space="preserve"> voor gerichte prioritaire gebieden ontwikkelt en rekening houdt met </w:t>
      </w:r>
      <w:r>
        <w:rPr>
          <w:b/>
        </w:rPr>
        <w:t>de transnationale dimensie</w:t>
      </w:r>
      <w:r>
        <w:t xml:space="preserve"> van cruciale gebieden zoals </w:t>
      </w:r>
      <w:r>
        <w:rPr>
          <w:b/>
        </w:rPr>
        <w:t>energie, O&amp;I en vaardigheden</w:t>
      </w:r>
      <w:r>
        <w:t>;</w:t>
      </w:r>
    </w:p>
    <w:p w:rsidRPr="001C0AB9" w:rsidR="001C0AB9" w:rsidP="00BE1F8F" w:rsidRDefault="001C0AB9" w14:paraId="1A086C5D" w14:textId="77777777">
      <w:pPr>
        <w:numPr>
          <w:ilvl w:val="0"/>
          <w:numId w:val="33"/>
        </w:numPr>
        <w:tabs>
          <w:tab w:val="clear" w:pos="720"/>
          <w:tab w:val="num" w:pos="567"/>
        </w:tabs>
        <w:overflowPunct w:val="0"/>
        <w:autoSpaceDE w:val="0"/>
        <w:autoSpaceDN w:val="0"/>
        <w:adjustRightInd w:val="0"/>
        <w:ind w:left="284" w:hanging="284"/>
        <w:textAlignment w:val="baseline"/>
      </w:pPr>
      <w:r>
        <w:rPr>
          <w:b/>
        </w:rPr>
        <w:t>beklemtoont de noodzaak van een veerkrachtig EU-handelsbeleid</w:t>
      </w:r>
      <w:r>
        <w:t xml:space="preserve"> dat de risico’s beperkt van </w:t>
      </w:r>
      <w:r>
        <w:rPr>
          <w:b/>
        </w:rPr>
        <w:t>asymmetrische decarbonisatiedoelstellingen, mondiale overcapaciteit en toenemende handelsspanningen</w:t>
      </w:r>
      <w:r>
        <w:t xml:space="preserve">, en tegelijk </w:t>
      </w:r>
      <w:r>
        <w:rPr>
          <w:b/>
        </w:rPr>
        <w:t>de autonomie met betrekking tot kritieke grondstoffen</w:t>
      </w:r>
      <w:r>
        <w:t xml:space="preserve"> versterkt om de industriële toekomst van Europa veilig te stellen.</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667"/>
        <w:gridCol w:w="7512"/>
      </w:tblGrid>
      <w:tr w:rsidRPr="001C0AB9" w:rsidR="001C0AB9" w:rsidTr="00713105" w14:paraId="255B6976" w14:textId="77777777">
        <w:tc>
          <w:tcPr>
            <w:tcW w:w="908" w:type="pct"/>
          </w:tcPr>
          <w:p w:rsidRPr="001C0AB9" w:rsidR="001C0AB9" w:rsidP="00BE1F8F" w:rsidRDefault="001C0AB9" w14:paraId="25B90EB8" w14:textId="77777777">
            <w:pPr>
              <w:overflowPunct w:val="0"/>
              <w:autoSpaceDE w:val="0"/>
              <w:autoSpaceDN w:val="0"/>
              <w:adjustRightInd w:val="0"/>
              <w:textAlignment w:val="baseline"/>
              <w:rPr>
                <w:i/>
              </w:rPr>
            </w:pPr>
            <w:r>
              <w:rPr>
                <w:b/>
                <w:i/>
              </w:rPr>
              <w:t>Contactpersoon</w:t>
            </w:r>
          </w:p>
        </w:tc>
        <w:tc>
          <w:tcPr>
            <w:tcW w:w="4092" w:type="pct"/>
          </w:tcPr>
          <w:p w:rsidRPr="001C0AB9" w:rsidR="001C0AB9" w:rsidP="00BE1F8F" w:rsidRDefault="001C0AB9" w14:paraId="47766DB4" w14:textId="77777777">
            <w:pPr>
              <w:overflowPunct w:val="0"/>
              <w:autoSpaceDE w:val="0"/>
              <w:autoSpaceDN w:val="0"/>
              <w:adjustRightInd w:val="0"/>
              <w:textAlignment w:val="baseline"/>
              <w:rPr>
                <w:i/>
              </w:rPr>
            </w:pPr>
            <w:r>
              <w:rPr>
                <w:i/>
              </w:rPr>
              <w:t>Silvia Staffa</w:t>
            </w:r>
          </w:p>
        </w:tc>
      </w:tr>
      <w:tr w:rsidRPr="001C0AB9" w:rsidR="001C0AB9" w:rsidTr="00713105" w14:paraId="7C1DD93F" w14:textId="77777777">
        <w:tc>
          <w:tcPr>
            <w:tcW w:w="908" w:type="pct"/>
          </w:tcPr>
          <w:p w:rsidRPr="001C0AB9" w:rsidR="001C0AB9" w:rsidP="00BE1F8F" w:rsidRDefault="001C0AB9" w14:paraId="3EE989E4" w14:textId="77777777">
            <w:pPr>
              <w:overflowPunct w:val="0"/>
              <w:autoSpaceDE w:val="0"/>
              <w:autoSpaceDN w:val="0"/>
              <w:adjustRightInd w:val="0"/>
              <w:textAlignment w:val="baseline"/>
              <w:rPr>
                <w:i/>
              </w:rPr>
            </w:pPr>
            <w:r>
              <w:rPr>
                <w:i/>
              </w:rPr>
              <w:t>Tel.</w:t>
            </w:r>
          </w:p>
        </w:tc>
        <w:tc>
          <w:tcPr>
            <w:tcW w:w="4092" w:type="pct"/>
          </w:tcPr>
          <w:p w:rsidRPr="001C0AB9" w:rsidR="001C0AB9" w:rsidP="00BE1F8F" w:rsidRDefault="001C0AB9" w14:paraId="205BC83F" w14:textId="77777777">
            <w:pPr>
              <w:overflowPunct w:val="0"/>
              <w:autoSpaceDE w:val="0"/>
              <w:autoSpaceDN w:val="0"/>
              <w:adjustRightInd w:val="0"/>
              <w:textAlignment w:val="baseline"/>
              <w:rPr>
                <w:i/>
              </w:rPr>
            </w:pPr>
            <w:r>
              <w:rPr>
                <w:i/>
              </w:rPr>
              <w:t>+32 25468378</w:t>
            </w:r>
          </w:p>
        </w:tc>
      </w:tr>
      <w:tr w:rsidRPr="001C0AB9" w:rsidR="001C0AB9" w:rsidTr="00713105" w14:paraId="0E5D8409" w14:textId="77777777">
        <w:tc>
          <w:tcPr>
            <w:tcW w:w="908" w:type="pct"/>
          </w:tcPr>
          <w:p w:rsidRPr="001C0AB9" w:rsidR="001C0AB9" w:rsidP="00BE1F8F" w:rsidRDefault="00402449" w14:paraId="20244737" w14:textId="72ECCE95">
            <w:pPr>
              <w:overflowPunct w:val="0"/>
              <w:autoSpaceDE w:val="0"/>
              <w:autoSpaceDN w:val="0"/>
              <w:adjustRightInd w:val="0"/>
              <w:textAlignment w:val="baseline"/>
              <w:rPr>
                <w:i/>
              </w:rPr>
            </w:pPr>
            <w:r>
              <w:rPr>
                <w:i/>
              </w:rPr>
              <w:t>E-mail</w:t>
            </w:r>
          </w:p>
        </w:tc>
        <w:tc>
          <w:tcPr>
            <w:tcW w:w="4092" w:type="pct"/>
          </w:tcPr>
          <w:p w:rsidRPr="001C0AB9" w:rsidR="001C0AB9" w:rsidP="00BE1F8F" w:rsidRDefault="00BD521E" w14:paraId="2ACCD03D" w14:textId="77777777">
            <w:pPr>
              <w:overflowPunct w:val="0"/>
              <w:autoSpaceDE w:val="0"/>
              <w:autoSpaceDN w:val="0"/>
              <w:adjustRightInd w:val="0"/>
              <w:textAlignment w:val="baseline"/>
              <w:rPr>
                <w:i/>
              </w:rPr>
            </w:pPr>
            <w:hyperlink w:history="1" r:id="rId50">
              <w:r w:rsidR="00972E61">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BD521E"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972E61">
          <w:rPr>
            <w:b/>
            <w:i/>
            <w:color w:val="0000FF"/>
            <w:sz w:val="28"/>
            <w:u w:val="single"/>
          </w:rPr>
          <w:t>Toerisme in de EU: duurzaamheid als motor voor het concurrentievermogen op lange termijn</w:t>
        </w:r>
      </w:hyperlink>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42"/>
        <w:gridCol w:w="6945"/>
      </w:tblGrid>
      <w:tr w:rsidRPr="00A124AE" w:rsidR="00A124AE" w:rsidTr="00713105" w14:paraId="5244175C" w14:textId="77777777">
        <w:trPr>
          <w:trHeight w:val="322"/>
        </w:trPr>
        <w:tc>
          <w:tcPr>
            <w:tcW w:w="1090"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Rapporteur</w:t>
            </w:r>
          </w:p>
        </w:tc>
        <w:tc>
          <w:tcPr>
            <w:tcW w:w="3910"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Isabel YGLESIAS (groep Werkgevers – ES)</w:t>
            </w:r>
          </w:p>
        </w:tc>
      </w:tr>
      <w:tr w:rsidRPr="00A124AE" w:rsidR="00A124AE" w:rsidTr="00713105" w14:paraId="466A9A73" w14:textId="77777777">
        <w:tc>
          <w:tcPr>
            <w:tcW w:w="1090" w:type="pct"/>
          </w:tcPr>
          <w:p w:rsidRPr="00A124AE" w:rsidR="00A124AE" w:rsidP="00BE1F8F" w:rsidRDefault="00A124AE" w14:paraId="1940FE0A" w14:textId="7BF07B25">
            <w:pPr>
              <w:tabs>
                <w:tab w:val="center" w:pos="284"/>
              </w:tabs>
              <w:overflowPunct w:val="0"/>
              <w:autoSpaceDE w:val="0"/>
              <w:autoSpaceDN w:val="0"/>
              <w:adjustRightInd w:val="0"/>
              <w:ind w:left="266" w:hanging="266"/>
              <w:textAlignment w:val="baseline"/>
              <w:rPr>
                <w:b/>
              </w:rPr>
            </w:pPr>
            <w:r>
              <w:rPr>
                <w:b/>
              </w:rPr>
              <w:t>Referentiedocumenten</w:t>
            </w:r>
          </w:p>
        </w:tc>
        <w:tc>
          <w:tcPr>
            <w:tcW w:w="3910"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Initiatiefadvies</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Hoofdpunten</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Het EESC:</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t>acht het zaak vaart te zetten achter de</w:t>
      </w:r>
      <w:r>
        <w:rPr>
          <w:b/>
        </w:rPr>
        <w:t xml:space="preserve"> overgang naar een duurzame vorm van toerisme</w:t>
      </w:r>
      <w:r>
        <w:t xml:space="preserve"> en </w:t>
      </w:r>
      <w:r>
        <w:rPr>
          <w:b/>
        </w:rPr>
        <w:t>strategieën voor een regeneratief toerisme uit te voeren</w:t>
      </w:r>
      <w:r>
        <w:t>, zodat in hoge mate op toerisme gerichte regio’s ten volle kunnen bijdragen aan een sterker concurrentievermogen van de EU. Regeneratief toerisme gaat verder dan duurzaam toerisme: het omvat praktijken die tot doel hebben om het natuurlijke, sociale en economische kapitaal te herstellen en te versterken, waarmee een positieve en blijvende impact op bestemmingen en hun gemeenschappen wordt bereikt;</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t xml:space="preserve">raadt aan om in </w:t>
      </w:r>
      <w:r>
        <w:rPr>
          <w:b/>
        </w:rPr>
        <w:t>de nieuwe Europese wetgevingscyclus in te zetten op een toerismebeleid dat zich richt op actieve regeneratie</w:t>
      </w:r>
      <w:r>
        <w:t xml:space="preserve"> en inspeelt op de wisselwerking tussen alle aspecten van een toeristische bestemming: ecosystemen, gemeenschappen, de lokale economie en bezoekers;</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t xml:space="preserve">stelt voor om </w:t>
      </w:r>
      <w:r>
        <w:rPr>
          <w:b/>
        </w:rPr>
        <w:t>duidelijke richtsnoeren en concrete maatregelen te ontwikkelen</w:t>
      </w:r>
      <w:r>
        <w:t xml:space="preserve">, </w:t>
      </w:r>
      <w:r>
        <w:rPr>
          <w:b/>
        </w:rPr>
        <w:t>zodat in het kader van de strategie voor duurzaam toerisme sneller kan worden overgestapt</w:t>
      </w:r>
      <w:r>
        <w:t xml:space="preserve"> op een vorm van toerisme die gericht is op actieve regeneratie en sociale waarde. Deze strategie moet vergezeld gaan van adequate </w:t>
      </w:r>
      <w:r>
        <w:rPr>
          <w:b/>
        </w:rPr>
        <w:t>financierings- en onderzoeksprogramma’s</w:t>
      </w:r>
      <w:r>
        <w:t xml:space="preserve"> en </w:t>
      </w:r>
      <w:r>
        <w:rPr>
          <w:b/>
        </w:rPr>
        <w:t>sociaal en opleidingsbeleid</w:t>
      </w:r>
      <w:r>
        <w:t>, zodat zij op een efficiënte manier kan worden uitgevoerd;</w:t>
      </w:r>
    </w:p>
    <w:p w:rsidRPr="00A124AE" w:rsidR="00A124AE" w:rsidP="00BE1F8F" w:rsidRDefault="00A124AE" w14:paraId="096C272A" w14:textId="77777777">
      <w:pPr>
        <w:numPr>
          <w:ilvl w:val="0"/>
          <w:numId w:val="34"/>
        </w:numPr>
        <w:overflowPunct w:val="0"/>
        <w:autoSpaceDE w:val="0"/>
        <w:autoSpaceDN w:val="0"/>
        <w:adjustRightInd w:val="0"/>
        <w:ind w:left="284" w:hanging="284"/>
        <w:contextualSpacing/>
        <w:textAlignment w:val="baseline"/>
        <w:rPr>
          <w:bCs/>
          <w:iCs/>
        </w:rPr>
      </w:pPr>
      <w:r>
        <w:t xml:space="preserve">wijst erop dat het van cruciaal belang is dat </w:t>
      </w:r>
      <w:r>
        <w:rPr>
          <w:b/>
        </w:rPr>
        <w:t>werknemers worden bijgeschoold over duurzaamheid en de circulaire economie</w:t>
      </w:r>
      <w:r>
        <w:t xml:space="preserve"> om de kwaliteit van banen te verbeteren en het talent aan te trekken en te behouden dat nodig is om de overgang naar regeneratief toerisme mogelijk en levensvatbaar te maken. Voor de verwezenlijk van deze doelstellingen is het ook van belang dat de medewerking van consumenten versterkt en hecht verankerd wordt. Om hen daadwerkelijk en in groteren getale mee te krijgen is een combinatie van economische stimulansen, toegankelijke modellen en strategieën om </w:t>
      </w:r>
      <w:r>
        <w:rPr>
          <w:b/>
        </w:rPr>
        <w:t>toerisme</w:t>
      </w:r>
      <w:r>
        <w:t xml:space="preserve"> </w:t>
      </w:r>
      <w:r>
        <w:rPr>
          <w:b/>
        </w:rPr>
        <w:t>minder seizoensgebonden</w:t>
      </w:r>
      <w:r>
        <w:t xml:space="preserve"> te maken van cruciaal belang.</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1662"/>
        <w:gridCol w:w="7625"/>
      </w:tblGrid>
      <w:tr w:rsidRPr="00A124AE" w:rsidR="00A124AE" w:rsidTr="00713105" w14:paraId="7E775A80" w14:textId="77777777">
        <w:tc>
          <w:tcPr>
            <w:tcW w:w="895" w:type="pct"/>
          </w:tcPr>
          <w:p w:rsidRPr="00A124AE" w:rsidR="00A124AE" w:rsidP="00BE1F8F" w:rsidRDefault="00A124AE" w14:paraId="1D08457C" w14:textId="77777777">
            <w:pPr>
              <w:overflowPunct w:val="0"/>
              <w:autoSpaceDE w:val="0"/>
              <w:autoSpaceDN w:val="0"/>
              <w:adjustRightInd w:val="0"/>
              <w:textAlignment w:val="baseline"/>
              <w:rPr>
                <w:i/>
              </w:rPr>
            </w:pPr>
            <w:r>
              <w:rPr>
                <w:b/>
                <w:i/>
              </w:rPr>
              <w:t>Contactpersoon</w:t>
            </w:r>
          </w:p>
        </w:tc>
        <w:tc>
          <w:tcPr>
            <w:tcW w:w="4105" w:type="pct"/>
          </w:tcPr>
          <w:p w:rsidRPr="00A124AE" w:rsidR="00A124AE" w:rsidP="00BE1F8F" w:rsidRDefault="00A124AE" w14:paraId="615E6C8D" w14:textId="36E1239F">
            <w:pPr>
              <w:overflowPunct w:val="0"/>
              <w:autoSpaceDE w:val="0"/>
              <w:autoSpaceDN w:val="0"/>
              <w:adjustRightInd w:val="0"/>
              <w:textAlignment w:val="baseline"/>
              <w:rPr>
                <w:i/>
              </w:rPr>
            </w:pPr>
            <w:r>
              <w:rPr>
                <w:i/>
              </w:rPr>
              <w:t>Silvia Staffa</w:t>
            </w:r>
          </w:p>
        </w:tc>
      </w:tr>
      <w:tr w:rsidRPr="00A124AE" w:rsidR="00A124AE" w:rsidTr="00713105" w14:paraId="2BB8DEB2" w14:textId="77777777">
        <w:tc>
          <w:tcPr>
            <w:tcW w:w="895" w:type="pct"/>
          </w:tcPr>
          <w:p w:rsidRPr="00A124AE" w:rsidR="00A124AE" w:rsidP="00BE1F8F" w:rsidRDefault="00A124AE" w14:paraId="43D7D550" w14:textId="77777777">
            <w:pPr>
              <w:overflowPunct w:val="0"/>
              <w:autoSpaceDE w:val="0"/>
              <w:autoSpaceDN w:val="0"/>
              <w:adjustRightInd w:val="0"/>
              <w:textAlignment w:val="baseline"/>
              <w:rPr>
                <w:i/>
              </w:rPr>
            </w:pPr>
            <w:r>
              <w:rPr>
                <w:i/>
              </w:rPr>
              <w:t>Tel.</w:t>
            </w:r>
          </w:p>
        </w:tc>
        <w:tc>
          <w:tcPr>
            <w:tcW w:w="4105" w:type="pct"/>
          </w:tcPr>
          <w:p w:rsidRPr="00A124AE" w:rsidR="00A124AE" w:rsidP="00BE1F8F" w:rsidRDefault="00A124AE" w14:paraId="4A1F3ECB" w14:textId="4482010E">
            <w:pPr>
              <w:overflowPunct w:val="0"/>
              <w:autoSpaceDE w:val="0"/>
              <w:autoSpaceDN w:val="0"/>
              <w:adjustRightInd w:val="0"/>
              <w:textAlignment w:val="baseline"/>
              <w:rPr>
                <w:i/>
              </w:rPr>
            </w:pPr>
            <w:r>
              <w:rPr>
                <w:i/>
              </w:rPr>
              <w:t>+32 25468378</w:t>
            </w:r>
          </w:p>
        </w:tc>
      </w:tr>
      <w:tr w:rsidRPr="00A124AE" w:rsidR="00A124AE" w:rsidTr="00713105" w14:paraId="2D7C493D" w14:textId="77777777">
        <w:tc>
          <w:tcPr>
            <w:tcW w:w="895" w:type="pct"/>
          </w:tcPr>
          <w:p w:rsidRPr="00A124AE" w:rsidR="00A124AE" w:rsidP="00BE1F8F" w:rsidRDefault="00A124AE" w14:paraId="6E440A2F" w14:textId="77777777">
            <w:pPr>
              <w:overflowPunct w:val="0"/>
              <w:autoSpaceDE w:val="0"/>
              <w:autoSpaceDN w:val="0"/>
              <w:adjustRightInd w:val="0"/>
              <w:textAlignment w:val="baseline"/>
              <w:rPr>
                <w:i/>
              </w:rPr>
            </w:pPr>
            <w:r>
              <w:rPr>
                <w:i/>
              </w:rPr>
              <w:t>E-mail</w:t>
            </w:r>
          </w:p>
        </w:tc>
        <w:tc>
          <w:tcPr>
            <w:tcW w:w="4105" w:type="pct"/>
          </w:tcPr>
          <w:p w:rsidRPr="00A124AE" w:rsidR="00A124AE" w:rsidP="00BE1F8F" w:rsidRDefault="00BD521E" w14:paraId="43479DC4" w14:textId="7E7AB516">
            <w:pPr>
              <w:overflowPunct w:val="0"/>
              <w:autoSpaceDE w:val="0"/>
              <w:autoSpaceDN w:val="0"/>
              <w:adjustRightInd w:val="0"/>
              <w:textAlignment w:val="baseline"/>
              <w:rPr>
                <w:i/>
                <w:iCs/>
              </w:rPr>
            </w:pPr>
            <w:hyperlink w:history="1" r:id="rId52">
              <w:r w:rsidR="00972E61">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750666" w:id="25"/>
      <w:bookmarkEnd w:id="22"/>
      <w:r>
        <w:rPr>
          <w:b/>
        </w:rPr>
        <w:t>LANDBOUW, PLATTELANDSONTWIKKELING EN MILIEU</w:t>
      </w:r>
      <w:bookmarkEnd w:id="23"/>
      <w:bookmarkEnd w:id="24"/>
      <w:bookmarkEnd w:id="25"/>
    </w:p>
    <w:p w:rsidRPr="00C77862" w:rsidR="007F5784" w:rsidP="00C77862" w:rsidRDefault="007F5784" w14:paraId="715DB2BD" w14:textId="6CA1C4B2">
      <w:pPr>
        <w:spacing w:line="240" w:lineRule="auto"/>
        <w:jc w:val="left"/>
        <w:rPr>
          <w:sz w:val="16"/>
          <w:szCs w:val="16"/>
        </w:rPr>
      </w:pPr>
    </w:p>
    <w:p w:rsidRPr="00C43D3E" w:rsidR="00DE2D96" w:rsidP="00C77862" w:rsidRDefault="00BD521E"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972E61">
          <w:rPr>
            <w:b/>
            <w:i/>
            <w:color w:val="0000FF"/>
            <w:sz w:val="28"/>
            <w:u w:val="single"/>
          </w:rPr>
          <w:t>Zorgen voor duurzame voedselproductie en een eerlijk inkomen voor Europese landbouwers in het licht van de markt-, milieu- en klimaatuitdagingen</w:t>
        </w:r>
      </w:hyperlink>
    </w:p>
    <w:p w:rsidRPr="0079405E" w:rsidR="00DE2D96" w:rsidP="00BE1F8F" w:rsidRDefault="00DE2D96" w14:paraId="14A2FD1A" w14:textId="77777777">
      <w:pPr>
        <w:tabs>
          <w:tab w:val="center" w:pos="284"/>
        </w:tabs>
        <w:overflowPunct w:val="0"/>
        <w:autoSpaceDE w:val="0"/>
        <w:autoSpaceDN w:val="0"/>
        <w:adjustRightInd w:val="0"/>
        <w:ind w:left="266" w:hanging="266"/>
        <w:textAlignment w:val="baseline"/>
        <w:rPr>
          <w:b/>
          <w:sz w:val="16"/>
          <w:szCs w:val="16"/>
          <w:lang w:val="en-GB"/>
        </w:rPr>
      </w:pPr>
    </w:p>
    <w:tbl>
      <w:tblPr>
        <w:tblW w:w="4845" w:type="pct"/>
        <w:tblLook w:val="04A0" w:firstRow="1" w:lastRow="0" w:firstColumn="1" w:lastColumn="0" w:noHBand="0" w:noVBand="1"/>
      </w:tblPr>
      <w:tblGrid>
        <w:gridCol w:w="2342"/>
        <w:gridCol w:w="6657"/>
      </w:tblGrid>
      <w:tr w:rsidRPr="0079405E" w:rsidR="00DE2D96" w:rsidTr="00A3780E" w14:paraId="518A9EA4" w14:textId="77777777">
        <w:tc>
          <w:tcPr>
            <w:tcW w:w="1130" w:type="pct"/>
          </w:tcPr>
          <w:p w:rsidRPr="0079405E" w:rsidR="00DE2D96" w:rsidP="00BE1F8F" w:rsidRDefault="00DE2D96" w14:paraId="4BD49780" w14:textId="77777777">
            <w:pPr>
              <w:tabs>
                <w:tab w:val="center" w:pos="284"/>
              </w:tabs>
              <w:overflowPunct w:val="0"/>
              <w:autoSpaceDE w:val="0"/>
              <w:autoSpaceDN w:val="0"/>
              <w:adjustRightInd w:val="0"/>
              <w:ind w:left="266" w:hanging="266"/>
              <w:textAlignment w:val="baseline"/>
              <w:rPr>
                <w:b/>
              </w:rPr>
            </w:pPr>
            <w:r>
              <w:rPr>
                <w:b/>
              </w:rPr>
              <w:t>Rapporteur</w:t>
            </w:r>
          </w:p>
        </w:tc>
        <w:tc>
          <w:tcPr>
            <w:tcW w:w="3870"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Arnold PUECH d’ALISSAC (groep Werkgevers – FR)</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r>
              <w:t>Piroska KÁLLAY (groep Werknemers – HU)</w:t>
            </w:r>
          </w:p>
          <w:p w:rsidRPr="0079405E" w:rsidR="00DE2D96" w:rsidP="00BE1F8F" w:rsidRDefault="00366FB1" w14:paraId="32325F9B" w14:textId="30D7031F">
            <w:pPr>
              <w:tabs>
                <w:tab w:val="center" w:pos="284"/>
              </w:tabs>
              <w:overflowPunct w:val="0"/>
              <w:autoSpaceDE w:val="0"/>
              <w:autoSpaceDN w:val="0"/>
              <w:adjustRightInd w:val="0"/>
              <w:ind w:left="266" w:hanging="266"/>
              <w:textAlignment w:val="baseline"/>
            </w:pPr>
            <w:r>
              <w:t>Joe HEALY (groep Maatschappelijke Organisaties – IE)</w:t>
            </w:r>
          </w:p>
        </w:tc>
      </w:tr>
      <w:tr w:rsidRPr="0079405E" w:rsidR="00DE2D96" w:rsidTr="00A3780E" w14:paraId="4B6FEDD4" w14:textId="77777777">
        <w:tc>
          <w:tcPr>
            <w:tcW w:w="1130" w:type="pct"/>
          </w:tcPr>
          <w:p w:rsidRPr="0079405E" w:rsidR="00DE2D96" w:rsidP="00BE1F8F" w:rsidRDefault="00DE2D96" w14:paraId="5A19339E" w14:textId="439F828B">
            <w:pPr>
              <w:tabs>
                <w:tab w:val="center" w:pos="284"/>
              </w:tabs>
              <w:overflowPunct w:val="0"/>
              <w:autoSpaceDE w:val="0"/>
              <w:autoSpaceDN w:val="0"/>
              <w:adjustRightInd w:val="0"/>
              <w:ind w:left="266" w:hanging="266"/>
              <w:textAlignment w:val="baseline"/>
              <w:rPr>
                <w:b/>
              </w:rPr>
            </w:pPr>
            <w:r>
              <w:rPr>
                <w:b/>
              </w:rPr>
              <w:t>Referentiedocumenten</w:t>
            </w:r>
          </w:p>
        </w:tc>
        <w:tc>
          <w:tcPr>
            <w:tcW w:w="3870" w:type="pct"/>
          </w:tcPr>
          <w:p w:rsidRPr="00D03AEC" w:rsidR="00366FB1" w:rsidP="00BE1F8F" w:rsidRDefault="00366FB1" w14:paraId="1D8B27BA" w14:textId="77777777">
            <w:pPr>
              <w:tabs>
                <w:tab w:val="center" w:pos="284"/>
              </w:tabs>
              <w:overflowPunct w:val="0"/>
              <w:autoSpaceDE w:val="0"/>
              <w:autoSpaceDN w:val="0"/>
              <w:adjustRightInd w:val="0"/>
              <w:ind w:left="266" w:right="-387" w:hanging="266"/>
              <w:textAlignment w:val="baseline"/>
            </w:pPr>
            <w:r>
              <w:t>Verkennend advies op verzoek van het Poolse voorzitterschap van de Raad van de EU</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C77862"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Hoofdpunten</w:t>
      </w:r>
    </w:p>
    <w:p w:rsidRPr="0079405E"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DE2D96" w:rsidP="00BE1F8F" w:rsidRDefault="00DE2D96" w14:paraId="6B40E191" w14:textId="77777777">
      <w:pPr>
        <w:widowControl w:val="0"/>
        <w:overflowPunct w:val="0"/>
        <w:autoSpaceDE w:val="0"/>
        <w:autoSpaceDN w:val="0"/>
        <w:adjustRightInd w:val="0"/>
        <w:textAlignment w:val="baseline"/>
        <w:rPr>
          <w:bCs/>
          <w:iCs/>
        </w:rPr>
      </w:pPr>
      <w:r>
        <w:t>Het EESC:</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stelt voor instrumenten voor de korte en de lange termijn te ontwikkelen en toe te passen om het inkomen van landbouwers te ondersteunen in tijden van crisis, zowel in het kader van het GLB als daarbuiten, zoals:</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verzekeringsregelingen ter dekking van klimaat- en milieurampen</w:t>
      </w:r>
      <w:r>
        <w:t xml:space="preserve">: uitwerken van een model van publiek-private partnerschappen en herziening van de berekening van referentieopbrengsten;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verzekeringsregelingen ter dekking van spanningen op de markt</w:t>
      </w:r>
      <w:r>
        <w:t>: onderzoek doen naar de ontwikkeling van innovatieve hefbomen, zoals een parametrische verzekering, en opname van anticyclische elementen in de GLB-instrumenten na 2027 om te reageren op de druk van de markten;</w:t>
      </w:r>
    </w:p>
    <w:p w:rsidRPr="0079405E" w:rsidR="00DE2D96" w:rsidP="00713105" w:rsidRDefault="00DE2D96" w14:paraId="4439B4AA"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instrumenten voor risico- en crisisbeheersing</w:t>
      </w:r>
      <w:r>
        <w:t>: de GLB-begroting in het volgende meerjarig financieel kader (MFK) weer op 0,5 % van het bbp van de EU brengen; ervoor zorgen dat de lidstaten meer en beter gebruikmaken van de mogelijkheid om tot 3 % van de aan een landbouwer te betalen rechtstreekse betalingen toe te wijzen aan de bijdrage van de landbouwer aan een risicobeheersinstrument; op EU-niveau de crisisreserve voor de landbouw te herschikken en aanzienlijk te verhogen; ontwikkeling door de lidstaten van nationale onderlinge landbouwfondsen voor gezondheids- en milieurisico’s;</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financiële instrumenten van het GLB en banken</w:t>
      </w:r>
      <w:r>
        <w:t>: de investeringscapaciteit van landbouwers ondersteunen met eenvoudige, niet bureaucratische financiële instrumenten, zoals financiële producten die worden aangeboden door banken (proefleningen, renteloze leningen, leningen voor de installatie van landbouwbedrijven);</w:t>
      </w:r>
    </w:p>
    <w:p w:rsidRPr="0079405E" w:rsidR="00DE2D96" w:rsidP="00713105" w:rsidRDefault="00DE2D96" w14:paraId="1F801B29"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instrumenten om het inkomen van landbouwers veilig te stellen en hun onderhandelingspositie te verbeteren</w:t>
      </w:r>
      <w:r>
        <w:t>: overwegen om de richtlijn oneerlijke handelspraktijken uit te breiden door ook kopers te verbieden onder de kostprijs te kopen, maar pas nadat de gevolgen van dit verbod voor alle exploitanten in de voedselketen zorgvuldig zijn bestudeerd; ontwikkelen van een nieuw EU-beleid om landbouwers in staat te stellen collectief te onderhandelen over prijzen, en een verhoging van de steun voor coöperaties en producentenorganisaties; de rechtstreekse betalingen in het volgende GLB beschermen, bevorderen en beter afstemmen op actieve landbouwers; invoering van een duurzaamheidsbijdrage voor de transitie; zorgen voor koolstofefficiënte voedselproductiesystemen; de gelijkwaardigheid van normen op het gebied van voedselproductie waarborgen in alle handelsovereenkomsten;</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beveelt aan sectorspecifieke participatieve governance verder te bevorderen en de sociale dialoog in de agrovoedingssector te versterken;</w:t>
      </w:r>
    </w:p>
    <w:p w:rsidRPr="0079405E" w:rsidR="00DE2D96" w:rsidP="00713105" w:rsidRDefault="00DE2D96" w14:paraId="35CC080A" w14:textId="77777777">
      <w:pPr>
        <w:widowControl w:val="0"/>
        <w:numPr>
          <w:ilvl w:val="0"/>
          <w:numId w:val="35"/>
        </w:numPr>
        <w:overflowPunct w:val="0"/>
        <w:autoSpaceDE w:val="0"/>
        <w:autoSpaceDN w:val="0"/>
        <w:adjustRightInd w:val="0"/>
        <w:ind w:left="567" w:hanging="567"/>
        <w:contextualSpacing/>
        <w:textAlignment w:val="baseline"/>
        <w:rPr>
          <w:bCs/>
          <w:iCs/>
        </w:rPr>
      </w:pPr>
      <w:r>
        <w:t>pleit voor landbouwonderzoek van hoge kwaliteit en investeringen in onderwijs;</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t>benadrukt dat het belangrijk is om in heel Europa een bloeiende landbouwproductie in stand te houden en wijst erop dat plattelandsontwikkeling een sterke doelstelling van het gemeenschappelijk landbouwbeleid moet blijven en dat hiervoor voldoende middelen moeten worden uitgetrokken.</w:t>
      </w:r>
    </w:p>
    <w:p w:rsidRPr="0079405E" w:rsidR="002A61F5" w:rsidP="00BE1F8F" w:rsidRDefault="002A61F5" w14:paraId="3C8AA267" w14:textId="77777777">
      <w:pPr>
        <w:widowControl w:val="0"/>
        <w:overflowPunct w:val="0"/>
        <w:autoSpaceDE w:val="0"/>
        <w:autoSpaceDN w:val="0"/>
        <w:adjustRightInd w:val="0"/>
        <w:ind w:left="709" w:hanging="425"/>
        <w:textAlignment w:val="baseline"/>
        <w:rPr>
          <w:sz w:val="16"/>
          <w:szCs w:val="16"/>
          <w:lang w:val="en-GB"/>
        </w:rPr>
      </w:pPr>
    </w:p>
    <w:tbl>
      <w:tblPr>
        <w:tblW w:w="4942" w:type="pct"/>
        <w:tblLook w:val="04A0" w:firstRow="1" w:lastRow="0" w:firstColumn="1" w:lastColumn="0" w:noHBand="0" w:noVBand="1"/>
      </w:tblPr>
      <w:tblGrid>
        <w:gridCol w:w="2032"/>
        <w:gridCol w:w="7147"/>
      </w:tblGrid>
      <w:tr w:rsidRPr="0079405E" w:rsidR="00DE2D96" w:rsidTr="00713105" w14:paraId="0E76CB38" w14:textId="77777777">
        <w:tc>
          <w:tcPr>
            <w:tcW w:w="1107" w:type="pct"/>
          </w:tcPr>
          <w:p w:rsidRPr="0079405E" w:rsidR="00DE2D96" w:rsidP="00BE1F8F" w:rsidRDefault="00DE2D96" w14:paraId="6151DC79" w14:textId="77777777">
            <w:pPr>
              <w:overflowPunct w:val="0"/>
              <w:autoSpaceDE w:val="0"/>
              <w:autoSpaceDN w:val="0"/>
              <w:adjustRightInd w:val="0"/>
              <w:textAlignment w:val="baseline"/>
              <w:rPr>
                <w:i/>
              </w:rPr>
            </w:pPr>
            <w:r>
              <w:rPr>
                <w:b/>
                <w:i/>
              </w:rPr>
              <w:t>Contactpersoon</w:t>
            </w:r>
          </w:p>
        </w:tc>
        <w:tc>
          <w:tcPr>
            <w:tcW w:w="3893" w:type="pct"/>
          </w:tcPr>
          <w:p w:rsidRPr="0079405E" w:rsidR="00DE2D96" w:rsidP="00BE1F8F" w:rsidRDefault="00DE2D96" w14:paraId="1C83FC67" w14:textId="58C849C6">
            <w:pPr>
              <w:overflowPunct w:val="0"/>
              <w:autoSpaceDE w:val="0"/>
              <w:autoSpaceDN w:val="0"/>
              <w:adjustRightInd w:val="0"/>
              <w:textAlignment w:val="baseline"/>
              <w:rPr>
                <w:i/>
              </w:rPr>
            </w:pPr>
            <w:r>
              <w:rPr>
                <w:i/>
              </w:rPr>
              <w:t>Myrto Kolyva</w:t>
            </w:r>
          </w:p>
        </w:tc>
      </w:tr>
      <w:tr w:rsidRPr="0079405E" w:rsidR="00DE2D96" w:rsidTr="00713105" w14:paraId="188EFACC" w14:textId="77777777">
        <w:tc>
          <w:tcPr>
            <w:tcW w:w="1107" w:type="pct"/>
          </w:tcPr>
          <w:p w:rsidRPr="0079405E" w:rsidR="00DE2D96" w:rsidP="00BE1F8F" w:rsidRDefault="00DE2D96" w14:paraId="7E5EE7F9" w14:textId="77777777">
            <w:pPr>
              <w:overflowPunct w:val="0"/>
              <w:autoSpaceDE w:val="0"/>
              <w:autoSpaceDN w:val="0"/>
              <w:adjustRightInd w:val="0"/>
              <w:textAlignment w:val="baseline"/>
              <w:rPr>
                <w:i/>
              </w:rPr>
            </w:pPr>
            <w:r>
              <w:rPr>
                <w:i/>
              </w:rPr>
              <w:t>Tel.</w:t>
            </w:r>
          </w:p>
        </w:tc>
        <w:tc>
          <w:tcPr>
            <w:tcW w:w="3893" w:type="pct"/>
          </w:tcPr>
          <w:p w:rsidRPr="0079405E" w:rsidR="00DE2D96" w:rsidP="00BE1F8F" w:rsidRDefault="00DE2D96" w14:paraId="19F64A59" w14:textId="77777777">
            <w:pPr>
              <w:overflowPunct w:val="0"/>
              <w:autoSpaceDE w:val="0"/>
              <w:autoSpaceDN w:val="0"/>
              <w:adjustRightInd w:val="0"/>
              <w:textAlignment w:val="baseline"/>
              <w:rPr>
                <w:i/>
              </w:rPr>
            </w:pPr>
            <w:r>
              <w:rPr>
                <w:i/>
              </w:rPr>
              <w:t>+32 25468718</w:t>
            </w:r>
          </w:p>
        </w:tc>
      </w:tr>
      <w:tr w:rsidRPr="0079405E" w:rsidR="00DE2D96" w:rsidTr="00713105" w14:paraId="1C6D3733" w14:textId="77777777">
        <w:tc>
          <w:tcPr>
            <w:tcW w:w="1107" w:type="pct"/>
          </w:tcPr>
          <w:p w:rsidRPr="0079405E" w:rsidR="00DE2D96" w:rsidP="00BE1F8F" w:rsidRDefault="00DE2D96" w14:paraId="40381C02" w14:textId="77777777">
            <w:pPr>
              <w:overflowPunct w:val="0"/>
              <w:autoSpaceDE w:val="0"/>
              <w:autoSpaceDN w:val="0"/>
              <w:adjustRightInd w:val="0"/>
              <w:textAlignment w:val="baseline"/>
              <w:rPr>
                <w:i/>
              </w:rPr>
            </w:pPr>
            <w:r>
              <w:rPr>
                <w:i/>
              </w:rPr>
              <w:t>E-mail</w:t>
            </w:r>
          </w:p>
        </w:tc>
        <w:tc>
          <w:tcPr>
            <w:tcW w:w="3893" w:type="pct"/>
          </w:tcPr>
          <w:p w:rsidRPr="0079405E" w:rsidR="00DE2D96" w:rsidP="00BE1F8F" w:rsidRDefault="00BD521E" w14:paraId="43973F89" w14:textId="77E8A581">
            <w:pPr>
              <w:overflowPunct w:val="0"/>
              <w:autoSpaceDE w:val="0"/>
              <w:autoSpaceDN w:val="0"/>
              <w:adjustRightInd w:val="0"/>
              <w:textAlignment w:val="baseline"/>
              <w:rPr>
                <w:color w:val="0000FF"/>
                <w:u w:val="single"/>
              </w:rPr>
            </w:pPr>
            <w:hyperlink w:history="1" r:id="rId54">
              <w:r w:rsidR="00972E61">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750667" w:id="26"/>
      <w:r>
        <w:rPr>
          <w:b/>
        </w:rPr>
        <w:t>ADVIESCOMMISSIE INDUSTRIËLE RECONVERSIE</w:t>
      </w:r>
      <w:bookmarkEnd w:id="26"/>
    </w:p>
    <w:p w:rsidR="003F4AD5" w:rsidP="00C77862" w:rsidRDefault="003F4AD5" w14:paraId="7C8ED9AD" w14:textId="77777777">
      <w:pPr>
        <w:spacing w:line="240" w:lineRule="auto"/>
      </w:pPr>
    </w:p>
    <w:p w:rsidRPr="00623E9E" w:rsidR="00623E9E" w:rsidP="00C77862" w:rsidRDefault="00BD521E"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972E61">
          <w:rPr>
            <w:b/>
            <w:i/>
            <w:color w:val="0000FF"/>
            <w:sz w:val="28"/>
            <w:u w:val="single"/>
            <w:shd w:val="clear" w:color="auto" w:fill="FEFEFE"/>
          </w:rPr>
          <w:t>Robotica en de metaverse: toepassing in de medische sector</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2342"/>
        <w:gridCol w:w="6945"/>
      </w:tblGrid>
      <w:tr w:rsidRPr="00623E9E" w:rsidR="00623E9E" w:rsidTr="00A3780E" w14:paraId="269248EA" w14:textId="77777777">
        <w:tc>
          <w:tcPr>
            <w:tcW w:w="1701"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623E9E" w:rsidR="00623E9E" w:rsidP="00BE1F8F" w:rsidRDefault="00623E9E" w14:paraId="266FB57D" w14:textId="2659163F">
            <w:pPr>
              <w:tabs>
                <w:tab w:val="center" w:pos="284"/>
              </w:tabs>
              <w:overflowPunct w:val="0"/>
              <w:autoSpaceDE w:val="0"/>
              <w:autoSpaceDN w:val="0"/>
              <w:adjustRightInd w:val="0"/>
              <w:ind w:left="266" w:hanging="266"/>
              <w:textAlignment w:val="baseline"/>
            </w:pPr>
            <w:r>
              <w:t>Martin BÖHME (groep Maatschappelijke Organisaties – DE)</w:t>
            </w:r>
          </w:p>
        </w:tc>
      </w:tr>
      <w:tr w:rsidRPr="00623E9E" w:rsidR="00623E9E" w:rsidTr="00A3780E" w14:paraId="361B26C2" w14:textId="77777777">
        <w:tc>
          <w:tcPr>
            <w:tcW w:w="1701"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Corapporteur</w:t>
            </w:r>
          </w:p>
        </w:tc>
        <w:tc>
          <w:tcPr>
            <w:tcW w:w="7479"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Hervé JEANNIN (categorie 2 – FR)</w:t>
            </w:r>
          </w:p>
        </w:tc>
      </w:tr>
      <w:tr w:rsidRPr="00623E9E" w:rsidR="00623E9E" w:rsidTr="00A3780E" w14:paraId="74813AA8" w14:textId="77777777">
        <w:tc>
          <w:tcPr>
            <w:tcW w:w="1701" w:type="dxa"/>
          </w:tcPr>
          <w:p w:rsidRPr="00623E9E" w:rsidR="00623E9E" w:rsidP="00BE1F8F" w:rsidRDefault="00623E9E" w14:paraId="1103D901" w14:textId="719ACEE8">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Initiatiefadvies</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Hoofdpunten</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Het EESC:</w:t>
      </w:r>
    </w:p>
    <w:p w:rsidRPr="004C2B61" w:rsidR="00623E9E" w:rsidP="00713105" w:rsidRDefault="00623E9E" w14:paraId="4E329840" w14:textId="77777777">
      <w:pPr>
        <w:pStyle w:val="ListParagraph"/>
        <w:numPr>
          <w:ilvl w:val="0"/>
          <w:numId w:val="43"/>
        </w:numPr>
        <w:ind w:left="567" w:hanging="567"/>
      </w:pPr>
      <w:bookmarkStart w:name="_Toc191974019" w:id="27"/>
      <w:r>
        <w:t xml:space="preserve">beveelt aan om een </w:t>
      </w:r>
      <w:r>
        <w:rPr>
          <w:b/>
        </w:rPr>
        <w:t>alomvattend regelgevingskader</w:t>
      </w:r>
      <w:r>
        <w:t xml:space="preserve"> voor robotica en de metaverse in de gezondheidszorg te </w:t>
      </w:r>
      <w:r>
        <w:rPr>
          <w:b/>
        </w:rPr>
        <w:t>ontwikkelen</w:t>
      </w:r>
      <w:r>
        <w:t>;</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herinnert eraan dat het belangrijk is</w:t>
      </w:r>
      <w:r>
        <w:rPr>
          <w:b/>
        </w:rPr>
        <w:t xml:space="preserve"> ethische normen en protocollen voor de toestemming van patiënten te bevorderen</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dringt aan op </w:t>
      </w:r>
      <w:r>
        <w:rPr>
          <w:b/>
        </w:rPr>
        <w:t>investeringen in digitale infrastructuur om gelijke toegang te waarborgen</w:t>
      </w:r>
      <w:r>
        <w:t xml:space="preserve">. Investeren in digitale infrastructuur is vooral belangrijk in </w:t>
      </w:r>
      <w:r>
        <w:rPr>
          <w:b/>
        </w:rPr>
        <w:t>plattelandsgebieden en achtergestelde gebieden</w:t>
      </w:r>
      <w:r>
        <w:t xml:space="preserve"> om een digitale kloof te voorkomen. De EU moet prioriteit geven aan de uitrol van 5G- en 6G-netwerken om de veilige en betrouwbare werking van robotica en metaversetechnologieën te ondersteunen. Het is van groot belang dat alle lidstaten gelijke toegang hebben tot deze vooruitgang in de gezondheidszorg;</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pleit ervoor om </w:t>
      </w:r>
      <w:r>
        <w:rPr>
          <w:b/>
        </w:rPr>
        <w:t>zorgverleners beter te ondersteunen met bijscholing en opleidingen</w:t>
      </w:r>
      <w:r>
        <w:t>. De EU moet onderwijs- en opleidingsprogramma’s financieren en promoten die medische professionals voorbereiden op de invoering van robotica en metaversetechnologieën;</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vindt dat</w:t>
      </w:r>
      <w:r>
        <w:rPr>
          <w:b/>
        </w:rPr>
        <w:t xml:space="preserve"> innovatie moet worden gestimuleerd door middel van een gerichte investeringsstrategie van de EU</w:t>
      </w:r>
      <w:r>
        <w:t>. Het beveelt ten zeerste aan dat de EU een dergelijke strategie ontwikkelt, met name ter ondersteuning van kleine en middelgrote ondernemingen (kmo’s) die werken aan oplossingen voor de gezondheidszorg met behulp van robotica en de metaverse;</w:t>
      </w:r>
      <w:bookmarkEnd w:id="31"/>
    </w:p>
    <w:p w:rsidRPr="004C2B61" w:rsidR="00623E9E" w:rsidP="00713105" w:rsidRDefault="00623E9E" w14:paraId="5166FC72" w14:textId="77777777">
      <w:pPr>
        <w:pStyle w:val="ListParagraph"/>
        <w:numPr>
          <w:ilvl w:val="0"/>
          <w:numId w:val="43"/>
        </w:numPr>
        <w:ind w:left="567" w:hanging="567"/>
      </w:pPr>
      <w:bookmarkStart w:name="_Toc191974024" w:id="32"/>
      <w:r>
        <w:t xml:space="preserve">benadrukt dat er </w:t>
      </w:r>
      <w:r>
        <w:rPr>
          <w:b/>
        </w:rPr>
        <w:t>doeltreffende voorzorgsmaatregelen</w:t>
      </w:r>
      <w:r>
        <w:t xml:space="preserve"> moeten worden genomen op het gebied van </w:t>
      </w:r>
      <w:r>
        <w:rPr>
          <w:b/>
        </w:rPr>
        <w:t>gegevensbescherming en cyberveiligheid</w:t>
      </w:r>
      <w:r>
        <w:t>. Het roept de EU op om strenge regels inzake gegevensbescherming en cyberveiligheid in te voeren teneinde gevoelige gezondheidsgegevens te beschermen en zich te wapenen tegen cyberaanvallen. Dit houdt ook in dat de verbindingen tussen robotica, de metaverse en human interface devices moeten worden beveiligd. Ook moet de soevereiniteit op het gebied van gegevens en de naleving van de gegevensregels in de verschillende rechtsstelsels worden geregeld om de rechten van patiënten te beschermen en het vertrouwen in grensoverschrijdende gezondheidsdiensten te waarborgen.</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1647"/>
        <w:gridCol w:w="5670"/>
      </w:tblGrid>
      <w:tr w:rsidRPr="00623E9E" w:rsidR="00623E9E" w:rsidTr="00A3780E" w14:paraId="5AA87467" w14:textId="77777777">
        <w:tc>
          <w:tcPr>
            <w:tcW w:w="1418" w:type="dxa"/>
          </w:tcPr>
          <w:p w:rsidRPr="00623E9E" w:rsidR="00623E9E" w:rsidP="00BE1F8F" w:rsidRDefault="00623E9E" w14:paraId="565BF265" w14:textId="77777777">
            <w:pPr>
              <w:keepNext/>
              <w:keepLines/>
              <w:overflowPunct w:val="0"/>
              <w:autoSpaceDE w:val="0"/>
              <w:autoSpaceDN w:val="0"/>
              <w:adjustRightInd w:val="0"/>
              <w:textAlignment w:val="baseline"/>
              <w:rPr>
                <w:i/>
              </w:rPr>
            </w:pPr>
            <w:r>
              <w:rPr>
                <w:b/>
                <w:i/>
              </w:rPr>
              <w:t>Contactpersoon</w:t>
            </w:r>
          </w:p>
        </w:tc>
        <w:tc>
          <w:tcPr>
            <w:tcW w:w="5670"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Marie-Laurence Drillon</w:t>
            </w:r>
          </w:p>
        </w:tc>
      </w:tr>
      <w:tr w:rsidRPr="00623E9E" w:rsidR="00623E9E" w:rsidTr="00A3780E" w14:paraId="1831ADE5" w14:textId="77777777">
        <w:tc>
          <w:tcPr>
            <w:tcW w:w="1418" w:type="dxa"/>
          </w:tcPr>
          <w:p w:rsidRPr="00623E9E" w:rsidR="00623E9E" w:rsidP="00BE1F8F" w:rsidRDefault="00623E9E" w14:paraId="0B867EF2" w14:textId="77777777">
            <w:pPr>
              <w:keepNext/>
              <w:keepLines/>
              <w:overflowPunct w:val="0"/>
              <w:autoSpaceDE w:val="0"/>
              <w:autoSpaceDN w:val="0"/>
              <w:adjustRightInd w:val="0"/>
              <w:textAlignment w:val="baseline"/>
              <w:rPr>
                <w:i/>
              </w:rPr>
            </w:pPr>
            <w:r>
              <w:rPr>
                <w:i/>
              </w:rPr>
              <w:t>Tel.</w:t>
            </w:r>
          </w:p>
        </w:tc>
        <w:tc>
          <w:tcPr>
            <w:tcW w:w="5670"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+32 2 546 8320</w:t>
            </w:r>
          </w:p>
        </w:tc>
      </w:tr>
      <w:tr w:rsidRPr="00623E9E" w:rsidR="00623E9E" w:rsidTr="00A3780E" w14:paraId="042D4108" w14:textId="77777777">
        <w:tc>
          <w:tcPr>
            <w:tcW w:w="1418" w:type="dxa"/>
          </w:tcPr>
          <w:p w:rsidRPr="00623E9E" w:rsidR="00623E9E" w:rsidP="00BE1F8F" w:rsidRDefault="00752F62" w14:paraId="44E8DDBE" w14:textId="17714177">
            <w:pPr>
              <w:overflowPunct w:val="0"/>
              <w:autoSpaceDE w:val="0"/>
              <w:autoSpaceDN w:val="0"/>
              <w:adjustRightInd w:val="0"/>
              <w:textAlignment w:val="baseline"/>
              <w:rPr>
                <w:i/>
              </w:rPr>
            </w:pPr>
            <w:r>
              <w:rPr>
                <w:i/>
              </w:rPr>
              <w:t>E-mail</w:t>
            </w:r>
          </w:p>
        </w:tc>
        <w:tc>
          <w:tcPr>
            <w:tcW w:w="5670" w:type="dxa"/>
          </w:tcPr>
          <w:p w:rsidRPr="00623E9E" w:rsidR="00623E9E" w:rsidP="00BE1F8F" w:rsidRDefault="00BD521E" w14:paraId="348F9AAA" w14:textId="77777777">
            <w:pPr>
              <w:overflowPunct w:val="0"/>
              <w:autoSpaceDE w:val="0"/>
              <w:autoSpaceDN w:val="0"/>
              <w:adjustRightInd w:val="0"/>
              <w:textAlignment w:val="baseline"/>
              <w:rPr>
                <w:i/>
              </w:rPr>
            </w:pPr>
            <w:hyperlink w:history="1" r:id="rId56">
              <w:r w:rsidR="00972E61">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39BE" w14:textId="77777777" w:rsidR="00972E61" w:rsidRDefault="0097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rsidR="008171FA">
      <w:t>1</w:t>
    </w:r>
    <w:r>
      <w:fldChar w:fldCharType="end"/>
    </w:r>
    <w:r>
      <w:t>/</w:t>
    </w:r>
    <w:r w:rsidR="00BD521E">
      <w:fldChar w:fldCharType="begin"/>
    </w:r>
    <w:r w:rsidR="00BD521E">
      <w:instrText xml:space="preserve"> NUMPAGES </w:instrText>
    </w:r>
    <w:r w:rsidR="00BD521E">
      <w:fldChar w:fldCharType="separate"/>
    </w:r>
    <w:r w:rsidR="008171FA">
      <w:t>1</w:t>
    </w:r>
    <w:r w:rsidR="00BD52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DFEA" w14:textId="77777777" w:rsidR="00972E61" w:rsidRDefault="00972E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t>2</w:t>
    </w:r>
    <w:r>
      <w:fldChar w:fldCharType="end"/>
    </w:r>
    <w:r>
      <w:t>/</w:t>
    </w:r>
    <w:r w:rsidR="00BD521E">
      <w:fldChar w:fldCharType="begin"/>
    </w:r>
    <w:r w:rsidR="00BD521E">
      <w:instrText xml:space="preserve"> NUMPAGES </w:instrText>
    </w:r>
    <w:r w:rsidR="00BD521E">
      <w:fldChar w:fldCharType="separate"/>
    </w:r>
    <w:r>
      <w:t>9</w:t>
    </w:r>
    <w:r w:rsidR="00BD521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84C" w14:textId="77777777" w:rsidR="00972E61" w:rsidRDefault="0097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361D" w14:textId="77777777" w:rsidR="00972E61" w:rsidRDefault="0097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0097" w14:textId="77777777" w:rsidR="00972E61" w:rsidRDefault="00972E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5F5A"/>
    <w:rsid w:val="001826A4"/>
    <w:rsid w:val="0018354A"/>
    <w:rsid w:val="001900C9"/>
    <w:rsid w:val="00195DF6"/>
    <w:rsid w:val="001C0AB9"/>
    <w:rsid w:val="001C4BA5"/>
    <w:rsid w:val="001C5762"/>
    <w:rsid w:val="001E391D"/>
    <w:rsid w:val="0020320E"/>
    <w:rsid w:val="00204020"/>
    <w:rsid w:val="00217685"/>
    <w:rsid w:val="00225BB6"/>
    <w:rsid w:val="00227559"/>
    <w:rsid w:val="00232656"/>
    <w:rsid w:val="00247F8B"/>
    <w:rsid w:val="002538AC"/>
    <w:rsid w:val="00264FC2"/>
    <w:rsid w:val="0027707F"/>
    <w:rsid w:val="00293191"/>
    <w:rsid w:val="002A5636"/>
    <w:rsid w:val="002A61F5"/>
    <w:rsid w:val="002B7981"/>
    <w:rsid w:val="002E05A2"/>
    <w:rsid w:val="00302537"/>
    <w:rsid w:val="003066BE"/>
    <w:rsid w:val="00321FDD"/>
    <w:rsid w:val="003227CC"/>
    <w:rsid w:val="003232BE"/>
    <w:rsid w:val="00343F74"/>
    <w:rsid w:val="003442FB"/>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3508"/>
    <w:rsid w:val="004E411F"/>
    <w:rsid w:val="004F23ED"/>
    <w:rsid w:val="004F2989"/>
    <w:rsid w:val="0052107B"/>
    <w:rsid w:val="005234CD"/>
    <w:rsid w:val="00532089"/>
    <w:rsid w:val="005404CB"/>
    <w:rsid w:val="005820A0"/>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41262"/>
    <w:rsid w:val="00652335"/>
    <w:rsid w:val="0067428C"/>
    <w:rsid w:val="006825FC"/>
    <w:rsid w:val="00691BA5"/>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48E4"/>
    <w:rsid w:val="00752F62"/>
    <w:rsid w:val="00754027"/>
    <w:rsid w:val="007554BE"/>
    <w:rsid w:val="00766B1A"/>
    <w:rsid w:val="00770B4A"/>
    <w:rsid w:val="00773E8D"/>
    <w:rsid w:val="00777195"/>
    <w:rsid w:val="0079405E"/>
    <w:rsid w:val="00795836"/>
    <w:rsid w:val="007A0964"/>
    <w:rsid w:val="007A0BE6"/>
    <w:rsid w:val="007B1DCA"/>
    <w:rsid w:val="007C1ABC"/>
    <w:rsid w:val="007D30C1"/>
    <w:rsid w:val="007F5784"/>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B5FC5"/>
    <w:rsid w:val="008B7F9B"/>
    <w:rsid w:val="008C5361"/>
    <w:rsid w:val="008C7452"/>
    <w:rsid w:val="008D0303"/>
    <w:rsid w:val="008D05C8"/>
    <w:rsid w:val="008D44E2"/>
    <w:rsid w:val="0090254F"/>
    <w:rsid w:val="00904A22"/>
    <w:rsid w:val="00910C90"/>
    <w:rsid w:val="009144BA"/>
    <w:rsid w:val="00941874"/>
    <w:rsid w:val="0094356F"/>
    <w:rsid w:val="00945147"/>
    <w:rsid w:val="00972E61"/>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C7540"/>
    <w:rsid w:val="00AD28C9"/>
    <w:rsid w:val="00AE0425"/>
    <w:rsid w:val="00AE5791"/>
    <w:rsid w:val="00AF6DC1"/>
    <w:rsid w:val="00AF7CA7"/>
    <w:rsid w:val="00B11B7E"/>
    <w:rsid w:val="00B16AE4"/>
    <w:rsid w:val="00B203DA"/>
    <w:rsid w:val="00B21DC6"/>
    <w:rsid w:val="00B227BF"/>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521E"/>
    <w:rsid w:val="00BD6AD8"/>
    <w:rsid w:val="00BE1F8F"/>
    <w:rsid w:val="00BE37B5"/>
    <w:rsid w:val="00BE54B3"/>
    <w:rsid w:val="00C008B4"/>
    <w:rsid w:val="00C05074"/>
    <w:rsid w:val="00C17ABD"/>
    <w:rsid w:val="00C26C67"/>
    <w:rsid w:val="00C3059A"/>
    <w:rsid w:val="00C4084F"/>
    <w:rsid w:val="00C417FE"/>
    <w:rsid w:val="00C43D3E"/>
    <w:rsid w:val="00C52092"/>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E176A"/>
    <w:rsid w:val="00DE2D96"/>
    <w:rsid w:val="00DE7710"/>
    <w:rsid w:val="00DF0344"/>
    <w:rsid w:val="00DF3CEF"/>
    <w:rsid w:val="00E00A6B"/>
    <w:rsid w:val="00E13806"/>
    <w:rsid w:val="00E14D8E"/>
    <w:rsid w:val="00E16E3C"/>
    <w:rsid w:val="00E348EA"/>
    <w:rsid w:val="00E44ADA"/>
    <w:rsid w:val="00E55DDF"/>
    <w:rsid w:val="00E57BB9"/>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70422"/>
    <w:rsid w:val="00F83C17"/>
    <w:rsid w:val="00F84774"/>
    <w:rsid w:val="00F93648"/>
    <w:rsid w:val="00F96D7F"/>
    <w:rsid w:val="00FA33C4"/>
    <w:rsid w:val="00FA4B28"/>
    <w:rsid w:val="00FA7642"/>
    <w:rsid w:val="00FA7854"/>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nl/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nl/initiatives/eu-youth-test-eesc" TargetMode="External"/><Relationship Id="rId21" Type="http://schemas.openxmlformats.org/officeDocument/2006/relationships/hyperlink" Target="https://www.eesc.europa.eu/nl/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nl/our-work/opinions-information-reports/opinions/assessment-letta-and-draghi-reports-functioning-and-competitiveness-eus-single-market" TargetMode="External"/><Relationship Id="rId47" Type="http://schemas.openxmlformats.org/officeDocument/2006/relationships/hyperlink" Target="https://www.eesc.europa.eu/nl/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nl/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nl/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nl/our-work/opinions-information-reports/opinions/competitiveness-eus-small-and-medium-sized-enterprises-light-new-administrative-burdensobligations-eg-relating-non" TargetMode="External"/><Relationship Id="rId53" Type="http://schemas.openxmlformats.org/officeDocument/2006/relationships/hyperlink" Target="https://www.eesc.europa.eu/nl/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nl/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nl/our-work/opinions-information-reports/opinions/tourism-eu-social-sustainability-driver-long-term-competitiveness-sector"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nl/our-work/opinions-information-reports/opinions/defence-funding-eu" TargetMode="External"/><Relationship Id="rId33" Type="http://schemas.openxmlformats.org/officeDocument/2006/relationships/hyperlink" Target="https://www.eesc.europa.eu/nl/our-work/opinions-information-reports/opinions/eesc-contribution-eus-priorities-uncsw69" TargetMode="External"/><Relationship Id="rId38" Type="http://schemas.openxmlformats.org/officeDocument/2006/relationships/hyperlink" Target="https://www.eesc.europa.eu/nl/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nl/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nl/our-work/opinions-information-reports/opinions/physical-completion-eus-internal-market-new-geopolitical-situation" TargetMode="External"/><Relationship Id="rId49" Type="http://schemas.openxmlformats.org/officeDocument/2006/relationships/hyperlink" Target="https://www.eesc.europa.eu/nl/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nl/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A6WAAD5KZT2Q-604569563-4676</_dlc_DocId>
    <_dlc_DocIdUrl xmlns="1a33af13-4045-4f88-9d7b-618e30f79918">
      <Url>http://dm/eesc/2025/_layouts/15/DocIdRedir.aspx?ID=A6WAAD5KZT2Q-604569563-4676</Url>
      <Description>A6WAAD5KZT2Q-604569563-4676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2025-03-13T12:00:00+00:00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Wagter Helena</DisplayName>
        <AccountId>1548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B31F5957-9A7F-426F-8108-8FE26A0023B4}"/>
</file>

<file path=customXml/itemProps2.xml><?xml version="1.0" encoding="utf-8"?>
<ds:datastoreItem xmlns:ds="http://schemas.openxmlformats.org/officeDocument/2006/customXml" ds:itemID="{BC3E015B-7E01-4ED2-AB55-F502FA44FCC5}"/>
</file>

<file path=customXml/itemProps3.xml><?xml version="1.0" encoding="utf-8"?>
<ds:datastoreItem xmlns:ds="http://schemas.openxmlformats.org/officeDocument/2006/customXml" ds:itemID="{40549218-163C-40E4-A530-7EDDCA3E7BDA}"/>
</file>

<file path=customXml/itemProps4.xml><?xml version="1.0" encoding="utf-8"?>
<ds:datastoreItem xmlns:ds="http://schemas.openxmlformats.org/officeDocument/2006/customXml" ds:itemID="{931DC61F-C345-437B-9F36-08A54EEC8CB6}"/>
</file>

<file path=docProps/app.xml><?xml version="1.0" encoding="utf-8"?>
<Properties xmlns="http://schemas.openxmlformats.org/officeDocument/2006/extended-properties" xmlns:vt="http://schemas.openxmlformats.org/officeDocument/2006/docPropsVTypes">
  <Template>Normal</Template>
  <TotalTime>6</TotalTime>
  <Pages>3</Pages>
  <Words>7617</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adviezen - 594e zitting - februari 2025</dc:title>
  <dc:subject>TCD</dc:subject>
  <dc:creator>Nieddu Emma</dc:creator>
  <cp:keywords>EESC-2025-00345-00-01-TCD-TRA-EN</cp:keywords>
  <dc:description>Rapporteur:  - Original language: EN - Date of document: 13-03-2025 - Date of meeting: 30-26-2025 14:30 - External documents:  - Administrator: MME TAMASAUSKIENE Julija</dc:description>
  <cp:lastModifiedBy>Wagter Helena</cp:lastModifiedBy>
  <cp:revision>7</cp:revision>
  <dcterms:created xsi:type="dcterms:W3CDTF">2025-03-12T09:56:00Z</dcterms:created>
  <dcterms:modified xsi:type="dcterms:W3CDTF">2025-03-13T08:34:00Z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205cc722-6048-4a9f-ba2c-491e6b002ea9</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IT|0774613c-01ed-4e5d-a25d-11d2388de825;HR|2f555653-ed1a-4fe6-8362-9082d95989e5;ES|e7a6b05b-ae16-40c8-add9-68b64b03aeba;SK|46d9fce0-ef79-4f71-b89b-cd6aa82426b8;EN|f2175f21-25d7-44a3-96da-d6a61b075e1b;LV|46f7e311-5d9f-4663-b433-18aeccb7ace7;FR|d2afafd3-4c81-4f60-8f52-ee33f2f54ff3;FI|87606a43-d45f-42d6-b8c9-e1a3457db5b7;SL|98a412ae-eb01-49e9-ae3d-585a81724cfc;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13;#TRA|150d2a88-1431-44e6-a8ca-0bb753ab8672;#67;#SPL-CES|32d8cb1f-c9ec-4365-95c7-8385a18618ac;#31;#SL|98a412ae-eb01-49e9-ae3d-585a81724cfc;#28;#SV|c2ed69e7-a339-43d7-8f22-d93680a92aa0;#19;#TCD|cd9d6eb6-3f4f-424a-b2d1-57c9d450eaaf;#16;#ES|e7a6b05b-ae16-40c8-add9-68b64b03aeba;#15;#Unrestricted|826e22d7-d029-4ec0-a450-0c28ff673572;#50;#HR|2f555653-ed1a-4fe6-8362-9082d95989e5;#12;#FR|d2afafd3-4c81-4f60-8f52-ee33f2f54ff3;#46;#SK|46d9fce0-ef79-4f71-b89b-cd6aa82426b8;#8;#Final|ea5e6674-7b27-4bac-b091-73adbb394efe;#5;#EN|f2175f21-25d7-44a3-96da-d6a61b075e1b;#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27;#NL|55c6556c-b4f4-441d-9acf-c498d4f838bd</vt:lpwstr>
  </property>
</Properties>
</file>