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AC0" w:rsidP="00BE1F8F" w:rsidRDefault="001B5116" w14:paraId="4982DD4D" w14:textId="5BFBD4EC">
      <w:pPr>
        <w:jc w:val="center"/>
      </w:pPr>
      <w:r>
        <w:rPr>
          <w:noProof/>
        </w:rPr>
        <w:drawing>
          <wp:inline distT="0" distB="0" distL="0" distR="0" wp14:anchorId="129D4243" wp14:editId="12D04BE2">
            <wp:extent cx="1792605" cy="1239520"/>
            <wp:effectExtent l="0" t="0" r="0" b="0"/>
            <wp:docPr id="1" name="Picture 1" title="EESCLogo_H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H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672447EF" wp14:anchorId="4B97899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8354A" w:rsidRDefault="0018354A" w14:paraId="40261324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978990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18354A" w:rsidRDefault="0018354A" w14:paraId="40261324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7AC0" w:rsidP="00BE1F8F" w:rsidRDefault="004D7AC0" w14:paraId="4982DD4E" w14:textId="77777777"/>
    <w:p w:rsidR="004D7AC0" w:rsidP="00BE1F8F" w:rsidRDefault="004D7AC0" w14:paraId="4982DD4F" w14:textId="6D24C8E5">
      <w:pPr>
        <w:jc w:val="right"/>
      </w:pPr>
      <w:r>
        <w:t>Brüsszel, 2025. március 14.</w:t>
      </w:r>
    </w:p>
    <w:p w:rsidR="004D7AC0" w:rsidP="00BE1F8F" w:rsidRDefault="004D7AC0" w14:paraId="4982DD50" w14:textId="77777777"/>
    <w:p w:rsidR="004D7AC0" w:rsidP="00BE1F8F" w:rsidRDefault="004D7AC0" w14:paraId="4982DD51" w14:textId="77777777"/>
    <w:p w:rsidR="004D7AC0" w:rsidP="00BE1F8F" w:rsidRDefault="004D7AC0" w14:paraId="4982DD52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:rsidTr="00600C84" w14:paraId="4982DD59" w14:textId="77777777">
        <w:tc>
          <w:tcPr>
            <w:tcW w:w="9289" w:type="dxa"/>
            <w:tcBorders>
              <w:bottom w:val="double" w:color="auto" w:sz="4" w:space="0"/>
            </w:tcBorders>
          </w:tcPr>
          <w:p w:rsidR="003066BE" w:rsidP="00BE1F8F" w:rsidRDefault="006C6ECE" w14:paraId="4982DD53" w14:textId="527E055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594. PLENÁRIS ÜLÉSSZAK</w:t>
            </w:r>
          </w:p>
          <w:p w:rsidR="003066BE" w:rsidP="00BE1F8F" w:rsidRDefault="003066BE" w14:paraId="4982DD54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066BE" w:rsidP="00BE1F8F" w:rsidRDefault="00850929" w14:paraId="4982DD55" w14:textId="094CA4B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2025. február 26–27.</w:t>
            </w:r>
          </w:p>
          <w:p w:rsidR="003066BE" w:rsidP="00BE1F8F" w:rsidRDefault="003066BE" w14:paraId="4982DD56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Pr="0081153B" w:rsidR="004D7AC0" w:rsidP="00BE1F8F" w:rsidRDefault="00754027" w14:paraId="4982DD57" w14:textId="5A35E792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AZ ELFOGADOTT VÉLEMÉNYEK, ÁLLÁSFOGLALÁSOK ÉS TÁJÉKOZTATÓ/ÉRTÉKELŐ JELENTÉSEK ÖSSZEFOGLALÁSA</w:t>
            </w:r>
          </w:p>
          <w:p w:rsidR="004D7AC0" w:rsidP="00BE1F8F" w:rsidRDefault="004D7AC0" w14:paraId="4982DD58" w14:textId="77777777">
            <w:pPr>
              <w:snapToGrid w:val="0"/>
            </w:pPr>
          </w:p>
        </w:tc>
      </w:tr>
      <w:tr w:rsidR="004D7AC0" w:rsidTr="00600C84" w14:paraId="4982DD5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726351" w:rsidP="00BE1F8F" w:rsidRDefault="004D7AC0" w14:paraId="05F5C867" w14:textId="77777777">
            <w:pPr>
              <w:snapToGrid w:val="0"/>
              <w:jc w:val="center"/>
            </w:pPr>
            <w:r>
              <w:t>Ez a dokumentum az Európai Unió valamennyi hivatalos nyelvén elérhető az EGSZB honlapján:</w:t>
            </w:r>
          </w:p>
          <w:p w:rsidR="00726351" w:rsidP="00BE1F8F" w:rsidRDefault="00726351" w14:paraId="65F2BC50" w14:textId="77777777">
            <w:pPr>
              <w:snapToGrid w:val="0"/>
              <w:jc w:val="center"/>
            </w:pPr>
          </w:p>
          <w:p w:rsidRPr="0081153B" w:rsidR="004D7AC0" w:rsidP="00BE1F8F" w:rsidRDefault="00377488" w14:paraId="4982DD5A" w14:textId="4DF10D40">
            <w:pPr>
              <w:snapToGrid w:val="0"/>
              <w:jc w:val="center"/>
            </w:pPr>
            <w:hyperlink w:history="1" r:id="rId13">
              <w:r w:rsidR="001B5116">
                <w:rPr>
                  <w:rStyle w:val="Hyperlink"/>
                </w:rPr>
                <w:t>https://www.eesc.europa.eu/hu/our-work/opinions-information-reports/plenary-session-summaries</w:t>
              </w:r>
            </w:hyperlink>
          </w:p>
          <w:p w:rsidRPr="0081153B" w:rsidR="004D7AC0" w:rsidP="00BE1F8F" w:rsidRDefault="004D7AC0" w14:paraId="4982DD5B" w14:textId="77777777">
            <w:pPr>
              <w:snapToGrid w:val="0"/>
              <w:jc w:val="center"/>
            </w:pPr>
          </w:p>
          <w:p w:rsidRPr="0081153B" w:rsidR="004D7AC0" w:rsidP="00BE1F8F" w:rsidRDefault="004D7AC0" w14:paraId="4982DD5C" w14:textId="77777777">
            <w:pPr>
              <w:snapToGrid w:val="0"/>
              <w:jc w:val="center"/>
              <w:rPr>
                <w:rFonts w:eastAsia="SimSun"/>
              </w:rPr>
            </w:pPr>
          </w:p>
          <w:p w:rsidR="00726351" w:rsidP="00BE1F8F" w:rsidRDefault="004D7AC0" w14:paraId="64A40D96" w14:textId="77777777">
            <w:pPr>
              <w:snapToGrid w:val="0"/>
              <w:jc w:val="center"/>
            </w:pPr>
            <w:r>
              <w:t>A felsorolt vélemények online az EGSZB keresőrendszerén keresztül érhetők el:</w:t>
            </w:r>
          </w:p>
          <w:p w:rsidR="00726351" w:rsidP="00BE1F8F" w:rsidRDefault="00726351" w14:paraId="0E196128" w14:textId="77777777">
            <w:pPr>
              <w:snapToGrid w:val="0"/>
              <w:jc w:val="center"/>
            </w:pPr>
          </w:p>
          <w:p w:rsidRPr="00044561" w:rsidR="004D7AC0" w:rsidP="00BE1F8F" w:rsidRDefault="00377488" w14:paraId="4982DD5D" w14:textId="339632B5">
            <w:pPr>
              <w:snapToGrid w:val="0"/>
              <w:jc w:val="center"/>
            </w:pPr>
            <w:hyperlink w:history="1" r:id="rId14">
              <w:r w:rsidR="001B5116">
                <w:rPr>
                  <w:rStyle w:val="Hyperlink"/>
                </w:rPr>
                <w:t>https://dmsearch.eesc.europa.eu/search/opinion</w:t>
              </w:r>
            </w:hyperlink>
          </w:p>
          <w:p w:rsidRPr="00044561" w:rsidR="004D7AC0" w:rsidP="00BE1F8F" w:rsidRDefault="004D7AC0" w14:paraId="4982DD5E" w14:textId="77777777">
            <w:pPr>
              <w:snapToGrid w:val="0"/>
              <w:jc w:val="center"/>
            </w:pPr>
          </w:p>
        </w:tc>
      </w:tr>
    </w:tbl>
    <w:p w:rsidR="004D7AC0" w:rsidP="00BE1F8F" w:rsidRDefault="004D7AC0" w14:paraId="4982DD60" w14:textId="77777777"/>
    <w:p w:rsidR="004D7AC0" w:rsidP="00BE1F8F" w:rsidRDefault="004D7AC0" w14:paraId="4982DD61" w14:textId="77777777"/>
    <w:p w:rsidR="004D7AC0" w:rsidP="00BE1F8F" w:rsidRDefault="004D7AC0" w14:paraId="4982DD62" w14:textId="77777777">
      <w:pPr>
        <w:sectPr w:rsidR="004D7AC0" w:rsidSect="00BE1F8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A81AFE" w:rsidR="004D7AC0" w:rsidP="00BE1F8F" w:rsidRDefault="004D7AC0" w14:paraId="4982DD63" w14:textId="77777777">
      <w:pPr>
        <w:rPr>
          <w:b/>
        </w:rPr>
      </w:pPr>
      <w:r>
        <w:rPr>
          <w:b/>
        </w:rPr>
        <w:lastRenderedPageBreak/>
        <w:t>Tartalomjegyzék</w:t>
      </w:r>
    </w:p>
    <w:sdt>
      <w:sdtPr>
        <w:rPr>
          <w:rFonts w:ascii="Times New Roman" w:hAnsi="Times New Roman" w:eastAsia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A81AFE" w:rsidR="004D7AC0" w:rsidP="00BE1F8F" w:rsidRDefault="004D7AC0" w14:paraId="4982DD64" w14:textId="77777777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:rsidR="009F26A5" w:rsidP="009F26A5" w:rsidRDefault="004D7AC0" w14:paraId="29198835" w14:textId="278AEF37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92843553">
            <w:r w:rsidRPr="00897E14" w:rsidR="009F26A5">
              <w:rPr>
                <w:rStyle w:val="Hyperlink"/>
                <w:bCs/>
                <w:noProof/>
              </w:rPr>
              <w:t>1.</w:t>
            </w:r>
            <w:r w:rsidR="009F26A5"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897E14" w:rsidR="009F26A5">
              <w:rPr>
                <w:rStyle w:val="Hyperlink"/>
                <w:b/>
                <w:noProof/>
              </w:rPr>
              <w:t>GAZDASÁGI ÉS MONETÁRIS UNIÓ, GAZDASÁGI ÉS TÁRSADALMI KOHÉZIÓ</w:t>
            </w:r>
            <w:r w:rsidR="009F26A5">
              <w:rPr>
                <w:noProof/>
                <w:webHidden/>
              </w:rPr>
              <w:tab/>
            </w:r>
            <w:r w:rsidR="009F26A5">
              <w:rPr>
                <w:noProof/>
                <w:webHidden/>
              </w:rPr>
              <w:fldChar w:fldCharType="begin"/>
            </w:r>
            <w:r w:rsidR="009F26A5">
              <w:rPr>
                <w:noProof/>
                <w:webHidden/>
              </w:rPr>
              <w:instrText xml:space="preserve"> PAGEREF _Toc192843553 \h </w:instrText>
            </w:r>
            <w:r w:rsidR="009F26A5">
              <w:rPr>
                <w:noProof/>
                <w:webHidden/>
              </w:rPr>
            </w:r>
            <w:r w:rsidR="009F26A5">
              <w:rPr>
                <w:noProof/>
                <w:webHidden/>
              </w:rPr>
              <w:fldChar w:fldCharType="separate"/>
            </w:r>
            <w:r w:rsidR="009F26A5">
              <w:rPr>
                <w:noProof/>
                <w:webHidden/>
              </w:rPr>
              <w:t>3</w:t>
            </w:r>
            <w:r w:rsidR="009F26A5">
              <w:rPr>
                <w:noProof/>
                <w:webHidden/>
              </w:rPr>
              <w:fldChar w:fldCharType="end"/>
            </w:r>
          </w:hyperlink>
        </w:p>
        <w:p w:rsidR="009F26A5" w:rsidP="009F26A5" w:rsidRDefault="009F26A5" w14:paraId="538B212F" w14:textId="600061BB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192843554">
            <w:r w:rsidRPr="00897E14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897E14">
              <w:rPr>
                <w:rStyle w:val="Hyperlink"/>
                <w:b/>
                <w:noProof/>
              </w:rPr>
              <w:t>FOGLALKOZTATÁS- ÉS SZOCIÁLPOLITIKA, UNIÓS POLGÁRSÁG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_Toc192843554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26A5" w:rsidP="009F26A5" w:rsidRDefault="009F26A5" w14:paraId="1B84F04D" w14:textId="560DFA55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192843555">
            <w:r w:rsidRPr="00897E14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897E14">
              <w:rPr>
                <w:rStyle w:val="Hyperlink"/>
                <w:b/>
                <w:noProof/>
              </w:rPr>
              <w:t>KÖZLEKEDÉS, ENERGIA, INFRASTRUKTÚRA ÉS INFORMÁCIÓS TÁRSADALOM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_Toc192843555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26A5" w:rsidP="009F26A5" w:rsidRDefault="009F26A5" w14:paraId="560386D9" w14:textId="606718C6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192843556">
            <w:r w:rsidRPr="00897E14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897E14">
              <w:rPr>
                <w:rStyle w:val="Hyperlink"/>
                <w:b/>
                <w:noProof/>
              </w:rPr>
              <w:t>EGYSÉGES PIAC, TERMELÉS ÉS FOGYASZTÁS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_Toc192843556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26A5" w:rsidP="009F26A5" w:rsidRDefault="009F26A5" w14:paraId="60591A9B" w14:textId="22562467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192843557">
            <w:r w:rsidRPr="00897E14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897E14">
              <w:rPr>
                <w:rStyle w:val="Hyperlink"/>
                <w:b/>
                <w:noProof/>
              </w:rPr>
              <w:t>MEZŐGAZDASÁG, VIDÉKFEJLESZTÉS ÉS KÖRNYEZETVÉDELEM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_Toc192843557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26A5" w:rsidP="009F26A5" w:rsidRDefault="009F26A5" w14:paraId="555E9C1A" w14:textId="40453B6B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192843558">
            <w:r w:rsidRPr="00897E14">
              <w:rPr>
                <w:rStyle w:val="Hyperlink"/>
                <w:bCs/>
                <w:noProof/>
              </w:rPr>
              <w:t>6.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897E14">
              <w:rPr>
                <w:rStyle w:val="Hyperlink"/>
                <w:b/>
                <w:noProof/>
              </w:rPr>
              <w:t>IPARI SZERKEZETVÁLTÁS KONZULTATÍV BIZOTTSÁGA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_Toc192843558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7AC0" w:rsidP="00BE1F8F" w:rsidRDefault="004D7AC0" w14:paraId="4982DD6A" w14:textId="29976B96">
          <w:r>
            <w:rPr>
              <w:b/>
            </w:rPr>
            <w:fldChar w:fldCharType="end"/>
          </w:r>
        </w:p>
      </w:sdtContent>
    </w:sdt>
    <w:p w:rsidR="004D7AC0" w:rsidP="00BE1F8F" w:rsidRDefault="004D7AC0" w14:paraId="4982DD6B" w14:textId="77777777"/>
    <w:p w:rsidR="004D7AC0" w:rsidP="00BE1F8F" w:rsidRDefault="004D7AC0" w14:paraId="4982DD6C" w14:textId="77777777">
      <w:pPr>
        <w:jc w:val="left"/>
      </w:pPr>
      <w:r>
        <w:br w:type="page"/>
      </w:r>
    </w:p>
    <w:p w:rsidR="004D7AC0" w:rsidP="00BE1F8F" w:rsidRDefault="004D7AC0" w14:paraId="4982DD6D" w14:textId="77777777">
      <w:pPr>
        <w:pStyle w:val="Heading1"/>
        <w:rPr>
          <w:b/>
        </w:rPr>
      </w:pPr>
      <w:bookmarkStart w:name="_Toc192843553" w:id="0"/>
      <w:r>
        <w:rPr>
          <w:b/>
        </w:rPr>
        <w:lastRenderedPageBreak/>
        <w:t>GAZDASÁGI ÉS MONETÁRIS UNIÓ, GAZDASÁGI ÉS TÁRSADALMI KOHÉZIÓ</w:t>
      </w:r>
      <w:bookmarkEnd w:id="0"/>
    </w:p>
    <w:p w:rsidR="004D7AC0" w:rsidP="00BE1F8F" w:rsidRDefault="004D7AC0" w14:paraId="4982DD6E" w14:textId="77777777"/>
    <w:p w:rsidRPr="00BE1F8F" w:rsidR="00BE1F8F" w:rsidP="00BE1F8F" w:rsidRDefault="00377488" w14:paraId="1ECDFE60" w14:textId="77777777">
      <w:pPr>
        <w:widowControl w:val="0"/>
        <w:numPr>
          <w:ilvl w:val="0"/>
          <w:numId w:val="20"/>
        </w:numPr>
        <w:ind w:left="567" w:hanging="567"/>
        <w:jc w:val="left"/>
        <w:rPr>
          <w:bCs/>
          <w:iCs/>
        </w:rPr>
      </w:pPr>
      <w:hyperlink w:history="1" r:id="rId21">
        <w:r w:rsidR="001B5116">
          <w:rPr>
            <w:b/>
            <w:i/>
            <w:color w:val="0000FF"/>
            <w:sz w:val="28"/>
            <w:u w:val="single"/>
          </w:rPr>
          <w:t>A 2025. évi európai szemeszter – őszi csomag</w:t>
        </w:r>
      </w:hyperlink>
    </w:p>
    <w:p w:rsidRPr="00795836" w:rsidR="009B199C" w:rsidP="00BE1F8F" w:rsidRDefault="009B199C" w14:paraId="475281DB" w14:textId="0688FCBB">
      <w:pPr>
        <w:widowControl w:val="0"/>
        <w:ind w:left="567"/>
        <w:jc w:val="left"/>
        <w:rPr>
          <w:bCs/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7619"/>
      </w:tblGrid>
      <w:tr w:rsidRPr="005C4571" w:rsidR="009B199C" w:rsidTr="00BE1F8F" w14:paraId="7E2330F9" w14:textId="77777777">
        <w:trPr>
          <w:trHeight w:val="269"/>
        </w:trPr>
        <w:tc>
          <w:tcPr>
            <w:tcW w:w="898" w:type="pct"/>
          </w:tcPr>
          <w:p w:rsidRPr="005C4571" w:rsidR="009B199C" w:rsidP="00BE1F8F" w:rsidRDefault="009B199C" w14:paraId="11357475" w14:textId="5FA4627E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4102" w:type="pct"/>
          </w:tcPr>
          <w:p w:rsidRPr="00BE1F8F" w:rsidR="009B199C" w:rsidP="00BE1F8F" w:rsidRDefault="009B199C" w14:paraId="7707B7CD" w14:textId="40636FC3">
            <w:pPr>
              <w:tabs>
                <w:tab w:val="center" w:pos="284"/>
              </w:tabs>
              <w:ind w:left="266" w:hanging="266"/>
              <w:rPr>
                <w:bCs/>
              </w:rPr>
            </w:pPr>
            <w:r>
              <w:t>Petru Sorin DANDEA (Munkavállalók csoportja/RO)</w:t>
            </w:r>
          </w:p>
        </w:tc>
      </w:tr>
      <w:tr w:rsidRPr="005C4571" w:rsidR="009B199C" w:rsidTr="00BE1F8F" w14:paraId="78616870" w14:textId="77777777">
        <w:trPr>
          <w:trHeight w:val="484"/>
        </w:trPr>
        <w:tc>
          <w:tcPr>
            <w:tcW w:w="898" w:type="pct"/>
          </w:tcPr>
          <w:p w:rsidRPr="005C4571" w:rsidR="009B199C" w:rsidP="00BE1F8F" w:rsidRDefault="009B199C" w14:paraId="271ACA41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4102" w:type="pct"/>
          </w:tcPr>
          <w:p w:rsidR="00FA7642" w:rsidP="00BE1F8F" w:rsidRDefault="009B199C" w14:paraId="3B2FCABD" w14:textId="77777777">
            <w:pPr>
              <w:tabs>
                <w:tab w:val="center" w:pos="284"/>
              </w:tabs>
              <w:ind w:left="266" w:hanging="266"/>
            </w:pPr>
            <w:r>
              <w:t>COM(2024) 700 final</w:t>
            </w:r>
          </w:p>
          <w:p w:rsidRPr="005C4571" w:rsidR="009B199C" w:rsidP="00BE1F8F" w:rsidRDefault="009B199C" w14:paraId="49CDD496" w14:textId="3FA98205">
            <w:pPr>
              <w:tabs>
                <w:tab w:val="center" w:pos="284"/>
              </w:tabs>
              <w:ind w:left="266" w:hanging="266"/>
            </w:pPr>
            <w:r>
              <w:t>EESC-2024-04138-00-00-AC</w:t>
            </w:r>
          </w:p>
        </w:tc>
      </w:tr>
    </w:tbl>
    <w:p w:rsidR="00BE1F8F" w:rsidP="00BE1F8F" w:rsidRDefault="00BE1F8F" w14:paraId="012909FD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5C4571" w:rsidR="009B199C" w:rsidP="00BE1F8F" w:rsidRDefault="009B199C" w14:paraId="4BF08ABF" w14:textId="41C36C93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Főbb pontok</w:t>
      </w:r>
    </w:p>
    <w:p w:rsidRPr="005C4571" w:rsidR="009B199C" w:rsidP="00BE1F8F" w:rsidRDefault="009B199C" w14:paraId="6607972D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="009B199C" w:rsidP="00BE1F8F" w:rsidRDefault="009B199C" w14:paraId="4C3F98BA" w14:textId="77777777">
      <w:pPr>
        <w:rPr>
          <w:bCs/>
          <w:iCs/>
        </w:rPr>
      </w:pPr>
      <w:r>
        <w:t>Az EGSZB:</w:t>
      </w:r>
    </w:p>
    <w:p w:rsidRPr="005C4571" w:rsidR="009B199C" w:rsidP="00BE1F8F" w:rsidRDefault="009B199C" w14:paraId="3ED2E951" w14:textId="77777777">
      <w:pPr>
        <w:numPr>
          <w:ilvl w:val="0"/>
          <w:numId w:val="19"/>
        </w:numPr>
        <w:ind w:left="284" w:hanging="284"/>
        <w:contextualSpacing/>
      </w:pPr>
      <w:r>
        <w:t>rendkívül sajnálatosnak és érthetetlennek tartja, hogy a zavaros globális politikai, társadalmi és gazdasági környezetben az Európai Bizottság úgy döntött, hogy nem teszi közzé az éves fenntartható növekedési jelentést,</w:t>
      </w:r>
    </w:p>
    <w:p w:rsidRPr="005C4571" w:rsidR="009B199C" w:rsidP="00BE1F8F" w:rsidRDefault="009B199C" w14:paraId="3C4DA8C9" w14:textId="77777777">
      <w:pPr>
        <w:numPr>
          <w:ilvl w:val="0"/>
          <w:numId w:val="19"/>
        </w:numPr>
        <w:ind w:left="284" w:hanging="284"/>
        <w:contextualSpacing/>
      </w:pPr>
      <w:r>
        <w:t>úgy véli, hogy a súlyos és növekvő geopolitikai kockázatok és a multilaterális intézmények hanyatlása végső soron súlyos hatással lehet az európai gazdaságokra, kereskedelemre, inflációra és növekedésre,</w:t>
      </w:r>
    </w:p>
    <w:p w:rsidRPr="005C4571" w:rsidR="009B199C" w:rsidP="00BE1F8F" w:rsidRDefault="009B199C" w14:paraId="0A50F121" w14:textId="77777777">
      <w:pPr>
        <w:numPr>
          <w:ilvl w:val="0"/>
          <w:numId w:val="19"/>
        </w:numPr>
        <w:ind w:left="284" w:hanging="284"/>
        <w:contextualSpacing/>
      </w:pPr>
      <w:r>
        <w:t>üdvözli az Európai Bizottság arra irányuló erőfeszítéseit, hogy elindítsa az új európai irányítási keret végrehajtási ciklusát, és arra ösztönzi az Európai Bizottságot, hogy a lehető leghamarabb zárja le ezt a folyamatot,</w:t>
      </w:r>
    </w:p>
    <w:p w:rsidRPr="005C4571" w:rsidR="009B199C" w:rsidP="00BE1F8F" w:rsidRDefault="009B199C" w14:paraId="5E3F24C0" w14:textId="77777777">
      <w:pPr>
        <w:numPr>
          <w:ilvl w:val="0"/>
          <w:numId w:val="19"/>
        </w:numPr>
        <w:ind w:left="284" w:hanging="284"/>
        <w:contextualSpacing/>
      </w:pPr>
      <w:r>
        <w:t>kiemeli a civil társadalom azon álláspontját, hogy bár az őszi csomag hangsúlyozza az érdekelt felek bevonásának fontosságát, érzékelhetően hiányoznak a szociális partnerek és a civil társadalmi szervezetek megfelelő és hatékony nemzeti szintű bevonására szolgáló konkrét mechanizmusok,</w:t>
      </w:r>
    </w:p>
    <w:p w:rsidRPr="005C4571" w:rsidR="009B199C" w:rsidP="00BE1F8F" w:rsidRDefault="009B199C" w14:paraId="3771C892" w14:textId="77777777">
      <w:pPr>
        <w:numPr>
          <w:ilvl w:val="0"/>
          <w:numId w:val="19"/>
        </w:numPr>
        <w:ind w:left="284" w:hanging="284"/>
        <w:contextualSpacing/>
      </w:pPr>
      <w:r>
        <w:t>egyetért az Európai Bizottság azon javaslatával, hogy útjára indítsák a versenyképességi iránytűt,</w:t>
      </w:r>
    </w:p>
    <w:p w:rsidRPr="005C4571" w:rsidR="009B199C" w:rsidP="00BE1F8F" w:rsidRDefault="009B199C" w14:paraId="23285551" w14:textId="77777777">
      <w:pPr>
        <w:numPr>
          <w:ilvl w:val="0"/>
          <w:numId w:val="19"/>
        </w:numPr>
        <w:ind w:left="284" w:hanging="284"/>
        <w:contextualSpacing/>
      </w:pPr>
      <w:r>
        <w:t>egyetért a Draghi-jelentés azon következtetésével, hogy az uniós gazdaság USA-hoz és Kínához viszonyított negatív termelékenységi és versenyképességi különbségei mögött meghúzódó fő tényező az elmúlt két évtizedben felhalmozódott jelentős beruházási hiány,</w:t>
      </w:r>
    </w:p>
    <w:p w:rsidRPr="005C4571" w:rsidR="009B199C" w:rsidP="00BE1F8F" w:rsidRDefault="009B199C" w14:paraId="5D5DDAD1" w14:textId="77777777">
      <w:pPr>
        <w:numPr>
          <w:ilvl w:val="0"/>
          <w:numId w:val="19"/>
        </w:numPr>
        <w:ind w:left="284" w:hanging="284"/>
        <w:contextualSpacing/>
      </w:pPr>
      <w:r>
        <w:t>úgy véli, hogy a beruházásokat állami és magán-, nemzeti és európai tőkéből kell finanszírozni,</w:t>
      </w:r>
    </w:p>
    <w:p w:rsidRPr="005C4571" w:rsidR="009B199C" w:rsidP="00BE1F8F" w:rsidRDefault="009B199C" w14:paraId="74A06E52" w14:textId="77777777">
      <w:pPr>
        <w:numPr>
          <w:ilvl w:val="0"/>
          <w:numId w:val="19"/>
        </w:numPr>
        <w:ind w:left="284" w:hanging="284"/>
        <w:contextualSpacing/>
      </w:pPr>
      <w:r>
        <w:t>nyugtázza az Európai Bizottság azon javaslatát, hogy az országspecifikus ajánlásoknak a Helyreállítási és Rezilienciaépítési Eszközben (RRF) és a többéves pénzügyi keretben foglalt reformok és beruházások jobb végrehajtására kell irányulniuk, mivel mindkettő a végéhez közeledik – az egyik 2026-ban, a másik 2027-ben jár le,</w:t>
      </w:r>
    </w:p>
    <w:p w:rsidRPr="005C4571" w:rsidR="009B199C" w:rsidP="00BE1F8F" w:rsidRDefault="009B199C" w14:paraId="49B53D4B" w14:textId="77777777">
      <w:pPr>
        <w:numPr>
          <w:ilvl w:val="0"/>
          <w:numId w:val="19"/>
        </w:numPr>
        <w:ind w:left="284" w:hanging="284"/>
        <w:contextualSpacing/>
      </w:pPr>
      <w:r>
        <w:t>úgy véli, hogy az EU által tapasztalt jelenlegi nehéz politikai és gazdasági környezetben a tagállamok közötti jobb együttműködés kulcsfontosságú ezen akadályok leküzdéséhez,</w:t>
      </w:r>
    </w:p>
    <w:p w:rsidRPr="005C4571" w:rsidR="009B199C" w:rsidP="00BE1F8F" w:rsidRDefault="009B199C" w14:paraId="48FD49AD" w14:textId="77777777">
      <w:pPr>
        <w:numPr>
          <w:ilvl w:val="0"/>
          <w:numId w:val="19"/>
        </w:numPr>
        <w:ind w:left="284" w:hanging="284"/>
        <w:contextualSpacing/>
      </w:pPr>
      <w:r>
        <w:t>úgy véli, hogy az Európai Bizottság együttes foglalkoztatási jelentésben szereplő elemzései és megállapításai helyesek, és alkalmasak arra, hogy azokat gondosan országspecifikus ajánlásokká alakítsák át,</w:t>
      </w:r>
    </w:p>
    <w:p w:rsidRPr="005C4571" w:rsidR="009B199C" w:rsidP="00BE1F8F" w:rsidRDefault="009B199C" w14:paraId="38004D1C" w14:textId="77777777">
      <w:pPr>
        <w:numPr>
          <w:ilvl w:val="0"/>
          <w:numId w:val="19"/>
        </w:numPr>
        <w:ind w:left="284" w:hanging="284"/>
        <w:contextualSpacing/>
      </w:pPr>
      <w:r>
        <w:t xml:space="preserve">arra ösztönzi az Európai Bizottságot, hogy folytassa a túlszabályozás által az európai vállalatokra rótt – a globális versenyképességüket csökkentő – terhek mérséklésére irányuló programot, </w:t>
      </w:r>
    </w:p>
    <w:p w:rsidRPr="005C4571" w:rsidR="009B199C" w:rsidP="00BE1F8F" w:rsidRDefault="009B199C" w14:paraId="7E9B0E26" w14:textId="77777777">
      <w:pPr>
        <w:widowControl w:val="0"/>
        <w:numPr>
          <w:ilvl w:val="0"/>
          <w:numId w:val="19"/>
        </w:numPr>
        <w:ind w:left="284" w:hanging="284"/>
        <w:rPr>
          <w:bCs/>
          <w:iCs/>
        </w:rPr>
      </w:pPr>
      <w:r>
        <w:t>úgy véli, hogy az országspecifikus ajánlásokban szereplő beruházási és reformjavaslatoknak prioritásként kell kezelniük a súlyos lakhatási probléma kezelését.</w:t>
      </w:r>
    </w:p>
    <w:p w:rsidRPr="005C4571" w:rsidR="009B199C" w:rsidP="00BE1F8F" w:rsidRDefault="009B199C" w14:paraId="1D7AC5FD" w14:textId="77777777">
      <w:pPr>
        <w:widowControl w:val="0"/>
        <w:ind w:left="709"/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1729"/>
        <w:gridCol w:w="7450"/>
      </w:tblGrid>
      <w:tr w:rsidRPr="005C4571" w:rsidR="009B199C" w:rsidTr="00A3780E" w14:paraId="6E6E3E29" w14:textId="77777777">
        <w:tc>
          <w:tcPr>
            <w:tcW w:w="942" w:type="pct"/>
          </w:tcPr>
          <w:p w:rsidRPr="005C4571" w:rsidR="009B199C" w:rsidP="00BE1F8F" w:rsidRDefault="009B199C" w14:paraId="0A0A29E5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058" w:type="pct"/>
          </w:tcPr>
          <w:p w:rsidRPr="005C4571" w:rsidR="009B199C" w:rsidP="00BE1F8F" w:rsidRDefault="009B199C" w14:paraId="42F5E565" w14:textId="370BC39C">
            <w:pPr>
              <w:rPr>
                <w:b/>
                <w:i/>
              </w:rPr>
            </w:pPr>
            <w:r>
              <w:rPr>
                <w:i/>
              </w:rPr>
              <w:t>Anna Pantazi</w:t>
            </w:r>
          </w:p>
        </w:tc>
      </w:tr>
      <w:tr w:rsidRPr="005C4571" w:rsidR="009B199C" w:rsidTr="00A3780E" w14:paraId="552BEC45" w14:textId="77777777">
        <w:tc>
          <w:tcPr>
            <w:tcW w:w="942" w:type="pct"/>
          </w:tcPr>
          <w:p w:rsidRPr="005C4571" w:rsidR="009B199C" w:rsidP="00BE1F8F" w:rsidRDefault="009B199C" w14:paraId="1653AF5F" w14:textId="77777777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58" w:type="pct"/>
          </w:tcPr>
          <w:p w:rsidRPr="005C4571" w:rsidR="009B199C" w:rsidP="00BE1F8F" w:rsidRDefault="009B199C" w14:paraId="237B8862" w14:textId="77777777">
            <w:pPr>
              <w:rPr>
                <w:i/>
              </w:rPr>
            </w:pPr>
            <w:r>
              <w:rPr>
                <w:i/>
              </w:rPr>
              <w:t>+32 25469231</w:t>
            </w:r>
          </w:p>
        </w:tc>
      </w:tr>
      <w:tr w:rsidRPr="005C4571" w:rsidR="009B199C" w:rsidTr="00A3780E" w14:paraId="3D3A9CD1" w14:textId="77777777">
        <w:tc>
          <w:tcPr>
            <w:tcW w:w="942" w:type="pct"/>
          </w:tcPr>
          <w:p w:rsidRPr="005C4571" w:rsidR="009B199C" w:rsidP="00BE1F8F" w:rsidRDefault="009B199C" w14:paraId="1113F6A6" w14:textId="77777777">
            <w:pPr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058" w:type="pct"/>
          </w:tcPr>
          <w:p w:rsidRPr="005C4571" w:rsidR="009B199C" w:rsidP="00BE1F8F" w:rsidRDefault="00377488" w14:paraId="45EA0124" w14:textId="77777777">
            <w:pPr>
              <w:rPr>
                <w:i/>
              </w:rPr>
            </w:pPr>
            <w:hyperlink w:history="1" r:id="rId22">
              <w:r w:rsidR="001B5116">
                <w:rPr>
                  <w:i/>
                  <w:color w:val="0000FF"/>
                  <w:u w:val="single"/>
                </w:rPr>
                <w:t>Anna.Pantazi@eesc.europa.eu</w:t>
              </w:r>
            </w:hyperlink>
          </w:p>
        </w:tc>
      </w:tr>
    </w:tbl>
    <w:p w:rsidRPr="003442FB" w:rsidR="009B199C" w:rsidP="00BE1F8F" w:rsidRDefault="00377488" w14:paraId="0066A1A1" w14:textId="4EB1C679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28"/>
          <w:szCs w:val="28"/>
        </w:rPr>
      </w:pPr>
      <w:hyperlink w:history="1" r:id="rId23">
        <w:r w:rsidR="001B5116">
          <w:rPr>
            <w:b/>
            <w:i/>
            <w:color w:val="0000FF"/>
            <w:sz w:val="28"/>
            <w:u w:val="single"/>
          </w:rPr>
          <w:t>Közigazgatási együttműködés az adózás területén (DAC9)</w:t>
        </w:r>
      </w:hyperlink>
    </w:p>
    <w:p w:rsidRPr="00EF5B43" w:rsidR="009B199C" w:rsidP="00BE1F8F" w:rsidRDefault="009B199C" w14:paraId="7C533EF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667"/>
        <w:gridCol w:w="7510"/>
      </w:tblGrid>
      <w:tr w:rsidRPr="00EF5B43" w:rsidR="009B199C" w:rsidTr="00BE1F8F" w14:paraId="15407EEF" w14:textId="77777777">
        <w:tc>
          <w:tcPr>
            <w:tcW w:w="908" w:type="pct"/>
          </w:tcPr>
          <w:p w:rsidRPr="00EF5B43" w:rsidR="009B199C" w:rsidP="00BE1F8F" w:rsidRDefault="009B199C" w14:paraId="20A404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4092" w:type="pct"/>
          </w:tcPr>
          <w:p w:rsidRPr="00EF5B43" w:rsidR="009B199C" w:rsidP="00BE1F8F" w:rsidRDefault="009B199C" w14:paraId="4F4B426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Krister ANDERSSON (Munkáltatók csoportja/SE)</w:t>
            </w:r>
          </w:p>
        </w:tc>
      </w:tr>
      <w:tr w:rsidRPr="00EF5B43" w:rsidR="009B199C" w:rsidTr="00BE1F8F" w14:paraId="721BA5E2" w14:textId="77777777">
        <w:tc>
          <w:tcPr>
            <w:tcW w:w="908" w:type="pct"/>
            <w:vMerge w:val="restart"/>
          </w:tcPr>
          <w:p w:rsidRPr="00EF5B43" w:rsidR="009B199C" w:rsidP="00BE1F8F" w:rsidRDefault="009B199C" w14:paraId="7B3F022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4092" w:type="pct"/>
          </w:tcPr>
          <w:p w:rsidRPr="00EF5B43" w:rsidR="009B199C" w:rsidP="00BE1F8F" w:rsidRDefault="009B199C" w14:paraId="3B421B3C" w14:textId="5FD96EC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497 final </w:t>
            </w:r>
          </w:p>
        </w:tc>
      </w:tr>
      <w:tr w:rsidRPr="00EF5B43" w:rsidR="009B199C" w:rsidTr="00BE1F8F" w14:paraId="0644B2C3" w14:textId="77777777">
        <w:tc>
          <w:tcPr>
            <w:tcW w:w="908" w:type="pct"/>
            <w:vMerge/>
          </w:tcPr>
          <w:p w:rsidRPr="00EF5B43" w:rsidR="009B199C" w:rsidP="00BE1F8F" w:rsidRDefault="009B199C" w14:paraId="29B7CE2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092" w:type="pct"/>
          </w:tcPr>
          <w:p w:rsidRPr="00EF5B43" w:rsidR="009B199C" w:rsidP="00BE1F8F" w:rsidRDefault="009B199C" w14:paraId="0B6D96F4" w14:textId="337C89A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EESC-2024-04551-00-00-AC</w:t>
            </w:r>
          </w:p>
        </w:tc>
      </w:tr>
    </w:tbl>
    <w:p w:rsidRPr="00EF5B43" w:rsidR="009B199C" w:rsidP="00BE1F8F" w:rsidRDefault="009B199C" w14:paraId="148A851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EF5B43" w:rsidR="009B199C" w:rsidP="00BE1F8F" w:rsidRDefault="009B199C" w14:paraId="212050D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EF5B43" w:rsidR="009B199C" w:rsidP="00BE1F8F" w:rsidRDefault="009B199C" w14:paraId="6FCA3C9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EF5B43" w:rsidR="009B199C" w:rsidP="00BE1F8F" w:rsidRDefault="009B199C" w14:paraId="3C84648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EF5B43" w:rsidR="009B199C" w:rsidP="00BE1F8F" w:rsidRDefault="009B199C" w14:paraId="58403D40" w14:textId="777777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üdvözli az adózás területén történő közigazgatási együttműködésről szóló 2011/16/EU irányelv módosításáról szóló tanácsi irányelvre vonatkozó javaslatot (DAC9),</w:t>
      </w:r>
    </w:p>
    <w:p w:rsidRPr="00EF5B43" w:rsidR="009B199C" w:rsidP="00BE1F8F" w:rsidRDefault="009B199C" w14:paraId="337AB66A" w14:textId="777777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megjegyzi, hogy ez az OECD/G20-ak adóalap-erózióval és nyereségátcsoportosítással foglalkozó inkluzív keretének átültetése, amelyről már megállapodás született,</w:t>
      </w:r>
    </w:p>
    <w:p w:rsidRPr="00EF5B43" w:rsidR="009B199C" w:rsidP="00BE1F8F" w:rsidRDefault="009B199C" w14:paraId="05B4C525" w14:textId="777777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hangsúlyozza, hogy a multinacionális vállalatok és az adóhatóságok számára csak úgy biztosítható a jogbiztonság és egyértelműség, ha az összes tagállamra alkalmazandó egységes szabályrendszer kerül kialakításra,</w:t>
      </w:r>
    </w:p>
    <w:p w:rsidRPr="00EF5B43" w:rsidR="009B199C" w:rsidP="00BE1F8F" w:rsidRDefault="009B199C" w14:paraId="02FBDE9B" w14:textId="777777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alapvető fontosságúnak tartja, hogy a DAC9 keretében gyűjtött információkat csak és kizárólag az Európai Bizottság javaslatának megfelelően használják fel, más célokra ne, ami lehetővé teheti a harmadik országbeli vállalatok számára az érzékeny információkhoz való hozzáférést, ezáltal ártva az európai vállalatok versenyhelyzetének,</w:t>
      </w:r>
    </w:p>
    <w:p w:rsidRPr="00EF5B43" w:rsidR="009B199C" w:rsidP="00BE1F8F" w:rsidRDefault="009B199C" w14:paraId="1397A2B3" w14:textId="777777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sajnálatát fejezi ki amiatt, hogy e javaslattal kapcsolatban nem végeztek hatásvizsgálatot vagy versenyképességi ellenőrzést. Érdekes lett volna meggyőződni arról, hogy a javaslat közelebb visz-e bennünket az Európai Bizottság általános célkitűzéséhez, azaz az adminisztratív terhek 25%-os csökkentéséhez,</w:t>
      </w:r>
    </w:p>
    <w:p w:rsidRPr="00EF5B43" w:rsidR="009B199C" w:rsidP="00BE1F8F" w:rsidRDefault="009B199C" w14:paraId="3B495DF5" w14:textId="777777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hangsúlyozza, hogy a szabályoknak teljes mértékben összhangban kell maradniuk az OECD folyamatban lévő munkájával. </w:t>
      </w:r>
    </w:p>
    <w:p w:rsidRPr="00EF5B43" w:rsidR="009B199C" w:rsidP="00BE1F8F" w:rsidRDefault="009B199C" w14:paraId="7207F72C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667"/>
        <w:gridCol w:w="7510"/>
      </w:tblGrid>
      <w:tr w:rsidRPr="00EF5B43" w:rsidR="009B199C" w:rsidTr="00BE1F8F" w14:paraId="51274BC3" w14:textId="77777777">
        <w:tc>
          <w:tcPr>
            <w:tcW w:w="908" w:type="pct"/>
          </w:tcPr>
          <w:p w:rsidRPr="00EF5B43" w:rsidR="009B199C" w:rsidP="00BE1F8F" w:rsidRDefault="00706D52" w14:paraId="36A23BA9" w14:textId="2BF5BB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</w:t>
            </w:r>
            <w:r w:rsidR="009B199C">
              <w:rPr>
                <w:b/>
                <w:i/>
              </w:rPr>
              <w:t>:</w:t>
            </w:r>
          </w:p>
        </w:tc>
        <w:tc>
          <w:tcPr>
            <w:tcW w:w="4092" w:type="pct"/>
          </w:tcPr>
          <w:p w:rsidRPr="00EF5B43" w:rsidR="009B199C" w:rsidP="00BE1F8F" w:rsidRDefault="009B199C" w14:paraId="08D792C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Jüri Soosaar</w:t>
            </w:r>
          </w:p>
        </w:tc>
      </w:tr>
      <w:tr w:rsidRPr="00EF5B43" w:rsidR="009B199C" w:rsidTr="00BE1F8F" w14:paraId="1A8CFF57" w14:textId="77777777">
        <w:tc>
          <w:tcPr>
            <w:tcW w:w="908" w:type="pct"/>
          </w:tcPr>
          <w:p w:rsidRPr="00EF5B43" w:rsidR="009B199C" w:rsidP="00BE1F8F" w:rsidRDefault="009B199C" w14:paraId="6B9265C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92" w:type="pct"/>
          </w:tcPr>
          <w:p w:rsidRPr="00EF5B43" w:rsidR="009B199C" w:rsidP="00BE1F8F" w:rsidRDefault="009B199C" w14:paraId="6A56AF3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</w:t>
            </w:r>
            <w:r>
              <w:t xml:space="preserve"> </w:t>
            </w:r>
            <w:r>
              <w:rPr>
                <w:i/>
              </w:rPr>
              <w:t>5469628</w:t>
            </w:r>
          </w:p>
        </w:tc>
      </w:tr>
      <w:tr w:rsidRPr="00EF5B43" w:rsidR="009B199C" w:rsidTr="00BE1F8F" w14:paraId="6BB8066B" w14:textId="77777777">
        <w:tc>
          <w:tcPr>
            <w:tcW w:w="908" w:type="pct"/>
          </w:tcPr>
          <w:p w:rsidRPr="00EF5B43" w:rsidR="009B199C" w:rsidP="00BE1F8F" w:rsidRDefault="007A0964" w14:paraId="2E2C7A15" w14:textId="4BB9F4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092" w:type="pct"/>
          </w:tcPr>
          <w:p w:rsidRPr="00EF5B43" w:rsidR="009B199C" w:rsidP="00BE1F8F" w:rsidRDefault="00377488" w14:paraId="7B544A6C" w14:textId="195BC3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4">
              <w:r w:rsidR="001B5116"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:rsidR="009B199C" w:rsidP="00BE1F8F" w:rsidRDefault="009B199C" w14:paraId="0DDB3A60" w14:textId="77777777">
      <w:pPr>
        <w:jc w:val="left"/>
      </w:pPr>
    </w:p>
    <w:p w:rsidR="009B199C" w:rsidP="00BE1F8F" w:rsidRDefault="009B199C" w14:paraId="2E5B1FF6" w14:textId="77777777">
      <w:pPr>
        <w:jc w:val="left"/>
      </w:pPr>
      <w:r>
        <w:br w:type="page"/>
      </w:r>
    </w:p>
    <w:p w:rsidRPr="008171FA" w:rsidR="00773E8D" w:rsidP="00BE1F8F" w:rsidRDefault="00377488" w14:paraId="5A8B385C" w14:textId="56009D4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</w:pPr>
      <w:hyperlink w:history="1" r:id="rId25">
        <w:r w:rsidR="00773E8D">
          <w:rPr>
            <w:b/>
            <w:i/>
            <w:color w:val="0000FF"/>
            <w:sz w:val="28"/>
            <w:u w:val="single"/>
          </w:rPr>
          <w:t>Védelmi finanszírozás az EU-ban</w:t>
        </w:r>
      </w:hyperlink>
    </w:p>
    <w:p w:rsidRPr="00773E8D" w:rsidR="00773E8D" w:rsidP="008171FA" w:rsidRDefault="00773E8D" w14:paraId="3EB22D3F" w14:textId="77777777">
      <w:pPr>
        <w:widowControl w:val="0"/>
        <w:overflowPunct w:val="0"/>
        <w:autoSpaceDE w:val="0"/>
        <w:autoSpaceDN w:val="0"/>
        <w:adjustRightInd w:val="0"/>
        <w:contextualSpacing/>
        <w:jc w:val="left"/>
        <w:textAlignment w:val="baseline"/>
        <w:rPr>
          <w:rFonts w:ascii="Calibri" w:hAnsi="Calibri"/>
          <w:b/>
          <w:lang w:val="en-GB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088"/>
      </w:tblGrid>
      <w:tr w:rsidRPr="00773E8D" w:rsidR="00773E8D" w:rsidTr="00257E74" w14:paraId="7736047E" w14:textId="77777777">
        <w:tc>
          <w:tcPr>
            <w:tcW w:w="1701" w:type="dxa"/>
          </w:tcPr>
          <w:p w:rsidRPr="00773E8D" w:rsidR="00773E8D" w:rsidP="00BE1F8F" w:rsidRDefault="00773E8D" w14:paraId="29FDFBF0" w14:textId="77777777">
            <w:pPr>
              <w:overflowPunct w:val="0"/>
              <w:autoSpaceDE w:val="0"/>
              <w:autoSpaceDN w:val="0"/>
              <w:adjustRightInd w:val="0"/>
              <w:ind w:left="176" w:hanging="284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088" w:type="dxa"/>
          </w:tcPr>
          <w:p w:rsidRPr="00773E8D" w:rsidR="00773E8D" w:rsidP="00BE1F8F" w:rsidRDefault="00773E8D" w14:paraId="0FB6E9D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Marcin NOWACKI (Munkáltatók/PL)</w:t>
            </w:r>
          </w:p>
        </w:tc>
      </w:tr>
      <w:tr w:rsidRPr="00773E8D" w:rsidR="00773E8D" w:rsidTr="00257E74" w14:paraId="1DEF454E" w14:textId="77777777">
        <w:tc>
          <w:tcPr>
            <w:tcW w:w="1701" w:type="dxa"/>
          </w:tcPr>
          <w:p w:rsidRPr="00773E8D" w:rsidR="00773E8D" w:rsidP="00BE1F8F" w:rsidRDefault="00773E8D" w14:paraId="18280023" w14:textId="49E04DB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4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7088" w:type="dxa"/>
          </w:tcPr>
          <w:p w:rsidRPr="00773E8D" w:rsidR="00773E8D" w:rsidP="00BE1F8F" w:rsidRDefault="00773E8D" w14:paraId="519A0CF0" w14:textId="0E3E497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>
              <w:t>Feltáró vélemény – EESC-2024-03643-00-01-AC</w:t>
            </w:r>
          </w:p>
        </w:tc>
      </w:tr>
    </w:tbl>
    <w:p w:rsidRPr="00773E8D" w:rsidR="00773E8D" w:rsidP="00BE1F8F" w:rsidRDefault="00773E8D" w14:paraId="7F428D4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773E8D" w:rsidR="00773E8D" w:rsidP="00BE1F8F" w:rsidRDefault="00773E8D" w14:paraId="373416F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773E8D" w:rsidR="00773E8D" w:rsidP="00BE1F8F" w:rsidRDefault="00773E8D" w14:paraId="6461168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773E8D" w:rsidP="00BE1F8F" w:rsidRDefault="00773E8D" w14:paraId="7BA955D6" w14:textId="77777777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szCs w:val="20"/>
        </w:rPr>
      </w:pPr>
      <w:r>
        <w:t>Az EGSZB:</w:t>
      </w:r>
    </w:p>
    <w:p w:rsidRPr="00773E8D" w:rsidR="00773E8D" w:rsidP="008171FA" w:rsidRDefault="00773E8D" w14:paraId="2A4EE010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hangsúlyozza, hogy szilárd és egységes védelmi finanszírozási mechanizmusok révén sürgősen reagálni kell a változó európai biztonsági helyzetre. A geopolitikai kihívások – különösen az Ukrajna elleni orosz agresszió – azonnali és stratégiai beruházásokat tesznek szükségessé a védelmi képességek, azaz úgy a katonai, mint a polgári felkészültség terén az EU alapértékeinek, békéjének, biztonságának és gazdasági érdekeinek védelme érdekében;</w:t>
      </w:r>
    </w:p>
    <w:p w:rsidRPr="00773E8D" w:rsidR="00773E8D" w:rsidP="008171FA" w:rsidRDefault="00773E8D" w14:paraId="2EF6A041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hangsúlyozza, hogy az EU-nak egyértelműen meg kell határoznia védelempolitikai célkitűzéseit, és meg kell erősítenie a védelem európai pillérét, amelynek erőforrásait és operatív képességeit össze kell kapcsolnia a NATO-val. A védelempolitika az EU kül- és biztonságpolitikájának része, amelynek célja, hogy előmozdítsa a békét, a demokráciát és az emberi jogokat a kontinensünkön, földrajzi környezetünkben és a világban, valamint hogy megvédje az ENSZ rendszerének multilaterális intézményeit;</w:t>
      </w:r>
    </w:p>
    <w:p w:rsidRPr="00773E8D" w:rsidR="00773E8D" w:rsidP="008171FA" w:rsidRDefault="00773E8D" w14:paraId="466E9A4E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 annak szükségességét, hogy próbáljanak módot találni az EU védelmi képességeinek a Szerződéssel összhangban történő megerősítésére;</w:t>
      </w:r>
    </w:p>
    <w:p w:rsidRPr="00773E8D" w:rsidR="00773E8D" w:rsidP="008171FA" w:rsidRDefault="00773E8D" w14:paraId="1C22811F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 az EU és a NATO közötti együttműködés elmélyítésének fontosságát az egységes védelmi megközelítés biztosítása érdekében;</w:t>
      </w:r>
    </w:p>
    <w:p w:rsidRPr="00773E8D" w:rsidR="00773E8D" w:rsidP="008171FA" w:rsidRDefault="00773E8D" w14:paraId="72C0537B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 annak fontosságát, hogy az európai NATO-tagok kötelezettséget vállaljanak arra, hogy GDP-jük legalább 2,5%-át védelmi célokra fordítsák;</w:t>
      </w:r>
    </w:p>
    <w:p w:rsidRPr="00773E8D" w:rsidR="00773E8D" w:rsidP="008171FA" w:rsidRDefault="00773E8D" w14:paraId="574F91FD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hangsúlyozza, hogy a legsürgősebb finanszírozási prioritások között szerepelniük kell a modern védelmi rendszerek fejlesztésének és gyártásának. Az ilyen technológiákba történő beruházások megerősítését haladéktalanul, még a jelenlegi többéves pénzügyi keret költségvetési időszakában meg kell kezdeni;</w:t>
      </w:r>
    </w:p>
    <w:p w:rsidRPr="00773E8D" w:rsidR="00773E8D" w:rsidP="008171FA" w:rsidRDefault="00773E8D" w14:paraId="22A07DF0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hangsúlyozza, hogy az európai védelmi technológiai és ipari bázis (EDTIB) megerősítése elengedhetetlen a külső szállítóktól való függés csökkentése és az Unión belüli innováció előmozdítása szempontjából;</w:t>
      </w:r>
    </w:p>
    <w:p w:rsidRPr="00773E8D" w:rsidR="00773E8D" w:rsidP="008171FA" w:rsidRDefault="00773E8D" w14:paraId="020C30AA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támogatja a közös közbeszerzési mechanizmusok – köztük az Európai Békekeret – kiterjesztését az erőforrás-hatékonyság maximalizálása és a stratégiai partnerség fokozása érdekében. A gyártásnál jelentkező szűk keresztmetszetek és a hadműveleti készenlét kezelése érdekében bővíteni kell az olyan kezdeményezéseket, mint a lőszergyártás támogatásáról szóló jogszabály (ASAP) és az európai védelmi ipar együttműködésen alapuló beszerzés keretében történő megerősítését szolgáló eszköz (EDIRPA);</w:t>
      </w:r>
    </w:p>
    <w:p w:rsidRPr="00BE1F8F" w:rsidR="00773E8D" w:rsidP="008171FA" w:rsidRDefault="00773E8D" w14:paraId="28B3A062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hangsúlyozza, hogy a biztonsági infrastruktúra és a technológiai innováció terén tett közös erőfeszítések előmozdítása érdekében partnerségeket kell kialakítani harmadik országokkal; </w:t>
      </w:r>
    </w:p>
    <w:p w:rsidRPr="00BE1F8F" w:rsidR="00773E8D" w:rsidP="008171FA" w:rsidRDefault="00773E8D" w14:paraId="0E1C930B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 a köz- és magánszféra közötti partnerségek mint a szakértelem és az erőforrások mozgósítását szolgáló kiegészítő eszköz jelentőségét, amely felgyorsítja az innovációt és az alkalmazást a kritikus területeken;</w:t>
      </w:r>
    </w:p>
    <w:p w:rsidRPr="00773E8D" w:rsidR="00773E8D" w:rsidP="008171FA" w:rsidRDefault="00773E8D" w14:paraId="7941C364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lastRenderedPageBreak/>
        <w:t>hangsúlyozza, hogy a védelmi finanszírozásnak prioritásként kell kezelnie a regionális konfliktusok által legközvetlenebbül érintett, a külső határokon fekvő uniós országok támogatását, feltéve, hogy azok szigorúan szem előtt tartják az EU és a NATO közös céljait és elveit;</w:t>
      </w:r>
    </w:p>
    <w:p w:rsidRPr="00773E8D" w:rsidR="00773E8D" w:rsidP="008171FA" w:rsidRDefault="00773E8D" w14:paraId="6AF1CE95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kiemeli annak fontosságát, hogy a védelmi finanszírozást beépítsék a szélesebb körű uniós pénzügyi mechanizmusokba, többek között a következő többéves pénzügyi keretbe, anélkül azonban, hogy veszélyeztetnének más kritikus uniós prioritásokat, például a kohéziós politikát, a zöld gazdaságra való átállást és a szociális jogok európai pillérét;</w:t>
      </w:r>
    </w:p>
    <w:p w:rsidRPr="00773E8D" w:rsidR="00773E8D" w:rsidP="008171FA" w:rsidRDefault="00773E8D" w14:paraId="598F22B0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hangsúlyozza, hogy figyelemfelkeltő kampányokat kell végrehajtani annak hangsúlyozása érdekében, hogy a védelmi finanszírozás létfontosságú szerepet játszik Európa békéjének és biztonságának, valamint Európa demokratikus életmódjának és társadalmi kohéziójának garantálásában;</w:t>
      </w:r>
    </w:p>
    <w:p w:rsidRPr="00773E8D" w:rsidR="00773E8D" w:rsidP="008171FA" w:rsidRDefault="00773E8D" w14:paraId="63329DD1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úgy véli, hogy az EU-nak a közös kül- és biztonságpolitika keretében mindenképpen ki kell alakítania egy közös védelempolitikát, szilárd európai védelmi pillért kell létrehoznia, és ennek érdekében meg kell tennie a szükséges jogalkotási és pénzügyi intézkedéseket;</w:t>
      </w:r>
    </w:p>
    <w:p w:rsidR="00773E8D" w:rsidP="008171FA" w:rsidRDefault="00773E8D" w14:paraId="27DD39A3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úgy véli, hogy az EU-nak aktív diplomáciai szerepet is kell játszania az igazságos ukrajnai béke elérésében.</w:t>
      </w:r>
    </w:p>
    <w:p w:rsidRPr="00773E8D" w:rsidR="00773E8D" w:rsidP="008171FA" w:rsidRDefault="00773E8D" w14:paraId="1D56F3F6" w14:textId="77777777">
      <w:pPr>
        <w:overflowPunct w:val="0"/>
        <w:autoSpaceDE w:val="0"/>
        <w:autoSpaceDN w:val="0"/>
        <w:adjustRightInd w:val="0"/>
        <w:ind w:left="284"/>
        <w:contextualSpacing/>
        <w:textAlignment w:val="baseline"/>
        <w:rPr>
          <w:lang w:val="en-GB" w:eastAsia="zh-CN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668"/>
        <w:gridCol w:w="7512"/>
      </w:tblGrid>
      <w:tr w:rsidRPr="00773E8D" w:rsidR="00773E8D" w:rsidTr="00BE1F8F" w14:paraId="72A4C0C1" w14:textId="77777777">
        <w:tc>
          <w:tcPr>
            <w:tcW w:w="1668" w:type="dxa"/>
          </w:tcPr>
          <w:p w:rsidRPr="00773E8D" w:rsidR="00773E8D" w:rsidP="00BE1F8F" w:rsidRDefault="00706D52" w14:paraId="6CF8EC77" w14:textId="5472A5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>
              <w:rPr>
                <w:b/>
                <w:i/>
              </w:rPr>
              <w:t>Kapcsolattartó</w:t>
            </w:r>
            <w:r w:rsidR="00773E8D">
              <w:rPr>
                <w:i/>
              </w:rPr>
              <w:t>:</w:t>
            </w:r>
          </w:p>
        </w:tc>
        <w:tc>
          <w:tcPr>
            <w:tcW w:w="7512" w:type="dxa"/>
          </w:tcPr>
          <w:p w:rsidRPr="00C77862" w:rsidR="00773E8D" w:rsidP="00BE1F8F" w:rsidRDefault="00773E8D" w14:paraId="249491A9" w14:textId="3ED40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</w:rPr>
            </w:pPr>
            <w:r>
              <w:rPr>
                <w:i/>
              </w:rPr>
              <w:t>Gerald Klec</w:t>
            </w:r>
          </w:p>
        </w:tc>
      </w:tr>
      <w:tr w:rsidRPr="00773E8D" w:rsidR="00773E8D" w:rsidTr="00BE1F8F" w14:paraId="2C039993" w14:textId="77777777">
        <w:tc>
          <w:tcPr>
            <w:tcW w:w="1668" w:type="dxa"/>
          </w:tcPr>
          <w:p w:rsidRPr="00773E8D" w:rsidR="00773E8D" w:rsidP="00BE1F8F" w:rsidRDefault="00773E8D" w14:paraId="3583AD7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12" w:type="dxa"/>
          </w:tcPr>
          <w:p w:rsidRPr="00C77862" w:rsidR="00773E8D" w:rsidP="00BE1F8F" w:rsidRDefault="00773E8D" w14:paraId="17A18F4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+32 25469909</w:t>
            </w:r>
          </w:p>
        </w:tc>
      </w:tr>
      <w:tr w:rsidRPr="00773E8D" w:rsidR="00773E8D" w:rsidTr="00BE1F8F" w14:paraId="161B9255" w14:textId="77777777">
        <w:tc>
          <w:tcPr>
            <w:tcW w:w="1668" w:type="dxa"/>
          </w:tcPr>
          <w:p w:rsidRPr="00773E8D" w:rsidR="00773E8D" w:rsidP="00BE1F8F" w:rsidRDefault="00773E8D" w14:paraId="2127680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512" w:type="dxa"/>
          </w:tcPr>
          <w:p w:rsidRPr="00C77862" w:rsidR="00773E8D" w:rsidP="00BE1F8F" w:rsidRDefault="00377488" w14:paraId="7FCDD2C3" w14:textId="2AECDE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26">
              <w:r w:rsidR="00773E8D">
                <w:rPr>
                  <w:i/>
                  <w:color w:val="0000FF"/>
                  <w:u w:val="single"/>
                </w:rPr>
                <w:t>Gerald.Klec@eesc.europa.eu</w:t>
              </w:r>
            </w:hyperlink>
          </w:p>
        </w:tc>
      </w:tr>
    </w:tbl>
    <w:p w:rsidR="009B199C" w:rsidP="00BE1F8F" w:rsidRDefault="009B199C" w14:paraId="26817FC4" w14:textId="77777777">
      <w:pPr>
        <w:jc w:val="left"/>
      </w:pPr>
      <w:r>
        <w:br w:type="page"/>
      </w:r>
    </w:p>
    <w:p w:rsidRPr="00BE1F8F" w:rsidR="009B199C" w:rsidP="00BE1F8F" w:rsidRDefault="00377488" w14:paraId="510F45CA" w14:textId="58C2B1A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</w:pPr>
      <w:hyperlink w:history="1" r:id="rId27">
        <w:r w:rsidR="001B5116">
          <w:rPr>
            <w:b/>
            <w:i/>
            <w:color w:val="0000FF"/>
            <w:sz w:val="28"/>
            <w:u w:val="single"/>
          </w:rPr>
          <w:t>A 2027 utáni kohéziós politika eredményorientáltságának fokozása – kihívások, kockázatok és lehetőségek</w:t>
        </w:r>
      </w:hyperlink>
    </w:p>
    <w:p w:rsidRPr="00BE1F8F" w:rsidR="009B199C" w:rsidP="00BE1F8F" w:rsidRDefault="009B199C" w14:paraId="51F52A14" w14:textId="77777777">
      <w:pPr>
        <w:widowControl w:val="0"/>
        <w:overflowPunct w:val="0"/>
        <w:autoSpaceDE w:val="0"/>
        <w:autoSpaceDN w:val="0"/>
        <w:adjustRightInd w:val="0"/>
        <w:ind w:left="283"/>
        <w:textAlignment w:val="baseline"/>
        <w:rPr>
          <w:b/>
          <w:i/>
          <w:iCs/>
          <w:sz w:val="12"/>
          <w:szCs w:val="1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792ABA" w:rsidR="009B199C" w:rsidTr="00A3780E" w14:paraId="5BC5C730" w14:textId="77777777">
        <w:tc>
          <w:tcPr>
            <w:tcW w:w="1701" w:type="dxa"/>
          </w:tcPr>
          <w:p w:rsidRPr="00792ABA" w:rsidR="009B199C" w:rsidP="00BE1F8F" w:rsidRDefault="009B199C" w14:paraId="455C16F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</w:t>
            </w:r>
          </w:p>
          <w:p w:rsidRPr="00792ABA" w:rsidR="009B199C" w:rsidP="00BE1F8F" w:rsidRDefault="009B199C" w14:paraId="78EA939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Társelőadó</w:t>
            </w:r>
          </w:p>
        </w:tc>
        <w:tc>
          <w:tcPr>
            <w:tcW w:w="7479" w:type="dxa"/>
          </w:tcPr>
          <w:p w:rsidRPr="009B596B" w:rsidR="009B199C" w:rsidP="00BE1F8F" w:rsidRDefault="009B199C" w14:paraId="5A2D0416" w14:textId="40276D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David SVENTEK (Munkáltatók/CZ)</w:t>
            </w:r>
          </w:p>
          <w:p w:rsidRPr="00792ABA" w:rsidR="005F41D0" w:rsidP="00BE1F8F" w:rsidRDefault="009B199C" w14:paraId="0C02A021" w14:textId="4BEC0AE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Florian MARIN (Munkavállalók csoportja/RO)</w:t>
            </w:r>
          </w:p>
        </w:tc>
      </w:tr>
      <w:tr w:rsidRPr="00792ABA" w:rsidR="009B199C" w:rsidTr="00A3780E" w14:paraId="4A10BF69" w14:textId="77777777">
        <w:tc>
          <w:tcPr>
            <w:tcW w:w="1701" w:type="dxa"/>
          </w:tcPr>
          <w:p w:rsidRPr="00792ABA" w:rsidR="009B199C" w:rsidP="00BE1F8F" w:rsidRDefault="009B199C" w14:paraId="4D7754ED" w14:textId="396C246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7479" w:type="dxa"/>
          </w:tcPr>
          <w:p w:rsidRPr="00792ABA" w:rsidR="009B199C" w:rsidP="00BE1F8F" w:rsidRDefault="009B199C" w14:paraId="7601F5CA" w14:textId="00E8D08D">
            <w:pPr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Feltáró vélemény az EU Tanácsa lengyel elnökségének felkérésére</w:t>
            </w:r>
          </w:p>
          <w:p w:rsidRPr="00792ABA" w:rsidR="009B199C" w:rsidP="00BE1F8F" w:rsidRDefault="009B199C" w14:paraId="443F4397" w14:textId="7E955EB3">
            <w:pPr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EESC-2024-03481-00-00-AC</w:t>
            </w:r>
          </w:p>
        </w:tc>
      </w:tr>
    </w:tbl>
    <w:p w:rsidRPr="00C43D3E" w:rsidR="009B199C" w:rsidP="00BE1F8F" w:rsidRDefault="009B199C" w14:paraId="7F8C0AE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p w:rsidRPr="00792ABA" w:rsidR="009B199C" w:rsidP="00BE1F8F" w:rsidRDefault="009B199C" w14:paraId="3A8AAE4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C43D3E" w:rsidR="009B199C" w:rsidP="00BE1F8F" w:rsidRDefault="009B199C" w14:paraId="754DF2A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p w:rsidR="009B199C" w:rsidP="00BE1F8F" w:rsidRDefault="009B199C" w14:paraId="4A63B8D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iCs/>
          <w:szCs w:val="20"/>
        </w:rPr>
      </w:pPr>
      <w:r>
        <w:t>Az EGSZB:</w:t>
      </w:r>
    </w:p>
    <w:p w:rsidRPr="00792ABA" w:rsidR="009B199C" w:rsidP="00BE1F8F" w:rsidRDefault="009B199C" w14:paraId="6EB77383" w14:textId="77777777">
      <w:pPr>
        <w:keepNext/>
        <w:keepLines/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határozottan támogatja az uniós kohéziós politika folytatását, és úgy véli, hogy a kohéziós politika mögött meghúzódó indokok világosak, észszerűek és jogosak. Másrészt elismeri, hogy a kohéziós politikát korszerűsítésre és kiigazításra szorul, tükrözve a fejlődési tendenciákat és szükségleteket,</w:t>
      </w:r>
    </w:p>
    <w:p w:rsidRPr="00792ABA" w:rsidR="009B199C" w:rsidP="00BE1F8F" w:rsidRDefault="009B199C" w14:paraId="0ED74D26" w14:textId="77777777">
      <w:pPr>
        <w:keepNext/>
        <w:keepLines/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rFonts w:ascii="Calibri" w:hAnsi="Calibri"/>
          <w:bCs/>
          <w:iCs/>
        </w:rPr>
      </w:pPr>
      <w:r>
        <w:t>úgy véli, hogy a kohéziós politika uniós költségvetésének jelenlegi részarányát nem szabad csökkenteni a következő többéves pénzügyi keretben, hanem növelni kell azt,</w:t>
      </w:r>
    </w:p>
    <w:p w:rsidRPr="00792ABA" w:rsidR="009B199C" w:rsidP="00BE1F8F" w:rsidRDefault="009B199C" w14:paraId="74B75549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ajánlja, hogy a kohéziós politikát a jövőben a következő általános elvek szerint irányítsák: partnerség (beleértve a szervezett civil társadalom aktív közreműködését is); megosztott irányítás (kiegyensúlyozott részvétel az uniós, nemzeti és regionális hatóságok között); többszintű kormányzás (beleértve a régiókat, a városokat, a helyi önkormányzatokat és az érdekelt feleket); helyi alapú megközelítés (alulról építkező megközelítést alkalmazva); tematikus koncentráció (amely összekapcsolódik az európai szemeszter folyamatával); területi célmeghatározás (a regionális sajátosságok alapján is); eredményorientáltság (azzal a feltétellel, hogy valós és számszerűsített előnyöket érnek el); a finanszírozott beruházások (a szabályok, az eljárások és az adminisztratív követelmények) egyszerűsítése és szociális feltételessége,</w:t>
      </w:r>
    </w:p>
    <w:p w:rsidRPr="00792ABA" w:rsidR="009B199C" w:rsidP="00BE1F8F" w:rsidRDefault="009B199C" w14:paraId="384FD159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úgy véli, hogy egy jövőbeli, eredményorientált kohéziós politikában egyértelműen figyelembe kell venni a geopolitikai kihívásokat, be kell ruházni a kapacitásépítésbe, és meg kell szilárdítani a partnerség elvét,</w:t>
      </w:r>
    </w:p>
    <w:p w:rsidRPr="00792ABA" w:rsidR="009B199C" w:rsidP="00BE1F8F" w:rsidRDefault="009B199C" w14:paraId="691F18AC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hangsúlyozza, hogy az eredményalapú megközelítés alapelvvé tétele hozzájárul a korlátozott kohéziós politikai források hatékonyabb elosztásához, valamint látható és átlátható előnyökkel jár,</w:t>
      </w:r>
    </w:p>
    <w:p w:rsidRPr="00792ABA" w:rsidR="009B199C" w:rsidP="00BE1F8F" w:rsidRDefault="009B199C" w14:paraId="69027A6A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úgy véli, hogy az eredményalapú megközelítés bevezetéséből eredő kötelezettségeket nem szabad hozzáadni azokhoz a meglévő ellenőrzési és ellenőrzési folyamatokhoz, amelyek a kohéziós alapokból finanszírozott projektekre fordított kiadások eredményességét, hatékonyságát és gazdaságosságát ellenőrzik,</w:t>
      </w:r>
    </w:p>
    <w:p w:rsidRPr="00792ABA" w:rsidR="009B199C" w:rsidP="00BE1F8F" w:rsidRDefault="009B199C" w14:paraId="1F1F1EFC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mélyen meg van győződve arról, hogy a kohéziós politika tartalmának és irányvonalának valamennyi szükséges módosítása ellenére a politika középpontjában továbbra is a régiók és azok sajátos, fejlesztéssel és rezilienciával kapcsolatos igényei kell, hogy álljanak, ugyanakkor törekedni kell az egyenlőtlenségek csökkentésére is,</w:t>
      </w:r>
    </w:p>
    <w:p w:rsidRPr="00792ABA" w:rsidR="009B199C" w:rsidP="00BE1F8F" w:rsidRDefault="009B199C" w14:paraId="07F4614C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úgy véli, hogy nagyobb figyelmet kell fordítani a területfejlesztés strukturális összetevőinek tekinthető szociális beruházásokra, köztük a lakhatásra, valamint a jó minőségű közszolgáltatásokhoz való hozzáférésre és a demográfiai kihívásokra, </w:t>
      </w:r>
    </w:p>
    <w:p w:rsidRPr="00792ABA" w:rsidR="009B199C" w:rsidP="00BE1F8F" w:rsidRDefault="009B199C" w14:paraId="4545597B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ajánlja, hogy teremtsenek egy olyan átlátható politikai környezetet, ahol az egyes érdekelt felek – köztük a szervezett civil társadalom képviselői – egyértelműen meghatározott álláspontot képviselnek,</w:t>
      </w:r>
    </w:p>
    <w:p w:rsidRPr="00C43D3E" w:rsidR="009B199C" w:rsidP="00BE1F8F" w:rsidRDefault="009B199C" w14:paraId="1086985B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  <w:spacing w:val="-2"/>
        </w:rPr>
      </w:pPr>
      <w:r>
        <w:t>tisztában van azzal, hogy mennyire összetett a rendszer, amelyet nagymértékben egyszerűsíteni kell és átláthatóbbá kell tenni,</w:t>
      </w:r>
    </w:p>
    <w:p w:rsidRPr="00792ABA" w:rsidR="009B199C" w:rsidP="00BE1F8F" w:rsidRDefault="009B199C" w14:paraId="168F9847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rFonts w:ascii="Calibri" w:hAnsi="Calibri"/>
          <w:bCs/>
          <w:iCs/>
        </w:rPr>
      </w:pPr>
      <w:r>
        <w:lastRenderedPageBreak/>
        <w:t>hangsúlyozza, hogy – különösen az EU gazdasági és társadalmi fejlődésének jelenlegi és következő időszakában – a konvergencia és a fenntartható versenyképesség nem mond ellent egymásnak.</w:t>
      </w:r>
    </w:p>
    <w:p w:rsidR="009B199C" w:rsidP="00BE1F8F" w:rsidRDefault="009B199C" w14:paraId="1DD19EA2" w14:textId="66A2333D">
      <w:pPr>
        <w:ind w:left="360"/>
        <w:contextualSpacing/>
        <w:rPr>
          <w:rFonts w:ascii="Calibri" w:hAnsi="Calibri"/>
          <w:bCs/>
          <w:iCs/>
          <w:sz w:val="16"/>
          <w:szCs w:val="16"/>
          <w:lang w:val="en-GB" w:eastAsia="zh-C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Pr="00792ABA" w:rsidR="00E14D8E" w:rsidTr="00BE1F8F" w14:paraId="6547EFA9" w14:textId="77777777">
        <w:tc>
          <w:tcPr>
            <w:tcW w:w="1668" w:type="dxa"/>
          </w:tcPr>
          <w:p w:rsidRPr="00792ABA" w:rsidR="00E14D8E" w:rsidP="00BE1F8F" w:rsidRDefault="00706D52" w14:paraId="4258610F" w14:textId="722F5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</w:t>
            </w:r>
            <w:r w:rsidR="00E14D8E">
              <w:rPr>
                <w:b/>
                <w:i/>
              </w:rPr>
              <w:t>:</w:t>
            </w:r>
          </w:p>
        </w:tc>
        <w:tc>
          <w:tcPr>
            <w:tcW w:w="7654" w:type="dxa"/>
          </w:tcPr>
          <w:p w:rsidRPr="00792ABA" w:rsidR="00E14D8E" w:rsidP="00BE1F8F" w:rsidRDefault="00E14D8E" w14:paraId="5390638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Georgios MELEAS</w:t>
            </w:r>
          </w:p>
        </w:tc>
      </w:tr>
      <w:tr w:rsidRPr="00792ABA" w:rsidR="00E14D8E" w:rsidTr="00BE1F8F" w14:paraId="5F576F6C" w14:textId="77777777">
        <w:tc>
          <w:tcPr>
            <w:tcW w:w="1668" w:type="dxa"/>
          </w:tcPr>
          <w:p w:rsidRPr="00792ABA" w:rsidR="00E14D8E" w:rsidP="00BE1F8F" w:rsidRDefault="00E14D8E" w14:paraId="13C225A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654" w:type="dxa"/>
          </w:tcPr>
          <w:p w:rsidRPr="00792ABA" w:rsidR="00E14D8E" w:rsidP="00BE1F8F" w:rsidRDefault="00E14D8E" w14:paraId="1A2A2EF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+ 32 2 5469795</w:t>
            </w:r>
          </w:p>
        </w:tc>
      </w:tr>
      <w:tr w:rsidRPr="00792ABA" w:rsidR="00E14D8E" w:rsidTr="00BE1F8F" w14:paraId="243EA6DE" w14:textId="77777777">
        <w:tc>
          <w:tcPr>
            <w:tcW w:w="1668" w:type="dxa"/>
          </w:tcPr>
          <w:p w:rsidRPr="00792ABA" w:rsidR="00E14D8E" w:rsidP="00BE1F8F" w:rsidRDefault="00E14D8E" w14:paraId="385A71F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654" w:type="dxa"/>
          </w:tcPr>
          <w:p w:rsidRPr="00792ABA" w:rsidR="00E14D8E" w:rsidP="00BE1F8F" w:rsidRDefault="00377488" w14:paraId="00D270D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28">
              <w:r w:rsidR="001B5116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:rsidR="00E14D8E" w:rsidP="00BE1F8F" w:rsidRDefault="00E14D8E" w14:paraId="14382163" w14:textId="77777777">
      <w:pPr>
        <w:jc w:val="left"/>
        <w:rPr>
          <w:rFonts w:ascii="Calibri" w:hAnsi="Calibri"/>
          <w:bCs/>
          <w:iCs/>
          <w:sz w:val="16"/>
          <w:szCs w:val="16"/>
        </w:rPr>
      </w:pPr>
      <w:r>
        <w:br w:type="page"/>
      </w:r>
    </w:p>
    <w:p w:rsidR="004D7AC0" w:rsidP="00BE1F8F" w:rsidRDefault="004D7AC0" w14:paraId="4982DD99" w14:textId="77777777">
      <w:pPr>
        <w:pStyle w:val="Heading1"/>
        <w:keepNext/>
        <w:keepLines/>
        <w:rPr>
          <w:b/>
        </w:rPr>
      </w:pPr>
      <w:bookmarkStart w:name="_Toc192059218" w:id="1"/>
      <w:bookmarkStart w:name="_Toc192059438" w:id="2"/>
      <w:bookmarkStart w:name="_Toc192060291" w:id="3"/>
      <w:bookmarkStart w:name="_Toc192060608" w:id="4"/>
      <w:bookmarkStart w:name="_Toc192059219" w:id="5"/>
      <w:bookmarkStart w:name="_Toc192059439" w:id="6"/>
      <w:bookmarkStart w:name="_Toc192060292" w:id="7"/>
      <w:bookmarkStart w:name="_Toc192060609" w:id="8"/>
      <w:bookmarkStart w:name="_Toc75527081" w:id="9"/>
      <w:bookmarkStart w:name="_Toc192843554" w:id="1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</w:rPr>
        <w:lastRenderedPageBreak/>
        <w:t>FOGLALKOZTATÁS- ÉS SZOCIÁLPOLITIKA, UNIÓS POLGÁRSÁG</w:t>
      </w:r>
      <w:bookmarkEnd w:id="9"/>
      <w:bookmarkEnd w:id="10"/>
    </w:p>
    <w:p w:rsidR="004D7AC0" w:rsidP="00BE1F8F" w:rsidRDefault="004D7AC0" w14:paraId="4982DD9A" w14:textId="77777777">
      <w:pPr>
        <w:keepNext/>
        <w:keepLines/>
      </w:pPr>
    </w:p>
    <w:p w:rsidRPr="00B4456F" w:rsidR="005820A0" w:rsidP="00BE1F8F" w:rsidRDefault="00377488" w14:paraId="1351645C" w14:textId="5889E84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24"/>
          <w:szCs w:val="24"/>
        </w:rPr>
      </w:pPr>
      <w:hyperlink w:history="1" r:id="rId29">
        <w:r w:rsidR="001B5116">
          <w:rPr>
            <w:rStyle w:val="Hyperlink"/>
            <w:b/>
            <w:i/>
            <w:sz w:val="28"/>
          </w:rPr>
          <w:t>A magány kezelése: a demográfiai kohéziót szolgáló intézkedések megerősítése</w:t>
        </w:r>
      </w:hyperlink>
    </w:p>
    <w:p w:rsidRPr="00B4456F" w:rsidR="005820A0" w:rsidP="00BE1F8F" w:rsidRDefault="005820A0" w14:paraId="3483E009" w14:textId="77777777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07"/>
        <w:gridCol w:w="7573"/>
      </w:tblGrid>
      <w:tr w:rsidRPr="00B4456F" w:rsidR="005820A0" w:rsidTr="00A3780E" w14:paraId="67BD490D" w14:textId="77777777">
        <w:tc>
          <w:tcPr>
            <w:tcW w:w="1607" w:type="dxa"/>
          </w:tcPr>
          <w:p w:rsidRPr="00C43D3E" w:rsidR="005820A0" w:rsidP="00BE1F8F" w:rsidRDefault="005820A0" w14:paraId="42367F1A" w14:textId="701C1F82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Előadó:</w:t>
            </w:r>
          </w:p>
        </w:tc>
        <w:tc>
          <w:tcPr>
            <w:tcW w:w="7573" w:type="dxa"/>
          </w:tcPr>
          <w:p w:rsidRPr="00C43D3E" w:rsidR="005820A0" w:rsidP="00BE1F8F" w:rsidRDefault="005820A0" w14:paraId="3FB6ED60" w14:textId="3DA0CD80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>
              <w:rPr>
                <w:sz w:val="20"/>
              </w:rPr>
              <w:t>Miguel Ángel CABRA DE LUNA (Civil társadalmi szervezetek csoportja/ES)</w:t>
            </w:r>
          </w:p>
        </w:tc>
      </w:tr>
      <w:tr w:rsidRPr="00B4456F" w:rsidR="005820A0" w:rsidTr="00A3780E" w14:paraId="6076883C" w14:textId="77777777">
        <w:tc>
          <w:tcPr>
            <w:tcW w:w="1607" w:type="dxa"/>
            <w:vMerge w:val="restart"/>
          </w:tcPr>
          <w:p w:rsidRPr="00C43D3E" w:rsidR="005820A0" w:rsidP="00BE1F8F" w:rsidRDefault="005820A0" w14:paraId="544AEDE8" w14:textId="4C4437C3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Hivatkozás:</w:t>
            </w:r>
          </w:p>
        </w:tc>
        <w:tc>
          <w:tcPr>
            <w:tcW w:w="7573" w:type="dxa"/>
          </w:tcPr>
          <w:p w:rsidRPr="00C43D3E" w:rsidR="005820A0" w:rsidP="00BE1F8F" w:rsidRDefault="005820A0" w14:paraId="5995BCBD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>
              <w:rPr>
                <w:sz w:val="20"/>
              </w:rPr>
              <w:t>saját kezdeményezésű vélemény</w:t>
            </w:r>
          </w:p>
        </w:tc>
      </w:tr>
      <w:tr w:rsidRPr="00B4456F" w:rsidR="005820A0" w:rsidTr="00A3780E" w14:paraId="4CBB60AE" w14:textId="77777777">
        <w:tc>
          <w:tcPr>
            <w:tcW w:w="1607" w:type="dxa"/>
            <w:vMerge/>
          </w:tcPr>
          <w:p w:rsidRPr="00C43D3E" w:rsidR="005820A0" w:rsidP="00BE1F8F" w:rsidRDefault="005820A0" w14:paraId="3E553D04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7573" w:type="dxa"/>
          </w:tcPr>
          <w:p w:rsidRPr="00C43D3E" w:rsidR="005820A0" w:rsidP="00BE1F8F" w:rsidRDefault="005820A0" w14:paraId="67128669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>
              <w:rPr>
                <w:sz w:val="20"/>
              </w:rPr>
              <w:t>EESC-2024-03264-00-00-AC</w:t>
            </w:r>
          </w:p>
        </w:tc>
      </w:tr>
    </w:tbl>
    <w:p w:rsidRPr="00B4456F" w:rsidR="005820A0" w:rsidP="00BE1F8F" w:rsidRDefault="005820A0" w14:paraId="4B78DAB0" w14:textId="77777777">
      <w:pPr>
        <w:tabs>
          <w:tab w:val="center" w:pos="284"/>
        </w:tabs>
        <w:ind w:left="266" w:hanging="266"/>
      </w:pPr>
    </w:p>
    <w:p w:rsidRPr="00B4456F" w:rsidR="005820A0" w:rsidP="00BE1F8F" w:rsidRDefault="005820A0" w14:paraId="766A65DB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Főbb pontok</w:t>
      </w:r>
    </w:p>
    <w:p w:rsidRPr="00B4456F" w:rsidR="005820A0" w:rsidP="00BE1F8F" w:rsidRDefault="005820A0" w14:paraId="6AD26D2E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B4456F" w:rsidR="005820A0" w:rsidP="00BE1F8F" w:rsidRDefault="005820A0" w14:paraId="25B369D6" w14:textId="77777777">
      <w:pPr>
        <w:rPr>
          <w:bCs/>
          <w:iCs/>
        </w:rPr>
      </w:pPr>
      <w:r>
        <w:t>Az EGSZB:</w:t>
      </w:r>
    </w:p>
    <w:p w:rsidRPr="00393DF5" w:rsidR="005820A0" w:rsidP="00BE1F8F" w:rsidRDefault="005820A0" w14:paraId="6EEFEE69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arra kéri az Európai Bizottságot, hogy a 2025–2029-es hivatali ideje alatt fogadjon el egy olyan európai stratégiát a magány kezelésére, amely magában foglalná a magánnyal kapcsolatos ismeretek bővítését, a meglévő intézkedések elemzését és értékelését, interszekcionális megközelítés alkalmazását, a magány kiváltó okainak kezelését preventív megközelítéssel, a figyelemfelkeltést és a megbélyegzés megszüntetését, az egészségügyi rendszerekre nehezedő nyomás enyhítését és pénzügyi támogatás mozgósítását,</w:t>
      </w:r>
    </w:p>
    <w:p w:rsidRPr="00393DF5" w:rsidR="005820A0" w:rsidP="00BE1F8F" w:rsidRDefault="005820A0" w14:paraId="059A30C7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kiemeli, hogy a civil társadalmi szervezetek alapvető szerepet játszanak a magány elleni küzdelemben, és elismeri, hogy a szociális partnerek is hozzájárulhatnak ehhez,</w:t>
      </w:r>
    </w:p>
    <w:p w:rsidRPr="00393DF5" w:rsidR="005820A0" w:rsidP="00BE1F8F" w:rsidRDefault="005820A0" w14:paraId="074DF4E0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kéri, hogy az idősekre vonatkozó európai stratégia (SOC/757. sz. vélemény) és a nemzedékek közötti méltányosságra vonatkozó jövőbeli európai stratégia (SOC/800. sz. vélemény) részeként uniós szinten dolgozzanak ki konkrét intézkedéseket a magány ellen, beleértve a nemzeti terveket is,</w:t>
      </w:r>
    </w:p>
    <w:p w:rsidRPr="00393DF5" w:rsidR="005820A0" w:rsidP="00BE1F8F" w:rsidRDefault="005820A0" w14:paraId="54B7D9CA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úgy véli, hogy a stratégiáknak az egész élettartamot tekintve kell foglalkozniuk a magánnyal, hangsúlyt helyezve az életszakasz-váltásokra. Magas szintű irányításra is szükség van, és be kell vonni valamennyi érdekelt felet, köztük a közigazgatási szerveket (különösen a helyi önkormányzatokat), a szervezett civil társadalmat, a szociális partnereket, a szociális gazdaságot és a médiát,</w:t>
      </w:r>
    </w:p>
    <w:p w:rsidRPr="00393DF5" w:rsidR="005820A0" w:rsidP="00BE1F8F" w:rsidRDefault="005820A0" w14:paraId="2C2AFEDD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kéri az Európai Bizottságot, hogy folytassa a magánnyal kapcsolatban az Európai Parlament kérésére 2022-ben elindított kísérleti projektet,</w:t>
      </w:r>
    </w:p>
    <w:p w:rsidRPr="00393DF5" w:rsidR="005820A0" w:rsidP="00BE1F8F" w:rsidRDefault="005820A0" w14:paraId="08802E05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kéri, hogy a magány dimenzióját foglalják bele az „ifjúsági teszt” nevű jövőbeli kezdeményezésbe,</w:t>
      </w:r>
    </w:p>
    <w:p w:rsidRPr="00393DF5" w:rsidR="005820A0" w:rsidP="00BE1F8F" w:rsidRDefault="005820A0" w14:paraId="38721F1A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ösztönzi a Régiók Európai Bizottságát, hogy vegyen részt a javasolt stratégiában.</w:t>
      </w:r>
    </w:p>
    <w:p w:rsidRPr="00B4456F" w:rsidR="005820A0" w:rsidP="00BE1F8F" w:rsidRDefault="005820A0" w14:paraId="0D200582" w14:textId="77777777">
      <w:pPr>
        <w:widowControl w:val="0"/>
        <w:ind w:left="709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Pr="00BE1F8F" w:rsidR="005820A0" w:rsidTr="00BE1F8F" w14:paraId="7592C7BE" w14:textId="77777777">
        <w:tc>
          <w:tcPr>
            <w:tcW w:w="1668" w:type="dxa"/>
          </w:tcPr>
          <w:p w:rsidRPr="00BE1F8F" w:rsidR="005820A0" w:rsidP="00BE1F8F" w:rsidRDefault="00706D52" w14:paraId="208016A2" w14:textId="4FA588BD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</w:rPr>
              <w:t>Kapcsolattartó</w:t>
            </w:r>
            <w:r w:rsidR="005820A0">
              <w:rPr>
                <w:b/>
                <w:i/>
                <w:sz w:val="20"/>
              </w:rPr>
              <w:t>:</w:t>
            </w:r>
          </w:p>
        </w:tc>
        <w:tc>
          <w:tcPr>
            <w:tcW w:w="7512" w:type="dxa"/>
          </w:tcPr>
          <w:p w:rsidRPr="00BE1F8F" w:rsidR="005820A0" w:rsidP="00BE1F8F" w:rsidRDefault="005820A0" w14:paraId="6CF1067D" w14:textId="712D96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Valeria Atzori</w:t>
            </w:r>
          </w:p>
        </w:tc>
      </w:tr>
      <w:tr w:rsidRPr="00BE1F8F" w:rsidR="005820A0" w:rsidTr="00BE1F8F" w14:paraId="6C8121C6" w14:textId="77777777">
        <w:tc>
          <w:tcPr>
            <w:tcW w:w="1668" w:type="dxa"/>
          </w:tcPr>
          <w:p w:rsidRPr="00BE1F8F" w:rsidR="005820A0" w:rsidP="00BE1F8F" w:rsidRDefault="005820A0" w14:paraId="1B05B83D" w14:textId="43B7C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Tel.:</w:t>
            </w:r>
          </w:p>
        </w:tc>
        <w:tc>
          <w:tcPr>
            <w:tcW w:w="7512" w:type="dxa"/>
          </w:tcPr>
          <w:p w:rsidRPr="00BE1F8F" w:rsidR="005820A0" w:rsidP="00BE1F8F" w:rsidRDefault="005820A0" w14:paraId="4579CB82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+32 254 68 774</w:t>
            </w:r>
          </w:p>
        </w:tc>
      </w:tr>
      <w:tr w:rsidRPr="00BE1F8F" w:rsidR="005820A0" w:rsidTr="00BE1F8F" w14:paraId="7DF31CE8" w14:textId="77777777">
        <w:trPr>
          <w:trHeight w:val="285"/>
        </w:trPr>
        <w:tc>
          <w:tcPr>
            <w:tcW w:w="1668" w:type="dxa"/>
          </w:tcPr>
          <w:p w:rsidRPr="00BE1F8F" w:rsidR="005820A0" w:rsidP="00BE1F8F" w:rsidRDefault="005820A0" w14:paraId="30F9AA2F" w14:textId="7B8A8D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E-mail:</w:t>
            </w:r>
          </w:p>
        </w:tc>
        <w:tc>
          <w:tcPr>
            <w:tcW w:w="7512" w:type="dxa"/>
          </w:tcPr>
          <w:p w:rsidRPr="00BE1F8F" w:rsidR="005820A0" w:rsidP="00BE1F8F" w:rsidRDefault="00377488" w14:paraId="75028D49" w14:textId="77777777">
            <w:pPr>
              <w:rPr>
                <w:i/>
                <w:iCs/>
                <w:sz w:val="20"/>
                <w:szCs w:val="20"/>
              </w:rPr>
            </w:pPr>
            <w:hyperlink w:history="1" r:id="rId30">
              <w:r w:rsidR="001B5116">
                <w:rPr>
                  <w:rStyle w:val="Hyperlink"/>
                  <w:i/>
                  <w:sz w:val="20"/>
                </w:rPr>
                <w:t>Valeria.Atzori@eesc.europa.eu</w:t>
              </w:r>
            </w:hyperlink>
          </w:p>
        </w:tc>
      </w:tr>
    </w:tbl>
    <w:p w:rsidR="005820A0" w:rsidP="00BE1F8F" w:rsidRDefault="005820A0" w14:paraId="1C8B6452" w14:textId="77777777">
      <w:pPr>
        <w:jc w:val="left"/>
      </w:pPr>
    </w:p>
    <w:p w:rsidR="005820A0" w:rsidP="00BE1F8F" w:rsidRDefault="005820A0" w14:paraId="18575FDC" w14:textId="77777777">
      <w:pPr>
        <w:jc w:val="left"/>
      </w:pPr>
      <w:r>
        <w:br w:type="page"/>
      </w:r>
    </w:p>
    <w:p w:rsidRPr="00BE1F8F" w:rsidR="006D1DFA" w:rsidP="00BE1F8F" w:rsidRDefault="00377488" w14:paraId="4A9CF9A9" w14:textId="0D522BB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hyperlink w:history="1" r:id="rId31">
        <w:r w:rsidR="001B5116">
          <w:rPr>
            <w:b/>
            <w:i/>
            <w:color w:val="0000FF"/>
            <w:sz w:val="28"/>
            <w:u w:val="single"/>
          </w:rPr>
          <w:t>A nők elleni erőszak mint emberi jogi kérdés: az Unió-szerte hozott intézkedések aktuális állása</w:t>
        </w:r>
      </w:hyperlink>
    </w:p>
    <w:p w:rsidRPr="006D1DFA" w:rsidR="006D1DFA" w:rsidP="00BE1F8F" w:rsidRDefault="006D1DFA" w14:paraId="0322A41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834"/>
        <w:gridCol w:w="7488"/>
      </w:tblGrid>
      <w:tr w:rsidRPr="00BA71AC" w:rsidR="006D1DFA" w:rsidTr="00BE1F8F" w14:paraId="4E8132D8" w14:textId="77777777">
        <w:tc>
          <w:tcPr>
            <w:tcW w:w="1834" w:type="dxa"/>
          </w:tcPr>
          <w:p w:rsidRPr="006D1DFA" w:rsidR="006D1DFA" w:rsidP="00BE1F8F" w:rsidRDefault="006D1DFA" w14:paraId="62FE863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488" w:type="dxa"/>
          </w:tcPr>
          <w:p w:rsidRPr="006D1DFA" w:rsidR="006D1DFA" w:rsidP="00BE1F8F" w:rsidRDefault="006D1DFA" w14:paraId="59709140" w14:textId="777777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José Antonio MORENO DÍAZ (Munkavállalók/ES)</w:t>
            </w:r>
          </w:p>
        </w:tc>
      </w:tr>
      <w:tr w:rsidRPr="006D1DFA" w:rsidR="006D1DFA" w:rsidTr="00BE1F8F" w14:paraId="30BC9238" w14:textId="77777777">
        <w:tc>
          <w:tcPr>
            <w:tcW w:w="1834" w:type="dxa"/>
          </w:tcPr>
          <w:p w:rsidRPr="006D1DFA" w:rsidR="006D1DFA" w:rsidP="00BE1F8F" w:rsidRDefault="006D1DFA" w14:paraId="4D88663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7488" w:type="dxa"/>
          </w:tcPr>
          <w:p w:rsidRPr="006D1DFA" w:rsidR="006D1DFA" w:rsidP="00BE1F8F" w:rsidRDefault="006D1DFA" w14:paraId="04C5BBA6" w14:textId="2463552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Dovilė JUODKAITĖ (Civil társadalmi szervezetek/LT)</w:t>
            </w:r>
          </w:p>
        </w:tc>
      </w:tr>
      <w:tr w:rsidRPr="006D1DFA" w:rsidR="006D1DFA" w:rsidTr="00BE1F8F" w14:paraId="51A5C160" w14:textId="77777777">
        <w:tc>
          <w:tcPr>
            <w:tcW w:w="1834" w:type="dxa"/>
          </w:tcPr>
          <w:p w:rsidRPr="006D1DFA" w:rsidR="006D1DFA" w:rsidP="00BE1F8F" w:rsidRDefault="006D1DFA" w14:paraId="1546DA25" w14:textId="112DF3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7488" w:type="dxa"/>
          </w:tcPr>
          <w:p w:rsidRPr="00C43D3E" w:rsidR="00C87D91" w:rsidP="00BE1F8F" w:rsidRDefault="00C87D91" w14:paraId="4F80F6D2" w14:textId="5951F9F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Saját kezdeményezésű vélemény</w:t>
            </w:r>
          </w:p>
          <w:p w:rsidRPr="00C43D3E" w:rsidR="006D1DFA" w:rsidP="00BE1F8F" w:rsidRDefault="006D1DFA" w14:paraId="5A2B7EA1" w14:textId="6B30F05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EESC-2024-01831-00-00-AC</w:t>
            </w:r>
          </w:p>
        </w:tc>
      </w:tr>
    </w:tbl>
    <w:p w:rsidRPr="00BE1F8F" w:rsidR="0083181F" w:rsidP="00BE1F8F" w:rsidRDefault="0083181F" w14:paraId="2171E13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p w:rsidRPr="006D1DFA" w:rsidR="006D1DFA" w:rsidP="00BE1F8F" w:rsidRDefault="006D1DFA" w14:paraId="5EF86660" w14:textId="2D834EC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BE1F8F" w:rsidR="006D1DFA" w:rsidP="00BE1F8F" w:rsidRDefault="006D1DFA" w14:paraId="7A7C5D4B" w14:textId="77777777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val="en-GB"/>
        </w:rPr>
      </w:pPr>
    </w:p>
    <w:p w:rsidR="006D1DFA" w:rsidP="00BE1F8F" w:rsidRDefault="006D1DFA" w14:paraId="10140015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Az EGSZB:</w:t>
      </w:r>
    </w:p>
    <w:p w:rsidRPr="006D1DFA" w:rsidR="006D1DFA" w:rsidP="00BE1F8F" w:rsidRDefault="006D1DFA" w14:paraId="6A53E697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emlékeztet arra, hogy a nők és lányok elleni erőszak emberi jogi jogsértés és a nemi alapú megkülönböztetés egyik legszívósabb formája. Kéri, hogy ratifikálják és hajtsák végre az Európa Tanácsnak a nőkkel szembeni erőszak és a kapcsolati erőszak elleni küzdelemről és azok megelőzéséről szóló egyezményét (isztambuli egyezmény), valamint a Nemzetközi Munkaügyi Szervezet erőszak és zaklatás elleni 190. sz. egyezményét (különösen annak 206. ajánlását), egyúttal pedig mindkét egyezmény összes tagállamon belüli, illetve maga az EU általi előmozdítását és végrehajtását szorgalmazza,</w:t>
      </w:r>
    </w:p>
    <w:p w:rsidRPr="006D1DFA" w:rsidR="006D1DFA" w:rsidP="00BE1F8F" w:rsidRDefault="006D1DFA" w14:paraId="2FC21B34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úgy véli, hogy a nőkkel szembeni erőszak és a kapcsolati erőszak elleni küzdelemről szóló (EU) 2024/1385 irányelvnek foglalkoznia kell a nők elleni erőszak minden olyan formájával, amelyre még nem terjed ki, így többek között az intézményi erőszakkal, a prostitúcióval, a kereskedelmi vagy kizsákmányolási célú pornográfiával, a reproduktív kizsákmányolással, a helyettes erőszakkal, a vegyi anyagokkal történő befolyásolással és az utcai zaklatással, valamint a szexuális és nemi alapú zaklatással és a fogyatékossággal élő nők kényszersterilizálásával,</w:t>
      </w:r>
    </w:p>
    <w:p w:rsidRPr="006D1DFA" w:rsidR="006D1DFA" w:rsidP="00BE1F8F" w:rsidRDefault="006D1DFA" w14:paraId="449A6664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kéri, hogy a szexuális erőszakot és a szexuális kényszerítést az erőszak egyik formájaként foglalják bele az irányelvbe, és a beleegyezés hiányát véve alapul nyilvánítsák bűncselekménnyé. A szexuális erőszakkal összefüggésben meg kell határozni a „beleegyezés” fogalmát. A nemi alapú erőszakot, beleértve a nemi erőszakot is, fel kell venni az uniós dimenziójú bűncselekményeknek az EUMSZ 83. cikke (1) bekezdésében foglalt listájába,</w:t>
      </w:r>
    </w:p>
    <w:p w:rsidRPr="006D1DFA" w:rsidR="006D1DFA" w:rsidP="00BE1F8F" w:rsidRDefault="006D1DFA" w14:paraId="7256F59F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aggodalmát fejezi ki amiatt, hogy a prostitúció alkotóelemeit képező fizikai, lelki és szexuális erőszakot, valamint a terhesség szabad és biztonságos, önkéntes megszakítására vonatkozó korlátozásokat nem vették figyelembe a nők elleni erőszak egyik formájaként, </w:t>
      </w:r>
    </w:p>
    <w:p w:rsidRPr="006D1DFA" w:rsidR="006D1DFA" w:rsidP="00BE1F8F" w:rsidRDefault="006D1DFA" w14:paraId="0D19D92A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hangsúlyozza, hogy a nők elleni erőszak minden formája jelentős közegészségügyi és klinikai egészségügyi gondot jelent, ugyanakkor kiemeli a fogyatékossággal élő nők, különösen a mentális egészségügyi problémákkal küzdő és pszichoszociális és/vagy értelmi fogyatékossággal élő nők által elszenvedett többszörös és interszekcionális megkülönböztetést, és kéri, hogy az ilyen típusú erőszakot tekintsék hosszú távú következményekkel járó közegészségügyi problémának. Kéri továbbá a fogyatékosság szerinti bontásban történő adatgyűjtést,</w:t>
      </w:r>
    </w:p>
    <w:p w:rsidRPr="006D1DFA" w:rsidR="006D1DFA" w:rsidP="00BE1F8F" w:rsidRDefault="006D1DFA" w14:paraId="33ACD23C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mélységes aggodalmát fejezi ki azon nézetek miatt, amelyek tagadják, hogy a nőkkel szembeni erőszak, amelyet a nők pusztán női mivoltuk miatt szenvednek el, az erőszak sajátos formája lenne, aláásva ezzel az EUMSZ 2. cikkében foglalt értékeket és elveket. Meggyőződése, hogy az oktatás – ideértve a szexuális nevelést is – döntő szerepet játszik a nemi szerepek és sztereotípiák alakításában, és felhív az oktatási közösség, a civil társadalmi szervezetek és a szociális partnerek bevonására a nemi alapú erőszak megelőzésére és leküzdésére irányuló intézményi együttműködésbe,</w:t>
      </w:r>
    </w:p>
    <w:p w:rsidRPr="00C43D3E" w:rsidR="006D1DFA" w:rsidP="00BE1F8F" w:rsidRDefault="006D1DFA" w14:paraId="080A278F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rFonts w:ascii="Calibri" w:hAnsi="Calibri"/>
        </w:rPr>
      </w:pPr>
      <w:r>
        <w:lastRenderedPageBreak/>
        <w:t>a szociális párbeszéd, a kollektív tárgyalások és a szociális partnerekkel folytatott szükséges tárgyalások keretében konkrét intézkedések meghozatalára hív fel a nemi alapú erőszak áldozatainak foglalkoztatása és foglalkoztathatóságának elősegítése érdekében.</w:t>
      </w:r>
    </w:p>
    <w:p w:rsidRPr="00BE1F8F" w:rsidR="0083181F" w:rsidP="00BE1F8F" w:rsidRDefault="0083181F" w14:paraId="1D0159F4" w14:textId="77777777">
      <w:pPr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rFonts w:ascii="Calibri" w:hAnsi="Calibri"/>
          <w:sz w:val="16"/>
          <w:szCs w:val="16"/>
          <w:lang w:val="en-GB"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7619"/>
      </w:tblGrid>
      <w:tr w:rsidRPr="006D1DFA" w:rsidR="006D1DFA" w:rsidTr="00BE1F8F" w14:paraId="4A8CFBCD" w14:textId="77777777">
        <w:trPr>
          <w:trHeight w:val="60"/>
        </w:trPr>
        <w:tc>
          <w:tcPr>
            <w:tcW w:w="898" w:type="pct"/>
            <w:hideMark/>
          </w:tcPr>
          <w:p w:rsidRPr="006D1DFA" w:rsidR="006D1DFA" w:rsidP="00BE1F8F" w:rsidRDefault="006D1DFA" w14:paraId="089C51A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102" w:type="pct"/>
            <w:hideMark/>
          </w:tcPr>
          <w:p w:rsidRPr="006D1DFA" w:rsidR="006D1DFA" w:rsidP="00BE1F8F" w:rsidRDefault="006D1DFA" w14:paraId="6FF5FA37" w14:textId="11C6C5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Gabriela Grasu</w:t>
            </w:r>
          </w:p>
        </w:tc>
      </w:tr>
      <w:tr w:rsidRPr="006D1DFA" w:rsidR="006D1DFA" w:rsidTr="00BE1F8F" w14:paraId="77817741" w14:textId="77777777">
        <w:tc>
          <w:tcPr>
            <w:tcW w:w="898" w:type="pct"/>
            <w:hideMark/>
          </w:tcPr>
          <w:p w:rsidRPr="006D1DFA" w:rsidR="006D1DFA" w:rsidP="00BE1F8F" w:rsidRDefault="006D1DFA" w14:paraId="1DA4D00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102" w:type="pct"/>
            <w:hideMark/>
          </w:tcPr>
          <w:p w:rsidRPr="006D1DFA" w:rsidR="006D1DFA" w:rsidP="00BE1F8F" w:rsidRDefault="006D1DFA" w14:paraId="56CC526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+32 25469162</w:t>
            </w:r>
          </w:p>
        </w:tc>
      </w:tr>
      <w:tr w:rsidRPr="006D1DFA" w:rsidR="006D1DFA" w:rsidTr="00BE1F8F" w14:paraId="6F84E5BA" w14:textId="77777777">
        <w:tc>
          <w:tcPr>
            <w:tcW w:w="898" w:type="pct"/>
            <w:hideMark/>
          </w:tcPr>
          <w:p w:rsidRPr="006D1DFA" w:rsidR="006D1DFA" w:rsidP="00BE1F8F" w:rsidRDefault="006D1DFA" w14:paraId="3CC8E9E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102" w:type="pct"/>
            <w:hideMark/>
          </w:tcPr>
          <w:p w:rsidRPr="006D1DFA" w:rsidR="006D1DFA" w:rsidP="00BE1F8F" w:rsidRDefault="00377488" w14:paraId="02C23556" w14:textId="4AC0EB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32">
              <w:r w:rsidR="001B5116">
                <w:rPr>
                  <w:i/>
                  <w:color w:val="0000FF"/>
                  <w:u w:val="single"/>
                </w:rPr>
                <w:t>Grasu.Gabriela@eesc.europa.eu</w:t>
              </w:r>
            </w:hyperlink>
          </w:p>
        </w:tc>
      </w:tr>
    </w:tbl>
    <w:p w:rsidR="00E14D8E" w:rsidP="00BE1F8F" w:rsidRDefault="00E14D8E" w14:paraId="7F936985" w14:textId="77777777">
      <w:pPr>
        <w:jc w:val="left"/>
      </w:pPr>
      <w:r>
        <w:br w:type="page"/>
      </w:r>
    </w:p>
    <w:p w:rsidRPr="001826A4" w:rsidR="00910C90" w:rsidP="009B596B" w:rsidRDefault="00377488" w14:paraId="6D8670E5" w14:textId="2854001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24"/>
          <w:szCs w:val="24"/>
        </w:rPr>
      </w:pPr>
      <w:hyperlink w:history="1" r:id="rId33">
        <w:r w:rsidR="001B5116">
          <w:rPr>
            <w:b/>
            <w:i/>
            <w:color w:val="0000FF"/>
            <w:sz w:val="28"/>
            <w:u w:val="single"/>
          </w:rPr>
          <w:t>Az EGSZB hozzájárulása az EU prioritásaihoz az ENSZ Nők Helyzetével Foglalkozó Bizottsága 69. ülésszakán</w:t>
        </w:r>
      </w:hyperlink>
    </w:p>
    <w:p w:rsidRPr="00706D52" w:rsidR="00910C90" w:rsidP="00BE1F8F" w:rsidRDefault="00910C90" w14:paraId="59A5F3E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4"/>
          <w:szCs w:val="1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910C90" w:rsidR="00910C90" w:rsidTr="00BE1F8F" w14:paraId="465F2FF7" w14:textId="77777777">
        <w:tc>
          <w:tcPr>
            <w:tcW w:w="1701" w:type="dxa"/>
          </w:tcPr>
          <w:p w:rsidRPr="00910C90" w:rsidR="00910C90" w:rsidP="00BE1F8F" w:rsidRDefault="00910C90" w14:paraId="4E8AE8B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479" w:type="dxa"/>
          </w:tcPr>
          <w:p w:rsidRPr="00910C90" w:rsidR="00910C90" w:rsidP="00BE1F8F" w:rsidRDefault="00910C90" w14:paraId="420EA1BA" w14:textId="3993E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María NIKOLOPOULOU (Munkavállalók/ES)</w:t>
            </w:r>
          </w:p>
        </w:tc>
      </w:tr>
      <w:tr w:rsidRPr="00910C90" w:rsidR="00910C90" w:rsidTr="00BE1F8F" w14:paraId="417FB600" w14:textId="77777777">
        <w:tc>
          <w:tcPr>
            <w:tcW w:w="1701" w:type="dxa"/>
            <w:vMerge w:val="restart"/>
          </w:tcPr>
          <w:p w:rsidRPr="00910C90" w:rsidR="00910C90" w:rsidP="00BE1F8F" w:rsidRDefault="00910C90" w14:paraId="41736237" w14:textId="3B749AB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7479" w:type="dxa"/>
          </w:tcPr>
          <w:p w:rsidRPr="00910C90" w:rsidR="00910C90" w:rsidP="00BE1F8F" w:rsidRDefault="00910C90" w14:paraId="028B9FD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saját kezdeményezésű vélemény</w:t>
            </w:r>
          </w:p>
        </w:tc>
      </w:tr>
      <w:tr w:rsidRPr="00910C90" w:rsidR="00910C90" w:rsidTr="00BE1F8F" w14:paraId="08D488E3" w14:textId="77777777">
        <w:tc>
          <w:tcPr>
            <w:tcW w:w="1701" w:type="dxa"/>
            <w:vMerge/>
          </w:tcPr>
          <w:p w:rsidRPr="00910C90" w:rsidR="00910C90" w:rsidP="00BE1F8F" w:rsidRDefault="00910C90" w14:paraId="5B75EF0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7479" w:type="dxa"/>
          </w:tcPr>
          <w:p w:rsidRPr="00910C90" w:rsidR="00910C90" w:rsidP="00BE1F8F" w:rsidRDefault="00910C90" w14:paraId="565EAB0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EESC-2024-03990-00-00-AC</w:t>
            </w:r>
          </w:p>
        </w:tc>
      </w:tr>
    </w:tbl>
    <w:p w:rsidRPr="00706D52" w:rsidR="00910C90" w:rsidP="00BE1F8F" w:rsidRDefault="00910C90" w14:paraId="5C940F4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4"/>
          <w:szCs w:val="14"/>
          <w:lang w:val="en-GB"/>
        </w:rPr>
      </w:pPr>
    </w:p>
    <w:p w:rsidRPr="00910C90" w:rsidR="00910C90" w:rsidP="00BE1F8F" w:rsidRDefault="00910C90" w14:paraId="371C0EEF" w14:textId="4AB8EF1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706D52" w:rsidR="00910C90" w:rsidP="00BE1F8F" w:rsidRDefault="00910C90" w14:paraId="4A75BA5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4"/>
          <w:szCs w:val="14"/>
          <w:lang w:val="en-GB"/>
        </w:rPr>
      </w:pPr>
    </w:p>
    <w:p w:rsidR="00910C90" w:rsidP="00BE1F8F" w:rsidRDefault="00910C90" w14:paraId="217B964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910C90" w:rsidR="00910C90" w:rsidP="00BE1F8F" w:rsidRDefault="00910C90" w14:paraId="1D41958A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sürgeti az EU-t és a tagállamokat, hogy gyorsítsák fel az előrelépéseket a nemek közötti egyenlőség terén, legyenek ambiciózusabbak és emeljék fel szavukat a civil társadalom mozgásterének szűkülése ellen, továbbá akadályozzák meg a nők jogait érő, különösen a szélsőjobboldali politikai pártok által indított támadásokat,</w:t>
      </w:r>
    </w:p>
    <w:p w:rsidRPr="00910C90" w:rsidR="00910C90" w:rsidP="00BE1F8F" w:rsidRDefault="00910C90" w14:paraId="78127DE3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azt javasolja, hogy az EU, a tagállamok és a politikai pártok köteleződjenek el a nők politikai pályára vonzása mellett. Ennek érdekében többek között vegyenek fontolóra olyan intézkedéseket, amelyek ösztönzik a nők kulcsfontosságú pozíciókba való megválasztását és kinevezését. Ezek közé tartoznak például a kvóták, a cipzárelv szerinti listák, a társelnöki tisztségek, a megosztott hivatali idők, valamint a férfi és női jelöltek állítása,</w:t>
      </w:r>
    </w:p>
    <w:p w:rsidRPr="00910C90" w:rsidR="00910C90" w:rsidP="00BE1F8F" w:rsidRDefault="00910C90" w14:paraId="7874547D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sürgeti a tagállamokat, hogy különítsenek el elegendő forrást a nők elleni erőszak felszámolására irányuló nemzeti cselekvési terveik számára, és ezeket a terveket a civil társadalmi szervezetekkel konzultálva alakítsák ki. Több fellépést szorgalmaz az online és gazdasági erőszak kezelése, a nők fizikai és mentális egészségének biztosítása, valamint a nők szexuális és reproduktív egészsége és jogai tiszteletben tartásának biztosítása érdekében, </w:t>
      </w:r>
    </w:p>
    <w:p w:rsidRPr="00910C90" w:rsidR="00910C90" w:rsidP="00BE1F8F" w:rsidRDefault="00910C90" w14:paraId="21DA3653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úgy véli, hogy az igazságos átmenet uniós keretrendszerének magában kell foglalnia egy készségfejlesztési stratégiát a nemek között meglévő egyenlőtlenségek kezelése érdekében. Különös figyelmet kell fordítani a globális délen és a vidéki térségekben élő nőkre és lányokra, akiket aránytalan mértékben sújt a hármas környezeti válság,</w:t>
      </w:r>
    </w:p>
    <w:p w:rsidRPr="00910C90" w:rsidR="00910C90" w:rsidP="00BE1F8F" w:rsidRDefault="00910C90" w14:paraId="4B62CBD1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kéri a nemek közötti digitális szakadék áthidalását, valamint azt, hogy a nők nézőpontjait építsék be a mesterséges intelligencia (MI) és az algoritmusok tervezésébe, fejlesztésébe és bevezetésébe, hogy a mesterséges intelligencia társadalmilag érzékeny és inkluzív legyen,</w:t>
      </w:r>
    </w:p>
    <w:p w:rsidRPr="00910C90" w:rsidR="00910C90" w:rsidP="00BE1F8F" w:rsidRDefault="00910C90" w14:paraId="2831FD93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intézkedéseket szorgalmaz a nem fizetett gondozási feladatok terén a nemek közötti szakadék megszüntetése és a nők munkaerőpiacon maradásának elősegítése érdekében, például megfizethető, elérhető és színvonalas egészségügyi és gondozási szolgáltatások, illetve a nemzeti szabályoknak megfelelő biztonsági hálók biztosítása révén,</w:t>
      </w:r>
    </w:p>
    <w:p w:rsidRPr="00910C90" w:rsidR="00910C90" w:rsidP="00BE1F8F" w:rsidRDefault="00910C90" w14:paraId="20D9B26B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egy, az inkluzív külpolitikára vonatkozó erős és ambiciózus hosszú távú uniós stratégia kialakítását kéri, amelynek alapját a nemek közötti egyenlőség, az emberi jogok, a feminista diplomácia és a társadalmi igazságosság jelenti,</w:t>
      </w:r>
    </w:p>
    <w:p w:rsidR="00910C90" w:rsidP="00BE1F8F" w:rsidRDefault="00910C90" w14:paraId="5A9E6752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hangsúlyozza, hogy a stratégiák kidolgozásához és nyomon követéséhez több, nemek szerint lebontott interszekcionális adatra van szükség a nemek közötti egyenlőség szempontját érvényesítő költségvetés-tervezési eszközök használata és a nemek közötti egyenlőség szempontjának a költségvetési politikában történő figyelembevétele céljával.</w:t>
      </w:r>
    </w:p>
    <w:p w:rsidRPr="00910C90" w:rsidR="008B7F9B" w:rsidP="00BE1F8F" w:rsidRDefault="008B7F9B" w14:paraId="0A0E47B6" w14:textId="77777777">
      <w:pPr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lang w:val="en-GB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Pr="00910C90" w:rsidR="00910C90" w:rsidTr="00713105" w14:paraId="0D75D5FA" w14:textId="77777777">
        <w:tc>
          <w:tcPr>
            <w:tcW w:w="1668" w:type="dxa"/>
          </w:tcPr>
          <w:p w:rsidRPr="00910C90" w:rsidR="00910C90" w:rsidP="00BE1F8F" w:rsidRDefault="00706D52" w14:paraId="09EE9454" w14:textId="2F2797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</w:t>
            </w:r>
            <w:r w:rsidR="00910C90">
              <w:rPr>
                <w:b/>
                <w:i/>
              </w:rPr>
              <w:t>:</w:t>
            </w:r>
          </w:p>
        </w:tc>
        <w:tc>
          <w:tcPr>
            <w:tcW w:w="7512" w:type="dxa"/>
          </w:tcPr>
          <w:p w:rsidRPr="00910C90" w:rsidR="00910C90" w:rsidP="00BE1F8F" w:rsidRDefault="00910C90" w14:paraId="20BCFE55" w14:textId="48EB8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Gabriela Grasu</w:t>
            </w:r>
          </w:p>
        </w:tc>
      </w:tr>
      <w:tr w:rsidRPr="00910C90" w:rsidR="00910C90" w:rsidTr="00713105" w14:paraId="10BE1906" w14:textId="77777777">
        <w:tc>
          <w:tcPr>
            <w:tcW w:w="1668" w:type="dxa"/>
          </w:tcPr>
          <w:p w:rsidRPr="00910C90" w:rsidR="00910C90" w:rsidP="00BE1F8F" w:rsidRDefault="00910C90" w14:paraId="7C9E9C27" w14:textId="578CE4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12" w:type="dxa"/>
          </w:tcPr>
          <w:p w:rsidRPr="00910C90" w:rsidR="00910C90" w:rsidP="00BE1F8F" w:rsidRDefault="00910C90" w14:paraId="6BD9772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+32 25469162</w:t>
            </w:r>
          </w:p>
        </w:tc>
      </w:tr>
      <w:tr w:rsidRPr="00910C90" w:rsidR="00910C90" w:rsidTr="00713105" w14:paraId="378A4268" w14:textId="77777777">
        <w:tc>
          <w:tcPr>
            <w:tcW w:w="1668" w:type="dxa"/>
          </w:tcPr>
          <w:p w:rsidRPr="00910C90" w:rsidR="00910C90" w:rsidP="00BE1F8F" w:rsidRDefault="00910C90" w14:paraId="67D2B1A7" w14:textId="5316A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512" w:type="dxa"/>
          </w:tcPr>
          <w:p w:rsidRPr="00910C90" w:rsidR="00910C90" w:rsidP="00BE1F8F" w:rsidRDefault="00377488" w14:paraId="18F62F88" w14:textId="03616B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4">
              <w:r w:rsidR="001B5116">
                <w:rPr>
                  <w:i/>
                  <w:color w:val="0000FF"/>
                  <w:u w:val="single"/>
                </w:rPr>
                <w:t>Gabriela.Grasu@eesc.europa.eu</w:t>
              </w:r>
            </w:hyperlink>
          </w:p>
        </w:tc>
      </w:tr>
    </w:tbl>
    <w:p w:rsidRPr="00713105" w:rsidR="00981AAC" w:rsidP="00BE1F8F" w:rsidRDefault="00981AAC" w14:paraId="48226001" w14:textId="27B0F9D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</w:pPr>
      <w:r w:rsidRPr="00981AAC">
        <w:rPr>
          <w:b/>
          <w:i/>
          <w:sz w:val="28"/>
        </w:rPr>
        <w:lastRenderedPageBreak/>
        <w:fldChar w:fldCharType="begin"/>
      </w:r>
      <w:r w:rsidRPr="00981AAC">
        <w:rPr>
          <w:b/>
          <w:i/>
          <w:sz w:val="28"/>
        </w:rPr>
        <w:instrText>HYPERLINK "https://www.eesc.europa.eu/hu/our-work/opinions-information-reports/opinions/older-people-employment-systemic-factors-choosing-work-longer"</w:instrText>
      </w:r>
      <w:r w:rsidRPr="00981AAC">
        <w:rPr>
          <w:b/>
          <w:i/>
          <w:sz w:val="28"/>
        </w:rPr>
        <w:fldChar w:fldCharType="separate"/>
      </w:r>
      <w:r>
        <w:rPr>
          <w:b/>
          <w:i/>
          <w:color w:val="0000FF"/>
          <w:sz w:val="28"/>
          <w:u w:val="single"/>
        </w:rPr>
        <w:t>Az idősek foglalkoztatása – az önkéntesen vállalt hosszabb munkaerőpiaci részvétel rendszerszintű feltételei</w:t>
      </w:r>
    </w:p>
    <w:p w:rsidRPr="00C77862" w:rsidR="00981AAC" w:rsidP="00BE1F8F" w:rsidRDefault="00981AAC" w14:paraId="69C9F195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0"/>
        </w:rPr>
      </w:pPr>
      <w:r w:rsidRPr="00981AAC">
        <w:rPr>
          <w:b/>
          <w:i/>
          <w:sz w:val="28"/>
        </w:rPr>
        <w:fldChar w:fldCharType="end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7619"/>
      </w:tblGrid>
      <w:tr w:rsidRPr="00652335" w:rsidR="00981AAC" w:rsidTr="00713105" w14:paraId="564BEBA9" w14:textId="77777777">
        <w:tc>
          <w:tcPr>
            <w:tcW w:w="898" w:type="pct"/>
          </w:tcPr>
          <w:p w:rsidRPr="00C43D3E" w:rsidR="00981AAC" w:rsidP="00BE1F8F" w:rsidRDefault="00981AAC" w14:paraId="0345DE90" w14:textId="7777777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4102" w:type="pct"/>
          </w:tcPr>
          <w:p w:rsidRPr="00C43D3E" w:rsidR="00382A22" w:rsidP="00BE1F8F" w:rsidRDefault="00981AAC" w14:paraId="2A77F056" w14:textId="351CBDDF">
            <w:pPr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</w:pPr>
            <w:r>
              <w:t>Krzysztof BALON (Civil társadalmi szervezetek/PL)</w:t>
            </w:r>
          </w:p>
        </w:tc>
      </w:tr>
      <w:tr w:rsidRPr="00652335" w:rsidR="00981AAC" w:rsidTr="00713105" w14:paraId="3AF74D98" w14:textId="77777777">
        <w:tc>
          <w:tcPr>
            <w:tcW w:w="898" w:type="pct"/>
          </w:tcPr>
          <w:p w:rsidRPr="00C43D3E" w:rsidR="00981AAC" w:rsidP="00BE1F8F" w:rsidRDefault="00981AAC" w14:paraId="399C89C3" w14:textId="7F5F6409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4102" w:type="pct"/>
          </w:tcPr>
          <w:p w:rsidRPr="00C43D3E" w:rsidR="00382A22" w:rsidP="00BE1F8F" w:rsidRDefault="00382A22" w14:paraId="15365992" w14:textId="791A85F1">
            <w:pPr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</w:pPr>
            <w:r>
              <w:t>Feltáró vélemény az EU Tanácsa lengyel elnökségének felkérésére</w:t>
            </w:r>
          </w:p>
          <w:p w:rsidRPr="00C43D3E" w:rsidR="00981AAC" w:rsidP="00BE1F8F" w:rsidRDefault="00981AAC" w14:paraId="455DCFBD" w14:textId="0C759088">
            <w:pPr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</w:pPr>
            <w:r>
              <w:t>EESC-2024-03788-00-00-AC</w:t>
            </w:r>
          </w:p>
        </w:tc>
      </w:tr>
    </w:tbl>
    <w:p w:rsidR="00652335" w:rsidP="00BE1F8F" w:rsidRDefault="00652335" w14:paraId="789D81F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81AAC" w:rsidR="00981AAC" w:rsidP="00BE1F8F" w:rsidRDefault="00981AAC" w14:paraId="4B8CB502" w14:textId="1F11600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981AAC" w:rsidR="00981AAC" w:rsidP="00BE1F8F" w:rsidRDefault="00981AAC" w14:paraId="7008E7D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81AAC" w:rsidR="00E83667" w:rsidP="00BE1F8F" w:rsidRDefault="00981AAC" w14:paraId="7F206CE5" w14:textId="098D975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</w:rPr>
      </w:pPr>
      <w:r>
        <w:t>Az EGSZB:</w:t>
      </w:r>
    </w:p>
    <w:p w:rsidRPr="00981AAC" w:rsidR="00981AAC" w:rsidP="00713105" w:rsidRDefault="00981AAC" w14:paraId="3311126F" w14:textId="77777777">
      <w:pPr>
        <w:pStyle w:val="ListParagraph"/>
        <w:numPr>
          <w:ilvl w:val="0"/>
          <w:numId w:val="42"/>
        </w:numPr>
        <w:ind w:left="567" w:hanging="567"/>
      </w:pPr>
      <w:bookmarkStart w:name="_Toc191974009" w:id="11"/>
      <w:r>
        <w:t xml:space="preserve">osztja az Európai Unió Tanácsa lengyel elnökségének azon véleményét, hogy az </w:t>
      </w:r>
      <w:r>
        <w:rPr>
          <w:b/>
        </w:rPr>
        <w:t>idősek munkaerőpiaci aktivizálása</w:t>
      </w:r>
      <w:r>
        <w:t xml:space="preserve"> az egyik</w:t>
      </w:r>
      <w:r>
        <w:rPr>
          <w:b/>
        </w:rPr>
        <w:t xml:space="preserve"> legfontosabb közpolitikai kihívássá</w:t>
      </w:r>
      <w:r>
        <w:t xml:space="preserve"> vált. Mivel az EU-ban növekszik az átlagos egészséges élettartam, az </w:t>
      </w:r>
      <w:r>
        <w:rPr>
          <w:b/>
        </w:rPr>
        <w:t>idősek szakmai tevékenysége pozitívan</w:t>
      </w:r>
      <w:r>
        <w:t xml:space="preserve"> </w:t>
      </w:r>
      <w:r>
        <w:rPr>
          <w:b/>
        </w:rPr>
        <w:t>befolyásolhatja</w:t>
      </w:r>
      <w:r>
        <w:t xml:space="preserve"> nemcsak a </w:t>
      </w:r>
      <w:r>
        <w:rPr>
          <w:b/>
        </w:rPr>
        <w:t>gazdasági fejlődést</w:t>
      </w:r>
      <w:r>
        <w:t xml:space="preserve">, hanem – a jobb </w:t>
      </w:r>
      <w:r>
        <w:rPr>
          <w:b/>
        </w:rPr>
        <w:t>pénzügyi, szociális</w:t>
      </w:r>
      <w:r>
        <w:t xml:space="preserve"> és </w:t>
      </w:r>
      <w:r>
        <w:rPr>
          <w:b/>
        </w:rPr>
        <w:t>egészségügyi feltételek</w:t>
      </w:r>
      <w:r>
        <w:t xml:space="preserve">, valamint a nemzedékek közötti társadalmi szolidaritás révén – </w:t>
      </w:r>
      <w:r>
        <w:rPr>
          <w:b/>
        </w:rPr>
        <w:t>az érintettek jóllétét</w:t>
      </w:r>
      <w:r>
        <w:t xml:space="preserve"> is,</w:t>
      </w:r>
      <w:bookmarkEnd w:id="11"/>
    </w:p>
    <w:p w:rsidRPr="00652335" w:rsidR="00981AAC" w:rsidP="00713105" w:rsidRDefault="00981AAC" w14:paraId="30FD09FC" w14:textId="77777777">
      <w:pPr>
        <w:pStyle w:val="ListParagraph"/>
        <w:numPr>
          <w:ilvl w:val="0"/>
          <w:numId w:val="42"/>
        </w:numPr>
        <w:ind w:left="567" w:hanging="567"/>
      </w:pPr>
      <w:bookmarkStart w:name="_Toc191974010" w:id="12"/>
      <w:r>
        <w:t xml:space="preserve">megjegyzi, hogy </w:t>
      </w:r>
      <w:r>
        <w:rPr>
          <w:b/>
        </w:rPr>
        <w:t>teljes mértékben végre kell hajtani a szociális jogok európai pillérének 15. elvét</w:t>
      </w:r>
      <w:r>
        <w:t xml:space="preserve"> (a méltóságteljes időskori élethez megfelelő jövedelmet biztosító, a befizetésekkel arányos nyugdíjhoz való jog),</w:t>
      </w:r>
      <w:bookmarkEnd w:id="12"/>
    </w:p>
    <w:p w:rsidRPr="00652335" w:rsidR="00981AAC" w:rsidP="00713105" w:rsidRDefault="00981AAC" w14:paraId="7674E455" w14:textId="77777777">
      <w:pPr>
        <w:pStyle w:val="ListParagraph"/>
        <w:numPr>
          <w:ilvl w:val="0"/>
          <w:numId w:val="42"/>
        </w:numPr>
        <w:ind w:left="567" w:hanging="567"/>
      </w:pPr>
      <w:bookmarkStart w:name="_Toc191974011" w:id="13"/>
      <w:r>
        <w:t xml:space="preserve">rámutat arra, hogy fontos szempont </w:t>
      </w:r>
      <w:r>
        <w:rPr>
          <w:b/>
        </w:rPr>
        <w:t xml:space="preserve">a minőségi munkahelyek létrehozása </w:t>
      </w:r>
      <w:r>
        <w:t xml:space="preserve">és az olyan </w:t>
      </w:r>
      <w:r>
        <w:rPr>
          <w:b/>
        </w:rPr>
        <w:t>munkakörnyezet</w:t>
      </w:r>
      <w:r>
        <w:t xml:space="preserve"> megteremtése, amely minden korcsoportot a </w:t>
      </w:r>
      <w:r>
        <w:rPr>
          <w:b/>
        </w:rPr>
        <w:t>munkaerőpiacra való belépésre és ott maradásra</w:t>
      </w:r>
      <w:r>
        <w:t xml:space="preserve"> ösztönöz,</w:t>
      </w:r>
      <w:bookmarkEnd w:id="13"/>
      <w:r>
        <w:t xml:space="preserve"> </w:t>
      </w:r>
    </w:p>
    <w:p w:rsidRPr="00652335" w:rsidR="00981AAC" w:rsidP="00713105" w:rsidRDefault="00981AAC" w14:paraId="7D687E45" w14:textId="77777777">
      <w:pPr>
        <w:pStyle w:val="ListParagraph"/>
        <w:numPr>
          <w:ilvl w:val="0"/>
          <w:numId w:val="41"/>
        </w:numPr>
        <w:ind w:left="567" w:hanging="567"/>
      </w:pPr>
      <w:bookmarkStart w:name="_Toc191974012" w:id="14"/>
      <w:r>
        <w:t xml:space="preserve">megjegyzi, hogy az idősek foglalkoztatásának növelését elősegítő másik tényező a </w:t>
      </w:r>
      <w:r>
        <w:rPr>
          <w:b/>
        </w:rPr>
        <w:t>többgenerációs csapatmunka megteremtése,</w:t>
      </w:r>
      <w:r>
        <w:t xml:space="preserve"> és megismétli az </w:t>
      </w:r>
      <w:r>
        <w:rPr>
          <w:b/>
        </w:rPr>
        <w:t>Európai Bizottsághoz</w:t>
      </w:r>
      <w:r>
        <w:t xml:space="preserve"> intézett azon kérését, hogy fogadjon el </w:t>
      </w:r>
      <w:r>
        <w:rPr>
          <w:b/>
        </w:rPr>
        <w:t>ajánlást</w:t>
      </w:r>
      <w:r>
        <w:t>, amelyben felszólítja a tagállamokat, hogy b</w:t>
      </w:r>
      <w:r>
        <w:rPr>
          <w:b/>
        </w:rPr>
        <w:t>iztosítsák a különböző generációkból származó munkavállalók jelenlétét és munkahelyi együttműködésüket</w:t>
      </w:r>
      <w:r>
        <w:t>,</w:t>
      </w:r>
      <w:bookmarkEnd w:id="14"/>
    </w:p>
    <w:p w:rsidRPr="00652335" w:rsidR="00981AAC" w:rsidP="00713105" w:rsidRDefault="00981AAC" w14:paraId="2CC124C3" w14:textId="77777777">
      <w:pPr>
        <w:pStyle w:val="ListParagraph"/>
        <w:numPr>
          <w:ilvl w:val="0"/>
          <w:numId w:val="40"/>
        </w:numPr>
        <w:ind w:left="567" w:hanging="567"/>
      </w:pPr>
      <w:bookmarkStart w:name="_Toc191974013" w:id="15"/>
      <w:r>
        <w:t xml:space="preserve">kiemeli, hogy az idősek foglalkoztatását főként a következő eszközök támogatják: a) olyan </w:t>
      </w:r>
      <w:r>
        <w:rPr>
          <w:b/>
        </w:rPr>
        <w:t>támogató munkakörnyezet kialakítása</w:t>
      </w:r>
      <w:r>
        <w:t xml:space="preserve">, amely arra ösztönzi az időseket, hogy ha akarnak, hosszabb ideig maradjanak a munkaerőpiacon; b) a </w:t>
      </w:r>
      <w:r>
        <w:rPr>
          <w:b/>
        </w:rPr>
        <w:t>készségek szinten tartása és fejlesztése az egész életen át tartó tanulásra irányuló intézkedések</w:t>
      </w:r>
      <w:r>
        <w:t xml:space="preserve"> révén; c) olyan megoldások, amelyek lehetővé teszik a </w:t>
      </w:r>
      <w:r>
        <w:rPr>
          <w:b/>
        </w:rPr>
        <w:t>munkaerőpiaci részvétel összeegyeztetését</w:t>
      </w:r>
      <w:r>
        <w:t xml:space="preserve"> az idős hozzátartozók </w:t>
      </w:r>
      <w:r>
        <w:rPr>
          <w:b/>
        </w:rPr>
        <w:t>gondozásával</w:t>
      </w:r>
      <w:r>
        <w:t xml:space="preserve">; d) a </w:t>
      </w:r>
      <w:r>
        <w:rPr>
          <w:b/>
        </w:rPr>
        <w:t>munkaerőpiaci részvétel meghosszabbításának előmozdítása</w:t>
      </w:r>
      <w:r>
        <w:t xml:space="preserve">; és e) az </w:t>
      </w:r>
      <w:r>
        <w:rPr>
          <w:b/>
        </w:rPr>
        <w:t>életkoron alapuló megkülönböztetés</w:t>
      </w:r>
      <w:r>
        <w:t xml:space="preserve"> és más olyan tényezők </w:t>
      </w:r>
      <w:r>
        <w:rPr>
          <w:b/>
        </w:rPr>
        <w:t>elleni küzdelem</w:t>
      </w:r>
      <w:r>
        <w:t>, amelyek megakadályozzák, hogy az idős munkavállalók a munkaerőpiacon maradjanak. E területek mindegyikén kulcsszerep hárul a szociális gazdaság szereplőire, a civil társadalmi szervezetekre és a szociális partnerekre,</w:t>
      </w:r>
      <w:bookmarkEnd w:id="15"/>
    </w:p>
    <w:p w:rsidRPr="00652335" w:rsidR="00981AAC" w:rsidP="00713105" w:rsidRDefault="00981AAC" w14:paraId="08AC24E2" w14:textId="77777777">
      <w:pPr>
        <w:pStyle w:val="ListParagraph"/>
        <w:numPr>
          <w:ilvl w:val="0"/>
          <w:numId w:val="39"/>
        </w:numPr>
        <w:ind w:left="567" w:hanging="567"/>
      </w:pPr>
      <w:bookmarkStart w:name="_Toc191974014" w:id="16"/>
      <w:r>
        <w:t xml:space="preserve">javasolja, hogy az </w:t>
      </w:r>
      <w:r>
        <w:rPr>
          <w:b/>
        </w:rPr>
        <w:t>Európai Bizottság</w:t>
      </w:r>
      <w:r>
        <w:t xml:space="preserve"> az EGSZB-vel, a szociális partnerekkel és más civil társadalmi szervezetekkel együttműködve </w:t>
      </w:r>
      <w:r>
        <w:rPr>
          <w:b/>
        </w:rPr>
        <w:t>hozzon létre fórumot a bevált gyakorlatok</w:t>
      </w:r>
      <w:r>
        <w:t xml:space="preserve"> tagállamok közötti </w:t>
      </w:r>
      <w:r>
        <w:rPr>
          <w:b/>
        </w:rPr>
        <w:t>cseréjére</w:t>
      </w:r>
      <w:r>
        <w:t>, majd ezt követően – figyelembe véve a fórum megbeszéléseinek eredményeit – az Európai Bizottság közzétehet egyfajta „eszköztárat” a bevált gyakorlatokból.</w:t>
      </w:r>
      <w:bookmarkEnd w:id="16"/>
    </w:p>
    <w:p w:rsidRPr="00981AAC" w:rsidR="00981AAC" w:rsidP="00BE1F8F" w:rsidRDefault="00981AAC" w14:paraId="4F0FB5FC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668"/>
        <w:gridCol w:w="7509"/>
      </w:tblGrid>
      <w:tr w:rsidRPr="00981AAC" w:rsidR="00981AAC" w:rsidTr="00713105" w14:paraId="561BB3E5" w14:textId="77777777">
        <w:tc>
          <w:tcPr>
            <w:tcW w:w="909" w:type="pct"/>
          </w:tcPr>
          <w:p w:rsidRPr="00981AAC" w:rsidR="00981AAC" w:rsidP="00BE1F8F" w:rsidRDefault="00981AAC" w14:paraId="28C5741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091" w:type="pct"/>
          </w:tcPr>
          <w:p w:rsidRPr="00981AAC" w:rsidR="00981AAC" w:rsidP="00BE1F8F" w:rsidRDefault="00981AAC" w14:paraId="3A046822" w14:textId="6C427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Triin Aasmaa Gomes</w:t>
            </w:r>
          </w:p>
        </w:tc>
      </w:tr>
      <w:tr w:rsidRPr="00981AAC" w:rsidR="00981AAC" w:rsidTr="00713105" w14:paraId="5B86D599" w14:textId="77777777">
        <w:tc>
          <w:tcPr>
            <w:tcW w:w="909" w:type="pct"/>
          </w:tcPr>
          <w:p w:rsidRPr="00981AAC" w:rsidR="00981AAC" w:rsidP="00BE1F8F" w:rsidRDefault="00981AAC" w14:paraId="7FD1465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91" w:type="pct"/>
          </w:tcPr>
          <w:p w:rsidRPr="00981AAC" w:rsidR="00981AAC" w:rsidP="00BE1F8F" w:rsidRDefault="00981AAC" w14:paraId="1A842B8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+32 25469524</w:t>
            </w:r>
          </w:p>
        </w:tc>
      </w:tr>
      <w:tr w:rsidRPr="00981AAC" w:rsidR="00981AAC" w:rsidTr="00713105" w14:paraId="4FA7AC41" w14:textId="77777777">
        <w:tc>
          <w:tcPr>
            <w:tcW w:w="909" w:type="pct"/>
          </w:tcPr>
          <w:p w:rsidRPr="00981AAC" w:rsidR="00981AAC" w:rsidP="00BE1F8F" w:rsidRDefault="00981AAC" w14:paraId="5EBD3C9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091" w:type="pct"/>
          </w:tcPr>
          <w:p w:rsidRPr="00713105" w:rsidR="00981AAC" w:rsidP="00BE1F8F" w:rsidRDefault="00377488" w14:paraId="03C24A43" w14:textId="0AF7A5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hyperlink w:history="1" r:id="rId35">
              <w:r w:rsidR="001B5116">
                <w:rPr>
                  <w:i/>
                  <w:color w:val="0000FF"/>
                  <w:u w:val="single"/>
                </w:rPr>
                <w:t>Triin.AasmaaGomes@eesc.europa.eu</w:t>
              </w:r>
            </w:hyperlink>
          </w:p>
        </w:tc>
      </w:tr>
    </w:tbl>
    <w:p w:rsidR="004D7AC0" w:rsidP="00BE1F8F" w:rsidRDefault="004D7AC0" w14:paraId="4982DDC6" w14:textId="77777777">
      <w:pPr>
        <w:pStyle w:val="Heading1"/>
        <w:keepNext/>
        <w:keepLines/>
        <w:rPr>
          <w:b/>
        </w:rPr>
      </w:pPr>
      <w:bookmarkStart w:name="_Toc24617160" w:id="17"/>
      <w:bookmarkStart w:name="_Toc75527082" w:id="18"/>
      <w:bookmarkStart w:name="_Toc192843555" w:id="19"/>
      <w:r>
        <w:rPr>
          <w:b/>
        </w:rPr>
        <w:lastRenderedPageBreak/>
        <w:t>KÖZLEKEDÉS, ENERGIA, INFRASTRUKTÚRA ÉS INFORMÁCIÓS TÁRSADALOM</w:t>
      </w:r>
      <w:bookmarkEnd w:id="17"/>
      <w:bookmarkEnd w:id="18"/>
      <w:bookmarkEnd w:id="19"/>
    </w:p>
    <w:p w:rsidR="004D7AC0" w:rsidP="00BE1F8F" w:rsidRDefault="004D7AC0" w14:paraId="4982DDF1" w14:textId="77777777"/>
    <w:p w:rsidRPr="00A230A4" w:rsidR="00A230A4" w:rsidP="00BE1F8F" w:rsidRDefault="00377488" w14:paraId="64C335F9" w14:textId="3ECD80E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36">
        <w:r w:rsidR="001B5116">
          <w:rPr>
            <w:b/>
            <w:i/>
            <w:color w:val="0000FF"/>
            <w:sz w:val="28"/>
            <w:u w:val="single"/>
          </w:rPr>
          <w:t>Az EU belső piacának fizikai kiteljesítése az új geopolitikai helyzetben</w:t>
        </w:r>
      </w:hyperlink>
    </w:p>
    <w:p w:rsidRPr="00A230A4" w:rsidR="00A230A4" w:rsidP="00BE1F8F" w:rsidRDefault="00A230A4" w14:paraId="2FFA7CD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A230A4" w:rsidR="00A230A4" w:rsidTr="00713105" w14:paraId="6D4A0388" w14:textId="77777777">
        <w:tc>
          <w:tcPr>
            <w:tcW w:w="1701" w:type="dxa"/>
          </w:tcPr>
          <w:p w:rsidRPr="00A230A4" w:rsidR="00A230A4" w:rsidP="00BE1F8F" w:rsidRDefault="00A230A4" w14:paraId="3793B60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479" w:type="dxa"/>
          </w:tcPr>
          <w:p w:rsidRPr="00A230A4" w:rsidR="00A230A4" w:rsidP="00BE1F8F" w:rsidRDefault="00A230A4" w14:paraId="38BAB1F6" w14:textId="6CD834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Päivi Elina WOOD (Munkáltatók csoportja/FI)</w:t>
            </w:r>
          </w:p>
        </w:tc>
      </w:tr>
      <w:tr w:rsidRPr="00A230A4" w:rsidR="00A230A4" w:rsidTr="00713105" w14:paraId="19E7978D" w14:textId="77777777">
        <w:tc>
          <w:tcPr>
            <w:tcW w:w="1701" w:type="dxa"/>
          </w:tcPr>
          <w:p w:rsidRPr="00A230A4" w:rsidR="00A230A4" w:rsidP="00BE1F8F" w:rsidRDefault="00A230A4" w14:paraId="21EBC6AF" w14:textId="1650C1F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7479" w:type="dxa"/>
          </w:tcPr>
          <w:p w:rsidRPr="00A230A4" w:rsidR="00A230A4" w:rsidP="00BE1F8F" w:rsidRDefault="00A230A4" w14:paraId="6D31E88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Saját kezdeményezésű vélemény</w:t>
            </w:r>
          </w:p>
          <w:p w:rsidRPr="00A230A4" w:rsidR="00A230A4" w:rsidP="00BE1F8F" w:rsidRDefault="00A230A4" w14:paraId="2EB2BC1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EESC-2024-03902-00-00-AC</w:t>
            </w:r>
          </w:p>
        </w:tc>
      </w:tr>
    </w:tbl>
    <w:p w:rsidRPr="00A230A4" w:rsidR="00A230A4" w:rsidP="00BE1F8F" w:rsidRDefault="00A230A4" w14:paraId="1945C70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A230A4" w:rsidR="00A230A4" w:rsidP="00BE1F8F" w:rsidRDefault="00A230A4" w14:paraId="24F2447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A230A4" w:rsidR="00A230A4" w:rsidP="00BE1F8F" w:rsidRDefault="00A230A4" w14:paraId="7D38938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A230A4" w:rsidR="00A230A4" w:rsidP="00BE1F8F" w:rsidRDefault="00A230A4" w14:paraId="7E802171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A230A4" w:rsidR="00A230A4" w:rsidP="00BE1F8F" w:rsidRDefault="00A230A4" w14:paraId="6DCC695C" w14:textId="7777777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kulcsfontosságúnak tartja, hogy több erőfeszítést összpontosítsunk a közlekedési rendszerek rezilienciájának és megbízhatóságának javítására; hangsúlyozza, hogy megfelelő elemzést kell végezni a válság valamennyi közlekedési módra gyakorolt következményeiről, valamint az EU különböző területeinek összeköttetését érintő esetleges új hátrányokról,</w:t>
      </w:r>
    </w:p>
    <w:p w:rsidRPr="00A230A4" w:rsidR="00A230A4" w:rsidP="00BE1F8F" w:rsidRDefault="00A230A4" w14:paraId="55F2F225" w14:textId="7777777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elengedhetetlennek tartja, hogy a következő többéves pénzügyi keretben célirányos módon megfelelő szintű finanszírozást különítsenek el a közlekedési infrastruktúra fejlesztésére és karbantartására irányuló beruházásokra, kezdve a TEN-T törzshálózat 2030-ig történő kiépítésére vonatkozó céllal,</w:t>
      </w:r>
    </w:p>
    <w:p w:rsidRPr="00A230A4" w:rsidR="00A230A4" w:rsidP="00BE1F8F" w:rsidRDefault="00A230A4" w14:paraId="64405BDE" w14:textId="7777777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kéri, hogy helyezzenek nagyobb hangsúlyt az infrastruktúra kettős felhasználására, ugyanakkor együttműködve a NATO-val is,</w:t>
      </w:r>
    </w:p>
    <w:p w:rsidRPr="00A230A4" w:rsidR="00A230A4" w:rsidP="00BE1F8F" w:rsidRDefault="00A230A4" w14:paraId="1411391B" w14:textId="7777777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hangsúlyozza, hogy az átfogó biztonság szempontjából fontos az EU határ menti régiói életképességének és egységes piaci kapcsolatainak javítása,</w:t>
      </w:r>
    </w:p>
    <w:p w:rsidRPr="00A230A4" w:rsidR="00A230A4" w:rsidP="00BE1F8F" w:rsidRDefault="00A230A4" w14:paraId="73C87209" w14:textId="7777777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olyan lépéseket szorgalmaz, amelyek megkönnyítik a munkavállalói mobilitást, fejlesztik a kompetenciákat és készségeket, és vonzóbbá teszik a közlekedési ágazatot.</w:t>
      </w:r>
    </w:p>
    <w:p w:rsidRPr="00A230A4" w:rsidR="00A230A4" w:rsidP="00713105" w:rsidRDefault="00A230A4" w14:paraId="7F485678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Pr="00A230A4" w:rsidR="00A230A4" w:rsidTr="00713105" w14:paraId="4840AB28" w14:textId="77777777">
        <w:tc>
          <w:tcPr>
            <w:tcW w:w="1668" w:type="dxa"/>
          </w:tcPr>
          <w:p w:rsidRPr="00A230A4" w:rsidR="00A230A4" w:rsidP="00BE1F8F" w:rsidRDefault="00A230A4" w14:paraId="152A230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7654" w:type="dxa"/>
          </w:tcPr>
          <w:p w:rsidRPr="00A230A4" w:rsidR="00A230A4" w:rsidP="00BE1F8F" w:rsidRDefault="00A230A4" w14:paraId="0C8E402D" w14:textId="2EF89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Albert Precup</w:t>
            </w:r>
          </w:p>
        </w:tc>
      </w:tr>
      <w:tr w:rsidRPr="00A230A4" w:rsidR="00A230A4" w:rsidTr="00713105" w14:paraId="19BEAAAD" w14:textId="77777777">
        <w:tc>
          <w:tcPr>
            <w:tcW w:w="1668" w:type="dxa"/>
          </w:tcPr>
          <w:p w:rsidRPr="00A230A4" w:rsidR="00A230A4" w:rsidP="00BE1F8F" w:rsidRDefault="00A230A4" w14:paraId="73F2E8D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654" w:type="dxa"/>
          </w:tcPr>
          <w:p w:rsidRPr="00A230A4" w:rsidR="00A230A4" w:rsidP="00BE1F8F" w:rsidRDefault="00A230A4" w14:paraId="48DB2246" w14:textId="44656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+32 25469326</w:t>
            </w:r>
          </w:p>
        </w:tc>
      </w:tr>
      <w:tr w:rsidRPr="00A230A4" w:rsidR="00A230A4" w:rsidTr="00713105" w14:paraId="0708081C" w14:textId="77777777">
        <w:tc>
          <w:tcPr>
            <w:tcW w:w="1668" w:type="dxa"/>
          </w:tcPr>
          <w:p w:rsidRPr="00A230A4" w:rsidR="00A230A4" w:rsidP="00BE1F8F" w:rsidRDefault="0005257A" w14:paraId="42A6811E" w14:textId="3D597C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654" w:type="dxa"/>
          </w:tcPr>
          <w:p w:rsidRPr="00A230A4" w:rsidR="00A230A4" w:rsidP="00BE1F8F" w:rsidRDefault="00377488" w14:paraId="08B446AD" w14:textId="03934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37">
              <w:r w:rsidR="001B5116">
                <w:rPr>
                  <w:i/>
                  <w:color w:val="0000FF"/>
                  <w:u w:val="single"/>
                </w:rPr>
                <w:t>Albert.Precup@eesc.europa.eu</w:t>
              </w:r>
            </w:hyperlink>
          </w:p>
        </w:tc>
      </w:tr>
    </w:tbl>
    <w:p w:rsidR="004D7AC0" w:rsidP="00BE1F8F" w:rsidRDefault="004D7AC0" w14:paraId="4982DDF2" w14:textId="77777777">
      <w:pPr>
        <w:jc w:val="left"/>
      </w:pPr>
      <w:r>
        <w:br w:type="page"/>
      </w:r>
    </w:p>
    <w:p w:rsidR="004D7AC0" w:rsidP="00BE1F8F" w:rsidRDefault="004D7AC0" w14:paraId="4982DDF3" w14:textId="77777777">
      <w:pPr>
        <w:pStyle w:val="Heading1"/>
        <w:rPr>
          <w:b/>
        </w:rPr>
      </w:pPr>
      <w:bookmarkStart w:name="_Toc75527083" w:id="20"/>
      <w:bookmarkStart w:name="_Toc192843556" w:id="21"/>
      <w:r>
        <w:rPr>
          <w:b/>
        </w:rPr>
        <w:lastRenderedPageBreak/>
        <w:t>EGYSÉGES PIAC, TERMELÉS ÉS FOGYASZTÁS</w:t>
      </w:r>
      <w:bookmarkEnd w:id="20"/>
      <w:bookmarkEnd w:id="21"/>
    </w:p>
    <w:p w:rsidR="004D7AC0" w:rsidP="00BE1F8F" w:rsidRDefault="004D7AC0" w14:paraId="4982DDF4" w14:textId="77777777"/>
    <w:p w:rsidRPr="001131B6" w:rsidR="009D7E2D" w:rsidP="001131B6" w:rsidRDefault="00377488" w14:paraId="4C3E6230" w14:textId="2999EF3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38">
        <w:r w:rsidR="001B5116">
          <w:rPr>
            <w:rStyle w:val="Hyperlink"/>
            <w:b/>
            <w:i/>
            <w:sz w:val="28"/>
          </w:rPr>
          <w:t>Fogyasztóvédelem és a digitális és zöld átállás hatása a fogyasztókra</w:t>
        </w:r>
      </w:hyperlink>
    </w:p>
    <w:p w:rsidRPr="009D7E2D" w:rsidR="009D7E2D" w:rsidP="00BE1F8F" w:rsidRDefault="009D7E2D" w14:paraId="1049AE1F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668"/>
        <w:gridCol w:w="7509"/>
      </w:tblGrid>
      <w:tr w:rsidRPr="009D7E2D" w:rsidR="009D7E2D" w:rsidTr="00B51A72" w14:paraId="436EE5FD" w14:textId="77777777">
        <w:tc>
          <w:tcPr>
            <w:tcW w:w="909" w:type="pct"/>
          </w:tcPr>
          <w:p w:rsidRPr="009D7E2D" w:rsidR="009D7E2D" w:rsidP="00BE1F8F" w:rsidRDefault="009D7E2D" w14:paraId="75A9973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4091" w:type="pct"/>
          </w:tcPr>
          <w:p w:rsidRPr="009D7E2D" w:rsidR="009D7E2D" w:rsidP="00706D52" w:rsidRDefault="009D7E2D" w14:paraId="061A8BB9" w14:textId="7777777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t xml:space="preserve">Ileana IZVERNICEANU DE LA IGLESIA </w:t>
            </w:r>
            <w:r>
              <w:br/>
              <w:t>(ES/Civil társadalmi szervezetek csoportja)</w:t>
            </w:r>
          </w:p>
        </w:tc>
      </w:tr>
      <w:tr w:rsidRPr="009D7E2D" w:rsidR="009D7E2D" w:rsidTr="00B51A72" w14:paraId="61B6CD20" w14:textId="77777777">
        <w:tc>
          <w:tcPr>
            <w:tcW w:w="909" w:type="pct"/>
            <w:vMerge w:val="restart"/>
          </w:tcPr>
          <w:p w:rsidRPr="009D7E2D" w:rsidR="009D7E2D" w:rsidP="00BE1F8F" w:rsidRDefault="009D7E2D" w14:paraId="4A0DBE9C" w14:textId="011D688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4091" w:type="pct"/>
          </w:tcPr>
          <w:p w:rsidRPr="009D7E2D" w:rsidR="009D7E2D" w:rsidP="00B51A72" w:rsidRDefault="009D7E2D" w14:paraId="0C563187" w14:textId="052EB17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Feltáró vélemény az EU Tanácsa lengyel elnökségének felkérésére</w:t>
            </w:r>
          </w:p>
        </w:tc>
      </w:tr>
      <w:tr w:rsidRPr="009D7E2D" w:rsidR="009D7E2D" w:rsidTr="00B51A72" w14:paraId="52EB6CD9" w14:textId="77777777">
        <w:tc>
          <w:tcPr>
            <w:tcW w:w="909" w:type="pct"/>
            <w:vMerge/>
          </w:tcPr>
          <w:p w:rsidRPr="009D7E2D" w:rsidR="009D7E2D" w:rsidP="00BE1F8F" w:rsidRDefault="009D7E2D" w14:paraId="3CE8309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091" w:type="pct"/>
          </w:tcPr>
          <w:p w:rsidRPr="009D7E2D" w:rsidR="009D7E2D" w:rsidP="00BE1F8F" w:rsidRDefault="009D7E2D" w14:paraId="329D2D9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EESC-2024-03566-00-00-AC</w:t>
            </w:r>
          </w:p>
        </w:tc>
      </w:tr>
    </w:tbl>
    <w:p w:rsidRPr="009D7E2D" w:rsidR="009D7E2D" w:rsidP="00BE1F8F" w:rsidRDefault="009D7E2D" w14:paraId="2CBB9CF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9D7E2D" w:rsidR="009D7E2D" w:rsidP="00BE1F8F" w:rsidRDefault="009D7E2D" w14:paraId="3482A62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9D7E2D" w:rsidR="009D7E2D" w:rsidP="00BE1F8F" w:rsidRDefault="009D7E2D" w14:paraId="132CCC8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D7E2D" w:rsidR="009D7E2D" w:rsidP="00BE1F8F" w:rsidRDefault="009D7E2D" w14:paraId="38AF573F" w14:textId="77777777">
      <w:pPr>
        <w:overflowPunct w:val="0"/>
        <w:autoSpaceDE w:val="0"/>
        <w:autoSpaceDN w:val="0"/>
        <w:adjustRightInd w:val="0"/>
        <w:textAlignment w:val="baseline"/>
        <w:rPr>
          <w:i/>
          <w:iCs/>
          <w:sz w:val="24"/>
          <w:szCs w:val="24"/>
        </w:rPr>
      </w:pPr>
      <w:r>
        <w:t xml:space="preserve">Ez a vélemény az </w:t>
      </w:r>
      <w:hyperlink w:history="1" r:id="rId39">
        <w:r>
          <w:rPr>
            <w:i/>
            <w:color w:val="0000FF"/>
            <w:u w:val="single"/>
          </w:rPr>
          <w:t>EGSZB-nél alkalmazott uniós ifjúsági teszt</w:t>
        </w:r>
      </w:hyperlink>
      <w:r>
        <w:t xml:space="preserve"> keretében készült.</w:t>
      </w:r>
      <w:r>
        <w:rPr>
          <w:i/>
        </w:rPr>
        <w:t xml:space="preserve"> Érdekelt ifjúsági szervezetek egy csoportja az Európai Ifjúsági Energiahálózatot (EYEN) választotta ki arra, hogy a véleményalkotási folyamat során mindegyiküket képviselje.</w:t>
      </w:r>
    </w:p>
    <w:p w:rsidRPr="009D7E2D" w:rsidR="009D7E2D" w:rsidP="00BE1F8F" w:rsidRDefault="009D7E2D" w14:paraId="39B2DD8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9D7E2D" w:rsidP="00BE1F8F" w:rsidRDefault="009D7E2D" w14:paraId="1DEA9057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9D7E2D" w:rsidR="009D7E2D" w:rsidP="00BE1F8F" w:rsidRDefault="009D7E2D" w14:paraId="4AB027D5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úgy véli, hogy európai szinten harmonizálni kell a termékekre vonatkozó kötelező és önkéntes tájékoztatási követelményeket, kerülni kell az információdömpinget, és garantálni kell a címkék valódiságát, hogy ezáltal a fogyasztók fenntarthatóbb fogyasztási szokásokat alakíthassanak ki,</w:t>
      </w:r>
    </w:p>
    <w:p w:rsidRPr="009D7E2D" w:rsidR="009D7E2D" w:rsidP="00BE1F8F" w:rsidRDefault="009D7E2D" w14:paraId="62F4E221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véleménye szerint úgy kell felcímkézni a termékeket, hogy az megkönnyítse a tájékozott vásárlást, azaz információt kell nyújtania a termékek életciklus-költségeiről, energiahatékonyságáról, tartósságáról és javíthatóságáról,</w:t>
      </w:r>
    </w:p>
    <w:p w:rsidRPr="009D7E2D" w:rsidR="009D7E2D" w:rsidP="00BE1F8F" w:rsidRDefault="009D7E2D" w14:paraId="6793FE54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arra kéri az Európai Bizottságot és a nemzeti hatóságokat, hogy dolgozzanak ki megfelelő keretet, amely adóügyi ösztönzők és egyes esetekben az árkülönbség csökkentését célzó közvetlen támogatások révén biztosítja a fenntartható termékekhez való hozzáférést,</w:t>
      </w:r>
    </w:p>
    <w:p w:rsidRPr="009D7E2D" w:rsidR="009D7E2D" w:rsidP="00BE1F8F" w:rsidRDefault="009D7E2D" w14:paraId="3390BD66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azt kéri, hogy hajtsanak végre hatékony szakpolitikákat, biztosítva a digitális piachoz való hozzáférést, különösen a vidéki és a ritkábban lakott területeken, valamint az alacsonyabb szintű digitális készségekkel rendelkező fogyasztók integrálása érdekében,</w:t>
      </w:r>
    </w:p>
    <w:p w:rsidRPr="009D7E2D" w:rsidR="009D7E2D" w:rsidP="00BE1F8F" w:rsidRDefault="009D7E2D" w14:paraId="52BEC693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ismételten hangsúlyozza, hogy a fogyasztókat rá kell nevelni, hogy megalapozott döntéseket hozzanak,</w:t>
      </w:r>
    </w:p>
    <w:p w:rsidRPr="009D7E2D" w:rsidR="009D7E2D" w:rsidP="00BE1F8F" w:rsidRDefault="009D7E2D" w14:paraId="7BD4CB0B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hangsúlyozza, hogy a fogyasztói szervezetek fontos szerepet töltenek be a digitális és zöld átállásban, és hogy biztonságos finanszírozásra van szükségük,</w:t>
      </w:r>
    </w:p>
    <w:p w:rsidRPr="009D7E2D" w:rsidR="009D7E2D" w:rsidP="00BE1F8F" w:rsidRDefault="009D7E2D" w14:paraId="2D7E5670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kéri, hogy a kiszolgáltatott fogyasztók számára is biztosítsák a megfizethető és fenntartható termékekhez való hozzáférést, szem előtt tartva, hogy a kiszolgáltatottság eltérő jellegű lehet, és idővel változhat,</w:t>
      </w:r>
    </w:p>
    <w:p w:rsidRPr="009D7E2D" w:rsidR="009D7E2D" w:rsidP="00BE1F8F" w:rsidRDefault="009D7E2D" w14:paraId="62C6E0D3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úgy véli, hogy az EU-nak foglalkoznia kell az alacsony árú termékeket kínáló harmadik országbeli platformok negatív hatásaival, és szigorúbb szabályozást, azon belül hatékony vámokat kell bevezetnie.</w:t>
      </w:r>
    </w:p>
    <w:p w:rsidRPr="009D7E2D" w:rsidR="009D7E2D" w:rsidP="00BE1F8F" w:rsidRDefault="009D7E2D" w14:paraId="02ABEC34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5"/>
        <w:gridCol w:w="7292"/>
      </w:tblGrid>
      <w:tr w:rsidRPr="009D7E2D" w:rsidR="009D7E2D" w:rsidTr="00A3780E" w14:paraId="5FEB6264" w14:textId="77777777">
        <w:tc>
          <w:tcPr>
            <w:tcW w:w="1074" w:type="pct"/>
          </w:tcPr>
          <w:p w:rsidRPr="009D7E2D" w:rsidR="009D7E2D" w:rsidP="00BE1F8F" w:rsidRDefault="009D7E2D" w14:paraId="1891296F" w14:textId="332D9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Kapcsolattartók:</w:t>
            </w:r>
          </w:p>
        </w:tc>
        <w:tc>
          <w:tcPr>
            <w:tcW w:w="3926" w:type="pct"/>
          </w:tcPr>
          <w:p w:rsidR="00713105" w:rsidP="00BE1F8F" w:rsidRDefault="009D7E2D" w14:paraId="2EBED78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>
              <w:rPr>
                <w:i/>
              </w:rPr>
              <w:t>Radoslava Stefankova</w:t>
            </w:r>
          </w:p>
          <w:p w:rsidRPr="009D7E2D" w:rsidR="009D7E2D" w:rsidP="00BE1F8F" w:rsidRDefault="009D7E2D" w14:paraId="13EF570E" w14:textId="166D01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>
              <w:rPr>
                <w:i/>
              </w:rPr>
              <w:t>Yousra Asbouni El Ouahabi</w:t>
            </w:r>
          </w:p>
        </w:tc>
      </w:tr>
      <w:tr w:rsidRPr="009D7E2D" w:rsidR="009D7E2D" w:rsidTr="00A3780E" w14:paraId="56CD236C" w14:textId="77777777">
        <w:tc>
          <w:tcPr>
            <w:tcW w:w="1074" w:type="pct"/>
          </w:tcPr>
          <w:p w:rsidRPr="009D7E2D" w:rsidR="009D7E2D" w:rsidP="00BE1F8F" w:rsidRDefault="009D7E2D" w14:paraId="642A79E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6" w:type="pct"/>
          </w:tcPr>
          <w:p w:rsidR="00866666" w:rsidP="00BE1F8F" w:rsidRDefault="009D7E2D" w14:paraId="6BF8079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+ 32 2 546 8188</w:t>
            </w:r>
          </w:p>
          <w:p w:rsidRPr="009D7E2D" w:rsidR="009D7E2D" w:rsidP="00BE1F8F" w:rsidRDefault="009D7E2D" w14:paraId="4C93A27B" w14:textId="44166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+32 2 546 8485</w:t>
            </w:r>
          </w:p>
        </w:tc>
      </w:tr>
      <w:tr w:rsidRPr="009D7E2D" w:rsidR="009D7E2D" w:rsidTr="00A3780E" w14:paraId="79FB8085" w14:textId="77777777">
        <w:tc>
          <w:tcPr>
            <w:tcW w:w="1074" w:type="pct"/>
          </w:tcPr>
          <w:p w:rsidRPr="009D7E2D" w:rsidR="009D7E2D" w:rsidP="00BE1F8F" w:rsidRDefault="009D7E2D" w14:paraId="16D4BECD" w14:textId="766DF7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26" w:type="pct"/>
          </w:tcPr>
          <w:p w:rsidRPr="009D7E2D" w:rsidR="009D7E2D" w:rsidP="00BE1F8F" w:rsidRDefault="00377488" w14:paraId="7AA88CC5" w14:textId="777777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hyperlink w:history="1" r:id="rId40">
              <w:r w:rsidR="001B5116">
                <w:rPr>
                  <w:i/>
                  <w:color w:val="0000FF"/>
                  <w:u w:val="single"/>
                </w:rPr>
                <w:t>Radoslava.Stefankova@eesc.europa.eu</w:t>
              </w:r>
            </w:hyperlink>
          </w:p>
          <w:p w:rsidRPr="009D7E2D" w:rsidR="009D7E2D" w:rsidP="00BE1F8F" w:rsidRDefault="00377488" w14:paraId="2F2D5AA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41">
              <w:r w:rsidR="001B5116">
                <w:rPr>
                  <w:i/>
                  <w:color w:val="0000FF"/>
                  <w:u w:val="single"/>
                </w:rPr>
                <w:t>Yousra.Asbounielouahabi@eesc.europa.eu</w:t>
              </w:r>
            </w:hyperlink>
          </w:p>
        </w:tc>
      </w:tr>
    </w:tbl>
    <w:p w:rsidRPr="00C43D3E" w:rsidR="00FD106B" w:rsidP="00C77862" w:rsidRDefault="00377488" w14:paraId="3CC025EB" w14:textId="298D155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tgtFrame="_blank" w:history="1" r:id="rId42">
        <w:r w:rsidR="001B5116">
          <w:rPr>
            <w:b/>
            <w:i/>
            <w:color w:val="0000FF"/>
            <w:sz w:val="28"/>
            <w:u w:val="single"/>
          </w:rPr>
          <w:t>Az uniós egységes piac működéséről és versenyképességéről szóló Letta- és Draghi-jelentések értékelése</w:t>
        </w:r>
      </w:hyperlink>
    </w:p>
    <w:p w:rsidRPr="00FD106B" w:rsidR="00627052" w:rsidP="00BE1F8F" w:rsidRDefault="00627052" w14:paraId="13CC97A0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2032"/>
        <w:gridCol w:w="7145"/>
      </w:tblGrid>
      <w:tr w:rsidRPr="00FD106B" w:rsidR="00FD106B" w:rsidTr="00713105" w14:paraId="6CE7B306" w14:textId="77777777">
        <w:tc>
          <w:tcPr>
            <w:tcW w:w="1107" w:type="pct"/>
          </w:tcPr>
          <w:p w:rsidRPr="00FD106B" w:rsidR="00FD106B" w:rsidP="00BE1F8F" w:rsidRDefault="00FD106B" w14:paraId="327B6AE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893" w:type="pct"/>
          </w:tcPr>
          <w:p w:rsidR="00FD106B" w:rsidP="00BE1F8F" w:rsidRDefault="00FD106B" w14:paraId="43C12B82" w14:textId="24791F5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Matteo Carlo BORSANI (Munkáltatók/IT)</w:t>
            </w:r>
          </w:p>
          <w:p w:rsidRPr="00FD106B" w:rsidR="009A2569" w:rsidP="00BE1F8F" w:rsidRDefault="009A2569" w14:paraId="550E4016" w14:textId="61E3CEA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Stefano PALMIERI (Munkavállalók/IT)</w:t>
            </w:r>
          </w:p>
          <w:p w:rsidRPr="00FD106B" w:rsidR="00FD106B" w:rsidP="00BE1F8F" w:rsidRDefault="00FD106B" w14:paraId="291D8799" w14:textId="6ED3A59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Giuseppe GUERINI (Civil társadalmi szervezetek/IT)</w:t>
            </w:r>
          </w:p>
        </w:tc>
      </w:tr>
      <w:tr w:rsidRPr="00FD106B" w:rsidR="00FD106B" w:rsidTr="00713105" w14:paraId="63D5E164" w14:textId="77777777">
        <w:tc>
          <w:tcPr>
            <w:tcW w:w="1107" w:type="pct"/>
            <w:vMerge w:val="restart"/>
          </w:tcPr>
          <w:p w:rsidRPr="00FD106B" w:rsidR="00FD106B" w:rsidP="00BE1F8F" w:rsidRDefault="00FD106B" w14:paraId="2C38529F" w14:textId="7DEB39C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3893" w:type="pct"/>
          </w:tcPr>
          <w:p w:rsidRPr="00FD106B" w:rsidR="00FD106B" w:rsidP="00BE1F8F" w:rsidRDefault="00FD106B" w14:paraId="07C6772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Saját kezdeményezésű vélemény</w:t>
            </w:r>
          </w:p>
        </w:tc>
      </w:tr>
      <w:tr w:rsidRPr="00FD106B" w:rsidR="00FD106B" w:rsidTr="00713105" w14:paraId="5BF5DD36" w14:textId="77777777">
        <w:tc>
          <w:tcPr>
            <w:tcW w:w="1107" w:type="pct"/>
            <w:vMerge/>
          </w:tcPr>
          <w:p w:rsidRPr="00FD106B" w:rsidR="00FD106B" w:rsidP="00BE1F8F" w:rsidRDefault="00FD106B" w14:paraId="1F34AB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93" w:type="pct"/>
          </w:tcPr>
          <w:p w:rsidRPr="00FD106B" w:rsidR="00FD106B" w:rsidP="00BE1F8F" w:rsidRDefault="00FD106B" w14:paraId="42A200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EESC-2024-03441-00-00-AC</w:t>
            </w:r>
          </w:p>
        </w:tc>
      </w:tr>
    </w:tbl>
    <w:p w:rsidRPr="00FD106B" w:rsidR="00FD106B" w:rsidP="00BE1F8F" w:rsidRDefault="00FD106B" w14:paraId="0234352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FD106B" w:rsidR="00FD106B" w:rsidP="00BE1F8F" w:rsidRDefault="00FD106B" w14:paraId="27E7555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FD106B" w:rsidR="00FD106B" w:rsidP="00BE1F8F" w:rsidRDefault="00FD106B" w14:paraId="70C2758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FD106B" w:rsidP="00BE1F8F" w:rsidRDefault="00FD106B" w14:paraId="6F22A07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FD106B" w:rsidR="00FD106B" w:rsidP="00BE1F8F" w:rsidRDefault="00FD106B" w14:paraId="1E73D851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hangsúlyozza, hogy </w:t>
      </w:r>
      <w:r>
        <w:rPr>
          <w:b/>
        </w:rPr>
        <w:t>a fenntarthatóság és a társadalmi kohézió biztosítása mellett</w:t>
      </w:r>
      <w:r>
        <w:t xml:space="preserve"> sürgősen </w:t>
      </w:r>
      <w:r>
        <w:rPr>
          <w:b/>
        </w:rPr>
        <w:t>javítani kell az európai versenyképességet</w:t>
      </w:r>
      <w:r>
        <w:t>. Az EU növekvő globális versennyel néz szembe, és határozott lépéseket kell tennie gazdasági helyzetének megerősítése érdekében. Ez azonban nem mehet a környezeti fenntarthatóság, a munkavállalói jogok vagy a regionális egyensúly rovására. Az EGSZB olyan megközelítést szorgalmaz, amely integrálja a gazdasági növekedést a társadalmi és területi kohézió elveivel,</w:t>
      </w:r>
    </w:p>
    <w:p w:rsidRPr="00FD106B" w:rsidR="00FD106B" w:rsidP="00BE1F8F" w:rsidRDefault="00FD106B" w14:paraId="5D3E6D79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felszólít </w:t>
      </w:r>
      <w:r>
        <w:rPr>
          <w:b/>
        </w:rPr>
        <w:t>a beruházások növelésére olyan kulcsfontosságú területeken, mint a szociális infrastruktúra, a digitális átállás és az energetikai átalakulás</w:t>
      </w:r>
      <w:r>
        <w:t>. Felismerve, hogy a versenyképesség erős alapokon nyugszik, az EGSZB hangsúlyozza, hogy jelentős beruházásokra van szükség a modern infrastruktúra terén, többek között az oktatás, a kutatás, a digitalizáció és a megújuló energia területén. Ezek a beruházások elengedhetetlenek Európa gazdasági erejének fenntartásához, miközben kezelik a demográfiai változásokat, a technológiai fejlődést és az éghajlati kihívásokat,</w:t>
      </w:r>
    </w:p>
    <w:p w:rsidRPr="00FD106B" w:rsidR="00FD106B" w:rsidP="00BE1F8F" w:rsidRDefault="00FD106B" w14:paraId="3EFA90D3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hangsúlyozza, hogy az EU-nak nem csupán múltbeli eredményeit kell megőriznie, hanem aktívan kell alakítania a globális gazdasági átalakulást is. Az EGSZB kiemeli, hogy Európa választás előtt áll: vagy a globális gazdasági átalakulás aktív alakítójává válik, vagy kockáztatja a lemaradást. Ez azt jelenti, hogy </w:t>
      </w:r>
      <w:r>
        <w:rPr>
          <w:b/>
        </w:rPr>
        <w:t>az egységes piacot hozzá kell igazítani az új geopolitikai helyzethez</w:t>
      </w:r>
      <w:r>
        <w:t xml:space="preserve">, csökkenteni kell a nem uniós ellátási láncoktól való stratégiai függőséget, és növelni kell Európa stratégiai iparágakban betöltött szerepét. </w:t>
      </w:r>
    </w:p>
    <w:p w:rsidRPr="00FD106B" w:rsidR="00FD106B" w:rsidP="00BE1F8F" w:rsidRDefault="00FD106B" w14:paraId="2D92CEA3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5"/>
        <w:gridCol w:w="7262"/>
      </w:tblGrid>
      <w:tr w:rsidRPr="00FD106B" w:rsidR="00FD106B" w:rsidTr="00A3780E" w14:paraId="221C8BB2" w14:textId="77777777">
        <w:tc>
          <w:tcPr>
            <w:tcW w:w="1090" w:type="pct"/>
          </w:tcPr>
          <w:p w:rsidRPr="00FD106B" w:rsidR="00FD106B" w:rsidP="00BE1F8F" w:rsidRDefault="00FD106B" w14:paraId="740E10D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Kapcsolattartók:</w:t>
            </w:r>
          </w:p>
        </w:tc>
        <w:tc>
          <w:tcPr>
            <w:tcW w:w="3910" w:type="pct"/>
          </w:tcPr>
          <w:p w:rsidRPr="00FD106B" w:rsidR="00FD106B" w:rsidP="00BE1F8F" w:rsidRDefault="00FD106B" w14:paraId="5AA8E8D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Annalisa Tessarolo</w:t>
            </w:r>
          </w:p>
          <w:p w:rsidRPr="00FD106B" w:rsidR="00FD106B" w:rsidP="00BE1F8F" w:rsidRDefault="00FD106B" w14:paraId="1CF946C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Silvia Staffa</w:t>
            </w:r>
          </w:p>
        </w:tc>
      </w:tr>
      <w:tr w:rsidRPr="00FD106B" w:rsidR="00FD106B" w:rsidTr="00A3780E" w14:paraId="7C7B09FE" w14:textId="77777777">
        <w:tc>
          <w:tcPr>
            <w:tcW w:w="1090" w:type="pct"/>
          </w:tcPr>
          <w:p w:rsidRPr="00FD106B" w:rsidR="00FD106B" w:rsidP="00BE1F8F" w:rsidRDefault="00FD106B" w14:paraId="3C27F1D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10" w:type="pct"/>
          </w:tcPr>
          <w:p w:rsidRPr="00FD106B" w:rsidR="00FD106B" w:rsidP="00BE1F8F" w:rsidRDefault="00FD106B" w14:paraId="6376D96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+32 25469732</w:t>
            </w:r>
          </w:p>
          <w:p w:rsidRPr="00FD106B" w:rsidR="00FD106B" w:rsidP="00BE1F8F" w:rsidRDefault="00FD106B" w14:paraId="617FBCC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+32 25468378</w:t>
            </w:r>
          </w:p>
        </w:tc>
      </w:tr>
      <w:tr w:rsidRPr="00FD106B" w:rsidR="00FD106B" w:rsidTr="00A3780E" w14:paraId="28A6E007" w14:textId="77777777">
        <w:tc>
          <w:tcPr>
            <w:tcW w:w="1090" w:type="pct"/>
          </w:tcPr>
          <w:p w:rsidRPr="00FD106B" w:rsidR="00FD106B" w:rsidP="00BE1F8F" w:rsidRDefault="00FD106B" w14:paraId="173B495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10" w:type="pct"/>
          </w:tcPr>
          <w:p w:rsidRPr="00FD106B" w:rsidR="00FD106B" w:rsidP="00BE1F8F" w:rsidRDefault="00377488" w14:paraId="5879500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43">
              <w:r w:rsidR="001B5116"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  <w:p w:rsidRPr="00FD106B" w:rsidR="00FD106B" w:rsidP="00BE1F8F" w:rsidRDefault="00377488" w14:paraId="40FF993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44">
              <w:r w:rsidR="001B5116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FD106B" w:rsidP="00BE1F8F" w:rsidRDefault="00FD106B" w14:paraId="6389C470" w14:textId="77777777">
      <w:pPr>
        <w:jc w:val="left"/>
      </w:pPr>
    </w:p>
    <w:p w:rsidR="00FD106B" w:rsidP="00BE1F8F" w:rsidRDefault="00FD106B" w14:paraId="78591677" w14:textId="77777777">
      <w:pPr>
        <w:jc w:val="left"/>
      </w:pPr>
      <w:r>
        <w:br w:type="page"/>
      </w:r>
    </w:p>
    <w:p w:rsidRPr="00D03AEC" w:rsidR="00D03AEC" w:rsidP="00BE1F8F" w:rsidRDefault="00377488" w14:paraId="5D829D13" w14:textId="2B5C82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5">
        <w:r w:rsidR="001B5116">
          <w:rPr>
            <w:b/>
            <w:i/>
            <w:color w:val="0000FF"/>
            <w:sz w:val="28"/>
            <w:u w:val="single"/>
          </w:rPr>
          <w:t>Az uniós kis- és középvállalkozások versenyképessége az új adminisztratív terhek/kötelezettségek fényében</w:t>
        </w:r>
      </w:hyperlink>
    </w:p>
    <w:p w:rsidRPr="00D03AEC" w:rsidR="00D03AEC" w:rsidP="00BE1F8F" w:rsidRDefault="00D03AEC" w14:paraId="76D0C02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452"/>
        <w:gridCol w:w="7725"/>
      </w:tblGrid>
      <w:tr w:rsidRPr="00D03AEC" w:rsidR="00D03AEC" w:rsidTr="00713105" w14:paraId="385F137A" w14:textId="77777777">
        <w:trPr>
          <w:trHeight w:val="323"/>
        </w:trPr>
        <w:tc>
          <w:tcPr>
            <w:tcW w:w="791" w:type="pct"/>
          </w:tcPr>
          <w:p w:rsidRPr="00D03AEC" w:rsidR="00D03AEC" w:rsidP="00BE1F8F" w:rsidRDefault="00D03AEC" w14:paraId="6D4FA2AD" w14:textId="441446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4209" w:type="pct"/>
          </w:tcPr>
          <w:p w:rsidRPr="00D03AEC" w:rsidR="00D03AEC" w:rsidP="00BE1F8F" w:rsidRDefault="00D03AEC" w14:paraId="2320B226" w14:textId="16FA16A5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right="-387" w:hanging="266"/>
              <w:textAlignment w:val="baseline"/>
            </w:pPr>
            <w:r>
              <w:t>Paul RÜBIG (Munkáltatók/AT)</w:t>
            </w:r>
          </w:p>
        </w:tc>
      </w:tr>
      <w:tr w:rsidRPr="00D03AEC" w:rsidR="00D03AEC" w:rsidTr="00713105" w14:paraId="2544DD25" w14:textId="77777777">
        <w:tc>
          <w:tcPr>
            <w:tcW w:w="791" w:type="pct"/>
          </w:tcPr>
          <w:p w:rsidRPr="00D03AEC" w:rsidR="00D03AEC" w:rsidP="00BE1F8F" w:rsidRDefault="00D03AEC" w14:paraId="327B0796" w14:textId="569A93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4209" w:type="pct"/>
          </w:tcPr>
          <w:p w:rsidRPr="00D03AEC" w:rsidR="00D03AEC" w:rsidP="00BE1F8F" w:rsidRDefault="00D03AEC" w14:paraId="34DEDE49" w14:textId="588F840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87" w:hanging="266"/>
              <w:textAlignment w:val="baseline"/>
            </w:pPr>
            <w:r>
              <w:t>Feltáró vélemény az EU Tanácsa lengyel elnökségének felkérésére</w:t>
            </w:r>
          </w:p>
          <w:p w:rsidRPr="00D03AEC" w:rsidR="00D03AEC" w:rsidP="00BE1F8F" w:rsidRDefault="00D03AEC" w14:paraId="6502535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87" w:hanging="266"/>
              <w:textAlignment w:val="baseline"/>
            </w:pPr>
            <w:r>
              <w:t>EESC-2024-03549-00-00-AC</w:t>
            </w:r>
          </w:p>
        </w:tc>
      </w:tr>
    </w:tbl>
    <w:p w:rsidRPr="00D03AEC" w:rsidR="00D03AEC" w:rsidP="00BE1F8F" w:rsidRDefault="00D03AEC" w14:paraId="5DE49D6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D03AEC" w:rsidR="00D03AEC" w:rsidP="00BE1F8F" w:rsidRDefault="00D03AEC" w14:paraId="26780EEE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D03AEC" w:rsidR="00D03AEC" w:rsidP="00BE1F8F" w:rsidRDefault="00D03AEC" w14:paraId="66E17A0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Pr="00D03AEC" w:rsidR="00D03AEC" w:rsidP="00BE1F8F" w:rsidRDefault="00D03AEC" w14:paraId="73126562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D03AEC" w:rsidR="00D03AEC" w:rsidP="00BE1F8F" w:rsidRDefault="00D03AEC" w14:paraId="551D5FDC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úgy véli, hogy annak ellenére, hogy a múltban különböző uniós kezdeményezések indultak, még van mit tenni a szabályozási terhek csökkentése terén, mivel a kkv-k a további szabályozási hullám és a meglévő követelmények miatt kettős és háromszoros jogi követelményekkel szembesülnek, a zöld megállapodással kapcsolatban is;</w:t>
      </w:r>
    </w:p>
    <w:p w:rsidRPr="00D03AEC" w:rsidR="00D03AEC" w:rsidP="00BE1F8F" w:rsidRDefault="00D03AEC" w14:paraId="62F36A43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ugyanakkor úgy véli, hogy a szabályozási terhek csökkentése nem veszélyeztetheti a nemzetközi és uniós szinten megállapított szociális, környezetvédelmi és fogyasztóvédelmi jogoknak és normáknak, valamint az átláthatóság és a jogállamiság elvének a betartását az EU-ban;</w:t>
      </w:r>
    </w:p>
    <w:p w:rsidRPr="00D03AEC" w:rsidR="00D03AEC" w:rsidP="00BE1F8F" w:rsidRDefault="00D03AEC" w14:paraId="2F408966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javasolja, hogy a Szabályozói Ellenőrzési Testületet jelentősen erősítsék meg és növeljék függetlenségét azáltal, hogy minden jogalkotási folyamat elején elvégzik a „következetességi ellenőrzést és szubszidiaritási vizsgálatot”, valamint hogy megfelelő felülvizsgálati és tanácsadói joggal rendelkezzen;</w:t>
      </w:r>
    </w:p>
    <w:p w:rsidRPr="00D03AEC" w:rsidR="00D03AEC" w:rsidP="00BE1F8F" w:rsidRDefault="00D03AEC" w14:paraId="59E3C799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azt ajánlja, hogy a kkv-tesztet és a versenyképességi tesztet egyetlen eljárásba vonják össze;</w:t>
      </w:r>
    </w:p>
    <w:p w:rsidRPr="00D03AEC" w:rsidR="00D03AEC" w:rsidP="00BE1F8F" w:rsidRDefault="00D03AEC" w14:paraId="126D259B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azt javasolja, hogy a mesterséges intelligencia és a gépi tanulási eszközök segítségével hozzanak létre egy olyan könnyen használható „egységes beszámolási eszközt”, amely a kkv-k, a közepes tőkeértékű vállalatok és más vállalatok tekintetében az összes uniós vonatkozású beszámolási kötelezettséget, határidőt és szankciót képes biztosítani;</w:t>
      </w:r>
    </w:p>
    <w:p w:rsidRPr="00D03AEC" w:rsidR="00D03AEC" w:rsidP="00BE1F8F" w:rsidRDefault="00D03AEC" w14:paraId="004869CE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rámutat annak szükségességére, hogy az Európai Parlament és az Európai Unió Tanácsa dolgozzon ki gyorsított eljárást a saját tematikus főosztályai által végzett hatás- és kockázatértékelésekre olyan módosító indítványok esetében, amelyek jelentősen megváltoztatnák az Európai Bizottság által elfogadott javaslatokat;</w:t>
      </w:r>
    </w:p>
    <w:p w:rsidR="00D03AEC" w:rsidP="00BE1F8F" w:rsidRDefault="00D03AEC" w14:paraId="750FA3AD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úgy véli, hogy az Európai Unió Tanácsának és a nemzeti hatóságoknak is jobban ki kellene használniuk a felelősségi körök (szubszidiaritás) felülvizsgálatával kapcsolatos lehetőségeket, különös tekintettel a kis- és középvállalkozásokra, a fogyasztókra, a közigazgatásra és az igazságszolgáltatásra gyakorolt hatásokra.</w:t>
      </w:r>
    </w:p>
    <w:p w:rsidRPr="00D03AEC" w:rsidR="00860DE0" w:rsidP="00BE1F8F" w:rsidRDefault="00860DE0" w14:paraId="70E7E138" w14:textId="77777777">
      <w:pPr>
        <w:overflowPunct w:val="0"/>
        <w:autoSpaceDE w:val="0"/>
        <w:autoSpaceDN w:val="0"/>
        <w:adjustRightInd w:val="0"/>
        <w:ind w:left="284"/>
        <w:contextualSpacing/>
        <w:textAlignment w:val="baseline"/>
        <w:rPr>
          <w:bCs/>
          <w:iCs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2"/>
        <w:gridCol w:w="7625"/>
      </w:tblGrid>
      <w:tr w:rsidRPr="00D03AEC" w:rsidR="00D03AEC" w:rsidTr="00713105" w14:paraId="5FB02248" w14:textId="77777777">
        <w:tc>
          <w:tcPr>
            <w:tcW w:w="895" w:type="pct"/>
          </w:tcPr>
          <w:p w:rsidRPr="00D03AEC" w:rsidR="00D03AEC" w:rsidP="00BE1F8F" w:rsidRDefault="00D03AEC" w14:paraId="74072B9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105" w:type="pct"/>
          </w:tcPr>
          <w:p w:rsidRPr="00D03AEC" w:rsidR="00D03AEC" w:rsidP="00BE1F8F" w:rsidRDefault="00D03AEC" w14:paraId="522139B8" w14:textId="78198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Marco Manfroni</w:t>
            </w:r>
          </w:p>
        </w:tc>
      </w:tr>
      <w:tr w:rsidRPr="00D03AEC" w:rsidR="00D03AEC" w:rsidTr="00713105" w14:paraId="608E1DA4" w14:textId="77777777">
        <w:tc>
          <w:tcPr>
            <w:tcW w:w="895" w:type="pct"/>
          </w:tcPr>
          <w:p w:rsidRPr="00D03AEC" w:rsidR="00D03AEC" w:rsidP="00BE1F8F" w:rsidRDefault="00D03AEC" w14:paraId="0320073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105" w:type="pct"/>
          </w:tcPr>
          <w:p w:rsidRPr="00D03AEC" w:rsidR="00D03AEC" w:rsidP="00BE1F8F" w:rsidRDefault="00D03AEC" w14:paraId="7EC18166" w14:textId="0323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+32 254 69 140</w:t>
            </w:r>
          </w:p>
        </w:tc>
      </w:tr>
      <w:tr w:rsidRPr="00D03AEC" w:rsidR="00D03AEC" w:rsidTr="00713105" w14:paraId="18ACE9E6" w14:textId="77777777">
        <w:tc>
          <w:tcPr>
            <w:tcW w:w="895" w:type="pct"/>
          </w:tcPr>
          <w:p w:rsidRPr="00D03AEC" w:rsidR="00D03AEC" w:rsidP="00BE1F8F" w:rsidRDefault="00D03AEC" w14:paraId="4714099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105" w:type="pct"/>
          </w:tcPr>
          <w:p w:rsidRPr="00D03AEC" w:rsidR="00D03AEC" w:rsidP="00BE1F8F" w:rsidRDefault="00377488" w14:paraId="66C1176F" w14:textId="6F5AA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46">
              <w:r w:rsidR="001B5116">
                <w:rPr>
                  <w:i/>
                  <w:color w:val="0000FF"/>
                  <w:u w:val="single"/>
                </w:rPr>
                <w:t>Marco.Manfroni@eesc.europa.eu</w:t>
              </w:r>
            </w:hyperlink>
          </w:p>
        </w:tc>
      </w:tr>
    </w:tbl>
    <w:p w:rsidR="00D03AEC" w:rsidP="00BE1F8F" w:rsidRDefault="00D03AEC" w14:paraId="20B99FD5" w14:textId="77777777">
      <w:pPr>
        <w:jc w:val="left"/>
      </w:pPr>
      <w:r>
        <w:br w:type="page"/>
      </w:r>
    </w:p>
    <w:p w:rsidRPr="008413EF" w:rsidR="008413EF" w:rsidP="00BE1F8F" w:rsidRDefault="00377488" w14:paraId="70DDD8A1" w14:textId="1D4BB0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tgtFrame="_blank" w:history="1" r:id="rId47">
        <w:r w:rsidR="001B5116">
          <w:rPr>
            <w:b/>
            <w:i/>
            <w:color w:val="0000FF"/>
            <w:sz w:val="28"/>
            <w:u w:val="single"/>
          </w:rPr>
          <w:t>A szolgáltatási ágazat az Európai Unióban</w:t>
        </w:r>
      </w:hyperlink>
    </w:p>
    <w:p w:rsidRPr="008413EF" w:rsidR="008413EF" w:rsidP="00713105" w:rsidRDefault="008413EF" w14:paraId="09CC9878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8413EF" w:rsidR="008413EF" w:rsidTr="00713105" w14:paraId="7A748E72" w14:textId="77777777">
        <w:tc>
          <w:tcPr>
            <w:tcW w:w="1701" w:type="dxa"/>
          </w:tcPr>
          <w:p w:rsidRPr="008413EF" w:rsidR="008413EF" w:rsidP="00BE1F8F" w:rsidRDefault="008413EF" w14:paraId="0901F05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479" w:type="dxa"/>
          </w:tcPr>
          <w:p w:rsidRPr="008413EF" w:rsidR="008413EF" w:rsidP="00BE1F8F" w:rsidRDefault="008413EF" w14:paraId="2A6EDF2D" w14:textId="7BB4AB0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Marcin NOWACKI (Munkáltatók csoportja/PL)</w:t>
            </w:r>
          </w:p>
        </w:tc>
      </w:tr>
      <w:tr w:rsidRPr="008413EF" w:rsidR="008413EF" w:rsidTr="00713105" w14:paraId="6A5323D9" w14:textId="77777777">
        <w:tc>
          <w:tcPr>
            <w:tcW w:w="1701" w:type="dxa"/>
            <w:vMerge w:val="restart"/>
          </w:tcPr>
          <w:p w:rsidRPr="008413EF" w:rsidR="008413EF" w:rsidP="00BE1F8F" w:rsidRDefault="008413EF" w14:paraId="037595AE" w14:textId="7E00B36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7479" w:type="dxa"/>
          </w:tcPr>
          <w:p w:rsidRPr="008413EF" w:rsidR="008413EF" w:rsidP="00713105" w:rsidRDefault="008413EF" w14:paraId="50FBE37D" w14:textId="5D117B4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Feltáró vélemény az EU Tanácsa lengyel elnökségének felkérésére</w:t>
            </w:r>
          </w:p>
        </w:tc>
      </w:tr>
      <w:tr w:rsidRPr="008413EF" w:rsidR="008413EF" w:rsidTr="00713105" w14:paraId="730528B8" w14:textId="77777777">
        <w:tc>
          <w:tcPr>
            <w:tcW w:w="1701" w:type="dxa"/>
            <w:vMerge/>
          </w:tcPr>
          <w:p w:rsidRPr="008413EF" w:rsidR="008413EF" w:rsidP="00BE1F8F" w:rsidRDefault="008413EF" w14:paraId="12933C3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:rsidRPr="008413EF" w:rsidR="008413EF" w:rsidP="00BE1F8F" w:rsidRDefault="008413EF" w14:paraId="3578B6AF" w14:textId="02B3A0A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EESC-2024-03619-00-00-AC</w:t>
            </w:r>
          </w:p>
        </w:tc>
      </w:tr>
    </w:tbl>
    <w:p w:rsidRPr="008413EF" w:rsidR="008413EF" w:rsidP="00BE1F8F" w:rsidRDefault="008413EF" w14:paraId="27F8102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20"/>
          <w:szCs w:val="20"/>
          <w:lang w:val="en-GB"/>
        </w:rPr>
      </w:pPr>
    </w:p>
    <w:p w:rsidRPr="008413EF" w:rsidR="008413EF" w:rsidP="00BE1F8F" w:rsidRDefault="008413EF" w14:paraId="72919FE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8413EF" w:rsidR="008413EF" w:rsidP="00BE1F8F" w:rsidRDefault="008413EF" w14:paraId="57B16AE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8413EF" w:rsidR="008413EF" w:rsidP="00BE1F8F" w:rsidRDefault="008413EF" w14:paraId="4C5E895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8413EF" w:rsidR="008413EF" w:rsidP="00BE1F8F" w:rsidRDefault="008413EF" w14:paraId="67F46C33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felhívja a figyelmet arra, hogy az uniós szolgáltatási ágazat széttagoltságának kezelése érdekében harmonizálni kell a szolgáltatási irányelvet és a szakmai képesítések elismeréséről szóló irányelvet,</w:t>
      </w:r>
    </w:p>
    <w:p w:rsidRPr="008413EF" w:rsidR="008413EF" w:rsidP="00BE1F8F" w:rsidRDefault="008413EF" w14:paraId="232D5697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úgy véli, hogy a tagállamokban előforduló legjelentősebb szabályozási akadályok kezelése érdekében be kell vezetni egy „100 szakmára vonatkozó csomagot”,</w:t>
      </w:r>
    </w:p>
    <w:p w:rsidRPr="008413EF" w:rsidR="008413EF" w:rsidP="00BE1F8F" w:rsidRDefault="008413EF" w14:paraId="783B2481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megjegyzi, hogy a digitalizációnak központi szerepet kell betöltenie az adminisztratív folyamatok korszerűsítésében. Az egységes digitális nyilatkozattételi portál és az A1-es formanyomtatványok digitalizálása nemcsak a kkv-k adminisztratív terheit csökkentené, hanem egyszerűsítené a határokon átnyúló szolgáltatásokat is, és a vállalkozások és a fogyasztók számára egyaránt gyorsabb és hozzáférhetőbb szolgáltatásokat biztosítana,</w:t>
      </w:r>
    </w:p>
    <w:p w:rsidRPr="008413EF" w:rsidR="008413EF" w:rsidP="00BE1F8F" w:rsidRDefault="008413EF" w14:paraId="2AA10EB1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úgy véli, hogy az olyan iparágakban fennálló akadályok kezeléséhez, mint az építőipar, a kiskereskedelem és a pénzügyi szolgáltatások, célzott, ágazatspecifikus reformokra van szükség,</w:t>
      </w:r>
    </w:p>
    <w:p w:rsidRPr="008413EF" w:rsidR="008413EF" w:rsidP="00BE1F8F" w:rsidRDefault="008413EF" w14:paraId="1EFD5C32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hangsúlyozza, hogy a munkavédelmet, a kollektív tárgyalásokat és a kollektív megállapodásokat nem szabad indokolatlan terheknek tekinteni,</w:t>
      </w:r>
    </w:p>
    <w:p w:rsidRPr="008413EF" w:rsidR="008413EF" w:rsidP="00BE1F8F" w:rsidRDefault="008413EF" w14:paraId="7AEFFC54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hangsúlyozza, hogy adatgyűjtésre van szükség a szolgáltatási ágazatra – különösen a kkv-kra – vonatkozóan a szakpolitikai döntéshozatal támogatása és az egységes piac akadályainak felszámolása érdekében,</w:t>
      </w:r>
    </w:p>
    <w:p w:rsidRPr="008413EF" w:rsidR="008413EF" w:rsidP="00BE1F8F" w:rsidRDefault="008413EF" w14:paraId="74735E25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úgy véli, hogy az aktualizált egységes piaci stratégiának tartalmaznia kell egy átfogó ágazatspecifikus cselekvési tervet a szolgáltatási piac integrációjára vonatkozóan. </w:t>
      </w:r>
    </w:p>
    <w:p w:rsidRPr="008413EF" w:rsidR="008413EF" w:rsidP="00BE1F8F" w:rsidRDefault="008413EF" w14:paraId="08EF99E5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Pr="008413EF" w:rsidR="008413EF" w:rsidTr="00713105" w14:paraId="33B11F7A" w14:textId="77777777">
        <w:tc>
          <w:tcPr>
            <w:tcW w:w="1668" w:type="dxa"/>
          </w:tcPr>
          <w:p w:rsidRPr="00713105" w:rsidR="008413EF" w:rsidP="00BE1F8F" w:rsidRDefault="008413EF" w14:paraId="6AEFA1C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7512" w:type="dxa"/>
          </w:tcPr>
          <w:p w:rsidRPr="00713105" w:rsidR="008413EF" w:rsidP="00BE1F8F" w:rsidRDefault="008413EF" w14:paraId="061D78D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Annalisa Tessarolo</w:t>
            </w:r>
          </w:p>
        </w:tc>
      </w:tr>
      <w:tr w:rsidRPr="008413EF" w:rsidR="008413EF" w:rsidTr="00713105" w14:paraId="40FDA69D" w14:textId="77777777">
        <w:tc>
          <w:tcPr>
            <w:tcW w:w="1668" w:type="dxa"/>
          </w:tcPr>
          <w:p w:rsidRPr="00713105" w:rsidR="008413EF" w:rsidP="00BE1F8F" w:rsidRDefault="008413EF" w14:paraId="2D11699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12" w:type="dxa"/>
          </w:tcPr>
          <w:p w:rsidRPr="00713105" w:rsidR="008413EF" w:rsidP="00BE1F8F" w:rsidRDefault="008413EF" w14:paraId="100C3FF0" w14:textId="4D9692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+32 2 54697432</w:t>
            </w:r>
          </w:p>
        </w:tc>
      </w:tr>
      <w:tr w:rsidRPr="008413EF" w:rsidR="008413EF" w:rsidTr="00713105" w14:paraId="37302371" w14:textId="77777777">
        <w:tc>
          <w:tcPr>
            <w:tcW w:w="1668" w:type="dxa"/>
          </w:tcPr>
          <w:p w:rsidRPr="00713105" w:rsidR="008413EF" w:rsidP="00BE1F8F" w:rsidRDefault="00AD28C9" w14:paraId="5DEDB95D" w14:textId="4025CC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512" w:type="dxa"/>
          </w:tcPr>
          <w:p w:rsidRPr="00713105" w:rsidR="008413EF" w:rsidP="00BE1F8F" w:rsidRDefault="00377488" w14:paraId="03ED06F2" w14:textId="467690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48">
              <w:r w:rsidR="001B5116">
                <w:rPr>
                  <w:rStyle w:val="Hyperlink"/>
                  <w:i/>
                </w:rPr>
                <w:t>Annalisa.Tessarolo@eesc.europa.eu</w:t>
              </w:r>
            </w:hyperlink>
          </w:p>
        </w:tc>
      </w:tr>
    </w:tbl>
    <w:p w:rsidR="008413EF" w:rsidP="00BE1F8F" w:rsidRDefault="008413EF" w14:paraId="617BC9EE" w14:textId="77777777">
      <w:pPr>
        <w:jc w:val="left"/>
        <w:rPr>
          <w:lang w:val="en-GB"/>
        </w:rPr>
      </w:pPr>
    </w:p>
    <w:p w:rsidR="008413EF" w:rsidP="00BE1F8F" w:rsidRDefault="008413EF" w14:paraId="191624E6" w14:textId="77777777">
      <w:pPr>
        <w:jc w:val="left"/>
      </w:pPr>
      <w:r>
        <w:br w:type="page"/>
      </w:r>
    </w:p>
    <w:p w:rsidRPr="00713105" w:rsidR="001C0AB9" w:rsidP="00BE1F8F" w:rsidRDefault="00377488" w14:paraId="42F00AC9" w14:textId="3186BBA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hyperlink w:tgtFrame="_blank" w:history="1" r:id="rId49">
        <w:r w:rsidR="001B5116">
          <w:rPr>
            <w:b/>
            <w:i/>
            <w:color w:val="0000FF"/>
            <w:sz w:val="28"/>
            <w:u w:val="single"/>
          </w:rPr>
          <w:t>Az uniós ipar jövője a magas energiaárak és az átállási költségek fényében</w:t>
        </w:r>
      </w:hyperlink>
    </w:p>
    <w:p w:rsidRPr="001C0AB9" w:rsidR="001C0AB9" w:rsidP="00BE1F8F" w:rsidRDefault="001C0AB9" w14:paraId="0DDA99F6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lang w:val="en-GB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1667"/>
        <w:gridCol w:w="7512"/>
      </w:tblGrid>
      <w:tr w:rsidRPr="001C0AB9" w:rsidR="001C0AB9" w:rsidTr="00713105" w14:paraId="302E5F77" w14:textId="77777777">
        <w:tc>
          <w:tcPr>
            <w:tcW w:w="908" w:type="pct"/>
          </w:tcPr>
          <w:p w:rsidRPr="001C0AB9" w:rsidR="001C0AB9" w:rsidP="00BE1F8F" w:rsidRDefault="001C0AB9" w14:paraId="16513D2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</w:t>
            </w:r>
          </w:p>
        </w:tc>
        <w:tc>
          <w:tcPr>
            <w:tcW w:w="4092" w:type="pct"/>
          </w:tcPr>
          <w:p w:rsidRPr="001C0AB9" w:rsidR="001C0AB9" w:rsidP="00BE1F8F" w:rsidRDefault="001C0AB9" w14:paraId="45A398EC" w14:textId="18D9B47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Andrea MONE (Munkavállalók/IT)</w:t>
            </w:r>
          </w:p>
        </w:tc>
      </w:tr>
      <w:tr w:rsidRPr="001C0AB9" w:rsidR="001C0AB9" w:rsidTr="00713105" w14:paraId="49E0B6DD" w14:textId="77777777">
        <w:tc>
          <w:tcPr>
            <w:tcW w:w="908" w:type="pct"/>
            <w:vMerge w:val="restart"/>
          </w:tcPr>
          <w:p w:rsidRPr="001C0AB9" w:rsidR="001C0AB9" w:rsidP="00BE1F8F" w:rsidRDefault="001C0AB9" w14:paraId="2351E607" w14:textId="2483074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4092" w:type="pct"/>
          </w:tcPr>
          <w:p w:rsidRPr="00C43D3E" w:rsidR="001C0AB9" w:rsidP="00713105" w:rsidRDefault="001C0AB9" w14:paraId="17F26A32" w14:textId="51BBB0E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87" w:hanging="266"/>
              <w:textAlignment w:val="baseline"/>
            </w:pPr>
            <w:r>
              <w:t>Feltáró vélemény az EU Tanácsa lengyel elnökségének felkérésére</w:t>
            </w:r>
          </w:p>
        </w:tc>
      </w:tr>
      <w:tr w:rsidRPr="001C0AB9" w:rsidR="001C0AB9" w:rsidTr="00713105" w14:paraId="21E65686" w14:textId="77777777">
        <w:tc>
          <w:tcPr>
            <w:tcW w:w="908" w:type="pct"/>
            <w:vMerge/>
          </w:tcPr>
          <w:p w:rsidRPr="001C0AB9" w:rsidR="001C0AB9" w:rsidP="00BE1F8F" w:rsidRDefault="001C0AB9" w14:paraId="4CD406B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092" w:type="pct"/>
          </w:tcPr>
          <w:p w:rsidRPr="001C0AB9" w:rsidR="001C0AB9" w:rsidP="00BE1F8F" w:rsidRDefault="001C0AB9" w14:paraId="7D1175E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EESC-2024-03583-00-00-AC</w:t>
            </w:r>
          </w:p>
        </w:tc>
      </w:tr>
    </w:tbl>
    <w:p w:rsidRPr="001C0AB9" w:rsidR="001C0AB9" w:rsidP="00BE1F8F" w:rsidRDefault="001C0AB9" w14:paraId="1C92208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1C0AB9" w:rsidR="001C0AB9" w:rsidP="00BE1F8F" w:rsidRDefault="001C0AB9" w14:paraId="2CF6D0A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1C0AB9" w:rsidR="001C0AB9" w:rsidP="00BE1F8F" w:rsidRDefault="001C0AB9" w14:paraId="13B083C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C0AB9" w:rsidR="00402449" w:rsidP="00BE1F8F" w:rsidRDefault="001C0AB9" w14:paraId="7AD5576E" w14:textId="147901FD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1C0AB9" w:rsidR="001C0AB9" w:rsidP="00BE1F8F" w:rsidRDefault="001C0AB9" w14:paraId="6A2D8F3D" w14:textId="77777777">
      <w:pPr>
        <w:numPr>
          <w:ilvl w:val="0"/>
          <w:numId w:val="3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sürgős fellépést szorgalmaz egy olyan </w:t>
      </w:r>
      <w:r>
        <w:rPr>
          <w:b/>
        </w:rPr>
        <w:t>átfogó uniós iparstratégia</w:t>
      </w:r>
      <w:r>
        <w:t xml:space="preserve"> létrehozása érdekében, amely biztosítja a </w:t>
      </w:r>
      <w:r>
        <w:rPr>
          <w:b/>
        </w:rPr>
        <w:t>versenyképes iparágakat és a minőségi munkahelyeket</w:t>
      </w:r>
      <w:r>
        <w:t>,</w:t>
      </w:r>
      <w:r>
        <w:rPr>
          <w:b/>
        </w:rPr>
        <w:t xml:space="preserve"> szoros</w:t>
      </w:r>
      <w:r>
        <w:t xml:space="preserve"> nyomon követés és célzott kiigazítások révén igazodva a zöld megállapodás célkitűzéseihez,</w:t>
      </w:r>
    </w:p>
    <w:p w:rsidRPr="001C0AB9" w:rsidR="001C0AB9" w:rsidP="00BE1F8F" w:rsidRDefault="001C0AB9" w14:paraId="70DD072D" w14:textId="77777777">
      <w:pPr>
        <w:numPr>
          <w:ilvl w:val="0"/>
          <w:numId w:val="3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sürgeti a </w:t>
      </w:r>
      <w:r>
        <w:rPr>
          <w:b/>
        </w:rPr>
        <w:t xml:space="preserve">gazdasági és szabályozási környezet </w:t>
      </w:r>
      <w:r>
        <w:t xml:space="preserve">javítását </w:t>
      </w:r>
      <w:r>
        <w:rPr>
          <w:b/>
        </w:rPr>
        <w:t>Európa strukturális versenyképességi kihívásainak</w:t>
      </w:r>
      <w:r>
        <w:t xml:space="preserve"> kezelése érdekében, beleértve a magas energia- és nyersanyagköltségeket, a zöld átállás kezdeti beruházási és megfelelési terheit, a nem megfelelő infrastruktúrát, a tartós szakemberhiányt, a korlátozott finanszírozást és a belső keresletet, valamint a nem teljesen egységes piacot,</w:t>
      </w:r>
    </w:p>
    <w:p w:rsidRPr="001C0AB9" w:rsidR="001C0AB9" w:rsidP="00BE1F8F" w:rsidRDefault="001C0AB9" w14:paraId="6A693864" w14:textId="77777777">
      <w:pPr>
        <w:numPr>
          <w:ilvl w:val="0"/>
          <w:numId w:val="3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olyan </w:t>
      </w:r>
      <w:r>
        <w:rPr>
          <w:b/>
        </w:rPr>
        <w:t>versenyképességi politikát</w:t>
      </w:r>
      <w:r>
        <w:t xml:space="preserve"> szorgalmaz, amely előtérbe helyezi a </w:t>
      </w:r>
      <w:r>
        <w:rPr>
          <w:b/>
        </w:rPr>
        <w:t>beruházásokat és az innovációt</w:t>
      </w:r>
      <w:r>
        <w:t xml:space="preserve">, miközben előmozdítja a </w:t>
      </w:r>
      <w:r>
        <w:rPr>
          <w:b/>
        </w:rPr>
        <w:t>társadalmi és területi inkluzivitást</w:t>
      </w:r>
      <w:r>
        <w:t xml:space="preserve">, és biztosítja, hogy a </w:t>
      </w:r>
      <w:r>
        <w:rPr>
          <w:b/>
        </w:rPr>
        <w:t xml:space="preserve">szociális párbeszéd és a kollektív tárgyalások </w:t>
      </w:r>
      <w:r>
        <w:t>tisztességes és méltányos módon irányítsák a strukturális változásokat,</w:t>
      </w:r>
    </w:p>
    <w:p w:rsidRPr="001C0AB9" w:rsidR="001C0AB9" w:rsidP="00BE1F8F" w:rsidRDefault="001C0AB9" w14:paraId="61A535A9" w14:textId="77777777">
      <w:pPr>
        <w:numPr>
          <w:ilvl w:val="0"/>
          <w:numId w:val="3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olyan </w:t>
      </w:r>
      <w:r>
        <w:rPr>
          <w:b/>
        </w:rPr>
        <w:t>ágazati inkluzív ipari stratégiát</w:t>
      </w:r>
      <w:r>
        <w:t xml:space="preserve"> szorgalmaz, amely fokozza a </w:t>
      </w:r>
      <w:r>
        <w:rPr>
          <w:b/>
        </w:rPr>
        <w:t>szakpolitikai koherenciát, optimalizálja a források elosztását, létrehoz egy</w:t>
      </w:r>
      <w:r>
        <w:t xml:space="preserve">, a stratégiai prioritások számára </w:t>
      </w:r>
      <w:r>
        <w:rPr>
          <w:b/>
        </w:rPr>
        <w:t>külön európai beruházási alapot</w:t>
      </w:r>
      <w:r>
        <w:t xml:space="preserve">, és figyelembe veszi az olyan kulcsfontosságú területek </w:t>
      </w:r>
      <w:r>
        <w:rPr>
          <w:b/>
        </w:rPr>
        <w:t>transznacionális dimenzióját</w:t>
      </w:r>
      <w:r>
        <w:t xml:space="preserve">, mint az </w:t>
      </w:r>
      <w:r>
        <w:rPr>
          <w:b/>
        </w:rPr>
        <w:t>energia, a K+I és a készségek</w:t>
      </w:r>
      <w:r>
        <w:t>,</w:t>
      </w:r>
    </w:p>
    <w:p w:rsidRPr="001C0AB9" w:rsidR="001C0AB9" w:rsidP="00BE1F8F" w:rsidRDefault="001C0AB9" w14:paraId="1A086C5D" w14:textId="77777777">
      <w:pPr>
        <w:numPr>
          <w:ilvl w:val="0"/>
          <w:numId w:val="3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rPr>
          <w:b/>
        </w:rPr>
        <w:t>hangsúlyozza, hogy olyan reziliens uniós kereskedelempolitikára van szükség</w:t>
      </w:r>
      <w:r>
        <w:t xml:space="preserve">, amely csökkenti az </w:t>
      </w:r>
      <w:r>
        <w:rPr>
          <w:b/>
        </w:rPr>
        <w:t xml:space="preserve">aszimmetrikus dekarbonizáció, a globális kapacitásfelesleg és a kereskedelmi feszültségek fokozódásának </w:t>
      </w:r>
      <w:r>
        <w:t xml:space="preserve">kockázatát, miközben Európa ipari jövőjének megőrzése érdekében </w:t>
      </w:r>
      <w:r>
        <w:rPr>
          <w:b/>
        </w:rPr>
        <w:t>megerősíti a kritikus fontosságú nyersanyagok autonómiáját</w:t>
      </w:r>
      <w:r>
        <w:t>.</w:t>
      </w:r>
    </w:p>
    <w:p w:rsidRPr="001C0AB9" w:rsidR="001C0AB9" w:rsidP="00BE1F8F" w:rsidRDefault="001C0AB9" w14:paraId="5031E8B4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1667"/>
        <w:gridCol w:w="7512"/>
      </w:tblGrid>
      <w:tr w:rsidRPr="001C0AB9" w:rsidR="001C0AB9" w:rsidTr="00713105" w14:paraId="255B6976" w14:textId="77777777">
        <w:tc>
          <w:tcPr>
            <w:tcW w:w="908" w:type="pct"/>
          </w:tcPr>
          <w:p w:rsidRPr="001C0AB9" w:rsidR="001C0AB9" w:rsidP="00BE1F8F" w:rsidRDefault="00706D52" w14:paraId="25B90EB8" w14:textId="15FC60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</w:t>
            </w:r>
            <w:r w:rsidR="001C0AB9">
              <w:rPr>
                <w:b/>
                <w:i/>
              </w:rPr>
              <w:t>:</w:t>
            </w:r>
          </w:p>
        </w:tc>
        <w:tc>
          <w:tcPr>
            <w:tcW w:w="4092" w:type="pct"/>
          </w:tcPr>
          <w:p w:rsidRPr="001C0AB9" w:rsidR="001C0AB9" w:rsidP="00BE1F8F" w:rsidRDefault="001C0AB9" w14:paraId="47766DB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Silvia Staffa</w:t>
            </w:r>
          </w:p>
        </w:tc>
      </w:tr>
      <w:tr w:rsidRPr="001C0AB9" w:rsidR="001C0AB9" w:rsidTr="00713105" w14:paraId="7C1DD93F" w14:textId="77777777">
        <w:tc>
          <w:tcPr>
            <w:tcW w:w="908" w:type="pct"/>
          </w:tcPr>
          <w:p w:rsidRPr="001C0AB9" w:rsidR="001C0AB9" w:rsidP="00BE1F8F" w:rsidRDefault="001C0AB9" w14:paraId="3EE989E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92" w:type="pct"/>
          </w:tcPr>
          <w:p w:rsidRPr="001C0AB9" w:rsidR="001C0AB9" w:rsidP="00BE1F8F" w:rsidRDefault="001C0AB9" w14:paraId="205BC83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+32 25468378</w:t>
            </w:r>
          </w:p>
        </w:tc>
      </w:tr>
      <w:tr w:rsidRPr="001C0AB9" w:rsidR="001C0AB9" w:rsidTr="00713105" w14:paraId="0E5D8409" w14:textId="77777777">
        <w:tc>
          <w:tcPr>
            <w:tcW w:w="908" w:type="pct"/>
          </w:tcPr>
          <w:p w:rsidRPr="001C0AB9" w:rsidR="001C0AB9" w:rsidP="00BE1F8F" w:rsidRDefault="00402449" w14:paraId="20244737" w14:textId="72ECC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092" w:type="pct"/>
          </w:tcPr>
          <w:p w:rsidRPr="001C0AB9" w:rsidR="001C0AB9" w:rsidP="00BE1F8F" w:rsidRDefault="00377488" w14:paraId="2ACCD03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50">
              <w:r w:rsidR="001B5116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A124AE" w:rsidP="00BE1F8F" w:rsidRDefault="00A124AE" w14:paraId="5E11233F" w14:textId="77777777">
      <w:pPr>
        <w:jc w:val="left"/>
      </w:pPr>
    </w:p>
    <w:p w:rsidR="00A124AE" w:rsidP="00BE1F8F" w:rsidRDefault="00A124AE" w14:paraId="64128581" w14:textId="77777777">
      <w:pPr>
        <w:jc w:val="left"/>
      </w:pPr>
      <w:r>
        <w:br w:type="page"/>
      </w:r>
    </w:p>
    <w:p w:rsidRPr="00C43D3E" w:rsidR="00A124AE" w:rsidP="00BE1F8F" w:rsidRDefault="00377488" w14:paraId="6CCC3167" w14:textId="151451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  <w:u w:val="single"/>
        </w:rPr>
      </w:pPr>
      <w:hyperlink w:history="1" r:id="rId51">
        <w:r w:rsidR="001B5116">
          <w:rPr>
            <w:b/>
            <w:i/>
            <w:color w:val="0000FF"/>
            <w:sz w:val="28"/>
            <w:u w:val="single"/>
          </w:rPr>
          <w:t>A turizmus az Unióban: a fenntarthatóság mint a hosszú távú versenyképesség motorja</w:t>
        </w:r>
      </w:hyperlink>
    </w:p>
    <w:p w:rsidRPr="00A124AE" w:rsidR="00A124AE" w:rsidP="00BE1F8F" w:rsidRDefault="00A124AE" w14:paraId="70901E4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5"/>
        <w:gridCol w:w="7262"/>
      </w:tblGrid>
      <w:tr w:rsidRPr="00A124AE" w:rsidR="00A124AE" w:rsidTr="00713105" w14:paraId="5244175C" w14:textId="77777777">
        <w:trPr>
          <w:trHeight w:val="322"/>
        </w:trPr>
        <w:tc>
          <w:tcPr>
            <w:tcW w:w="1090" w:type="pct"/>
          </w:tcPr>
          <w:p w:rsidRPr="00A124AE" w:rsidR="00A124AE" w:rsidP="00BE1F8F" w:rsidRDefault="00A124AE" w14:paraId="1416C2D0" w14:textId="3DD291D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910" w:type="pct"/>
          </w:tcPr>
          <w:p w:rsidRPr="00A124AE" w:rsidR="00A124AE" w:rsidP="00BE1F8F" w:rsidRDefault="00A124AE" w14:paraId="483C743D" w14:textId="478C4635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Isabel YGLESIAS (Munkáltatók csoportja/ES)</w:t>
            </w:r>
          </w:p>
        </w:tc>
      </w:tr>
      <w:tr w:rsidRPr="00A124AE" w:rsidR="00A124AE" w:rsidTr="00713105" w14:paraId="466A9A73" w14:textId="77777777">
        <w:tc>
          <w:tcPr>
            <w:tcW w:w="1090" w:type="pct"/>
          </w:tcPr>
          <w:p w:rsidRPr="00A124AE" w:rsidR="00A124AE" w:rsidP="00BE1F8F" w:rsidRDefault="00A124AE" w14:paraId="1940FE0A" w14:textId="7BF07B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3910" w:type="pct"/>
          </w:tcPr>
          <w:p w:rsidRPr="00A124AE" w:rsidR="00A124AE" w:rsidP="00BE1F8F" w:rsidRDefault="00A124AE" w14:paraId="6D5E8266" w14:textId="709DE05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saját kezdeményezésű vélemény</w:t>
            </w:r>
          </w:p>
          <w:p w:rsidRPr="00A124AE" w:rsidR="00A124AE" w:rsidP="00BE1F8F" w:rsidRDefault="00A124AE" w14:paraId="5DBD68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EESC-2024-00656-00-00-AC</w:t>
            </w:r>
          </w:p>
        </w:tc>
      </w:tr>
    </w:tbl>
    <w:p w:rsidRPr="00A124AE" w:rsidR="00A124AE" w:rsidP="00BE1F8F" w:rsidRDefault="00A124AE" w14:paraId="02B4120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A124AE" w:rsidR="00A124AE" w:rsidP="00BE1F8F" w:rsidRDefault="00A124AE" w14:paraId="5124981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A124AE" w:rsidR="00A124AE" w:rsidP="00BE1F8F" w:rsidRDefault="00A124AE" w14:paraId="03EBACB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Pr="00A124AE" w:rsidR="00A124AE" w:rsidP="00713105" w:rsidRDefault="00A124AE" w14:paraId="73E68146" w14:textId="372BFA81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A124AE" w:rsidR="00A124AE" w:rsidP="00BE1F8F" w:rsidRDefault="00A124AE" w14:paraId="6CFA5AB5" w14:textId="77777777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hangsúlyozza, hogy annak érdekében, hogy az erősen turizmusra szakosodott régiók a turizmus révén teljes mértékben hozzá tudjanak járulni az EU versenyképességének fokozásához, fel kell gyorsítani </w:t>
      </w:r>
      <w:r>
        <w:rPr>
          <w:b/>
        </w:rPr>
        <w:t>a fenntartható turizmusra való átállást</w:t>
      </w:r>
      <w:r>
        <w:t xml:space="preserve">, és </w:t>
      </w:r>
      <w:r>
        <w:rPr>
          <w:b/>
        </w:rPr>
        <w:t>a regeneratív turizmusra vonatkozó stratégiákat kell végrehajtani</w:t>
      </w:r>
      <w:r>
        <w:t>. A regeneratív turizmus tovább megy a fenntartható turizmusnál: olyan gyakorlatokat alkalmaz, melyeknek célja a természeti, társadalmi és gazdasági tőke helyreállítása és megerősítése, így tartós pozitív hatást gyakorol az úti célokra és az ottani közösségekre,</w:t>
      </w:r>
    </w:p>
    <w:p w:rsidRPr="00A124AE" w:rsidR="00A124AE" w:rsidP="00BE1F8F" w:rsidRDefault="00A124AE" w14:paraId="5B76C178" w14:textId="77777777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azt ajánlja, hogy </w:t>
      </w:r>
      <w:r>
        <w:rPr>
          <w:b/>
        </w:rPr>
        <w:t>az új európai jogalkotási ciklusban olyan turisztikai politikákat támogassanak, amelyek az aktív regenerációra vonatkozó célkitűzéseket is tartalmaznak</w:t>
      </w:r>
      <w:r>
        <w:t>, és a turisztikai célpontok összes alkotóeleme – az ökoszisztémák, a közösségek, a helyi gazdaság és a látogatók – közötti kölcsönös kapcsolatra alapoznak,</w:t>
      </w:r>
    </w:p>
    <w:p w:rsidRPr="00A124AE" w:rsidR="00A124AE" w:rsidP="00BE1F8F" w:rsidRDefault="00A124AE" w14:paraId="75E91233" w14:textId="77777777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javasolja, hogy az aktív regenerációt és a társadalmi értéket a középpontba helyező turisztikai modellre való </w:t>
      </w:r>
      <w:r>
        <w:rPr>
          <w:b/>
        </w:rPr>
        <w:t>átállás felgyorsítása érdekében</w:t>
      </w:r>
      <w:r>
        <w:t xml:space="preserve">, a fenntartható turizmusra vonatkozó stratégia keretében dolgozzanak ki </w:t>
      </w:r>
      <w:r>
        <w:rPr>
          <w:b/>
        </w:rPr>
        <w:t>egyértelmű iránymutatásokat és konkrét intézkedéseket</w:t>
      </w:r>
      <w:r>
        <w:t xml:space="preserve">. A stratégia eredményes végrehajtásához megfelelő </w:t>
      </w:r>
      <w:r>
        <w:rPr>
          <w:b/>
        </w:rPr>
        <w:t>finanszírozási és kutatási programokra</w:t>
      </w:r>
      <w:r>
        <w:t xml:space="preserve">, valamint </w:t>
      </w:r>
      <w:r>
        <w:rPr>
          <w:b/>
        </w:rPr>
        <w:t>szociális és képzési politikákra</w:t>
      </w:r>
      <w:r>
        <w:t xml:space="preserve"> is szükség van,</w:t>
      </w:r>
    </w:p>
    <w:p w:rsidRPr="00A124AE" w:rsidR="00A124AE" w:rsidP="00BE1F8F" w:rsidRDefault="00A124AE" w14:paraId="096C272A" w14:textId="77777777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hangsúlyozza, hogy </w:t>
      </w:r>
      <w:r>
        <w:rPr>
          <w:b/>
        </w:rPr>
        <w:t>a munkavállalók fenntarthatósággal és körforgásos gazdasággal kapcsolatos képzése és készségfejlesztése</w:t>
      </w:r>
      <w:r>
        <w:t xml:space="preserve"> kulcsfontosságú a munkahelyek minőségének javításához, valamint a regeneratív turizmusra való átállás lehetővé tételéhez és megvalósíthatóságához szükséges tehetségek vonzásához és megtartásához. E célkitűzések elérése érdekében a fogyasztók aktívabb részvételéről is gondoskodni kell. A gazdasági ösztönzők, a hozzáférhető modellek és </w:t>
      </w:r>
      <w:r>
        <w:rPr>
          <w:b/>
        </w:rPr>
        <w:t>a szezonalitás csökkentésére</w:t>
      </w:r>
      <w:r>
        <w:t xml:space="preserve"> irányuló stratégiák kombinációja kulcsfontosságú a szélesebb körű és hatékonyabb szerepvállalás eléréséhez.</w:t>
      </w:r>
    </w:p>
    <w:p w:rsidRPr="00A124AE" w:rsidR="00A124AE" w:rsidP="00BE1F8F" w:rsidRDefault="00A124AE" w14:paraId="15273AD2" w14:textId="77777777">
      <w:pPr>
        <w:ind w:left="567"/>
        <w:contextualSpacing/>
        <w:rPr>
          <w:bCs/>
          <w:iCs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2"/>
        <w:gridCol w:w="7625"/>
      </w:tblGrid>
      <w:tr w:rsidRPr="00A124AE" w:rsidR="00A124AE" w:rsidTr="00713105" w14:paraId="7E775A80" w14:textId="77777777">
        <w:tc>
          <w:tcPr>
            <w:tcW w:w="895" w:type="pct"/>
          </w:tcPr>
          <w:p w:rsidRPr="00A124AE" w:rsidR="00A124AE" w:rsidP="00BE1F8F" w:rsidRDefault="00A124AE" w14:paraId="1D08457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105" w:type="pct"/>
          </w:tcPr>
          <w:p w:rsidRPr="00A124AE" w:rsidR="00A124AE" w:rsidP="00BE1F8F" w:rsidRDefault="00A124AE" w14:paraId="615E6C8D" w14:textId="36E12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Silvia Staffa</w:t>
            </w:r>
          </w:p>
        </w:tc>
      </w:tr>
      <w:tr w:rsidRPr="00A124AE" w:rsidR="00A124AE" w:rsidTr="00713105" w14:paraId="2BB8DEB2" w14:textId="77777777">
        <w:tc>
          <w:tcPr>
            <w:tcW w:w="895" w:type="pct"/>
          </w:tcPr>
          <w:p w:rsidRPr="00A124AE" w:rsidR="00A124AE" w:rsidP="00BE1F8F" w:rsidRDefault="00A124AE" w14:paraId="43D7D55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105" w:type="pct"/>
          </w:tcPr>
          <w:p w:rsidRPr="00A124AE" w:rsidR="00A124AE" w:rsidP="00BE1F8F" w:rsidRDefault="00A124AE" w14:paraId="4A1F3ECB" w14:textId="448201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+32 25468378</w:t>
            </w:r>
          </w:p>
        </w:tc>
      </w:tr>
      <w:tr w:rsidRPr="00A124AE" w:rsidR="00A124AE" w:rsidTr="00713105" w14:paraId="2D7C493D" w14:textId="77777777">
        <w:tc>
          <w:tcPr>
            <w:tcW w:w="895" w:type="pct"/>
          </w:tcPr>
          <w:p w:rsidRPr="00A124AE" w:rsidR="00A124AE" w:rsidP="00BE1F8F" w:rsidRDefault="00A124AE" w14:paraId="6E440A2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105" w:type="pct"/>
          </w:tcPr>
          <w:p w:rsidRPr="00A124AE" w:rsidR="00A124AE" w:rsidP="00BE1F8F" w:rsidRDefault="00377488" w14:paraId="43479DC4" w14:textId="7E7AB5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52">
              <w:r w:rsidR="001B5116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A124AE" w:rsidP="00BE1F8F" w:rsidRDefault="00A124AE" w14:paraId="521215C5" w14:textId="77777777">
      <w:pPr>
        <w:jc w:val="left"/>
        <w:rPr>
          <w:lang w:val="en-GB"/>
        </w:rPr>
      </w:pPr>
    </w:p>
    <w:p w:rsidR="00A124AE" w:rsidP="00BE1F8F" w:rsidRDefault="00A124AE" w14:paraId="3A56B00C" w14:textId="77777777">
      <w:pPr>
        <w:jc w:val="left"/>
      </w:pPr>
      <w:r>
        <w:br w:type="page"/>
      </w:r>
    </w:p>
    <w:p w:rsidR="004D7AC0" w:rsidP="00C77862" w:rsidRDefault="004D7AC0" w14:paraId="4982DE1F" w14:textId="77777777">
      <w:pPr>
        <w:pStyle w:val="Heading1"/>
        <w:keepNext/>
        <w:keepLines/>
        <w:spacing w:line="240" w:lineRule="auto"/>
        <w:rPr>
          <w:b/>
        </w:rPr>
      </w:pPr>
      <w:bookmarkStart w:name="_Toc189059540" w:id="22"/>
      <w:bookmarkStart w:name="_Toc70322234" w:id="23"/>
      <w:bookmarkStart w:name="_Toc75527084" w:id="24"/>
      <w:bookmarkStart w:name="_Toc192843557" w:id="25"/>
      <w:bookmarkEnd w:id="22"/>
      <w:r>
        <w:rPr>
          <w:b/>
        </w:rPr>
        <w:lastRenderedPageBreak/>
        <w:t>MEZŐGAZDASÁG, VIDÉKFEJLESZTÉS ÉS KÖRNYEZETVÉDELEM</w:t>
      </w:r>
      <w:bookmarkEnd w:id="23"/>
      <w:bookmarkEnd w:id="24"/>
      <w:bookmarkEnd w:id="25"/>
    </w:p>
    <w:p w:rsidRPr="00C77862" w:rsidR="007F5784" w:rsidP="00C77862" w:rsidRDefault="007F5784" w14:paraId="715DB2BD" w14:textId="6CA1C4B2">
      <w:pPr>
        <w:spacing w:line="240" w:lineRule="auto"/>
        <w:jc w:val="left"/>
        <w:rPr>
          <w:sz w:val="16"/>
          <w:szCs w:val="16"/>
        </w:rPr>
      </w:pPr>
    </w:p>
    <w:p w:rsidRPr="00C43D3E" w:rsidR="00DE2D96" w:rsidP="00C77862" w:rsidRDefault="00377488" w14:paraId="642C5AC4" w14:textId="7DDD891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b/>
          <w:bCs/>
          <w:i/>
          <w:iCs/>
          <w:sz w:val="28"/>
          <w:szCs w:val="28"/>
          <w:u w:val="single"/>
        </w:rPr>
      </w:pPr>
      <w:hyperlink w:history="1" r:id="rId53">
        <w:r w:rsidR="001B5116">
          <w:rPr>
            <w:b/>
            <w:i/>
            <w:color w:val="0000FF"/>
            <w:sz w:val="28"/>
            <w:u w:val="single"/>
          </w:rPr>
          <w:t>Fenntartható élelmiszer-termelés és méltányos jövedelem biztosítása az európai mezőgazdasági termelők számára a piaci, környezeti és éghajlati kihívásokkal szemben</w:t>
        </w:r>
      </w:hyperlink>
    </w:p>
    <w:p w:rsidRPr="0079405E" w:rsidR="00DE2D96" w:rsidP="00BE1F8F" w:rsidRDefault="00DE2D96" w14:paraId="14A2FD1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tbl>
      <w:tblPr>
        <w:tblW w:w="4845" w:type="pct"/>
        <w:tblLook w:val="04A0" w:firstRow="1" w:lastRow="0" w:firstColumn="1" w:lastColumn="0" w:noHBand="0" w:noVBand="1"/>
      </w:tblPr>
      <w:tblGrid>
        <w:gridCol w:w="2034"/>
        <w:gridCol w:w="6965"/>
      </w:tblGrid>
      <w:tr w:rsidRPr="0079405E" w:rsidR="00DE2D96" w:rsidTr="00A3780E" w14:paraId="518A9EA4" w14:textId="77777777">
        <w:tc>
          <w:tcPr>
            <w:tcW w:w="1130" w:type="pct"/>
          </w:tcPr>
          <w:p w:rsidRPr="0079405E" w:rsidR="00DE2D96" w:rsidP="00BE1F8F" w:rsidRDefault="00DE2D96" w14:paraId="4BD4978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870" w:type="pct"/>
          </w:tcPr>
          <w:p w:rsidRPr="0079405E" w:rsidR="00DE2D96" w:rsidP="00BE1F8F" w:rsidRDefault="00366FB1" w14:paraId="35C4E729" w14:textId="0173DE2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Arnold PUECH d’ALISSAC (Munkáltatók/FR)</w:t>
            </w:r>
          </w:p>
          <w:p w:rsidRPr="0079405E" w:rsidR="00DE2D96" w:rsidP="00BE1F8F" w:rsidRDefault="00DE2D96" w14:paraId="5DE4EBA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KÁLLAY Piroska (Munkavállalók/HU)</w:t>
            </w:r>
          </w:p>
          <w:p w:rsidRPr="0079405E" w:rsidR="00DE2D96" w:rsidP="00BE1F8F" w:rsidRDefault="00366FB1" w14:paraId="32325F9B" w14:textId="30D7031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Joe HEALY (Civil társadalmi szervezetek/IE)</w:t>
            </w:r>
          </w:p>
        </w:tc>
      </w:tr>
      <w:tr w:rsidRPr="0079405E" w:rsidR="00DE2D96" w:rsidTr="00A3780E" w14:paraId="4B6FEDD4" w14:textId="77777777">
        <w:tc>
          <w:tcPr>
            <w:tcW w:w="1130" w:type="pct"/>
          </w:tcPr>
          <w:p w:rsidRPr="0079405E" w:rsidR="00DE2D96" w:rsidP="00BE1F8F" w:rsidRDefault="00DE2D96" w14:paraId="5A19339E" w14:textId="439F828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3870" w:type="pct"/>
          </w:tcPr>
          <w:p w:rsidRPr="00D03AEC" w:rsidR="00366FB1" w:rsidP="00BE1F8F" w:rsidRDefault="00366FB1" w14:paraId="1D8B27B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87" w:hanging="266"/>
              <w:textAlignment w:val="baseline"/>
            </w:pPr>
            <w:r>
              <w:t>Feltáró vélemény az EU Tanácsa lengyel elnökségének felkérésére</w:t>
            </w:r>
          </w:p>
          <w:p w:rsidRPr="0079405E" w:rsidR="00DE2D96" w:rsidP="00BE1F8F" w:rsidRDefault="00DE2D96" w14:paraId="13DE1FA0" w14:textId="22E0B95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EESC-2024-03974-00-00-AC</w:t>
            </w:r>
          </w:p>
        </w:tc>
      </w:tr>
    </w:tbl>
    <w:p w:rsidRPr="00C77862" w:rsidR="00713105" w:rsidP="00BE1F8F" w:rsidRDefault="00713105" w14:paraId="518EA3D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p w:rsidRPr="0079405E" w:rsidR="00DE2D96" w:rsidP="00BE1F8F" w:rsidRDefault="00DE2D96" w14:paraId="1B8691C6" w14:textId="595FF6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79405E" w:rsidR="00DE2D96" w:rsidP="00BE1F8F" w:rsidRDefault="00DE2D96" w14:paraId="1493200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p w:rsidR="00DE2D96" w:rsidP="00BE1F8F" w:rsidRDefault="00DE2D96" w14:paraId="6B40E191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:rsidRPr="0079405E" w:rsidR="00DE2D96" w:rsidP="00BE1F8F" w:rsidRDefault="00DE2D96" w14:paraId="331A71E3" w14:textId="77777777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rövid és hosszú távú eszközök kidolgozását és végrehajtását javasolja a mezőgazdasági termelők jövedelmének támogatására válságok idején, a KAP keretében és azon túl, mint például:</w:t>
      </w:r>
    </w:p>
    <w:p w:rsidRPr="0079405E" w:rsidR="00DE2D96" w:rsidP="00713105" w:rsidRDefault="00DE2D96" w14:paraId="188FCED5" w14:textId="77777777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rPr>
          <w:b/>
        </w:rPr>
        <w:t>éghajlati és környezeti katasztrófák elleni biztosítási rendszerek:</w:t>
      </w:r>
      <w:r>
        <w:t xml:space="preserve"> a köz- és magánszféra közötti partnerségen alapuló biztosítási modell kidolgozása és a hozam-referenciaértékek kiszámításának felülvizsgálata, </w:t>
      </w:r>
    </w:p>
    <w:p w:rsidRPr="0079405E" w:rsidR="00DE2D96" w:rsidP="00713105" w:rsidRDefault="00DE2D96" w14:paraId="5FFE9226" w14:textId="77777777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rPr>
          <w:b/>
        </w:rPr>
        <w:t>a piaci feszültségek elleni biztosítási rendszerek:</w:t>
      </w:r>
      <w:r>
        <w:t xml:space="preserve"> olyan innovatív ösztönzők kidolgozásának vizsgálata, mint a parametrikus biztosítás, valamint anticiklikus elemek beépítése a 2027 utáni KAP eszközeibe a piacok általi nyomás kezelése érdekében,</w:t>
      </w:r>
    </w:p>
    <w:p w:rsidRPr="0079405E" w:rsidR="00DE2D96" w:rsidP="00713105" w:rsidRDefault="00DE2D96" w14:paraId="4439B4AA" w14:textId="77777777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rPr>
          <w:b/>
        </w:rPr>
        <w:t>kockázat- és válságkezelési eszközök:</w:t>
      </w:r>
      <w:r>
        <w:t xml:space="preserve"> a KAP költségvetésének visszaállítása az uniós GDP 0,5%-ára a következő többéves pénzügyi keretben; annak előmozdítása és javítása, hogy a tagállamok a közvetlen kifizetések 3%-át a mezőgazdasági termelők kockázatkezelési eszközhöz való hozzájárulásaként használják fel; a mezőgazdasági válságtartalék uniós szintű átdolgozása és jelentős növelése; tagállami szintű kölcsönös kockázatkezelési alapok létrehozása az egészségügyi és környezeti kockázatok kezelésére;</w:t>
      </w:r>
    </w:p>
    <w:p w:rsidRPr="0079405E" w:rsidR="00DE2D96" w:rsidP="00713105" w:rsidRDefault="00DE2D96" w14:paraId="74D4B712" w14:textId="77777777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/>
          <w:bCs/>
        </w:rPr>
      </w:pPr>
      <w:r>
        <w:rPr>
          <w:b/>
        </w:rPr>
        <w:t>a KAP és a bankok által biztosított pénzügyi eszközök:</w:t>
      </w:r>
      <w:r>
        <w:t xml:space="preserve"> a mezőgazdasági termelők beruházási kapacitásának támogatása, különösen a fiatal gazdák esetében, egyszerű, nem bürokratikus pénzügyi eszközökkel, pl. bankok által biztosított pénzügyi eszközökkel (kísérleti hitelek, kamatmentes hitelek, mezőgazdasági vállalkozásindítási célú hitelek), valamint egyéb eszközökkel is,</w:t>
      </w:r>
    </w:p>
    <w:p w:rsidRPr="0079405E" w:rsidR="00DE2D96" w:rsidP="00713105" w:rsidRDefault="00DE2D96" w14:paraId="1F801B29" w14:textId="77777777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rPr>
          <w:b/>
        </w:rPr>
        <w:t>a mezőgazdasági termelők jövedelmének biztosítására és alkupozíciójuk javítására szolgáló eszközök:</w:t>
      </w:r>
      <w:r>
        <w:t xml:space="preserve"> annak fontolóra vétele, hogy a tisztességtelen kereskedelmi gyakorlatokról szóló irányelvet – az élelmiszerlánc valamennyi szereplőjére gyakorolt hatások alapos tanulmányozását követően – kiterjesszék az önköltség alatti áron történő értékesítés tilalmára; olyan új uniós politika kidolgozása, amely révén a mezőgazdasági termelők közösen tárgyalhatnak az árakról, valamint a szövetkezeteknek és a termelői szervezeteknek nyújtott támogatás növelése; a következő KAP-ban a közvetlen kifizetések védelme, növelése és még inkább az aktív termelőkhöz való irányítása; szén-dioxid-hatékony élelmiszer-termelési rendszerek biztosítása; a szabványok egyenértékűségének biztosítása valamennyi kereskedelmi megállapodásban,</w:t>
      </w:r>
    </w:p>
    <w:p w:rsidRPr="0079405E" w:rsidR="00366FB1" w:rsidP="00713105" w:rsidRDefault="00DE2D96" w14:paraId="496376A0" w14:textId="5E51B79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ajánlja az ágazatspecifikus, részvételen alapuló irányítás további előmozdítását és a szociális párbeszéd megerősítését az agrár-élelmiszeripari ágazatban,</w:t>
      </w:r>
    </w:p>
    <w:p w:rsidRPr="0079405E" w:rsidR="00DE2D96" w:rsidP="00713105" w:rsidRDefault="00DE2D96" w14:paraId="35CC080A" w14:textId="77777777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rámutat a magas színvonalú mezőgazdasági kutatás és az oktatásba történő beruházások </w:t>
      </w:r>
      <w:r>
        <w:lastRenderedPageBreak/>
        <w:t>szükségességére,</w:t>
      </w:r>
    </w:p>
    <w:p w:rsidRPr="0079405E" w:rsidR="00DE2D96" w:rsidP="00713105" w:rsidRDefault="00DE2D96" w14:paraId="6F5D47EA" w14:textId="77777777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hangsúlyozza, hogy Európa-szerte fenn kell tartani az élénk mezőgazdasági termelést, valamint fontos, hogy a vidékfejlesztés továbbra is a közös agrárpolitika egyik fő célkitűzése maradjon, és hogy elegendő forrást különítsenek el a vidékfejlesztésre.</w:t>
      </w:r>
    </w:p>
    <w:p w:rsidRPr="0079405E" w:rsidR="002A61F5" w:rsidP="00BE1F8F" w:rsidRDefault="002A61F5" w14:paraId="3C8AA267" w14:textId="77777777">
      <w:pPr>
        <w:widowControl w:val="0"/>
        <w:overflowPunct w:val="0"/>
        <w:autoSpaceDE w:val="0"/>
        <w:autoSpaceDN w:val="0"/>
        <w:adjustRightInd w:val="0"/>
        <w:ind w:left="709" w:hanging="425"/>
        <w:textAlignment w:val="baseline"/>
        <w:rPr>
          <w:sz w:val="16"/>
          <w:szCs w:val="16"/>
          <w:lang w:val="en-GB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2032"/>
        <w:gridCol w:w="7147"/>
      </w:tblGrid>
      <w:tr w:rsidRPr="0079405E" w:rsidR="00DE2D96" w:rsidTr="00713105" w14:paraId="0E76CB38" w14:textId="77777777">
        <w:tc>
          <w:tcPr>
            <w:tcW w:w="1107" w:type="pct"/>
          </w:tcPr>
          <w:p w:rsidRPr="0079405E" w:rsidR="00DE2D96" w:rsidP="00BE1F8F" w:rsidRDefault="00DE2D96" w14:paraId="6151DC7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3893" w:type="pct"/>
          </w:tcPr>
          <w:p w:rsidRPr="0079405E" w:rsidR="00DE2D96" w:rsidP="00BE1F8F" w:rsidRDefault="00DE2D96" w14:paraId="1C83FC67" w14:textId="58C849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Myrto Kolyva</w:t>
            </w:r>
          </w:p>
        </w:tc>
      </w:tr>
      <w:tr w:rsidRPr="0079405E" w:rsidR="00DE2D96" w:rsidTr="00713105" w14:paraId="188EFACC" w14:textId="77777777">
        <w:tc>
          <w:tcPr>
            <w:tcW w:w="1107" w:type="pct"/>
          </w:tcPr>
          <w:p w:rsidRPr="0079405E" w:rsidR="00DE2D96" w:rsidP="00BE1F8F" w:rsidRDefault="00DE2D96" w14:paraId="7E5EE7F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893" w:type="pct"/>
          </w:tcPr>
          <w:p w:rsidRPr="0079405E" w:rsidR="00DE2D96" w:rsidP="00BE1F8F" w:rsidRDefault="00DE2D96" w14:paraId="19F64A5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+32 2 546 8718</w:t>
            </w:r>
          </w:p>
        </w:tc>
      </w:tr>
      <w:tr w:rsidRPr="0079405E" w:rsidR="00DE2D96" w:rsidTr="00713105" w14:paraId="1C6D3733" w14:textId="77777777">
        <w:tc>
          <w:tcPr>
            <w:tcW w:w="1107" w:type="pct"/>
          </w:tcPr>
          <w:p w:rsidRPr="0079405E" w:rsidR="00DE2D96" w:rsidP="00BE1F8F" w:rsidRDefault="00DE2D96" w14:paraId="40381C0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893" w:type="pct"/>
          </w:tcPr>
          <w:p w:rsidRPr="0079405E" w:rsidR="00DE2D96" w:rsidP="00BE1F8F" w:rsidRDefault="00377488" w14:paraId="43973F89" w14:textId="77E8A5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u w:val="single"/>
              </w:rPr>
            </w:pPr>
            <w:hyperlink w:history="1" r:id="rId54">
              <w:r w:rsidR="001B5116">
                <w:rPr>
                  <w:i/>
                  <w:color w:val="0000FF"/>
                  <w:u w:val="single"/>
                </w:rPr>
                <w:t>Myrto.Kolyva@eesc.europa.eu</w:t>
              </w:r>
            </w:hyperlink>
          </w:p>
        </w:tc>
      </w:tr>
    </w:tbl>
    <w:p w:rsidRPr="00C77862" w:rsidR="00366FB1" w:rsidP="00BE1F8F" w:rsidRDefault="00366FB1" w14:paraId="1FDF3A66" w14:textId="77777777">
      <w:pPr>
        <w:jc w:val="left"/>
        <w:rPr>
          <w:sz w:val="12"/>
          <w:szCs w:val="12"/>
        </w:rPr>
      </w:pPr>
      <w:r>
        <w:br w:type="page"/>
      </w:r>
    </w:p>
    <w:p w:rsidR="007F5784" w:rsidP="00C77862" w:rsidRDefault="00EE5F16" w14:paraId="14026A78" w14:textId="0BB4DE42">
      <w:pPr>
        <w:pStyle w:val="Heading1"/>
        <w:keepNext/>
        <w:keepLines/>
        <w:spacing w:line="240" w:lineRule="auto"/>
        <w:rPr>
          <w:b/>
        </w:rPr>
      </w:pPr>
      <w:bookmarkStart w:name="_Toc192843558" w:id="26"/>
      <w:r>
        <w:rPr>
          <w:b/>
        </w:rPr>
        <w:lastRenderedPageBreak/>
        <w:t>IPARI SZERKEZETVÁLTÁS KONZULTATÍV BIZOTTSÁGA</w:t>
      </w:r>
      <w:bookmarkEnd w:id="26"/>
    </w:p>
    <w:p w:rsidR="003F4AD5" w:rsidP="00C77862" w:rsidRDefault="003F4AD5" w14:paraId="7C8ED9AD" w14:textId="77777777">
      <w:pPr>
        <w:spacing w:line="240" w:lineRule="auto"/>
      </w:pPr>
    </w:p>
    <w:p w:rsidRPr="00623E9E" w:rsidR="00623E9E" w:rsidP="00C77862" w:rsidRDefault="00377488" w14:paraId="7953BEAF" w14:textId="2D580F8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hanging="567"/>
        <w:textAlignment w:val="baseline"/>
        <w:rPr>
          <w:b/>
        </w:rPr>
      </w:pPr>
      <w:hyperlink w:history="1" r:id="rId55">
        <w:r w:rsidR="001B5116">
          <w:rPr>
            <w:b/>
            <w:i/>
            <w:color w:val="0000FF"/>
            <w:sz w:val="28"/>
            <w:u w:val="single"/>
            <w:shd w:val="clear" w:color="auto" w:fill="FEFEFE"/>
          </w:rPr>
          <w:t>A robotika metaverzumának hozzájárulása az egészségügyi ágazatban</w:t>
        </w:r>
      </w:hyperlink>
    </w:p>
    <w:p w:rsidRPr="00623E9E" w:rsidR="00623E9E" w:rsidP="00C77862" w:rsidRDefault="00623E9E" w14:paraId="1CC73896" w14:textId="77777777">
      <w:pPr>
        <w:widowControl w:val="0"/>
        <w:overflowPunct w:val="0"/>
        <w:autoSpaceDE w:val="0"/>
        <w:autoSpaceDN w:val="0"/>
        <w:adjustRightInd w:val="0"/>
        <w:spacing w:line="240" w:lineRule="auto"/>
        <w:ind w:left="266"/>
        <w:textAlignment w:val="baseline"/>
        <w:rPr>
          <w:b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623E9E" w:rsidR="00623E9E" w:rsidTr="00A3780E" w14:paraId="269248EA" w14:textId="77777777">
        <w:tc>
          <w:tcPr>
            <w:tcW w:w="1701" w:type="dxa"/>
          </w:tcPr>
          <w:p w:rsidRPr="00623E9E" w:rsidR="00623E9E" w:rsidP="00BE1F8F" w:rsidRDefault="00623E9E" w14:paraId="21D2937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479" w:type="dxa"/>
          </w:tcPr>
          <w:p w:rsidRPr="00623E9E" w:rsidR="00623E9E" w:rsidP="00BE1F8F" w:rsidRDefault="00623E9E" w14:paraId="266FB57D" w14:textId="2659163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Martin BÖHME (Civil társadalmi szervezetek csoportja/DE)</w:t>
            </w:r>
          </w:p>
        </w:tc>
      </w:tr>
      <w:tr w:rsidRPr="00623E9E" w:rsidR="00623E9E" w:rsidTr="00A3780E" w14:paraId="361B26C2" w14:textId="77777777">
        <w:tc>
          <w:tcPr>
            <w:tcW w:w="1701" w:type="dxa"/>
          </w:tcPr>
          <w:p w:rsidRPr="00623E9E" w:rsidR="00623E9E" w:rsidP="00BE1F8F" w:rsidRDefault="00623E9E" w14:paraId="5503FDF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7479" w:type="dxa"/>
          </w:tcPr>
          <w:p w:rsidRPr="00623E9E" w:rsidR="00623E9E" w:rsidP="00BE1F8F" w:rsidRDefault="00623E9E" w14:paraId="1531E497" w14:textId="0BE0FF9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Hervé JEANNIN (2. kategória/FR)</w:t>
            </w:r>
          </w:p>
        </w:tc>
      </w:tr>
      <w:tr w:rsidRPr="00623E9E" w:rsidR="00623E9E" w:rsidTr="00A3780E" w14:paraId="74813AA8" w14:textId="77777777">
        <w:tc>
          <w:tcPr>
            <w:tcW w:w="1701" w:type="dxa"/>
          </w:tcPr>
          <w:p w:rsidRPr="00623E9E" w:rsidR="00623E9E" w:rsidP="00BE1F8F" w:rsidRDefault="00623E9E" w14:paraId="1103D901" w14:textId="719ACEE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7479" w:type="dxa"/>
          </w:tcPr>
          <w:p w:rsidR="004F23ED" w:rsidP="00BE1F8F" w:rsidRDefault="004F23ED" w14:paraId="2AEBD737" w14:textId="4C75094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Saját kezdeményezésű vélemény</w:t>
            </w:r>
          </w:p>
          <w:p w:rsidRPr="00623E9E" w:rsidR="00623E9E" w:rsidP="00BE1F8F" w:rsidRDefault="00623E9E" w14:paraId="5BA8C458" w14:textId="5B035BF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EESC-2024-02859-00-00-AC-TRA</w:t>
            </w:r>
          </w:p>
        </w:tc>
      </w:tr>
    </w:tbl>
    <w:p w:rsidR="009B596B" w:rsidP="00BE1F8F" w:rsidRDefault="009B596B" w14:paraId="7BB8F2C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Cs w:val="20"/>
          <w:lang w:val="en-GB"/>
        </w:rPr>
      </w:pPr>
    </w:p>
    <w:p w:rsidRPr="00623E9E" w:rsidR="00623E9E" w:rsidP="00BE1F8F" w:rsidRDefault="00623E9E" w14:paraId="30B2B833" w14:textId="33B9D8A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:rsidRPr="00623E9E" w:rsidR="00623E9E" w:rsidP="00BE1F8F" w:rsidRDefault="00623E9E" w14:paraId="5351379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623E9E" w:rsidR="00623E9E" w:rsidP="00BE1F8F" w:rsidRDefault="00623E9E" w14:paraId="6DCDBAF9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Az EGSZB:</w:t>
      </w:r>
    </w:p>
    <w:p w:rsidRPr="004C2B61" w:rsidR="00623E9E" w:rsidP="00713105" w:rsidRDefault="00623E9E" w14:paraId="4E329840" w14:textId="77777777">
      <w:pPr>
        <w:pStyle w:val="ListParagraph"/>
        <w:numPr>
          <w:ilvl w:val="0"/>
          <w:numId w:val="43"/>
        </w:numPr>
        <w:ind w:left="567" w:hanging="567"/>
      </w:pPr>
      <w:bookmarkStart w:name="_Toc191974019" w:id="27"/>
      <w:r>
        <w:t xml:space="preserve">az egészségügyi robotikára és a metaverzumra vonatkozó </w:t>
      </w:r>
      <w:r>
        <w:rPr>
          <w:b/>
        </w:rPr>
        <w:t>átfogó szabályozási keret kidolgozását</w:t>
      </w:r>
      <w:r>
        <w:t xml:space="preserve"> ajánlja,</w:t>
      </w:r>
      <w:bookmarkEnd w:id="27"/>
    </w:p>
    <w:p w:rsidRPr="004C2B61" w:rsidR="00623E9E" w:rsidP="00713105" w:rsidRDefault="00623E9E" w14:paraId="06079E87" w14:textId="77777777">
      <w:pPr>
        <w:pStyle w:val="ListParagraph"/>
        <w:numPr>
          <w:ilvl w:val="0"/>
          <w:numId w:val="43"/>
        </w:numPr>
        <w:ind w:left="567" w:hanging="567"/>
      </w:pPr>
      <w:bookmarkStart w:name="_Toc191974020" w:id="28"/>
      <w:r>
        <w:t xml:space="preserve">hangsúlyozza </w:t>
      </w:r>
      <w:r>
        <w:rPr>
          <w:b/>
        </w:rPr>
        <w:t>az etikai normák és a betegek hozzájárulására vonatkozó protokollok előmozdításának</w:t>
      </w:r>
      <w:r>
        <w:t xml:space="preserve"> fontosságát,</w:t>
      </w:r>
      <w:bookmarkEnd w:id="28"/>
    </w:p>
    <w:p w:rsidRPr="004C2B61" w:rsidR="00623E9E" w:rsidP="00713105" w:rsidRDefault="00623E9E" w14:paraId="6D595B43" w14:textId="77777777">
      <w:pPr>
        <w:pStyle w:val="ListParagraph"/>
        <w:numPr>
          <w:ilvl w:val="0"/>
          <w:numId w:val="43"/>
        </w:numPr>
        <w:ind w:left="567" w:hanging="567"/>
      </w:pPr>
      <w:bookmarkStart w:name="_Toc191974021" w:id="29"/>
      <w:r>
        <w:rPr>
          <w:b/>
        </w:rPr>
        <w:t>az egyenlő hozzáférés biztosítása érdekében felszólít a digitális infrastruktúrába való beruházásra</w:t>
      </w:r>
      <w:r>
        <w:t xml:space="preserve"> és kiemeli, hogy a digitális szakadék megelőzése érdekében fontos beruházni a digitális infrastruktúrába, különösen </w:t>
      </w:r>
      <w:r>
        <w:rPr>
          <w:b/>
        </w:rPr>
        <w:t>a vidéki és a rosszul lefedett területeken</w:t>
      </w:r>
      <w:r>
        <w:t>. Az EU-nak prioritásként kell kezelnie az 5G és 6G hálózatok kiépítését a robotika és a metaverzum-technológiák biztonságos és megbízható működésének támogatása érdekében. Az egészségügyi fejlesztésekhez való méltányos hozzáférés valamennyi tagállamban kulcsfontosságú prioritás,</w:t>
      </w:r>
      <w:bookmarkEnd w:id="29"/>
    </w:p>
    <w:p w:rsidRPr="004C2B61" w:rsidR="00623E9E" w:rsidP="00713105" w:rsidRDefault="00623E9E" w14:paraId="180EF85A" w14:textId="77777777">
      <w:pPr>
        <w:pStyle w:val="ListParagraph"/>
        <w:numPr>
          <w:ilvl w:val="0"/>
          <w:numId w:val="43"/>
        </w:numPr>
        <w:ind w:left="567" w:hanging="567"/>
      </w:pPr>
      <w:bookmarkStart w:name="_Toc191974022" w:id="30"/>
      <w:r>
        <w:t xml:space="preserve">szorgalmazza </w:t>
      </w:r>
      <w:r>
        <w:rPr>
          <w:b/>
        </w:rPr>
        <w:t>az egészségügyi szakemberek oktatási és képzési támogatásának fokozását</w:t>
      </w:r>
      <w:r>
        <w:t>. Úgy véli, hogy az EU-nak olyan oktatási és képzési programokat kell finanszíroznia és előmozdítania, amelyek felkészítik az egészségügyi szakembereket a robotika és a metaverzum-technológiák integrálására,</w:t>
      </w:r>
      <w:bookmarkEnd w:id="30"/>
    </w:p>
    <w:p w:rsidRPr="004C2B61" w:rsidR="00623E9E" w:rsidP="00713105" w:rsidRDefault="00623E9E" w14:paraId="115A5476" w14:textId="77777777">
      <w:pPr>
        <w:pStyle w:val="ListParagraph"/>
        <w:numPr>
          <w:ilvl w:val="0"/>
          <w:numId w:val="43"/>
        </w:numPr>
        <w:ind w:left="567" w:hanging="567"/>
      </w:pPr>
      <w:bookmarkStart w:name="_Toc191974023" w:id="31"/>
      <w:r>
        <w:t xml:space="preserve">ösztönzi </w:t>
      </w:r>
      <w:r>
        <w:rPr>
          <w:b/>
        </w:rPr>
        <w:t>az innováció célzott uniós beruházási stratégia révén történő előmozdítását</w:t>
      </w:r>
      <w:r>
        <w:t>. Határozottan ajánlja, hogy az EU dolgozzon ki célzott beruházási stratégiát, amelynek célja különösen a robotikával és az egészségügyi metaverzum-megoldásokkal foglalkozó kis- és középvállalkozások (kkv-k) támogatása, és</w:t>
      </w:r>
      <w:bookmarkEnd w:id="31"/>
    </w:p>
    <w:p w:rsidRPr="004C2B61" w:rsidR="00623E9E" w:rsidP="00713105" w:rsidRDefault="00623E9E" w14:paraId="5166FC72" w14:textId="77777777">
      <w:pPr>
        <w:pStyle w:val="ListParagraph"/>
        <w:numPr>
          <w:ilvl w:val="0"/>
          <w:numId w:val="43"/>
        </w:numPr>
        <w:ind w:left="567" w:hanging="567"/>
      </w:pPr>
      <w:bookmarkStart w:name="_Toc191974024" w:id="32"/>
      <w:r>
        <w:t xml:space="preserve">kiemeli, hogy </w:t>
      </w:r>
      <w:r>
        <w:rPr>
          <w:b/>
        </w:rPr>
        <w:t>erős adatvédelemre és kiberbiztonsági védelemre</w:t>
      </w:r>
      <w:r>
        <w:t xml:space="preserve"> van szükség. és sürgeti az EU-t, hogy vezessen be szigorú adatvédelmi és kiberbiztonsági szabályokat az érzékeny egészségügyi adatok védelme és a kibertámadásokkal szembeni védelem érdekében. Ez magában foglalja a robotika, a metaverzum és a humán interfészeszközök közötti kapcsolatok biztosítását. Az EGSZB arra is rámutat, hogy a betegek jogainak védelme és a határokon átnyúló egészségügyi szolgáltatásokba vetett bizalom biztosítása érdekében az adatszuverenitással és a megfeleléssel a különböző joghatóságokban is foglalkozni kell.</w:t>
      </w:r>
      <w:bookmarkEnd w:id="32"/>
    </w:p>
    <w:p w:rsidRPr="00623E9E" w:rsidR="00623E9E" w:rsidP="00BE1F8F" w:rsidRDefault="00623E9E" w14:paraId="189CE723" w14:textId="77777777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5670"/>
      </w:tblGrid>
      <w:tr w:rsidRPr="00623E9E" w:rsidR="00623E9E" w:rsidTr="00A3780E" w14:paraId="5AA87467" w14:textId="77777777">
        <w:tc>
          <w:tcPr>
            <w:tcW w:w="1418" w:type="dxa"/>
          </w:tcPr>
          <w:p w:rsidRPr="00623E9E" w:rsidR="00623E9E" w:rsidP="00BE1F8F" w:rsidRDefault="00623E9E" w14:paraId="565BF265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5670" w:type="dxa"/>
          </w:tcPr>
          <w:p w:rsidRPr="00623E9E" w:rsidR="00623E9E" w:rsidP="00BE1F8F" w:rsidRDefault="00623E9E" w14:paraId="206EEDE0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Marie-Laurence Drillon</w:t>
            </w:r>
          </w:p>
        </w:tc>
      </w:tr>
      <w:tr w:rsidRPr="00623E9E" w:rsidR="00623E9E" w:rsidTr="00A3780E" w14:paraId="1831ADE5" w14:textId="77777777">
        <w:tc>
          <w:tcPr>
            <w:tcW w:w="1418" w:type="dxa"/>
          </w:tcPr>
          <w:p w:rsidRPr="00623E9E" w:rsidR="00623E9E" w:rsidP="00BE1F8F" w:rsidRDefault="00623E9E" w14:paraId="0B867EF2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623E9E" w:rsidR="00623E9E" w:rsidP="00BE1F8F" w:rsidRDefault="00623E9E" w14:paraId="41C0B021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+32 2 546 8320</w:t>
            </w:r>
          </w:p>
        </w:tc>
      </w:tr>
      <w:tr w:rsidRPr="00623E9E" w:rsidR="00623E9E" w:rsidTr="00A3780E" w14:paraId="042D4108" w14:textId="77777777">
        <w:tc>
          <w:tcPr>
            <w:tcW w:w="1418" w:type="dxa"/>
          </w:tcPr>
          <w:p w:rsidRPr="00623E9E" w:rsidR="00623E9E" w:rsidP="00BE1F8F" w:rsidRDefault="00752F62" w14:paraId="44E8DDBE" w14:textId="177141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623E9E" w:rsidR="00623E9E" w:rsidP="00BE1F8F" w:rsidRDefault="00377488" w14:paraId="348F9AA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56">
              <w:r w:rsidR="001B5116">
                <w:rPr>
                  <w:i/>
                  <w:color w:val="0000FF"/>
                  <w:u w:val="single"/>
                </w:rPr>
                <w:t>Marie-Laurence.Drillon@eesc.europa.eu</w:t>
              </w:r>
            </w:hyperlink>
          </w:p>
        </w:tc>
      </w:tr>
    </w:tbl>
    <w:p w:rsidR="00706D52" w:rsidP="00BE1F8F" w:rsidRDefault="00706D52" w14:paraId="11299763" w14:textId="77777777">
      <w:pPr>
        <w:jc w:val="center"/>
      </w:pPr>
    </w:p>
    <w:p w:rsidR="000D394D" w:rsidP="00BE1F8F" w:rsidRDefault="00726351" w14:paraId="2E28EF19" w14:textId="0E05D784">
      <w:pPr>
        <w:jc w:val="center"/>
      </w:pPr>
      <w:r>
        <w:t>_____________</w:t>
      </w:r>
    </w:p>
    <w:sectPr w:rsidR="000D394D" w:rsidSect="00713105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7" w:h="1683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A4C4" w14:textId="77777777" w:rsidR="00227559" w:rsidRDefault="00227559" w:rsidP="00B518C9">
      <w:pPr>
        <w:spacing w:line="240" w:lineRule="auto"/>
      </w:pPr>
      <w:r>
        <w:separator/>
      </w:r>
    </w:p>
    <w:p w14:paraId="3A5ED762" w14:textId="77777777" w:rsidR="00227559" w:rsidRDefault="00227559"/>
  </w:endnote>
  <w:endnote w:type="continuationSeparator" w:id="0">
    <w:p w14:paraId="4BCEBE6C" w14:textId="77777777" w:rsidR="00227559" w:rsidRDefault="00227559" w:rsidP="00B518C9">
      <w:pPr>
        <w:spacing w:line="240" w:lineRule="auto"/>
      </w:pPr>
      <w:r>
        <w:continuationSeparator/>
      </w:r>
    </w:p>
    <w:p w14:paraId="556C10CC" w14:textId="77777777" w:rsidR="00227559" w:rsidRDefault="00227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1E2A" w14:textId="77777777" w:rsidR="00F250D5" w:rsidRPr="00BE1F8F" w:rsidRDefault="00F250D5" w:rsidP="00BE1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4BA8DE2A" w:rsidR="00B518C9" w:rsidRPr="00BE1F8F" w:rsidRDefault="00BE1F8F" w:rsidP="00BE1F8F">
    <w:pPr>
      <w:pStyle w:val="Footer"/>
    </w:pPr>
    <w:r>
      <w:t xml:space="preserve">EESC-2025-00345-00-01-TCD-TRA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171FA">
      <w:t>1</w:t>
    </w:r>
    <w:r>
      <w:fldChar w:fldCharType="end"/>
    </w:r>
    <w:r>
      <w:t>/</w:t>
    </w:r>
    <w:fldSimple w:instr=" NUMPAGES ">
      <w:r w:rsidR="008171FA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74A4" w14:textId="77777777" w:rsidR="00F250D5" w:rsidRPr="00BE1F8F" w:rsidRDefault="00F250D5" w:rsidP="00BE1F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0EDD" w14:textId="77777777" w:rsidR="0067428C" w:rsidRPr="00BE1F8F" w:rsidRDefault="0067428C" w:rsidP="00BE1F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A535" w14:textId="1A8F1C6B" w:rsidR="0067428C" w:rsidRPr="00BE1F8F" w:rsidRDefault="00BE1F8F" w:rsidP="00BE1F8F">
    <w:pPr>
      <w:pStyle w:val="Footer"/>
    </w:pPr>
    <w:r>
      <w:t xml:space="preserve">EESC-2025-00345-00-01-TCD-TRA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9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99D3" w14:textId="77777777" w:rsidR="00EE160A" w:rsidRPr="00BE1F8F" w:rsidRDefault="00EE160A" w:rsidP="00BE1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5884" w14:textId="77777777" w:rsidR="00227559" w:rsidRDefault="00227559" w:rsidP="00B518C9">
      <w:pPr>
        <w:spacing w:line="240" w:lineRule="auto"/>
      </w:pPr>
      <w:r>
        <w:separator/>
      </w:r>
    </w:p>
    <w:p w14:paraId="68988782" w14:textId="77777777" w:rsidR="00227559" w:rsidRDefault="00227559"/>
  </w:footnote>
  <w:footnote w:type="continuationSeparator" w:id="0">
    <w:p w14:paraId="39883EF1" w14:textId="77777777" w:rsidR="00227559" w:rsidRDefault="00227559" w:rsidP="00B518C9">
      <w:pPr>
        <w:spacing w:line="240" w:lineRule="auto"/>
      </w:pPr>
      <w:r>
        <w:continuationSeparator/>
      </w:r>
    </w:p>
    <w:p w14:paraId="3AE36317" w14:textId="77777777" w:rsidR="00227559" w:rsidRDefault="00227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D47C" w14:textId="77777777" w:rsidR="00F250D5" w:rsidRPr="00BE1F8F" w:rsidRDefault="00F250D5" w:rsidP="00BE1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CD0" w14:textId="26DDA75F" w:rsidR="00F250D5" w:rsidRPr="00BE1F8F" w:rsidRDefault="00F250D5" w:rsidP="00BE1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6853" w14:textId="77777777" w:rsidR="00F250D5" w:rsidRPr="00BE1F8F" w:rsidRDefault="00F250D5" w:rsidP="00BE1F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FC30" w14:textId="77777777" w:rsidR="0067428C" w:rsidRPr="00BE1F8F" w:rsidRDefault="0067428C" w:rsidP="00BE1F8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2C5D" w14:textId="3724526D" w:rsidR="0067428C" w:rsidRPr="00BE1F8F" w:rsidRDefault="0067428C" w:rsidP="00BE1F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5D0A" w14:textId="77777777" w:rsidR="00EE160A" w:rsidRPr="00BE1F8F" w:rsidRDefault="00EE160A" w:rsidP="00BE1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E78A658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E06ABCBE"/>
    <w:lvl w:ilvl="0">
      <w:numFmt w:val="decimal"/>
      <w:lvlText w:val="*"/>
      <w:lvlJc w:val="left"/>
    </w:lvl>
  </w:abstractNum>
  <w:abstractNum w:abstractNumId="2" w15:restartNumberingAfterBreak="0">
    <w:nsid w:val="003B78BD"/>
    <w:multiLevelType w:val="hybridMultilevel"/>
    <w:tmpl w:val="66DEF13E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17F16A7"/>
    <w:multiLevelType w:val="hybridMultilevel"/>
    <w:tmpl w:val="7612248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F1F91"/>
    <w:multiLevelType w:val="hybridMultilevel"/>
    <w:tmpl w:val="991EBB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53A5C"/>
    <w:multiLevelType w:val="hybridMultilevel"/>
    <w:tmpl w:val="2CB206D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A122A"/>
    <w:multiLevelType w:val="hybridMultilevel"/>
    <w:tmpl w:val="0BB8EE1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475CB"/>
    <w:multiLevelType w:val="hybridMultilevel"/>
    <w:tmpl w:val="7BFE4DA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E4774"/>
    <w:multiLevelType w:val="hybridMultilevel"/>
    <w:tmpl w:val="37BA4F4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77DDB"/>
    <w:multiLevelType w:val="hybridMultilevel"/>
    <w:tmpl w:val="33DC05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116E1"/>
    <w:multiLevelType w:val="hybridMultilevel"/>
    <w:tmpl w:val="DFE84AE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83396"/>
    <w:multiLevelType w:val="hybridMultilevel"/>
    <w:tmpl w:val="5EC05AF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BA7630"/>
    <w:multiLevelType w:val="singleLevel"/>
    <w:tmpl w:val="2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C4658E6"/>
    <w:multiLevelType w:val="hybridMultilevel"/>
    <w:tmpl w:val="8746298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5D0EFB"/>
    <w:multiLevelType w:val="hybridMultilevel"/>
    <w:tmpl w:val="FC00356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A70D8"/>
    <w:multiLevelType w:val="hybridMultilevel"/>
    <w:tmpl w:val="81BC6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02159"/>
    <w:multiLevelType w:val="hybridMultilevel"/>
    <w:tmpl w:val="02F2492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F2241"/>
    <w:multiLevelType w:val="hybridMultilevel"/>
    <w:tmpl w:val="0DB4F2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42A0F"/>
    <w:multiLevelType w:val="hybridMultilevel"/>
    <w:tmpl w:val="8758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158AC"/>
    <w:multiLevelType w:val="multilevel"/>
    <w:tmpl w:val="0BC8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83E27"/>
    <w:multiLevelType w:val="hybridMultilevel"/>
    <w:tmpl w:val="1F4CEE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75C3D"/>
    <w:multiLevelType w:val="hybridMultilevel"/>
    <w:tmpl w:val="A06E2070"/>
    <w:lvl w:ilvl="0" w:tplc="8E864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7B5574"/>
    <w:multiLevelType w:val="hybridMultilevel"/>
    <w:tmpl w:val="1854AB3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5F41A11"/>
    <w:multiLevelType w:val="hybridMultilevel"/>
    <w:tmpl w:val="BF64D86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60B2F"/>
    <w:multiLevelType w:val="hybridMultilevel"/>
    <w:tmpl w:val="76C615E8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18E1E35"/>
    <w:multiLevelType w:val="multilevel"/>
    <w:tmpl w:val="972E55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3467D"/>
    <w:multiLevelType w:val="hybridMultilevel"/>
    <w:tmpl w:val="A724B3C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12C5B"/>
    <w:multiLevelType w:val="hybridMultilevel"/>
    <w:tmpl w:val="A59A9AF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CA61C9"/>
    <w:multiLevelType w:val="hybridMultilevel"/>
    <w:tmpl w:val="6F5442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82302"/>
    <w:multiLevelType w:val="hybridMultilevel"/>
    <w:tmpl w:val="13C23AD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92C6D"/>
    <w:multiLevelType w:val="hybridMultilevel"/>
    <w:tmpl w:val="246A71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28275E"/>
    <w:multiLevelType w:val="hybridMultilevel"/>
    <w:tmpl w:val="F3E2DFF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D5CD1"/>
    <w:multiLevelType w:val="hybridMultilevel"/>
    <w:tmpl w:val="EA264F8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195562"/>
    <w:multiLevelType w:val="hybridMultilevel"/>
    <w:tmpl w:val="916C508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F522C"/>
    <w:multiLevelType w:val="hybridMultilevel"/>
    <w:tmpl w:val="FAC885D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7C73E2"/>
    <w:multiLevelType w:val="hybridMultilevel"/>
    <w:tmpl w:val="D9784A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D1E3D"/>
    <w:multiLevelType w:val="hybridMultilevel"/>
    <w:tmpl w:val="8BEA0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D11A3"/>
    <w:multiLevelType w:val="singleLevel"/>
    <w:tmpl w:val="C97AF652"/>
    <w:lvl w:ilvl="0">
      <w:numFmt w:val="decimal"/>
      <w:lvlText w:val="*"/>
      <w:lvlJc w:val="left"/>
    </w:lvl>
  </w:abstractNum>
  <w:abstractNum w:abstractNumId="38" w15:restartNumberingAfterBreak="0">
    <w:nsid w:val="6C3C7753"/>
    <w:multiLevelType w:val="hybridMultilevel"/>
    <w:tmpl w:val="F4C6032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81A53"/>
    <w:multiLevelType w:val="hybridMultilevel"/>
    <w:tmpl w:val="20F6F7E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B051D"/>
    <w:multiLevelType w:val="hybridMultilevel"/>
    <w:tmpl w:val="D5B6578A"/>
    <w:lvl w:ilvl="0" w:tplc="8E864B0C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85AB1"/>
    <w:multiLevelType w:val="hybridMultilevel"/>
    <w:tmpl w:val="06FC5AF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E1A7F53"/>
    <w:multiLevelType w:val="hybridMultilevel"/>
    <w:tmpl w:val="B080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4">
    <w:abstractNumId w:val="17"/>
  </w:num>
  <w:num w:numId="5">
    <w:abstractNumId w:val="30"/>
  </w:num>
  <w:num w:numId="6">
    <w:abstractNumId w:val="20"/>
  </w:num>
  <w:num w:numId="7">
    <w:abstractNumId w:val="18"/>
  </w:num>
  <w:num w:numId="8">
    <w:abstractNumId w:val="28"/>
  </w:num>
  <w:num w:numId="9">
    <w:abstractNumId w:val="34"/>
  </w:num>
  <w:num w:numId="10">
    <w:abstractNumId w:val="12"/>
  </w:num>
  <w:num w:numId="11">
    <w:abstractNumId w:val="37"/>
  </w:num>
  <w:num w:numId="12">
    <w:abstractNumId w:val="35"/>
  </w:num>
  <w:num w:numId="13">
    <w:abstractNumId w:val="9"/>
  </w:num>
  <w:num w:numId="14">
    <w:abstractNumId w:val="19"/>
  </w:num>
  <w:num w:numId="15">
    <w:abstractNumId w:val="2"/>
  </w:num>
  <w:num w:numId="16">
    <w:abstractNumId w:val="42"/>
  </w:num>
  <w:num w:numId="17">
    <w:abstractNumId w:val="36"/>
  </w:num>
  <w:num w:numId="18">
    <w:abstractNumId w:val="40"/>
  </w:num>
  <w:num w:numId="19">
    <w:abstractNumId w:val="27"/>
  </w:num>
  <w:num w:numId="20">
    <w:abstractNumId w:val="15"/>
  </w:num>
  <w:num w:numId="21">
    <w:abstractNumId w:val="29"/>
  </w:num>
  <w:num w:numId="22">
    <w:abstractNumId w:val="16"/>
  </w:num>
  <w:num w:numId="23">
    <w:abstractNumId w:val="7"/>
  </w:num>
  <w:num w:numId="24">
    <w:abstractNumId w:val="6"/>
  </w:num>
  <w:num w:numId="25">
    <w:abstractNumId w:val="8"/>
  </w:num>
  <w:num w:numId="26">
    <w:abstractNumId w:val="26"/>
  </w:num>
  <w:num w:numId="27">
    <w:abstractNumId w:val="10"/>
  </w:num>
  <w:num w:numId="28">
    <w:abstractNumId w:val="22"/>
  </w:num>
  <w:num w:numId="29">
    <w:abstractNumId w:val="41"/>
  </w:num>
  <w:num w:numId="30">
    <w:abstractNumId w:val="11"/>
  </w:num>
  <w:num w:numId="31">
    <w:abstractNumId w:val="13"/>
  </w:num>
  <w:num w:numId="32">
    <w:abstractNumId w:val="33"/>
  </w:num>
  <w:num w:numId="33">
    <w:abstractNumId w:val="25"/>
  </w:num>
  <w:num w:numId="34">
    <w:abstractNumId w:val="24"/>
  </w:num>
  <w:num w:numId="35">
    <w:abstractNumId w:val="23"/>
  </w:num>
  <w:num w:numId="36">
    <w:abstractNumId w:val="4"/>
  </w:num>
  <w:num w:numId="37">
    <w:abstractNumId w:val="21"/>
  </w:num>
  <w:num w:numId="38">
    <w:abstractNumId w:val="32"/>
  </w:num>
  <w:num w:numId="39">
    <w:abstractNumId w:val="39"/>
  </w:num>
  <w:num w:numId="40">
    <w:abstractNumId w:val="38"/>
  </w:num>
  <w:num w:numId="41">
    <w:abstractNumId w:val="31"/>
  </w:num>
  <w:num w:numId="42">
    <w:abstractNumId w:val="14"/>
  </w:num>
  <w:num w:numId="43">
    <w:abstractNumId w:val="5"/>
  </w:num>
  <w:num w:numId="4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462A"/>
    <w:rsid w:val="00010A4D"/>
    <w:rsid w:val="00032230"/>
    <w:rsid w:val="0005257A"/>
    <w:rsid w:val="00063DFF"/>
    <w:rsid w:val="00077D3D"/>
    <w:rsid w:val="00083115"/>
    <w:rsid w:val="000857F2"/>
    <w:rsid w:val="00093B0F"/>
    <w:rsid w:val="000A2214"/>
    <w:rsid w:val="000A6A5A"/>
    <w:rsid w:val="000B40B4"/>
    <w:rsid w:val="000D394D"/>
    <w:rsid w:val="000D43E1"/>
    <w:rsid w:val="000D533F"/>
    <w:rsid w:val="000E4936"/>
    <w:rsid w:val="00100A46"/>
    <w:rsid w:val="00107677"/>
    <w:rsid w:val="001131B6"/>
    <w:rsid w:val="00114665"/>
    <w:rsid w:val="00114D45"/>
    <w:rsid w:val="00116EE0"/>
    <w:rsid w:val="001208E1"/>
    <w:rsid w:val="00126764"/>
    <w:rsid w:val="0015044C"/>
    <w:rsid w:val="0015267F"/>
    <w:rsid w:val="00154A6C"/>
    <w:rsid w:val="00157297"/>
    <w:rsid w:val="001638E9"/>
    <w:rsid w:val="00175F5A"/>
    <w:rsid w:val="001826A4"/>
    <w:rsid w:val="0018354A"/>
    <w:rsid w:val="001900C9"/>
    <w:rsid w:val="00195DF6"/>
    <w:rsid w:val="001B5116"/>
    <w:rsid w:val="001C0AB9"/>
    <w:rsid w:val="001C4BA5"/>
    <w:rsid w:val="001C5762"/>
    <w:rsid w:val="001E391D"/>
    <w:rsid w:val="0020320E"/>
    <w:rsid w:val="00204020"/>
    <w:rsid w:val="00217685"/>
    <w:rsid w:val="00225BB6"/>
    <w:rsid w:val="00227559"/>
    <w:rsid w:val="00232656"/>
    <w:rsid w:val="00247F8B"/>
    <w:rsid w:val="002538AC"/>
    <w:rsid w:val="00264FC2"/>
    <w:rsid w:val="0027707F"/>
    <w:rsid w:val="00293191"/>
    <w:rsid w:val="002A5636"/>
    <w:rsid w:val="002A61F5"/>
    <w:rsid w:val="002B7981"/>
    <w:rsid w:val="002E05A2"/>
    <w:rsid w:val="00302537"/>
    <w:rsid w:val="003066BE"/>
    <w:rsid w:val="00321FDD"/>
    <w:rsid w:val="003227CC"/>
    <w:rsid w:val="003232BE"/>
    <w:rsid w:val="00343F74"/>
    <w:rsid w:val="003442FB"/>
    <w:rsid w:val="00366FB1"/>
    <w:rsid w:val="00377488"/>
    <w:rsid w:val="00382A22"/>
    <w:rsid w:val="00392B2D"/>
    <w:rsid w:val="003A4752"/>
    <w:rsid w:val="003B3B1A"/>
    <w:rsid w:val="003C2964"/>
    <w:rsid w:val="003F326D"/>
    <w:rsid w:val="003F4AD5"/>
    <w:rsid w:val="003F79EF"/>
    <w:rsid w:val="00402449"/>
    <w:rsid w:val="0041135D"/>
    <w:rsid w:val="00421AAB"/>
    <w:rsid w:val="004229C4"/>
    <w:rsid w:val="004255DD"/>
    <w:rsid w:val="0043191A"/>
    <w:rsid w:val="00435AEF"/>
    <w:rsid w:val="00444504"/>
    <w:rsid w:val="00465FCD"/>
    <w:rsid w:val="00477EED"/>
    <w:rsid w:val="00486DAE"/>
    <w:rsid w:val="004A5CD7"/>
    <w:rsid w:val="004C2B61"/>
    <w:rsid w:val="004D7AC0"/>
    <w:rsid w:val="004E3508"/>
    <w:rsid w:val="004E411F"/>
    <w:rsid w:val="004F23ED"/>
    <w:rsid w:val="004F2989"/>
    <w:rsid w:val="0052107B"/>
    <w:rsid w:val="005234CD"/>
    <w:rsid w:val="00532089"/>
    <w:rsid w:val="005404CB"/>
    <w:rsid w:val="005820A0"/>
    <w:rsid w:val="00586B4B"/>
    <w:rsid w:val="005873B0"/>
    <w:rsid w:val="005904B2"/>
    <w:rsid w:val="00592F07"/>
    <w:rsid w:val="00593C9F"/>
    <w:rsid w:val="005A0BDA"/>
    <w:rsid w:val="005A3D14"/>
    <w:rsid w:val="005A4C58"/>
    <w:rsid w:val="005B5258"/>
    <w:rsid w:val="005C66E1"/>
    <w:rsid w:val="005E43B3"/>
    <w:rsid w:val="005E7651"/>
    <w:rsid w:val="005F41D0"/>
    <w:rsid w:val="005F55DC"/>
    <w:rsid w:val="00623E9E"/>
    <w:rsid w:val="00625CA3"/>
    <w:rsid w:val="00627052"/>
    <w:rsid w:val="00641262"/>
    <w:rsid w:val="00652335"/>
    <w:rsid w:val="0067428C"/>
    <w:rsid w:val="006825FC"/>
    <w:rsid w:val="00691BA5"/>
    <w:rsid w:val="006B21A0"/>
    <w:rsid w:val="006C0A65"/>
    <w:rsid w:val="006C533B"/>
    <w:rsid w:val="006C6ECE"/>
    <w:rsid w:val="006D088F"/>
    <w:rsid w:val="006D16C7"/>
    <w:rsid w:val="006D1DFA"/>
    <w:rsid w:val="006D2C8A"/>
    <w:rsid w:val="006D2D64"/>
    <w:rsid w:val="006E2EF5"/>
    <w:rsid w:val="006E62F7"/>
    <w:rsid w:val="006F1989"/>
    <w:rsid w:val="00706D52"/>
    <w:rsid w:val="00713105"/>
    <w:rsid w:val="00720580"/>
    <w:rsid w:val="00726351"/>
    <w:rsid w:val="007448E4"/>
    <w:rsid w:val="00752F62"/>
    <w:rsid w:val="00754027"/>
    <w:rsid w:val="007554BE"/>
    <w:rsid w:val="00766B1A"/>
    <w:rsid w:val="00770B4A"/>
    <w:rsid w:val="00773E8D"/>
    <w:rsid w:val="00777195"/>
    <w:rsid w:val="0079405E"/>
    <w:rsid w:val="00795836"/>
    <w:rsid w:val="007A0964"/>
    <w:rsid w:val="007A0BE6"/>
    <w:rsid w:val="007B1DCA"/>
    <w:rsid w:val="007C1ABC"/>
    <w:rsid w:val="007D30C1"/>
    <w:rsid w:val="007F5784"/>
    <w:rsid w:val="008171FA"/>
    <w:rsid w:val="0083181F"/>
    <w:rsid w:val="00832938"/>
    <w:rsid w:val="00840FC8"/>
    <w:rsid w:val="008413EF"/>
    <w:rsid w:val="0084417F"/>
    <w:rsid w:val="008452C8"/>
    <w:rsid w:val="00845F24"/>
    <w:rsid w:val="00850929"/>
    <w:rsid w:val="00860DE0"/>
    <w:rsid w:val="00864670"/>
    <w:rsid w:val="00865A78"/>
    <w:rsid w:val="00866666"/>
    <w:rsid w:val="0086679E"/>
    <w:rsid w:val="00871DCF"/>
    <w:rsid w:val="008752F5"/>
    <w:rsid w:val="008761FA"/>
    <w:rsid w:val="0088219D"/>
    <w:rsid w:val="00892F37"/>
    <w:rsid w:val="008B5FC5"/>
    <w:rsid w:val="008B7F9B"/>
    <w:rsid w:val="008C5361"/>
    <w:rsid w:val="008C7452"/>
    <w:rsid w:val="008D0303"/>
    <w:rsid w:val="008D05C8"/>
    <w:rsid w:val="008D44E2"/>
    <w:rsid w:val="0090254F"/>
    <w:rsid w:val="00904A22"/>
    <w:rsid w:val="00910C90"/>
    <w:rsid w:val="009144BA"/>
    <w:rsid w:val="00941874"/>
    <w:rsid w:val="0094356F"/>
    <w:rsid w:val="00945147"/>
    <w:rsid w:val="00980902"/>
    <w:rsid w:val="0098098F"/>
    <w:rsid w:val="00981AAC"/>
    <w:rsid w:val="00996457"/>
    <w:rsid w:val="009A2569"/>
    <w:rsid w:val="009B04E2"/>
    <w:rsid w:val="009B199C"/>
    <w:rsid w:val="009B596B"/>
    <w:rsid w:val="009C3A5E"/>
    <w:rsid w:val="009D7E2D"/>
    <w:rsid w:val="009E747C"/>
    <w:rsid w:val="009F26A5"/>
    <w:rsid w:val="00A02A59"/>
    <w:rsid w:val="00A073FB"/>
    <w:rsid w:val="00A124AE"/>
    <w:rsid w:val="00A20E9D"/>
    <w:rsid w:val="00A230A4"/>
    <w:rsid w:val="00A26A65"/>
    <w:rsid w:val="00A272B2"/>
    <w:rsid w:val="00A30FAD"/>
    <w:rsid w:val="00A33529"/>
    <w:rsid w:val="00A50553"/>
    <w:rsid w:val="00A5081E"/>
    <w:rsid w:val="00A512D0"/>
    <w:rsid w:val="00A71030"/>
    <w:rsid w:val="00A81F18"/>
    <w:rsid w:val="00A832E6"/>
    <w:rsid w:val="00A94349"/>
    <w:rsid w:val="00AC7540"/>
    <w:rsid w:val="00AD28C9"/>
    <w:rsid w:val="00AE5791"/>
    <w:rsid w:val="00AF6DC1"/>
    <w:rsid w:val="00AF7CA7"/>
    <w:rsid w:val="00B11B7E"/>
    <w:rsid w:val="00B16AE4"/>
    <w:rsid w:val="00B203DA"/>
    <w:rsid w:val="00B21DC6"/>
    <w:rsid w:val="00B227BF"/>
    <w:rsid w:val="00B47C02"/>
    <w:rsid w:val="00B518C9"/>
    <w:rsid w:val="00B51A72"/>
    <w:rsid w:val="00B73BE7"/>
    <w:rsid w:val="00B80EC0"/>
    <w:rsid w:val="00B83272"/>
    <w:rsid w:val="00B8503F"/>
    <w:rsid w:val="00B87220"/>
    <w:rsid w:val="00B95DFE"/>
    <w:rsid w:val="00B97319"/>
    <w:rsid w:val="00BA081D"/>
    <w:rsid w:val="00BA2F3D"/>
    <w:rsid w:val="00BA71AC"/>
    <w:rsid w:val="00BB020C"/>
    <w:rsid w:val="00BB1131"/>
    <w:rsid w:val="00BB118B"/>
    <w:rsid w:val="00BB17B1"/>
    <w:rsid w:val="00BB7501"/>
    <w:rsid w:val="00BC003D"/>
    <w:rsid w:val="00BC15D3"/>
    <w:rsid w:val="00BC1D26"/>
    <w:rsid w:val="00BC5818"/>
    <w:rsid w:val="00BC653F"/>
    <w:rsid w:val="00BC6AA1"/>
    <w:rsid w:val="00BD3C24"/>
    <w:rsid w:val="00BD6AD8"/>
    <w:rsid w:val="00BE1F8F"/>
    <w:rsid w:val="00BE37B5"/>
    <w:rsid w:val="00BE54B3"/>
    <w:rsid w:val="00C008B4"/>
    <w:rsid w:val="00C05074"/>
    <w:rsid w:val="00C17ABD"/>
    <w:rsid w:val="00C26C67"/>
    <w:rsid w:val="00C3059A"/>
    <w:rsid w:val="00C4084F"/>
    <w:rsid w:val="00C417FE"/>
    <w:rsid w:val="00C43D3E"/>
    <w:rsid w:val="00C52092"/>
    <w:rsid w:val="00C63C88"/>
    <w:rsid w:val="00C65E51"/>
    <w:rsid w:val="00C65EA7"/>
    <w:rsid w:val="00C67580"/>
    <w:rsid w:val="00C67D5A"/>
    <w:rsid w:val="00C77862"/>
    <w:rsid w:val="00C804F4"/>
    <w:rsid w:val="00C8173B"/>
    <w:rsid w:val="00C821A5"/>
    <w:rsid w:val="00C87D91"/>
    <w:rsid w:val="00C94866"/>
    <w:rsid w:val="00CC44CF"/>
    <w:rsid w:val="00CF233F"/>
    <w:rsid w:val="00D03AEC"/>
    <w:rsid w:val="00D1047D"/>
    <w:rsid w:val="00D24919"/>
    <w:rsid w:val="00D26CB8"/>
    <w:rsid w:val="00D43613"/>
    <w:rsid w:val="00D5795F"/>
    <w:rsid w:val="00D615E8"/>
    <w:rsid w:val="00D63232"/>
    <w:rsid w:val="00D6450A"/>
    <w:rsid w:val="00D66820"/>
    <w:rsid w:val="00D673FC"/>
    <w:rsid w:val="00D7076A"/>
    <w:rsid w:val="00D7172A"/>
    <w:rsid w:val="00D81F5E"/>
    <w:rsid w:val="00D92269"/>
    <w:rsid w:val="00D92715"/>
    <w:rsid w:val="00DC329C"/>
    <w:rsid w:val="00DC348C"/>
    <w:rsid w:val="00DC45BC"/>
    <w:rsid w:val="00DE176A"/>
    <w:rsid w:val="00DE2D96"/>
    <w:rsid w:val="00DE7710"/>
    <w:rsid w:val="00DF0344"/>
    <w:rsid w:val="00DF3CEF"/>
    <w:rsid w:val="00E00A6B"/>
    <w:rsid w:val="00E13806"/>
    <w:rsid w:val="00E14D8E"/>
    <w:rsid w:val="00E16E3C"/>
    <w:rsid w:val="00E348EA"/>
    <w:rsid w:val="00E44ADA"/>
    <w:rsid w:val="00E55DDF"/>
    <w:rsid w:val="00E57BB9"/>
    <w:rsid w:val="00E624FB"/>
    <w:rsid w:val="00E77899"/>
    <w:rsid w:val="00E83667"/>
    <w:rsid w:val="00E9219E"/>
    <w:rsid w:val="00EA3596"/>
    <w:rsid w:val="00EB5E2E"/>
    <w:rsid w:val="00EB629E"/>
    <w:rsid w:val="00EC0F9A"/>
    <w:rsid w:val="00EC5572"/>
    <w:rsid w:val="00ED1DE3"/>
    <w:rsid w:val="00EE160A"/>
    <w:rsid w:val="00EE5F16"/>
    <w:rsid w:val="00EF40DB"/>
    <w:rsid w:val="00F02BB5"/>
    <w:rsid w:val="00F23122"/>
    <w:rsid w:val="00F250D5"/>
    <w:rsid w:val="00F54496"/>
    <w:rsid w:val="00F54B68"/>
    <w:rsid w:val="00F60997"/>
    <w:rsid w:val="00F617CE"/>
    <w:rsid w:val="00F70422"/>
    <w:rsid w:val="00F83C17"/>
    <w:rsid w:val="00F84774"/>
    <w:rsid w:val="00F93648"/>
    <w:rsid w:val="00F96D7F"/>
    <w:rsid w:val="00FA33C4"/>
    <w:rsid w:val="00FA4B28"/>
    <w:rsid w:val="00FA7642"/>
    <w:rsid w:val="00FA7854"/>
    <w:rsid w:val="00FC456F"/>
    <w:rsid w:val="00FD106B"/>
    <w:rsid w:val="00FD5458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4982DD4D"/>
  <w15:chartTrackingRefBased/>
  <w15:docId w15:val="{CC2967CE-8393-4E48-B2BE-AAD9291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F26A5"/>
    <w:pPr>
      <w:tabs>
        <w:tab w:val="left" w:pos="284"/>
        <w:tab w:val="right" w:leader="dot" w:pos="9061"/>
      </w:tabs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6EC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1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hu/our-work/opinions-information-reports/plenary-session-summaries" TargetMode="External"/><Relationship Id="rId18" Type="http://schemas.openxmlformats.org/officeDocument/2006/relationships/footer" Target="footer2.xml"/><Relationship Id="rId26" Type="http://schemas.openxmlformats.org/officeDocument/2006/relationships/hyperlink" Target="mailto:Gerald.Klec@eesc.europa.eu" TargetMode="External"/><Relationship Id="rId39" Type="http://schemas.openxmlformats.org/officeDocument/2006/relationships/hyperlink" Target="https://www.eesc.europa.eu/hu/initiatives/eu-youth-test-eesc" TargetMode="External"/><Relationship Id="rId21" Type="http://schemas.openxmlformats.org/officeDocument/2006/relationships/hyperlink" Target="https://www.eesc.europa.eu/en/our-work/opinions-information-reports/opinions/2025-european-semester-autumn-package" TargetMode="External"/><Relationship Id="rId34" Type="http://schemas.openxmlformats.org/officeDocument/2006/relationships/hyperlink" Target="mailto:Gabriela.Grasu@eesc.europa.eu" TargetMode="External"/><Relationship Id="rId42" Type="http://schemas.openxmlformats.org/officeDocument/2006/relationships/hyperlink" Target="https://www.eesc.europa.eu/hu/our-work/opinions-information-reports/opinions/assessment-letta-and-draghi-reports-functioning-and-competitiveness-eus-single-market" TargetMode="External"/><Relationship Id="rId47" Type="http://schemas.openxmlformats.org/officeDocument/2006/relationships/hyperlink" Target="https://www.eesc.europa.eu/hu/our-work/opinions-information-reports/opinions/services-sector-european-union" TargetMode="External"/><Relationship Id="rId50" Type="http://schemas.openxmlformats.org/officeDocument/2006/relationships/hyperlink" Target="mailto:Silvia.Staffa@eesc.europa.eu" TargetMode="External"/><Relationship Id="rId55" Type="http://schemas.openxmlformats.org/officeDocument/2006/relationships/hyperlink" Target="https://www.eesc.europa.eu/hu/our-work/opinions-information-reports/opinions/contribution-robotics-metaverse-medical-sector" TargetMode="External"/><Relationship Id="rId63" Type="http://schemas.openxmlformats.org/officeDocument/2006/relationships/fontTable" Target="fontTable.xml"/><Relationship Id="rId68" Type="http://schemas.openxmlformats.org/officeDocument/2006/relationships/customXml" Target="../customXml/item4.xml"/><Relationship Id="rId7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yperlink" Target="https://www.eesc.europa.eu/hu/our-work/opinions-information-reports/opinions/addressing-loneliness-cementing-measures-demographic-cohesion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Juri.Soosaar@eesc.europa.eu" TargetMode="External"/><Relationship Id="rId32" Type="http://schemas.openxmlformats.org/officeDocument/2006/relationships/hyperlink" Target="mailto:Grasu.Gabriela@eesc.europa.eu" TargetMode="External"/><Relationship Id="rId37" Type="http://schemas.openxmlformats.org/officeDocument/2006/relationships/hyperlink" Target="mailto:Albert.Precup@eesc.europa.eu" TargetMode="External"/><Relationship Id="rId40" Type="http://schemas.openxmlformats.org/officeDocument/2006/relationships/hyperlink" Target="mailto:Radoslava.Stefankova@eesc.europa.eu" TargetMode="External"/><Relationship Id="rId45" Type="http://schemas.openxmlformats.org/officeDocument/2006/relationships/hyperlink" Target="https://www.eesc.europa.eu/hu/our-work/opinions-information-reports/opinions/competitiveness-eus-small-and-medium-sized-enterprises-light-new-administrative-burdensobligations-eg-relating-non" TargetMode="External"/><Relationship Id="rId53" Type="http://schemas.openxmlformats.org/officeDocument/2006/relationships/hyperlink" Target="https://www.eesc.europa.eu/hu/our-work/opinions-information-reports/opinions/ensuring-sustainable-food-production-and-fair-income-european-farmers-face-market-environmental-and-climate-challenges" TargetMode="External"/><Relationship Id="rId58" Type="http://schemas.openxmlformats.org/officeDocument/2006/relationships/header" Target="header5.xml"/><Relationship Id="rId66" Type="http://schemas.openxmlformats.org/officeDocument/2006/relationships/customXml" Target="../customXml/item2.xml"/><Relationship Id="rId61" Type="http://schemas.openxmlformats.org/officeDocument/2006/relationships/header" Target="header6.xml"/><Relationship Id="rId19" Type="http://schemas.openxmlformats.org/officeDocument/2006/relationships/header" Target="header3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Anna.Pantazi@eesc.europa.eu" TargetMode="External"/><Relationship Id="rId27" Type="http://schemas.openxmlformats.org/officeDocument/2006/relationships/hyperlink" Target="https://www.eesc.europa.eu/hu/our-work/opinions-information-reports/opinions/strengthening-results-orientation-post-2027-cohesion-policy-challenges-risks-and-opportunities" TargetMode="External"/><Relationship Id="rId30" Type="http://schemas.openxmlformats.org/officeDocument/2006/relationships/hyperlink" Target="mailto:Valeria.Atzori@eesc.europa.eu" TargetMode="External"/><Relationship Id="rId35" Type="http://schemas.openxmlformats.org/officeDocument/2006/relationships/hyperlink" Target="mailto:Triin.AasmaaGomes@eesc.europa.eu" TargetMode="External"/><Relationship Id="rId43" Type="http://schemas.openxmlformats.org/officeDocument/2006/relationships/hyperlink" Target="mailto:Annalisa.Tessarolo@eesc.europa.eu" TargetMode="External"/><Relationship Id="rId48" Type="http://schemas.openxmlformats.org/officeDocument/2006/relationships/hyperlink" Target="mailto:Annalisa.Tessarolo@eesc.europa.eu" TargetMode="External"/><Relationship Id="rId56" Type="http://schemas.openxmlformats.org/officeDocument/2006/relationships/hyperlink" Target="mailto:marie-laurence.drillon@eesc.europa.eu" TargetMode="External"/><Relationship Id="rId64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www.eesc.europa.eu/hu/our-work/opinions-information-reports/opinions/tourism-eu-social-sustainability-driver-long-term-competitiveness-sector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https://www.eesc.europa.eu/hu/our-work/opinions-information-reports/opinions/defence-funding-eu" TargetMode="External"/><Relationship Id="rId33" Type="http://schemas.openxmlformats.org/officeDocument/2006/relationships/hyperlink" Target="https://www.eesc.europa.eu/hu/our-work/opinions-information-reports/opinions/eesc-contribution-eus-priorities-uncsw69" TargetMode="External"/><Relationship Id="rId38" Type="http://schemas.openxmlformats.org/officeDocument/2006/relationships/hyperlink" Target="https://www.eesc.europa.eu/hu/our-work/opinions-information-reports/opinions/consumer-protection-and-impact-digital-and-green-transitions-consumers" TargetMode="External"/><Relationship Id="rId46" Type="http://schemas.openxmlformats.org/officeDocument/2006/relationships/hyperlink" Target="mailto:marco.manfroni@eesc.europa.eu" TargetMode="External"/><Relationship Id="rId59" Type="http://schemas.openxmlformats.org/officeDocument/2006/relationships/footer" Target="footer4.xml"/><Relationship Id="rId67" Type="http://schemas.openxmlformats.org/officeDocument/2006/relationships/customXml" Target="../customXml/item3.xml"/><Relationship Id="rId20" Type="http://schemas.openxmlformats.org/officeDocument/2006/relationships/footer" Target="footer3.xml"/><Relationship Id="rId41" Type="http://schemas.openxmlformats.org/officeDocument/2006/relationships/hyperlink" Target="mailto:Yousra.Asbounielouahabi@eesc.europa.eu" TargetMode="External"/><Relationship Id="rId54" Type="http://schemas.openxmlformats.org/officeDocument/2006/relationships/hyperlink" Target="mailto:Myrto.Kolyva@eesc.europa.eu" TargetMode="External"/><Relationship Id="rId62" Type="http://schemas.openxmlformats.org/officeDocument/2006/relationships/footer" Target="footer6.xml"/><Relationship Id="rId6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eesc.europa.eu/hu/our-work/opinions-information-reports/opinions/administrative-cooperation-field-taxation-dac9" TargetMode="External"/><Relationship Id="rId28" Type="http://schemas.openxmlformats.org/officeDocument/2006/relationships/hyperlink" Target="mailto:Georgios.Meleas@eesc.europa.eu" TargetMode="External"/><Relationship Id="rId36" Type="http://schemas.openxmlformats.org/officeDocument/2006/relationships/hyperlink" Target="https://www.eesc.europa.eu/hu/our-work/opinions-information-reports/opinions/physical-completion-eus-internal-market-new-geopolitical-situation" TargetMode="External"/><Relationship Id="rId49" Type="http://schemas.openxmlformats.org/officeDocument/2006/relationships/hyperlink" Target="https://www.eesc.europa.eu/hu/our-work/opinions-information-reports/opinions/future-eu-industry-face-high-energy-prices-and-transition-costs" TargetMode="External"/><Relationship Id="rId57" Type="http://schemas.openxmlformats.org/officeDocument/2006/relationships/header" Target="header4.xml"/><Relationship Id="rId10" Type="http://schemas.openxmlformats.org/officeDocument/2006/relationships/footnotes" Target="footnotes.xml"/><Relationship Id="rId31" Type="http://schemas.openxmlformats.org/officeDocument/2006/relationships/hyperlink" Target="https://www.eesc.europa.eu/hu/our-work/opinions-information-reports/opinions/violence-against-women-human-rights-issue-state-play-measures-across-eu" TargetMode="External"/><Relationship Id="rId44" Type="http://schemas.openxmlformats.org/officeDocument/2006/relationships/hyperlink" Target="mailto:Silvia.Staffa@eesc.europa.eu" TargetMode="External"/><Relationship Id="rId52" Type="http://schemas.openxmlformats.org/officeDocument/2006/relationships/hyperlink" Target="mailto:Silvia.Staffa@eesc.europa.eu" TargetMode="External"/><Relationship Id="rId60" Type="http://schemas.openxmlformats.org/officeDocument/2006/relationships/footer" Target="footer5.xml"/><Relationship Id="rId65" Type="http://schemas.openxmlformats.org/officeDocument/2006/relationships/customXml" Target="../customXml/item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A6WAAD5KZT2Q-604569563-4840</_dlc_DocId>
    <_dlc_DocIdUrl xmlns="1a33af13-4045-4f88-9d7b-618e30f79918">
      <Url>http://dm/eesc/2025/_layouts/15/DocIdRedir.aspx?ID=A6WAAD5KZT2Q-604569563-4840</Url>
      <Description>A6WAAD5KZT2Q-604569563-4840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2025-03-14T12:00:00+00:00</ProductionDate>
    <DocumentNumber xmlns="be3ca9a7-9286-4008-99ec-aebc20da9dc2">345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2025-03-26T12:00:00+00:00</MeetingDate>
    <TaxCatchAll xmlns="1a33af13-4045-4f88-9d7b-618e30f79918">
      <Value>67</Value>
      <Value>50</Value>
      <Value>47</Value>
      <Value>46</Value>
      <Value>42</Value>
      <Value>41</Value>
      <Value>40</Value>
      <Value>39</Value>
      <Value>37</Value>
      <Value>36</Value>
      <Value>35</Value>
      <Value>34</Value>
      <Value>33</Value>
      <Value>31</Value>
      <Value>30</Value>
      <Value>29</Value>
      <Value>28</Value>
      <Value>27</Value>
      <Value>24</Value>
      <Value>23</Value>
      <Value>19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2534</FicheNumber>
    <OriginalSender xmlns="1a33af13-4045-4f88-9d7b-618e30f79918">
      <UserInfo>
        <DisplayName>Repas Szilvia</DisplayName>
        <AccountId>1607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>595</MeetingNumber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Props1.xml><?xml version="1.0" encoding="utf-8"?>
<ds:datastoreItem xmlns:ds="http://schemas.openxmlformats.org/officeDocument/2006/customXml" ds:itemID="{87C9BF80-F7E1-44D8-B813-3B40F2C5E278}"/>
</file>

<file path=customXml/itemProps2.xml><?xml version="1.0" encoding="utf-8"?>
<ds:datastoreItem xmlns:ds="http://schemas.openxmlformats.org/officeDocument/2006/customXml" ds:itemID="{BFC2D94F-A71D-4E63-B1A1-B9E80D2E169D}"/>
</file>

<file path=customXml/itemProps3.xml><?xml version="1.0" encoding="utf-8"?>
<ds:datastoreItem xmlns:ds="http://schemas.openxmlformats.org/officeDocument/2006/customXml" ds:itemID="{5EC281E0-6561-467D-BDA5-2B8613E5D668}"/>
</file>

<file path=customXml/itemProps4.xml><?xml version="1.0" encoding="utf-8"?>
<ds:datastoreItem xmlns:ds="http://schemas.openxmlformats.org/officeDocument/2006/customXml" ds:itemID="{19380C0D-8000-4F67-8C47-BB7957884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7327</Words>
  <Characters>41766</Characters>
  <Application>Microsoft Office Word</Application>
  <DocSecurity>0</DocSecurity>
  <Lines>348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- 593rd plenary session - January 2025</vt:lpstr>
    </vt:vector>
  </TitlesOfParts>
  <Company>CESE-CdR</Company>
  <LinksUpToDate>false</LinksUpToDate>
  <CharactersWithSpaces>48996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elfogadott vélemények összefoglalása - 594. plenáris ülés - 2025. február </dc:title>
  <dc:subject>TCD</dc:subject>
  <dc:creator>Nieddu Emma</dc:creator>
  <cp:keywords>EESC-2025-00345-00-01-TCD-TRA-EN</cp:keywords>
  <dc:description>Rapporteur:  - Original language: EN - Date of document: 14/03/2025 - Date of meeting: 30/26/2025 14:30 - External documents:  - Administrator: MME TAMASAUSKIENE Julija</dc:description>
  <cp:lastModifiedBy>Repas Szilvia</cp:lastModifiedBy>
  <cp:revision>13</cp:revision>
  <dcterms:created xsi:type="dcterms:W3CDTF">2025-03-12T09:56:00Z</dcterms:created>
  <dcterms:modified xsi:type="dcterms:W3CDTF">2025-03-14T10:22:00Z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12/03/2025, 05/03/2025, 29/01/2025, 02/05/2022, 02/05/2022, 28/06/2021</vt:lpwstr>
  </property>
  <property fmtid="{D5CDD505-2E9C-101B-9397-08002B2CF9AE}" pid="4" name="Pref_Time">
    <vt:lpwstr>10:27:20, 09:28:12, 15:29:38, 12:28:29, 12:25:37, 08:41:48</vt:lpwstr>
  </property>
  <property fmtid="{D5CDD505-2E9C-101B-9397-08002B2CF9AE}" pid="5" name="Pref_User">
    <vt:lpwstr>amett, enied, amett, enied, enied, enied</vt:lpwstr>
  </property>
  <property fmtid="{D5CDD505-2E9C-101B-9397-08002B2CF9AE}" pid="6" name="Pref_FileName">
    <vt:lpwstr>EESC-2025-00345-00-01-TCD-ORI.docx, EESC-2025-00345-00-00-TCD-ORI.docx, EESC-2024-04576-00-00-TCD-ORI.docx,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bc441904-5647-452d-8b99-a1ead65102f2</vt:lpwstr>
  </property>
  <property fmtid="{D5CDD505-2E9C-101B-9397-08002B2CF9AE}" pid="9" name="AvailableTranslations">
    <vt:lpwstr>34;#IT|0774613c-01ed-4e5d-a25d-11d2388de825;#30;#LT|a7ff5ce7-6123-4f68-865a-a57c31810414;#23;#DE|f6b31e5a-26fa-4935-b661-318e46daf27e;#50;#HR|2f555653-ed1a-4fe6-8362-9082d95989e5;#16;#ES|e7a6b05b-ae16-40c8-add9-68b64b03aeba;#40;#DA|5d49c027-8956-412b-aa16-e85a0f96ad0e;#42;#EL|6d4f4d51-af9b-4650-94b4-4276bee85c91;#24;#PL|1e03da61-4678-4e07-b136-b5024ca9197b;#46;#SK|46d9fce0-ef79-4f71-b89b-cd6aa82426b8;#27;#NL|55c6556c-b4f4-441d-9acf-c498d4f838bd;#33;#PT|50ccc04a-eadd-42ae-a0cb-acaf45f812ba;#5;#EN|f2175f21-25d7-44a3-96da-d6a61b075e1b;#39;#LV|46f7e311-5d9f-4663-b433-18aeccb7ace7;#37;#HU|6b229040-c589-4408-b4c1-4285663d20a8;#36;#RO|feb747a2-64cd-4299-af12-4833ddc30497;#29;#CS|72f9705b-0217-4fd3-bea2-cbc7ed80e26e;#12;#FR|d2afafd3-4c81-4f60-8f52-ee33f2f54ff3;#35;#FI|87606a43-d45f-42d6-b8c9-e1a3457db5b7;#31;#SL|98a412ae-eb01-49e9-ae3d-585a81724cfc;#41;#ET|ff6c3f4c-b02c-4c3c-ab07-2c37995a7a0a;#28;#SV|c2ed69e7-a339-43d7-8f22-d93680a92aa0;#47;#BG|1a1b3951-7821-4e6a-85f5-5673fc08bd2c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595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345</vt:i4>
  </property>
  <property fmtid="{D5CDD505-2E9C-101B-9397-08002B2CF9AE}" pid="15" name="DocumentVersion">
    <vt:i4>1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19;#TCD|cd9d6eb6-3f4f-424a-b2d1-57c9d450eaaf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15;#Unrestricted|826e22d7-d029-4ec0-a450-0c28ff673572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67;#SPL-CES|32d8cb1f-c9ec-4365-95c7-8385a18618ac</vt:lpwstr>
  </property>
  <property fmtid="{D5CDD505-2E9C-101B-9397-08002B2CF9AE}" pid="28" name="MeetingDate">
    <vt:filetime>2025-03-26T12:00:00Z</vt:filetime>
  </property>
  <property fmtid="{D5CDD505-2E9C-101B-9397-08002B2CF9AE}" pid="29" name="AvailableTranslations_0">
    <vt:lpwstr>IT|0774613c-01ed-4e5d-a25d-11d2388de825;LT|a7ff5ce7-6123-4f68-865a-a57c31810414;HR|2f555653-ed1a-4fe6-8362-9082d95989e5;ES|e7a6b05b-ae16-40c8-add9-68b64b03aeba;DA|5d49c027-8956-412b-aa16-e85a0f96ad0e;PL|1e03da61-4678-4e07-b136-b5024ca9197b;SK|46d9fce0-ef79-4f71-b89b-cd6aa82426b8;NL|55c6556c-b4f4-441d-9acf-c498d4f838bd;PT|50ccc04a-eadd-42ae-a0cb-acaf45f812ba;EN|f2175f21-25d7-44a3-96da-d6a61b075e1b;LV|46f7e311-5d9f-4663-b433-18aeccb7ace7;CS|72f9705b-0217-4fd3-bea2-cbc7ed80e26e;FR|d2afafd3-4c81-4f60-8f52-ee33f2f54ff3;FI|87606a43-d45f-42d6-b8c9-e1a3457db5b7;SL|98a412ae-eb01-49e9-ae3d-585a81724cfc;ET|ff6c3f4c-b02c-4c3c-ab07-2c37995a7a0a;SV|c2ed69e7-a339-43d7-8f22-d93680a92aa0;BG|1a1b3951-7821-4e6a-85f5-5673fc08bd2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35;#FI|87606a43-d45f-42d6-b8c9-e1a3457db5b7;#34;#IT|0774613c-01ed-4e5d-a25d-11d2388de825;#33;#PT|50ccc04a-eadd-42ae-a0cb-acaf45f812ba;#13;#TRA|150d2a88-1431-44e6-a8ca-0bb753ab8672;#30;#LT|a7ff5ce7-6123-4f68-865a-a57c31810414;#67;#SPL-CES|32d8cb1f-c9ec-4365-95c7-8385a18618ac;#31;#SL|98a412ae-eb01-49e9-ae3d-585a81724cfc;#27;#NL|55c6556c-b4f4-441d-9acf-c498d4f838bd;#24;#PL|1e03da61-4678-4e07-b136-b5024ca9197b;#19;#TCD|cd9d6eb6-3f4f-424a-b2d1-57c9d450eaaf;#28;#SV|c2ed69e7-a339-43d7-8f22-d93680a92aa0;#16;#ES|e7a6b05b-ae16-40c8-add9-68b64b03aeba;#15;#Unrestricted|826e22d7-d029-4ec0-a450-0c28ff673572;#50;#HR|2f555653-ed1a-4fe6-8362-9082d95989e5;#12;#FR|d2afafd3-4c81-4f60-8f52-ee33f2f54ff3;#47;#BG|1a1b3951-7821-4e6a-85f5-5673fc08bd2c;#46;#SK|46d9fce0-ef79-4f71-b89b-cd6aa82426b8;#8;#Final|ea5e6674-7b27-4bac-b091-73adbb394efe;#29;#CS|72f9705b-0217-4fd3-bea2-cbc7ed80e26e;#5;#EN|f2175f21-25d7-44a3-96da-d6a61b075e1b;#41;#ET|ff6c3f4c-b02c-4c3c-ab07-2c37995a7a0a;#40;#DA|5d49c027-8956-412b-aa16-e85a0f96ad0e;#39;#LV|46f7e311-5d9f-4663-b433-18aeccb7ace7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2025</vt:i4>
  </property>
  <property fmtid="{D5CDD505-2E9C-101B-9397-08002B2CF9AE}" pid="36" name="FicheNumber">
    <vt:i4>2534</vt:i4>
  </property>
  <property fmtid="{D5CDD505-2E9C-101B-9397-08002B2CF9AE}" pid="37" name="DocumentLanguage">
    <vt:lpwstr>37;#HU|6b229040-c589-4408-b4c1-4285663d20a8</vt:lpwstr>
  </property>
</Properties>
</file>