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D7AC0" w:rsidP="000B3DCE" w:rsidRDefault="003F5613" w14:paraId="4982DD4D" w14:textId="5F46ABE9">
      <w:pPr>
        <w:jc w:val="center"/>
      </w:pPr>
      <w:r>
        <w:rPr>
          <w:noProof/>
          <w:lang w:val="en-GB" w:eastAsia="en-GB"/>
        </w:rPr>
        <w:drawing>
          <wp:inline distT="0" distB="0" distL="0" distR="0" wp14:anchorId="13A54CE1" wp14:editId="47830830">
            <wp:extent cx="1792800" cy="1242000"/>
            <wp:effectExtent l="0" t="0" r="0" b="0"/>
            <wp:docPr id="1" name="Picture 1" title="EESCLogo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EESC-vertical-positive-fi-quadri_M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92800" cy="1242000"/>
                    </a:xfrm>
                    <a:prstGeom prst="rect">
                      <a:avLst/>
                    </a:prstGeom>
                  </pic:spPr>
                </pic:pic>
              </a:graphicData>
            </a:graphic>
          </wp:inline>
        </w:drawing>
      </w:r>
      <w:r w:rsidR="004D7AC0">
        <w:rPr>
          <w:noProof/>
          <w:sz w:val="20"/>
          <w:lang w:val="en-US"/>
        </w:rPr>
        <mc:AlternateContent>
          <mc:Choice Requires="wps">
            <w:drawing>
              <wp:anchor distT="0" distB="0" distL="114300" distR="114300" simplePos="0" relativeHeight="251659264" behindDoc="1" locked="0" layoutInCell="0" allowOverlap="1" wp14:editId="353E038E" wp14:anchorId="4982DE48">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4982DE48">
                <v:stroke joinstyle="miter"/>
                <v:path gradientshapeok="t" o:connecttype="rect"/>
              </v:shapetype>
              <v:shape id="Text Box 17" style="position:absolute;left:0;text-align:left;margin-left:533pt;margin-top:793.8pt;width:51pt;height:3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4D7AC0" w:rsidP="004D7AC0" w:rsidRDefault="003F77B6" w14:paraId="4982DE54" w14:textId="3760A28D">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004D7AC0" w:rsidP="000B3DCE" w:rsidRDefault="004D7AC0" w14:paraId="4982DD4E" w14:textId="77777777"/>
    <w:p w:rsidR="004D7AC0" w:rsidP="000B3DCE" w:rsidRDefault="004D7AC0" w14:paraId="4982DD4F" w14:textId="20825A34">
      <w:pPr>
        <w:jc w:val="right"/>
      </w:pPr>
      <w:r>
        <w:t xml:space="preserve">Bryssel </w:t>
      </w:r>
      <w:r w:rsidR="00493068">
        <w:t>14</w:t>
      </w:r>
      <w:r>
        <w:t xml:space="preserve">. </w:t>
      </w:r>
      <w:r w:rsidR="00EC2D6A">
        <w:t>maalis</w:t>
      </w:r>
      <w:r>
        <w:t xml:space="preserve">kuuta </w:t>
      </w:r>
      <w:r w:rsidR="00EC2D6A">
        <w:t>2025</w:t>
      </w:r>
      <w:r>
        <w:t xml:space="preserve"> </w:t>
      </w:r>
    </w:p>
    <w:p w:rsidR="004D7AC0" w:rsidP="000B3DCE" w:rsidRDefault="004D7AC0" w14:paraId="4982DD50" w14:textId="77777777"/>
    <w:p w:rsidR="004D7AC0" w:rsidP="000B3DCE" w:rsidRDefault="004D7AC0" w14:paraId="4982DD51" w14:textId="77777777"/>
    <w:p w:rsidR="004D7AC0" w:rsidP="000B3DCE" w:rsidRDefault="004D7AC0" w14:paraId="4982DD52" w14:textId="77777777"/>
    <w:tbl>
      <w:tblPr>
        <w:tblW w:w="0" w:type="auto"/>
        <w:tblLook w:val="04A0" w:firstRow="1" w:lastRow="0" w:firstColumn="1" w:lastColumn="0" w:noHBand="0" w:noVBand="1"/>
      </w:tblPr>
      <w:tblGrid>
        <w:gridCol w:w="9073"/>
      </w:tblGrid>
      <w:tr w:rsidR="004D7AC0" w:rsidTr="00600C84" w14:paraId="4982DD59" w14:textId="77777777">
        <w:tc>
          <w:tcPr>
            <w:tcW w:w="9289" w:type="dxa"/>
            <w:tcBorders>
              <w:bottom w:val="double" w:color="auto" w:sz="4" w:space="0"/>
            </w:tcBorders>
          </w:tcPr>
          <w:p w:rsidR="003066BE" w:rsidP="000B3DCE" w:rsidRDefault="00EC2D6A" w14:paraId="4982DD53" w14:textId="3204CEB5">
            <w:pPr>
              <w:snapToGrid w:val="0"/>
              <w:jc w:val="center"/>
              <w:rPr>
                <w:b/>
                <w:sz w:val="32"/>
                <w:szCs w:val="32"/>
              </w:rPr>
            </w:pPr>
            <w:r>
              <w:rPr>
                <w:b/>
                <w:sz w:val="32"/>
              </w:rPr>
              <w:t>594</w:t>
            </w:r>
            <w:r w:rsidR="00D81F5E">
              <w:rPr>
                <w:b/>
                <w:sz w:val="32"/>
              </w:rPr>
              <w:t>. TÄYSISTUNNOSSA</w:t>
            </w:r>
          </w:p>
          <w:p w:rsidR="003066BE" w:rsidP="000B3DCE" w:rsidRDefault="003066BE" w14:paraId="4982DD54" w14:textId="77777777">
            <w:pPr>
              <w:snapToGrid w:val="0"/>
              <w:jc w:val="center"/>
              <w:rPr>
                <w:b/>
                <w:sz w:val="32"/>
                <w:szCs w:val="32"/>
              </w:rPr>
            </w:pPr>
          </w:p>
          <w:p w:rsidR="003066BE" w:rsidP="000B3DCE" w:rsidRDefault="00EC2D6A" w14:paraId="4982DD55" w14:textId="7588B1B7">
            <w:pPr>
              <w:snapToGrid w:val="0"/>
              <w:jc w:val="center"/>
              <w:rPr>
                <w:b/>
                <w:sz w:val="32"/>
                <w:szCs w:val="32"/>
              </w:rPr>
            </w:pPr>
            <w:r>
              <w:rPr>
                <w:b/>
                <w:sz w:val="32"/>
              </w:rPr>
              <w:t>26</w:t>
            </w:r>
            <w:r w:rsidR="003066BE">
              <w:rPr>
                <w:b/>
                <w:sz w:val="32"/>
              </w:rPr>
              <w:t>.</w:t>
            </w:r>
            <w:r>
              <w:rPr>
                <w:b/>
                <w:sz w:val="32"/>
              </w:rPr>
              <w:t xml:space="preserve"> ja 27.</w:t>
            </w:r>
            <w:r w:rsidR="003066BE">
              <w:rPr>
                <w:b/>
                <w:sz w:val="32"/>
              </w:rPr>
              <w:t xml:space="preserve"> </w:t>
            </w:r>
            <w:r>
              <w:rPr>
                <w:b/>
                <w:sz w:val="32"/>
              </w:rPr>
              <w:t>helmi</w:t>
            </w:r>
            <w:r w:rsidR="003066BE">
              <w:rPr>
                <w:b/>
                <w:sz w:val="32"/>
              </w:rPr>
              <w:t xml:space="preserve">kuuta </w:t>
            </w:r>
            <w:r>
              <w:rPr>
                <w:b/>
                <w:sz w:val="32"/>
              </w:rPr>
              <w:t>2025</w:t>
            </w:r>
          </w:p>
          <w:p w:rsidR="003066BE" w:rsidP="000B3DCE" w:rsidRDefault="003066BE" w14:paraId="4982DD56" w14:textId="77777777">
            <w:pPr>
              <w:snapToGrid w:val="0"/>
              <w:jc w:val="center"/>
              <w:rPr>
                <w:b/>
                <w:sz w:val="32"/>
                <w:szCs w:val="32"/>
              </w:rPr>
            </w:pPr>
          </w:p>
          <w:p w:rsidRPr="0081153B" w:rsidR="004D7AC0" w:rsidP="000B3DCE" w:rsidRDefault="00066CBB" w14:paraId="4982DD57" w14:textId="3BD04811">
            <w:pPr>
              <w:snapToGrid w:val="0"/>
              <w:jc w:val="center"/>
              <w:rPr>
                <w:rFonts w:eastAsia="MS Mincho"/>
                <w:b/>
                <w:sz w:val="32"/>
                <w:szCs w:val="32"/>
              </w:rPr>
            </w:pPr>
            <w:r>
              <w:rPr>
                <w:b/>
                <w:sz w:val="32"/>
              </w:rPr>
              <w:t>ANNETUT LAUSUNNOT JA PÄÄTÖSLAUSELMAT SEKÄ TIEDONANNOT JA ARVIOINTIKERTOMUKSET</w:t>
            </w:r>
          </w:p>
          <w:p w:rsidR="004D7AC0" w:rsidP="000B3DCE" w:rsidRDefault="004D7AC0" w14:paraId="4982DD58" w14:textId="77777777">
            <w:pPr>
              <w:snapToGrid w:val="0"/>
            </w:pPr>
          </w:p>
        </w:tc>
      </w:tr>
      <w:tr w:rsidR="004D7AC0" w:rsidTr="00600C84" w14:paraId="4982DD5F" w14:textId="77777777">
        <w:tc>
          <w:tcPr>
            <w:tcW w:w="9289" w:type="dxa"/>
            <w:tcBorders>
              <w:top w:val="double" w:color="auto" w:sz="4" w:space="0"/>
              <w:left w:val="double" w:color="auto" w:sz="4" w:space="0"/>
              <w:bottom w:val="double" w:color="auto" w:sz="4" w:space="0"/>
              <w:right w:val="double" w:color="auto" w:sz="4" w:space="0"/>
            </w:tcBorders>
          </w:tcPr>
          <w:p w:rsidRPr="0081153B" w:rsidR="004D7AC0" w:rsidP="000B3DCE" w:rsidRDefault="004D7AC0" w14:paraId="4982DD5A" w14:textId="0C0FF99D">
            <w:pPr>
              <w:snapToGrid w:val="0"/>
              <w:jc w:val="center"/>
            </w:pPr>
            <w:r>
              <w:t xml:space="preserve">Asiakirja on saatavilla unionin virallisilla kielillä </w:t>
            </w:r>
            <w:proofErr w:type="spellStart"/>
            <w:r>
              <w:t>ETSK:n</w:t>
            </w:r>
            <w:proofErr w:type="spellEnd"/>
            <w:r>
              <w:t xml:space="preserve"> verkkosivuilla osoitteessa</w:t>
            </w:r>
            <w:r>
              <w:br/>
            </w:r>
            <w:r>
              <w:br/>
            </w:r>
            <w:hyperlink w:history="1" r:id="rId12">
              <w:r>
                <w:rPr>
                  <w:rStyle w:val="Hyperlink"/>
                </w:rPr>
                <w:t>https://www.eesc.europa.eu/fi/our-work/opinions-information-reports/plenary-session-summaries</w:t>
              </w:r>
            </w:hyperlink>
          </w:p>
          <w:p w:rsidRPr="0081153B" w:rsidR="004D7AC0" w:rsidP="000B3DCE" w:rsidRDefault="004D7AC0" w14:paraId="4982DD5B" w14:textId="77777777">
            <w:pPr>
              <w:snapToGrid w:val="0"/>
              <w:jc w:val="center"/>
            </w:pPr>
          </w:p>
          <w:p w:rsidRPr="0081153B" w:rsidR="004D7AC0" w:rsidP="000B3DCE" w:rsidRDefault="004D7AC0" w14:paraId="4982DD5C" w14:textId="77777777">
            <w:pPr>
              <w:snapToGrid w:val="0"/>
              <w:jc w:val="center"/>
              <w:rPr>
                <w:rFonts w:eastAsia="SimSun"/>
              </w:rPr>
            </w:pPr>
          </w:p>
          <w:p w:rsidRPr="00044561" w:rsidR="004D7AC0" w:rsidP="000B3DCE" w:rsidRDefault="004D7AC0" w14:paraId="4982DD5D" w14:textId="77777777">
            <w:pPr>
              <w:snapToGrid w:val="0"/>
              <w:jc w:val="center"/>
            </w:pPr>
            <w:r>
              <w:t>Mainitut lausunnot ovat haettavissa sähköisessä muodossa komitean hakukoneella:</w:t>
            </w:r>
            <w:r>
              <w:br/>
            </w:r>
            <w:r>
              <w:br/>
            </w:r>
            <w:hyperlink w:history="1" r:id="rId13">
              <w:r>
                <w:rPr>
                  <w:rStyle w:val="Hyperlink"/>
                </w:rPr>
                <w:t>https://dmsearch.eesc.europa.eu/search/opinion</w:t>
              </w:r>
            </w:hyperlink>
          </w:p>
          <w:p w:rsidRPr="00044561" w:rsidR="004D7AC0" w:rsidP="000B3DCE" w:rsidRDefault="004D7AC0" w14:paraId="4982DD5E" w14:textId="77777777">
            <w:pPr>
              <w:snapToGrid w:val="0"/>
              <w:jc w:val="center"/>
            </w:pPr>
          </w:p>
        </w:tc>
      </w:tr>
    </w:tbl>
    <w:p w:rsidR="004D7AC0" w:rsidP="000B3DCE" w:rsidRDefault="004D7AC0" w14:paraId="4982DD60" w14:textId="77777777"/>
    <w:p w:rsidR="004D7AC0" w:rsidP="000B3DCE" w:rsidRDefault="004D7AC0" w14:paraId="4982DD61" w14:textId="77777777"/>
    <w:p w:rsidR="004D7AC0" w:rsidP="000B3DCE" w:rsidRDefault="004D7AC0" w14:paraId="4982DD62" w14:textId="77777777">
      <w:pPr>
        <w:sectPr w:rsidR="004D7AC0" w:rsidSect="00D40A83">
          <w:footerReference w:type="default" r:id="rId14"/>
          <w:pgSz w:w="11907" w:h="16839"/>
          <w:pgMar w:top="1417" w:right="1417" w:bottom="1417" w:left="1417" w:header="709" w:footer="709" w:gutter="0"/>
          <w:cols w:space="708"/>
          <w:docGrid w:linePitch="360"/>
        </w:sectPr>
      </w:pPr>
    </w:p>
    <w:p w:rsidRPr="00A81AFE" w:rsidR="004D7AC0" w:rsidP="000B3DCE" w:rsidRDefault="004D7AC0" w14:paraId="4982DD63" w14:textId="77777777">
      <w:pPr>
        <w:rPr>
          <w:b/>
        </w:rPr>
      </w:pPr>
      <w:r>
        <w:rPr>
          <w:b/>
        </w:rPr>
        <w:lastRenderedPageBreak/>
        <w:t>Sisällys</w:t>
      </w:r>
    </w:p>
    <w:sdt>
      <w:sdtPr>
        <w:rPr>
          <w:rFonts w:ascii="Times New Roman" w:hAnsi="Times New Roman" w:eastAsia="Times New Roman" w:cs="Times New Roman"/>
          <w:color w:val="auto"/>
          <w:sz w:val="22"/>
          <w:szCs w:val="22"/>
        </w:rPr>
        <w:id w:val="-17007477"/>
        <w:docPartObj>
          <w:docPartGallery w:val="Table of Contents"/>
          <w:docPartUnique/>
        </w:docPartObj>
      </w:sdtPr>
      <w:sdtEndPr>
        <w:rPr>
          <w:b/>
          <w:bCs/>
          <w:noProof/>
        </w:rPr>
      </w:sdtEndPr>
      <w:sdtContent>
        <w:p w:rsidRPr="00A81AFE" w:rsidR="004D7AC0" w:rsidP="000B3DCE" w:rsidRDefault="004D7AC0" w14:paraId="4982DD64" w14:textId="77777777">
          <w:pPr>
            <w:pStyle w:val="TOCHeading"/>
            <w:spacing w:line="288" w:lineRule="auto"/>
            <w:rPr>
              <w:rFonts w:ascii="Times New Roman" w:hAnsi="Times New Roman" w:cs="Times New Roman"/>
              <w:color w:val="auto"/>
              <w:sz w:val="22"/>
              <w:szCs w:val="22"/>
            </w:rPr>
          </w:pPr>
        </w:p>
        <w:p w:rsidR="006978D9" w:rsidRDefault="004D7AC0" w14:paraId="22B79421" w14:textId="3088BAA8">
          <w:pPr>
            <w:pStyle w:val="TOC1"/>
            <w:tabs>
              <w:tab w:val="left" w:pos="440"/>
              <w:tab w:val="right" w:leader="dot" w:pos="9063"/>
            </w:tabs>
            <w:rPr>
              <w:rFonts w:asciiTheme="minorHAnsi" w:hAnsiTheme="minorHAnsi" w:eastAsiaTheme="minorEastAsia" w:cstheme="minorBidi"/>
              <w:noProof/>
              <w:lang w:val="en-US"/>
            </w:rPr>
          </w:pPr>
          <w:r>
            <w:fldChar w:fldCharType="begin"/>
          </w:r>
          <w:r>
            <w:instrText xml:space="preserve"> TOC \o "1-3" \h \z \u </w:instrText>
          </w:r>
          <w:r>
            <w:fldChar w:fldCharType="separate"/>
          </w:r>
          <w:hyperlink w:history="1" w:anchor="_Toc192065765">
            <w:r w:rsidRPr="00F80E8D" w:rsidR="006978D9">
              <w:rPr>
                <w:rStyle w:val="Hyperlink"/>
                <w:b/>
                <w:noProof/>
              </w:rPr>
              <w:t>1.</w:t>
            </w:r>
            <w:r w:rsidR="006978D9">
              <w:rPr>
                <w:rFonts w:asciiTheme="minorHAnsi" w:hAnsiTheme="minorHAnsi" w:eastAsiaTheme="minorEastAsia" w:cstheme="minorBidi"/>
                <w:noProof/>
                <w:lang w:val="en-US"/>
              </w:rPr>
              <w:tab/>
            </w:r>
            <w:r w:rsidRPr="00F80E8D" w:rsidR="006978D9">
              <w:rPr>
                <w:rStyle w:val="Hyperlink"/>
                <w:b/>
                <w:noProof/>
              </w:rPr>
              <w:t>TALOUS- JA RAHALIITTO, TALOUDELLINEN JA SOSIAALINEN YHTEENKUULUVUUS</w:t>
            </w:r>
            <w:r w:rsidR="006978D9">
              <w:rPr>
                <w:noProof/>
                <w:webHidden/>
              </w:rPr>
              <w:tab/>
            </w:r>
            <w:r w:rsidR="006978D9">
              <w:rPr>
                <w:noProof/>
                <w:webHidden/>
              </w:rPr>
              <w:fldChar w:fldCharType="begin"/>
            </w:r>
            <w:r w:rsidR="006978D9">
              <w:rPr>
                <w:noProof/>
                <w:webHidden/>
              </w:rPr>
              <w:instrText xml:space="preserve"> PAGEREF _Toc192065765 \h </w:instrText>
            </w:r>
            <w:r w:rsidR="006978D9">
              <w:rPr>
                <w:noProof/>
                <w:webHidden/>
              </w:rPr>
            </w:r>
            <w:r w:rsidR="006978D9">
              <w:rPr>
                <w:noProof/>
                <w:webHidden/>
              </w:rPr>
              <w:fldChar w:fldCharType="separate"/>
            </w:r>
            <w:r w:rsidR="00EC4AF6">
              <w:rPr>
                <w:noProof/>
                <w:webHidden/>
              </w:rPr>
              <w:t>3</w:t>
            </w:r>
            <w:r w:rsidR="006978D9">
              <w:rPr>
                <w:noProof/>
                <w:webHidden/>
              </w:rPr>
              <w:fldChar w:fldCharType="end"/>
            </w:r>
          </w:hyperlink>
        </w:p>
        <w:p w:rsidR="006978D9" w:rsidRDefault="00D94EF3" w14:paraId="77BA84BC" w14:textId="35E21548">
          <w:pPr>
            <w:pStyle w:val="TOC1"/>
            <w:tabs>
              <w:tab w:val="left" w:pos="440"/>
              <w:tab w:val="right" w:leader="dot" w:pos="9063"/>
            </w:tabs>
            <w:rPr>
              <w:rFonts w:asciiTheme="minorHAnsi" w:hAnsiTheme="minorHAnsi" w:eastAsiaTheme="minorEastAsia" w:cstheme="minorBidi"/>
              <w:noProof/>
              <w:lang w:val="en-US"/>
            </w:rPr>
          </w:pPr>
          <w:hyperlink w:history="1" w:anchor="_Toc192065766">
            <w:r w:rsidRPr="00F80E8D" w:rsidR="006978D9">
              <w:rPr>
                <w:rStyle w:val="Hyperlink"/>
                <w:b/>
                <w:noProof/>
              </w:rPr>
              <w:t>2.</w:t>
            </w:r>
            <w:r w:rsidR="006978D9">
              <w:rPr>
                <w:rFonts w:asciiTheme="minorHAnsi" w:hAnsiTheme="minorHAnsi" w:eastAsiaTheme="minorEastAsia" w:cstheme="minorBidi"/>
                <w:noProof/>
                <w:lang w:val="en-US"/>
              </w:rPr>
              <w:tab/>
            </w:r>
            <w:r w:rsidRPr="00F80E8D" w:rsidR="006978D9">
              <w:rPr>
                <w:rStyle w:val="Hyperlink"/>
                <w:b/>
                <w:noProof/>
              </w:rPr>
              <w:t>TYÖLLISYYS, SOSIAALIASIAT JA KANSALAISUUS</w:t>
            </w:r>
            <w:r w:rsidR="006978D9">
              <w:rPr>
                <w:noProof/>
                <w:webHidden/>
              </w:rPr>
              <w:tab/>
            </w:r>
            <w:r w:rsidR="006978D9">
              <w:rPr>
                <w:noProof/>
                <w:webHidden/>
              </w:rPr>
              <w:fldChar w:fldCharType="begin"/>
            </w:r>
            <w:r w:rsidR="006978D9">
              <w:rPr>
                <w:noProof/>
                <w:webHidden/>
              </w:rPr>
              <w:instrText xml:space="preserve"> PAGEREF _Toc192065766 \h </w:instrText>
            </w:r>
            <w:r w:rsidR="006978D9">
              <w:rPr>
                <w:noProof/>
                <w:webHidden/>
              </w:rPr>
            </w:r>
            <w:r w:rsidR="006978D9">
              <w:rPr>
                <w:noProof/>
                <w:webHidden/>
              </w:rPr>
              <w:fldChar w:fldCharType="separate"/>
            </w:r>
            <w:r w:rsidR="00EC4AF6">
              <w:rPr>
                <w:noProof/>
                <w:webHidden/>
              </w:rPr>
              <w:t>9</w:t>
            </w:r>
            <w:r w:rsidR="006978D9">
              <w:rPr>
                <w:noProof/>
                <w:webHidden/>
              </w:rPr>
              <w:fldChar w:fldCharType="end"/>
            </w:r>
          </w:hyperlink>
        </w:p>
        <w:p w:rsidR="006978D9" w:rsidRDefault="00D94EF3" w14:paraId="49831CD4" w14:textId="4ABF6277">
          <w:pPr>
            <w:pStyle w:val="TOC1"/>
            <w:tabs>
              <w:tab w:val="left" w:pos="440"/>
              <w:tab w:val="right" w:leader="dot" w:pos="9063"/>
            </w:tabs>
            <w:rPr>
              <w:rFonts w:asciiTheme="minorHAnsi" w:hAnsiTheme="minorHAnsi" w:eastAsiaTheme="minorEastAsia" w:cstheme="minorBidi"/>
              <w:noProof/>
              <w:lang w:val="en-US"/>
            </w:rPr>
          </w:pPr>
          <w:hyperlink w:history="1" w:anchor="_Toc192065767">
            <w:r w:rsidRPr="00F80E8D" w:rsidR="006978D9">
              <w:rPr>
                <w:rStyle w:val="Hyperlink"/>
                <w:b/>
                <w:noProof/>
              </w:rPr>
              <w:t>3.</w:t>
            </w:r>
            <w:r w:rsidR="006978D9">
              <w:rPr>
                <w:rFonts w:asciiTheme="minorHAnsi" w:hAnsiTheme="minorHAnsi" w:eastAsiaTheme="minorEastAsia" w:cstheme="minorBidi"/>
                <w:noProof/>
                <w:lang w:val="en-US"/>
              </w:rPr>
              <w:tab/>
            </w:r>
            <w:r w:rsidRPr="00F80E8D" w:rsidR="006978D9">
              <w:rPr>
                <w:rStyle w:val="Hyperlink"/>
                <w:b/>
                <w:noProof/>
              </w:rPr>
              <w:t>LIIKENNE, ENERGIA, PERUSRAKENTEET, TIETOYHTEISKUNTA</w:t>
            </w:r>
            <w:r w:rsidR="006978D9">
              <w:rPr>
                <w:noProof/>
                <w:webHidden/>
              </w:rPr>
              <w:tab/>
            </w:r>
            <w:r w:rsidR="006978D9">
              <w:rPr>
                <w:noProof/>
                <w:webHidden/>
              </w:rPr>
              <w:fldChar w:fldCharType="begin"/>
            </w:r>
            <w:r w:rsidR="006978D9">
              <w:rPr>
                <w:noProof/>
                <w:webHidden/>
              </w:rPr>
              <w:instrText xml:space="preserve"> PAGEREF _Toc192065767 \h </w:instrText>
            </w:r>
            <w:r w:rsidR="006978D9">
              <w:rPr>
                <w:noProof/>
                <w:webHidden/>
              </w:rPr>
            </w:r>
            <w:r w:rsidR="006978D9">
              <w:rPr>
                <w:noProof/>
                <w:webHidden/>
              </w:rPr>
              <w:fldChar w:fldCharType="separate"/>
            </w:r>
            <w:r w:rsidR="00EC4AF6">
              <w:rPr>
                <w:noProof/>
                <w:webHidden/>
              </w:rPr>
              <w:t>14</w:t>
            </w:r>
            <w:r w:rsidR="006978D9">
              <w:rPr>
                <w:noProof/>
                <w:webHidden/>
              </w:rPr>
              <w:fldChar w:fldCharType="end"/>
            </w:r>
          </w:hyperlink>
        </w:p>
        <w:p w:rsidR="006978D9" w:rsidRDefault="00D94EF3" w14:paraId="45F5C6A9" w14:textId="454B18D8">
          <w:pPr>
            <w:pStyle w:val="TOC1"/>
            <w:tabs>
              <w:tab w:val="left" w:pos="440"/>
              <w:tab w:val="right" w:leader="dot" w:pos="9063"/>
            </w:tabs>
            <w:rPr>
              <w:rFonts w:asciiTheme="minorHAnsi" w:hAnsiTheme="minorHAnsi" w:eastAsiaTheme="minorEastAsia" w:cstheme="minorBidi"/>
              <w:noProof/>
              <w:lang w:val="en-US"/>
            </w:rPr>
          </w:pPr>
          <w:hyperlink w:history="1" w:anchor="_Toc192065768">
            <w:r w:rsidRPr="00F80E8D" w:rsidR="006978D9">
              <w:rPr>
                <w:rStyle w:val="Hyperlink"/>
                <w:b/>
                <w:noProof/>
              </w:rPr>
              <w:t>4.</w:t>
            </w:r>
            <w:r w:rsidR="006978D9">
              <w:rPr>
                <w:rFonts w:asciiTheme="minorHAnsi" w:hAnsiTheme="minorHAnsi" w:eastAsiaTheme="minorEastAsia" w:cstheme="minorBidi"/>
                <w:noProof/>
                <w:lang w:val="en-US"/>
              </w:rPr>
              <w:tab/>
            </w:r>
            <w:r w:rsidRPr="00F80E8D" w:rsidR="006978D9">
              <w:rPr>
                <w:rStyle w:val="Hyperlink"/>
                <w:b/>
                <w:noProof/>
              </w:rPr>
              <w:t>SISÄMARKKINAT, TUOTANTO JA KULUTUS</w:t>
            </w:r>
            <w:r w:rsidR="006978D9">
              <w:rPr>
                <w:noProof/>
                <w:webHidden/>
              </w:rPr>
              <w:tab/>
            </w:r>
            <w:r w:rsidR="006978D9">
              <w:rPr>
                <w:noProof/>
                <w:webHidden/>
              </w:rPr>
              <w:fldChar w:fldCharType="begin"/>
            </w:r>
            <w:r w:rsidR="006978D9">
              <w:rPr>
                <w:noProof/>
                <w:webHidden/>
              </w:rPr>
              <w:instrText xml:space="preserve"> PAGEREF _Toc192065768 \h </w:instrText>
            </w:r>
            <w:r w:rsidR="006978D9">
              <w:rPr>
                <w:noProof/>
                <w:webHidden/>
              </w:rPr>
            </w:r>
            <w:r w:rsidR="006978D9">
              <w:rPr>
                <w:noProof/>
                <w:webHidden/>
              </w:rPr>
              <w:fldChar w:fldCharType="separate"/>
            </w:r>
            <w:r w:rsidR="00EC4AF6">
              <w:rPr>
                <w:noProof/>
                <w:webHidden/>
              </w:rPr>
              <w:t>15</w:t>
            </w:r>
            <w:r w:rsidR="006978D9">
              <w:rPr>
                <w:noProof/>
                <w:webHidden/>
              </w:rPr>
              <w:fldChar w:fldCharType="end"/>
            </w:r>
          </w:hyperlink>
        </w:p>
        <w:p w:rsidR="006978D9" w:rsidRDefault="00D94EF3" w14:paraId="00D30C7A" w14:textId="61BA4F01">
          <w:pPr>
            <w:pStyle w:val="TOC1"/>
            <w:tabs>
              <w:tab w:val="left" w:pos="440"/>
              <w:tab w:val="right" w:leader="dot" w:pos="9063"/>
            </w:tabs>
            <w:rPr>
              <w:rFonts w:asciiTheme="minorHAnsi" w:hAnsiTheme="minorHAnsi" w:eastAsiaTheme="minorEastAsia" w:cstheme="minorBidi"/>
              <w:noProof/>
              <w:lang w:val="en-US"/>
            </w:rPr>
          </w:pPr>
          <w:hyperlink w:history="1" w:anchor="_Toc192065769">
            <w:r w:rsidRPr="00F80E8D" w:rsidR="006978D9">
              <w:rPr>
                <w:rStyle w:val="Hyperlink"/>
                <w:b/>
                <w:noProof/>
              </w:rPr>
              <w:t>5.</w:t>
            </w:r>
            <w:r w:rsidR="006978D9">
              <w:rPr>
                <w:rFonts w:asciiTheme="minorHAnsi" w:hAnsiTheme="minorHAnsi" w:eastAsiaTheme="minorEastAsia" w:cstheme="minorBidi"/>
                <w:noProof/>
                <w:lang w:val="en-US"/>
              </w:rPr>
              <w:tab/>
            </w:r>
            <w:r w:rsidRPr="00F80E8D" w:rsidR="006978D9">
              <w:rPr>
                <w:rStyle w:val="Hyperlink"/>
                <w:b/>
                <w:noProof/>
              </w:rPr>
              <w:t>MAATALOUS, MAASEUDUN KEHITTÄMINEN JA YMPÄRISTÖ</w:t>
            </w:r>
            <w:r w:rsidR="006978D9">
              <w:rPr>
                <w:noProof/>
                <w:webHidden/>
              </w:rPr>
              <w:tab/>
            </w:r>
            <w:r w:rsidR="006978D9">
              <w:rPr>
                <w:noProof/>
                <w:webHidden/>
              </w:rPr>
              <w:fldChar w:fldCharType="begin"/>
            </w:r>
            <w:r w:rsidR="006978D9">
              <w:rPr>
                <w:noProof/>
                <w:webHidden/>
              </w:rPr>
              <w:instrText xml:space="preserve"> PAGEREF _Toc192065769 \h </w:instrText>
            </w:r>
            <w:r w:rsidR="006978D9">
              <w:rPr>
                <w:noProof/>
                <w:webHidden/>
              </w:rPr>
            </w:r>
            <w:r w:rsidR="006978D9">
              <w:rPr>
                <w:noProof/>
                <w:webHidden/>
              </w:rPr>
              <w:fldChar w:fldCharType="separate"/>
            </w:r>
            <w:r w:rsidR="00EC4AF6">
              <w:rPr>
                <w:noProof/>
                <w:webHidden/>
              </w:rPr>
              <w:t>21</w:t>
            </w:r>
            <w:r w:rsidR="006978D9">
              <w:rPr>
                <w:noProof/>
                <w:webHidden/>
              </w:rPr>
              <w:fldChar w:fldCharType="end"/>
            </w:r>
          </w:hyperlink>
        </w:p>
        <w:p w:rsidR="006978D9" w:rsidRDefault="00D94EF3" w14:paraId="3B9257F2" w14:textId="50A52704">
          <w:pPr>
            <w:pStyle w:val="TOC1"/>
            <w:tabs>
              <w:tab w:val="left" w:pos="440"/>
              <w:tab w:val="right" w:leader="dot" w:pos="9063"/>
            </w:tabs>
            <w:rPr>
              <w:rFonts w:asciiTheme="minorHAnsi" w:hAnsiTheme="minorHAnsi" w:eastAsiaTheme="minorEastAsia" w:cstheme="minorBidi"/>
              <w:noProof/>
              <w:lang w:val="en-US"/>
            </w:rPr>
          </w:pPr>
          <w:hyperlink w:history="1" w:anchor="_Toc192065770">
            <w:r w:rsidRPr="00F80E8D" w:rsidR="006978D9">
              <w:rPr>
                <w:rStyle w:val="Hyperlink"/>
                <w:b/>
                <w:noProof/>
              </w:rPr>
              <w:t>6.</w:t>
            </w:r>
            <w:r w:rsidR="006978D9">
              <w:rPr>
                <w:rFonts w:asciiTheme="minorHAnsi" w:hAnsiTheme="minorHAnsi" w:eastAsiaTheme="minorEastAsia" w:cstheme="minorBidi"/>
                <w:noProof/>
                <w:lang w:val="en-US"/>
              </w:rPr>
              <w:tab/>
            </w:r>
            <w:r w:rsidRPr="00F80E8D" w:rsidR="006978D9">
              <w:rPr>
                <w:rStyle w:val="Hyperlink"/>
                <w:b/>
                <w:noProof/>
              </w:rPr>
              <w:t>NEUVOA-ANTAVA VALIOKUNTA ”TEOLLISUUDEN MUUTOKSET”</w:t>
            </w:r>
            <w:r w:rsidR="006978D9">
              <w:rPr>
                <w:noProof/>
                <w:webHidden/>
              </w:rPr>
              <w:tab/>
            </w:r>
            <w:r w:rsidR="006978D9">
              <w:rPr>
                <w:noProof/>
                <w:webHidden/>
              </w:rPr>
              <w:fldChar w:fldCharType="begin"/>
            </w:r>
            <w:r w:rsidR="006978D9">
              <w:rPr>
                <w:noProof/>
                <w:webHidden/>
              </w:rPr>
              <w:instrText xml:space="preserve"> PAGEREF _Toc192065770 \h </w:instrText>
            </w:r>
            <w:r w:rsidR="006978D9">
              <w:rPr>
                <w:noProof/>
                <w:webHidden/>
              </w:rPr>
            </w:r>
            <w:r w:rsidR="006978D9">
              <w:rPr>
                <w:noProof/>
                <w:webHidden/>
              </w:rPr>
              <w:fldChar w:fldCharType="separate"/>
            </w:r>
            <w:r w:rsidR="00EC4AF6">
              <w:rPr>
                <w:noProof/>
                <w:webHidden/>
              </w:rPr>
              <w:t>23</w:t>
            </w:r>
            <w:r w:rsidR="006978D9">
              <w:rPr>
                <w:noProof/>
                <w:webHidden/>
              </w:rPr>
              <w:fldChar w:fldCharType="end"/>
            </w:r>
          </w:hyperlink>
        </w:p>
        <w:p w:rsidR="004D7AC0" w:rsidP="000B3DCE" w:rsidRDefault="004D7AC0" w14:paraId="4982DD6A" w14:textId="7844BE85">
          <w:r>
            <w:rPr>
              <w:b/>
            </w:rPr>
            <w:fldChar w:fldCharType="end"/>
          </w:r>
        </w:p>
      </w:sdtContent>
    </w:sdt>
    <w:p w:rsidR="004D7AC0" w:rsidP="000B3DCE" w:rsidRDefault="004D7AC0" w14:paraId="4982DD6B" w14:textId="77777777"/>
    <w:p w:rsidR="004D7AC0" w:rsidP="000B3DCE" w:rsidRDefault="004D7AC0" w14:paraId="4982DD6C" w14:textId="77777777">
      <w:pPr>
        <w:spacing w:after="160"/>
        <w:jc w:val="left"/>
      </w:pPr>
      <w:r>
        <w:br w:type="page"/>
      </w:r>
    </w:p>
    <w:p w:rsidR="004D7AC0" w:rsidP="00423ED1" w:rsidRDefault="004D7AC0" w14:paraId="4982DD6D" w14:textId="77777777">
      <w:pPr>
        <w:pStyle w:val="Heading1"/>
        <w:spacing w:line="276" w:lineRule="auto"/>
        <w:rPr>
          <w:b/>
        </w:rPr>
      </w:pPr>
      <w:bookmarkStart w:name="_Toc192065765" w:id="0"/>
      <w:r>
        <w:rPr>
          <w:b/>
        </w:rPr>
        <w:lastRenderedPageBreak/>
        <w:t>TALOUS- JA RAHALIITTO, TALOUDELLINEN JA SOSIAALINEN YHTEENKUULUVUUS</w:t>
      </w:r>
      <w:bookmarkEnd w:id="0"/>
    </w:p>
    <w:p w:rsidRPr="000B3DCE" w:rsidR="004D7AC0" w:rsidP="00423ED1" w:rsidRDefault="004D7AC0" w14:paraId="4982DD6E" w14:textId="77777777">
      <w:pPr>
        <w:spacing w:line="240" w:lineRule="auto"/>
        <w:rPr>
          <w:sz w:val="16"/>
          <w:szCs w:val="16"/>
        </w:rPr>
      </w:pPr>
    </w:p>
    <w:p w:rsidRPr="00EC2D6A" w:rsidR="00EC2D6A" w:rsidP="00423ED1" w:rsidRDefault="00EC2D6A" w14:paraId="7AC9339D" w14:textId="240AA7BA">
      <w:pPr>
        <w:widowControl w:val="0"/>
        <w:spacing w:line="276" w:lineRule="auto"/>
        <w:ind w:left="-142" w:firstLine="142"/>
        <w:jc w:val="left"/>
        <w:rPr>
          <w:b/>
          <w:i/>
          <w:color w:val="0000FF"/>
          <w:sz w:val="28"/>
          <w:u w:val="single"/>
        </w:rPr>
      </w:pPr>
      <w:r w:rsidRPr="00EC2D6A">
        <w:rPr>
          <w:b/>
          <w:i/>
          <w:sz w:val="28"/>
        </w:rPr>
        <w:t>•</w:t>
      </w:r>
      <w:r w:rsidRPr="00EC2D6A">
        <w:rPr>
          <w:b/>
          <w:i/>
          <w:sz w:val="28"/>
        </w:rPr>
        <w:tab/>
      </w:r>
      <w:hyperlink w:history="1" r:id="rId15">
        <w:r w:rsidRPr="00EC2D6A">
          <w:rPr>
            <w:b/>
            <w:i/>
            <w:color w:val="0000FF"/>
            <w:sz w:val="28"/>
            <w:u w:val="single"/>
          </w:rPr>
          <w:t>Talouspolitiikan EU-ohjausjakso 2025 – syyspaketti</w:t>
        </w:r>
      </w:hyperlink>
    </w:p>
    <w:p w:rsidRPr="006978D9" w:rsidR="00EC2D6A" w:rsidP="00423ED1" w:rsidRDefault="00EC2D6A" w14:paraId="13CDFBA9" w14:textId="77777777">
      <w:pPr>
        <w:widowControl w:val="0"/>
        <w:spacing w:line="240" w:lineRule="auto"/>
        <w:ind w:left="-142" w:firstLine="142"/>
        <w:jc w:val="left"/>
        <w:rPr>
          <w:bCs/>
          <w:iCs/>
          <w:sz w:val="18"/>
          <w:szCs w:val="18"/>
        </w:rPr>
      </w:pPr>
      <w:r w:rsidRPr="006978D9">
        <w:rPr>
          <w:noProof/>
          <w:sz w:val="18"/>
          <w:szCs w:val="18"/>
        </w:rPr>
        <mc:AlternateContent>
          <mc:Choice Requires="wps">
            <w:drawing>
              <wp:anchor distT="0" distB="0" distL="114300" distR="114300" simplePos="0" relativeHeight="251661312" behindDoc="1" locked="0" layoutInCell="0" allowOverlap="1" wp14:editId="5F5E81C8" wp14:anchorId="4F071FDF">
                <wp:simplePos x="0" y="0"/>
                <wp:positionH relativeFrom="page">
                  <wp:posOffset>6769100</wp:posOffset>
                </wp:positionH>
                <wp:positionV relativeFrom="page">
                  <wp:posOffset>10081260</wp:posOffset>
                </wp:positionV>
                <wp:extent cx="647700" cy="396240"/>
                <wp:effectExtent l="0" t="3810" r="3175" b="0"/>
                <wp:wrapNone/>
                <wp:docPr id="2"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EC2D6A" w:rsidP="00EC2D6A" w:rsidRDefault="00EC2D6A" w14:paraId="467B93DA"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7" style="position:absolute;left:0;text-align:left;margin-left:533pt;margin-top:793.8pt;width:51pt;height:31.2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" w14:anchorId="4F071FDF">
                <v:textbox>
                  <w:txbxContent>
                    <w:p w:rsidRPr="00260E65" w:rsidR="00EC2D6A" w:rsidP="00EC2D6A" w:rsidRDefault="00EC2D6A" w14:paraId="467B93DA"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tbl>
      <w:tblPr>
        <w:tblStyle w:val="TableGrid1"/>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119"/>
        <w:gridCol w:w="6954"/>
      </w:tblGrid>
      <w:tr w:rsidRPr="00EC2D6A" w:rsidR="00EC2D6A" w:rsidTr="00F70F48" w14:paraId="68E42643" w14:textId="77777777">
        <w:trPr>
          <w:trHeight w:val="495"/>
        </w:trPr>
        <w:tc>
          <w:tcPr>
            <w:tcW w:w="1168" w:type="pct"/>
          </w:tcPr>
          <w:p w:rsidRPr="00EC2D6A" w:rsidR="00EC2D6A" w:rsidP="00423ED1" w:rsidRDefault="00EC2D6A" w14:paraId="603C2BFA" w14:textId="77777777">
            <w:pPr>
              <w:tabs>
                <w:tab w:val="center" w:pos="284"/>
              </w:tabs>
              <w:spacing w:line="276" w:lineRule="auto"/>
              <w:ind w:left="266" w:hanging="266"/>
              <w:rPr>
                <w:b/>
                <w:sz w:val="18"/>
                <w:szCs w:val="18"/>
              </w:rPr>
            </w:pPr>
            <w:r w:rsidRPr="00EC2D6A">
              <w:rPr>
                <w:b/>
              </w:rPr>
              <w:t>Esittelijä</w:t>
            </w:r>
          </w:p>
        </w:tc>
        <w:tc>
          <w:tcPr>
            <w:tcW w:w="3832" w:type="pct"/>
          </w:tcPr>
          <w:p w:rsidRPr="00EC2D6A" w:rsidR="00EC2D6A" w:rsidP="00423ED1" w:rsidRDefault="00EC2D6A" w14:paraId="7F700EC0" w14:textId="26C7B635">
            <w:pPr>
              <w:tabs>
                <w:tab w:val="center" w:pos="284"/>
              </w:tabs>
              <w:spacing w:line="276" w:lineRule="auto"/>
              <w:ind w:left="266" w:hanging="266"/>
              <w:rPr>
                <w:bCs/>
              </w:rPr>
            </w:pPr>
            <w:proofErr w:type="spellStart"/>
            <w:r w:rsidRPr="00EC2D6A">
              <w:t>Petru</w:t>
            </w:r>
            <w:proofErr w:type="spellEnd"/>
            <w:r w:rsidRPr="00EC2D6A">
              <w:t xml:space="preserve"> Sorin </w:t>
            </w:r>
            <w:r w:rsidRPr="00EC2D6A" w:rsidR="00485207">
              <w:t xml:space="preserve">DANDEA </w:t>
            </w:r>
            <w:r w:rsidRPr="00EC2D6A">
              <w:t xml:space="preserve">(työntekijät </w:t>
            </w:r>
            <w:r w:rsidRPr="00EC2D6A">
              <w:rPr>
                <w:b/>
                <w:i/>
              </w:rPr>
              <w:t xml:space="preserve">– </w:t>
            </w:r>
            <w:r w:rsidRPr="00EC2D6A">
              <w:t>RO)</w:t>
            </w:r>
          </w:p>
          <w:p w:rsidRPr="00EC2D6A" w:rsidR="00EC2D6A" w:rsidP="00423ED1" w:rsidRDefault="00EC2D6A" w14:paraId="08F2E266" w14:textId="77777777">
            <w:pPr>
              <w:tabs>
                <w:tab w:val="center" w:pos="284"/>
              </w:tabs>
              <w:spacing w:line="276" w:lineRule="auto"/>
              <w:ind w:left="266" w:hanging="266"/>
              <w:rPr>
                <w:sz w:val="16"/>
                <w:szCs w:val="16"/>
              </w:rPr>
            </w:pPr>
          </w:p>
        </w:tc>
      </w:tr>
      <w:tr w:rsidRPr="00EC2D6A" w:rsidR="00EC2D6A" w:rsidTr="00F70F48" w14:paraId="4C8C1738" w14:textId="77777777">
        <w:trPr>
          <w:trHeight w:val="484"/>
        </w:trPr>
        <w:tc>
          <w:tcPr>
            <w:tcW w:w="1168" w:type="pct"/>
          </w:tcPr>
          <w:p w:rsidRPr="00EC2D6A" w:rsidR="00EC2D6A" w:rsidP="00423ED1" w:rsidRDefault="00EC2D6A" w14:paraId="139CD5EC" w14:textId="77777777">
            <w:pPr>
              <w:tabs>
                <w:tab w:val="center" w:pos="284"/>
              </w:tabs>
              <w:spacing w:line="276" w:lineRule="auto"/>
              <w:ind w:left="266" w:hanging="266"/>
              <w:rPr>
                <w:b/>
              </w:rPr>
            </w:pPr>
            <w:r w:rsidRPr="00EC2D6A">
              <w:rPr>
                <w:b/>
              </w:rPr>
              <w:t>Viiteasiakirjat</w:t>
            </w:r>
          </w:p>
        </w:tc>
        <w:tc>
          <w:tcPr>
            <w:tcW w:w="3832" w:type="pct"/>
          </w:tcPr>
          <w:p w:rsidR="001F0A8F" w:rsidP="00423ED1" w:rsidRDefault="001F0A8F" w14:paraId="6D8F7E27" w14:textId="77777777">
            <w:pPr>
              <w:tabs>
                <w:tab w:val="center" w:pos="284"/>
              </w:tabs>
              <w:spacing w:line="276" w:lineRule="auto"/>
              <w:ind w:left="266" w:hanging="266"/>
            </w:pPr>
            <w:r w:rsidRPr="005C4571">
              <w:t xml:space="preserve">COM(2024) 700 </w:t>
            </w:r>
            <w:proofErr w:type="spellStart"/>
            <w:r w:rsidRPr="005C4571">
              <w:t>final</w:t>
            </w:r>
            <w:proofErr w:type="spellEnd"/>
          </w:p>
          <w:p w:rsidRPr="00EC2D6A" w:rsidR="00EC2D6A" w:rsidP="00423ED1" w:rsidRDefault="001F0A8F" w14:paraId="3AEDB6D7" w14:textId="34CA733A">
            <w:pPr>
              <w:tabs>
                <w:tab w:val="center" w:pos="284"/>
              </w:tabs>
              <w:spacing w:line="276" w:lineRule="auto"/>
              <w:ind w:left="266" w:hanging="266"/>
            </w:pPr>
            <w:r w:rsidRPr="005C4571">
              <w:t>EESC-2024-04138-00-00-AC</w:t>
            </w:r>
            <w:r w:rsidRPr="00EC2D6A">
              <w:t xml:space="preserve"> </w:t>
            </w:r>
          </w:p>
        </w:tc>
      </w:tr>
    </w:tbl>
    <w:p w:rsidRPr="00EC2D6A" w:rsidR="00EC2D6A" w:rsidP="000B3DCE" w:rsidRDefault="00EC2D6A" w14:paraId="3563AA44" w14:textId="77777777">
      <w:pPr>
        <w:keepNext/>
        <w:keepLines/>
        <w:tabs>
          <w:tab w:val="center" w:pos="284"/>
        </w:tabs>
        <w:ind w:left="266" w:hanging="266"/>
        <w:rPr>
          <w:b/>
        </w:rPr>
      </w:pPr>
      <w:r w:rsidRPr="00EC2D6A">
        <w:rPr>
          <w:b/>
        </w:rPr>
        <w:t>Keskeiset kohdat</w:t>
      </w:r>
    </w:p>
    <w:p w:rsidRPr="006978D9" w:rsidR="00EC2D6A" w:rsidP="000B3DCE" w:rsidRDefault="00EC2D6A" w14:paraId="4B87D442" w14:textId="77777777">
      <w:pPr>
        <w:keepNext/>
        <w:keepLines/>
        <w:tabs>
          <w:tab w:val="center" w:pos="284"/>
        </w:tabs>
        <w:spacing w:line="240" w:lineRule="auto"/>
        <w:ind w:left="266" w:hanging="266"/>
        <w:rPr>
          <w:b/>
          <w:sz w:val="18"/>
          <w:szCs w:val="18"/>
        </w:rPr>
      </w:pPr>
    </w:p>
    <w:p w:rsidRPr="00EC2D6A" w:rsidR="00EC2D6A" w:rsidP="000B3DCE" w:rsidRDefault="00EC2D6A" w14:paraId="34E6D4D9" w14:textId="77777777">
      <w:pPr>
        <w:rPr>
          <w:bCs/>
          <w:iCs/>
        </w:rPr>
      </w:pPr>
      <w:r w:rsidRPr="00EC2D6A">
        <w:t>ETSK</w:t>
      </w:r>
    </w:p>
    <w:p w:rsidRPr="00EC2D6A" w:rsidR="00EC2D6A" w:rsidP="00423ED1" w:rsidRDefault="00EC2D6A" w14:paraId="16805FC0" w14:textId="77777777">
      <w:pPr>
        <w:numPr>
          <w:ilvl w:val="0"/>
          <w:numId w:val="22"/>
        </w:numPr>
        <w:spacing w:after="200" w:line="276" w:lineRule="auto"/>
        <w:ind w:left="426"/>
        <w:contextualSpacing/>
        <w:rPr>
          <w:spacing w:val="-2"/>
          <w:lang w:eastAsia="zh-CN"/>
        </w:rPr>
      </w:pPr>
      <w:r w:rsidRPr="00EC2D6A">
        <w:rPr>
          <w:spacing w:val="-2"/>
          <w:lang w:eastAsia="zh-CN"/>
        </w:rPr>
        <w:t>pitää erittäin valitettavana ja käsittämättömänä, että Euroopan komissio on maailmanlaajuisesti epävakaassa poliittisessa, yhteiskunnallisessa ja taloudellisessa tilanteessa päättänyt olla julkaisematta kestävää kasvua koskevaa vuotuista selvitystä.</w:t>
      </w:r>
    </w:p>
    <w:p w:rsidRPr="00EC2D6A" w:rsidR="00EC2D6A" w:rsidP="00423ED1" w:rsidRDefault="00EC2D6A" w14:paraId="55E61733" w14:textId="77777777">
      <w:pPr>
        <w:numPr>
          <w:ilvl w:val="0"/>
          <w:numId w:val="22"/>
        </w:numPr>
        <w:spacing w:after="200" w:line="276" w:lineRule="auto"/>
        <w:ind w:left="426"/>
        <w:contextualSpacing/>
        <w:rPr>
          <w:spacing w:val="-2"/>
          <w:lang w:eastAsia="zh-CN"/>
        </w:rPr>
      </w:pPr>
      <w:r w:rsidRPr="00EC2D6A">
        <w:rPr>
          <w:spacing w:val="-2"/>
          <w:lang w:eastAsia="zh-CN"/>
        </w:rPr>
        <w:t>katsoo, että vakavilla ja kasvavilla geopoliittisilla riskeillä ja monenvälisten instituutioiden heikkenemisellä voi viime kädessä olla vakavia vaikutuksia Euroopan talouksiin, kauppaan, inflaatioon ja kasvuun.</w:t>
      </w:r>
    </w:p>
    <w:p w:rsidRPr="00EC2D6A" w:rsidR="00EC2D6A" w:rsidP="00423ED1" w:rsidRDefault="00EC2D6A" w14:paraId="7714E02F" w14:textId="77777777">
      <w:pPr>
        <w:numPr>
          <w:ilvl w:val="0"/>
          <w:numId w:val="22"/>
        </w:numPr>
        <w:spacing w:after="200" w:line="276" w:lineRule="auto"/>
        <w:ind w:left="426"/>
        <w:contextualSpacing/>
        <w:rPr>
          <w:spacing w:val="-2"/>
          <w:lang w:eastAsia="zh-CN"/>
        </w:rPr>
      </w:pPr>
      <w:r w:rsidRPr="00EC2D6A">
        <w:rPr>
          <w:spacing w:val="-2"/>
          <w:lang w:eastAsia="zh-CN"/>
        </w:rPr>
        <w:t>suhtautuu myönteisesti komission pyrkimyksiin käynnistää EU:n talouden uudistetun ohjausjärjestelmän täytäntöönpanosykli ja kannustaa komissiota saattamaan tämän prosessin päätökseen mahdollisimman nopeasti.</w:t>
      </w:r>
    </w:p>
    <w:p w:rsidRPr="00EC2D6A" w:rsidR="00EC2D6A" w:rsidP="00423ED1" w:rsidRDefault="00EC2D6A" w14:paraId="76E9510C" w14:textId="77777777">
      <w:pPr>
        <w:numPr>
          <w:ilvl w:val="0"/>
          <w:numId w:val="22"/>
        </w:numPr>
        <w:spacing w:after="200" w:line="276" w:lineRule="auto"/>
        <w:ind w:left="426"/>
        <w:contextualSpacing/>
        <w:rPr>
          <w:spacing w:val="-2"/>
          <w:lang w:eastAsia="zh-CN"/>
        </w:rPr>
      </w:pPr>
      <w:r w:rsidRPr="00EC2D6A">
        <w:rPr>
          <w:spacing w:val="-2"/>
          <w:lang w:eastAsia="zh-CN"/>
        </w:rPr>
        <w:t>muistuttaa kansalaisyhteiskunnan näkemyksestä, jonka mukaan työmarkkinaosapuolilla ja kansalaisyhteiskunnan organisaatioilla ei ole käytettävissään konkreettisia mekanismeja, jotka mahdollistaisivat asianmukaisen ja tehokkaan kansallisen tason osallistumisen, vaikka syyspaketissa korostetaan juuri sidosryhmien osallistumisen merkitystä.</w:t>
      </w:r>
    </w:p>
    <w:p w:rsidRPr="00EC2D6A" w:rsidR="00EC2D6A" w:rsidP="00423ED1" w:rsidRDefault="00EC2D6A" w14:paraId="6FD741CD" w14:textId="77777777">
      <w:pPr>
        <w:numPr>
          <w:ilvl w:val="0"/>
          <w:numId w:val="22"/>
        </w:numPr>
        <w:spacing w:after="200" w:line="276" w:lineRule="auto"/>
        <w:ind w:left="426"/>
        <w:contextualSpacing/>
        <w:rPr>
          <w:spacing w:val="-2"/>
          <w:lang w:eastAsia="zh-CN"/>
        </w:rPr>
      </w:pPr>
      <w:r w:rsidRPr="00EC2D6A">
        <w:rPr>
          <w:spacing w:val="-2"/>
          <w:lang w:eastAsia="zh-CN"/>
        </w:rPr>
        <w:t>kannattaa komission ehdotusta käynnistää ensi vuoden alussa kilpailukykykompassi.</w:t>
      </w:r>
    </w:p>
    <w:p w:rsidRPr="00EC2D6A" w:rsidR="00EC2D6A" w:rsidP="00423ED1" w:rsidRDefault="00EC2D6A" w14:paraId="30044CD6" w14:textId="77777777">
      <w:pPr>
        <w:numPr>
          <w:ilvl w:val="0"/>
          <w:numId w:val="22"/>
        </w:numPr>
        <w:spacing w:after="200" w:line="276" w:lineRule="auto"/>
        <w:ind w:left="426"/>
        <w:contextualSpacing/>
        <w:rPr>
          <w:spacing w:val="-2"/>
          <w:lang w:eastAsia="zh-CN"/>
        </w:rPr>
      </w:pPr>
      <w:r w:rsidRPr="00EC2D6A">
        <w:rPr>
          <w:spacing w:val="-2"/>
          <w:lang w:eastAsia="zh-CN"/>
        </w:rPr>
        <w:t xml:space="preserve">yhtyy </w:t>
      </w:r>
      <w:proofErr w:type="spellStart"/>
      <w:r w:rsidRPr="00EC2D6A">
        <w:rPr>
          <w:spacing w:val="-2"/>
          <w:lang w:eastAsia="zh-CN"/>
        </w:rPr>
        <w:t>Draghin</w:t>
      </w:r>
      <w:proofErr w:type="spellEnd"/>
      <w:r w:rsidRPr="00EC2D6A">
        <w:rPr>
          <w:spacing w:val="-2"/>
          <w:lang w:eastAsia="zh-CN"/>
        </w:rPr>
        <w:t xml:space="preserve"> raportin päätelmään, jonka mukaan tärkeimpänä syynä EU:n talouden negatiiviseen tuottavuus- ja kilpailukykyeroon Yhdysvaltoihin ja Kiinaan verrattuna on kahden viime vuosikymmenen aikana kertynyt suuri investointivaje.</w:t>
      </w:r>
    </w:p>
    <w:p w:rsidRPr="00EC2D6A" w:rsidR="00EC2D6A" w:rsidP="00423ED1" w:rsidRDefault="00EC2D6A" w14:paraId="30046EDB" w14:textId="77777777">
      <w:pPr>
        <w:numPr>
          <w:ilvl w:val="0"/>
          <w:numId w:val="22"/>
        </w:numPr>
        <w:spacing w:after="200" w:line="276" w:lineRule="auto"/>
        <w:ind w:left="426"/>
        <w:contextualSpacing/>
        <w:rPr>
          <w:spacing w:val="-2"/>
          <w:lang w:eastAsia="zh-CN"/>
        </w:rPr>
      </w:pPr>
      <w:r w:rsidRPr="00EC2D6A">
        <w:rPr>
          <w:spacing w:val="-2"/>
          <w:lang w:eastAsia="zh-CN"/>
        </w:rPr>
        <w:t>katsoo, että investoinnit olisi rahoitettava julkisella, yksityisellä, kansallisella ja eurooppalaisella pääomalla.</w:t>
      </w:r>
    </w:p>
    <w:p w:rsidRPr="00EC2D6A" w:rsidR="00EC2D6A" w:rsidP="00423ED1" w:rsidRDefault="00EC2D6A" w14:paraId="351D9B7B" w14:textId="77777777">
      <w:pPr>
        <w:numPr>
          <w:ilvl w:val="0"/>
          <w:numId w:val="22"/>
        </w:numPr>
        <w:spacing w:after="200" w:line="276" w:lineRule="auto"/>
        <w:ind w:left="426"/>
        <w:contextualSpacing/>
        <w:rPr>
          <w:spacing w:val="-2"/>
          <w:lang w:eastAsia="zh-CN"/>
        </w:rPr>
      </w:pPr>
      <w:r w:rsidRPr="00EC2D6A">
        <w:rPr>
          <w:spacing w:val="-2"/>
          <w:lang w:eastAsia="zh-CN"/>
        </w:rPr>
        <w:t>panee merkille komission ehdotuksen, jonka mukaan maakohtaisilla suosituksilla olisi pyrittävä parantamaan elpymis- ja palautumistukivälineen ja monivuotisen rahoituskehyksen kattamien uudistusten ja investointien täytäntöönpanoa, sillä ensiksi mainitun voimassaolo on päättymässä vuonna 2026 ja jälkimmäisen vuonna 2027.</w:t>
      </w:r>
    </w:p>
    <w:p w:rsidRPr="00EC2D6A" w:rsidR="00EC2D6A" w:rsidP="00423ED1" w:rsidRDefault="00EC2D6A" w14:paraId="4BE281F1" w14:textId="77777777">
      <w:pPr>
        <w:numPr>
          <w:ilvl w:val="0"/>
          <w:numId w:val="22"/>
        </w:numPr>
        <w:spacing w:after="200" w:line="276" w:lineRule="auto"/>
        <w:ind w:left="426"/>
        <w:contextualSpacing/>
        <w:rPr>
          <w:spacing w:val="-2"/>
          <w:lang w:eastAsia="zh-CN"/>
        </w:rPr>
      </w:pPr>
      <w:r w:rsidRPr="00EC2D6A">
        <w:rPr>
          <w:spacing w:val="-2"/>
          <w:lang w:eastAsia="zh-CN"/>
        </w:rPr>
        <w:t>katsoo, että EU:n vaikeassa poliittisessa ja taloudellisessa tilanteessa jäsenvaltioiden välisen yhteistyön parantaminen on ratkaiseva tekijä pyrittäessä selviämään vaikeuksista.</w:t>
      </w:r>
    </w:p>
    <w:p w:rsidRPr="00EC2D6A" w:rsidR="00EC2D6A" w:rsidP="00423ED1" w:rsidRDefault="00EC2D6A" w14:paraId="4B9FE699" w14:textId="77777777">
      <w:pPr>
        <w:numPr>
          <w:ilvl w:val="0"/>
          <w:numId w:val="22"/>
        </w:numPr>
        <w:spacing w:after="200" w:line="276" w:lineRule="auto"/>
        <w:ind w:left="426"/>
        <w:contextualSpacing/>
        <w:rPr>
          <w:spacing w:val="-2"/>
          <w:lang w:eastAsia="zh-CN"/>
        </w:rPr>
      </w:pPr>
      <w:r w:rsidRPr="00EC2D6A">
        <w:rPr>
          <w:spacing w:val="-2"/>
          <w:lang w:eastAsia="zh-CN"/>
        </w:rPr>
        <w:t>katsoo, että komission yhteisessä työllisyysraportissa esittämät analyysit ja havainnot ovat paikkansapitäviä ja soveltuvat muunnettaviksi maakohtaisiksi suosituksiksi.</w:t>
      </w:r>
    </w:p>
    <w:p w:rsidRPr="00EC2D6A" w:rsidR="00EC2D6A" w:rsidP="00423ED1" w:rsidRDefault="00EC2D6A" w14:paraId="505E5293" w14:textId="77777777">
      <w:pPr>
        <w:numPr>
          <w:ilvl w:val="0"/>
          <w:numId w:val="22"/>
        </w:numPr>
        <w:spacing w:line="276" w:lineRule="auto"/>
        <w:ind w:left="426"/>
        <w:contextualSpacing/>
        <w:rPr>
          <w:spacing w:val="-2"/>
          <w:lang w:eastAsia="zh-CN"/>
        </w:rPr>
      </w:pPr>
      <w:r w:rsidRPr="00EC2D6A">
        <w:rPr>
          <w:spacing w:val="-2"/>
          <w:lang w:eastAsia="zh-CN"/>
        </w:rPr>
        <w:t xml:space="preserve">kannustaa komissiota jatkamaan ohjelmaa, jolla vähennetään liiallisesta sääntelystä eurooppalaisille yrityksille aiheutuvaa rasitetta, sillä liiallinen sääntely heikentää yritysten kykyä kilpailla maailmanlaajuisesti. </w:t>
      </w:r>
    </w:p>
    <w:p w:rsidRPr="00EC2D6A" w:rsidR="00EC2D6A" w:rsidP="00423ED1" w:rsidRDefault="00EC2D6A" w14:paraId="4D92A6D2" w14:textId="77777777">
      <w:pPr>
        <w:widowControl w:val="0"/>
        <w:numPr>
          <w:ilvl w:val="0"/>
          <w:numId w:val="22"/>
        </w:numPr>
        <w:spacing w:line="276" w:lineRule="auto"/>
        <w:ind w:left="426"/>
        <w:rPr>
          <w:bCs/>
          <w:iCs/>
          <w:spacing w:val="-2"/>
        </w:rPr>
      </w:pPr>
      <w:r w:rsidRPr="00EC2D6A">
        <w:rPr>
          <w:spacing w:val="-2"/>
        </w:rPr>
        <w:t>katsoo, että maakohtaisiin suosituksiin sisältyvissä investointi- ja uudistusehdotuksissa olisi asetettava etusijalle vakavan asunto-ongelman ratkaiseminen.</w:t>
      </w:r>
    </w:p>
    <w:p w:rsidRPr="006978D9" w:rsidR="00EC2D6A" w:rsidP="000B3DCE" w:rsidRDefault="00EC2D6A" w14:paraId="0E16A2D4" w14:textId="77777777">
      <w:pPr>
        <w:widowControl w:val="0"/>
        <w:spacing w:line="240" w:lineRule="auto"/>
        <w:ind w:left="709"/>
        <w:rPr>
          <w:spacing w:val="-2"/>
          <w:sz w:val="20"/>
          <w:szCs w:val="20"/>
        </w:rPr>
      </w:pPr>
    </w:p>
    <w:tbl>
      <w:tblPr>
        <w:tblStyle w:val="TableGrid1"/>
        <w:tblW w:w="4942"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0"/>
        <w:gridCol w:w="7278"/>
      </w:tblGrid>
      <w:tr w:rsidRPr="00EC2D6A" w:rsidR="00EC2D6A" w:rsidTr="00F70F48" w14:paraId="47A66B8B" w14:textId="77777777">
        <w:tc>
          <w:tcPr>
            <w:tcW w:w="942" w:type="pct"/>
          </w:tcPr>
          <w:p w:rsidRPr="00EC2D6A" w:rsidR="00EC2D6A" w:rsidP="000B3DCE" w:rsidRDefault="00EC2D6A" w14:paraId="15715F02" w14:textId="77777777">
            <w:pPr>
              <w:rPr>
                <w:b/>
                <w:i/>
              </w:rPr>
            </w:pPr>
            <w:r w:rsidRPr="00EC2D6A">
              <w:rPr>
                <w:b/>
                <w:i/>
              </w:rPr>
              <w:t>Yhteydentotot</w:t>
            </w:r>
          </w:p>
        </w:tc>
        <w:tc>
          <w:tcPr>
            <w:tcW w:w="4058" w:type="pct"/>
          </w:tcPr>
          <w:p w:rsidRPr="00EC2D6A" w:rsidR="00EC2D6A" w:rsidP="000B3DCE" w:rsidRDefault="00EC2D6A" w14:paraId="395687D9" w14:textId="659A686C">
            <w:pPr>
              <w:rPr>
                <w:b/>
                <w:i/>
              </w:rPr>
            </w:pPr>
            <w:r w:rsidRPr="00EC2D6A">
              <w:rPr>
                <w:i/>
              </w:rPr>
              <w:t xml:space="preserve">Anna </w:t>
            </w:r>
            <w:r w:rsidRPr="00EC2D6A" w:rsidR="00485207">
              <w:rPr>
                <w:i/>
              </w:rPr>
              <w:t>PANTAZI</w:t>
            </w:r>
          </w:p>
        </w:tc>
      </w:tr>
      <w:tr w:rsidRPr="00EC2D6A" w:rsidR="00EC2D6A" w:rsidTr="00F70F48" w14:paraId="3A338108" w14:textId="77777777">
        <w:tc>
          <w:tcPr>
            <w:tcW w:w="942" w:type="pct"/>
          </w:tcPr>
          <w:p w:rsidRPr="00EC2D6A" w:rsidR="00EC2D6A" w:rsidP="000B3DCE" w:rsidRDefault="00EC2D6A" w14:paraId="567899EC" w14:textId="77777777">
            <w:pPr>
              <w:rPr>
                <w:i/>
              </w:rPr>
            </w:pPr>
            <w:r w:rsidRPr="00EC2D6A">
              <w:rPr>
                <w:i/>
              </w:rPr>
              <w:t>P.</w:t>
            </w:r>
          </w:p>
        </w:tc>
        <w:tc>
          <w:tcPr>
            <w:tcW w:w="4058" w:type="pct"/>
          </w:tcPr>
          <w:p w:rsidRPr="00EC2D6A" w:rsidR="00EC2D6A" w:rsidP="000B3DCE" w:rsidRDefault="00EC2D6A" w14:paraId="6BB5D82F" w14:textId="77777777">
            <w:pPr>
              <w:rPr>
                <w:i/>
              </w:rPr>
            </w:pPr>
            <w:r w:rsidRPr="00EC2D6A">
              <w:rPr>
                <w:i/>
              </w:rPr>
              <w:t>+32 25469231</w:t>
            </w:r>
          </w:p>
        </w:tc>
      </w:tr>
      <w:tr w:rsidRPr="00EC2D6A" w:rsidR="00EC2D6A" w:rsidTr="00F70F48" w14:paraId="4A9847CB" w14:textId="77777777">
        <w:tc>
          <w:tcPr>
            <w:tcW w:w="942" w:type="pct"/>
          </w:tcPr>
          <w:p w:rsidRPr="00EC2D6A" w:rsidR="00EC2D6A" w:rsidP="000B3DCE" w:rsidRDefault="00EC2D6A" w14:paraId="64E9D06B" w14:textId="77777777">
            <w:pPr>
              <w:rPr>
                <w:i/>
              </w:rPr>
            </w:pPr>
            <w:r w:rsidRPr="00EC2D6A">
              <w:rPr>
                <w:i/>
              </w:rPr>
              <w:t>Sähköposti</w:t>
            </w:r>
          </w:p>
        </w:tc>
        <w:tc>
          <w:tcPr>
            <w:tcW w:w="4058" w:type="pct"/>
          </w:tcPr>
          <w:p w:rsidRPr="00EC2D6A" w:rsidR="00EC2D6A" w:rsidP="000B3DCE" w:rsidRDefault="00D94EF3" w14:paraId="78ED81C4" w14:textId="77777777">
            <w:pPr>
              <w:rPr>
                <w:i/>
              </w:rPr>
            </w:pPr>
            <w:hyperlink w:history="1" r:id="rId16">
              <w:r w:rsidRPr="00EC2D6A" w:rsidR="00EC2D6A">
                <w:rPr>
                  <w:i/>
                  <w:color w:val="0000FF"/>
                  <w:u w:val="single"/>
                </w:rPr>
                <w:t>Anna.Pantazi@eesc.europa.eu</w:t>
              </w:r>
            </w:hyperlink>
          </w:p>
        </w:tc>
      </w:tr>
    </w:tbl>
    <w:p w:rsidR="006978D9" w:rsidRDefault="006978D9" w14:paraId="1DDCCBCD" w14:textId="77777777">
      <w:pPr>
        <w:spacing w:after="160" w:line="259" w:lineRule="auto"/>
        <w:jc w:val="left"/>
      </w:pPr>
      <w:r>
        <w:br w:type="page"/>
      </w:r>
    </w:p>
    <w:p w:rsidR="00EC2D6A" w:rsidP="000B3DCE" w:rsidRDefault="00EC2D6A" w14:paraId="4524D4B8" w14:textId="77777777">
      <w:pPr>
        <w:spacing w:after="160"/>
        <w:jc w:val="left"/>
      </w:pPr>
    </w:p>
    <w:p w:rsidRPr="00F5653B" w:rsidR="00EC2D6A" w:rsidP="00423ED1" w:rsidRDefault="00EC2D6A" w14:paraId="6F182DE5" w14:textId="7978EA0C">
      <w:pPr>
        <w:pStyle w:val="ListParagraph"/>
        <w:keepNext/>
        <w:keepLines/>
        <w:widowControl w:val="0"/>
        <w:numPr>
          <w:ilvl w:val="0"/>
          <w:numId w:val="5"/>
        </w:numPr>
        <w:ind w:left="357" w:hanging="357"/>
        <w:rPr>
          <w:sz w:val="28"/>
          <w:szCs w:val="28"/>
        </w:rPr>
      </w:pPr>
      <w:r>
        <w:rPr>
          <w:noProof/>
          <w:sz w:val="28"/>
        </w:rPr>
        <mc:AlternateContent>
          <mc:Choice Requires="wps">
            <w:drawing>
              <wp:anchor distT="0" distB="0" distL="114300" distR="114300" simplePos="0" relativeHeight="251663360" behindDoc="1" locked="0" layoutInCell="0" allowOverlap="1" wp14:editId="7FBC44CD" wp14:anchorId="3BCE987A">
                <wp:simplePos x="0" y="0"/>
                <wp:positionH relativeFrom="page">
                  <wp:posOffset>6769100</wp:posOffset>
                </wp:positionH>
                <wp:positionV relativeFrom="page">
                  <wp:posOffset>10081260</wp:posOffset>
                </wp:positionV>
                <wp:extent cx="647700" cy="396240"/>
                <wp:effectExtent l="0" t="3810" r="3175" b="0"/>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EC2D6A" w:rsidP="00EC2D6A" w:rsidRDefault="00EC2D6A" w14:paraId="2E3E0417"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8" style="position:absolute;left:0;text-align:left;margin-left:533pt;margin-top:793.8pt;width:51pt;height:31.2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r/h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qejGbp9FlUJweO/Lhg8ZOxEspiSefwGH/6EMk&#10;A8UpJday+GDaNk2/tb85ODF6EvnId2Qehs2QZJq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C/4r/h9QEAAM0DAAAOAAAAAAAAAAAAAAAAAC4CAABk&#10;cnMvZTJvRG9jLnhtbFBLAQItABQABgAIAAAAIQDrVDFa3gAAAA8BAAAPAAAAAAAAAAAAAAAAAE8E&#10;AABkcnMvZG93bnJldi54bWxQSwUGAAAAAAQABADzAAAAWgUAAAAA&#10;" w14:anchorId="3BCE987A">
                <v:textbox>
                  <w:txbxContent>
                    <w:p w:rsidRPr="00260E65" w:rsidR="00EC2D6A" w:rsidP="00EC2D6A" w:rsidRDefault="00EC2D6A" w14:paraId="2E3E0417"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hyperlink w:history="1" r:id="rId17">
        <w:r>
          <w:rPr>
            <w:rStyle w:val="Hyperlink"/>
            <w:b/>
            <w:i/>
            <w:sz w:val="28"/>
          </w:rPr>
          <w:t>Hallinnollinen yhteistyö verotuksen alalla (DAC9)</w:t>
        </w:r>
      </w:hyperlink>
    </w:p>
    <w:p w:rsidRPr="00A6689B" w:rsidR="00EC2D6A" w:rsidP="00423ED1" w:rsidRDefault="00EC2D6A" w14:paraId="0DA5927F" w14:textId="77777777">
      <w:pPr>
        <w:keepNext/>
        <w:keepLines/>
        <w:tabs>
          <w:tab w:val="center" w:pos="284"/>
        </w:tabs>
        <w:ind w:left="266" w:hanging="266"/>
        <w:rPr>
          <w:b/>
        </w:rPr>
      </w:pPr>
    </w:p>
    <w:tbl>
      <w:tblPr>
        <w:tblStyle w:val="TableGrid"/>
        <w:tblW w:w="3673"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4679"/>
      </w:tblGrid>
      <w:tr w:rsidRPr="00A6689B" w:rsidR="00EC2D6A" w:rsidTr="00F70F48" w14:paraId="18AF86E5" w14:textId="77777777">
        <w:tc>
          <w:tcPr>
            <w:tcW w:w="1490" w:type="pct"/>
          </w:tcPr>
          <w:p w:rsidRPr="00A6689B" w:rsidR="00EC2D6A" w:rsidP="00423ED1" w:rsidRDefault="00EC2D6A" w14:paraId="23F1BF9F" w14:textId="77777777">
            <w:pPr>
              <w:keepNext/>
              <w:keepLines/>
              <w:tabs>
                <w:tab w:val="center" w:pos="284"/>
              </w:tabs>
              <w:ind w:left="266" w:hanging="266"/>
              <w:rPr>
                <w:b/>
              </w:rPr>
            </w:pPr>
            <w:r>
              <w:rPr>
                <w:b/>
              </w:rPr>
              <w:t>Esittelijä</w:t>
            </w:r>
          </w:p>
        </w:tc>
        <w:tc>
          <w:tcPr>
            <w:tcW w:w="3510" w:type="pct"/>
          </w:tcPr>
          <w:p w:rsidRPr="00A6689B" w:rsidR="00EC2D6A" w:rsidP="00423ED1" w:rsidRDefault="00EC2D6A" w14:paraId="0C50F40E" w14:textId="03CF00CE">
            <w:pPr>
              <w:keepNext/>
              <w:keepLines/>
              <w:tabs>
                <w:tab w:val="center" w:pos="284"/>
              </w:tabs>
              <w:ind w:left="266" w:hanging="266"/>
            </w:pPr>
            <w:r>
              <w:t xml:space="preserve">Krister </w:t>
            </w:r>
            <w:r w:rsidR="00485207">
              <w:t xml:space="preserve">ANDERSSON </w:t>
            </w:r>
            <w:r>
              <w:t>(työnantajat – SE)</w:t>
            </w:r>
          </w:p>
        </w:tc>
      </w:tr>
      <w:tr w:rsidRPr="00A6689B" w:rsidR="00EC2D6A" w:rsidTr="00F70F48" w14:paraId="6715815A" w14:textId="77777777">
        <w:tc>
          <w:tcPr>
            <w:tcW w:w="5000" w:type="pct"/>
            <w:gridSpan w:val="2"/>
          </w:tcPr>
          <w:p w:rsidRPr="00A6689B" w:rsidR="00EC2D6A" w:rsidP="000B3DCE" w:rsidRDefault="00EC2D6A" w14:paraId="20D6AF73" w14:textId="77777777">
            <w:pPr>
              <w:tabs>
                <w:tab w:val="center" w:pos="284"/>
              </w:tabs>
              <w:ind w:left="266" w:hanging="266"/>
              <w:rPr>
                <w:lang w:val="en-US"/>
              </w:rPr>
            </w:pPr>
          </w:p>
        </w:tc>
      </w:tr>
      <w:tr w:rsidRPr="00A6689B" w:rsidR="001F0A8F" w:rsidTr="00F70F48" w14:paraId="675ACC6F" w14:textId="77777777">
        <w:tc>
          <w:tcPr>
            <w:tcW w:w="1490" w:type="pct"/>
            <w:vMerge w:val="restart"/>
          </w:tcPr>
          <w:p w:rsidRPr="00A6689B" w:rsidR="001F0A8F" w:rsidP="000B3DCE" w:rsidRDefault="001F0A8F" w14:paraId="3F104AD6" w14:textId="77777777">
            <w:pPr>
              <w:tabs>
                <w:tab w:val="center" w:pos="284"/>
              </w:tabs>
              <w:ind w:left="266" w:hanging="266"/>
              <w:rPr>
                <w:b/>
              </w:rPr>
            </w:pPr>
            <w:r>
              <w:rPr>
                <w:b/>
              </w:rPr>
              <w:t>Viiteasiakirja</w:t>
            </w:r>
          </w:p>
        </w:tc>
        <w:tc>
          <w:tcPr>
            <w:tcW w:w="3510" w:type="pct"/>
          </w:tcPr>
          <w:p w:rsidRPr="00A6689B" w:rsidR="001F0A8F" w:rsidP="000B3DCE" w:rsidRDefault="001F0A8F" w14:paraId="6F13D838" w14:textId="12CD8BCA">
            <w:pPr>
              <w:tabs>
                <w:tab w:val="center" w:pos="284"/>
              </w:tabs>
              <w:ind w:left="266" w:hanging="266"/>
            </w:pPr>
            <w:r w:rsidRPr="00EF5B43">
              <w:t xml:space="preserve">COM(2024) 497 </w:t>
            </w:r>
            <w:proofErr w:type="spellStart"/>
            <w:r w:rsidRPr="00EF5B43">
              <w:t>final</w:t>
            </w:r>
            <w:proofErr w:type="spellEnd"/>
            <w:r w:rsidRPr="00EF5B43">
              <w:t xml:space="preserve"> </w:t>
            </w:r>
          </w:p>
        </w:tc>
      </w:tr>
      <w:tr w:rsidRPr="00A6689B" w:rsidR="001F0A8F" w:rsidTr="00F70F48" w14:paraId="698D8EBD" w14:textId="77777777">
        <w:tc>
          <w:tcPr>
            <w:tcW w:w="1490" w:type="pct"/>
            <w:vMerge/>
          </w:tcPr>
          <w:p w:rsidRPr="00A6689B" w:rsidR="001F0A8F" w:rsidP="000B3DCE" w:rsidRDefault="001F0A8F" w14:paraId="2161B457" w14:textId="77777777">
            <w:pPr>
              <w:tabs>
                <w:tab w:val="center" w:pos="284"/>
              </w:tabs>
              <w:ind w:left="266" w:hanging="266"/>
              <w:rPr>
                <w:b/>
                <w:lang w:val="en-US"/>
              </w:rPr>
            </w:pPr>
          </w:p>
        </w:tc>
        <w:tc>
          <w:tcPr>
            <w:tcW w:w="3510" w:type="pct"/>
          </w:tcPr>
          <w:p w:rsidRPr="00A6689B" w:rsidR="001F0A8F" w:rsidP="000B3DCE" w:rsidRDefault="001F0A8F" w14:paraId="3C50244E" w14:textId="1430525D">
            <w:pPr>
              <w:tabs>
                <w:tab w:val="center" w:pos="284"/>
              </w:tabs>
              <w:ind w:left="266" w:hanging="266"/>
            </w:pPr>
            <w:r w:rsidRPr="00EF5B43">
              <w:t>EESC-2024-04551-00-00-AC</w:t>
            </w:r>
          </w:p>
        </w:tc>
      </w:tr>
    </w:tbl>
    <w:p w:rsidRPr="00A6689B" w:rsidR="00EC2D6A" w:rsidP="000B3DCE" w:rsidRDefault="00EC2D6A" w14:paraId="76A9D0A8" w14:textId="77777777">
      <w:pPr>
        <w:tabs>
          <w:tab w:val="center" w:pos="284"/>
        </w:tabs>
        <w:ind w:left="266" w:hanging="266"/>
      </w:pPr>
    </w:p>
    <w:p w:rsidRPr="00A6689B" w:rsidR="00EC2D6A" w:rsidP="000B3DCE" w:rsidRDefault="00EC2D6A" w14:paraId="6BB6C1BA" w14:textId="77777777">
      <w:pPr>
        <w:keepNext/>
        <w:keepLines/>
        <w:tabs>
          <w:tab w:val="center" w:pos="284"/>
        </w:tabs>
        <w:ind w:left="266" w:hanging="266"/>
        <w:rPr>
          <w:b/>
        </w:rPr>
      </w:pPr>
      <w:r>
        <w:rPr>
          <w:b/>
        </w:rPr>
        <w:t>Keskeiset kohdat</w:t>
      </w:r>
    </w:p>
    <w:p w:rsidRPr="00A6689B" w:rsidR="00EC2D6A" w:rsidP="000B3DCE" w:rsidRDefault="00EC2D6A" w14:paraId="5D32F0C8" w14:textId="77777777">
      <w:pPr>
        <w:keepNext/>
        <w:keepLines/>
        <w:tabs>
          <w:tab w:val="center" w:pos="284"/>
        </w:tabs>
        <w:ind w:left="266" w:hanging="266"/>
        <w:rPr>
          <w:b/>
        </w:rPr>
      </w:pPr>
    </w:p>
    <w:p w:rsidRPr="00A6689B" w:rsidR="00EC2D6A" w:rsidP="000B3DCE" w:rsidRDefault="00EC2D6A" w14:paraId="064C1E5F" w14:textId="77777777">
      <w:pPr>
        <w:rPr>
          <w:bCs/>
          <w:iCs/>
        </w:rPr>
      </w:pPr>
      <w:r>
        <w:t>ETSK</w:t>
      </w:r>
    </w:p>
    <w:p w:rsidRPr="00BC519A" w:rsidR="00EC2D6A" w:rsidP="000B3DCE" w:rsidRDefault="00EC2D6A" w14:paraId="3135E3B3" w14:textId="77777777">
      <w:pPr>
        <w:widowControl w:val="0"/>
        <w:numPr>
          <w:ilvl w:val="0"/>
          <w:numId w:val="23"/>
        </w:numPr>
        <w:overflowPunct w:val="0"/>
        <w:autoSpaceDE w:val="0"/>
        <w:autoSpaceDN w:val="0"/>
        <w:adjustRightInd w:val="0"/>
        <w:ind w:left="426"/>
        <w:textAlignment w:val="baseline"/>
        <w:rPr>
          <w:bCs/>
          <w:iCs/>
        </w:rPr>
      </w:pPr>
      <w:r>
        <w:t>kannattaa ehdotusta neuvoston direktiiviksi hallinnollisesta yhteistyöstä verotuksen alalla annetun direktiivin 2011/16/EU muuttamisesta (DAC9).</w:t>
      </w:r>
    </w:p>
    <w:p w:rsidRPr="00BC519A" w:rsidR="00EC2D6A" w:rsidP="000B3DCE" w:rsidRDefault="00EC2D6A" w14:paraId="7B6D24E9" w14:textId="77777777">
      <w:pPr>
        <w:widowControl w:val="0"/>
        <w:numPr>
          <w:ilvl w:val="0"/>
          <w:numId w:val="23"/>
        </w:numPr>
        <w:overflowPunct w:val="0"/>
        <w:autoSpaceDE w:val="0"/>
        <w:autoSpaceDN w:val="0"/>
        <w:adjustRightInd w:val="0"/>
        <w:ind w:left="426"/>
        <w:textAlignment w:val="baseline"/>
        <w:rPr>
          <w:bCs/>
          <w:iCs/>
        </w:rPr>
      </w:pPr>
      <w:r>
        <w:t>toteaa, että kyseessä on jo sovitun, OECD:n ja G20-maiden osallistavan kehyksen saattaminen osaksi EU:n lainsäädäntöä.</w:t>
      </w:r>
    </w:p>
    <w:p w:rsidRPr="00BC519A" w:rsidR="00EC2D6A" w:rsidP="000B3DCE" w:rsidRDefault="00EC2D6A" w14:paraId="252E0B83" w14:textId="77777777">
      <w:pPr>
        <w:widowControl w:val="0"/>
        <w:numPr>
          <w:ilvl w:val="0"/>
          <w:numId w:val="23"/>
        </w:numPr>
        <w:overflowPunct w:val="0"/>
        <w:autoSpaceDE w:val="0"/>
        <w:autoSpaceDN w:val="0"/>
        <w:adjustRightInd w:val="0"/>
        <w:ind w:left="426"/>
        <w:textAlignment w:val="baseline"/>
        <w:rPr>
          <w:bCs/>
          <w:iCs/>
        </w:rPr>
      </w:pPr>
      <w:r>
        <w:t>huomauttaa, että monikansallisten yritysten ja veroviranomaisten tarvitsema oikeusvarmuus ja selkeys voidaan varmistaa vain laatimalla yhtenäiset säännöt, joita sovelletaan kaikkiin jäsenvaltioihin.</w:t>
      </w:r>
    </w:p>
    <w:p w:rsidRPr="00BC519A" w:rsidR="00EC2D6A" w:rsidP="000B3DCE" w:rsidRDefault="00EC2D6A" w14:paraId="727C66A5" w14:textId="77777777">
      <w:pPr>
        <w:widowControl w:val="0"/>
        <w:numPr>
          <w:ilvl w:val="0"/>
          <w:numId w:val="23"/>
        </w:numPr>
        <w:overflowPunct w:val="0"/>
        <w:autoSpaceDE w:val="0"/>
        <w:autoSpaceDN w:val="0"/>
        <w:adjustRightInd w:val="0"/>
        <w:ind w:left="426"/>
        <w:textAlignment w:val="baseline"/>
        <w:rPr>
          <w:bCs/>
          <w:iCs/>
        </w:rPr>
      </w:pPr>
      <w:r>
        <w:t>pitää ratkaisevan tärkeänä, että DAC9-direktiivin nojalla kerättyjä tietoja käytetään ainoastaan ja yksinomaan komission ehdotuksessa tarkoitetulla tavalla eikä muihin tarkoituksiin. Muuten kolmansien maiden yritykset saattavat päästä käsiksi arkaluonteisiin tietoihin, ja tämä voi heikentää eurooppalaisten yritysten kilpailuasemaa.</w:t>
      </w:r>
    </w:p>
    <w:p w:rsidRPr="00BC519A" w:rsidR="00EC2D6A" w:rsidP="000B3DCE" w:rsidRDefault="00EC2D6A" w14:paraId="297AC1C7" w14:textId="77777777">
      <w:pPr>
        <w:widowControl w:val="0"/>
        <w:numPr>
          <w:ilvl w:val="0"/>
          <w:numId w:val="23"/>
        </w:numPr>
        <w:overflowPunct w:val="0"/>
        <w:autoSpaceDE w:val="0"/>
        <w:autoSpaceDN w:val="0"/>
        <w:adjustRightInd w:val="0"/>
        <w:ind w:left="426"/>
        <w:textAlignment w:val="baseline"/>
        <w:rPr>
          <w:bCs/>
          <w:iCs/>
        </w:rPr>
      </w:pPr>
      <w:r>
        <w:t>pitää valitettavana, että ehdotuksesta ei ole tehty vaikutustenarviointia tai kilpailukykytarkastusta. Olisi ollut mielenkiintoista selvittää, auttaako ehdotettu direktiivi pääsemään lähemmäksi komission yleistä tavoitetta vähentää hallinnollista taakkaa 25 prosentilla.</w:t>
      </w:r>
    </w:p>
    <w:p w:rsidRPr="00BC519A" w:rsidR="00EC2D6A" w:rsidP="000B3DCE" w:rsidRDefault="00EC2D6A" w14:paraId="6568B041" w14:textId="77777777">
      <w:pPr>
        <w:widowControl w:val="0"/>
        <w:numPr>
          <w:ilvl w:val="0"/>
          <w:numId w:val="23"/>
        </w:numPr>
        <w:overflowPunct w:val="0"/>
        <w:autoSpaceDE w:val="0"/>
        <w:autoSpaceDN w:val="0"/>
        <w:adjustRightInd w:val="0"/>
        <w:ind w:left="426"/>
        <w:textAlignment w:val="baseline"/>
        <w:rPr>
          <w:bCs/>
          <w:iCs/>
        </w:rPr>
      </w:pPr>
      <w:r>
        <w:t xml:space="preserve">korostaa, että on huolehdittava siitä, että säännöt pysyvät täysin linjassa OECD:n meneillään olevan työn kanssa. </w:t>
      </w:r>
    </w:p>
    <w:p w:rsidRPr="000624A9" w:rsidR="00EC2D6A" w:rsidP="000B3DCE" w:rsidRDefault="00EC2D6A" w14:paraId="08A53EDF"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6689B" w:rsidR="00EC2D6A" w:rsidTr="00F70F48" w14:paraId="13D6C670" w14:textId="77777777">
        <w:tc>
          <w:tcPr>
            <w:tcW w:w="1556" w:type="pct"/>
          </w:tcPr>
          <w:p w:rsidRPr="00A6689B" w:rsidR="00EC2D6A" w:rsidP="000B3DCE" w:rsidRDefault="00EC2D6A" w14:paraId="4669B605" w14:textId="77777777">
            <w:pPr>
              <w:rPr>
                <w:i/>
              </w:rPr>
            </w:pPr>
            <w:r>
              <w:rPr>
                <w:b/>
                <w:i/>
              </w:rPr>
              <w:t>Yhteydentotot</w:t>
            </w:r>
          </w:p>
        </w:tc>
        <w:tc>
          <w:tcPr>
            <w:tcW w:w="3444" w:type="pct"/>
          </w:tcPr>
          <w:p w:rsidRPr="00A6689B" w:rsidR="00EC2D6A" w:rsidP="000B3DCE" w:rsidRDefault="00EC2D6A" w14:paraId="6078C2D1" w14:textId="79A8E21C">
            <w:pPr>
              <w:rPr>
                <w:i/>
              </w:rPr>
            </w:pPr>
            <w:proofErr w:type="spellStart"/>
            <w:r>
              <w:rPr>
                <w:i/>
              </w:rPr>
              <w:t>Jüri</w:t>
            </w:r>
            <w:proofErr w:type="spellEnd"/>
            <w:r>
              <w:rPr>
                <w:i/>
              </w:rPr>
              <w:t xml:space="preserve"> </w:t>
            </w:r>
            <w:r w:rsidR="00485207">
              <w:rPr>
                <w:i/>
              </w:rPr>
              <w:t>SOOSAAR</w:t>
            </w:r>
          </w:p>
        </w:tc>
      </w:tr>
      <w:tr w:rsidRPr="00A6689B" w:rsidR="00EC2D6A" w:rsidTr="00F70F48" w14:paraId="596430D5" w14:textId="77777777">
        <w:tc>
          <w:tcPr>
            <w:tcW w:w="1556" w:type="pct"/>
          </w:tcPr>
          <w:p w:rsidRPr="00A6689B" w:rsidR="00EC2D6A" w:rsidP="000B3DCE" w:rsidRDefault="00EC2D6A" w14:paraId="3187697D" w14:textId="77777777">
            <w:pPr>
              <w:rPr>
                <w:i/>
              </w:rPr>
            </w:pPr>
            <w:r>
              <w:rPr>
                <w:i/>
              </w:rPr>
              <w:t>P.</w:t>
            </w:r>
          </w:p>
        </w:tc>
        <w:tc>
          <w:tcPr>
            <w:tcW w:w="3444" w:type="pct"/>
          </w:tcPr>
          <w:p w:rsidRPr="00A6689B" w:rsidR="00EC2D6A" w:rsidP="000B3DCE" w:rsidRDefault="00EC2D6A" w14:paraId="32E6C018" w14:textId="77777777">
            <w:pPr>
              <w:rPr>
                <w:i/>
              </w:rPr>
            </w:pPr>
            <w:r>
              <w:rPr>
                <w:i/>
              </w:rPr>
              <w:t>+32 2</w:t>
            </w:r>
            <w:r>
              <w:t xml:space="preserve"> </w:t>
            </w:r>
            <w:r>
              <w:rPr>
                <w:i/>
              </w:rPr>
              <w:t>5469628</w:t>
            </w:r>
          </w:p>
        </w:tc>
      </w:tr>
      <w:tr w:rsidRPr="00A6689B" w:rsidR="00EC2D6A" w:rsidTr="00F70F48" w14:paraId="70A3BBE0" w14:textId="77777777">
        <w:tc>
          <w:tcPr>
            <w:tcW w:w="1556" w:type="pct"/>
          </w:tcPr>
          <w:p w:rsidRPr="00A6689B" w:rsidR="00EC2D6A" w:rsidP="000B3DCE" w:rsidRDefault="00EC2D6A" w14:paraId="73B24C98" w14:textId="77777777">
            <w:pPr>
              <w:rPr>
                <w:i/>
              </w:rPr>
            </w:pPr>
            <w:r>
              <w:rPr>
                <w:i/>
              </w:rPr>
              <w:t>Sähköposti</w:t>
            </w:r>
          </w:p>
        </w:tc>
        <w:tc>
          <w:tcPr>
            <w:tcW w:w="3444" w:type="pct"/>
          </w:tcPr>
          <w:p w:rsidRPr="00A6689B" w:rsidR="00EC2D6A" w:rsidP="000B3DCE" w:rsidRDefault="00D94EF3" w14:paraId="1A314EAB" w14:textId="77777777">
            <w:pPr>
              <w:rPr>
                <w:i/>
              </w:rPr>
            </w:pPr>
            <w:hyperlink w:history="1" r:id="rId18">
              <w:r w:rsidR="00EC2D6A">
                <w:rPr>
                  <w:rStyle w:val="Hyperlink"/>
                  <w:i/>
                </w:rPr>
                <w:t>Juri.Soosaar@eesc.europa.eu</w:t>
              </w:r>
            </w:hyperlink>
            <w:r w:rsidR="00EC2D6A">
              <w:rPr>
                <w:i/>
              </w:rPr>
              <w:t xml:space="preserve"> </w:t>
            </w:r>
          </w:p>
        </w:tc>
      </w:tr>
    </w:tbl>
    <w:p w:rsidR="00EC2D6A" w:rsidP="000B3DCE" w:rsidRDefault="00EC2D6A" w14:paraId="546B84B3" w14:textId="0F383498">
      <w:pPr>
        <w:jc w:val="center"/>
        <w:rPr>
          <w:lang w:val="nl-BE"/>
        </w:rPr>
      </w:pPr>
    </w:p>
    <w:p w:rsidR="00EC2D6A" w:rsidP="000B3DCE" w:rsidRDefault="00EC2D6A" w14:paraId="7A466702" w14:textId="77777777">
      <w:pPr>
        <w:spacing w:after="160"/>
        <w:jc w:val="left"/>
        <w:rPr>
          <w:lang w:val="nl-BE"/>
        </w:rPr>
      </w:pPr>
      <w:r>
        <w:rPr>
          <w:lang w:val="nl-BE"/>
        </w:rPr>
        <w:br w:type="page"/>
      </w:r>
    </w:p>
    <w:p w:rsidRPr="00493068" w:rsidR="00493068" w:rsidP="00493068" w:rsidRDefault="00D94EF3" w14:paraId="067568B2" w14:textId="5D305CE2">
      <w:pPr>
        <w:widowControl w:val="0"/>
        <w:numPr>
          <w:ilvl w:val="0"/>
          <w:numId w:val="7"/>
        </w:numPr>
        <w:overflowPunct w:val="0"/>
        <w:autoSpaceDE w:val="0"/>
        <w:autoSpaceDN w:val="0"/>
        <w:adjustRightInd w:val="0"/>
        <w:spacing w:after="200" w:line="240" w:lineRule="auto"/>
        <w:ind w:left="567" w:hanging="567"/>
        <w:contextualSpacing/>
        <w:jc w:val="left"/>
        <w:textAlignment w:val="baseline"/>
        <w:rPr>
          <w:rFonts w:ascii="Calibri" w:hAnsi="Calibri"/>
          <w:b/>
          <w:lang w:eastAsia="zh-CN"/>
        </w:rPr>
      </w:pPr>
      <w:hyperlink w:history="1" r:id="rId19">
        <w:r w:rsidRPr="00493068" w:rsidR="00493068">
          <w:rPr>
            <w:b/>
            <w:i/>
            <w:color w:val="0000FF"/>
            <w:sz w:val="28"/>
            <w:u w:val="single"/>
            <w:lang w:eastAsia="zh-CN"/>
          </w:rPr>
          <w:t>Puolustusrahoitus EU:ssa</w:t>
        </w:r>
      </w:hyperlink>
      <w:r w:rsidRPr="00493068" w:rsidR="00493068">
        <w:rPr>
          <w:b/>
          <w:i/>
          <w:sz w:val="28"/>
          <w:lang w:eastAsia="zh-CN"/>
        </w:rPr>
        <w:t xml:space="preserve"> </w:t>
      </w:r>
    </w:p>
    <w:p w:rsidRPr="000229D4" w:rsidR="00493068" w:rsidP="00493068" w:rsidRDefault="00493068" w14:paraId="2368370D" w14:textId="77777777">
      <w:pPr>
        <w:widowControl w:val="0"/>
        <w:overflowPunct w:val="0"/>
        <w:autoSpaceDE w:val="0"/>
        <w:autoSpaceDN w:val="0"/>
        <w:adjustRightInd w:val="0"/>
        <w:spacing w:after="200" w:line="240" w:lineRule="auto"/>
        <w:contextualSpacing/>
        <w:jc w:val="left"/>
        <w:textAlignment w:val="baseline"/>
        <w:rPr>
          <w:rFonts w:ascii="Calibri" w:hAnsi="Calibri"/>
          <w:b/>
          <w:lang w:eastAsia="zh-CN"/>
        </w:rPr>
      </w:pPr>
    </w:p>
    <w:tbl>
      <w:tblPr>
        <w:tblStyle w:val="TableGrid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7088"/>
      </w:tblGrid>
      <w:tr w:rsidRPr="000229D4" w:rsidR="00493068" w:rsidTr="00E67D85" w14:paraId="1AB97B44" w14:textId="77777777">
        <w:tc>
          <w:tcPr>
            <w:tcW w:w="1701" w:type="dxa"/>
          </w:tcPr>
          <w:p w:rsidRPr="000229D4" w:rsidR="00493068" w:rsidP="00493068" w:rsidRDefault="00493068" w14:paraId="613E23F1" w14:textId="77777777">
            <w:pPr>
              <w:overflowPunct w:val="0"/>
              <w:autoSpaceDE w:val="0"/>
              <w:autoSpaceDN w:val="0"/>
              <w:adjustRightInd w:val="0"/>
              <w:ind w:left="176" w:hanging="284"/>
              <w:textAlignment w:val="baseline"/>
              <w:rPr>
                <w:b/>
                <w:sz w:val="22"/>
                <w:szCs w:val="22"/>
              </w:rPr>
            </w:pPr>
            <w:r w:rsidRPr="000229D4">
              <w:rPr>
                <w:b/>
                <w:sz w:val="22"/>
                <w:szCs w:val="22"/>
              </w:rPr>
              <w:t>Esittelijä</w:t>
            </w:r>
          </w:p>
        </w:tc>
        <w:tc>
          <w:tcPr>
            <w:tcW w:w="7088" w:type="dxa"/>
          </w:tcPr>
          <w:p w:rsidRPr="000229D4" w:rsidR="00493068" w:rsidP="00493068" w:rsidRDefault="00493068" w14:paraId="27F5C5FE" w14:textId="77777777">
            <w:pPr>
              <w:tabs>
                <w:tab w:val="center" w:pos="284"/>
              </w:tabs>
              <w:overflowPunct w:val="0"/>
              <w:autoSpaceDE w:val="0"/>
              <w:autoSpaceDN w:val="0"/>
              <w:adjustRightInd w:val="0"/>
              <w:textAlignment w:val="baseline"/>
              <w:rPr>
                <w:sz w:val="22"/>
                <w:szCs w:val="22"/>
              </w:rPr>
            </w:pPr>
            <w:r w:rsidRPr="000229D4">
              <w:rPr>
                <w:sz w:val="22"/>
                <w:szCs w:val="22"/>
              </w:rPr>
              <w:t>Marcin NOWACKI (työnantajat – PL)</w:t>
            </w:r>
          </w:p>
        </w:tc>
      </w:tr>
      <w:tr w:rsidRPr="000229D4" w:rsidR="00493068" w:rsidTr="00E67D85" w14:paraId="098A736E" w14:textId="77777777">
        <w:tc>
          <w:tcPr>
            <w:tcW w:w="8789" w:type="dxa"/>
            <w:gridSpan w:val="2"/>
          </w:tcPr>
          <w:p w:rsidRPr="000229D4" w:rsidR="00493068" w:rsidP="000229D4" w:rsidRDefault="00493068" w14:paraId="58BA98F2" w14:textId="77777777">
            <w:pPr>
              <w:tabs>
                <w:tab w:val="center" w:pos="284"/>
              </w:tabs>
              <w:overflowPunct w:val="0"/>
              <w:autoSpaceDE w:val="0"/>
              <w:autoSpaceDN w:val="0"/>
              <w:adjustRightInd w:val="0"/>
              <w:ind w:left="266" w:hanging="266"/>
              <w:textAlignment w:val="baseline"/>
              <w:rPr>
                <w:sz w:val="22"/>
                <w:szCs w:val="22"/>
              </w:rPr>
            </w:pPr>
          </w:p>
        </w:tc>
      </w:tr>
      <w:tr w:rsidRPr="000229D4" w:rsidR="00493068" w:rsidTr="00E67D85" w14:paraId="6CFEC0AA" w14:textId="77777777">
        <w:tc>
          <w:tcPr>
            <w:tcW w:w="1701" w:type="dxa"/>
          </w:tcPr>
          <w:p w:rsidRPr="000229D4" w:rsidR="00493068" w:rsidP="00493068" w:rsidRDefault="00493068" w14:paraId="1F7AEB93" w14:textId="77777777">
            <w:pPr>
              <w:tabs>
                <w:tab w:val="center" w:pos="284"/>
              </w:tabs>
              <w:overflowPunct w:val="0"/>
              <w:autoSpaceDE w:val="0"/>
              <w:autoSpaceDN w:val="0"/>
              <w:adjustRightInd w:val="0"/>
              <w:ind w:left="266" w:hanging="374"/>
              <w:textAlignment w:val="baseline"/>
              <w:rPr>
                <w:b/>
                <w:sz w:val="22"/>
                <w:szCs w:val="22"/>
              </w:rPr>
            </w:pPr>
            <w:r w:rsidRPr="000229D4">
              <w:rPr>
                <w:b/>
                <w:sz w:val="22"/>
                <w:szCs w:val="22"/>
              </w:rPr>
              <w:t>Viiteasiakirja</w:t>
            </w:r>
          </w:p>
        </w:tc>
        <w:tc>
          <w:tcPr>
            <w:tcW w:w="7088" w:type="dxa"/>
          </w:tcPr>
          <w:p w:rsidRPr="000229D4" w:rsidR="00493068" w:rsidP="00493068" w:rsidRDefault="00493068" w14:paraId="49AC2B1C" w14:textId="5AE71B25">
            <w:pPr>
              <w:tabs>
                <w:tab w:val="center" w:pos="284"/>
              </w:tabs>
              <w:overflowPunct w:val="0"/>
              <w:autoSpaceDE w:val="0"/>
              <w:autoSpaceDN w:val="0"/>
              <w:adjustRightInd w:val="0"/>
              <w:textAlignment w:val="baseline"/>
              <w:rPr>
                <w:sz w:val="22"/>
                <w:szCs w:val="22"/>
                <w:highlight w:val="yellow"/>
              </w:rPr>
            </w:pPr>
            <w:r w:rsidRPr="000229D4">
              <w:rPr>
                <w:sz w:val="22"/>
                <w:szCs w:val="22"/>
              </w:rPr>
              <w:t>valmisteleva lausunto – EESC-2024-03643-00-01-AC-TRA</w:t>
            </w:r>
          </w:p>
        </w:tc>
      </w:tr>
    </w:tbl>
    <w:p w:rsidRPr="000229D4" w:rsidR="00493068" w:rsidP="00493068" w:rsidRDefault="00493068" w14:paraId="04321E64" w14:textId="77777777">
      <w:pPr>
        <w:keepNext/>
        <w:keepLines/>
        <w:tabs>
          <w:tab w:val="center" w:pos="284"/>
        </w:tabs>
        <w:overflowPunct w:val="0"/>
        <w:autoSpaceDE w:val="0"/>
        <w:autoSpaceDN w:val="0"/>
        <w:adjustRightInd w:val="0"/>
        <w:ind w:left="266" w:hanging="266"/>
        <w:textAlignment w:val="baseline"/>
        <w:rPr>
          <w:b/>
        </w:rPr>
      </w:pPr>
    </w:p>
    <w:p w:rsidRPr="00493068" w:rsidR="00493068" w:rsidP="00493068" w:rsidRDefault="00493068" w14:paraId="11C493B6" w14:textId="77777777">
      <w:pPr>
        <w:keepNext/>
        <w:keepLines/>
        <w:tabs>
          <w:tab w:val="center" w:pos="284"/>
        </w:tabs>
        <w:overflowPunct w:val="0"/>
        <w:autoSpaceDE w:val="0"/>
        <w:autoSpaceDN w:val="0"/>
        <w:adjustRightInd w:val="0"/>
        <w:ind w:left="266" w:hanging="266"/>
        <w:textAlignment w:val="baseline"/>
        <w:rPr>
          <w:b/>
        </w:rPr>
      </w:pPr>
      <w:r w:rsidRPr="00493068">
        <w:rPr>
          <w:b/>
          <w:szCs w:val="20"/>
        </w:rPr>
        <w:t>Keskeiset kohdat</w:t>
      </w:r>
    </w:p>
    <w:p w:rsidRPr="00493068" w:rsidR="00493068" w:rsidP="00493068" w:rsidRDefault="00493068" w14:paraId="3D635521" w14:textId="77777777">
      <w:pPr>
        <w:keepNext/>
        <w:keepLines/>
        <w:tabs>
          <w:tab w:val="center" w:pos="284"/>
        </w:tabs>
        <w:overflowPunct w:val="0"/>
        <w:autoSpaceDE w:val="0"/>
        <w:autoSpaceDN w:val="0"/>
        <w:adjustRightInd w:val="0"/>
        <w:ind w:left="266" w:hanging="266"/>
        <w:textAlignment w:val="baseline"/>
        <w:rPr>
          <w:b/>
        </w:rPr>
      </w:pPr>
    </w:p>
    <w:p w:rsidRPr="00493068" w:rsidR="00493068" w:rsidP="00493068" w:rsidRDefault="00493068" w14:paraId="26C5ACAE" w14:textId="77777777">
      <w:pPr>
        <w:overflowPunct w:val="0"/>
        <w:autoSpaceDE w:val="0"/>
        <w:autoSpaceDN w:val="0"/>
        <w:adjustRightInd w:val="0"/>
        <w:ind w:left="425" w:hanging="425"/>
        <w:textAlignment w:val="baseline"/>
        <w:rPr>
          <w:szCs w:val="20"/>
        </w:rPr>
      </w:pPr>
      <w:r w:rsidRPr="00493068">
        <w:rPr>
          <w:szCs w:val="20"/>
        </w:rPr>
        <w:t>ETSK</w:t>
      </w:r>
    </w:p>
    <w:p w:rsidRPr="00493068" w:rsidR="00493068" w:rsidP="00493068" w:rsidRDefault="00493068" w14:paraId="087E52F3"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korostaa, että Euroopan muuttuvaan turvallisuusympäristöön on reagoitava kiireellisesti luomalla vankat ja yhtenäiset puolustuksen rahoitusmekanismit. Geopoliittiset haasteet, erityisesti Venäjän hyökkäyssota Ukrainassa, edellyttävät välittömiä ja strategisia investointeja puolustusvoimavaroihin. Tarvitaan sekä sotilas- että siviilivalmiutta, jotta EU:n perusarvoja, rauhaa, turvallisuutta ja taloudellisia etuja voidaan suojella.</w:t>
      </w:r>
    </w:p>
    <w:p w:rsidRPr="00493068" w:rsidR="00493068" w:rsidP="00493068" w:rsidRDefault="00493068" w14:paraId="7140EF8B"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painottaa, että EU:n on määriteltävä selkeästi puolustuspolitiikkansa tavoitteet ja vahvistettava Euroopan puolustuspilaria, jonka resursseilla ja operatiivisilla valmiuksilla on oltava yhteys Natoon. Puolustuspolitiikka on osa EU:n ulko- ja turvallisuuspolitiikkaa, jonka avulla on edistettävä rauhaa, demokratiaa ja ihmisoikeuksia Euroopassa ja sen maantieteellisessä lähiympäristössä sekä koko maailmassa ja puolustettava YK:n järjestelmän monenvälisiä instituutioita.</w:t>
      </w:r>
    </w:p>
    <w:p w:rsidRPr="00493068" w:rsidR="00493068" w:rsidP="00493068" w:rsidRDefault="00493068" w14:paraId="63329B55"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 xml:space="preserve">korostaa tarvetta etsiä keinoja vahvistaa EU:n puolustusvoimavaroja perussopimusten tällä hetkellä sallimissa rajoissa. Nykyisellään perussopimuksissa rajoitetaan EU:n rahoitusvarojen käyttöä puolustustarkoituksiin. </w:t>
      </w:r>
    </w:p>
    <w:p w:rsidRPr="00493068" w:rsidR="00493068" w:rsidP="00493068" w:rsidRDefault="00493068" w14:paraId="277E0531"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korostaa, että EU:n ja Naton välistä yhteistyötä on tärkeää syventää yhtenäisen toimintalinjan varmistamiseksi puolustuksen alalla.</w:t>
      </w:r>
    </w:p>
    <w:p w:rsidRPr="00493068" w:rsidR="00493068" w:rsidP="00493068" w:rsidRDefault="00493068" w14:paraId="2899DF33"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korostaa, että välittömiin rahoituspainopisteisiin olisi sisällytettävä nykyaikaisten puolustusjärjestelmien kehittäminen ja tuotanto. Investointien lisääminen kyseisiin teknologioihin olisi aloitettava viipymättä jo kuluvan monivuotisen rahoituskehyksen budjettikaudella.</w:t>
      </w:r>
    </w:p>
    <w:p w:rsidRPr="00493068" w:rsidR="00493068" w:rsidP="00493068" w:rsidRDefault="00493068" w14:paraId="32147C6C"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painottaa, että Euroopan puolustusalan teollisen ja teknologisen perustan vahvistaminen on olennaisen tärkeää, jotta voidaan vähentää riippuvuutta ulkopuolisista toimittajista ja edistää innovointia EU:ssa.</w:t>
      </w:r>
    </w:p>
    <w:p w:rsidRPr="00493068" w:rsidR="00493068" w:rsidP="00493068" w:rsidRDefault="00493068" w14:paraId="56F60D5B"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kannattaa yhteishankintamekanismien, kuten Euroopan rauhanrahaston, laajentamista resurssitehokkuuden maksimoimiseksi ja strategisen kumppanuuden tehostamiseksi. Myös ampumatarvikkeiden tuotantoa tukevan säädöksen ja Euroopan puolustusteollisuuden vahvistamista yhteistoiminnallisten hankintojen avulla koskevan välineen (EDIRPA) kaltaisia aloitteita olisi laajennettava, jotta voidaan poistaa tuotannon pullonkauloja ja parantaa operatiivista valmiutta.</w:t>
      </w:r>
    </w:p>
    <w:p w:rsidRPr="00493068" w:rsidR="00493068" w:rsidP="00493068" w:rsidRDefault="00493068" w14:paraId="386B38E5"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 xml:space="preserve">korostaa, että kumppanuuksia kolmansien maiden kanssa olisi jatkettava turvallisuusinfrastruktuuria ja teknologista innovointia koskevien yhteisten toimien edistämiseksi. </w:t>
      </w:r>
    </w:p>
    <w:p w:rsidRPr="00493068" w:rsidR="00493068" w:rsidP="00493068" w:rsidRDefault="00493068" w14:paraId="0472850F"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painottaa julkisen ja yksityisen sektorin kumppanuuksien merkitystä täydentävänä välineenä, jonka avulla voidaan hyödyntää asiantuntemusta ja resursseja ja sitä kautta vauhdittaa innovointia ja innovaatioiden käyttöönottoa kriittisillä aloilla.</w:t>
      </w:r>
    </w:p>
    <w:p w:rsidRPr="00493068" w:rsidR="00493068" w:rsidP="00493068" w:rsidRDefault="00493068" w14:paraId="38673816"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 xml:space="preserve">korostaa turvallista satelliittiviestintäjärjestelmää koskevan IRIS2-aloitteen strategista merkitystä pyrittäessä parantamaan EU:n puolustus- ja kyberturvallisuusvalmiuksia. </w:t>
      </w:r>
    </w:p>
    <w:p w:rsidRPr="00493068" w:rsidR="00493068" w:rsidP="00493068" w:rsidRDefault="00493068" w14:paraId="6ADF8133"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painottaa, että puolustusrahoituksessa olisi asetettava etusijalle ulkorajoilla sijaitseville EU-maille osoitettava tuki, sillä alueelliset konfliktit vaikuttavat niihin välittömimmin, edellyttäen että ne noudattavat tinkimättömästi nk. ensi-iskukiellon (</w:t>
      </w:r>
      <w:r w:rsidRPr="00493068">
        <w:rPr>
          <w:i/>
          <w:iCs/>
          <w:lang w:eastAsia="zh-CN"/>
        </w:rPr>
        <w:t xml:space="preserve">no </w:t>
      </w:r>
      <w:proofErr w:type="spellStart"/>
      <w:r w:rsidRPr="00493068">
        <w:rPr>
          <w:i/>
          <w:iCs/>
          <w:lang w:eastAsia="zh-CN"/>
        </w:rPr>
        <w:t>first</w:t>
      </w:r>
      <w:proofErr w:type="spellEnd"/>
      <w:r w:rsidRPr="00493068">
        <w:rPr>
          <w:i/>
          <w:iCs/>
          <w:lang w:eastAsia="zh-CN"/>
        </w:rPr>
        <w:t xml:space="preserve"> </w:t>
      </w:r>
      <w:proofErr w:type="spellStart"/>
      <w:r w:rsidRPr="00493068">
        <w:rPr>
          <w:i/>
          <w:iCs/>
          <w:lang w:eastAsia="zh-CN"/>
        </w:rPr>
        <w:t>strike</w:t>
      </w:r>
      <w:proofErr w:type="spellEnd"/>
      <w:r w:rsidRPr="00493068">
        <w:rPr>
          <w:lang w:eastAsia="zh-CN"/>
        </w:rPr>
        <w:t>) periaatetta.</w:t>
      </w:r>
    </w:p>
    <w:p w:rsidRPr="00493068" w:rsidR="00493068" w:rsidP="00493068" w:rsidRDefault="00493068" w14:paraId="1B6C803C" w14:textId="77777777">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lastRenderedPageBreak/>
        <w:t>korostaa, että puolustusrahoitus olisi sisällytettävä laajempiin EU:n rahoitusmekanismeihin, myös seuraavaan monivuotiseen rahoituskehykseen, vaarantamatta kuitenkaan EU:n muita kriittisiä painopisteitä, kuten koheesiopolitiikkaa, vihreää siirtymää ja Euroopan sosiaalisten oikeuksien pilaria.</w:t>
      </w:r>
    </w:p>
    <w:p w:rsidR="00493068" w:rsidP="00493068" w:rsidRDefault="00493068" w14:paraId="2C803745" w14:textId="6D3ED0BB">
      <w:pPr>
        <w:numPr>
          <w:ilvl w:val="0"/>
          <w:numId w:val="42"/>
        </w:numPr>
        <w:overflowPunct w:val="0"/>
        <w:autoSpaceDE w:val="0"/>
        <w:autoSpaceDN w:val="0"/>
        <w:adjustRightInd w:val="0"/>
        <w:spacing w:after="200" w:line="276" w:lineRule="auto"/>
        <w:ind w:left="426" w:hanging="426"/>
        <w:contextualSpacing/>
        <w:textAlignment w:val="baseline"/>
        <w:rPr>
          <w:lang w:eastAsia="zh-CN"/>
        </w:rPr>
      </w:pPr>
      <w:r w:rsidRPr="00493068">
        <w:rPr>
          <w:lang w:eastAsia="zh-CN"/>
        </w:rPr>
        <w:t>painottaa, että olisi toteutettava valistuskampanjoita, joissa tuodaan esiin puolustusrahoituksen keskeinen rooli rauhan ja turvallisuuden varmistamisessa Euroopassa. Kampanjoissa olisi korostettava myös Euroopan demokraattista elämäntapaa ja sosiaalista yhteenkuuluvuutta.</w:t>
      </w:r>
    </w:p>
    <w:p w:rsidRPr="00493068" w:rsidR="00493068" w:rsidP="00493068" w:rsidRDefault="00493068" w14:paraId="1DDA8F18" w14:textId="77777777">
      <w:pPr>
        <w:overflowPunct w:val="0"/>
        <w:autoSpaceDE w:val="0"/>
        <w:autoSpaceDN w:val="0"/>
        <w:adjustRightInd w:val="0"/>
        <w:spacing w:after="200" w:line="276" w:lineRule="auto"/>
        <w:contextualSpacing/>
        <w:textAlignment w:val="baseline"/>
        <w:rPr>
          <w:lang w:eastAsia="zh-CN"/>
        </w:rPr>
      </w:pPr>
    </w:p>
    <w:tbl>
      <w:tblPr>
        <w:tblStyle w:val="TableGrid7"/>
        <w:tblW w:w="56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316"/>
        <w:gridCol w:w="4375"/>
      </w:tblGrid>
      <w:tr w:rsidRPr="00493068" w:rsidR="00493068" w:rsidTr="00E67D85" w14:paraId="47B7F230" w14:textId="77777777">
        <w:tc>
          <w:tcPr>
            <w:tcW w:w="1173" w:type="dxa"/>
          </w:tcPr>
          <w:p w:rsidRPr="00493068" w:rsidR="00493068" w:rsidP="00493068" w:rsidRDefault="00493068" w14:paraId="4DD511C1" w14:textId="77777777">
            <w:pPr>
              <w:overflowPunct w:val="0"/>
              <w:autoSpaceDE w:val="0"/>
              <w:autoSpaceDN w:val="0"/>
              <w:adjustRightInd w:val="0"/>
              <w:textAlignment w:val="baseline"/>
              <w:rPr>
                <w:bCs/>
                <w:i/>
              </w:rPr>
            </w:pPr>
            <w:r w:rsidRPr="00493068">
              <w:rPr>
                <w:i/>
              </w:rPr>
              <w:t>Yhteydentotot</w:t>
            </w:r>
          </w:p>
        </w:tc>
        <w:tc>
          <w:tcPr>
            <w:tcW w:w="4518" w:type="dxa"/>
          </w:tcPr>
          <w:p w:rsidRPr="00493068" w:rsidR="00493068" w:rsidP="00493068" w:rsidRDefault="00493068" w14:paraId="02170218" w14:textId="77777777">
            <w:pPr>
              <w:overflowPunct w:val="0"/>
              <w:autoSpaceDE w:val="0"/>
              <w:autoSpaceDN w:val="0"/>
              <w:adjustRightInd w:val="0"/>
              <w:textAlignment w:val="baseline"/>
              <w:rPr>
                <w:bCs/>
                <w:i/>
                <w:iCs/>
              </w:rPr>
            </w:pPr>
            <w:r w:rsidRPr="00493068">
              <w:rPr>
                <w:i/>
              </w:rPr>
              <w:t>Gerald KLEC</w:t>
            </w:r>
          </w:p>
        </w:tc>
      </w:tr>
      <w:tr w:rsidRPr="00493068" w:rsidR="00493068" w:rsidTr="00E67D85" w14:paraId="07AD3CD0" w14:textId="77777777">
        <w:tc>
          <w:tcPr>
            <w:tcW w:w="1173" w:type="dxa"/>
          </w:tcPr>
          <w:p w:rsidRPr="00493068" w:rsidR="00493068" w:rsidP="00493068" w:rsidRDefault="00493068" w14:paraId="76D3005D" w14:textId="77777777">
            <w:pPr>
              <w:overflowPunct w:val="0"/>
              <w:autoSpaceDE w:val="0"/>
              <w:autoSpaceDN w:val="0"/>
              <w:adjustRightInd w:val="0"/>
              <w:textAlignment w:val="baseline"/>
              <w:rPr>
                <w:i/>
              </w:rPr>
            </w:pPr>
            <w:r w:rsidRPr="00493068">
              <w:rPr>
                <w:i/>
              </w:rPr>
              <w:t>P.</w:t>
            </w:r>
          </w:p>
        </w:tc>
        <w:tc>
          <w:tcPr>
            <w:tcW w:w="4518" w:type="dxa"/>
          </w:tcPr>
          <w:p w:rsidRPr="00493068" w:rsidR="00493068" w:rsidP="00493068" w:rsidRDefault="00493068" w14:paraId="17C1FA55" w14:textId="77777777">
            <w:pPr>
              <w:overflowPunct w:val="0"/>
              <w:autoSpaceDE w:val="0"/>
              <w:autoSpaceDN w:val="0"/>
              <w:adjustRightInd w:val="0"/>
              <w:textAlignment w:val="baseline"/>
              <w:rPr>
                <w:i/>
                <w:iCs/>
              </w:rPr>
            </w:pPr>
            <w:r w:rsidRPr="00493068">
              <w:rPr>
                <w:i/>
              </w:rPr>
              <w:t>+32 25469909</w:t>
            </w:r>
          </w:p>
        </w:tc>
      </w:tr>
      <w:tr w:rsidRPr="00493068" w:rsidR="00493068" w:rsidTr="00E67D85" w14:paraId="5958705F" w14:textId="77777777">
        <w:tc>
          <w:tcPr>
            <w:tcW w:w="1173" w:type="dxa"/>
          </w:tcPr>
          <w:p w:rsidRPr="00493068" w:rsidR="00493068" w:rsidP="00493068" w:rsidRDefault="00493068" w14:paraId="1C02B84E" w14:textId="77777777">
            <w:pPr>
              <w:overflowPunct w:val="0"/>
              <w:autoSpaceDE w:val="0"/>
              <w:autoSpaceDN w:val="0"/>
              <w:adjustRightInd w:val="0"/>
              <w:textAlignment w:val="baseline"/>
              <w:rPr>
                <w:i/>
              </w:rPr>
            </w:pPr>
            <w:r w:rsidRPr="00493068">
              <w:rPr>
                <w:i/>
              </w:rPr>
              <w:t>Sähköposti</w:t>
            </w:r>
          </w:p>
        </w:tc>
        <w:tc>
          <w:tcPr>
            <w:tcW w:w="4518" w:type="dxa"/>
          </w:tcPr>
          <w:p w:rsidRPr="00493068" w:rsidR="00493068" w:rsidP="00493068" w:rsidRDefault="00D94EF3" w14:paraId="2F65396A" w14:textId="77777777">
            <w:pPr>
              <w:overflowPunct w:val="0"/>
              <w:autoSpaceDE w:val="0"/>
              <w:autoSpaceDN w:val="0"/>
              <w:adjustRightInd w:val="0"/>
              <w:textAlignment w:val="baseline"/>
              <w:rPr>
                <w:i/>
                <w:iCs/>
              </w:rPr>
            </w:pPr>
            <w:hyperlink w:history="1" r:id="rId20">
              <w:r w:rsidRPr="00493068" w:rsidR="00493068">
                <w:rPr>
                  <w:color w:val="0000FF"/>
                  <w:u w:val="single"/>
                </w:rPr>
                <w:t>Gerald.Klec@eesc.europa.eu</w:t>
              </w:r>
            </w:hyperlink>
            <w:r w:rsidRPr="00493068" w:rsidR="00493068">
              <w:t xml:space="preserve"> </w:t>
            </w:r>
          </w:p>
        </w:tc>
      </w:tr>
    </w:tbl>
    <w:p w:rsidR="00EC2D6A" w:rsidP="000B3DCE" w:rsidRDefault="00EC2D6A" w14:paraId="2F315D68" w14:textId="24061B90">
      <w:pPr>
        <w:spacing w:after="160"/>
        <w:jc w:val="left"/>
        <w:rPr>
          <w:lang w:val="nl-BE"/>
        </w:rPr>
      </w:pPr>
      <w:r>
        <w:rPr>
          <w:lang w:val="nl-BE"/>
        </w:rPr>
        <w:br w:type="page"/>
      </w:r>
    </w:p>
    <w:p w:rsidRPr="006D6031" w:rsidR="00EC2D6A" w:rsidP="000B3DCE" w:rsidRDefault="00D94EF3" w14:paraId="7D0E2EC4" w14:textId="479C5F1B">
      <w:pPr>
        <w:widowControl w:val="0"/>
        <w:numPr>
          <w:ilvl w:val="0"/>
          <w:numId w:val="4"/>
        </w:numPr>
        <w:overflowPunct w:val="0"/>
        <w:autoSpaceDE w:val="0"/>
        <w:autoSpaceDN w:val="0"/>
        <w:adjustRightInd w:val="0"/>
        <w:ind w:hanging="567"/>
        <w:textAlignment w:val="baseline"/>
        <w:rPr>
          <w:rStyle w:val="Hyperlink"/>
          <w:b/>
          <w:i/>
          <w:iCs/>
          <w:sz w:val="28"/>
          <w:szCs w:val="28"/>
        </w:rPr>
      </w:pPr>
      <w:hyperlink w:history="1" r:id="rId21">
        <w:r w:rsidR="00EC2D6A">
          <w:rPr>
            <w:rStyle w:val="Hyperlink"/>
            <w:b/>
            <w:i/>
            <w:sz w:val="28"/>
          </w:rPr>
          <w:t>Vuoden 2027 jälkeisen koheesiopolitiikan tulos-suuntautuneisuuden vahvistaminen – haasteet, riskit ja mahdollisuudet</w:t>
        </w:r>
      </w:hyperlink>
    </w:p>
    <w:p w:rsidRPr="00050071" w:rsidR="00EC2D6A" w:rsidP="000B3DCE" w:rsidRDefault="00EC2D6A" w14:paraId="24250932" w14:textId="77777777">
      <w:pPr>
        <w:widowControl w:val="0"/>
        <w:ind w:left="283"/>
        <w:rPr>
          <w:b/>
          <w:i/>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7374"/>
      </w:tblGrid>
      <w:tr w:rsidRPr="00A6689B" w:rsidR="00EC2D6A" w:rsidTr="00F70F48" w14:paraId="6AFC8C89" w14:textId="77777777">
        <w:tc>
          <w:tcPr>
            <w:tcW w:w="1701" w:type="dxa"/>
          </w:tcPr>
          <w:p w:rsidR="00EC2D6A" w:rsidP="000B3DCE" w:rsidRDefault="00EC2D6A" w14:paraId="3BDE7D89" w14:textId="77777777">
            <w:pPr>
              <w:tabs>
                <w:tab w:val="center" w:pos="284"/>
              </w:tabs>
              <w:ind w:left="266" w:hanging="266"/>
              <w:rPr>
                <w:b/>
              </w:rPr>
            </w:pPr>
            <w:r>
              <w:rPr>
                <w:b/>
              </w:rPr>
              <w:t>Esittelijä</w:t>
            </w:r>
          </w:p>
          <w:p w:rsidRPr="00CD2168" w:rsidR="00EC2D6A" w:rsidP="000B3DCE" w:rsidRDefault="00EC2D6A" w14:paraId="6182B75A" w14:textId="77777777">
            <w:pPr>
              <w:tabs>
                <w:tab w:val="center" w:pos="284"/>
              </w:tabs>
              <w:ind w:left="266" w:hanging="266"/>
              <w:rPr>
                <w:b/>
              </w:rPr>
            </w:pPr>
            <w:r>
              <w:rPr>
                <w:b/>
              </w:rPr>
              <w:t>Yhteisesittelijä</w:t>
            </w:r>
          </w:p>
        </w:tc>
        <w:tc>
          <w:tcPr>
            <w:tcW w:w="7479" w:type="dxa"/>
          </w:tcPr>
          <w:p w:rsidRPr="00A37E38" w:rsidR="00EC2D6A" w:rsidP="000B3DCE" w:rsidRDefault="00EC2D6A" w14:paraId="6EC0D594" w14:textId="77777777">
            <w:pPr>
              <w:tabs>
                <w:tab w:val="center" w:pos="284"/>
              </w:tabs>
              <w:ind w:left="266" w:hanging="266"/>
              <w:rPr>
                <w:bCs/>
              </w:rPr>
            </w:pPr>
            <w:r>
              <w:t>David SVENTEK (työnantajat – CZ)</w:t>
            </w:r>
          </w:p>
          <w:p w:rsidR="00EC2D6A" w:rsidP="000B3DCE" w:rsidRDefault="00EC2D6A" w14:paraId="4372AD12" w14:textId="77777777">
            <w:pPr>
              <w:tabs>
                <w:tab w:val="center" w:pos="284"/>
              </w:tabs>
              <w:ind w:left="266" w:hanging="266"/>
            </w:pPr>
            <w:proofErr w:type="spellStart"/>
            <w:r>
              <w:t>Florian</w:t>
            </w:r>
            <w:proofErr w:type="spellEnd"/>
            <w:r>
              <w:t xml:space="preserve"> MARIN (työntekijät – RO)</w:t>
            </w:r>
          </w:p>
          <w:p w:rsidRPr="00A37E38" w:rsidR="001F0A8F" w:rsidP="000B3DCE" w:rsidRDefault="001F0A8F" w14:paraId="76CE7F74" w14:textId="54225062">
            <w:pPr>
              <w:tabs>
                <w:tab w:val="center" w:pos="284"/>
              </w:tabs>
              <w:ind w:left="266" w:hanging="266"/>
              <w:rPr>
                <w:bCs/>
              </w:rPr>
            </w:pPr>
          </w:p>
        </w:tc>
      </w:tr>
      <w:tr w:rsidRPr="00A6689B" w:rsidR="00EC2D6A" w:rsidTr="00F70F48" w14:paraId="1709F0EF" w14:textId="77777777">
        <w:tc>
          <w:tcPr>
            <w:tcW w:w="1701" w:type="dxa"/>
          </w:tcPr>
          <w:p w:rsidRPr="00A6689B" w:rsidR="00EC2D6A" w:rsidP="000B3DCE" w:rsidRDefault="00EC2D6A" w14:paraId="75A8464C" w14:textId="77777777">
            <w:pPr>
              <w:tabs>
                <w:tab w:val="center" w:pos="284"/>
              </w:tabs>
              <w:ind w:left="266" w:hanging="266"/>
              <w:rPr>
                <w:b/>
              </w:rPr>
            </w:pPr>
            <w:r>
              <w:rPr>
                <w:b/>
              </w:rPr>
              <w:t>Viiteasiakirja</w:t>
            </w:r>
          </w:p>
        </w:tc>
        <w:tc>
          <w:tcPr>
            <w:tcW w:w="7479" w:type="dxa"/>
          </w:tcPr>
          <w:p w:rsidR="00EC2D6A" w:rsidP="000B3DCE" w:rsidRDefault="00EC2D6A" w14:paraId="539DCC6A" w14:textId="77777777">
            <w:pPr>
              <w:ind w:left="266" w:hanging="266"/>
            </w:pPr>
            <w:r>
              <w:t>puheenjohtajavaltio Puolan pyytämä valmisteleva lausunto</w:t>
            </w:r>
          </w:p>
          <w:p w:rsidRPr="00C232CB" w:rsidR="00EC2D6A" w:rsidP="000B3DCE" w:rsidRDefault="00EC2D6A" w14:paraId="67B7F39E" w14:textId="77777777">
            <w:pPr>
              <w:ind w:left="266" w:hanging="266"/>
            </w:pPr>
            <w:r>
              <w:t>EESC-2024-03481-00-00-AC-TRA</w:t>
            </w:r>
          </w:p>
        </w:tc>
      </w:tr>
    </w:tbl>
    <w:p w:rsidR="00EC2D6A" w:rsidP="000B3DCE" w:rsidRDefault="00EC2D6A" w14:paraId="736CAFF4" w14:textId="77777777">
      <w:pPr>
        <w:keepNext/>
        <w:keepLines/>
        <w:tabs>
          <w:tab w:val="center" w:pos="284"/>
        </w:tabs>
        <w:ind w:left="266" w:hanging="266"/>
        <w:rPr>
          <w:b/>
        </w:rPr>
      </w:pPr>
    </w:p>
    <w:p w:rsidR="00EC2D6A" w:rsidP="000B3DCE" w:rsidRDefault="00EC2D6A" w14:paraId="2BA70726" w14:textId="77777777">
      <w:pPr>
        <w:keepNext/>
        <w:keepLines/>
        <w:tabs>
          <w:tab w:val="center" w:pos="284"/>
        </w:tabs>
        <w:ind w:left="266" w:hanging="266"/>
        <w:rPr>
          <w:b/>
        </w:rPr>
      </w:pPr>
      <w:r>
        <w:rPr>
          <w:b/>
        </w:rPr>
        <w:t>Keskeiset kohdat</w:t>
      </w:r>
    </w:p>
    <w:p w:rsidR="00EC2D6A" w:rsidP="000B3DCE" w:rsidRDefault="00EC2D6A" w14:paraId="41C9F8AC" w14:textId="77777777">
      <w:pPr>
        <w:keepNext/>
        <w:keepLines/>
        <w:tabs>
          <w:tab w:val="center" w:pos="284"/>
        </w:tabs>
        <w:ind w:left="266" w:hanging="266"/>
        <w:rPr>
          <w:b/>
        </w:rPr>
      </w:pPr>
    </w:p>
    <w:p w:rsidR="00EC2D6A" w:rsidP="000B3DCE" w:rsidRDefault="00EC2D6A" w14:paraId="7C55BD57" w14:textId="77777777">
      <w:pPr>
        <w:keepNext/>
        <w:keepLines/>
        <w:tabs>
          <w:tab w:val="center" w:pos="284"/>
        </w:tabs>
        <w:ind w:left="266" w:hanging="266"/>
        <w:rPr>
          <w:bCs/>
          <w:iCs/>
        </w:rPr>
      </w:pPr>
      <w:r>
        <w:t>ETSK</w:t>
      </w:r>
    </w:p>
    <w:p w:rsidRPr="006205BC" w:rsidR="00EC2D6A" w:rsidP="000B3DCE" w:rsidRDefault="00EC2D6A" w14:paraId="004DB12A" w14:textId="77777777">
      <w:pPr>
        <w:pStyle w:val="ListParagraph"/>
        <w:keepNext/>
        <w:keepLines/>
        <w:numPr>
          <w:ilvl w:val="0"/>
          <w:numId w:val="25"/>
        </w:numPr>
        <w:ind w:left="426"/>
        <w:rPr>
          <w:bCs/>
          <w:iCs/>
        </w:rPr>
      </w:pPr>
      <w:r>
        <w:t>kannattaa voimakkaasti EU:n koheesiopolitiikan jatkamista ja pitää politiikan perusteita selkeinä, järkevinä ja oikeutettuina, mutta toteaa, että koheesiopolitiikkaa on uudistettava ja mukautettava vastaamaan kehityssuuntauksia ja tarpeita.</w:t>
      </w:r>
    </w:p>
    <w:p w:rsidRPr="006205BC" w:rsidR="00EC2D6A" w:rsidP="000B3DCE" w:rsidRDefault="00EC2D6A" w14:paraId="3F9243CB" w14:textId="77777777">
      <w:pPr>
        <w:pStyle w:val="ListParagraph"/>
        <w:keepNext/>
        <w:keepLines/>
        <w:numPr>
          <w:ilvl w:val="0"/>
          <w:numId w:val="25"/>
        </w:numPr>
        <w:ind w:left="426"/>
        <w:rPr>
          <w:bCs/>
          <w:iCs/>
        </w:rPr>
      </w:pPr>
      <w:r>
        <w:t>katsoo, että koheesiopolitiikan nykyistä osuutta EU:n talousarviosta ei pitäisi supistaa seuraavassa monivuotisessa rahoituskehyksessä, vaan sitä olisi lisättävä.</w:t>
      </w:r>
    </w:p>
    <w:p w:rsidRPr="006B1333" w:rsidR="00EC2D6A" w:rsidP="000B3DCE" w:rsidRDefault="00EC2D6A" w14:paraId="693F8AAD" w14:textId="77777777">
      <w:pPr>
        <w:pStyle w:val="ListParagraph"/>
        <w:numPr>
          <w:ilvl w:val="0"/>
          <w:numId w:val="25"/>
        </w:numPr>
        <w:ind w:left="426"/>
        <w:rPr>
          <w:bCs/>
          <w:iCs/>
        </w:rPr>
      </w:pPr>
      <w:r>
        <w:t>suosittaa, että koheesiopolitiikkaa hallinnoidaan vastaisuudessa seuraavia periaatteita noudattaen: kumppanuus (ml. järjestäytyneen kansalaisyhteiskunnan aktiivinen panos), yhteistyöhön perustuva hallinnointi (EU-, jäsenvaltio- ja aluetason viranomaisten tasapainoinen osallistuminen), monitasoinen hallinto (alueet, kunnat, paikallisviranomaiset ja sidosryhmät), paikkalähtöisyys (ruohonjuuritasolta lähtevät toimintamallit), temaattinen keskittäminen (huolehtien tiiviistä yhteydestä EU-ohjausjaksoon), alueellinen kohdentaminen (myös alueellisten ominaispiirteiden pohjalta, tulossuuntautuneisuus (konkreettiset määrälliset tulokset), (sääntöjen ja menettelyjen) yksinkertaistaminen ja rahoitettavien investointien sosiaalinen ehdollisuus.</w:t>
      </w:r>
    </w:p>
    <w:p w:rsidRPr="008C55F0" w:rsidR="00EC2D6A" w:rsidP="000B3DCE" w:rsidRDefault="00EC2D6A" w14:paraId="45B80576" w14:textId="77777777">
      <w:pPr>
        <w:pStyle w:val="ListParagraph"/>
        <w:numPr>
          <w:ilvl w:val="0"/>
          <w:numId w:val="25"/>
        </w:numPr>
        <w:ind w:left="426"/>
        <w:rPr>
          <w:bCs/>
          <w:iCs/>
        </w:rPr>
      </w:pPr>
      <w:r>
        <w:t>katsoo, että tulevassa, tulossuuntautuneessa koheesiopolitiikassa olisi huomioitava selkeästi geopoliittiset haasteet sekä tarve investoida valmiuksien kehittämiseen ja lujittaa kumppanuusperiaatetta.</w:t>
      </w:r>
    </w:p>
    <w:p w:rsidRPr="006B1333" w:rsidR="00EC2D6A" w:rsidP="000B3DCE" w:rsidRDefault="00EC2D6A" w14:paraId="3FB647F3" w14:textId="77777777">
      <w:pPr>
        <w:pStyle w:val="ListParagraph"/>
        <w:numPr>
          <w:ilvl w:val="0"/>
          <w:numId w:val="25"/>
        </w:numPr>
        <w:ind w:left="426"/>
        <w:rPr>
          <w:bCs/>
          <w:iCs/>
        </w:rPr>
      </w:pPr>
      <w:r>
        <w:t>korostaa, että tulossuuntautuneisuuden ottaminen keskeiseksi periaatteeksi auttaa tehostamaan koheesiopolitiikan rajallisten rahoitusvarojen kohdentamista ja tuo näkyviä ja selviä hyötyjä.</w:t>
      </w:r>
    </w:p>
    <w:p w:rsidRPr="006205BC" w:rsidR="00EC2D6A" w:rsidP="000B3DCE" w:rsidRDefault="00EC2D6A" w14:paraId="4EF30513" w14:textId="77777777">
      <w:pPr>
        <w:pStyle w:val="ListParagraph"/>
        <w:numPr>
          <w:ilvl w:val="0"/>
          <w:numId w:val="25"/>
        </w:numPr>
        <w:ind w:left="426"/>
        <w:rPr>
          <w:bCs/>
          <w:iCs/>
        </w:rPr>
      </w:pPr>
      <w:r>
        <w:t>katsoo kuitenkin, ettei tulossuuntautuneen toimintamallin käyttöönotosta johtuvista velvoitteista pitäisi tulla ylimääräistä taakkaa niiden nykyisten valvonta- ja tarkastusprosessien lisäksi, joiden avulla varmistetaan, että koheesiorahastoista rahoitettaviin hankkeisiin osoitettujen varojen käyttö on vaikuttavaa, tehokasta ja taloudellista.</w:t>
      </w:r>
    </w:p>
    <w:p w:rsidR="00EC2D6A" w:rsidP="000B3DCE" w:rsidRDefault="00EC2D6A" w14:paraId="5C1694E6" w14:textId="77777777">
      <w:pPr>
        <w:pStyle w:val="ListParagraph"/>
        <w:numPr>
          <w:ilvl w:val="0"/>
          <w:numId w:val="25"/>
        </w:numPr>
        <w:ind w:left="426"/>
        <w:rPr>
          <w:bCs/>
          <w:iCs/>
        </w:rPr>
      </w:pPr>
      <w:r>
        <w:t>on vakuuttunut siitä, että koheesiopolitiikassa on tarvittavista sisältömuutoksista ja uudelleensuuntauksesta huolimatta jatkossakin keskityttävä alueisiin sekä niiden kehitykseen ja selviytymiskykyyn liittyviin erityistarpeisiin ja että sen avulla on pyrittävä vähentämään eriarvoisuutta.</w:t>
      </w:r>
    </w:p>
    <w:p w:rsidRPr="006B1333" w:rsidR="00EC2D6A" w:rsidP="000B3DCE" w:rsidRDefault="00EC2D6A" w14:paraId="695B2414" w14:textId="77777777">
      <w:pPr>
        <w:pStyle w:val="ListParagraph"/>
        <w:numPr>
          <w:ilvl w:val="0"/>
          <w:numId w:val="25"/>
        </w:numPr>
        <w:ind w:left="426"/>
        <w:rPr>
          <w:bCs/>
          <w:iCs/>
        </w:rPr>
      </w:pPr>
      <w:r>
        <w:t xml:space="preserve">katsoo, että olisi kiinnitettävä enemmän huomiota sosiaalisiin investointeihin, esimerkiksi asumiseen tehtäviin investointeihin, aluekehitystä edistävinä rakenteellisina tekijöinä, laadukkaiden julkisten palvelujen saatavuuteen sekä väestökehityshaasteisiin. </w:t>
      </w:r>
    </w:p>
    <w:p w:rsidRPr="006B1333" w:rsidR="00EC2D6A" w:rsidP="000B3DCE" w:rsidRDefault="00EC2D6A" w14:paraId="6883FC03" w14:textId="77777777">
      <w:pPr>
        <w:pStyle w:val="ListParagraph"/>
        <w:numPr>
          <w:ilvl w:val="0"/>
          <w:numId w:val="25"/>
        </w:numPr>
        <w:ind w:left="426"/>
        <w:rPr>
          <w:bCs/>
          <w:iCs/>
        </w:rPr>
      </w:pPr>
      <w:r>
        <w:t>suosittaa, että luodaan avoin toimintapoliittinen ympäristö, jossa tietyillä sidosryhmillä, mm. järjestäytyneen kansalaisyhteiskunnan edustajilla, on selkeästi määritelty paikkansa.</w:t>
      </w:r>
    </w:p>
    <w:p w:rsidRPr="006B1333" w:rsidR="00EC2D6A" w:rsidP="000B3DCE" w:rsidRDefault="00EC2D6A" w14:paraId="2A67FCBF" w14:textId="77777777">
      <w:pPr>
        <w:pStyle w:val="ListParagraph"/>
        <w:numPr>
          <w:ilvl w:val="0"/>
          <w:numId w:val="25"/>
        </w:numPr>
        <w:ind w:left="426"/>
        <w:rPr>
          <w:bCs/>
          <w:iCs/>
        </w:rPr>
      </w:pPr>
      <w:r>
        <w:t>tietää, että järjestelmä on monimutkainen ja sitä on yksinkertaistettava ja selkiytettävä huomattavasti.</w:t>
      </w:r>
    </w:p>
    <w:p w:rsidRPr="006D6031" w:rsidR="00EC2D6A" w:rsidP="000B3DCE" w:rsidRDefault="00EC2D6A" w14:paraId="7257F650" w14:textId="77777777">
      <w:pPr>
        <w:pStyle w:val="ListParagraph"/>
        <w:numPr>
          <w:ilvl w:val="0"/>
          <w:numId w:val="25"/>
        </w:numPr>
        <w:ind w:left="426"/>
        <w:rPr>
          <w:bCs/>
          <w:iCs/>
        </w:rPr>
      </w:pPr>
      <w:r>
        <w:lastRenderedPageBreak/>
        <w:t>korostaa, että lähentyminen ja kestävä kilpailukyky eivät etenkään EU:n nykyisen ja tulevan taloudellisen ja sosiaalisen kehityksen vaiheessa ole ristiriidassa keskenään.</w:t>
      </w:r>
    </w:p>
    <w:p w:rsidRPr="006205BC" w:rsidR="00EC2D6A" w:rsidP="000B3DCE" w:rsidRDefault="00EC2D6A" w14:paraId="33914D7B" w14:textId="77777777">
      <w:pPr>
        <w:pStyle w:val="ListParagraph"/>
        <w:ind w:left="360"/>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63"/>
        <w:gridCol w:w="5670"/>
      </w:tblGrid>
      <w:tr w:rsidRPr="00A6689B" w:rsidR="00EC2D6A" w:rsidTr="00F70F48" w14:paraId="5FC9E882" w14:textId="77777777">
        <w:tc>
          <w:tcPr>
            <w:tcW w:w="1418" w:type="dxa"/>
          </w:tcPr>
          <w:p w:rsidRPr="00A6689B" w:rsidR="00EC2D6A" w:rsidP="000B3DCE" w:rsidRDefault="00EC2D6A" w14:paraId="6856293E" w14:textId="77777777">
            <w:pPr>
              <w:rPr>
                <w:i/>
              </w:rPr>
            </w:pPr>
            <w:r>
              <w:rPr>
                <w:b/>
                <w:i/>
              </w:rPr>
              <w:t>Yhteydentotot</w:t>
            </w:r>
          </w:p>
        </w:tc>
        <w:tc>
          <w:tcPr>
            <w:tcW w:w="5670" w:type="dxa"/>
          </w:tcPr>
          <w:p w:rsidRPr="00165B52" w:rsidR="00EC2D6A" w:rsidP="000B3DCE" w:rsidRDefault="00EC2D6A" w14:paraId="4C792D41" w14:textId="33D068B7">
            <w:pPr>
              <w:rPr>
                <w:i/>
              </w:rPr>
            </w:pPr>
            <w:proofErr w:type="spellStart"/>
            <w:r>
              <w:rPr>
                <w:i/>
              </w:rPr>
              <w:t>Georgios</w:t>
            </w:r>
            <w:proofErr w:type="spellEnd"/>
            <w:r>
              <w:rPr>
                <w:i/>
              </w:rPr>
              <w:t xml:space="preserve"> </w:t>
            </w:r>
            <w:r w:rsidR="00485207">
              <w:rPr>
                <w:i/>
              </w:rPr>
              <w:t>MELEAS</w:t>
            </w:r>
          </w:p>
        </w:tc>
      </w:tr>
      <w:tr w:rsidRPr="00A6689B" w:rsidR="00EC2D6A" w:rsidTr="00F70F48" w14:paraId="3AFC5860" w14:textId="77777777">
        <w:tc>
          <w:tcPr>
            <w:tcW w:w="1418" w:type="dxa"/>
          </w:tcPr>
          <w:p w:rsidRPr="00A6689B" w:rsidR="00EC2D6A" w:rsidP="000B3DCE" w:rsidRDefault="00EC2D6A" w14:paraId="5FE9B185" w14:textId="77777777">
            <w:pPr>
              <w:rPr>
                <w:i/>
              </w:rPr>
            </w:pPr>
            <w:r>
              <w:rPr>
                <w:i/>
              </w:rPr>
              <w:t>P.</w:t>
            </w:r>
          </w:p>
        </w:tc>
        <w:tc>
          <w:tcPr>
            <w:tcW w:w="5670" w:type="dxa"/>
          </w:tcPr>
          <w:p w:rsidRPr="00A6689B" w:rsidR="00EC2D6A" w:rsidP="000B3DCE" w:rsidRDefault="00EC2D6A" w14:paraId="234C238B" w14:textId="77777777">
            <w:pPr>
              <w:rPr>
                <w:i/>
              </w:rPr>
            </w:pPr>
            <w:r>
              <w:rPr>
                <w:i/>
              </w:rPr>
              <w:t>+32 2 5469795</w:t>
            </w:r>
          </w:p>
        </w:tc>
      </w:tr>
      <w:tr w:rsidRPr="00A6689B" w:rsidR="00EC2D6A" w:rsidTr="00F70F48" w14:paraId="7F963333" w14:textId="77777777">
        <w:tc>
          <w:tcPr>
            <w:tcW w:w="1418" w:type="dxa"/>
          </w:tcPr>
          <w:p w:rsidRPr="00A6689B" w:rsidR="00EC2D6A" w:rsidP="000B3DCE" w:rsidRDefault="00EC2D6A" w14:paraId="7DD71C49" w14:textId="77777777">
            <w:pPr>
              <w:rPr>
                <w:i/>
              </w:rPr>
            </w:pPr>
            <w:r>
              <w:rPr>
                <w:i/>
              </w:rPr>
              <w:t>Sähköposti</w:t>
            </w:r>
          </w:p>
        </w:tc>
        <w:tc>
          <w:tcPr>
            <w:tcW w:w="5670" w:type="dxa"/>
          </w:tcPr>
          <w:p w:rsidRPr="006D6031" w:rsidR="00EC2D6A" w:rsidP="000B3DCE" w:rsidRDefault="00D94EF3" w14:paraId="40650C50" w14:textId="77777777">
            <w:pPr>
              <w:rPr>
                <w:i/>
                <w:iCs/>
              </w:rPr>
            </w:pPr>
            <w:hyperlink w:history="1" r:id="rId22">
              <w:r w:rsidR="00EC2D6A">
                <w:rPr>
                  <w:rStyle w:val="Hyperlink"/>
                  <w:i/>
                </w:rPr>
                <w:t>Georgios.Meleas@eesc.europa.eu</w:t>
              </w:r>
            </w:hyperlink>
          </w:p>
        </w:tc>
      </w:tr>
    </w:tbl>
    <w:p w:rsidR="00EC2D6A" w:rsidP="000B3DCE" w:rsidRDefault="00EC2D6A" w14:paraId="195C2FD1" w14:textId="77777777">
      <w:pPr>
        <w:jc w:val="center"/>
        <w:rPr>
          <w:lang w:val="nl-BE"/>
        </w:rPr>
      </w:pPr>
    </w:p>
    <w:p w:rsidR="004D7AC0" w:rsidP="000B3DCE" w:rsidRDefault="004D7AC0" w14:paraId="4982DD98" w14:textId="2C8378DD">
      <w:pPr>
        <w:spacing w:after="160"/>
        <w:jc w:val="left"/>
      </w:pPr>
      <w:r>
        <w:br w:type="page"/>
      </w:r>
    </w:p>
    <w:p w:rsidR="004D7AC0" w:rsidP="000B3DCE" w:rsidRDefault="004D7AC0" w14:paraId="4982DD99" w14:textId="77777777">
      <w:pPr>
        <w:pStyle w:val="Heading1"/>
        <w:rPr>
          <w:b/>
        </w:rPr>
      </w:pPr>
      <w:bookmarkStart w:name="_Toc75527081" w:id="1"/>
      <w:bookmarkStart w:name="_Toc192065766" w:id="2"/>
      <w:r>
        <w:rPr>
          <w:b/>
        </w:rPr>
        <w:lastRenderedPageBreak/>
        <w:t>TYÖLLISYYS, SOSIAALIASIAT JA KANSALAISUUS</w:t>
      </w:r>
      <w:bookmarkEnd w:id="1"/>
      <w:bookmarkEnd w:id="2"/>
    </w:p>
    <w:p w:rsidRPr="00EC2D6A" w:rsidR="00EC2D6A" w:rsidP="000B3DCE" w:rsidRDefault="00EC2D6A" w14:paraId="4A8D37EE" w14:textId="77777777">
      <w:pPr>
        <w:widowControl w:val="0"/>
        <w:overflowPunct w:val="0"/>
        <w:autoSpaceDE w:val="0"/>
        <w:autoSpaceDN w:val="0"/>
        <w:adjustRightInd w:val="0"/>
        <w:jc w:val="center"/>
        <w:textAlignment w:val="baseline"/>
        <w:rPr>
          <w:bCs/>
          <w:iCs/>
        </w:rPr>
      </w:pPr>
      <w:r w:rsidRPr="00EC2D6A">
        <w:rPr>
          <w:noProof/>
          <w:sz w:val="20"/>
          <w:szCs w:val="20"/>
        </w:rPr>
        <mc:AlternateContent>
          <mc:Choice Requires="wps">
            <w:drawing>
              <wp:anchor distT="0" distB="0" distL="114300" distR="114300" simplePos="0" relativeHeight="251665408" behindDoc="1" locked="0" layoutInCell="0" allowOverlap="1" wp14:editId="3FB17E6A" wp14:anchorId="1F7DFF22">
                <wp:simplePos x="0" y="0"/>
                <wp:positionH relativeFrom="page">
                  <wp:posOffset>6769100</wp:posOffset>
                </wp:positionH>
                <wp:positionV relativeFrom="page">
                  <wp:posOffset>10081260</wp:posOffset>
                </wp:positionV>
                <wp:extent cx="647700" cy="396240"/>
                <wp:effectExtent l="0" t="3810" r="3175" b="0"/>
                <wp:wrapNone/>
                <wp:docPr id="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EC2D6A" w:rsidP="00EC2D6A" w:rsidRDefault="00EC2D6A" w14:paraId="68C8C636"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29" style="position:absolute;left:0;text-align:left;margin-left:533pt;margin-top:793.8pt;width:51pt;height:31.2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wz9QEAAM0DAAAOAAAAZHJzL2Uyb0RvYy54bWysU9uO0zAQfUfiHyy/06Td0r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XIuhYWOR/Si&#10;hyDe4yCmyyhP73zBWc+O88LAfh5zatW7R1TfvLB414Dd6lsi7BsNFdObxpfZxdMRx0eQTf8JK64D&#10;u4AJaKipi9qxGoLReUyH82giF8XOxXy5zDmiOHR1vZjN0+gyKE6PHfnwQWMn4qWUxJNP4LB/9CGS&#10;geKUEmtZfDBtm6bf2t8cnBg9iXzkOzIPw2ZIMl2dNNlgdeBuCMed4j/AlwbphxQ971Mp/fcdkJai&#10;/WhZkevpnDmLkIz52+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Coqwz9QEAAM0DAAAOAAAAAAAAAAAAAAAAAC4CAABk&#10;cnMvZTJvRG9jLnhtbFBLAQItABQABgAIAAAAIQDrVDFa3gAAAA8BAAAPAAAAAAAAAAAAAAAAAE8E&#10;AABkcnMvZG93bnJldi54bWxQSwUGAAAAAAQABADzAAAAWgUAAAAA&#10;" w14:anchorId="1F7DFF22">
                <v:textbox>
                  <w:txbxContent>
                    <w:p w:rsidRPr="00260E65" w:rsidR="00EC2D6A" w:rsidP="00EC2D6A" w:rsidRDefault="00EC2D6A" w14:paraId="68C8C636"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p>
    <w:p w:rsidRPr="006978D9" w:rsidR="00EC2D6A" w:rsidP="006978D9" w:rsidRDefault="00D94EF3" w14:paraId="26A78166" w14:textId="5242DEC4">
      <w:pPr>
        <w:widowControl w:val="0"/>
        <w:numPr>
          <w:ilvl w:val="0"/>
          <w:numId w:val="4"/>
        </w:numPr>
        <w:overflowPunct w:val="0"/>
        <w:autoSpaceDE w:val="0"/>
        <w:autoSpaceDN w:val="0"/>
        <w:adjustRightInd w:val="0"/>
        <w:ind w:hanging="567"/>
        <w:textAlignment w:val="baseline"/>
        <w:rPr>
          <w:rStyle w:val="Hyperlink"/>
          <w:b/>
          <w:i/>
          <w:sz w:val="28"/>
          <w:szCs w:val="28"/>
        </w:rPr>
      </w:pPr>
      <w:hyperlink w:history="1" r:id="rId23">
        <w:r w:rsidRPr="006978D9" w:rsidR="00EC2D6A">
          <w:rPr>
            <w:rStyle w:val="Hyperlink"/>
            <w:b/>
            <w:i/>
            <w:sz w:val="28"/>
            <w:szCs w:val="28"/>
          </w:rPr>
          <w:t>Yksinäisyyden torjuminen: väestön yhteenkuuluvuutta edistävien toimenpiteiden vahvistaminen</w:t>
        </w:r>
      </w:hyperlink>
    </w:p>
    <w:p w:rsidRPr="00EC2D6A" w:rsidR="00EC2D6A" w:rsidP="000B3DCE" w:rsidRDefault="00EC2D6A" w14:paraId="031BFB07" w14:textId="77777777">
      <w:pPr>
        <w:tabs>
          <w:tab w:val="center" w:pos="284"/>
        </w:tabs>
        <w:overflowPunct w:val="0"/>
        <w:autoSpaceDE w:val="0"/>
        <w:autoSpaceDN w:val="0"/>
        <w:adjustRightInd w:val="0"/>
        <w:ind w:left="266" w:hanging="266"/>
        <w:textAlignment w:val="baseline"/>
        <w:rPr>
          <w:b/>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03"/>
        <w:gridCol w:w="7470"/>
      </w:tblGrid>
      <w:tr w:rsidRPr="00EC2D6A" w:rsidR="00EC2D6A" w:rsidTr="00F70F48" w14:paraId="1502DCE6" w14:textId="77777777">
        <w:tc>
          <w:tcPr>
            <w:tcW w:w="1607" w:type="dxa"/>
          </w:tcPr>
          <w:p w:rsidRPr="00EC2D6A" w:rsidR="00EC2D6A" w:rsidP="000B3DCE" w:rsidRDefault="00EC2D6A" w14:paraId="6379EE45" w14:textId="77777777">
            <w:pPr>
              <w:tabs>
                <w:tab w:val="center" w:pos="284"/>
              </w:tabs>
              <w:overflowPunct w:val="0"/>
              <w:autoSpaceDE w:val="0"/>
              <w:autoSpaceDN w:val="0"/>
              <w:adjustRightInd w:val="0"/>
              <w:ind w:left="266" w:hanging="266"/>
              <w:textAlignment w:val="baseline"/>
              <w:rPr>
                <w:b/>
              </w:rPr>
            </w:pPr>
            <w:r w:rsidRPr="00EC2D6A">
              <w:rPr>
                <w:b/>
              </w:rPr>
              <w:t>Esittelijä</w:t>
            </w:r>
          </w:p>
        </w:tc>
        <w:tc>
          <w:tcPr>
            <w:tcW w:w="7573" w:type="dxa"/>
          </w:tcPr>
          <w:p w:rsidRPr="00EC2D6A" w:rsidR="00EC2D6A" w:rsidP="000B3DCE" w:rsidRDefault="00EC2D6A" w14:paraId="57B6A5C8" w14:textId="20B558BC">
            <w:pPr>
              <w:tabs>
                <w:tab w:val="center" w:pos="284"/>
              </w:tabs>
              <w:overflowPunct w:val="0"/>
              <w:autoSpaceDE w:val="0"/>
              <w:autoSpaceDN w:val="0"/>
              <w:adjustRightInd w:val="0"/>
              <w:ind w:left="266" w:hanging="266"/>
              <w:textAlignment w:val="baseline"/>
            </w:pPr>
            <w:r w:rsidRPr="00EC2D6A">
              <w:t xml:space="preserve">Miguel </w:t>
            </w:r>
            <w:proofErr w:type="spellStart"/>
            <w:r w:rsidRPr="00EC2D6A">
              <w:t>Ángel</w:t>
            </w:r>
            <w:proofErr w:type="spellEnd"/>
            <w:r w:rsidRPr="00EC2D6A">
              <w:t xml:space="preserve"> </w:t>
            </w:r>
            <w:r w:rsidRPr="00EC2D6A" w:rsidR="00485207">
              <w:t xml:space="preserve">CABRA DE LUNA </w:t>
            </w:r>
            <w:r w:rsidRPr="00EC2D6A">
              <w:t>(kansalaisyhteiskunnan organisaatiot – ES)</w:t>
            </w:r>
          </w:p>
        </w:tc>
      </w:tr>
      <w:tr w:rsidRPr="00EC2D6A" w:rsidR="00EC2D6A" w:rsidTr="00F70F48" w14:paraId="3D540786" w14:textId="77777777">
        <w:tc>
          <w:tcPr>
            <w:tcW w:w="9180" w:type="dxa"/>
            <w:gridSpan w:val="2"/>
          </w:tcPr>
          <w:p w:rsidRPr="00EC2D6A" w:rsidR="00EC2D6A" w:rsidP="000B3DCE" w:rsidRDefault="00EC2D6A" w14:paraId="29E124F8" w14:textId="77777777">
            <w:pPr>
              <w:tabs>
                <w:tab w:val="center" w:pos="284"/>
              </w:tabs>
              <w:overflowPunct w:val="0"/>
              <w:autoSpaceDE w:val="0"/>
              <w:autoSpaceDN w:val="0"/>
              <w:adjustRightInd w:val="0"/>
              <w:ind w:left="266" w:hanging="266"/>
              <w:textAlignment w:val="baseline"/>
            </w:pPr>
          </w:p>
        </w:tc>
      </w:tr>
      <w:tr w:rsidRPr="00EC2D6A" w:rsidR="00EC2D6A" w:rsidTr="00F70F48" w14:paraId="5738CEDC" w14:textId="77777777">
        <w:tc>
          <w:tcPr>
            <w:tcW w:w="1607" w:type="dxa"/>
            <w:vMerge w:val="restart"/>
          </w:tcPr>
          <w:p w:rsidRPr="00EC2D6A" w:rsidR="00EC2D6A" w:rsidP="000B3DCE" w:rsidRDefault="00EC2D6A" w14:paraId="5BB179D1" w14:textId="77777777">
            <w:pPr>
              <w:tabs>
                <w:tab w:val="center" w:pos="284"/>
              </w:tabs>
              <w:overflowPunct w:val="0"/>
              <w:autoSpaceDE w:val="0"/>
              <w:autoSpaceDN w:val="0"/>
              <w:adjustRightInd w:val="0"/>
              <w:ind w:left="266" w:hanging="266"/>
              <w:textAlignment w:val="baseline"/>
              <w:rPr>
                <w:b/>
              </w:rPr>
            </w:pPr>
            <w:r w:rsidRPr="00EC2D6A">
              <w:rPr>
                <w:b/>
              </w:rPr>
              <w:t xml:space="preserve">Viiteasiakirja </w:t>
            </w:r>
          </w:p>
        </w:tc>
        <w:tc>
          <w:tcPr>
            <w:tcW w:w="7573" w:type="dxa"/>
          </w:tcPr>
          <w:p w:rsidRPr="00EC2D6A" w:rsidR="00EC2D6A" w:rsidP="000B3DCE" w:rsidRDefault="00EC2D6A" w14:paraId="429B3479" w14:textId="77777777">
            <w:pPr>
              <w:tabs>
                <w:tab w:val="center" w:pos="284"/>
              </w:tabs>
              <w:overflowPunct w:val="0"/>
              <w:autoSpaceDE w:val="0"/>
              <w:autoSpaceDN w:val="0"/>
              <w:adjustRightInd w:val="0"/>
              <w:ind w:left="266" w:hanging="266"/>
              <w:textAlignment w:val="baseline"/>
            </w:pPr>
            <w:r w:rsidRPr="00EC2D6A">
              <w:t>oma-aloitteinen lausunto</w:t>
            </w:r>
          </w:p>
        </w:tc>
      </w:tr>
      <w:tr w:rsidRPr="00EC2D6A" w:rsidR="00EC2D6A" w:rsidTr="00F70F48" w14:paraId="14E62CC3" w14:textId="77777777">
        <w:tc>
          <w:tcPr>
            <w:tcW w:w="1607" w:type="dxa"/>
            <w:vMerge/>
          </w:tcPr>
          <w:p w:rsidRPr="00EC2D6A" w:rsidR="00EC2D6A" w:rsidP="000B3DCE" w:rsidRDefault="00EC2D6A" w14:paraId="3964C402" w14:textId="77777777">
            <w:pPr>
              <w:tabs>
                <w:tab w:val="center" w:pos="284"/>
              </w:tabs>
              <w:overflowPunct w:val="0"/>
              <w:autoSpaceDE w:val="0"/>
              <w:autoSpaceDN w:val="0"/>
              <w:adjustRightInd w:val="0"/>
              <w:ind w:left="266" w:hanging="266"/>
              <w:textAlignment w:val="baseline"/>
              <w:rPr>
                <w:b/>
              </w:rPr>
            </w:pPr>
          </w:p>
        </w:tc>
        <w:tc>
          <w:tcPr>
            <w:tcW w:w="7573" w:type="dxa"/>
          </w:tcPr>
          <w:p w:rsidRPr="00EC2D6A" w:rsidR="00EC2D6A" w:rsidP="000B3DCE" w:rsidRDefault="00EC2D6A" w14:paraId="69C064C1" w14:textId="77777777">
            <w:pPr>
              <w:tabs>
                <w:tab w:val="center" w:pos="284"/>
              </w:tabs>
              <w:overflowPunct w:val="0"/>
              <w:autoSpaceDE w:val="0"/>
              <w:autoSpaceDN w:val="0"/>
              <w:adjustRightInd w:val="0"/>
              <w:ind w:left="266" w:hanging="266"/>
              <w:textAlignment w:val="baseline"/>
            </w:pPr>
            <w:r w:rsidRPr="00EC2D6A">
              <w:t>EESC-2024-03264-00-00-AC</w:t>
            </w:r>
          </w:p>
        </w:tc>
      </w:tr>
    </w:tbl>
    <w:p w:rsidRPr="00EC2D6A" w:rsidR="00EC2D6A" w:rsidP="000B3DCE" w:rsidRDefault="00EC2D6A" w14:paraId="5D4FF6DA" w14:textId="77777777">
      <w:pPr>
        <w:tabs>
          <w:tab w:val="center" w:pos="284"/>
        </w:tabs>
        <w:overflowPunct w:val="0"/>
        <w:autoSpaceDE w:val="0"/>
        <w:autoSpaceDN w:val="0"/>
        <w:adjustRightInd w:val="0"/>
        <w:ind w:left="266" w:hanging="266"/>
        <w:textAlignment w:val="baseline"/>
      </w:pPr>
    </w:p>
    <w:p w:rsidRPr="00EC2D6A" w:rsidR="00EC2D6A" w:rsidP="000B3DCE" w:rsidRDefault="00EC2D6A" w14:paraId="5FBDE402" w14:textId="77777777">
      <w:pPr>
        <w:keepNext/>
        <w:keepLines/>
        <w:tabs>
          <w:tab w:val="center" w:pos="284"/>
        </w:tabs>
        <w:overflowPunct w:val="0"/>
        <w:autoSpaceDE w:val="0"/>
        <w:autoSpaceDN w:val="0"/>
        <w:adjustRightInd w:val="0"/>
        <w:ind w:left="266" w:hanging="266"/>
        <w:textAlignment w:val="baseline"/>
        <w:rPr>
          <w:b/>
        </w:rPr>
      </w:pPr>
      <w:r w:rsidRPr="00EC2D6A">
        <w:rPr>
          <w:b/>
          <w:szCs w:val="20"/>
        </w:rPr>
        <w:t>Keskeiset kohdat</w:t>
      </w:r>
    </w:p>
    <w:p w:rsidRPr="00EC2D6A" w:rsidR="00EC2D6A" w:rsidP="000B3DCE" w:rsidRDefault="00EC2D6A" w14:paraId="12E10043" w14:textId="77777777">
      <w:pPr>
        <w:keepNext/>
        <w:keepLines/>
        <w:tabs>
          <w:tab w:val="center" w:pos="284"/>
        </w:tabs>
        <w:overflowPunct w:val="0"/>
        <w:autoSpaceDE w:val="0"/>
        <w:autoSpaceDN w:val="0"/>
        <w:adjustRightInd w:val="0"/>
        <w:ind w:left="266" w:hanging="266"/>
        <w:textAlignment w:val="baseline"/>
        <w:rPr>
          <w:b/>
        </w:rPr>
      </w:pPr>
    </w:p>
    <w:p w:rsidRPr="00EC2D6A" w:rsidR="00EC2D6A" w:rsidP="000B3DCE" w:rsidRDefault="00EC2D6A" w14:paraId="5CD3D484" w14:textId="77777777">
      <w:pPr>
        <w:overflowPunct w:val="0"/>
        <w:autoSpaceDE w:val="0"/>
        <w:autoSpaceDN w:val="0"/>
        <w:adjustRightInd w:val="0"/>
        <w:textAlignment w:val="baseline"/>
        <w:rPr>
          <w:bCs/>
          <w:iCs/>
        </w:rPr>
      </w:pPr>
      <w:r w:rsidRPr="00EC2D6A">
        <w:rPr>
          <w:szCs w:val="20"/>
        </w:rPr>
        <w:t>ETSK</w:t>
      </w:r>
    </w:p>
    <w:p w:rsidRPr="00EC2D6A" w:rsidR="00EC2D6A" w:rsidP="000B3DCE" w:rsidRDefault="00EC2D6A" w14:paraId="458CC569" w14:textId="77777777">
      <w:pPr>
        <w:widowControl w:val="0"/>
        <w:numPr>
          <w:ilvl w:val="0"/>
          <w:numId w:val="26"/>
        </w:numPr>
        <w:overflowPunct w:val="0"/>
        <w:autoSpaceDE w:val="0"/>
        <w:autoSpaceDN w:val="0"/>
        <w:adjustRightInd w:val="0"/>
        <w:textAlignment w:val="baseline"/>
        <w:rPr>
          <w:szCs w:val="20"/>
        </w:rPr>
      </w:pPr>
      <w:r w:rsidRPr="00EC2D6A">
        <w:rPr>
          <w:szCs w:val="20"/>
        </w:rPr>
        <w:t>kehottaa komissiota hyväksymään toimikaudellaan 2025–2029 yksinäisyyttä koskevan EU:n strategian, johon sisältyisi seuraavaa: lisätään tietoa yksinäisyydestä, analysoidaan ja arvioidaan nykyisiä toimenpiteitä, sovelletaan intersektionaalista lähestymistapaa, puututaan syihin ennaltaehkäisevästi, tehdään valistustyötä ja poistetaan yksinäisyyteen liittyvä stigma, helpotetaan terveydenhuoltojärjestelmiin kohdistuvaa painetta ja otetaan käyttöön rahoitustukea.</w:t>
      </w:r>
    </w:p>
    <w:p w:rsidRPr="00EC2D6A" w:rsidR="00EC2D6A" w:rsidP="000B3DCE" w:rsidRDefault="00EC2D6A" w14:paraId="447E37D8" w14:textId="77777777">
      <w:pPr>
        <w:widowControl w:val="0"/>
        <w:numPr>
          <w:ilvl w:val="0"/>
          <w:numId w:val="26"/>
        </w:numPr>
        <w:overflowPunct w:val="0"/>
        <w:autoSpaceDE w:val="0"/>
        <w:autoSpaceDN w:val="0"/>
        <w:adjustRightInd w:val="0"/>
        <w:textAlignment w:val="baseline"/>
        <w:rPr>
          <w:szCs w:val="20"/>
        </w:rPr>
      </w:pPr>
      <w:r w:rsidRPr="00EC2D6A">
        <w:rPr>
          <w:szCs w:val="20"/>
        </w:rPr>
        <w:t>painottaa, että kansalaisyhteiskunnan organisaatioilla on ratkaiseva rooli yksinäisyyden torjumisessa, ja toteaa, että myös työmarkkinaosapuolet voivat olla tässä apuna.</w:t>
      </w:r>
    </w:p>
    <w:p w:rsidRPr="00EC2D6A" w:rsidR="00EC2D6A" w:rsidP="000B3DCE" w:rsidRDefault="00EC2D6A" w14:paraId="3931261F" w14:textId="77777777">
      <w:pPr>
        <w:widowControl w:val="0"/>
        <w:numPr>
          <w:ilvl w:val="0"/>
          <w:numId w:val="26"/>
        </w:numPr>
        <w:overflowPunct w:val="0"/>
        <w:autoSpaceDE w:val="0"/>
        <w:autoSpaceDN w:val="0"/>
        <w:adjustRightInd w:val="0"/>
        <w:textAlignment w:val="baseline"/>
        <w:rPr>
          <w:szCs w:val="20"/>
        </w:rPr>
      </w:pPr>
      <w:r w:rsidRPr="00EC2D6A">
        <w:rPr>
          <w:szCs w:val="20"/>
        </w:rPr>
        <w:t>kehottaa laatimaan Euroopan tasolla erityisiä toimenpiteitä yksinäisyyden torjumiseksi osana ikäihmisiä koskevaa EU:n strategiaa (lausunto SOC/757) ja sukupolvien välistä oikeudenmukaisuutta koskevaa tulevaa EU:n strategiaa (lausunto SOC/800).</w:t>
      </w:r>
    </w:p>
    <w:p w:rsidRPr="00EC2D6A" w:rsidR="00EC2D6A" w:rsidP="000B3DCE" w:rsidRDefault="00EC2D6A" w14:paraId="2D904622" w14:textId="77777777">
      <w:pPr>
        <w:widowControl w:val="0"/>
        <w:numPr>
          <w:ilvl w:val="0"/>
          <w:numId w:val="26"/>
        </w:numPr>
        <w:overflowPunct w:val="0"/>
        <w:autoSpaceDE w:val="0"/>
        <w:autoSpaceDN w:val="0"/>
        <w:adjustRightInd w:val="0"/>
        <w:textAlignment w:val="baseline"/>
        <w:rPr>
          <w:szCs w:val="20"/>
        </w:rPr>
      </w:pPr>
      <w:r w:rsidRPr="00EC2D6A">
        <w:rPr>
          <w:szCs w:val="20"/>
        </w:rPr>
        <w:t>katsoo, että strategioissa on käsiteltävä yksinäisyyttä elämän kaikissa vaiheissa lapsuudesta aina vanhuuteen ja kiinnitettävä erityistä huomiota elämän käännekohtiin. Niissä tarvitaan myös korkean tason johtajuutta ja eri toimijoiden, kuten julkishallinnon (erityisesti paikallisviranomaisten), järjestäytyneen kansalaisyhteiskunnan, työmarkkinaosapuolten, yhteisötalouden ja tiedotusvälineiden, osallistumista.</w:t>
      </w:r>
    </w:p>
    <w:p w:rsidRPr="00EC2D6A" w:rsidR="00EC2D6A" w:rsidP="000B3DCE" w:rsidRDefault="00EC2D6A" w14:paraId="12DF5C26" w14:textId="77777777">
      <w:pPr>
        <w:widowControl w:val="0"/>
        <w:numPr>
          <w:ilvl w:val="0"/>
          <w:numId w:val="26"/>
        </w:numPr>
        <w:overflowPunct w:val="0"/>
        <w:autoSpaceDE w:val="0"/>
        <w:autoSpaceDN w:val="0"/>
        <w:adjustRightInd w:val="0"/>
        <w:textAlignment w:val="baseline"/>
        <w:rPr>
          <w:szCs w:val="20"/>
        </w:rPr>
      </w:pPr>
      <w:r w:rsidRPr="00EC2D6A">
        <w:rPr>
          <w:szCs w:val="20"/>
        </w:rPr>
        <w:t>pyytää Euroopan komissiota jatkamaan yksinäisyyttä koskevaa pilottihanketta, joka käynnistettiin vuonna 2022 Euroopan parlamentin aloitteesta.</w:t>
      </w:r>
    </w:p>
    <w:p w:rsidRPr="00EC2D6A" w:rsidR="00EC2D6A" w:rsidP="000B3DCE" w:rsidRDefault="00EC2D6A" w14:paraId="1DDED075" w14:textId="77777777">
      <w:pPr>
        <w:widowControl w:val="0"/>
        <w:numPr>
          <w:ilvl w:val="0"/>
          <w:numId w:val="26"/>
        </w:numPr>
        <w:overflowPunct w:val="0"/>
        <w:autoSpaceDE w:val="0"/>
        <w:autoSpaceDN w:val="0"/>
        <w:adjustRightInd w:val="0"/>
        <w:textAlignment w:val="baseline"/>
        <w:rPr>
          <w:szCs w:val="20"/>
        </w:rPr>
      </w:pPr>
      <w:r w:rsidRPr="00EC2D6A">
        <w:rPr>
          <w:szCs w:val="20"/>
        </w:rPr>
        <w:t>kehottaa sisällyttämään yksinäisyysulottuvuuden myös tulevaan nuorisotestialoitteeseen.</w:t>
      </w:r>
    </w:p>
    <w:p w:rsidRPr="00EC2D6A" w:rsidR="00EC2D6A" w:rsidP="000B3DCE" w:rsidRDefault="00EC2D6A" w14:paraId="07EFEA41" w14:textId="77777777">
      <w:pPr>
        <w:widowControl w:val="0"/>
        <w:numPr>
          <w:ilvl w:val="0"/>
          <w:numId w:val="26"/>
        </w:numPr>
        <w:overflowPunct w:val="0"/>
        <w:autoSpaceDE w:val="0"/>
        <w:autoSpaceDN w:val="0"/>
        <w:adjustRightInd w:val="0"/>
        <w:textAlignment w:val="baseline"/>
        <w:rPr>
          <w:szCs w:val="20"/>
        </w:rPr>
      </w:pPr>
      <w:r w:rsidRPr="00EC2D6A">
        <w:rPr>
          <w:szCs w:val="20"/>
        </w:rPr>
        <w:t>kannustaa Euroopan alueiden komiteaa osallistumaan ehdotettuun strategiaan.</w:t>
      </w:r>
    </w:p>
    <w:p w:rsidRPr="00EC2D6A" w:rsidR="00EC2D6A" w:rsidP="000B3DCE" w:rsidRDefault="00EC2D6A" w14:paraId="19FA799C" w14:textId="77777777">
      <w:pPr>
        <w:widowControl w:val="0"/>
        <w:overflowPunct w:val="0"/>
        <w:autoSpaceDE w:val="0"/>
        <w:autoSpaceDN w:val="0"/>
        <w:adjustRightInd w:val="0"/>
        <w:ind w:left="709"/>
        <w:textAlignment w:val="baseline"/>
        <w:rPr>
          <w:szCs w:val="20"/>
        </w:rPr>
      </w:pPr>
    </w:p>
    <w:tbl>
      <w:tblPr>
        <w:tblStyle w:val="TableGrid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EC2D6A" w:rsidR="00EC2D6A" w:rsidTr="00F70F48" w14:paraId="10DFB4B1" w14:textId="77777777">
        <w:tc>
          <w:tcPr>
            <w:tcW w:w="1418" w:type="dxa"/>
          </w:tcPr>
          <w:p w:rsidRPr="00EC2D6A" w:rsidR="00EC2D6A" w:rsidP="000B3DCE" w:rsidRDefault="00EC2D6A" w14:paraId="39181FC7" w14:textId="77777777">
            <w:pPr>
              <w:overflowPunct w:val="0"/>
              <w:autoSpaceDE w:val="0"/>
              <w:autoSpaceDN w:val="0"/>
              <w:adjustRightInd w:val="0"/>
              <w:textAlignment w:val="baseline"/>
              <w:rPr>
                <w:i/>
              </w:rPr>
            </w:pPr>
            <w:r w:rsidRPr="00EC2D6A">
              <w:rPr>
                <w:b/>
                <w:i/>
              </w:rPr>
              <w:t>Yhteydenotot</w:t>
            </w:r>
          </w:p>
        </w:tc>
        <w:tc>
          <w:tcPr>
            <w:tcW w:w="5670" w:type="dxa"/>
          </w:tcPr>
          <w:p w:rsidRPr="00EC2D6A" w:rsidR="00EC2D6A" w:rsidP="000B3DCE" w:rsidRDefault="00EC2D6A" w14:paraId="6D87E16B" w14:textId="656FF95B">
            <w:pPr>
              <w:overflowPunct w:val="0"/>
              <w:autoSpaceDE w:val="0"/>
              <w:autoSpaceDN w:val="0"/>
              <w:adjustRightInd w:val="0"/>
              <w:textAlignment w:val="baseline"/>
              <w:rPr>
                <w:i/>
              </w:rPr>
            </w:pPr>
            <w:r w:rsidRPr="00EC2D6A">
              <w:rPr>
                <w:i/>
              </w:rPr>
              <w:t xml:space="preserve">Valeria </w:t>
            </w:r>
            <w:r w:rsidRPr="00EC2D6A" w:rsidR="00485207">
              <w:rPr>
                <w:i/>
              </w:rPr>
              <w:t>ATZORI</w:t>
            </w:r>
          </w:p>
        </w:tc>
      </w:tr>
      <w:tr w:rsidRPr="00EC2D6A" w:rsidR="00EC2D6A" w:rsidTr="00F70F48" w14:paraId="1411ACF9" w14:textId="77777777">
        <w:tc>
          <w:tcPr>
            <w:tcW w:w="1418" w:type="dxa"/>
          </w:tcPr>
          <w:p w:rsidRPr="00EC2D6A" w:rsidR="00EC2D6A" w:rsidP="000B3DCE" w:rsidRDefault="00EC2D6A" w14:paraId="7123B6A6" w14:textId="77777777">
            <w:pPr>
              <w:overflowPunct w:val="0"/>
              <w:autoSpaceDE w:val="0"/>
              <w:autoSpaceDN w:val="0"/>
              <w:adjustRightInd w:val="0"/>
              <w:textAlignment w:val="baseline"/>
              <w:rPr>
                <w:i/>
              </w:rPr>
            </w:pPr>
            <w:r w:rsidRPr="00EC2D6A">
              <w:rPr>
                <w:i/>
              </w:rPr>
              <w:t>P.</w:t>
            </w:r>
          </w:p>
        </w:tc>
        <w:tc>
          <w:tcPr>
            <w:tcW w:w="5670" w:type="dxa"/>
          </w:tcPr>
          <w:p w:rsidRPr="00EC2D6A" w:rsidR="00EC2D6A" w:rsidP="000B3DCE" w:rsidRDefault="00EC2D6A" w14:paraId="02230208" w14:textId="77777777">
            <w:pPr>
              <w:overflowPunct w:val="0"/>
              <w:autoSpaceDE w:val="0"/>
              <w:autoSpaceDN w:val="0"/>
              <w:adjustRightInd w:val="0"/>
              <w:textAlignment w:val="baseline"/>
              <w:rPr>
                <w:i/>
              </w:rPr>
            </w:pPr>
            <w:r w:rsidRPr="00EC2D6A">
              <w:rPr>
                <w:i/>
              </w:rPr>
              <w:t>+32 25468774</w:t>
            </w:r>
          </w:p>
        </w:tc>
      </w:tr>
      <w:tr w:rsidRPr="00EC2D6A" w:rsidR="00EC2D6A" w:rsidTr="00F70F48" w14:paraId="761F07DF" w14:textId="77777777">
        <w:trPr>
          <w:trHeight w:val="285"/>
        </w:trPr>
        <w:tc>
          <w:tcPr>
            <w:tcW w:w="1418" w:type="dxa"/>
          </w:tcPr>
          <w:p w:rsidRPr="00EC2D6A" w:rsidR="00EC2D6A" w:rsidP="000B3DCE" w:rsidRDefault="00EC2D6A" w14:paraId="05258B8E" w14:textId="77777777">
            <w:pPr>
              <w:overflowPunct w:val="0"/>
              <w:autoSpaceDE w:val="0"/>
              <w:autoSpaceDN w:val="0"/>
              <w:adjustRightInd w:val="0"/>
              <w:textAlignment w:val="baseline"/>
              <w:rPr>
                <w:i/>
              </w:rPr>
            </w:pPr>
            <w:r w:rsidRPr="00EC2D6A">
              <w:rPr>
                <w:i/>
              </w:rPr>
              <w:t>Sähköposti</w:t>
            </w:r>
          </w:p>
        </w:tc>
        <w:tc>
          <w:tcPr>
            <w:tcW w:w="5670" w:type="dxa"/>
          </w:tcPr>
          <w:p w:rsidRPr="00EC2D6A" w:rsidR="00EC2D6A" w:rsidP="000B3DCE" w:rsidRDefault="00D94EF3" w14:paraId="0C676875" w14:textId="77777777">
            <w:pPr>
              <w:overflowPunct w:val="0"/>
              <w:autoSpaceDE w:val="0"/>
              <w:autoSpaceDN w:val="0"/>
              <w:adjustRightInd w:val="0"/>
              <w:textAlignment w:val="baseline"/>
              <w:rPr>
                <w:i/>
                <w:iCs/>
              </w:rPr>
            </w:pPr>
            <w:hyperlink w:history="1" r:id="rId24">
              <w:r w:rsidRPr="00EC2D6A" w:rsidR="00EC2D6A">
                <w:rPr>
                  <w:i/>
                  <w:color w:val="0000FF"/>
                  <w:u w:val="single"/>
                </w:rPr>
                <w:t>Valeria.Atzori@eesc.europa.eu</w:t>
              </w:r>
            </w:hyperlink>
          </w:p>
        </w:tc>
      </w:tr>
    </w:tbl>
    <w:p w:rsidR="001F0A8F" w:rsidP="000B3DCE" w:rsidRDefault="001F0A8F" w14:paraId="4982DDC3" w14:textId="5144FDCA">
      <w:pPr>
        <w:pStyle w:val="ListParagraph"/>
        <w:ind w:left="0"/>
      </w:pPr>
    </w:p>
    <w:p w:rsidR="001F0A8F" w:rsidP="000B3DCE" w:rsidRDefault="001F0A8F" w14:paraId="5EC90DEA" w14:textId="77777777">
      <w:pPr>
        <w:spacing w:after="160"/>
        <w:jc w:val="left"/>
      </w:pPr>
      <w:r>
        <w:br w:type="page"/>
      </w:r>
    </w:p>
    <w:p w:rsidRPr="00A04AFA" w:rsidR="001F0A8F" w:rsidP="000B3DCE" w:rsidRDefault="00D94EF3" w14:paraId="068F747B" w14:textId="59F6F72D">
      <w:pPr>
        <w:widowControl w:val="0"/>
        <w:numPr>
          <w:ilvl w:val="0"/>
          <w:numId w:val="19"/>
        </w:numPr>
        <w:overflowPunct w:val="0"/>
        <w:autoSpaceDE w:val="0"/>
        <w:autoSpaceDN w:val="0"/>
        <w:adjustRightInd w:val="0"/>
        <w:ind w:left="567" w:hanging="567"/>
        <w:textAlignment w:val="baseline"/>
        <w:rPr>
          <w:rStyle w:val="Hyperlink"/>
          <w:b/>
        </w:rPr>
      </w:pPr>
      <w:hyperlink w:history="1" r:id="rId25">
        <w:r w:rsidR="001F0A8F">
          <w:rPr>
            <w:rStyle w:val="Hyperlink"/>
            <w:b/>
            <w:i/>
            <w:sz w:val="28"/>
          </w:rPr>
          <w:t>Naisiin kohdistuva väkivalta ihmisoikeuskysymyksenä</w:t>
        </w:r>
      </w:hyperlink>
    </w:p>
    <w:p w:rsidRPr="006978D9" w:rsidR="001F0A8F" w:rsidP="000B3DCE" w:rsidRDefault="001F0A8F" w14:paraId="48743407" w14:textId="77777777">
      <w:pPr>
        <w:tabs>
          <w:tab w:val="center" w:pos="284"/>
        </w:tabs>
        <w:ind w:left="567" w:hanging="567"/>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834"/>
        <w:gridCol w:w="6530"/>
      </w:tblGrid>
      <w:tr w:rsidRPr="00277144" w:rsidR="001F0A8F" w:rsidTr="00F70F48" w14:paraId="38E9D155" w14:textId="77777777">
        <w:tc>
          <w:tcPr>
            <w:tcW w:w="1834" w:type="dxa"/>
          </w:tcPr>
          <w:p w:rsidRPr="00A6689B" w:rsidR="001F0A8F" w:rsidP="000B3DCE" w:rsidRDefault="001F0A8F" w14:paraId="2CFCC3DD" w14:textId="77777777">
            <w:pPr>
              <w:tabs>
                <w:tab w:val="center" w:pos="284"/>
              </w:tabs>
              <w:ind w:left="567" w:hanging="567"/>
              <w:rPr>
                <w:b/>
              </w:rPr>
            </w:pPr>
            <w:r>
              <w:rPr>
                <w:b/>
              </w:rPr>
              <w:t>Esittelijä</w:t>
            </w:r>
          </w:p>
        </w:tc>
        <w:tc>
          <w:tcPr>
            <w:tcW w:w="6530" w:type="dxa"/>
          </w:tcPr>
          <w:p w:rsidRPr="00A04AFA" w:rsidR="001F0A8F" w:rsidP="000B3DCE" w:rsidRDefault="001F0A8F" w14:paraId="77F2CE86" w14:textId="2458AA47">
            <w:r>
              <w:t xml:space="preserve">José Antonio </w:t>
            </w:r>
            <w:r w:rsidR="00485207">
              <w:t xml:space="preserve">MORENO DÍAZ </w:t>
            </w:r>
            <w:r>
              <w:t>(työntekijät – ES)</w:t>
            </w:r>
          </w:p>
        </w:tc>
      </w:tr>
      <w:tr w:rsidRPr="00CA1E86" w:rsidR="001F0A8F" w:rsidTr="00F70F48" w14:paraId="5A6B60CD" w14:textId="77777777">
        <w:tc>
          <w:tcPr>
            <w:tcW w:w="1834" w:type="dxa"/>
          </w:tcPr>
          <w:p w:rsidR="001F0A8F" w:rsidP="000B3DCE" w:rsidRDefault="001F0A8F" w14:paraId="7D107E05" w14:textId="77777777">
            <w:pPr>
              <w:tabs>
                <w:tab w:val="center" w:pos="284"/>
              </w:tabs>
              <w:ind w:left="567" w:hanging="567"/>
              <w:rPr>
                <w:b/>
              </w:rPr>
            </w:pPr>
            <w:r>
              <w:rPr>
                <w:b/>
              </w:rPr>
              <w:t>Yhteisesittelijä</w:t>
            </w:r>
          </w:p>
        </w:tc>
        <w:tc>
          <w:tcPr>
            <w:tcW w:w="6530" w:type="dxa"/>
          </w:tcPr>
          <w:p w:rsidRPr="00845E43" w:rsidR="001F0A8F" w:rsidP="000B3DCE" w:rsidRDefault="001F0A8F" w14:paraId="7CBF8557" w14:textId="77777777">
            <w:proofErr w:type="spellStart"/>
            <w:r>
              <w:t>Dovilė</w:t>
            </w:r>
            <w:proofErr w:type="spellEnd"/>
            <w:r>
              <w:t xml:space="preserve"> </w:t>
            </w:r>
            <w:proofErr w:type="spellStart"/>
            <w:r>
              <w:t>Juodkaitė</w:t>
            </w:r>
            <w:proofErr w:type="spellEnd"/>
            <w:r>
              <w:t xml:space="preserve"> (kansalaisyhteiskunnan organisaatiot – LT)</w:t>
            </w:r>
          </w:p>
        </w:tc>
      </w:tr>
      <w:tr w:rsidRPr="00CA1E86" w:rsidR="001F0A8F" w:rsidTr="00F70F48" w14:paraId="7BF433C0" w14:textId="77777777">
        <w:tc>
          <w:tcPr>
            <w:tcW w:w="1834" w:type="dxa"/>
          </w:tcPr>
          <w:p w:rsidRPr="00845E43" w:rsidR="001F0A8F" w:rsidP="000B3DCE" w:rsidRDefault="001F0A8F" w14:paraId="646D7E99" w14:textId="77777777">
            <w:pPr>
              <w:tabs>
                <w:tab w:val="center" w:pos="284"/>
              </w:tabs>
              <w:ind w:left="567" w:hanging="567"/>
              <w:rPr>
                <w:b/>
              </w:rPr>
            </w:pPr>
          </w:p>
        </w:tc>
        <w:tc>
          <w:tcPr>
            <w:tcW w:w="6530" w:type="dxa"/>
          </w:tcPr>
          <w:p w:rsidRPr="00845E43" w:rsidR="001F0A8F" w:rsidP="000B3DCE" w:rsidRDefault="001F0A8F" w14:paraId="579EA386" w14:textId="77777777"/>
        </w:tc>
      </w:tr>
      <w:tr w:rsidRPr="00CA1E86" w:rsidR="001F0A8F" w:rsidTr="00F70F48" w14:paraId="1A8465BA" w14:textId="77777777">
        <w:tc>
          <w:tcPr>
            <w:tcW w:w="1834" w:type="dxa"/>
          </w:tcPr>
          <w:p w:rsidRPr="00A6689B" w:rsidR="001F0A8F" w:rsidP="000B3DCE" w:rsidRDefault="001F0A8F" w14:paraId="6272586A" w14:textId="77777777">
            <w:pPr>
              <w:tabs>
                <w:tab w:val="center" w:pos="284"/>
              </w:tabs>
              <w:ind w:left="567" w:hanging="567"/>
              <w:rPr>
                <w:b/>
              </w:rPr>
            </w:pPr>
            <w:r>
              <w:rPr>
                <w:b/>
              </w:rPr>
              <w:t>Viiteasiakirjat</w:t>
            </w:r>
          </w:p>
        </w:tc>
        <w:tc>
          <w:tcPr>
            <w:tcW w:w="6530" w:type="dxa"/>
          </w:tcPr>
          <w:p w:rsidRPr="00A04AFA" w:rsidR="001F0A8F" w:rsidP="000B3DCE" w:rsidRDefault="001F0A8F" w14:paraId="57B6CA86" w14:textId="77777777">
            <w:pPr>
              <w:tabs>
                <w:tab w:val="center" w:pos="284"/>
              </w:tabs>
              <w:ind w:left="567" w:hanging="567"/>
            </w:pPr>
            <w:r>
              <w:t>EESC-2024-01831-00-00-AC</w:t>
            </w:r>
          </w:p>
        </w:tc>
      </w:tr>
    </w:tbl>
    <w:p w:rsidR="001F0A8F" w:rsidP="000B3DCE" w:rsidRDefault="001F0A8F" w14:paraId="643F4B63" w14:textId="77777777">
      <w:pPr>
        <w:keepNext/>
        <w:keepLines/>
        <w:tabs>
          <w:tab w:val="center" w:pos="284"/>
        </w:tabs>
        <w:ind w:left="266" w:hanging="266"/>
        <w:rPr>
          <w:b/>
        </w:rPr>
      </w:pPr>
    </w:p>
    <w:p w:rsidR="001F0A8F" w:rsidP="000B3DCE" w:rsidRDefault="001F0A8F" w14:paraId="6B3C055B" w14:textId="77777777">
      <w:pPr>
        <w:keepNext/>
        <w:keepLines/>
        <w:tabs>
          <w:tab w:val="center" w:pos="284"/>
        </w:tabs>
        <w:ind w:left="266" w:hanging="266"/>
        <w:rPr>
          <w:b/>
        </w:rPr>
      </w:pPr>
      <w:r>
        <w:rPr>
          <w:b/>
        </w:rPr>
        <w:t>Keskeiset kohdat</w:t>
      </w:r>
    </w:p>
    <w:p w:rsidR="001F0A8F" w:rsidP="000B3DCE" w:rsidRDefault="001F0A8F" w14:paraId="78A65F94" w14:textId="77777777"/>
    <w:p w:rsidRPr="00AE1448" w:rsidR="001F0A8F" w:rsidP="000B3DCE" w:rsidRDefault="001F0A8F" w14:paraId="21ADA3C8" w14:textId="77777777">
      <w:r>
        <w:t>ETSK</w:t>
      </w:r>
    </w:p>
    <w:p w:rsidRPr="00B7449E" w:rsidR="001F0A8F" w:rsidP="000B3DCE" w:rsidRDefault="001F0A8F" w14:paraId="1D71029B" w14:textId="77777777">
      <w:pPr>
        <w:pStyle w:val="ListParagraph"/>
        <w:numPr>
          <w:ilvl w:val="0"/>
          <w:numId w:val="27"/>
        </w:numPr>
        <w:spacing w:after="200"/>
        <w:ind w:left="426"/>
      </w:pPr>
      <w:r>
        <w:t>muistuttaa, että naisiin ja tyttöihin kohdistuva väkivalta on ihmisoikeusloukkaus ja yksi sitkeimmistä sukupuolisyrjinnän muodoista. Komitea kehottaa ratifioimaan ja panemaan täytäntöön Euroopan neuvoston yleissopimuksen naisiin kohdistuvan väkivallan ja perheväkivallan ehkäisemisestä ja torjumisesta (Istanbulin yleissopimus) sekä väkivallan ja häirinnän poistamista koskevan Kansainvälisen työjärjestön yleissopimuksen nro 190 (erityisesti siihen liittyvän suosituksen nro 206) ja edistämään molempia ja panemaan molemmat täytäntöön kaikissa jäsenvaltioissa ja EU:n tasolla.</w:t>
      </w:r>
    </w:p>
    <w:p w:rsidRPr="00B7449E" w:rsidR="001F0A8F" w:rsidP="000B3DCE" w:rsidRDefault="001F0A8F" w14:paraId="137DAAB6" w14:textId="77777777">
      <w:pPr>
        <w:pStyle w:val="ListParagraph"/>
        <w:numPr>
          <w:ilvl w:val="0"/>
          <w:numId w:val="27"/>
        </w:numPr>
        <w:spacing w:after="200"/>
        <w:ind w:left="426"/>
      </w:pPr>
      <w:r>
        <w:t>katsoo, että direktiivissä (EU) 2024/1385 naisiin kohdistuvan väkivallan ja perheväkivallan torjumisesta olisi käsiteltävä kaikkia naisiin kohdistuvan väkivallan muotoja, myös institutionaalista väkivaltaa, prostituutiota, kaupallista ja hyväksikäyttöön perustuvaa pornografiaa, lisääntymistarkoituksessa tapahtuvaa hyväksikäyttöä, epäsuoraa väkivaltaa, huumaamista, katuhäirintää, seksuaalista ja sukupuoleen perustuvaa häirintää, vammaisten naisten pakkosterilointia ja muita vastaavia väkivallan muotoja.</w:t>
      </w:r>
    </w:p>
    <w:p w:rsidRPr="00B7449E" w:rsidR="001F0A8F" w:rsidP="000B3DCE" w:rsidRDefault="001F0A8F" w14:paraId="570AB6A6" w14:textId="77777777">
      <w:pPr>
        <w:pStyle w:val="ListParagraph"/>
        <w:numPr>
          <w:ilvl w:val="0"/>
          <w:numId w:val="27"/>
        </w:numPr>
        <w:spacing w:after="200"/>
        <w:ind w:left="426"/>
      </w:pPr>
      <w:r>
        <w:t xml:space="preserve">on sitä mieltä, että seksuaalinen väkivalta ja raiskaukset olisi otettava direktiivissä huomioon väkivallan muotona ja säädettävä rangaistaviksi suostumuksen puuttumisen perusteella. On määriteltävä, mitä suostumuksella tarkoitetaan seksuaalisesta väkivallasta puhuttaessa. </w:t>
      </w:r>
      <w:proofErr w:type="spellStart"/>
      <w:r>
        <w:t>Sukupuolistunut</w:t>
      </w:r>
      <w:proofErr w:type="spellEnd"/>
      <w:r>
        <w:t xml:space="preserve"> väkivalta, raiskaukset mukaan lukien, olisi lisättävä EU:n toiminnasta tehdyn sopimuksen (SEUT) 83 artiklan 1 kohdassa tarkoitettujen ”eurorikosten” luetteloon.</w:t>
      </w:r>
    </w:p>
    <w:p w:rsidRPr="00B7449E" w:rsidR="001F0A8F" w:rsidP="000B3DCE" w:rsidRDefault="001F0A8F" w14:paraId="510DD06D" w14:textId="77777777">
      <w:pPr>
        <w:pStyle w:val="ListParagraph"/>
        <w:numPr>
          <w:ilvl w:val="0"/>
          <w:numId w:val="27"/>
        </w:numPr>
        <w:spacing w:after="200"/>
        <w:ind w:left="426"/>
      </w:pPr>
      <w:r>
        <w:t xml:space="preserve">pitää arveluttavana, ettei prostituution peruselementteihin kuuluvaa fyysistä, henkistä ja seksuaalista väkivaltaa eikä myöskään rajoituksia vapauteen teettää halutessaan turvallinen raskaudenkeskeytys ole määritelty naisiin kohdistuvan väkivallan muodoksi. </w:t>
      </w:r>
    </w:p>
    <w:p w:rsidRPr="00B7449E" w:rsidR="001F0A8F" w:rsidP="000B3DCE" w:rsidRDefault="001F0A8F" w14:paraId="1A01C270" w14:textId="77777777">
      <w:pPr>
        <w:pStyle w:val="ListParagraph"/>
        <w:numPr>
          <w:ilvl w:val="0"/>
          <w:numId w:val="27"/>
        </w:numPr>
        <w:spacing w:after="200"/>
        <w:ind w:left="426"/>
      </w:pPr>
      <w:r>
        <w:t>korostaa, että kaikenlainen naisiin kohdistuva väkivalta on merkittävä kansanterveys- ja potilasterveysongelma ja että vammaiset naiset ja erityisesti naiset, joilla on mielenterveysongelmia, psykososiaalinen vamma tai kehitysvamma, ovat moninkertaisen ja risteävän syrjinnän kohteena. Tällainen väkivalta olisi nähtävä kansanterveysongelmana, jolla on pitkäaikaisia seurauksia, ja kerättävissä tiedoissa olisi myös eriteltävä vammaisten henkilöiden osuus.</w:t>
      </w:r>
    </w:p>
    <w:p w:rsidRPr="00B7449E" w:rsidR="001F0A8F" w:rsidP="000B3DCE" w:rsidRDefault="001F0A8F" w14:paraId="508CF830" w14:textId="77777777">
      <w:pPr>
        <w:pStyle w:val="ListParagraph"/>
        <w:numPr>
          <w:ilvl w:val="0"/>
          <w:numId w:val="27"/>
        </w:numPr>
        <w:spacing w:after="200"/>
        <w:ind w:left="426"/>
      </w:pPr>
      <w:r>
        <w:t xml:space="preserve">on syvästi huolissaan näkemyksistä, joiden mukaan naisiin kohdistuva väkivalta ei ole väkivaltaa, koska kyse on naisista. Tämä sotii SEUT-sopimuksen 2 artiklan mukaisia arvoja ja periaatteita vastaan. Komitea katsoo, että kasvatuksella – seksuaalikasvatus mukaan luettuna – on keskeinen merkitys sukupuoliroolien ja stereotypioiden muotoutumisen kannalta, ja kehottaa ottamaan koulutusyhteisön, erilaiset kansalaisyhteiskunnan organisaatiot ja työmarkkinaosapuolet osallistavasti mukaan institutionaaliseen yhteistyöhön, jolla edistetään </w:t>
      </w:r>
      <w:proofErr w:type="spellStart"/>
      <w:r>
        <w:t>sukupuolistuneen</w:t>
      </w:r>
      <w:proofErr w:type="spellEnd"/>
      <w:r>
        <w:t xml:space="preserve"> väkivallan ennaltaehkäisyä ja torjuntaa.</w:t>
      </w:r>
    </w:p>
    <w:p w:rsidR="001F0A8F" w:rsidP="006978D9" w:rsidRDefault="001F0A8F" w14:paraId="4B1A1770" w14:textId="35089A4F">
      <w:pPr>
        <w:pStyle w:val="ListParagraph"/>
        <w:numPr>
          <w:ilvl w:val="0"/>
          <w:numId w:val="27"/>
        </w:numPr>
        <w:ind w:left="425" w:hanging="357"/>
      </w:pPr>
      <w:r>
        <w:lastRenderedPageBreak/>
        <w:t xml:space="preserve">pitää tarpeellisena käsitellä työmarkkinaosapuolten vuoropuhelussa, työehtosopimusneuvotteluissa ja työmarkkinaosapuolten kanssa käytävissä neuvotteluissa konkreettisia toimenpiteitä, joilla voidaan edistää </w:t>
      </w:r>
      <w:proofErr w:type="spellStart"/>
      <w:r>
        <w:t>sukupuolistuneen</w:t>
      </w:r>
      <w:proofErr w:type="spellEnd"/>
      <w:r>
        <w:t xml:space="preserve"> väkivallan uhrien työllistymistä ja työllistyvyyttä.</w:t>
      </w:r>
    </w:p>
    <w:p w:rsidR="006978D9" w:rsidP="006978D9" w:rsidRDefault="006978D9" w14:paraId="2614A889"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001F0A8F" w:rsidTr="00F70F48" w14:paraId="17AAE3F4" w14:textId="77777777">
        <w:trPr>
          <w:trHeight w:val="60"/>
        </w:trPr>
        <w:tc>
          <w:tcPr>
            <w:tcW w:w="1556" w:type="pct"/>
            <w:hideMark/>
          </w:tcPr>
          <w:p w:rsidR="001F0A8F" w:rsidP="000B3DCE" w:rsidRDefault="001F0A8F" w14:paraId="430200E6" w14:textId="77777777">
            <w:pPr>
              <w:rPr>
                <w:i/>
              </w:rPr>
            </w:pPr>
            <w:r>
              <w:rPr>
                <w:b/>
                <w:i/>
              </w:rPr>
              <w:t>Yhteydenotot</w:t>
            </w:r>
          </w:p>
        </w:tc>
        <w:tc>
          <w:tcPr>
            <w:tcW w:w="3444" w:type="pct"/>
            <w:hideMark/>
          </w:tcPr>
          <w:p w:rsidRPr="00F96FDE" w:rsidR="001F0A8F" w:rsidP="000B3DCE" w:rsidRDefault="001F0A8F" w14:paraId="3EE94FE5" w14:textId="52B249DD">
            <w:pPr>
              <w:rPr>
                <w:i/>
                <w:iCs/>
              </w:rPr>
            </w:pPr>
            <w:proofErr w:type="spellStart"/>
            <w:r>
              <w:rPr>
                <w:i/>
              </w:rPr>
              <w:t>Gabriela</w:t>
            </w:r>
            <w:proofErr w:type="spellEnd"/>
            <w:r w:rsidR="00485207">
              <w:rPr>
                <w:i/>
              </w:rPr>
              <w:t xml:space="preserve"> GRASU </w:t>
            </w:r>
          </w:p>
        </w:tc>
      </w:tr>
      <w:tr w:rsidR="001F0A8F" w:rsidTr="00F70F48" w14:paraId="2F1E91C7" w14:textId="77777777">
        <w:tc>
          <w:tcPr>
            <w:tcW w:w="1556" w:type="pct"/>
            <w:hideMark/>
          </w:tcPr>
          <w:p w:rsidR="001F0A8F" w:rsidP="000B3DCE" w:rsidRDefault="001F0A8F" w14:paraId="11F7C05D" w14:textId="77777777">
            <w:pPr>
              <w:rPr>
                <w:i/>
              </w:rPr>
            </w:pPr>
            <w:r>
              <w:rPr>
                <w:i/>
              </w:rPr>
              <w:t>P.</w:t>
            </w:r>
          </w:p>
        </w:tc>
        <w:tc>
          <w:tcPr>
            <w:tcW w:w="3444" w:type="pct"/>
            <w:hideMark/>
          </w:tcPr>
          <w:p w:rsidR="001F0A8F" w:rsidP="000B3DCE" w:rsidRDefault="001F0A8F" w14:paraId="689B7684" w14:textId="77777777">
            <w:pPr>
              <w:rPr>
                <w:i/>
              </w:rPr>
            </w:pPr>
            <w:r>
              <w:rPr>
                <w:i/>
              </w:rPr>
              <w:t>+32 25469162</w:t>
            </w:r>
          </w:p>
        </w:tc>
      </w:tr>
      <w:tr w:rsidR="001F0A8F" w:rsidTr="00F70F48" w14:paraId="0578833C" w14:textId="77777777">
        <w:tc>
          <w:tcPr>
            <w:tcW w:w="1556" w:type="pct"/>
            <w:hideMark/>
          </w:tcPr>
          <w:p w:rsidR="001F0A8F" w:rsidP="000B3DCE" w:rsidRDefault="001F0A8F" w14:paraId="42CB4161" w14:textId="77777777">
            <w:pPr>
              <w:rPr>
                <w:i/>
              </w:rPr>
            </w:pPr>
            <w:r>
              <w:rPr>
                <w:i/>
              </w:rPr>
              <w:t>Sähköposti</w:t>
            </w:r>
          </w:p>
        </w:tc>
        <w:tc>
          <w:tcPr>
            <w:tcW w:w="3444" w:type="pct"/>
            <w:hideMark/>
          </w:tcPr>
          <w:p w:rsidR="001F0A8F" w:rsidP="000B3DCE" w:rsidRDefault="00D94EF3" w14:paraId="0A980806" w14:textId="77777777">
            <w:pPr>
              <w:rPr>
                <w:i/>
              </w:rPr>
            </w:pPr>
            <w:hyperlink w:history="1" r:id="rId26">
              <w:r w:rsidR="001F0A8F">
                <w:rPr>
                  <w:rStyle w:val="Hyperlink"/>
                  <w:i/>
                </w:rPr>
                <w:t>Grasu.Gabriela@eesc.europa.eu</w:t>
              </w:r>
            </w:hyperlink>
            <w:r w:rsidR="001F0A8F">
              <w:rPr>
                <w:i/>
              </w:rPr>
              <w:t xml:space="preserve"> </w:t>
            </w:r>
          </w:p>
        </w:tc>
      </w:tr>
    </w:tbl>
    <w:p w:rsidR="00EC2D6A" w:rsidP="000B3DCE" w:rsidRDefault="00EC2D6A" w14:paraId="4982DDC4" w14:textId="12786781">
      <w:pPr>
        <w:spacing w:after="160"/>
        <w:jc w:val="left"/>
      </w:pPr>
      <w:r>
        <w:br w:type="page"/>
      </w:r>
    </w:p>
    <w:p w:rsidRPr="001F0A8F" w:rsidR="00EC2D6A" w:rsidP="000B3DCE" w:rsidRDefault="00D94EF3" w14:paraId="37BE8323" w14:textId="21EC8793">
      <w:pPr>
        <w:pStyle w:val="ListParagraph"/>
        <w:widowControl w:val="0"/>
        <w:numPr>
          <w:ilvl w:val="0"/>
          <w:numId w:val="7"/>
        </w:numPr>
        <w:ind w:hanging="720"/>
        <w:rPr>
          <w:sz w:val="24"/>
          <w:szCs w:val="24"/>
        </w:rPr>
      </w:pPr>
      <w:hyperlink w:history="1" r:id="rId27">
        <w:proofErr w:type="spellStart"/>
        <w:r w:rsidRPr="001F0A8F" w:rsidR="00EC2D6A">
          <w:rPr>
            <w:rStyle w:val="Hyperlink"/>
            <w:b/>
            <w:i/>
            <w:sz w:val="28"/>
          </w:rPr>
          <w:t>ETSK:n</w:t>
        </w:r>
        <w:proofErr w:type="spellEnd"/>
        <w:r w:rsidRPr="001F0A8F" w:rsidR="00EC2D6A">
          <w:rPr>
            <w:rStyle w:val="Hyperlink"/>
            <w:b/>
            <w:i/>
            <w:sz w:val="28"/>
          </w:rPr>
          <w:t xml:space="preserve"> panos EU:n painopisteisiin naisten asemaa käsittelevän YK:n toimikunnan (UNCSW) 69. istunnossa</w:t>
        </w:r>
      </w:hyperlink>
    </w:p>
    <w:p w:rsidRPr="00B4456F" w:rsidR="00EC2D6A" w:rsidP="000B3DCE" w:rsidRDefault="00EC2D6A" w14:paraId="22B9A644" w14:textId="77777777">
      <w:pPr>
        <w:tabs>
          <w:tab w:val="center" w:pos="284"/>
        </w:tabs>
        <w:ind w:left="266" w:hanging="266"/>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B4456F" w:rsidR="00EC2D6A" w:rsidTr="00F70F48" w14:paraId="5607C03B" w14:textId="77777777">
        <w:tc>
          <w:tcPr>
            <w:tcW w:w="1701" w:type="dxa"/>
          </w:tcPr>
          <w:p w:rsidRPr="00B4456F" w:rsidR="00EC2D6A" w:rsidP="000B3DCE" w:rsidRDefault="00EC2D6A" w14:paraId="472C3C4B" w14:textId="77777777">
            <w:pPr>
              <w:tabs>
                <w:tab w:val="center" w:pos="284"/>
              </w:tabs>
              <w:ind w:left="266" w:hanging="266"/>
              <w:rPr>
                <w:b/>
              </w:rPr>
            </w:pPr>
            <w:r>
              <w:rPr>
                <w:b/>
              </w:rPr>
              <w:t>Esittelijä</w:t>
            </w:r>
          </w:p>
        </w:tc>
        <w:tc>
          <w:tcPr>
            <w:tcW w:w="5387" w:type="dxa"/>
          </w:tcPr>
          <w:p w:rsidRPr="00B4456F" w:rsidR="00EC2D6A" w:rsidP="000B3DCE" w:rsidRDefault="00EC2D6A" w14:paraId="0711EEED" w14:textId="2D182B71">
            <w:pPr>
              <w:tabs>
                <w:tab w:val="center" w:pos="284"/>
              </w:tabs>
              <w:ind w:left="266" w:hanging="266"/>
            </w:pPr>
            <w:r>
              <w:t xml:space="preserve">Maria </w:t>
            </w:r>
            <w:r w:rsidR="00485207">
              <w:t xml:space="preserve">NIKOLOPOULOU </w:t>
            </w:r>
            <w:r>
              <w:t>(työntekijät – ES)</w:t>
            </w:r>
          </w:p>
        </w:tc>
      </w:tr>
      <w:tr w:rsidRPr="00B4456F" w:rsidR="00EC2D6A" w:rsidTr="00F70F48" w14:paraId="2F2B5B11" w14:textId="77777777">
        <w:tc>
          <w:tcPr>
            <w:tcW w:w="7088" w:type="dxa"/>
            <w:gridSpan w:val="2"/>
          </w:tcPr>
          <w:p w:rsidRPr="00B4456F" w:rsidR="00EC2D6A" w:rsidP="000B3DCE" w:rsidRDefault="00EC2D6A" w14:paraId="026671E0" w14:textId="77777777">
            <w:pPr>
              <w:tabs>
                <w:tab w:val="center" w:pos="284"/>
              </w:tabs>
              <w:ind w:left="266" w:hanging="266"/>
            </w:pPr>
          </w:p>
        </w:tc>
      </w:tr>
      <w:tr w:rsidRPr="00B4456F" w:rsidR="00EC2D6A" w:rsidTr="00F70F48" w14:paraId="61C32618" w14:textId="77777777">
        <w:tc>
          <w:tcPr>
            <w:tcW w:w="1701" w:type="dxa"/>
            <w:vMerge w:val="restart"/>
          </w:tcPr>
          <w:p w:rsidRPr="00B4456F" w:rsidR="00EC2D6A" w:rsidP="000B3DCE" w:rsidRDefault="00EC2D6A" w14:paraId="2D5179F7" w14:textId="77777777">
            <w:pPr>
              <w:tabs>
                <w:tab w:val="center" w:pos="284"/>
              </w:tabs>
              <w:ind w:left="266" w:hanging="266"/>
              <w:rPr>
                <w:b/>
              </w:rPr>
            </w:pPr>
            <w:r>
              <w:rPr>
                <w:b/>
              </w:rPr>
              <w:t xml:space="preserve">Viiteasiakirja </w:t>
            </w:r>
          </w:p>
        </w:tc>
        <w:tc>
          <w:tcPr>
            <w:tcW w:w="5387" w:type="dxa"/>
          </w:tcPr>
          <w:p w:rsidRPr="00B4456F" w:rsidR="00EC2D6A" w:rsidP="000B3DCE" w:rsidRDefault="00EC2D6A" w14:paraId="29C0BA98" w14:textId="77777777">
            <w:pPr>
              <w:tabs>
                <w:tab w:val="center" w:pos="284"/>
              </w:tabs>
              <w:ind w:left="266" w:hanging="266"/>
            </w:pPr>
            <w:r>
              <w:t>Oma-aloitteinen lausunto</w:t>
            </w:r>
          </w:p>
        </w:tc>
      </w:tr>
      <w:tr w:rsidRPr="00B4456F" w:rsidR="00EC2D6A" w:rsidTr="00F70F48" w14:paraId="4DABBFD0" w14:textId="77777777">
        <w:tc>
          <w:tcPr>
            <w:tcW w:w="1701" w:type="dxa"/>
            <w:vMerge/>
          </w:tcPr>
          <w:p w:rsidRPr="00B4456F" w:rsidR="00EC2D6A" w:rsidP="000B3DCE" w:rsidRDefault="00EC2D6A" w14:paraId="16994E7F" w14:textId="77777777">
            <w:pPr>
              <w:tabs>
                <w:tab w:val="center" w:pos="284"/>
              </w:tabs>
              <w:ind w:left="266" w:hanging="266"/>
              <w:rPr>
                <w:b/>
              </w:rPr>
            </w:pPr>
          </w:p>
        </w:tc>
        <w:tc>
          <w:tcPr>
            <w:tcW w:w="5387" w:type="dxa"/>
          </w:tcPr>
          <w:p w:rsidRPr="00B4456F" w:rsidR="00EC2D6A" w:rsidP="000B3DCE" w:rsidRDefault="00EC2D6A" w14:paraId="12652792" w14:textId="77777777">
            <w:pPr>
              <w:tabs>
                <w:tab w:val="center" w:pos="284"/>
              </w:tabs>
              <w:ind w:left="266" w:hanging="266"/>
            </w:pPr>
            <w:r>
              <w:t>EESC-2024-03990-00-00-AC</w:t>
            </w:r>
          </w:p>
        </w:tc>
      </w:tr>
    </w:tbl>
    <w:p w:rsidR="00EC2D6A" w:rsidP="000B3DCE" w:rsidRDefault="00EC2D6A" w14:paraId="50EA7C1B" w14:textId="77777777">
      <w:pPr>
        <w:keepNext/>
        <w:keepLines/>
        <w:tabs>
          <w:tab w:val="center" w:pos="284"/>
        </w:tabs>
        <w:ind w:left="266" w:hanging="266"/>
        <w:rPr>
          <w:b/>
        </w:rPr>
      </w:pPr>
    </w:p>
    <w:p w:rsidR="00EC2D6A" w:rsidP="000B3DCE" w:rsidRDefault="00EC2D6A" w14:paraId="4EA80714" w14:textId="77777777">
      <w:pPr>
        <w:keepNext/>
        <w:keepLines/>
        <w:tabs>
          <w:tab w:val="center" w:pos="284"/>
        </w:tabs>
        <w:ind w:left="266" w:hanging="266"/>
        <w:rPr>
          <w:b/>
        </w:rPr>
      </w:pPr>
      <w:r>
        <w:rPr>
          <w:b/>
        </w:rPr>
        <w:t>Keskeiset kohdat</w:t>
      </w:r>
    </w:p>
    <w:p w:rsidRPr="00167B97" w:rsidR="00EC2D6A" w:rsidP="000B3DCE" w:rsidRDefault="00EC2D6A" w14:paraId="1F2459FE" w14:textId="77777777">
      <w:pPr>
        <w:keepNext/>
        <w:keepLines/>
        <w:tabs>
          <w:tab w:val="center" w:pos="284"/>
        </w:tabs>
        <w:ind w:left="266" w:hanging="266"/>
        <w:rPr>
          <w:b/>
        </w:rPr>
      </w:pPr>
    </w:p>
    <w:p w:rsidRPr="00167B97" w:rsidR="00EC2D6A" w:rsidP="000B3DCE" w:rsidRDefault="00EC2D6A" w14:paraId="509D22F0" w14:textId="77777777">
      <w:pPr>
        <w:rPr>
          <w:bCs/>
          <w:iCs/>
        </w:rPr>
      </w:pPr>
      <w:r>
        <w:t>ETSK</w:t>
      </w:r>
    </w:p>
    <w:p w:rsidRPr="00167B97" w:rsidR="00EC2D6A" w:rsidP="000B3DCE" w:rsidRDefault="00EC2D6A" w14:paraId="37523DD6" w14:textId="77777777">
      <w:pPr>
        <w:widowControl w:val="0"/>
        <w:numPr>
          <w:ilvl w:val="0"/>
          <w:numId w:val="21"/>
        </w:numPr>
        <w:overflowPunct w:val="0"/>
        <w:autoSpaceDE w:val="0"/>
        <w:autoSpaceDN w:val="0"/>
        <w:adjustRightInd w:val="0"/>
        <w:textAlignment w:val="baseline"/>
      </w:pPr>
      <w:r>
        <w:t>kehottaa EU:ta ja jäsenvaltioita vauhdittamaan edistymistä sukupuolten tasa-arvon alalla, olemaan kunnianhimoisempia ja puhumaan äänekkäästi kansalaisyhteiskunnan toimintamahdollisuuksien kaventamista vastaan sekä estämään pyrkimykset heikentää naisten oikeuksia, jotka ovat erityisesti äärioikeistolaisten poliittisten puolueiden hyökkäysten kohteena.</w:t>
      </w:r>
    </w:p>
    <w:p w:rsidRPr="00167B97" w:rsidR="00EC2D6A" w:rsidP="000B3DCE" w:rsidRDefault="00EC2D6A" w14:paraId="691AFCC0" w14:textId="77777777">
      <w:pPr>
        <w:widowControl w:val="0"/>
        <w:numPr>
          <w:ilvl w:val="0"/>
          <w:numId w:val="21"/>
        </w:numPr>
        <w:overflowPunct w:val="0"/>
        <w:autoSpaceDE w:val="0"/>
        <w:autoSpaceDN w:val="0"/>
        <w:adjustRightInd w:val="0"/>
        <w:textAlignment w:val="baseline"/>
      </w:pPr>
      <w:r>
        <w:t>ehdottaa, että EU, jäsenvaltiot ja poliittiset puolueet sitoutuvat houkuttelemaan naisia politiikkaan mm. harkitsemalla toimenpiteitä, joilla kannustetaan naisten valintaa ja nimittämistä keskeisiin tehtäviin, esimerkiksi kiintiöitä, vetoketjuperiaatteella laadittuja ehdokaslistoja, yhteispuheenjohtajuutta, toimikausien jakamista sekä mies- ja naisehdokkaiden asettamista.</w:t>
      </w:r>
    </w:p>
    <w:p w:rsidRPr="00167B97" w:rsidR="00EC2D6A" w:rsidP="000B3DCE" w:rsidRDefault="00EC2D6A" w14:paraId="4B5F52ED" w14:textId="77777777">
      <w:pPr>
        <w:pStyle w:val="ListParagraph"/>
        <w:widowControl w:val="0"/>
        <w:numPr>
          <w:ilvl w:val="0"/>
          <w:numId w:val="21"/>
        </w:numPr>
        <w:spacing w:after="200"/>
      </w:pPr>
      <w:r>
        <w:t xml:space="preserve">kehottaa jäsenvaltioita osoittamaan riittävästi resursseja naisiin kohdistuvan väkivallan lopettamiseen tähtääviin kansallisiin toimintasuunnitelmiinsa ja laatimaan ne yhteistyössä kansalaisyhteiskunnan organisaatioiden kanssa. Komitea toivoo lisää toimia naisiin verkossa kohdistuvan ja taloudellisen väkivallan torjumiseksi, naisten fyysisestä ja psyykkisestä terveydestä huolehtimiseksi sekä naisten seksuaali- ja lisääntymisterveyden ja -oikeuksien kunnioittamiseksi. </w:t>
      </w:r>
    </w:p>
    <w:p w:rsidRPr="00167B97" w:rsidR="00EC2D6A" w:rsidP="000B3DCE" w:rsidRDefault="00EC2D6A" w14:paraId="22FD2DA2" w14:textId="77777777">
      <w:pPr>
        <w:pStyle w:val="ListParagraph"/>
        <w:widowControl w:val="0"/>
        <w:numPr>
          <w:ilvl w:val="0"/>
          <w:numId w:val="21"/>
        </w:numPr>
        <w:spacing w:after="200"/>
      </w:pPr>
      <w:r>
        <w:t>katsoo, että EU:n oikeudenmukaisen siirtymän kehykseen olisi sisällyttävä osaamisstrategia, jolla puututaan jo olemassa oleviin sukupuolten epätasa-arvokysymyksiin, ja samalla on kiinnitettävä huomiota globaalin etelän ja maaseutualueiden naisiin ja tyttöihin, joihin maapallon kolminkertaisella kriisillä on suhteettoman suuri vaikutus.</w:t>
      </w:r>
    </w:p>
    <w:p w:rsidRPr="00167B97" w:rsidR="00EC2D6A" w:rsidP="000B3DCE" w:rsidRDefault="00EC2D6A" w14:paraId="65CC6A07" w14:textId="77777777">
      <w:pPr>
        <w:pStyle w:val="ListParagraph"/>
        <w:widowControl w:val="0"/>
        <w:numPr>
          <w:ilvl w:val="0"/>
          <w:numId w:val="21"/>
        </w:numPr>
        <w:spacing w:after="200"/>
      </w:pPr>
      <w:r>
        <w:t>kehottaa kuromaan umpeen sukupuolten välisen digitaalisen kuilun ja sisällyttämään tekoälyn ja algoritmien suunnitteluun, kehittämiseen ja käyttöönottoon naisnäkökulman, jotta tekoälystä voidaan tehdä sosiaalisesti tiedostava ja osallistava.</w:t>
      </w:r>
    </w:p>
    <w:p w:rsidRPr="00167B97" w:rsidR="00EC2D6A" w:rsidP="000B3DCE" w:rsidRDefault="00EC2D6A" w14:paraId="6E0C8800" w14:textId="77777777">
      <w:pPr>
        <w:pStyle w:val="ListParagraph"/>
        <w:widowControl w:val="0"/>
        <w:numPr>
          <w:ilvl w:val="0"/>
          <w:numId w:val="21"/>
        </w:numPr>
        <w:spacing w:after="200"/>
      </w:pPr>
      <w:r>
        <w:t>kehottaa toteuttamaan toimenpiteitä, joilla kurotaan umpeen sukupuolten välinen kuilu palkattomassa hoitovastuussa ja autetaan naisia pysymään työmarkkinoilla, muun muassa tarjoamalla kohtuuhintaisia, helposti saatavilla olevia ja laadukkaita terveydenhuolto- ja hoitopalveluja sekä turvaverkkoja kansallisten sääntöjen mukaisesti.</w:t>
      </w:r>
    </w:p>
    <w:p w:rsidRPr="00167B97" w:rsidR="00EC2D6A" w:rsidP="006978D9" w:rsidRDefault="00EC2D6A" w14:paraId="71CA52B2" w14:textId="77777777">
      <w:pPr>
        <w:pStyle w:val="ListParagraph"/>
        <w:widowControl w:val="0"/>
        <w:numPr>
          <w:ilvl w:val="0"/>
          <w:numId w:val="21"/>
        </w:numPr>
        <w:ind w:left="357" w:hanging="357"/>
      </w:pPr>
      <w:r>
        <w:t>kehottaa laatimaan osallistavaa ulkopolitiikkaa koskevan vahvan ja kunnianhimoisen pitkän aikavälin EU:n strategian, jonka keskiöön asetetaan sukupuolten tasa-arvo, ihmisoikeudet, feministinen diplomatia ja sosiaalinen oikeudenmukaisuus.</w:t>
      </w:r>
    </w:p>
    <w:p w:rsidR="00EC2D6A" w:rsidP="006978D9" w:rsidRDefault="00EC2D6A" w14:paraId="79D369AD" w14:textId="164E7F1A">
      <w:pPr>
        <w:pStyle w:val="ListParagraph"/>
        <w:widowControl w:val="0"/>
        <w:numPr>
          <w:ilvl w:val="0"/>
          <w:numId w:val="21"/>
        </w:numPr>
        <w:ind w:left="357" w:hanging="357"/>
      </w:pPr>
      <w:r>
        <w:t>korostaa, että tarvitaan enemmän sukupuolittain eriteltyä intersektionaalista dataa strategioiden suunnittelua ja niiden seurantaa varten ja että olisi otettava käyttöön sukupuolitietoisen budjetoinnin välineitä ja sovellettava sukupuolinäkökulmaa finanssipolitiikassa.</w:t>
      </w:r>
    </w:p>
    <w:p w:rsidRPr="00167B97" w:rsidR="006978D9" w:rsidP="006978D9" w:rsidRDefault="006978D9" w14:paraId="5C6ED76B" w14:textId="77777777">
      <w:pPr>
        <w:widowControl w:val="0"/>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B4456F" w:rsidR="00EC2D6A" w:rsidTr="00F70F48" w14:paraId="76F82402" w14:textId="77777777">
        <w:tc>
          <w:tcPr>
            <w:tcW w:w="1418" w:type="dxa"/>
          </w:tcPr>
          <w:p w:rsidRPr="00B4456F" w:rsidR="00EC2D6A" w:rsidP="000B3DCE" w:rsidRDefault="00EC2D6A" w14:paraId="3E8A0B28" w14:textId="77777777">
            <w:pPr>
              <w:rPr>
                <w:i/>
              </w:rPr>
            </w:pPr>
            <w:r>
              <w:rPr>
                <w:b/>
                <w:i/>
              </w:rPr>
              <w:t>Yhteydenotot</w:t>
            </w:r>
          </w:p>
        </w:tc>
        <w:tc>
          <w:tcPr>
            <w:tcW w:w="5670" w:type="dxa"/>
          </w:tcPr>
          <w:p w:rsidRPr="00B4456F" w:rsidR="00EC2D6A" w:rsidP="000B3DCE" w:rsidRDefault="00EC2D6A" w14:paraId="50DADA5E" w14:textId="1D5186A0">
            <w:pPr>
              <w:rPr>
                <w:i/>
              </w:rPr>
            </w:pPr>
            <w:proofErr w:type="spellStart"/>
            <w:r>
              <w:rPr>
                <w:i/>
              </w:rPr>
              <w:t>Gabriela</w:t>
            </w:r>
            <w:proofErr w:type="spellEnd"/>
            <w:r>
              <w:rPr>
                <w:i/>
              </w:rPr>
              <w:t xml:space="preserve"> </w:t>
            </w:r>
            <w:r w:rsidR="00485207">
              <w:rPr>
                <w:i/>
              </w:rPr>
              <w:t>GRASU</w:t>
            </w:r>
          </w:p>
        </w:tc>
      </w:tr>
      <w:tr w:rsidRPr="00B4456F" w:rsidR="00EC2D6A" w:rsidTr="00F70F48" w14:paraId="3C29E2E3" w14:textId="77777777">
        <w:tc>
          <w:tcPr>
            <w:tcW w:w="1418" w:type="dxa"/>
          </w:tcPr>
          <w:p w:rsidRPr="00B4456F" w:rsidR="00EC2D6A" w:rsidP="000B3DCE" w:rsidRDefault="00EC2D6A" w14:paraId="288A5518" w14:textId="77777777">
            <w:pPr>
              <w:rPr>
                <w:i/>
              </w:rPr>
            </w:pPr>
            <w:r>
              <w:rPr>
                <w:i/>
              </w:rPr>
              <w:t>P.</w:t>
            </w:r>
          </w:p>
        </w:tc>
        <w:tc>
          <w:tcPr>
            <w:tcW w:w="5670" w:type="dxa"/>
          </w:tcPr>
          <w:p w:rsidRPr="00B4456F" w:rsidR="00EC2D6A" w:rsidP="000B3DCE" w:rsidRDefault="00EC2D6A" w14:paraId="5DEF30A4" w14:textId="77777777">
            <w:pPr>
              <w:rPr>
                <w:i/>
              </w:rPr>
            </w:pPr>
            <w:r>
              <w:rPr>
                <w:i/>
              </w:rPr>
              <w:t>+32 25469162</w:t>
            </w:r>
          </w:p>
        </w:tc>
      </w:tr>
      <w:tr w:rsidRPr="00B4456F" w:rsidR="00EC2D6A" w:rsidTr="00F70F48" w14:paraId="2BEE057E" w14:textId="77777777">
        <w:tc>
          <w:tcPr>
            <w:tcW w:w="1418" w:type="dxa"/>
          </w:tcPr>
          <w:p w:rsidRPr="00B4456F" w:rsidR="00EC2D6A" w:rsidP="000B3DCE" w:rsidRDefault="00EC2D6A" w14:paraId="2DF1FA1B" w14:textId="77777777">
            <w:pPr>
              <w:rPr>
                <w:i/>
              </w:rPr>
            </w:pPr>
            <w:r>
              <w:rPr>
                <w:i/>
              </w:rPr>
              <w:t>Sähköposti</w:t>
            </w:r>
          </w:p>
        </w:tc>
        <w:tc>
          <w:tcPr>
            <w:tcW w:w="5670" w:type="dxa"/>
          </w:tcPr>
          <w:p w:rsidRPr="00B4456F" w:rsidR="00EC2D6A" w:rsidP="000B3DCE" w:rsidRDefault="00D94EF3" w14:paraId="371496E8" w14:textId="77777777">
            <w:pPr>
              <w:rPr>
                <w:i/>
                <w:iCs/>
              </w:rPr>
            </w:pPr>
            <w:hyperlink w:history="1" r:id="rId28">
              <w:r w:rsidR="00EC2D6A">
                <w:rPr>
                  <w:rStyle w:val="Hyperlink"/>
                  <w:i/>
                </w:rPr>
                <w:t>Gabriela.Grasu@eesc.europa.eu</w:t>
              </w:r>
            </w:hyperlink>
            <w:r w:rsidR="00EC2D6A">
              <w:rPr>
                <w:i/>
              </w:rPr>
              <w:t xml:space="preserve"> </w:t>
            </w:r>
          </w:p>
        </w:tc>
      </w:tr>
    </w:tbl>
    <w:p w:rsidR="005B7B1B" w:rsidP="000B3DCE" w:rsidRDefault="005B7B1B" w14:paraId="4A5EFB6D" w14:textId="6ADD50EE">
      <w:pPr>
        <w:spacing w:after="160"/>
        <w:jc w:val="left"/>
      </w:pPr>
    </w:p>
    <w:p w:rsidRPr="000B59F5" w:rsidR="005B7B1B" w:rsidP="00423ED1" w:rsidRDefault="005B7B1B" w14:paraId="26366E5B" w14:textId="40D2F55E">
      <w:pPr>
        <w:keepNext/>
        <w:keepLines/>
        <w:widowControl w:val="0"/>
        <w:numPr>
          <w:ilvl w:val="0"/>
          <w:numId w:val="4"/>
        </w:numPr>
        <w:overflowPunct w:val="0"/>
        <w:autoSpaceDE w:val="0"/>
        <w:autoSpaceDN w:val="0"/>
        <w:adjustRightInd w:val="0"/>
        <w:ind w:hanging="567"/>
        <w:textAlignment w:val="baseline"/>
        <w:rPr>
          <w:rStyle w:val="Hyperlink"/>
          <w:b/>
          <w:bCs/>
          <w:i/>
          <w:iCs/>
          <w:sz w:val="28"/>
          <w:szCs w:val="28"/>
        </w:rPr>
      </w:pPr>
      <w:r w:rsidRPr="000B59F5">
        <w:rPr>
          <w:b/>
          <w:i/>
          <w:sz w:val="28"/>
          <w:szCs w:val="28"/>
        </w:rPr>
        <w:fldChar w:fldCharType="begin"/>
      </w:r>
      <w:r w:rsidRPr="000B59F5">
        <w:rPr>
          <w:b/>
          <w:i/>
          <w:sz w:val="28"/>
          <w:szCs w:val="28"/>
        </w:rPr>
        <w:instrText>HYPERLINK "https://www.eesc.europa.eu/fi/our-work/opinions-information-reports/opinions/older-people-employment-systemic-factors-choosing-work-longer"</w:instrText>
      </w:r>
      <w:r w:rsidRPr="000B59F5">
        <w:rPr>
          <w:b/>
          <w:i/>
          <w:sz w:val="28"/>
          <w:szCs w:val="28"/>
        </w:rPr>
        <w:fldChar w:fldCharType="separate"/>
      </w:r>
      <w:r w:rsidRPr="000B59F5">
        <w:rPr>
          <w:rStyle w:val="Hyperlink"/>
          <w:b/>
          <w:i/>
          <w:sz w:val="28"/>
          <w:szCs w:val="28"/>
        </w:rPr>
        <w:t>Ikäihmiset työelämässä – työuran jatkamispäätökseen vaikuttavat systeemiset tekijät</w:t>
      </w:r>
    </w:p>
    <w:p w:rsidRPr="000B59F5" w:rsidR="005B7B1B" w:rsidP="00423ED1" w:rsidRDefault="005B7B1B" w14:paraId="11346B56" w14:textId="77777777">
      <w:pPr>
        <w:keepNext/>
        <w:keepLines/>
        <w:widowControl w:val="0"/>
        <w:ind w:left="567"/>
        <w:rPr>
          <w:b/>
          <w:i/>
        </w:rPr>
      </w:pPr>
      <w:r w:rsidRPr="000B59F5">
        <w:rPr>
          <w:b/>
          <w:i/>
          <w:sz w:val="28"/>
          <w:szCs w:val="28"/>
        </w:rPr>
        <w:fldChar w:fldCharType="end"/>
      </w: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25"/>
        <w:gridCol w:w="7148"/>
      </w:tblGrid>
      <w:tr w:rsidRPr="00A6689B" w:rsidR="005B7B1B" w:rsidTr="00F70F48" w14:paraId="42EDC55D" w14:textId="77777777">
        <w:tc>
          <w:tcPr>
            <w:tcW w:w="1061" w:type="pct"/>
          </w:tcPr>
          <w:p w:rsidRPr="00A6689B" w:rsidR="005B7B1B" w:rsidP="00423ED1" w:rsidRDefault="005B7B1B" w14:paraId="23066BCB" w14:textId="77777777">
            <w:pPr>
              <w:keepNext/>
              <w:keepLines/>
              <w:ind w:left="-113"/>
              <w:rPr>
                <w:b/>
              </w:rPr>
            </w:pPr>
            <w:r>
              <w:rPr>
                <w:b/>
              </w:rPr>
              <w:t>Esittelijä</w:t>
            </w:r>
          </w:p>
        </w:tc>
        <w:tc>
          <w:tcPr>
            <w:tcW w:w="3939" w:type="pct"/>
          </w:tcPr>
          <w:p w:rsidR="005B7B1B" w:rsidP="00423ED1" w:rsidRDefault="005B7B1B" w14:paraId="486206A7" w14:textId="7B62455A">
            <w:pPr>
              <w:keepNext/>
              <w:keepLines/>
              <w:tabs>
                <w:tab w:val="left" w:pos="4572"/>
              </w:tabs>
              <w:ind w:left="-113" w:right="-823"/>
            </w:pPr>
            <w:proofErr w:type="spellStart"/>
            <w:r>
              <w:t>Krzysztof</w:t>
            </w:r>
            <w:proofErr w:type="spellEnd"/>
            <w:r>
              <w:t xml:space="preserve"> </w:t>
            </w:r>
            <w:r w:rsidR="00485207">
              <w:t xml:space="preserve">BALON </w:t>
            </w:r>
            <w:r>
              <w:t>(kansalaisyhteiskunnan organisaatiot – PL)</w:t>
            </w:r>
          </w:p>
          <w:p w:rsidRPr="00E51944" w:rsidR="005B7B1B" w:rsidP="00423ED1" w:rsidRDefault="005B7B1B" w14:paraId="73A603D4" w14:textId="77777777">
            <w:pPr>
              <w:keepNext/>
              <w:keepLines/>
              <w:tabs>
                <w:tab w:val="left" w:pos="4572"/>
              </w:tabs>
              <w:ind w:left="-113" w:right="-823"/>
            </w:pPr>
          </w:p>
        </w:tc>
      </w:tr>
      <w:tr w:rsidRPr="00A6689B" w:rsidR="005B7B1B" w:rsidTr="00F70F48" w14:paraId="09A78EA3" w14:textId="77777777">
        <w:tc>
          <w:tcPr>
            <w:tcW w:w="1061" w:type="pct"/>
          </w:tcPr>
          <w:p w:rsidRPr="00557B11" w:rsidR="005B7B1B" w:rsidP="00423ED1" w:rsidRDefault="005B7B1B" w14:paraId="36B9699C" w14:textId="77777777">
            <w:pPr>
              <w:keepNext/>
              <w:keepLines/>
              <w:ind w:left="-113"/>
              <w:rPr>
                <w:b/>
              </w:rPr>
            </w:pPr>
            <w:r>
              <w:rPr>
                <w:b/>
              </w:rPr>
              <w:t>Viiteasiakirja</w:t>
            </w:r>
          </w:p>
        </w:tc>
        <w:tc>
          <w:tcPr>
            <w:tcW w:w="3939" w:type="pct"/>
          </w:tcPr>
          <w:p w:rsidR="005E6D41" w:rsidP="00423ED1" w:rsidRDefault="005E6D41" w14:paraId="67050E3F" w14:textId="77777777">
            <w:pPr>
              <w:keepNext/>
              <w:keepLines/>
              <w:ind w:left="-55"/>
            </w:pPr>
            <w:r>
              <w:t>puheenjohtajavaltio Puolan pyytämä valmisteleva lausunto</w:t>
            </w:r>
          </w:p>
          <w:p w:rsidRPr="00557B11" w:rsidR="005B7B1B" w:rsidP="00423ED1" w:rsidRDefault="005B7B1B" w14:paraId="021563F0" w14:textId="77777777">
            <w:pPr>
              <w:keepNext/>
              <w:keepLines/>
              <w:tabs>
                <w:tab w:val="left" w:pos="4430"/>
              </w:tabs>
              <w:ind w:left="-113" w:right="-823"/>
            </w:pPr>
            <w:r>
              <w:t>EESC-2024-03788-00-00-AC</w:t>
            </w:r>
          </w:p>
        </w:tc>
      </w:tr>
    </w:tbl>
    <w:p w:rsidR="005E6D41" w:rsidP="000B3DCE" w:rsidRDefault="005E6D41" w14:paraId="04968F1A" w14:textId="77777777">
      <w:pPr>
        <w:keepNext/>
        <w:keepLines/>
        <w:tabs>
          <w:tab w:val="center" w:pos="284"/>
        </w:tabs>
        <w:ind w:left="266" w:hanging="266"/>
        <w:rPr>
          <w:b/>
        </w:rPr>
      </w:pPr>
    </w:p>
    <w:p w:rsidR="005B7B1B" w:rsidP="000B3DCE" w:rsidRDefault="005B7B1B" w14:paraId="0B91DBC1" w14:textId="49094B32">
      <w:pPr>
        <w:keepNext/>
        <w:keepLines/>
        <w:tabs>
          <w:tab w:val="center" w:pos="284"/>
        </w:tabs>
        <w:ind w:left="266" w:hanging="266"/>
        <w:rPr>
          <w:b/>
        </w:rPr>
      </w:pPr>
      <w:r>
        <w:rPr>
          <w:b/>
        </w:rPr>
        <w:t>Keskeiset kohdat</w:t>
      </w:r>
    </w:p>
    <w:p w:rsidR="005B7B1B" w:rsidP="000B3DCE" w:rsidRDefault="005B7B1B" w14:paraId="75A82598" w14:textId="77777777">
      <w:pPr>
        <w:keepNext/>
        <w:keepLines/>
        <w:tabs>
          <w:tab w:val="center" w:pos="284"/>
        </w:tabs>
        <w:ind w:left="266" w:hanging="266"/>
        <w:rPr>
          <w:b/>
        </w:rPr>
      </w:pPr>
    </w:p>
    <w:p w:rsidR="005B7B1B" w:rsidP="000B3DCE" w:rsidRDefault="005B7B1B" w14:paraId="4EB7380C" w14:textId="77777777">
      <w:pPr>
        <w:keepNext/>
        <w:keepLines/>
        <w:tabs>
          <w:tab w:val="center" w:pos="284"/>
        </w:tabs>
        <w:ind w:left="266" w:hanging="266"/>
      </w:pPr>
      <w:r>
        <w:t>ETSK</w:t>
      </w:r>
    </w:p>
    <w:p w:rsidR="005B7B1B" w:rsidP="00590490" w:rsidRDefault="005B7B1B" w14:paraId="65EDF9B3" w14:textId="77777777">
      <w:pPr>
        <w:pStyle w:val="Footer"/>
        <w:numPr>
          <w:ilvl w:val="0"/>
          <w:numId w:val="39"/>
        </w:numPr>
        <w:ind w:left="426"/>
      </w:pPr>
      <w:r>
        <w:t xml:space="preserve">yhtyy täysin Euroopan unionin neuvoston puheenjohtajavaltion Puolan näkemykseen, jonka mukaan yksi </w:t>
      </w:r>
      <w:r>
        <w:rPr>
          <w:b/>
        </w:rPr>
        <w:t>julkisen politiikan suurista haasteista</w:t>
      </w:r>
      <w:r>
        <w:t xml:space="preserve"> on </w:t>
      </w:r>
      <w:r>
        <w:rPr>
          <w:b/>
        </w:rPr>
        <w:t>ikäihmisten pitäminen työelämässä</w:t>
      </w:r>
      <w:r>
        <w:t xml:space="preserve">. Terveen eliniän odote on Euroopan unionissa yhä korkeampi, ja </w:t>
      </w:r>
      <w:r>
        <w:rPr>
          <w:b/>
        </w:rPr>
        <w:t>ikäihmisten osallistuminen työelämään</w:t>
      </w:r>
      <w:r>
        <w:t xml:space="preserve"> voi </w:t>
      </w:r>
      <w:r>
        <w:rPr>
          <w:b/>
        </w:rPr>
        <w:t>vaikuttaa myönteisesti</w:t>
      </w:r>
      <w:r>
        <w:t xml:space="preserve"> paitsi </w:t>
      </w:r>
      <w:r>
        <w:rPr>
          <w:b/>
        </w:rPr>
        <w:t>talouskehitykseen</w:t>
      </w:r>
      <w:r>
        <w:t xml:space="preserve"> myös kyseisten henkilöiden omaan </w:t>
      </w:r>
      <w:r>
        <w:rPr>
          <w:b/>
        </w:rPr>
        <w:t>hyvinvointiin</w:t>
      </w:r>
      <w:r>
        <w:t xml:space="preserve"> parempien </w:t>
      </w:r>
      <w:r>
        <w:rPr>
          <w:b/>
        </w:rPr>
        <w:t>taloudellisten ja sosiaalisten olosuhteiden</w:t>
      </w:r>
      <w:r>
        <w:t xml:space="preserve"> ja paremman </w:t>
      </w:r>
      <w:r>
        <w:rPr>
          <w:b/>
        </w:rPr>
        <w:t>terveydentilan</w:t>
      </w:r>
      <w:r>
        <w:t xml:space="preserve"> ansiosta. Lisäksi se voimistaa sukupolvien välistä solidaarisuutta yhteiskunnassa.</w:t>
      </w:r>
    </w:p>
    <w:p w:rsidR="005B7B1B" w:rsidP="00590490" w:rsidRDefault="005B7B1B" w14:paraId="759143F5" w14:textId="77777777">
      <w:pPr>
        <w:pStyle w:val="Footer"/>
        <w:numPr>
          <w:ilvl w:val="0"/>
          <w:numId w:val="39"/>
        </w:numPr>
        <w:ind w:left="426"/>
      </w:pPr>
      <w:r>
        <w:t>painottaa, että</w:t>
      </w:r>
      <w:r>
        <w:rPr>
          <w:b/>
        </w:rPr>
        <w:t xml:space="preserve"> Euroopan sosiaalisten oikeuksien pilarin periaate 15</w:t>
      </w:r>
      <w:r>
        <w:t xml:space="preserve"> (oikeus eläkkeeseen, joka on oikeassa suhteessa sosiaalivakuutusmaksuihin ja varmistaa kohtuullisen toimeentulon vanhuusiässä) </w:t>
      </w:r>
      <w:r>
        <w:rPr>
          <w:b/>
        </w:rPr>
        <w:t>on pantava kaikilta osin täytäntöön</w:t>
      </w:r>
      <w:r>
        <w:t>.</w:t>
      </w:r>
    </w:p>
    <w:p w:rsidR="005B7B1B" w:rsidP="00590490" w:rsidRDefault="005B7B1B" w14:paraId="60E8F87A" w14:textId="77777777">
      <w:pPr>
        <w:pStyle w:val="Footer"/>
        <w:numPr>
          <w:ilvl w:val="0"/>
          <w:numId w:val="39"/>
        </w:numPr>
        <w:ind w:left="426"/>
      </w:pPr>
      <w:r>
        <w:t xml:space="preserve">pitää tärkeänä luoda </w:t>
      </w:r>
      <w:r>
        <w:rPr>
          <w:b/>
        </w:rPr>
        <w:t>laadukkaita työpaikkoja ja työympäristö</w:t>
      </w:r>
      <w:r>
        <w:t xml:space="preserve">, joka kannustaa kaikenikäisiä </w:t>
      </w:r>
      <w:r>
        <w:rPr>
          <w:b/>
        </w:rPr>
        <w:t>tulemaan työmarkkinoille ja pysymään työelämässä</w:t>
      </w:r>
      <w:r>
        <w:t xml:space="preserve">. </w:t>
      </w:r>
    </w:p>
    <w:p w:rsidR="005B7B1B" w:rsidP="00590490" w:rsidRDefault="005B7B1B" w14:paraId="64913E81" w14:textId="77777777">
      <w:pPr>
        <w:pStyle w:val="Footer"/>
        <w:numPr>
          <w:ilvl w:val="0"/>
          <w:numId w:val="39"/>
        </w:numPr>
        <w:ind w:left="426"/>
      </w:pPr>
      <w:r>
        <w:t xml:space="preserve">toteaa, että tärkeä tekijä ikäihmisten työssäkäynnin lisäämisessä on </w:t>
      </w:r>
      <w:r>
        <w:rPr>
          <w:b/>
        </w:rPr>
        <w:t>monisukupolvisten tiimien muodostaminen työpaikoille</w:t>
      </w:r>
      <w:r>
        <w:t xml:space="preserve">. ETSK toistaa </w:t>
      </w:r>
      <w:r>
        <w:rPr>
          <w:b/>
        </w:rPr>
        <w:t>Euroopan komissiolle</w:t>
      </w:r>
      <w:r>
        <w:t xml:space="preserve"> esittämänsä kehotuksen antaa </w:t>
      </w:r>
      <w:r>
        <w:rPr>
          <w:b/>
        </w:rPr>
        <w:t>suositus</w:t>
      </w:r>
      <w:r>
        <w:t xml:space="preserve">, jossa jäsenvaltioita kannustetaan </w:t>
      </w:r>
      <w:r>
        <w:rPr>
          <w:b/>
        </w:rPr>
        <w:t>varmistamaan, että eri sukupolvet ovat edustettuina ja tekevät yhteistyötä työpaikoilla</w:t>
      </w:r>
      <w:r>
        <w:t>.</w:t>
      </w:r>
    </w:p>
    <w:p w:rsidR="005B7B1B" w:rsidP="00590490" w:rsidRDefault="005B7B1B" w14:paraId="3317C111" w14:textId="77777777">
      <w:pPr>
        <w:pStyle w:val="Footer"/>
        <w:numPr>
          <w:ilvl w:val="0"/>
          <w:numId w:val="39"/>
        </w:numPr>
        <w:ind w:left="426"/>
      </w:pPr>
      <w:r>
        <w:t>toteaa, että ikäihmisten työssäkäyntiä tukevia välineitä ovat muun muassa seuraavat: a) </w:t>
      </w:r>
      <w:r>
        <w:rPr>
          <w:b/>
        </w:rPr>
        <w:t>sellaisen työympäristön luominen, joka kannustaa</w:t>
      </w:r>
      <w:r>
        <w:t xml:space="preserve"> ikäihmisiä pysymään halutessaan pidempään työelämässä, b) </w:t>
      </w:r>
      <w:r>
        <w:rPr>
          <w:b/>
        </w:rPr>
        <w:t>osaamisen ylläpitäminen ja kehittäminen elinikäisen oppimisen keinoin</w:t>
      </w:r>
      <w:r>
        <w:t xml:space="preserve">, c) ratkaisut </w:t>
      </w:r>
      <w:r>
        <w:rPr>
          <w:b/>
        </w:rPr>
        <w:t>työnteon</w:t>
      </w:r>
      <w:r>
        <w:t xml:space="preserve"> ja ikääntyneiden </w:t>
      </w:r>
      <w:r>
        <w:rPr>
          <w:b/>
        </w:rPr>
        <w:t>lähiomaisten hoitovelvollisuuksien</w:t>
      </w:r>
      <w:r>
        <w:t xml:space="preserve"> yhdistämiseen, d) </w:t>
      </w:r>
      <w:r>
        <w:rPr>
          <w:b/>
        </w:rPr>
        <w:t>pidempien työurien edistäminen</w:t>
      </w:r>
      <w:r>
        <w:t xml:space="preserve"> sekä e) </w:t>
      </w:r>
      <w:r>
        <w:rPr>
          <w:b/>
        </w:rPr>
        <w:t xml:space="preserve">ikäsyrjinnän </w:t>
      </w:r>
      <w:r>
        <w:t xml:space="preserve">ja muiden sellaisten tekijöiden </w:t>
      </w:r>
      <w:r>
        <w:rPr>
          <w:b/>
        </w:rPr>
        <w:t>poistaminen</w:t>
      </w:r>
      <w:r>
        <w:t>, jotka haittaavat ikääntyvien työntekijöiden pysymistä työmarkkinoilla. Merkittävässä roolissa kaikissa näissä asioissa ovat yhteisötalouden toimijat, kansalaisyhteiskunnan organisaatiot ja työmarkkinaosapuolet.</w:t>
      </w:r>
    </w:p>
    <w:p w:rsidR="005B7B1B" w:rsidP="00590490" w:rsidRDefault="005B7B1B" w14:paraId="315679BA" w14:textId="77777777">
      <w:pPr>
        <w:pStyle w:val="Footer"/>
        <w:numPr>
          <w:ilvl w:val="0"/>
          <w:numId w:val="39"/>
        </w:numPr>
        <w:ind w:left="426"/>
      </w:pPr>
      <w:r>
        <w:t xml:space="preserve">ehdottaa, että </w:t>
      </w:r>
      <w:r>
        <w:rPr>
          <w:b/>
        </w:rPr>
        <w:t>Euroopan komissio perustaisi</w:t>
      </w:r>
      <w:r>
        <w:t xml:space="preserve"> yhdessä </w:t>
      </w:r>
      <w:proofErr w:type="spellStart"/>
      <w:r>
        <w:t>ETSK:n</w:t>
      </w:r>
      <w:proofErr w:type="spellEnd"/>
      <w:r>
        <w:t xml:space="preserve">, työmarkkinaosapuolten ja muiden kansalaisyhteiskunnan organisaatioiden kanssa foorumin jäsenvaltioiden välistä </w:t>
      </w:r>
      <w:r>
        <w:rPr>
          <w:b/>
        </w:rPr>
        <w:t>hyvien käytäntöjen vaihtoa varten</w:t>
      </w:r>
      <w:r>
        <w:t xml:space="preserve"> ja julkaisisi foorumilla käytyjen keskustelujen pohjalta koosteasiakirjan parhaista käytännöistä nk. työkalupakiksi.</w:t>
      </w:r>
    </w:p>
    <w:p w:rsidRPr="00497792" w:rsidR="005B7B1B" w:rsidP="000B3DCE" w:rsidRDefault="005B7B1B" w14:paraId="5D889229" w14:textId="77777777"/>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6689B" w:rsidR="005B7B1B" w:rsidTr="00F70F48" w14:paraId="43438F35" w14:textId="77777777">
        <w:tc>
          <w:tcPr>
            <w:tcW w:w="1556" w:type="pct"/>
          </w:tcPr>
          <w:p w:rsidRPr="00A6689B" w:rsidR="005B7B1B" w:rsidP="000B3DCE" w:rsidRDefault="005B7B1B" w14:paraId="5B5C1492" w14:textId="77777777">
            <w:pPr>
              <w:rPr>
                <w:i/>
              </w:rPr>
            </w:pPr>
            <w:r>
              <w:rPr>
                <w:b/>
                <w:i/>
              </w:rPr>
              <w:t>Yhteydenotot</w:t>
            </w:r>
          </w:p>
        </w:tc>
        <w:tc>
          <w:tcPr>
            <w:tcW w:w="3444" w:type="pct"/>
          </w:tcPr>
          <w:p w:rsidRPr="00A6689B" w:rsidR="005B7B1B" w:rsidP="000B3DCE" w:rsidRDefault="005B7B1B" w14:paraId="768E1188" w14:textId="4DF98564">
            <w:pPr>
              <w:rPr>
                <w:i/>
              </w:rPr>
            </w:pPr>
            <w:proofErr w:type="spellStart"/>
            <w:r>
              <w:rPr>
                <w:i/>
              </w:rPr>
              <w:t>Triin</w:t>
            </w:r>
            <w:proofErr w:type="spellEnd"/>
            <w:r>
              <w:rPr>
                <w:i/>
              </w:rPr>
              <w:t xml:space="preserve"> </w:t>
            </w:r>
            <w:r w:rsidR="00485207">
              <w:rPr>
                <w:i/>
              </w:rPr>
              <w:t>AASMAA GOMES</w:t>
            </w:r>
          </w:p>
        </w:tc>
      </w:tr>
      <w:tr w:rsidRPr="00A6689B" w:rsidR="005B7B1B" w:rsidTr="00F70F48" w14:paraId="5125D029" w14:textId="77777777">
        <w:tc>
          <w:tcPr>
            <w:tcW w:w="1556" w:type="pct"/>
          </w:tcPr>
          <w:p w:rsidRPr="00A6689B" w:rsidR="005B7B1B" w:rsidP="000B3DCE" w:rsidRDefault="005B7B1B" w14:paraId="11D9C763" w14:textId="77777777">
            <w:pPr>
              <w:rPr>
                <w:i/>
              </w:rPr>
            </w:pPr>
            <w:r>
              <w:rPr>
                <w:i/>
              </w:rPr>
              <w:t>P.</w:t>
            </w:r>
          </w:p>
        </w:tc>
        <w:tc>
          <w:tcPr>
            <w:tcW w:w="3444" w:type="pct"/>
          </w:tcPr>
          <w:p w:rsidRPr="00A6689B" w:rsidR="005B7B1B" w:rsidP="000B3DCE" w:rsidRDefault="005B7B1B" w14:paraId="6AC2E05A" w14:textId="77777777">
            <w:pPr>
              <w:rPr>
                <w:i/>
              </w:rPr>
            </w:pPr>
            <w:r>
              <w:rPr>
                <w:i/>
              </w:rPr>
              <w:t>+32 25469524</w:t>
            </w:r>
          </w:p>
        </w:tc>
      </w:tr>
      <w:tr w:rsidRPr="00A6689B" w:rsidR="005B7B1B" w:rsidTr="00F70F48" w14:paraId="2962F9A0" w14:textId="77777777">
        <w:tc>
          <w:tcPr>
            <w:tcW w:w="1556" w:type="pct"/>
          </w:tcPr>
          <w:p w:rsidRPr="00A6689B" w:rsidR="005B7B1B" w:rsidP="000B3DCE" w:rsidRDefault="005B7B1B" w14:paraId="32AF8B37" w14:textId="77777777">
            <w:pPr>
              <w:rPr>
                <w:i/>
              </w:rPr>
            </w:pPr>
            <w:r>
              <w:rPr>
                <w:i/>
              </w:rPr>
              <w:t>Sähköposti</w:t>
            </w:r>
          </w:p>
        </w:tc>
        <w:tc>
          <w:tcPr>
            <w:tcW w:w="3444" w:type="pct"/>
          </w:tcPr>
          <w:p w:rsidRPr="000B59F5" w:rsidR="005B7B1B" w:rsidP="000B3DCE" w:rsidRDefault="00D94EF3" w14:paraId="137C7A0D" w14:textId="77777777">
            <w:pPr>
              <w:rPr>
                <w:rStyle w:val="Hyperlink"/>
                <w:i/>
                <w:iCs/>
              </w:rPr>
            </w:pPr>
            <w:hyperlink w:history="1" r:id="rId29">
              <w:r w:rsidR="005B7B1B">
                <w:rPr>
                  <w:rStyle w:val="Hyperlink"/>
                  <w:i/>
                </w:rPr>
                <w:t>Triin.AasmaaGomes@eesc.europa.eu</w:t>
              </w:r>
            </w:hyperlink>
          </w:p>
        </w:tc>
      </w:tr>
    </w:tbl>
    <w:p w:rsidR="004D7AC0" w:rsidP="000B3DCE" w:rsidRDefault="004D7AC0" w14:paraId="4982DDC5" w14:textId="77777777">
      <w:pPr>
        <w:spacing w:after="160"/>
        <w:jc w:val="left"/>
      </w:pPr>
      <w:r>
        <w:br w:type="page"/>
      </w:r>
    </w:p>
    <w:p w:rsidR="004D7AC0" w:rsidP="000B3DCE" w:rsidRDefault="004D7AC0" w14:paraId="4982DDC6" w14:textId="77777777">
      <w:pPr>
        <w:pStyle w:val="Heading1"/>
        <w:rPr>
          <w:b/>
        </w:rPr>
      </w:pPr>
      <w:bookmarkStart w:name="_Toc24617160" w:id="3"/>
      <w:bookmarkStart w:name="_Toc75527082" w:id="4"/>
      <w:bookmarkStart w:name="_Toc192065767" w:id="5"/>
      <w:r>
        <w:rPr>
          <w:b/>
        </w:rPr>
        <w:lastRenderedPageBreak/>
        <w:t>LIIKENNE, ENERGIA, PERUSRAKENTEET, TIETOYHTEISKUNTA</w:t>
      </w:r>
      <w:bookmarkEnd w:id="3"/>
      <w:bookmarkEnd w:id="4"/>
      <w:bookmarkEnd w:id="5"/>
    </w:p>
    <w:p w:rsidR="004D7AC0" w:rsidP="000B3DCE" w:rsidRDefault="004D7AC0" w14:paraId="4982DDC7" w14:textId="77777777"/>
    <w:p w:rsidRPr="005B7B1B" w:rsidR="005B7B1B" w:rsidP="000B3DCE" w:rsidRDefault="00D94EF3" w14:paraId="19EBF29A" w14:textId="04BC4F24">
      <w:pPr>
        <w:widowControl w:val="0"/>
        <w:numPr>
          <w:ilvl w:val="0"/>
          <w:numId w:val="4"/>
        </w:numPr>
        <w:overflowPunct w:val="0"/>
        <w:autoSpaceDE w:val="0"/>
        <w:autoSpaceDN w:val="0"/>
        <w:adjustRightInd w:val="0"/>
        <w:ind w:hanging="567"/>
        <w:textAlignment w:val="baseline"/>
        <w:rPr>
          <w:b/>
          <w:bCs/>
          <w:i/>
          <w:iCs/>
          <w:sz w:val="28"/>
          <w:szCs w:val="28"/>
        </w:rPr>
      </w:pPr>
      <w:hyperlink w:history="1" r:id="rId30">
        <w:r w:rsidRPr="005B7B1B" w:rsidR="005B7B1B">
          <w:rPr>
            <w:b/>
            <w:i/>
            <w:color w:val="0000FF"/>
            <w:sz w:val="28"/>
            <w:szCs w:val="20"/>
            <w:u w:val="single"/>
          </w:rPr>
          <w:t>EU:n sisämarkkinoiden fyysinen loppuunsaattaminen uudessa geopoliittisessa tilanteessa</w:t>
        </w:r>
      </w:hyperlink>
    </w:p>
    <w:p w:rsidRPr="005B7B1B" w:rsidR="005B7B1B" w:rsidP="000B3DCE" w:rsidRDefault="005B7B1B" w14:paraId="0BC6B9AB" w14:textId="77777777">
      <w:pPr>
        <w:tabs>
          <w:tab w:val="center" w:pos="284"/>
        </w:tabs>
        <w:overflowPunct w:val="0"/>
        <w:autoSpaceDE w:val="0"/>
        <w:autoSpaceDN w:val="0"/>
        <w:adjustRightInd w:val="0"/>
        <w:ind w:left="266" w:hanging="266"/>
        <w:textAlignment w:val="baseline"/>
        <w:rPr>
          <w:b/>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1"/>
        <w:gridCol w:w="5387"/>
      </w:tblGrid>
      <w:tr w:rsidRPr="005B7B1B" w:rsidR="005B7B1B" w:rsidTr="00F70F48" w14:paraId="02798905" w14:textId="77777777">
        <w:tc>
          <w:tcPr>
            <w:tcW w:w="1701" w:type="dxa"/>
          </w:tcPr>
          <w:p w:rsidRPr="005B7B1B" w:rsidR="005B7B1B" w:rsidP="000B3DCE" w:rsidRDefault="005B7B1B" w14:paraId="61CD7FAE" w14:textId="77777777">
            <w:pPr>
              <w:tabs>
                <w:tab w:val="center" w:pos="284"/>
              </w:tabs>
              <w:overflowPunct w:val="0"/>
              <w:autoSpaceDE w:val="0"/>
              <w:autoSpaceDN w:val="0"/>
              <w:adjustRightInd w:val="0"/>
              <w:ind w:left="266" w:hanging="266"/>
              <w:textAlignment w:val="baseline"/>
              <w:rPr>
                <w:b/>
              </w:rPr>
            </w:pPr>
            <w:r w:rsidRPr="005B7B1B">
              <w:rPr>
                <w:b/>
                <w:bCs/>
              </w:rPr>
              <w:t>Esittelijä</w:t>
            </w:r>
          </w:p>
        </w:tc>
        <w:tc>
          <w:tcPr>
            <w:tcW w:w="5387" w:type="dxa"/>
          </w:tcPr>
          <w:p w:rsidRPr="005B7B1B" w:rsidR="005B7B1B" w:rsidP="000B3DCE" w:rsidRDefault="005B7B1B" w14:paraId="23A816A5" w14:textId="012D7DC0">
            <w:pPr>
              <w:tabs>
                <w:tab w:val="center" w:pos="284"/>
              </w:tabs>
              <w:overflowPunct w:val="0"/>
              <w:autoSpaceDE w:val="0"/>
              <w:autoSpaceDN w:val="0"/>
              <w:adjustRightInd w:val="0"/>
              <w:ind w:left="266" w:hanging="266"/>
              <w:textAlignment w:val="baseline"/>
            </w:pPr>
            <w:r w:rsidRPr="005B7B1B">
              <w:t xml:space="preserve">Päivi Elina </w:t>
            </w:r>
            <w:r w:rsidRPr="005B7B1B" w:rsidR="00485207">
              <w:t xml:space="preserve">WOOD </w:t>
            </w:r>
            <w:r w:rsidRPr="005B7B1B">
              <w:t>(työnantajat – FI)</w:t>
            </w:r>
          </w:p>
        </w:tc>
      </w:tr>
      <w:tr w:rsidRPr="005B7B1B" w:rsidR="005B7B1B" w:rsidTr="00F70F48" w14:paraId="4DF245B3" w14:textId="77777777">
        <w:tc>
          <w:tcPr>
            <w:tcW w:w="7088" w:type="dxa"/>
            <w:gridSpan w:val="2"/>
          </w:tcPr>
          <w:p w:rsidRPr="005B7B1B" w:rsidR="005B7B1B" w:rsidP="000B3DCE" w:rsidRDefault="005B7B1B" w14:paraId="0B8A2676" w14:textId="77777777">
            <w:pPr>
              <w:tabs>
                <w:tab w:val="center" w:pos="284"/>
              </w:tabs>
              <w:overflowPunct w:val="0"/>
              <w:autoSpaceDE w:val="0"/>
              <w:autoSpaceDN w:val="0"/>
              <w:adjustRightInd w:val="0"/>
              <w:ind w:left="266" w:hanging="266"/>
              <w:textAlignment w:val="baseline"/>
              <w:rPr>
                <w:lang w:val="en-US"/>
              </w:rPr>
            </w:pPr>
          </w:p>
        </w:tc>
      </w:tr>
      <w:tr w:rsidRPr="005B7B1B" w:rsidR="005B7B1B" w:rsidTr="00F70F48" w14:paraId="07512F39" w14:textId="77777777">
        <w:tc>
          <w:tcPr>
            <w:tcW w:w="1701" w:type="dxa"/>
          </w:tcPr>
          <w:p w:rsidRPr="005B7B1B" w:rsidR="005B7B1B" w:rsidP="000B3DCE" w:rsidRDefault="005B7B1B" w14:paraId="6268C3C6" w14:textId="77777777">
            <w:pPr>
              <w:tabs>
                <w:tab w:val="center" w:pos="284"/>
              </w:tabs>
              <w:overflowPunct w:val="0"/>
              <w:autoSpaceDE w:val="0"/>
              <w:autoSpaceDN w:val="0"/>
              <w:adjustRightInd w:val="0"/>
              <w:ind w:left="266" w:hanging="266"/>
              <w:textAlignment w:val="baseline"/>
              <w:rPr>
                <w:b/>
              </w:rPr>
            </w:pPr>
            <w:r w:rsidRPr="005B7B1B">
              <w:rPr>
                <w:b/>
              </w:rPr>
              <w:t>Viiteasiakirja</w:t>
            </w:r>
          </w:p>
        </w:tc>
        <w:tc>
          <w:tcPr>
            <w:tcW w:w="5387" w:type="dxa"/>
          </w:tcPr>
          <w:p w:rsidRPr="005B7B1B" w:rsidR="005B7B1B" w:rsidP="000B3DCE" w:rsidRDefault="005B7B1B" w14:paraId="682B7917" w14:textId="77777777">
            <w:pPr>
              <w:tabs>
                <w:tab w:val="center" w:pos="284"/>
              </w:tabs>
              <w:overflowPunct w:val="0"/>
              <w:autoSpaceDE w:val="0"/>
              <w:autoSpaceDN w:val="0"/>
              <w:adjustRightInd w:val="0"/>
              <w:ind w:left="266" w:hanging="266"/>
              <w:textAlignment w:val="baseline"/>
            </w:pPr>
            <w:r w:rsidRPr="005B7B1B">
              <w:t>Oma-aloitteinen lausunto</w:t>
            </w:r>
          </w:p>
          <w:p w:rsidRPr="005B7B1B" w:rsidR="005B7B1B" w:rsidP="000B3DCE" w:rsidRDefault="005B7B1B" w14:paraId="66D1525A" w14:textId="77777777">
            <w:pPr>
              <w:tabs>
                <w:tab w:val="center" w:pos="284"/>
              </w:tabs>
              <w:overflowPunct w:val="0"/>
              <w:autoSpaceDE w:val="0"/>
              <w:autoSpaceDN w:val="0"/>
              <w:adjustRightInd w:val="0"/>
              <w:ind w:left="266" w:hanging="266"/>
              <w:textAlignment w:val="baseline"/>
            </w:pPr>
            <w:r w:rsidRPr="005B7B1B">
              <w:t>EESC-2024-03902-00-00-AC</w:t>
            </w:r>
          </w:p>
        </w:tc>
      </w:tr>
    </w:tbl>
    <w:p w:rsidRPr="005B7B1B" w:rsidR="005B7B1B" w:rsidP="000B3DCE" w:rsidRDefault="005B7B1B" w14:paraId="7E6BE1DD" w14:textId="77777777">
      <w:pPr>
        <w:tabs>
          <w:tab w:val="center" w:pos="284"/>
        </w:tabs>
        <w:overflowPunct w:val="0"/>
        <w:autoSpaceDE w:val="0"/>
        <w:autoSpaceDN w:val="0"/>
        <w:adjustRightInd w:val="0"/>
        <w:ind w:left="266" w:hanging="266"/>
        <w:textAlignment w:val="baseline"/>
      </w:pPr>
    </w:p>
    <w:p w:rsidRPr="005B7B1B" w:rsidR="005B7B1B" w:rsidP="000B3DCE" w:rsidRDefault="005B7B1B" w14:paraId="0BC4E981" w14:textId="77777777">
      <w:pPr>
        <w:keepNext/>
        <w:keepLines/>
        <w:tabs>
          <w:tab w:val="center" w:pos="284"/>
        </w:tabs>
        <w:overflowPunct w:val="0"/>
        <w:autoSpaceDE w:val="0"/>
        <w:autoSpaceDN w:val="0"/>
        <w:adjustRightInd w:val="0"/>
        <w:ind w:left="266" w:hanging="266"/>
        <w:textAlignment w:val="baseline"/>
        <w:rPr>
          <w:b/>
        </w:rPr>
      </w:pPr>
      <w:r w:rsidRPr="005B7B1B">
        <w:rPr>
          <w:b/>
          <w:szCs w:val="20"/>
        </w:rPr>
        <w:t>Keskeiset kohdat</w:t>
      </w:r>
    </w:p>
    <w:p w:rsidRPr="005B7B1B" w:rsidR="005B7B1B" w:rsidP="000B3DCE" w:rsidRDefault="005B7B1B" w14:paraId="1C3EA40D" w14:textId="77777777">
      <w:pPr>
        <w:keepNext/>
        <w:keepLines/>
        <w:tabs>
          <w:tab w:val="center" w:pos="284"/>
        </w:tabs>
        <w:overflowPunct w:val="0"/>
        <w:autoSpaceDE w:val="0"/>
        <w:autoSpaceDN w:val="0"/>
        <w:adjustRightInd w:val="0"/>
        <w:ind w:left="266" w:hanging="266"/>
        <w:textAlignment w:val="baseline"/>
        <w:rPr>
          <w:b/>
        </w:rPr>
      </w:pPr>
    </w:p>
    <w:p w:rsidRPr="005B7B1B" w:rsidR="005B7B1B" w:rsidP="000B3DCE" w:rsidRDefault="005B7B1B" w14:paraId="2A284451" w14:textId="77777777">
      <w:pPr>
        <w:overflowPunct w:val="0"/>
        <w:autoSpaceDE w:val="0"/>
        <w:autoSpaceDN w:val="0"/>
        <w:adjustRightInd w:val="0"/>
        <w:textAlignment w:val="baseline"/>
        <w:rPr>
          <w:bCs/>
          <w:iCs/>
        </w:rPr>
      </w:pPr>
      <w:r w:rsidRPr="005B7B1B">
        <w:rPr>
          <w:szCs w:val="20"/>
        </w:rPr>
        <w:t>ETSK</w:t>
      </w:r>
    </w:p>
    <w:p w:rsidRPr="005B7B1B" w:rsidR="005B7B1B" w:rsidP="000B3DCE" w:rsidRDefault="005B7B1B" w14:paraId="65D196BD" w14:textId="77777777">
      <w:pPr>
        <w:overflowPunct w:val="0"/>
        <w:autoSpaceDE w:val="0"/>
        <w:autoSpaceDN w:val="0"/>
        <w:adjustRightInd w:val="0"/>
        <w:textAlignment w:val="baseline"/>
        <w:rPr>
          <w:bCs/>
          <w:iCs/>
        </w:rPr>
      </w:pPr>
    </w:p>
    <w:p w:rsidRPr="005B7B1B" w:rsidR="005B7B1B" w:rsidP="000B3DCE" w:rsidRDefault="005B7B1B" w14:paraId="3490BD28" w14:textId="77777777">
      <w:pPr>
        <w:widowControl w:val="0"/>
        <w:numPr>
          <w:ilvl w:val="0"/>
          <w:numId w:val="29"/>
        </w:numPr>
        <w:overflowPunct w:val="0"/>
        <w:autoSpaceDE w:val="0"/>
        <w:autoSpaceDN w:val="0"/>
        <w:adjustRightInd w:val="0"/>
        <w:ind w:left="426"/>
        <w:textAlignment w:val="baseline"/>
        <w:rPr>
          <w:bCs/>
          <w:iCs/>
        </w:rPr>
      </w:pPr>
      <w:r w:rsidRPr="005B7B1B">
        <w:rPr>
          <w:szCs w:val="20"/>
        </w:rPr>
        <w:t>pitää ratkaisevan tärkeänä tehostaa toimia liikennejärjestelmien häiriönsietokyvyn ja luotettavuuden parantamiseksi. Komitea korostaa, että kriisien vaikutuksista kaikkiin liikennemuotoihin sekä mahdollisista uusista esteistä EU:n eri alueiden yhteyksissä on tehtävä pätevä analyysi.</w:t>
      </w:r>
    </w:p>
    <w:p w:rsidRPr="005B7B1B" w:rsidR="005B7B1B" w:rsidP="000B3DCE" w:rsidRDefault="005B7B1B" w14:paraId="2FB581F9" w14:textId="77777777">
      <w:pPr>
        <w:widowControl w:val="0"/>
        <w:numPr>
          <w:ilvl w:val="0"/>
          <w:numId w:val="29"/>
        </w:numPr>
        <w:overflowPunct w:val="0"/>
        <w:autoSpaceDE w:val="0"/>
        <w:autoSpaceDN w:val="0"/>
        <w:adjustRightInd w:val="0"/>
        <w:ind w:left="426"/>
        <w:textAlignment w:val="baseline"/>
      </w:pPr>
      <w:r w:rsidRPr="005B7B1B">
        <w:rPr>
          <w:szCs w:val="20"/>
        </w:rPr>
        <w:t>katsoo, että seuraavassa monivuotisessa rahoituskehyksessä on varattava riittävät määrärahat liikenneinfrastruktuurin kehittämiseen ja ylläpitoon tehtäviin investointeihin ja kohdennettava määrärahat harkiten. Ensimmäisenä tavoitteena on oltava TEN-T-ydinverkon valmiiksi saattaminen vuoteen 2030 mennessä.</w:t>
      </w:r>
    </w:p>
    <w:p w:rsidRPr="005B7B1B" w:rsidR="005B7B1B" w:rsidP="000B3DCE" w:rsidRDefault="005B7B1B" w14:paraId="6147EA26" w14:textId="77777777">
      <w:pPr>
        <w:widowControl w:val="0"/>
        <w:numPr>
          <w:ilvl w:val="0"/>
          <w:numId w:val="29"/>
        </w:numPr>
        <w:overflowPunct w:val="0"/>
        <w:autoSpaceDE w:val="0"/>
        <w:autoSpaceDN w:val="0"/>
        <w:adjustRightInd w:val="0"/>
        <w:ind w:left="426"/>
        <w:textAlignment w:val="baseline"/>
      </w:pPr>
      <w:r w:rsidRPr="005B7B1B">
        <w:rPr>
          <w:szCs w:val="20"/>
        </w:rPr>
        <w:t>kehottaa kiinnittämään aiempaa enemmän huomiota infrastruktuurin kaksoiskäyttöön ja sotilaalliseen liikkuvuuteen sekä tekemään yhteistyötä myös Naton kanssa.</w:t>
      </w:r>
    </w:p>
    <w:p w:rsidRPr="005B7B1B" w:rsidR="005B7B1B" w:rsidP="000B3DCE" w:rsidRDefault="005B7B1B" w14:paraId="1EEE9297" w14:textId="77777777">
      <w:pPr>
        <w:widowControl w:val="0"/>
        <w:numPr>
          <w:ilvl w:val="0"/>
          <w:numId w:val="29"/>
        </w:numPr>
        <w:overflowPunct w:val="0"/>
        <w:autoSpaceDE w:val="0"/>
        <w:autoSpaceDN w:val="0"/>
        <w:adjustRightInd w:val="0"/>
        <w:ind w:left="426"/>
        <w:textAlignment w:val="baseline"/>
        <w:rPr>
          <w:szCs w:val="20"/>
        </w:rPr>
      </w:pPr>
      <w:r w:rsidRPr="005B7B1B">
        <w:rPr>
          <w:szCs w:val="20"/>
        </w:rPr>
        <w:t>korostaa, että kokonaisvaltaisen turvallisuuden näkökulmasta on tärkeää vahvistaa EU:n raja-alueiden elinvoimaisuutta ja niiden yhteyksiä sisämarkkinoille.</w:t>
      </w:r>
    </w:p>
    <w:p w:rsidRPr="005B7B1B" w:rsidR="005B7B1B" w:rsidP="000B3DCE" w:rsidRDefault="005B7B1B" w14:paraId="417A7C14" w14:textId="77777777">
      <w:pPr>
        <w:widowControl w:val="0"/>
        <w:numPr>
          <w:ilvl w:val="0"/>
          <w:numId w:val="29"/>
        </w:numPr>
        <w:overflowPunct w:val="0"/>
        <w:autoSpaceDE w:val="0"/>
        <w:autoSpaceDN w:val="0"/>
        <w:adjustRightInd w:val="0"/>
        <w:ind w:left="426"/>
        <w:textAlignment w:val="baseline"/>
        <w:rPr>
          <w:szCs w:val="20"/>
        </w:rPr>
      </w:pPr>
      <w:r w:rsidRPr="005B7B1B">
        <w:rPr>
          <w:szCs w:val="20"/>
        </w:rPr>
        <w:t>kehottaa toteuttamaan toimia, joilla helpotetaan työvoiman liikkuvuutta, parannetaan osaamista ja taitoja ja tehdään liikennealasta houkuttelevampi.</w:t>
      </w:r>
    </w:p>
    <w:p w:rsidRPr="005B7B1B" w:rsidR="005B7B1B" w:rsidP="000B3DCE" w:rsidRDefault="005B7B1B" w14:paraId="242A9535" w14:textId="77777777">
      <w:pPr>
        <w:widowControl w:val="0"/>
        <w:overflowPunct w:val="0"/>
        <w:autoSpaceDE w:val="0"/>
        <w:autoSpaceDN w:val="0"/>
        <w:adjustRightInd w:val="0"/>
        <w:ind w:left="709"/>
        <w:textAlignment w:val="baseline"/>
        <w:rPr>
          <w:szCs w:val="20"/>
        </w:rPr>
      </w:pPr>
    </w:p>
    <w:tbl>
      <w:tblPr>
        <w:tblStyle w:val="TableGrid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5B7B1B" w:rsidR="005B7B1B" w:rsidTr="00F70F48" w14:paraId="5247778D" w14:textId="77777777">
        <w:tc>
          <w:tcPr>
            <w:tcW w:w="1418" w:type="dxa"/>
          </w:tcPr>
          <w:p w:rsidRPr="005B7B1B" w:rsidR="005B7B1B" w:rsidP="000B3DCE" w:rsidRDefault="005B7B1B" w14:paraId="10AADBC3" w14:textId="77777777">
            <w:pPr>
              <w:overflowPunct w:val="0"/>
              <w:autoSpaceDE w:val="0"/>
              <w:autoSpaceDN w:val="0"/>
              <w:adjustRightInd w:val="0"/>
              <w:textAlignment w:val="baseline"/>
              <w:rPr>
                <w:i/>
              </w:rPr>
            </w:pPr>
            <w:r w:rsidRPr="005B7B1B">
              <w:rPr>
                <w:b/>
                <w:i/>
              </w:rPr>
              <w:t>Yhteydenotot</w:t>
            </w:r>
          </w:p>
        </w:tc>
        <w:tc>
          <w:tcPr>
            <w:tcW w:w="5670" w:type="dxa"/>
          </w:tcPr>
          <w:p w:rsidRPr="005B7B1B" w:rsidR="005B7B1B" w:rsidP="000B3DCE" w:rsidRDefault="005B7B1B" w14:paraId="05BD8296" w14:textId="11D8EC76">
            <w:pPr>
              <w:overflowPunct w:val="0"/>
              <w:autoSpaceDE w:val="0"/>
              <w:autoSpaceDN w:val="0"/>
              <w:adjustRightInd w:val="0"/>
              <w:textAlignment w:val="baseline"/>
              <w:rPr>
                <w:i/>
              </w:rPr>
            </w:pPr>
            <w:r w:rsidRPr="005B7B1B">
              <w:rPr>
                <w:i/>
              </w:rPr>
              <w:t xml:space="preserve">Albert </w:t>
            </w:r>
            <w:r w:rsidRPr="005B7B1B" w:rsidR="00485207">
              <w:rPr>
                <w:i/>
              </w:rPr>
              <w:t>PRECUP</w:t>
            </w:r>
          </w:p>
        </w:tc>
      </w:tr>
      <w:tr w:rsidRPr="005B7B1B" w:rsidR="005B7B1B" w:rsidTr="00F70F48" w14:paraId="3A352D9F" w14:textId="77777777">
        <w:tc>
          <w:tcPr>
            <w:tcW w:w="1418" w:type="dxa"/>
          </w:tcPr>
          <w:p w:rsidRPr="005B7B1B" w:rsidR="005B7B1B" w:rsidP="000B3DCE" w:rsidRDefault="005B7B1B" w14:paraId="1AC24BDE" w14:textId="77777777">
            <w:pPr>
              <w:overflowPunct w:val="0"/>
              <w:autoSpaceDE w:val="0"/>
              <w:autoSpaceDN w:val="0"/>
              <w:adjustRightInd w:val="0"/>
              <w:textAlignment w:val="baseline"/>
              <w:rPr>
                <w:i/>
              </w:rPr>
            </w:pPr>
            <w:r w:rsidRPr="005B7B1B">
              <w:rPr>
                <w:i/>
              </w:rPr>
              <w:t>P.</w:t>
            </w:r>
          </w:p>
        </w:tc>
        <w:tc>
          <w:tcPr>
            <w:tcW w:w="5670" w:type="dxa"/>
          </w:tcPr>
          <w:p w:rsidRPr="005B7B1B" w:rsidR="005B7B1B" w:rsidP="000B3DCE" w:rsidRDefault="005B7B1B" w14:paraId="2AE54FDA" w14:textId="77777777">
            <w:pPr>
              <w:overflowPunct w:val="0"/>
              <w:autoSpaceDE w:val="0"/>
              <w:autoSpaceDN w:val="0"/>
              <w:adjustRightInd w:val="0"/>
              <w:textAlignment w:val="baseline"/>
              <w:rPr>
                <w:i/>
              </w:rPr>
            </w:pPr>
            <w:r w:rsidRPr="005B7B1B">
              <w:rPr>
                <w:i/>
              </w:rPr>
              <w:t>+ 32 25469326</w:t>
            </w:r>
          </w:p>
        </w:tc>
      </w:tr>
      <w:tr w:rsidRPr="005B7B1B" w:rsidR="005B7B1B" w:rsidTr="00F70F48" w14:paraId="5DF9CF97" w14:textId="77777777">
        <w:tc>
          <w:tcPr>
            <w:tcW w:w="1418" w:type="dxa"/>
          </w:tcPr>
          <w:p w:rsidRPr="005B7B1B" w:rsidR="005B7B1B" w:rsidP="000B3DCE" w:rsidRDefault="005B7B1B" w14:paraId="2523F4EB" w14:textId="77777777">
            <w:pPr>
              <w:overflowPunct w:val="0"/>
              <w:autoSpaceDE w:val="0"/>
              <w:autoSpaceDN w:val="0"/>
              <w:adjustRightInd w:val="0"/>
              <w:textAlignment w:val="baseline"/>
              <w:rPr>
                <w:i/>
              </w:rPr>
            </w:pPr>
            <w:r w:rsidRPr="005B7B1B">
              <w:rPr>
                <w:i/>
              </w:rPr>
              <w:t>Sähköposti</w:t>
            </w:r>
          </w:p>
        </w:tc>
        <w:tc>
          <w:tcPr>
            <w:tcW w:w="5670" w:type="dxa"/>
          </w:tcPr>
          <w:p w:rsidRPr="005B7B1B" w:rsidR="005B7B1B" w:rsidP="000B3DCE" w:rsidRDefault="00D94EF3" w14:paraId="6F77B223" w14:textId="77777777">
            <w:pPr>
              <w:overflowPunct w:val="0"/>
              <w:autoSpaceDE w:val="0"/>
              <w:autoSpaceDN w:val="0"/>
              <w:adjustRightInd w:val="0"/>
              <w:textAlignment w:val="baseline"/>
              <w:rPr>
                <w:i/>
              </w:rPr>
            </w:pPr>
            <w:hyperlink w:history="1" r:id="rId31">
              <w:r w:rsidRPr="005B7B1B" w:rsidR="005B7B1B">
                <w:rPr>
                  <w:i/>
                  <w:color w:val="0000FF"/>
                  <w:u w:val="single"/>
                </w:rPr>
                <w:t>Albert.Precup@eesc.europa.eu</w:t>
              </w:r>
            </w:hyperlink>
            <w:r w:rsidRPr="005B7B1B" w:rsidR="005B7B1B">
              <w:rPr>
                <w:i/>
              </w:rPr>
              <w:t xml:space="preserve"> </w:t>
            </w:r>
          </w:p>
        </w:tc>
      </w:tr>
    </w:tbl>
    <w:p w:rsidR="004D7AC0" w:rsidP="000B3DCE" w:rsidRDefault="004D7AC0" w14:paraId="4982DDF1" w14:textId="77777777">
      <w:pPr>
        <w:pStyle w:val="ListParagraph"/>
        <w:ind w:left="0"/>
      </w:pPr>
    </w:p>
    <w:p w:rsidR="004D7AC0" w:rsidP="000B3DCE" w:rsidRDefault="004D7AC0" w14:paraId="4982DDF2" w14:textId="77777777">
      <w:pPr>
        <w:spacing w:after="160"/>
        <w:jc w:val="left"/>
      </w:pPr>
      <w:r>
        <w:br w:type="page"/>
      </w:r>
    </w:p>
    <w:p w:rsidR="004D7AC0" w:rsidP="000B3DCE" w:rsidRDefault="004D7AC0" w14:paraId="4982DDF3" w14:textId="77777777">
      <w:pPr>
        <w:pStyle w:val="Heading1"/>
        <w:rPr>
          <w:b/>
        </w:rPr>
      </w:pPr>
      <w:bookmarkStart w:name="_Toc75527083" w:id="6"/>
      <w:bookmarkStart w:name="_Toc192065768" w:id="7"/>
      <w:r>
        <w:rPr>
          <w:b/>
        </w:rPr>
        <w:lastRenderedPageBreak/>
        <w:t>SISÄMARKKINAT, TUOTANTO JA KULUTUS</w:t>
      </w:r>
      <w:bookmarkEnd w:id="6"/>
      <w:bookmarkEnd w:id="7"/>
    </w:p>
    <w:p w:rsidR="004D7AC0" w:rsidP="000B3DCE" w:rsidRDefault="004D7AC0" w14:paraId="4982DDF4" w14:textId="77777777"/>
    <w:p w:rsidRPr="005B7B1B" w:rsidR="005B7B1B" w:rsidP="000B3DCE" w:rsidRDefault="00D94EF3" w14:paraId="192CA80A" w14:textId="3AFE5740">
      <w:pPr>
        <w:widowControl w:val="0"/>
        <w:numPr>
          <w:ilvl w:val="0"/>
          <w:numId w:val="4"/>
        </w:numPr>
        <w:overflowPunct w:val="0"/>
        <w:autoSpaceDE w:val="0"/>
        <w:autoSpaceDN w:val="0"/>
        <w:adjustRightInd w:val="0"/>
        <w:ind w:hanging="567"/>
        <w:textAlignment w:val="baseline"/>
        <w:rPr>
          <w:b/>
        </w:rPr>
      </w:pPr>
      <w:hyperlink w:history="1" r:id="rId32">
        <w:r w:rsidRPr="005B7B1B" w:rsidR="005B7B1B">
          <w:rPr>
            <w:b/>
            <w:i/>
            <w:color w:val="0000FF"/>
            <w:sz w:val="28"/>
            <w:szCs w:val="20"/>
            <w:u w:val="single"/>
          </w:rPr>
          <w:t>Digitaalisen ja vihreän siirtymän vaikutukset kuluttajiin</w:t>
        </w:r>
      </w:hyperlink>
    </w:p>
    <w:p w:rsidRPr="005B7B1B" w:rsidR="005B7B1B" w:rsidP="000B3DCE" w:rsidRDefault="005B7B1B" w14:paraId="61375302" w14:textId="77777777">
      <w:pPr>
        <w:widowControl w:val="0"/>
        <w:overflowPunct w:val="0"/>
        <w:autoSpaceDE w:val="0"/>
        <w:autoSpaceDN w:val="0"/>
        <w:adjustRightInd w:val="0"/>
        <w:ind w:left="266"/>
        <w:textAlignment w:val="baseline"/>
        <w:rPr>
          <w:b/>
        </w:rPr>
      </w:pPr>
    </w:p>
    <w:tbl>
      <w:tblPr>
        <w:tblStyle w:val="TableGrid4"/>
        <w:tblW w:w="494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6981"/>
      </w:tblGrid>
      <w:tr w:rsidRPr="005B7B1B" w:rsidR="005B7B1B" w:rsidTr="00F70F48" w14:paraId="069B33D5" w14:textId="77777777">
        <w:tc>
          <w:tcPr>
            <w:tcW w:w="1107" w:type="pct"/>
          </w:tcPr>
          <w:p w:rsidRPr="005B7B1B" w:rsidR="005B7B1B" w:rsidP="000B3DCE" w:rsidRDefault="005B7B1B" w14:paraId="22786997" w14:textId="77777777">
            <w:pPr>
              <w:tabs>
                <w:tab w:val="center" w:pos="284"/>
              </w:tabs>
              <w:overflowPunct w:val="0"/>
              <w:autoSpaceDE w:val="0"/>
              <w:autoSpaceDN w:val="0"/>
              <w:adjustRightInd w:val="0"/>
              <w:ind w:left="266" w:hanging="266"/>
              <w:textAlignment w:val="baseline"/>
              <w:rPr>
                <w:b/>
              </w:rPr>
            </w:pPr>
            <w:r w:rsidRPr="005B7B1B">
              <w:rPr>
                <w:b/>
              </w:rPr>
              <w:t>Esittelijä</w:t>
            </w:r>
          </w:p>
        </w:tc>
        <w:tc>
          <w:tcPr>
            <w:tcW w:w="3893" w:type="pct"/>
          </w:tcPr>
          <w:p w:rsidRPr="005B7B1B" w:rsidR="005B7B1B" w:rsidP="000B3DCE" w:rsidRDefault="005B7B1B" w14:paraId="007794FC" w14:textId="7933AAA2">
            <w:pPr>
              <w:overflowPunct w:val="0"/>
              <w:autoSpaceDE w:val="0"/>
              <w:autoSpaceDN w:val="0"/>
              <w:adjustRightInd w:val="0"/>
              <w:textAlignment w:val="baseline"/>
            </w:pPr>
            <w:proofErr w:type="spellStart"/>
            <w:r w:rsidRPr="005B7B1B">
              <w:t>Ileana</w:t>
            </w:r>
            <w:proofErr w:type="spellEnd"/>
            <w:r w:rsidRPr="005B7B1B">
              <w:t xml:space="preserve"> </w:t>
            </w:r>
            <w:r w:rsidRPr="005B7B1B" w:rsidR="00485207">
              <w:t xml:space="preserve">IZVERNICEANU DE LA IGLESIA </w:t>
            </w:r>
            <w:r w:rsidRPr="005B7B1B">
              <w:t xml:space="preserve">(kansalaisyhteiskunnan organisaatiot </w:t>
            </w:r>
            <w:r w:rsidR="006978D9">
              <w:noBreakHyphen/>
            </w:r>
            <w:r w:rsidRPr="005B7B1B">
              <w:t>ryhmä – ES)</w:t>
            </w:r>
          </w:p>
        </w:tc>
      </w:tr>
      <w:tr w:rsidRPr="005B7B1B" w:rsidR="005B7B1B" w:rsidTr="00F70F48" w14:paraId="6D5BA893" w14:textId="77777777">
        <w:tc>
          <w:tcPr>
            <w:tcW w:w="5000" w:type="pct"/>
            <w:gridSpan w:val="2"/>
          </w:tcPr>
          <w:p w:rsidRPr="005B7B1B" w:rsidR="005B7B1B" w:rsidP="000B3DCE" w:rsidRDefault="005B7B1B" w14:paraId="0B203346" w14:textId="77777777">
            <w:pPr>
              <w:tabs>
                <w:tab w:val="center" w:pos="284"/>
              </w:tabs>
              <w:overflowPunct w:val="0"/>
              <w:autoSpaceDE w:val="0"/>
              <w:autoSpaceDN w:val="0"/>
              <w:adjustRightInd w:val="0"/>
              <w:ind w:left="266" w:hanging="266"/>
              <w:textAlignment w:val="baseline"/>
              <w:rPr>
                <w:lang w:val="es-ES"/>
              </w:rPr>
            </w:pPr>
          </w:p>
        </w:tc>
      </w:tr>
      <w:tr w:rsidRPr="005B7B1B" w:rsidR="005B7B1B" w:rsidTr="00F70F48" w14:paraId="511A3B2F" w14:textId="77777777">
        <w:tc>
          <w:tcPr>
            <w:tcW w:w="1107" w:type="pct"/>
            <w:vMerge w:val="restart"/>
          </w:tcPr>
          <w:p w:rsidRPr="005B7B1B" w:rsidR="005B7B1B" w:rsidP="000B3DCE" w:rsidRDefault="005B7B1B" w14:paraId="705F0D69" w14:textId="77777777">
            <w:pPr>
              <w:tabs>
                <w:tab w:val="center" w:pos="284"/>
              </w:tabs>
              <w:overflowPunct w:val="0"/>
              <w:autoSpaceDE w:val="0"/>
              <w:autoSpaceDN w:val="0"/>
              <w:adjustRightInd w:val="0"/>
              <w:ind w:left="266" w:hanging="266"/>
              <w:textAlignment w:val="baseline"/>
              <w:rPr>
                <w:b/>
              </w:rPr>
            </w:pPr>
            <w:r w:rsidRPr="005B7B1B">
              <w:rPr>
                <w:b/>
              </w:rPr>
              <w:t>Viiteasiakirjat</w:t>
            </w:r>
          </w:p>
        </w:tc>
        <w:tc>
          <w:tcPr>
            <w:tcW w:w="3893" w:type="pct"/>
          </w:tcPr>
          <w:p w:rsidRPr="005B7B1B" w:rsidR="005B7B1B" w:rsidP="000B3DCE" w:rsidRDefault="005B7B1B" w14:paraId="09926ADC" w14:textId="77777777">
            <w:pPr>
              <w:tabs>
                <w:tab w:val="center" w:pos="284"/>
              </w:tabs>
              <w:overflowPunct w:val="0"/>
              <w:autoSpaceDE w:val="0"/>
              <w:autoSpaceDN w:val="0"/>
              <w:adjustRightInd w:val="0"/>
              <w:ind w:left="266" w:hanging="266"/>
              <w:textAlignment w:val="baseline"/>
            </w:pPr>
            <w:r w:rsidRPr="005B7B1B">
              <w:t>puheenjohtajavaltio Puolan pyytämä valmisteleva lausunto</w:t>
            </w:r>
          </w:p>
        </w:tc>
      </w:tr>
      <w:tr w:rsidRPr="005B7B1B" w:rsidR="005B7B1B" w:rsidTr="00F70F48" w14:paraId="711373F9" w14:textId="77777777">
        <w:tc>
          <w:tcPr>
            <w:tcW w:w="1107" w:type="pct"/>
            <w:vMerge/>
          </w:tcPr>
          <w:p w:rsidRPr="005B7B1B" w:rsidR="005B7B1B" w:rsidP="000B3DCE" w:rsidRDefault="005B7B1B" w14:paraId="765D5BED" w14:textId="77777777">
            <w:pPr>
              <w:tabs>
                <w:tab w:val="center" w:pos="284"/>
              </w:tabs>
              <w:overflowPunct w:val="0"/>
              <w:autoSpaceDE w:val="0"/>
              <w:autoSpaceDN w:val="0"/>
              <w:adjustRightInd w:val="0"/>
              <w:ind w:left="266" w:hanging="266"/>
              <w:textAlignment w:val="baseline"/>
              <w:rPr>
                <w:b/>
                <w:lang w:val="en-US"/>
              </w:rPr>
            </w:pPr>
          </w:p>
        </w:tc>
        <w:tc>
          <w:tcPr>
            <w:tcW w:w="3893" w:type="pct"/>
          </w:tcPr>
          <w:p w:rsidRPr="005B7B1B" w:rsidR="005B7B1B" w:rsidP="000B3DCE" w:rsidRDefault="005B7B1B" w14:paraId="769C9BD7" w14:textId="77777777">
            <w:pPr>
              <w:tabs>
                <w:tab w:val="center" w:pos="284"/>
              </w:tabs>
              <w:overflowPunct w:val="0"/>
              <w:autoSpaceDE w:val="0"/>
              <w:autoSpaceDN w:val="0"/>
              <w:adjustRightInd w:val="0"/>
              <w:ind w:left="266" w:hanging="266"/>
              <w:textAlignment w:val="baseline"/>
            </w:pPr>
            <w:r w:rsidRPr="005B7B1B">
              <w:t>EESC-2024-03566-00-00-AC</w:t>
            </w:r>
          </w:p>
        </w:tc>
      </w:tr>
    </w:tbl>
    <w:p w:rsidRPr="005B7B1B" w:rsidR="005B7B1B" w:rsidP="000B3DCE" w:rsidRDefault="005B7B1B" w14:paraId="125514D1" w14:textId="77777777">
      <w:pPr>
        <w:tabs>
          <w:tab w:val="center" w:pos="284"/>
        </w:tabs>
        <w:overflowPunct w:val="0"/>
        <w:autoSpaceDE w:val="0"/>
        <w:autoSpaceDN w:val="0"/>
        <w:adjustRightInd w:val="0"/>
        <w:ind w:left="266" w:hanging="266"/>
        <w:textAlignment w:val="baseline"/>
      </w:pPr>
    </w:p>
    <w:p w:rsidRPr="005B7B1B" w:rsidR="005B7B1B" w:rsidP="000B3DCE" w:rsidRDefault="005B7B1B" w14:paraId="650C450E" w14:textId="77777777">
      <w:pPr>
        <w:keepNext/>
        <w:keepLines/>
        <w:tabs>
          <w:tab w:val="center" w:pos="284"/>
        </w:tabs>
        <w:overflowPunct w:val="0"/>
        <w:autoSpaceDE w:val="0"/>
        <w:autoSpaceDN w:val="0"/>
        <w:adjustRightInd w:val="0"/>
        <w:ind w:left="266" w:hanging="266"/>
        <w:textAlignment w:val="baseline"/>
        <w:rPr>
          <w:b/>
        </w:rPr>
      </w:pPr>
      <w:r w:rsidRPr="005B7B1B">
        <w:rPr>
          <w:b/>
          <w:szCs w:val="20"/>
        </w:rPr>
        <w:t>Keskeiset kohdat</w:t>
      </w:r>
    </w:p>
    <w:p w:rsidRPr="005B7B1B" w:rsidR="005B7B1B" w:rsidP="000B3DCE" w:rsidRDefault="005B7B1B" w14:paraId="22C20D98" w14:textId="77777777">
      <w:pPr>
        <w:keepNext/>
        <w:keepLines/>
        <w:tabs>
          <w:tab w:val="center" w:pos="284"/>
        </w:tabs>
        <w:overflowPunct w:val="0"/>
        <w:autoSpaceDE w:val="0"/>
        <w:autoSpaceDN w:val="0"/>
        <w:adjustRightInd w:val="0"/>
        <w:ind w:left="266" w:hanging="266"/>
        <w:textAlignment w:val="baseline"/>
        <w:rPr>
          <w:b/>
        </w:rPr>
      </w:pPr>
    </w:p>
    <w:p w:rsidRPr="005B7B1B" w:rsidR="005B7B1B" w:rsidP="000B3DCE" w:rsidRDefault="005B7B1B" w14:paraId="09903C17" w14:textId="77777777">
      <w:pPr>
        <w:overflowPunct w:val="0"/>
        <w:autoSpaceDE w:val="0"/>
        <w:autoSpaceDN w:val="0"/>
        <w:adjustRightInd w:val="0"/>
        <w:textAlignment w:val="baseline"/>
        <w:rPr>
          <w:i/>
          <w:iCs/>
          <w:sz w:val="24"/>
          <w:szCs w:val="24"/>
        </w:rPr>
      </w:pPr>
      <w:r w:rsidRPr="005B7B1B">
        <w:rPr>
          <w:i/>
          <w:szCs w:val="20"/>
        </w:rPr>
        <w:t>Tähän lausuntoon sovelletaan</w:t>
      </w:r>
      <w:r w:rsidRPr="005B7B1B">
        <w:rPr>
          <w:szCs w:val="20"/>
        </w:rPr>
        <w:t xml:space="preserve"> </w:t>
      </w:r>
      <w:hyperlink w:history="1" r:id="rId33">
        <w:proofErr w:type="spellStart"/>
        <w:r w:rsidRPr="005B7B1B">
          <w:rPr>
            <w:i/>
            <w:color w:val="0000FF"/>
            <w:szCs w:val="20"/>
            <w:u w:val="single"/>
          </w:rPr>
          <w:t>ETSK:n</w:t>
        </w:r>
        <w:proofErr w:type="spellEnd"/>
        <w:r w:rsidRPr="005B7B1B">
          <w:rPr>
            <w:i/>
            <w:color w:val="0000FF"/>
            <w:szCs w:val="20"/>
            <w:u w:val="single"/>
          </w:rPr>
          <w:t xml:space="preserve"> käyttämää EU-tason nuorisotestiä</w:t>
        </w:r>
      </w:hyperlink>
      <w:r w:rsidRPr="005B7B1B">
        <w:rPr>
          <w:szCs w:val="20"/>
        </w:rPr>
        <w:t>.</w:t>
      </w:r>
      <w:r w:rsidRPr="005B7B1B">
        <w:rPr>
          <w:i/>
          <w:szCs w:val="20"/>
        </w:rPr>
        <w:t xml:space="preserve"> Asiasta kiinnostuneiden nuorisojärjestöjen ryhmä valitsi European </w:t>
      </w:r>
      <w:proofErr w:type="spellStart"/>
      <w:r w:rsidRPr="005B7B1B">
        <w:rPr>
          <w:i/>
          <w:szCs w:val="20"/>
        </w:rPr>
        <w:t>Youth</w:t>
      </w:r>
      <w:proofErr w:type="spellEnd"/>
      <w:r w:rsidRPr="005B7B1B">
        <w:rPr>
          <w:i/>
          <w:szCs w:val="20"/>
        </w:rPr>
        <w:t xml:space="preserve"> Energy Network -verkoston edustamaan niitä lausunnon alkuvalmistelussa.</w:t>
      </w:r>
    </w:p>
    <w:p w:rsidRPr="005B7B1B" w:rsidR="005B7B1B" w:rsidP="000B3DCE" w:rsidRDefault="005B7B1B" w14:paraId="7D5DF6D9" w14:textId="77777777">
      <w:pPr>
        <w:keepNext/>
        <w:keepLines/>
        <w:tabs>
          <w:tab w:val="center" w:pos="284"/>
        </w:tabs>
        <w:overflowPunct w:val="0"/>
        <w:autoSpaceDE w:val="0"/>
        <w:autoSpaceDN w:val="0"/>
        <w:adjustRightInd w:val="0"/>
        <w:ind w:left="266" w:hanging="266"/>
        <w:textAlignment w:val="baseline"/>
        <w:rPr>
          <w:b/>
        </w:rPr>
      </w:pPr>
    </w:p>
    <w:p w:rsidRPr="005B7B1B" w:rsidR="005B7B1B" w:rsidP="000B3DCE" w:rsidRDefault="005B7B1B" w14:paraId="18D3E163" w14:textId="77777777">
      <w:pPr>
        <w:overflowPunct w:val="0"/>
        <w:autoSpaceDE w:val="0"/>
        <w:autoSpaceDN w:val="0"/>
        <w:adjustRightInd w:val="0"/>
        <w:textAlignment w:val="baseline"/>
        <w:rPr>
          <w:bCs/>
          <w:iCs/>
        </w:rPr>
      </w:pPr>
      <w:r w:rsidRPr="005B7B1B">
        <w:rPr>
          <w:szCs w:val="20"/>
        </w:rPr>
        <w:t>ETSK</w:t>
      </w:r>
    </w:p>
    <w:p w:rsidRPr="005B7B1B" w:rsidR="005B7B1B" w:rsidP="000B3DCE" w:rsidRDefault="005B7B1B" w14:paraId="137A64DD" w14:textId="77777777">
      <w:pPr>
        <w:widowControl w:val="0"/>
        <w:numPr>
          <w:ilvl w:val="0"/>
          <w:numId w:val="30"/>
        </w:numPr>
        <w:overflowPunct w:val="0"/>
        <w:autoSpaceDE w:val="0"/>
        <w:autoSpaceDN w:val="0"/>
        <w:adjustRightInd w:val="0"/>
        <w:ind w:left="426"/>
        <w:textAlignment w:val="baseline"/>
        <w:rPr>
          <w:bCs/>
          <w:iCs/>
        </w:rPr>
      </w:pPr>
      <w:r w:rsidRPr="005B7B1B">
        <w:rPr>
          <w:szCs w:val="20"/>
        </w:rPr>
        <w:t>pitää tarpeellisena yhdenmukaistaa pakollisia ja vapaaehtoisia tuotetietoja koskevat vaatimukset EU:n laajuisesti, varoa informaatioähkyä ja varmistaa merkintöjen todenperäisyys, jotta kuluttajien olisi mahdollista omaksua kestävämpiä kulutustottumuksia.</w:t>
      </w:r>
    </w:p>
    <w:p w:rsidRPr="005B7B1B" w:rsidR="005B7B1B" w:rsidP="000B3DCE" w:rsidRDefault="005B7B1B" w14:paraId="597C3A37" w14:textId="77777777">
      <w:pPr>
        <w:widowControl w:val="0"/>
        <w:numPr>
          <w:ilvl w:val="0"/>
          <w:numId w:val="30"/>
        </w:numPr>
        <w:overflowPunct w:val="0"/>
        <w:autoSpaceDE w:val="0"/>
        <w:autoSpaceDN w:val="0"/>
        <w:adjustRightInd w:val="0"/>
        <w:ind w:left="426"/>
        <w:textAlignment w:val="baseline"/>
        <w:rPr>
          <w:bCs/>
          <w:iCs/>
        </w:rPr>
      </w:pPr>
      <w:r w:rsidRPr="005B7B1B">
        <w:rPr>
          <w:szCs w:val="20"/>
        </w:rPr>
        <w:t>katsoo, että ostopäätöksen tekoa helpottavia tärkeitä tuotemerkintöjä ovat muun muassa elinkaarikustannukset, energiatehokkuus sekä tuotteen kestävyys ja korjattavuus.</w:t>
      </w:r>
    </w:p>
    <w:p w:rsidRPr="005B7B1B" w:rsidR="005B7B1B" w:rsidP="000B3DCE" w:rsidRDefault="005B7B1B" w14:paraId="0DD23836" w14:textId="77777777">
      <w:pPr>
        <w:widowControl w:val="0"/>
        <w:numPr>
          <w:ilvl w:val="0"/>
          <w:numId w:val="30"/>
        </w:numPr>
        <w:overflowPunct w:val="0"/>
        <w:autoSpaceDE w:val="0"/>
        <w:autoSpaceDN w:val="0"/>
        <w:adjustRightInd w:val="0"/>
        <w:ind w:left="426"/>
        <w:textAlignment w:val="baseline"/>
        <w:rPr>
          <w:bCs/>
          <w:iCs/>
        </w:rPr>
      </w:pPr>
      <w:r w:rsidRPr="005B7B1B">
        <w:rPr>
          <w:szCs w:val="20"/>
        </w:rPr>
        <w:t>kehottaa komissiota ja kansallisia viranomaisia ottamaan käyttöön tarvittavat keinot, joilla kestävien tuotteiden saatavuus saadaan varmistettua. Niihin kuuluvat verokannustimet ja joissain tapauksissa myös suorat tuet hintaeron pienentämiseksi.</w:t>
      </w:r>
    </w:p>
    <w:p w:rsidRPr="005B7B1B" w:rsidR="005B7B1B" w:rsidP="000B3DCE" w:rsidRDefault="005B7B1B" w14:paraId="54C31621" w14:textId="77777777">
      <w:pPr>
        <w:widowControl w:val="0"/>
        <w:numPr>
          <w:ilvl w:val="0"/>
          <w:numId w:val="30"/>
        </w:numPr>
        <w:overflowPunct w:val="0"/>
        <w:autoSpaceDE w:val="0"/>
        <w:autoSpaceDN w:val="0"/>
        <w:adjustRightInd w:val="0"/>
        <w:ind w:left="426"/>
        <w:textAlignment w:val="baseline"/>
        <w:rPr>
          <w:bCs/>
          <w:iCs/>
        </w:rPr>
      </w:pPr>
      <w:r w:rsidRPr="005B7B1B">
        <w:rPr>
          <w:szCs w:val="20"/>
        </w:rPr>
        <w:t>vaatii tehokkaita poliittisia linjauksia, joilla varmistetaan, että digitaalisille markkinoille osallistuminen on erityisesti maaseudulla ja haja-asutusalueilla mahdollista ja että myös sellaiset kuluttajat pääsevät mukaan, joilla on heikommat digitaaliset taidot.</w:t>
      </w:r>
    </w:p>
    <w:p w:rsidRPr="005B7B1B" w:rsidR="005B7B1B" w:rsidP="000B3DCE" w:rsidRDefault="005B7B1B" w14:paraId="5B34D7C3" w14:textId="77777777">
      <w:pPr>
        <w:widowControl w:val="0"/>
        <w:numPr>
          <w:ilvl w:val="0"/>
          <w:numId w:val="30"/>
        </w:numPr>
        <w:overflowPunct w:val="0"/>
        <w:autoSpaceDE w:val="0"/>
        <w:autoSpaceDN w:val="0"/>
        <w:adjustRightInd w:val="0"/>
        <w:ind w:left="426"/>
        <w:textAlignment w:val="baseline"/>
      </w:pPr>
      <w:r w:rsidRPr="005B7B1B">
        <w:rPr>
          <w:szCs w:val="20"/>
        </w:rPr>
        <w:t>pitää edelleen tärkeänä kuluttajavalistusta, jonka ansiosta kuluttajat osaavat tehdä tietoon perustuvia valintoja.</w:t>
      </w:r>
    </w:p>
    <w:p w:rsidRPr="005B7B1B" w:rsidR="005B7B1B" w:rsidP="000B3DCE" w:rsidRDefault="005B7B1B" w14:paraId="154643A3" w14:textId="77777777">
      <w:pPr>
        <w:widowControl w:val="0"/>
        <w:numPr>
          <w:ilvl w:val="0"/>
          <w:numId w:val="30"/>
        </w:numPr>
        <w:overflowPunct w:val="0"/>
        <w:autoSpaceDE w:val="0"/>
        <w:autoSpaceDN w:val="0"/>
        <w:adjustRightInd w:val="0"/>
        <w:ind w:left="426"/>
        <w:textAlignment w:val="baseline"/>
      </w:pPr>
      <w:r w:rsidRPr="005B7B1B">
        <w:rPr>
          <w:szCs w:val="20"/>
        </w:rPr>
        <w:t>painottaa kuluttajajärjestöjen tärkeää roolia digitaalisessa ja vihreässä siirtymässä ja katsoo, että niiden rahoitus on turvattava.</w:t>
      </w:r>
    </w:p>
    <w:p w:rsidRPr="005B7B1B" w:rsidR="005B7B1B" w:rsidP="000B3DCE" w:rsidRDefault="005B7B1B" w14:paraId="439D77FE" w14:textId="77777777">
      <w:pPr>
        <w:widowControl w:val="0"/>
        <w:numPr>
          <w:ilvl w:val="0"/>
          <w:numId w:val="30"/>
        </w:numPr>
        <w:overflowPunct w:val="0"/>
        <w:autoSpaceDE w:val="0"/>
        <w:autoSpaceDN w:val="0"/>
        <w:adjustRightInd w:val="0"/>
        <w:ind w:left="426"/>
        <w:textAlignment w:val="baseline"/>
      </w:pPr>
      <w:r w:rsidRPr="005B7B1B">
        <w:rPr>
          <w:szCs w:val="20"/>
        </w:rPr>
        <w:t>katsoo, että kohtuuhintaisia ja kestäviä tuotteita on oltava myös haavoittuvassa asemassa olevien kuluttajien saatavilla, ja on muistettava, että haavoittuvuus voi olla erilaista ja muuttua ajan mittaan.</w:t>
      </w:r>
    </w:p>
    <w:p w:rsidRPr="005B7B1B" w:rsidR="005B7B1B" w:rsidP="000B3DCE" w:rsidRDefault="005B7B1B" w14:paraId="0B111275" w14:textId="77777777">
      <w:pPr>
        <w:widowControl w:val="0"/>
        <w:numPr>
          <w:ilvl w:val="0"/>
          <w:numId w:val="30"/>
        </w:numPr>
        <w:overflowPunct w:val="0"/>
        <w:autoSpaceDE w:val="0"/>
        <w:autoSpaceDN w:val="0"/>
        <w:adjustRightInd w:val="0"/>
        <w:ind w:left="426"/>
        <w:textAlignment w:val="baseline"/>
        <w:rPr>
          <w:rFonts w:asciiTheme="minorHAnsi" w:hAnsiTheme="minorHAnsi"/>
          <w:szCs w:val="20"/>
        </w:rPr>
      </w:pPr>
      <w:r w:rsidRPr="005B7B1B">
        <w:rPr>
          <w:szCs w:val="20"/>
        </w:rPr>
        <w:t>katsoo, että EU:n pitää lisäksi puuttua halpatuotteita tarjoavien EU:n ulkopuolisissa maissa sijaitsevien alustojen kielteisiin vaikutuksiin ja ottaa käyttöön tiukempi sääntely, johon sisältyvät myös tehokkaat tullit.</w:t>
      </w:r>
    </w:p>
    <w:p w:rsidRPr="005B7B1B" w:rsidR="005B7B1B" w:rsidP="000B3DCE" w:rsidRDefault="005B7B1B" w14:paraId="2DD71ADF" w14:textId="77777777">
      <w:pPr>
        <w:widowControl w:val="0"/>
        <w:overflowPunct w:val="0"/>
        <w:autoSpaceDE w:val="0"/>
        <w:autoSpaceDN w:val="0"/>
        <w:adjustRightInd w:val="0"/>
        <w:ind w:left="709"/>
        <w:textAlignment w:val="baseline"/>
        <w:rPr>
          <w:szCs w:val="20"/>
        </w:rPr>
      </w:pPr>
    </w:p>
    <w:tbl>
      <w:tblPr>
        <w:tblStyle w:val="TableGrid4"/>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49"/>
        <w:gridCol w:w="7124"/>
      </w:tblGrid>
      <w:tr w:rsidRPr="005B7B1B" w:rsidR="005B7B1B" w:rsidTr="00F70F48" w14:paraId="5EBB8926" w14:textId="77777777">
        <w:tc>
          <w:tcPr>
            <w:tcW w:w="1074" w:type="pct"/>
          </w:tcPr>
          <w:p w:rsidRPr="005B7B1B" w:rsidR="005B7B1B" w:rsidP="000B3DCE" w:rsidRDefault="005B7B1B" w14:paraId="302E9AAE" w14:textId="77777777">
            <w:pPr>
              <w:overflowPunct w:val="0"/>
              <w:autoSpaceDE w:val="0"/>
              <w:autoSpaceDN w:val="0"/>
              <w:adjustRightInd w:val="0"/>
              <w:textAlignment w:val="baseline"/>
              <w:rPr>
                <w:i/>
              </w:rPr>
            </w:pPr>
            <w:r w:rsidRPr="005B7B1B">
              <w:rPr>
                <w:b/>
                <w:i/>
              </w:rPr>
              <w:t>Yhteydenotot</w:t>
            </w:r>
          </w:p>
        </w:tc>
        <w:tc>
          <w:tcPr>
            <w:tcW w:w="3926" w:type="pct"/>
          </w:tcPr>
          <w:p w:rsidRPr="005B7B1B" w:rsidR="005B7B1B" w:rsidP="000B3DCE" w:rsidRDefault="005B7B1B" w14:paraId="06F0CB7F" w14:textId="12AE79DD">
            <w:pPr>
              <w:overflowPunct w:val="0"/>
              <w:autoSpaceDE w:val="0"/>
              <w:autoSpaceDN w:val="0"/>
              <w:adjustRightInd w:val="0"/>
              <w:textAlignment w:val="baseline"/>
              <w:rPr>
                <w:bCs/>
                <w:i/>
              </w:rPr>
            </w:pPr>
            <w:proofErr w:type="spellStart"/>
            <w:r w:rsidRPr="005B7B1B">
              <w:rPr>
                <w:i/>
              </w:rPr>
              <w:t>Radoslava</w:t>
            </w:r>
            <w:proofErr w:type="spellEnd"/>
            <w:r w:rsidRPr="005B7B1B">
              <w:rPr>
                <w:i/>
              </w:rPr>
              <w:t xml:space="preserve"> </w:t>
            </w:r>
            <w:r w:rsidRPr="005B7B1B" w:rsidR="00485207">
              <w:rPr>
                <w:i/>
              </w:rPr>
              <w:t xml:space="preserve">STEFANKOVA </w:t>
            </w:r>
            <w:r w:rsidRPr="005B7B1B">
              <w:rPr>
                <w:i/>
              </w:rPr>
              <w:t xml:space="preserve">ja </w:t>
            </w:r>
            <w:proofErr w:type="spellStart"/>
            <w:r w:rsidRPr="005B7B1B">
              <w:rPr>
                <w:i/>
              </w:rPr>
              <w:t>Yousra</w:t>
            </w:r>
            <w:proofErr w:type="spellEnd"/>
            <w:r w:rsidRPr="005B7B1B">
              <w:rPr>
                <w:i/>
              </w:rPr>
              <w:t xml:space="preserve"> ASBOUNI EL OUAHABI</w:t>
            </w:r>
          </w:p>
        </w:tc>
      </w:tr>
      <w:tr w:rsidRPr="005B7B1B" w:rsidR="005B7B1B" w:rsidTr="00F70F48" w14:paraId="12DD1002" w14:textId="77777777">
        <w:tc>
          <w:tcPr>
            <w:tcW w:w="1074" w:type="pct"/>
          </w:tcPr>
          <w:p w:rsidRPr="005B7B1B" w:rsidR="005B7B1B" w:rsidP="000B3DCE" w:rsidRDefault="005B7B1B" w14:paraId="5B89519E" w14:textId="77777777">
            <w:pPr>
              <w:overflowPunct w:val="0"/>
              <w:autoSpaceDE w:val="0"/>
              <w:autoSpaceDN w:val="0"/>
              <w:adjustRightInd w:val="0"/>
              <w:textAlignment w:val="baseline"/>
              <w:rPr>
                <w:i/>
              </w:rPr>
            </w:pPr>
            <w:r w:rsidRPr="005B7B1B">
              <w:rPr>
                <w:i/>
              </w:rPr>
              <w:t>P.</w:t>
            </w:r>
          </w:p>
        </w:tc>
        <w:tc>
          <w:tcPr>
            <w:tcW w:w="3926" w:type="pct"/>
          </w:tcPr>
          <w:p w:rsidR="000B3DCE" w:rsidP="000B3DCE" w:rsidRDefault="005B7B1B" w14:paraId="0CDBF6DE" w14:textId="77777777">
            <w:pPr>
              <w:overflowPunct w:val="0"/>
              <w:autoSpaceDE w:val="0"/>
              <w:autoSpaceDN w:val="0"/>
              <w:adjustRightInd w:val="0"/>
              <w:textAlignment w:val="baseline"/>
              <w:rPr>
                <w:i/>
              </w:rPr>
            </w:pPr>
            <w:r w:rsidRPr="005B7B1B">
              <w:rPr>
                <w:i/>
              </w:rPr>
              <w:t>+32 25468188</w:t>
            </w:r>
            <w:r w:rsidRPr="005B7B1B">
              <w:rPr>
                <w:i/>
              </w:rPr>
              <w:tab/>
            </w:r>
          </w:p>
          <w:p w:rsidRPr="005B7B1B" w:rsidR="005B7B1B" w:rsidP="000B3DCE" w:rsidRDefault="005B7B1B" w14:paraId="3E0CF9EF" w14:textId="0F10A6CE">
            <w:pPr>
              <w:overflowPunct w:val="0"/>
              <w:autoSpaceDE w:val="0"/>
              <w:autoSpaceDN w:val="0"/>
              <w:adjustRightInd w:val="0"/>
              <w:textAlignment w:val="baseline"/>
              <w:rPr>
                <w:i/>
              </w:rPr>
            </w:pPr>
            <w:r w:rsidRPr="005B7B1B">
              <w:rPr>
                <w:i/>
              </w:rPr>
              <w:t>+32 25468485</w:t>
            </w:r>
          </w:p>
        </w:tc>
      </w:tr>
      <w:tr w:rsidRPr="005B7B1B" w:rsidR="005B7B1B" w:rsidTr="00F70F48" w14:paraId="4F88BA5E" w14:textId="77777777">
        <w:tc>
          <w:tcPr>
            <w:tcW w:w="1074" w:type="pct"/>
          </w:tcPr>
          <w:p w:rsidRPr="005B7B1B" w:rsidR="005B7B1B" w:rsidP="000B3DCE" w:rsidRDefault="005B7B1B" w14:paraId="45BBC975" w14:textId="77777777">
            <w:pPr>
              <w:overflowPunct w:val="0"/>
              <w:autoSpaceDE w:val="0"/>
              <w:autoSpaceDN w:val="0"/>
              <w:adjustRightInd w:val="0"/>
              <w:textAlignment w:val="baseline"/>
              <w:rPr>
                <w:i/>
              </w:rPr>
            </w:pPr>
            <w:r w:rsidRPr="005B7B1B">
              <w:rPr>
                <w:i/>
              </w:rPr>
              <w:t>Sähköposti</w:t>
            </w:r>
          </w:p>
        </w:tc>
        <w:tc>
          <w:tcPr>
            <w:tcW w:w="3926" w:type="pct"/>
          </w:tcPr>
          <w:p w:rsidRPr="005B7B1B" w:rsidR="005B7B1B" w:rsidP="000B3DCE" w:rsidRDefault="00D94EF3" w14:paraId="502C7833" w14:textId="77777777">
            <w:pPr>
              <w:overflowPunct w:val="0"/>
              <w:autoSpaceDE w:val="0"/>
              <w:autoSpaceDN w:val="0"/>
              <w:adjustRightInd w:val="0"/>
              <w:textAlignment w:val="baseline"/>
            </w:pPr>
            <w:hyperlink w:history="1" r:id="rId34">
              <w:r w:rsidRPr="005B7B1B" w:rsidR="005B7B1B">
                <w:rPr>
                  <w:i/>
                  <w:color w:val="0000FF"/>
                  <w:u w:val="single"/>
                </w:rPr>
                <w:t>Radoslava.Stefankova@eesc.europa.eu</w:t>
              </w:r>
            </w:hyperlink>
          </w:p>
          <w:p w:rsidRPr="005B7B1B" w:rsidR="005B7B1B" w:rsidP="000B3DCE" w:rsidRDefault="00D94EF3" w14:paraId="550C2F8B" w14:textId="77777777">
            <w:pPr>
              <w:overflowPunct w:val="0"/>
              <w:autoSpaceDE w:val="0"/>
              <w:autoSpaceDN w:val="0"/>
              <w:adjustRightInd w:val="0"/>
              <w:textAlignment w:val="baseline"/>
              <w:rPr>
                <w:i/>
              </w:rPr>
            </w:pPr>
            <w:hyperlink w:history="1" r:id="rId35">
              <w:r w:rsidRPr="005B7B1B" w:rsidR="005B7B1B">
                <w:rPr>
                  <w:i/>
                  <w:color w:val="0000FF"/>
                  <w:u w:val="single"/>
                </w:rPr>
                <w:t>Yousra.Asbounielouahabi@eesc.europa.eu</w:t>
              </w:r>
            </w:hyperlink>
          </w:p>
        </w:tc>
      </w:tr>
    </w:tbl>
    <w:p w:rsidR="005B7B1B" w:rsidP="000B3DCE" w:rsidRDefault="005B7B1B" w14:paraId="4982DE1D" w14:textId="30D7D7D8">
      <w:pPr>
        <w:pStyle w:val="ListParagraph"/>
        <w:ind w:left="0"/>
      </w:pPr>
    </w:p>
    <w:p w:rsidR="005B7B1B" w:rsidP="000B3DCE" w:rsidRDefault="005B7B1B" w14:paraId="63803483" w14:textId="77777777">
      <w:pPr>
        <w:spacing w:after="160"/>
        <w:jc w:val="left"/>
      </w:pPr>
      <w:r>
        <w:br w:type="page"/>
      </w:r>
    </w:p>
    <w:p w:rsidRPr="00052459" w:rsidR="005B7B1B" w:rsidP="000B3DCE" w:rsidRDefault="00D94EF3" w14:paraId="342A9BC0" w14:textId="761AA76E">
      <w:pPr>
        <w:widowControl w:val="0"/>
        <w:numPr>
          <w:ilvl w:val="0"/>
          <w:numId w:val="4"/>
        </w:numPr>
        <w:overflowPunct w:val="0"/>
        <w:autoSpaceDE w:val="0"/>
        <w:autoSpaceDN w:val="0"/>
        <w:adjustRightInd w:val="0"/>
        <w:ind w:left="266" w:hanging="266"/>
        <w:textAlignment w:val="baseline"/>
        <w:rPr>
          <w:rStyle w:val="Hyperlink"/>
          <w:b/>
        </w:rPr>
      </w:pPr>
      <w:hyperlink w:tgtFrame="_blank" w:history="1" r:id="rId36">
        <w:r w:rsidR="005B7B1B">
          <w:rPr>
            <w:rStyle w:val="Hyperlink"/>
            <w:b/>
            <w:i/>
            <w:sz w:val="28"/>
          </w:rPr>
          <w:t xml:space="preserve">EU:n sisämarkkinoiden toimintaa ja kilpailukykyä käsittelevien Enrico </w:t>
        </w:r>
        <w:proofErr w:type="spellStart"/>
        <w:r w:rsidR="005B7B1B">
          <w:rPr>
            <w:rStyle w:val="Hyperlink"/>
            <w:b/>
            <w:i/>
            <w:sz w:val="28"/>
          </w:rPr>
          <w:t>Lettan</w:t>
        </w:r>
        <w:proofErr w:type="spellEnd"/>
        <w:r w:rsidR="005B7B1B">
          <w:rPr>
            <w:rStyle w:val="Hyperlink"/>
            <w:b/>
            <w:i/>
            <w:sz w:val="28"/>
          </w:rPr>
          <w:t xml:space="preserve"> ja Mario </w:t>
        </w:r>
        <w:proofErr w:type="spellStart"/>
        <w:r w:rsidR="005B7B1B">
          <w:rPr>
            <w:rStyle w:val="Hyperlink"/>
            <w:b/>
            <w:i/>
            <w:sz w:val="28"/>
          </w:rPr>
          <w:t>Draghin</w:t>
        </w:r>
        <w:proofErr w:type="spellEnd"/>
        <w:r w:rsidR="005B7B1B">
          <w:rPr>
            <w:rStyle w:val="Hyperlink"/>
            <w:b/>
            <w:i/>
            <w:sz w:val="28"/>
          </w:rPr>
          <w:t xml:space="preserve"> raporttien arviointi</w:t>
        </w:r>
      </w:hyperlink>
    </w:p>
    <w:p w:rsidRPr="005E4210" w:rsidR="005B7B1B" w:rsidP="000B3DCE" w:rsidRDefault="005B7B1B" w14:paraId="61A5E525" w14:textId="77777777">
      <w:pPr>
        <w:widowControl w:val="0"/>
        <w:overflowPunct w:val="0"/>
        <w:autoSpaceDE w:val="0"/>
        <w:autoSpaceDN w:val="0"/>
        <w:adjustRightInd w:val="0"/>
        <w:textAlignment w:val="baseline"/>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6662"/>
      </w:tblGrid>
      <w:tr w:rsidRPr="00A6689B" w:rsidR="005B7B1B" w:rsidTr="00F70F48" w14:paraId="7E7DCCA8" w14:textId="77777777">
        <w:tc>
          <w:tcPr>
            <w:tcW w:w="1148" w:type="pct"/>
          </w:tcPr>
          <w:p w:rsidRPr="00A6689B" w:rsidR="005B7B1B" w:rsidP="000B3DCE" w:rsidRDefault="005B7B1B" w14:paraId="3454B8D3" w14:textId="77777777">
            <w:pPr>
              <w:tabs>
                <w:tab w:val="center" w:pos="284"/>
              </w:tabs>
              <w:ind w:left="266" w:hanging="266"/>
              <w:rPr>
                <w:b/>
              </w:rPr>
            </w:pPr>
            <w:r>
              <w:rPr>
                <w:b/>
              </w:rPr>
              <w:t>Esittelijät</w:t>
            </w:r>
          </w:p>
        </w:tc>
        <w:tc>
          <w:tcPr>
            <w:tcW w:w="3852" w:type="pct"/>
          </w:tcPr>
          <w:p w:rsidR="005B7B1B" w:rsidP="000B3DCE" w:rsidRDefault="005B7B1B" w14:paraId="31433E36" w14:textId="77777777">
            <w:pPr>
              <w:tabs>
                <w:tab w:val="center" w:pos="284"/>
              </w:tabs>
              <w:ind w:left="266" w:hanging="266"/>
            </w:pPr>
            <w:proofErr w:type="spellStart"/>
            <w:r>
              <w:t>Matteo</w:t>
            </w:r>
            <w:proofErr w:type="spellEnd"/>
            <w:r>
              <w:t xml:space="preserve"> Carlo BORSANI (työnantajat – IT)</w:t>
            </w:r>
          </w:p>
          <w:p w:rsidR="005B7B1B" w:rsidP="000B3DCE" w:rsidRDefault="005B7B1B" w14:paraId="7BB662FF" w14:textId="77777777">
            <w:pPr>
              <w:tabs>
                <w:tab w:val="center" w:pos="284"/>
              </w:tabs>
              <w:ind w:left="266" w:hanging="266"/>
            </w:pPr>
            <w:r>
              <w:t>Giuseppe GUERINI (kansalaisyhteiskunnan organisaatiot – IT)</w:t>
            </w:r>
          </w:p>
          <w:p w:rsidRPr="00A6689B" w:rsidR="005B7B1B" w:rsidP="000B3DCE" w:rsidRDefault="005B7B1B" w14:paraId="1F00D87C" w14:textId="77777777">
            <w:pPr>
              <w:tabs>
                <w:tab w:val="center" w:pos="284"/>
              </w:tabs>
              <w:ind w:left="266" w:hanging="266"/>
            </w:pPr>
            <w:proofErr w:type="spellStart"/>
            <w:r>
              <w:t>Stefano</w:t>
            </w:r>
            <w:proofErr w:type="spellEnd"/>
            <w:r>
              <w:t xml:space="preserve"> PALMIERI (työntekijät – IT)</w:t>
            </w:r>
          </w:p>
        </w:tc>
      </w:tr>
      <w:tr w:rsidRPr="00A6689B" w:rsidR="005B7B1B" w:rsidTr="00F70F48" w14:paraId="083CA660" w14:textId="77777777">
        <w:tc>
          <w:tcPr>
            <w:tcW w:w="5000" w:type="pct"/>
            <w:gridSpan w:val="2"/>
          </w:tcPr>
          <w:p w:rsidRPr="00A6689B" w:rsidR="005B7B1B" w:rsidP="000B3DCE" w:rsidRDefault="005B7B1B" w14:paraId="3B215167" w14:textId="77777777">
            <w:pPr>
              <w:tabs>
                <w:tab w:val="center" w:pos="284"/>
              </w:tabs>
              <w:ind w:left="266" w:hanging="266"/>
              <w:rPr>
                <w:lang w:val="en-US"/>
              </w:rPr>
            </w:pPr>
          </w:p>
        </w:tc>
      </w:tr>
      <w:tr w:rsidRPr="00A6689B" w:rsidR="005B7B1B" w:rsidTr="00F70F48" w14:paraId="02F3EFE8" w14:textId="77777777">
        <w:tc>
          <w:tcPr>
            <w:tcW w:w="1148" w:type="pct"/>
            <w:vMerge w:val="restart"/>
          </w:tcPr>
          <w:p w:rsidRPr="00A6689B" w:rsidR="005B7B1B" w:rsidP="000B3DCE" w:rsidRDefault="005B7B1B" w14:paraId="19C76F11" w14:textId="77777777">
            <w:pPr>
              <w:tabs>
                <w:tab w:val="center" w:pos="284"/>
              </w:tabs>
              <w:ind w:left="266" w:hanging="266"/>
              <w:rPr>
                <w:b/>
              </w:rPr>
            </w:pPr>
            <w:r>
              <w:rPr>
                <w:b/>
              </w:rPr>
              <w:t>Viiteasiakirjat</w:t>
            </w:r>
          </w:p>
        </w:tc>
        <w:tc>
          <w:tcPr>
            <w:tcW w:w="3852" w:type="pct"/>
          </w:tcPr>
          <w:p w:rsidRPr="00A6689B" w:rsidR="005B7B1B" w:rsidP="000B3DCE" w:rsidRDefault="005B7B1B" w14:paraId="12FCAFE0" w14:textId="77777777">
            <w:pPr>
              <w:tabs>
                <w:tab w:val="center" w:pos="284"/>
              </w:tabs>
              <w:ind w:left="266" w:hanging="266"/>
            </w:pPr>
            <w:r>
              <w:t>Oma-aloitteinen lausunto</w:t>
            </w:r>
          </w:p>
        </w:tc>
      </w:tr>
      <w:tr w:rsidRPr="00A6689B" w:rsidR="005B7B1B" w:rsidTr="00F70F48" w14:paraId="28F16AF3" w14:textId="77777777">
        <w:tc>
          <w:tcPr>
            <w:tcW w:w="1148" w:type="pct"/>
            <w:vMerge/>
          </w:tcPr>
          <w:p w:rsidRPr="00A6689B" w:rsidR="005B7B1B" w:rsidP="000B3DCE" w:rsidRDefault="005B7B1B" w14:paraId="63474E5A" w14:textId="77777777">
            <w:pPr>
              <w:tabs>
                <w:tab w:val="center" w:pos="284"/>
              </w:tabs>
              <w:ind w:left="266" w:hanging="266"/>
              <w:rPr>
                <w:b/>
                <w:lang w:val="en-US"/>
              </w:rPr>
            </w:pPr>
          </w:p>
        </w:tc>
        <w:tc>
          <w:tcPr>
            <w:tcW w:w="3852" w:type="pct"/>
          </w:tcPr>
          <w:p w:rsidRPr="00A6689B" w:rsidR="005B7B1B" w:rsidP="000B3DCE" w:rsidRDefault="005B7B1B" w14:paraId="4195BFF1" w14:textId="77777777">
            <w:pPr>
              <w:tabs>
                <w:tab w:val="center" w:pos="284"/>
              </w:tabs>
              <w:ind w:left="266" w:hanging="266"/>
            </w:pPr>
            <w:r>
              <w:t>EESC-2024-03441-00-00-AC</w:t>
            </w:r>
          </w:p>
        </w:tc>
      </w:tr>
    </w:tbl>
    <w:p w:rsidRPr="00A6689B" w:rsidR="005B7B1B" w:rsidP="000B3DCE" w:rsidRDefault="005B7B1B" w14:paraId="50A0C36B" w14:textId="77777777">
      <w:pPr>
        <w:tabs>
          <w:tab w:val="center" w:pos="284"/>
        </w:tabs>
        <w:ind w:left="266" w:hanging="266"/>
      </w:pPr>
    </w:p>
    <w:p w:rsidRPr="00A6689B" w:rsidR="005B7B1B" w:rsidP="000B3DCE" w:rsidRDefault="005B7B1B" w14:paraId="4275C33A" w14:textId="77777777">
      <w:pPr>
        <w:keepNext/>
        <w:keepLines/>
        <w:tabs>
          <w:tab w:val="center" w:pos="284"/>
        </w:tabs>
        <w:ind w:left="266" w:hanging="266"/>
        <w:rPr>
          <w:b/>
        </w:rPr>
      </w:pPr>
      <w:r>
        <w:rPr>
          <w:b/>
        </w:rPr>
        <w:t>Keskeiset kohdat</w:t>
      </w:r>
    </w:p>
    <w:p w:rsidRPr="00A6689B" w:rsidR="005B7B1B" w:rsidP="000B3DCE" w:rsidRDefault="005B7B1B" w14:paraId="3ACF5C5E" w14:textId="77777777">
      <w:pPr>
        <w:keepNext/>
        <w:keepLines/>
        <w:tabs>
          <w:tab w:val="center" w:pos="284"/>
        </w:tabs>
        <w:ind w:left="266" w:hanging="266"/>
        <w:rPr>
          <w:b/>
        </w:rPr>
      </w:pPr>
    </w:p>
    <w:p w:rsidRPr="00A6689B" w:rsidR="005B7B1B" w:rsidP="000B3DCE" w:rsidRDefault="005B7B1B" w14:paraId="401742E3" w14:textId="77777777">
      <w:pPr>
        <w:rPr>
          <w:bCs/>
          <w:iCs/>
        </w:rPr>
      </w:pPr>
      <w:r>
        <w:t>ETSK</w:t>
      </w:r>
    </w:p>
    <w:p w:rsidR="005B7B1B" w:rsidP="000B3DCE" w:rsidRDefault="005B7B1B" w14:paraId="576DD5E8" w14:textId="77777777">
      <w:pPr>
        <w:widowControl w:val="0"/>
        <w:numPr>
          <w:ilvl w:val="0"/>
          <w:numId w:val="31"/>
        </w:numPr>
        <w:overflowPunct w:val="0"/>
        <w:autoSpaceDE w:val="0"/>
        <w:autoSpaceDN w:val="0"/>
        <w:adjustRightInd w:val="0"/>
        <w:ind w:left="426"/>
        <w:textAlignment w:val="baseline"/>
      </w:pPr>
      <w:r>
        <w:t xml:space="preserve">korostaa kiireellistä tarvetta </w:t>
      </w:r>
      <w:r>
        <w:rPr>
          <w:b/>
        </w:rPr>
        <w:t>parantaa Euroopan kilpailukykyä ja varmistaa samalla kestävyys ja sosiaalinen yhteenkuuluvuus</w:t>
      </w:r>
      <w:r>
        <w:t>. EU:n haasteena on lisääntynyt maailmanlaajuinen kilpailu, ja sen on ryhdyttävä päättäväisiin toimiin taloudellisen asemansa vahvistamiseksi. Tämän ei kuitenkaan pitäisi tapahtua ympäristökestävyyden, työntekijöiden oikeuksien eikä alueellisen tasapainon kustannuksella. ETSK kehottaa omaksumaan toimintamallin, jossa yhdistyvät sekä talouskasvu että sosiaalisen ja alueellisen yhteenkuuluvuuden periaatteet.</w:t>
      </w:r>
    </w:p>
    <w:p w:rsidR="005B7B1B" w:rsidP="000B3DCE" w:rsidRDefault="005B7B1B" w14:paraId="2BB3FE26" w14:textId="77777777">
      <w:pPr>
        <w:widowControl w:val="0"/>
        <w:numPr>
          <w:ilvl w:val="0"/>
          <w:numId w:val="31"/>
        </w:numPr>
        <w:overflowPunct w:val="0"/>
        <w:autoSpaceDE w:val="0"/>
        <w:autoSpaceDN w:val="0"/>
        <w:adjustRightInd w:val="0"/>
        <w:ind w:left="426"/>
        <w:textAlignment w:val="baseline"/>
      </w:pPr>
      <w:r>
        <w:t xml:space="preserve">kehottaa </w:t>
      </w:r>
      <w:r>
        <w:rPr>
          <w:b/>
        </w:rPr>
        <w:t>lisäämään investointeja sosiaalisen infrastruktuurin, digitaalisen siirtymän ja energiasiirtymän kaltaisilla keskeisillä aloilla.</w:t>
      </w:r>
      <w:r>
        <w:t xml:space="preserve"> Komitea toteaa, että kilpailukyky edellyttää vankkaa perustaa, ja korostaa, että tarvitaan huomattavia investointeja nykyaikaiseen infrastruktuuriin, mukaan lukien koulutukseen, tutkimukseen, digitalisaatioon ja uusiutuvaan energiaan. Nämä investoinnit ovat olennaisen tärkeitä pyrittäessä ylläpitämään Euroopan taloudellista vahvuutta ja reagoimaan väestörakenteen muutoksiin, teknologiseen kehitykseen ja ilmastohaasteisiin.</w:t>
      </w:r>
    </w:p>
    <w:p w:rsidR="005B7B1B" w:rsidP="000B3DCE" w:rsidRDefault="005B7B1B" w14:paraId="3329BB9E" w14:textId="77777777">
      <w:pPr>
        <w:widowControl w:val="0"/>
        <w:numPr>
          <w:ilvl w:val="0"/>
          <w:numId w:val="31"/>
        </w:numPr>
        <w:overflowPunct w:val="0"/>
        <w:autoSpaceDE w:val="0"/>
        <w:autoSpaceDN w:val="0"/>
        <w:adjustRightInd w:val="0"/>
        <w:ind w:left="426"/>
        <w:textAlignment w:val="baseline"/>
      </w:pPr>
      <w:r>
        <w:t xml:space="preserve">korostaa, että EU:n on oltava aktiivisesti mukana maailmanlaajuisen taloudellisen muutoksen muovaamisessa sen sijaan, että se keskittyisi aiempien saavutustensa säilyttämiseen. ETSK painottaa, että Eurooppa on tienhaarassa: joko se omaksuu aloitteellisemman roolin maailmanlaajuisessa taloudellisessa muutoksessa tai se on vaarassa jäädä jälkeen. Aloitteellisempi rooli edellyttää </w:t>
      </w:r>
      <w:r>
        <w:rPr>
          <w:b/>
        </w:rPr>
        <w:t>sisämarkkinoiden mukauttamista uusiin geopoliittisiin realiteetteihin</w:t>
      </w:r>
      <w:r>
        <w:t xml:space="preserve">, strategisten riippuvuuksien vähentämistä EU:n ulkopuolisista toimitusketjuista ja Euroopan roolin vahvistamista strategisilla teollisuudenaloilla. </w:t>
      </w:r>
    </w:p>
    <w:p w:rsidRPr="000624A9" w:rsidR="005B7B1B" w:rsidP="000B3DCE" w:rsidRDefault="005B7B1B" w14:paraId="630F5EA2" w14:textId="77777777">
      <w:pPr>
        <w:widowControl w:val="0"/>
        <w:ind w:left="709"/>
      </w:pPr>
    </w:p>
    <w:tbl>
      <w:tblPr>
        <w:tblStyle w:val="TableGrid"/>
        <w:tblW w:w="5000"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78"/>
        <w:gridCol w:w="7095"/>
      </w:tblGrid>
      <w:tr w:rsidRPr="00A6689B" w:rsidR="005B7B1B" w:rsidTr="00F70F48" w14:paraId="2EBD6044" w14:textId="77777777">
        <w:tc>
          <w:tcPr>
            <w:tcW w:w="1090" w:type="pct"/>
          </w:tcPr>
          <w:p w:rsidRPr="00A6689B" w:rsidR="005B7B1B" w:rsidP="000B3DCE" w:rsidRDefault="005B7B1B" w14:paraId="5FAE5C91" w14:textId="77777777">
            <w:pPr>
              <w:rPr>
                <w:i/>
              </w:rPr>
            </w:pPr>
            <w:r>
              <w:rPr>
                <w:b/>
                <w:i/>
              </w:rPr>
              <w:t>Yhteydenotot</w:t>
            </w:r>
          </w:p>
        </w:tc>
        <w:tc>
          <w:tcPr>
            <w:tcW w:w="3910" w:type="pct"/>
          </w:tcPr>
          <w:p w:rsidR="005B7B1B" w:rsidP="000B3DCE" w:rsidRDefault="005B7B1B" w14:paraId="3F222036" w14:textId="4B20F616">
            <w:pPr>
              <w:rPr>
                <w:i/>
              </w:rPr>
            </w:pPr>
            <w:proofErr w:type="spellStart"/>
            <w:r>
              <w:rPr>
                <w:i/>
              </w:rPr>
              <w:t>Annalisa</w:t>
            </w:r>
            <w:proofErr w:type="spellEnd"/>
            <w:r>
              <w:rPr>
                <w:i/>
              </w:rPr>
              <w:t xml:space="preserve"> </w:t>
            </w:r>
            <w:r w:rsidR="00485207">
              <w:rPr>
                <w:i/>
              </w:rPr>
              <w:t>TESSAROLO</w:t>
            </w:r>
          </w:p>
          <w:p w:rsidRPr="00A6689B" w:rsidR="005B7B1B" w:rsidP="000B3DCE" w:rsidRDefault="005B7B1B" w14:paraId="1B3A82EC" w14:textId="19E3A9E7">
            <w:pPr>
              <w:rPr>
                <w:i/>
              </w:rPr>
            </w:pPr>
            <w:r>
              <w:rPr>
                <w:i/>
              </w:rPr>
              <w:t xml:space="preserve">Silvia </w:t>
            </w:r>
            <w:r w:rsidR="00485207">
              <w:rPr>
                <w:i/>
              </w:rPr>
              <w:t>STAFFA</w:t>
            </w:r>
          </w:p>
        </w:tc>
      </w:tr>
      <w:tr w:rsidRPr="00A6689B" w:rsidR="005B7B1B" w:rsidTr="00F70F48" w14:paraId="4A6DD68C" w14:textId="77777777">
        <w:tc>
          <w:tcPr>
            <w:tcW w:w="1090" w:type="pct"/>
          </w:tcPr>
          <w:p w:rsidRPr="00A6689B" w:rsidR="005B7B1B" w:rsidP="000B3DCE" w:rsidRDefault="005B7B1B" w14:paraId="3222E3F3" w14:textId="77777777">
            <w:pPr>
              <w:rPr>
                <w:i/>
              </w:rPr>
            </w:pPr>
            <w:r>
              <w:rPr>
                <w:i/>
              </w:rPr>
              <w:t>P.</w:t>
            </w:r>
          </w:p>
        </w:tc>
        <w:tc>
          <w:tcPr>
            <w:tcW w:w="3910" w:type="pct"/>
          </w:tcPr>
          <w:p w:rsidR="005B7B1B" w:rsidP="000B3DCE" w:rsidRDefault="005B7B1B" w14:paraId="7F8FB38C" w14:textId="77777777">
            <w:pPr>
              <w:rPr>
                <w:i/>
              </w:rPr>
            </w:pPr>
            <w:r>
              <w:rPr>
                <w:i/>
              </w:rPr>
              <w:t>+32 25469732</w:t>
            </w:r>
          </w:p>
          <w:p w:rsidRPr="00A6689B" w:rsidR="005B7B1B" w:rsidP="000B3DCE" w:rsidRDefault="005B7B1B" w14:paraId="46E7ECA2" w14:textId="77777777">
            <w:pPr>
              <w:rPr>
                <w:i/>
              </w:rPr>
            </w:pPr>
            <w:r>
              <w:rPr>
                <w:i/>
              </w:rPr>
              <w:t>+32 25468378</w:t>
            </w:r>
          </w:p>
        </w:tc>
      </w:tr>
      <w:tr w:rsidRPr="00A6689B" w:rsidR="005B7B1B" w:rsidTr="00F70F48" w14:paraId="7EEE95D0" w14:textId="77777777">
        <w:tc>
          <w:tcPr>
            <w:tcW w:w="1090" w:type="pct"/>
          </w:tcPr>
          <w:p w:rsidRPr="00A6689B" w:rsidR="005B7B1B" w:rsidP="000B3DCE" w:rsidRDefault="005B7B1B" w14:paraId="72CC8E93" w14:textId="77777777">
            <w:pPr>
              <w:rPr>
                <w:i/>
              </w:rPr>
            </w:pPr>
            <w:r>
              <w:rPr>
                <w:i/>
              </w:rPr>
              <w:t>Sähköposti</w:t>
            </w:r>
          </w:p>
        </w:tc>
        <w:tc>
          <w:tcPr>
            <w:tcW w:w="3910" w:type="pct"/>
          </w:tcPr>
          <w:p w:rsidRPr="001B1417" w:rsidR="005B7B1B" w:rsidP="000B3DCE" w:rsidRDefault="00D94EF3" w14:paraId="2C8695D0" w14:textId="77777777">
            <w:pPr>
              <w:rPr>
                <w:i/>
                <w:iCs/>
              </w:rPr>
            </w:pPr>
            <w:hyperlink w:history="1" r:id="rId37">
              <w:r w:rsidR="005B7B1B">
                <w:rPr>
                  <w:rStyle w:val="Hyperlink"/>
                  <w:i/>
                </w:rPr>
                <w:t>Annalisa.Tessarolo@eesc.europa.eu</w:t>
              </w:r>
            </w:hyperlink>
          </w:p>
          <w:p w:rsidRPr="00A6689B" w:rsidR="005B7B1B" w:rsidP="000B3DCE" w:rsidRDefault="00D94EF3" w14:paraId="422E2281" w14:textId="77777777">
            <w:pPr>
              <w:rPr>
                <w:i/>
              </w:rPr>
            </w:pPr>
            <w:hyperlink w:history="1" r:id="rId38">
              <w:r w:rsidR="005B7B1B">
                <w:rPr>
                  <w:rStyle w:val="Hyperlink"/>
                  <w:i/>
                </w:rPr>
                <w:t>Silvia.Staffa@eesc.europa.eu</w:t>
              </w:r>
            </w:hyperlink>
          </w:p>
        </w:tc>
      </w:tr>
    </w:tbl>
    <w:p w:rsidR="005B7B1B" w:rsidP="000B3DCE" w:rsidRDefault="005B7B1B" w14:paraId="2EF2BA0A" w14:textId="166150E6">
      <w:pPr>
        <w:pStyle w:val="ListParagraph"/>
        <w:ind w:left="0"/>
      </w:pPr>
    </w:p>
    <w:p w:rsidR="005B7B1B" w:rsidP="000B3DCE" w:rsidRDefault="005B7B1B" w14:paraId="2E6946CC" w14:textId="77777777">
      <w:pPr>
        <w:spacing w:after="160"/>
        <w:jc w:val="left"/>
      </w:pPr>
      <w:r>
        <w:br w:type="page"/>
      </w:r>
    </w:p>
    <w:p w:rsidRPr="0003586F" w:rsidR="005B7B1B" w:rsidP="000B3DCE" w:rsidRDefault="00D94EF3" w14:paraId="2F62080B" w14:textId="0E52B8A2">
      <w:pPr>
        <w:widowControl w:val="0"/>
        <w:numPr>
          <w:ilvl w:val="0"/>
          <w:numId w:val="4"/>
        </w:numPr>
        <w:overflowPunct w:val="0"/>
        <w:autoSpaceDE w:val="0"/>
        <w:autoSpaceDN w:val="0"/>
        <w:adjustRightInd w:val="0"/>
        <w:ind w:hanging="567"/>
        <w:textAlignment w:val="baseline"/>
        <w:rPr>
          <w:sz w:val="20"/>
        </w:rPr>
      </w:pPr>
      <w:hyperlink w:history="1" r:id="rId39">
        <w:r w:rsidR="005B7B1B">
          <w:rPr>
            <w:rStyle w:val="Hyperlink"/>
            <w:b/>
            <w:i/>
            <w:sz w:val="28"/>
          </w:rPr>
          <w:t>Pk-yritysten kilpailukyky hallinnollisten rasitteiden valossa</w:t>
        </w:r>
      </w:hyperlink>
    </w:p>
    <w:p w:rsidRPr="00A6689B" w:rsidR="005B7B1B" w:rsidP="000B3DCE" w:rsidRDefault="005B7B1B" w14:paraId="5EDB557A" w14:textId="77777777">
      <w:pPr>
        <w:tabs>
          <w:tab w:val="center" w:pos="284"/>
        </w:tabs>
        <w:ind w:left="266" w:hanging="266"/>
        <w:rPr>
          <w:b/>
        </w:rPr>
      </w:pPr>
    </w:p>
    <w:tbl>
      <w:tblPr>
        <w:tblStyle w:val="TableGrid"/>
        <w:tblW w:w="499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7084"/>
      </w:tblGrid>
      <w:tr w:rsidRPr="00A6689B" w:rsidR="005B7B1B" w:rsidTr="005E6D41" w14:paraId="760D1100" w14:textId="77777777">
        <w:trPr>
          <w:trHeight w:val="406"/>
        </w:trPr>
        <w:tc>
          <w:tcPr>
            <w:tcW w:w="1095" w:type="pct"/>
          </w:tcPr>
          <w:p w:rsidR="005B7B1B" w:rsidP="000B3DCE" w:rsidRDefault="005B7B1B" w14:paraId="1F6B0E1A" w14:textId="77777777">
            <w:pPr>
              <w:tabs>
                <w:tab w:val="center" w:pos="284"/>
              </w:tabs>
              <w:ind w:left="266" w:hanging="266"/>
              <w:rPr>
                <w:b/>
              </w:rPr>
            </w:pPr>
            <w:r>
              <w:rPr>
                <w:b/>
              </w:rPr>
              <w:t>Esittelijä</w:t>
            </w:r>
          </w:p>
          <w:p w:rsidRPr="00A6689B" w:rsidR="005B7B1B" w:rsidP="000B3DCE" w:rsidRDefault="005B7B1B" w14:paraId="6908BAAF" w14:textId="77777777">
            <w:pPr>
              <w:tabs>
                <w:tab w:val="center" w:pos="284"/>
              </w:tabs>
              <w:ind w:left="266" w:hanging="266"/>
              <w:rPr>
                <w:b/>
                <w:lang w:val="en-US"/>
              </w:rPr>
            </w:pPr>
          </w:p>
        </w:tc>
        <w:tc>
          <w:tcPr>
            <w:tcW w:w="3905" w:type="pct"/>
          </w:tcPr>
          <w:p w:rsidRPr="009E78F1" w:rsidR="005B7B1B" w:rsidP="000B3DCE" w:rsidRDefault="005B7B1B" w14:paraId="0EEEB11B" w14:textId="77777777">
            <w:pPr>
              <w:tabs>
                <w:tab w:val="center" w:pos="0"/>
              </w:tabs>
              <w:ind w:left="266" w:hanging="266"/>
            </w:pPr>
            <w:r>
              <w:t>Paul RÜBIG (työnantajat – AT)</w:t>
            </w:r>
          </w:p>
        </w:tc>
      </w:tr>
      <w:tr w:rsidRPr="00CB5569" w:rsidR="005B7B1B" w:rsidTr="005E6D41" w14:paraId="566AFF4D" w14:textId="77777777">
        <w:tc>
          <w:tcPr>
            <w:tcW w:w="1095" w:type="pct"/>
          </w:tcPr>
          <w:p w:rsidRPr="00CB5569" w:rsidR="005B7B1B" w:rsidP="000B3DCE" w:rsidRDefault="005B7B1B" w14:paraId="6E52360B" w14:textId="77777777">
            <w:pPr>
              <w:tabs>
                <w:tab w:val="center" w:pos="284"/>
              </w:tabs>
              <w:ind w:left="266" w:hanging="266"/>
              <w:rPr>
                <w:b/>
              </w:rPr>
            </w:pPr>
            <w:r>
              <w:rPr>
                <w:b/>
              </w:rPr>
              <w:t>Viiteasiakirja</w:t>
            </w:r>
          </w:p>
        </w:tc>
        <w:tc>
          <w:tcPr>
            <w:tcW w:w="3905" w:type="pct"/>
          </w:tcPr>
          <w:p w:rsidR="005B7B1B" w:rsidP="000B3DCE" w:rsidRDefault="005E6D41" w14:paraId="62F02660" w14:textId="4FC0BC2D">
            <w:pPr>
              <w:ind w:left="168" w:hanging="125"/>
            </w:pPr>
            <w:r w:rsidRPr="005B7B1B">
              <w:rPr>
                <w:szCs w:val="20"/>
              </w:rPr>
              <w:t>puheenjohtajavaltio Puolan pyytämä valmisteleva lausunto</w:t>
            </w:r>
          </w:p>
          <w:p w:rsidRPr="00CB5569" w:rsidR="005B7B1B" w:rsidP="000B3DCE" w:rsidRDefault="005B7B1B" w14:paraId="31FD1DBF" w14:textId="77777777">
            <w:pPr>
              <w:tabs>
                <w:tab w:val="center" w:pos="284"/>
              </w:tabs>
              <w:ind w:left="266" w:hanging="266"/>
            </w:pPr>
            <w:r>
              <w:t>EESC-2024-03549-00-00-AC</w:t>
            </w:r>
          </w:p>
        </w:tc>
      </w:tr>
    </w:tbl>
    <w:p w:rsidR="005B7B1B" w:rsidP="000B3DCE" w:rsidRDefault="005B7B1B" w14:paraId="61D121C9" w14:textId="77777777">
      <w:pPr>
        <w:tabs>
          <w:tab w:val="center" w:pos="284"/>
        </w:tabs>
        <w:ind w:left="266" w:hanging="266"/>
        <w:rPr>
          <w:b/>
        </w:rPr>
      </w:pPr>
    </w:p>
    <w:p w:rsidRPr="00CB5569" w:rsidR="005B7B1B" w:rsidP="000B3DCE" w:rsidRDefault="005B7B1B" w14:paraId="2F09FCAE" w14:textId="77777777">
      <w:pPr>
        <w:tabs>
          <w:tab w:val="center" w:pos="284"/>
        </w:tabs>
        <w:ind w:left="266" w:hanging="266"/>
        <w:rPr>
          <w:b/>
        </w:rPr>
      </w:pPr>
      <w:r>
        <w:rPr>
          <w:b/>
        </w:rPr>
        <w:t>Keskeiset kohdat</w:t>
      </w:r>
    </w:p>
    <w:p w:rsidRPr="00CB5569" w:rsidR="005B7B1B" w:rsidP="000B3DCE" w:rsidRDefault="005B7B1B" w14:paraId="2D2F5ED4" w14:textId="77777777">
      <w:pPr>
        <w:tabs>
          <w:tab w:val="center" w:pos="284"/>
        </w:tabs>
        <w:ind w:left="266" w:hanging="266"/>
        <w:rPr>
          <w:bCs/>
        </w:rPr>
      </w:pPr>
    </w:p>
    <w:p w:rsidRPr="00CB5569" w:rsidR="005B7B1B" w:rsidP="000B3DCE" w:rsidRDefault="005B7B1B" w14:paraId="0D55A6A9" w14:textId="77777777">
      <w:pPr>
        <w:rPr>
          <w:bCs/>
          <w:iCs/>
        </w:rPr>
      </w:pPr>
      <w:r>
        <w:t>ETSK</w:t>
      </w:r>
    </w:p>
    <w:p w:rsidRPr="003E13F7" w:rsidR="005B7B1B" w:rsidP="000B3DCE" w:rsidRDefault="005B7B1B" w14:paraId="2E0E19E3" w14:textId="77777777">
      <w:pPr>
        <w:pStyle w:val="ListParagraph"/>
        <w:numPr>
          <w:ilvl w:val="0"/>
          <w:numId w:val="32"/>
        </w:numPr>
        <w:spacing w:after="200"/>
        <w:ind w:left="426"/>
        <w:rPr>
          <w:bCs/>
          <w:iCs/>
        </w:rPr>
      </w:pPr>
      <w:r>
        <w:t>katsoo, että aiemmin käynnistetyistä EU:n aloitteista huolimatta lisäparannuksia sääntelytaakan keventämiseksi tarvitaan edelleen, sillä sääntelyn lisääntymisestä ja nykyisistä, myös vihreän kehityksen ohjelmaan liittyvistä vaatimuksista johtuen pk-yrityksiin kohdistuu kaksin- ja kolminkertaisia lainsäädännöllisiä vaatimuksia.</w:t>
      </w:r>
    </w:p>
    <w:p w:rsidRPr="00D5217C" w:rsidR="005B7B1B" w:rsidP="000B3DCE" w:rsidRDefault="005B7B1B" w14:paraId="6E03EA29" w14:textId="77777777">
      <w:pPr>
        <w:pStyle w:val="ListParagraph"/>
        <w:numPr>
          <w:ilvl w:val="0"/>
          <w:numId w:val="32"/>
        </w:numPr>
        <w:spacing w:after="200"/>
        <w:ind w:left="426"/>
        <w:rPr>
          <w:bCs/>
          <w:iCs/>
        </w:rPr>
      </w:pPr>
      <w:r>
        <w:t>katsoo kuitenkin myös, ettei sääntelytaakan keventäminen saa vaarantaa kansainvälisellä tasolla ja EU:n tasolla vahvistettujen sosiaali-, ympäristö- ja kuluttajien turvallisuutta koskevien oikeuksien ja normien eikä EU:n avoimuus- ja oikeusvaltioperiaatteiden noudattamista.</w:t>
      </w:r>
    </w:p>
    <w:p w:rsidR="005B7B1B" w:rsidP="000B3DCE" w:rsidRDefault="005B7B1B" w14:paraId="273B18CA" w14:textId="77777777">
      <w:pPr>
        <w:pStyle w:val="ListParagraph"/>
        <w:numPr>
          <w:ilvl w:val="0"/>
          <w:numId w:val="32"/>
        </w:numPr>
        <w:spacing w:after="200"/>
        <w:ind w:left="426"/>
        <w:rPr>
          <w:bCs/>
          <w:iCs/>
        </w:rPr>
      </w:pPr>
      <w:r>
        <w:t>suosittelee, että sääntelyntarkastelulautakuntaa vahvistetaan merkittävästi ja että sen riippumattomuutta lujitetaan. Lautakunnan olisi tehtävä ”johdonmukaisuus- ja toissijaisuustarkastus” jokaisen lainsäädäntöprosessin alussa, ja sille olisi annettava asianmukaiset lainsäädännön tarkistamista sekä neuvonantoa koskevat oikeudet.</w:t>
      </w:r>
    </w:p>
    <w:p w:rsidR="005B7B1B" w:rsidP="000B3DCE" w:rsidRDefault="005B7B1B" w14:paraId="2132B475" w14:textId="77777777">
      <w:pPr>
        <w:pStyle w:val="ListParagraph"/>
        <w:numPr>
          <w:ilvl w:val="0"/>
          <w:numId w:val="32"/>
        </w:numPr>
        <w:spacing w:after="200"/>
        <w:ind w:left="426"/>
        <w:rPr>
          <w:bCs/>
          <w:iCs/>
        </w:rPr>
      </w:pPr>
      <w:r>
        <w:t>suosittelee, että pk-yritystesti ja kilpailukykytarkastus yhdistettäisiin yhdeksi menettelyksi.</w:t>
      </w:r>
    </w:p>
    <w:p w:rsidR="005B7B1B" w:rsidP="000B3DCE" w:rsidRDefault="005B7B1B" w14:paraId="3141B363" w14:textId="77777777">
      <w:pPr>
        <w:pStyle w:val="ListParagraph"/>
        <w:numPr>
          <w:ilvl w:val="0"/>
          <w:numId w:val="32"/>
        </w:numPr>
        <w:spacing w:after="200"/>
        <w:ind w:left="426"/>
        <w:rPr>
          <w:bCs/>
          <w:iCs/>
        </w:rPr>
      </w:pPr>
      <w:r>
        <w:t>kehottaa hyödyntämään tekoälyä ja koneoppimista sellaisen helppokäyttöisen keskitetyn raportointivälineen luomiseksi, jonka avulla pk-yritykset, markkina-arvoltaan keskisuuret yritykset ja muut yritykset voivat saada tietoa kaikista EU:n kannalta merkityksellisistä raportointiin liittyvistä velvoitteista, määräajoista ja seuraamuksista.</w:t>
      </w:r>
    </w:p>
    <w:p w:rsidR="005B7B1B" w:rsidP="000B3DCE" w:rsidRDefault="005B7B1B" w14:paraId="408BB05C" w14:textId="77777777">
      <w:pPr>
        <w:pStyle w:val="ListParagraph"/>
        <w:numPr>
          <w:ilvl w:val="0"/>
          <w:numId w:val="32"/>
        </w:numPr>
        <w:spacing w:after="200"/>
        <w:ind w:left="426"/>
        <w:rPr>
          <w:bCs/>
          <w:iCs/>
        </w:rPr>
      </w:pPr>
      <w:r>
        <w:t>huomauttaa, että Euroopan parlamentin ja Euroopan unionin neuvoston olisi kehitettävä nopeutettu menettely, jota noudattaen niiden omat politiikkayksiköt laatisivat vaikutusten ja riskien arviointeja sellaisissa tapauksissa, joissa parlamentin ja neuvoston esittämillä muutoksilla muokattaisiin komission ehdotusta merkittävästi.</w:t>
      </w:r>
    </w:p>
    <w:p w:rsidRPr="006978D9" w:rsidR="005B7B1B" w:rsidP="006978D9" w:rsidRDefault="005B7B1B" w14:paraId="49F999A1" w14:textId="1925E1EC">
      <w:pPr>
        <w:pStyle w:val="ListParagraph"/>
        <w:numPr>
          <w:ilvl w:val="0"/>
          <w:numId w:val="32"/>
        </w:numPr>
        <w:ind w:left="425" w:hanging="357"/>
        <w:rPr>
          <w:bCs/>
          <w:iCs/>
        </w:rPr>
      </w:pPr>
      <w:r>
        <w:t>katsoo, että EU:n neuvoston ja jäsenvaltioiden viranomaisten olisi aiempaa useammin hyödynnettävä tilaisuuksia vastuualueiden uudelleentarkasteluun (toissijaisuus) erityisesti, kun on kyse pk-yrityksiin, kuluttajiin, hallintoon ja oikeusjärjestykseen kohdistuvista vaikutuksista.</w:t>
      </w:r>
    </w:p>
    <w:p w:rsidRPr="006978D9" w:rsidR="006978D9" w:rsidP="006978D9" w:rsidRDefault="006978D9" w14:paraId="5D58D52D" w14:textId="77777777">
      <w:pPr>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6689B" w:rsidR="005B7B1B" w:rsidTr="00F70F48" w14:paraId="5FA91524" w14:textId="77777777">
        <w:tc>
          <w:tcPr>
            <w:tcW w:w="1556" w:type="pct"/>
          </w:tcPr>
          <w:p w:rsidRPr="00A6689B" w:rsidR="005B7B1B" w:rsidP="000B3DCE" w:rsidRDefault="005B7B1B" w14:paraId="07879806" w14:textId="77777777">
            <w:pPr>
              <w:rPr>
                <w:i/>
              </w:rPr>
            </w:pPr>
            <w:r>
              <w:rPr>
                <w:b/>
                <w:i/>
              </w:rPr>
              <w:t>Yhteydentotot</w:t>
            </w:r>
          </w:p>
        </w:tc>
        <w:tc>
          <w:tcPr>
            <w:tcW w:w="3444" w:type="pct"/>
          </w:tcPr>
          <w:p w:rsidRPr="00A6689B" w:rsidR="005B7B1B" w:rsidP="000B3DCE" w:rsidRDefault="005B7B1B" w14:paraId="77DFCC2F" w14:textId="705FE750">
            <w:pPr>
              <w:rPr>
                <w:i/>
              </w:rPr>
            </w:pPr>
            <w:r>
              <w:rPr>
                <w:i/>
              </w:rPr>
              <w:t xml:space="preserve">Marco </w:t>
            </w:r>
            <w:r w:rsidR="00485207">
              <w:rPr>
                <w:i/>
              </w:rPr>
              <w:t>MANFRONI</w:t>
            </w:r>
          </w:p>
        </w:tc>
      </w:tr>
      <w:tr w:rsidRPr="00A6689B" w:rsidR="005B7B1B" w:rsidTr="00F70F48" w14:paraId="5ED210CE" w14:textId="77777777">
        <w:tc>
          <w:tcPr>
            <w:tcW w:w="1556" w:type="pct"/>
          </w:tcPr>
          <w:p w:rsidRPr="00A6689B" w:rsidR="005B7B1B" w:rsidP="000B3DCE" w:rsidRDefault="005B7B1B" w14:paraId="749CFFD5" w14:textId="77777777">
            <w:pPr>
              <w:rPr>
                <w:i/>
              </w:rPr>
            </w:pPr>
            <w:r>
              <w:rPr>
                <w:i/>
              </w:rPr>
              <w:t>P.</w:t>
            </w:r>
          </w:p>
        </w:tc>
        <w:tc>
          <w:tcPr>
            <w:tcW w:w="3444" w:type="pct"/>
          </w:tcPr>
          <w:p w:rsidRPr="00A6689B" w:rsidR="005B7B1B" w:rsidP="000B3DCE" w:rsidRDefault="005B7B1B" w14:paraId="460F94F3" w14:textId="77777777">
            <w:pPr>
              <w:rPr>
                <w:i/>
              </w:rPr>
            </w:pPr>
            <w:r>
              <w:rPr>
                <w:i/>
              </w:rPr>
              <w:t>+ 32 25469140</w:t>
            </w:r>
          </w:p>
        </w:tc>
      </w:tr>
      <w:tr w:rsidRPr="00A6689B" w:rsidR="005B7B1B" w:rsidTr="00F70F48" w14:paraId="5DED2BB5" w14:textId="77777777">
        <w:tc>
          <w:tcPr>
            <w:tcW w:w="1556" w:type="pct"/>
          </w:tcPr>
          <w:p w:rsidRPr="00A6689B" w:rsidR="005B7B1B" w:rsidP="000B3DCE" w:rsidRDefault="005B7B1B" w14:paraId="3BDBA992" w14:textId="77777777">
            <w:pPr>
              <w:rPr>
                <w:i/>
              </w:rPr>
            </w:pPr>
            <w:r>
              <w:rPr>
                <w:i/>
              </w:rPr>
              <w:t>Sähköposti</w:t>
            </w:r>
          </w:p>
        </w:tc>
        <w:tc>
          <w:tcPr>
            <w:tcW w:w="3444" w:type="pct"/>
          </w:tcPr>
          <w:p w:rsidRPr="00CB5569" w:rsidR="005B7B1B" w:rsidP="000B3DCE" w:rsidRDefault="00D94EF3" w14:paraId="75050DBE" w14:textId="77777777">
            <w:pPr>
              <w:rPr>
                <w:i/>
                <w:iCs/>
                <w:sz w:val="20"/>
              </w:rPr>
            </w:pPr>
            <w:hyperlink w:history="1" r:id="rId40">
              <w:r w:rsidR="005B7B1B">
                <w:rPr>
                  <w:rStyle w:val="Hyperlink"/>
                  <w:i/>
                  <w:sz w:val="20"/>
                </w:rPr>
                <w:t>Marco.Manfroni@eesc.europa.eu</w:t>
              </w:r>
            </w:hyperlink>
            <w:r w:rsidR="005B7B1B">
              <w:rPr>
                <w:i/>
                <w:sz w:val="20"/>
              </w:rPr>
              <w:t xml:space="preserve"> </w:t>
            </w:r>
          </w:p>
        </w:tc>
      </w:tr>
    </w:tbl>
    <w:p w:rsidR="005B7B1B" w:rsidP="000B3DCE" w:rsidRDefault="005B7B1B" w14:paraId="297F5EB7" w14:textId="4487863A">
      <w:pPr>
        <w:pStyle w:val="ListParagraph"/>
        <w:ind w:left="0"/>
      </w:pPr>
    </w:p>
    <w:p w:rsidR="005B7B1B" w:rsidP="000B3DCE" w:rsidRDefault="005B7B1B" w14:paraId="1E3545A6" w14:textId="77777777">
      <w:pPr>
        <w:spacing w:after="160"/>
        <w:jc w:val="left"/>
      </w:pPr>
      <w:r>
        <w:br w:type="page"/>
      </w:r>
    </w:p>
    <w:p w:rsidRPr="00C66C4F" w:rsidR="005B7B1B" w:rsidP="000B3DCE" w:rsidRDefault="00D94EF3" w14:paraId="48A47ADB" w14:textId="2F73C87A">
      <w:pPr>
        <w:widowControl w:val="0"/>
        <w:numPr>
          <w:ilvl w:val="0"/>
          <w:numId w:val="4"/>
        </w:numPr>
        <w:overflowPunct w:val="0"/>
        <w:autoSpaceDE w:val="0"/>
        <w:autoSpaceDN w:val="0"/>
        <w:adjustRightInd w:val="0"/>
        <w:ind w:hanging="567"/>
        <w:textAlignment w:val="baseline"/>
        <w:rPr>
          <w:b/>
        </w:rPr>
      </w:pPr>
      <w:hyperlink w:tgtFrame="_blank" w:history="1" r:id="rId41">
        <w:r w:rsidR="005B7B1B">
          <w:rPr>
            <w:rStyle w:val="Hyperlink"/>
            <w:b/>
            <w:i/>
            <w:sz w:val="28"/>
          </w:rPr>
          <w:t>Palvelusektori Euroopan unionissa</w:t>
        </w:r>
      </w:hyperlink>
    </w:p>
    <w:p w:rsidRPr="008E5EA0" w:rsidR="005B7B1B" w:rsidP="000B3DCE" w:rsidRDefault="005B7B1B" w14:paraId="690A1260" w14:textId="77777777">
      <w:pPr>
        <w:widowControl w:val="0"/>
        <w:ind w:left="567"/>
        <w:rPr>
          <w: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9"/>
        <w:gridCol w:w="7374"/>
      </w:tblGrid>
      <w:tr w:rsidRPr="008E5EA0" w:rsidR="005B7B1B" w:rsidTr="00F70F48" w14:paraId="6FE0975D" w14:textId="77777777">
        <w:tc>
          <w:tcPr>
            <w:tcW w:w="1701" w:type="dxa"/>
          </w:tcPr>
          <w:p w:rsidRPr="008E5EA0" w:rsidR="005B7B1B" w:rsidP="000B3DCE" w:rsidRDefault="005B7B1B" w14:paraId="426FDF84" w14:textId="77777777">
            <w:pPr>
              <w:tabs>
                <w:tab w:val="center" w:pos="284"/>
              </w:tabs>
              <w:ind w:left="266" w:hanging="266"/>
              <w:rPr>
                <w:b/>
              </w:rPr>
            </w:pPr>
            <w:r w:rsidRPr="008E5EA0">
              <w:rPr>
                <w:b/>
              </w:rPr>
              <w:t>Esittelijä</w:t>
            </w:r>
          </w:p>
        </w:tc>
        <w:tc>
          <w:tcPr>
            <w:tcW w:w="7479" w:type="dxa"/>
          </w:tcPr>
          <w:p w:rsidRPr="008E5EA0" w:rsidR="005B7B1B" w:rsidP="000B3DCE" w:rsidRDefault="005B7B1B" w14:paraId="58DEA158" w14:textId="77777777">
            <w:pPr>
              <w:tabs>
                <w:tab w:val="center" w:pos="284"/>
              </w:tabs>
              <w:ind w:left="266" w:hanging="266"/>
            </w:pPr>
            <w:r w:rsidRPr="008E5EA0">
              <w:t>Marcin NOWACKI (työnantajat – PL)</w:t>
            </w:r>
          </w:p>
        </w:tc>
      </w:tr>
      <w:tr w:rsidRPr="008E5EA0" w:rsidR="005B7B1B" w:rsidTr="00F70F48" w14:paraId="1862B254" w14:textId="77777777">
        <w:tc>
          <w:tcPr>
            <w:tcW w:w="1701" w:type="dxa"/>
          </w:tcPr>
          <w:p w:rsidRPr="008E5EA0" w:rsidR="005B7B1B" w:rsidP="000B3DCE" w:rsidRDefault="005B7B1B" w14:paraId="161BC84B" w14:textId="77777777">
            <w:pPr>
              <w:tabs>
                <w:tab w:val="center" w:pos="284"/>
              </w:tabs>
              <w:ind w:left="266" w:hanging="266"/>
              <w:rPr>
                <w:b/>
                <w:lang w:val="en-US"/>
              </w:rPr>
            </w:pPr>
          </w:p>
        </w:tc>
        <w:tc>
          <w:tcPr>
            <w:tcW w:w="7479" w:type="dxa"/>
          </w:tcPr>
          <w:p w:rsidRPr="008E5EA0" w:rsidR="005B7B1B" w:rsidP="000B3DCE" w:rsidRDefault="005B7B1B" w14:paraId="42DFA250" w14:textId="77777777">
            <w:pPr>
              <w:tabs>
                <w:tab w:val="center" w:pos="284"/>
              </w:tabs>
              <w:ind w:left="266" w:hanging="266"/>
              <w:rPr>
                <w:lang w:val="en-US"/>
              </w:rPr>
            </w:pPr>
          </w:p>
        </w:tc>
      </w:tr>
      <w:tr w:rsidRPr="008E5EA0" w:rsidR="005B7B1B" w:rsidTr="00F70F48" w14:paraId="4B5E1BF7" w14:textId="77777777">
        <w:tc>
          <w:tcPr>
            <w:tcW w:w="1701" w:type="dxa"/>
            <w:vMerge w:val="restart"/>
          </w:tcPr>
          <w:p w:rsidRPr="008E5EA0" w:rsidR="005B7B1B" w:rsidP="000B3DCE" w:rsidRDefault="005B7B1B" w14:paraId="1D5FFD23" w14:textId="77777777">
            <w:pPr>
              <w:tabs>
                <w:tab w:val="center" w:pos="284"/>
              </w:tabs>
              <w:ind w:left="266" w:hanging="266"/>
              <w:rPr>
                <w:b/>
              </w:rPr>
            </w:pPr>
            <w:r w:rsidRPr="008E5EA0">
              <w:rPr>
                <w:b/>
              </w:rPr>
              <w:t>Viiteasiakirjat</w:t>
            </w:r>
          </w:p>
        </w:tc>
        <w:tc>
          <w:tcPr>
            <w:tcW w:w="7479" w:type="dxa"/>
          </w:tcPr>
          <w:p w:rsidRPr="008E5EA0" w:rsidR="005B7B1B" w:rsidP="000B3DCE" w:rsidRDefault="005B7B1B" w14:paraId="067ED92C" w14:textId="77777777">
            <w:pPr>
              <w:tabs>
                <w:tab w:val="center" w:pos="284"/>
              </w:tabs>
              <w:ind w:left="266" w:hanging="266"/>
            </w:pPr>
            <w:r w:rsidRPr="008E5EA0">
              <w:t>puheenjohtajavaltio Puolan pyytämä valmisteleva lausunto</w:t>
            </w:r>
          </w:p>
        </w:tc>
      </w:tr>
      <w:tr w:rsidRPr="008E5EA0" w:rsidR="005B7B1B" w:rsidTr="00F70F48" w14:paraId="5BBF41D0" w14:textId="77777777">
        <w:tc>
          <w:tcPr>
            <w:tcW w:w="1701" w:type="dxa"/>
            <w:vMerge/>
          </w:tcPr>
          <w:p w:rsidRPr="008E5EA0" w:rsidR="005B7B1B" w:rsidP="000B3DCE" w:rsidRDefault="005B7B1B" w14:paraId="7463A84C" w14:textId="77777777">
            <w:pPr>
              <w:tabs>
                <w:tab w:val="center" w:pos="284"/>
              </w:tabs>
              <w:ind w:left="266" w:hanging="266"/>
              <w:rPr>
                <w:b/>
                <w:lang w:val="en-US"/>
              </w:rPr>
            </w:pPr>
          </w:p>
        </w:tc>
        <w:tc>
          <w:tcPr>
            <w:tcW w:w="7479" w:type="dxa"/>
          </w:tcPr>
          <w:p w:rsidRPr="008E5EA0" w:rsidR="005B7B1B" w:rsidP="000B3DCE" w:rsidRDefault="005B7B1B" w14:paraId="2E3C5615" w14:textId="77777777">
            <w:pPr>
              <w:tabs>
                <w:tab w:val="center" w:pos="284"/>
              </w:tabs>
              <w:ind w:left="266" w:hanging="266"/>
            </w:pPr>
            <w:r w:rsidRPr="008E5EA0">
              <w:t>EESC-2024-03619-00-00-AC-TRA</w:t>
            </w:r>
          </w:p>
        </w:tc>
      </w:tr>
    </w:tbl>
    <w:p w:rsidRPr="008E5EA0" w:rsidR="005B7B1B" w:rsidP="000B3DCE" w:rsidRDefault="005B7B1B" w14:paraId="534CAEC4" w14:textId="77777777">
      <w:pPr>
        <w:tabs>
          <w:tab w:val="center" w:pos="284"/>
        </w:tabs>
        <w:ind w:left="266" w:hanging="266"/>
      </w:pPr>
    </w:p>
    <w:p w:rsidRPr="008E5EA0" w:rsidR="005B7B1B" w:rsidP="000B3DCE" w:rsidRDefault="005B7B1B" w14:paraId="3FD965C0" w14:textId="77777777">
      <w:pPr>
        <w:keepNext/>
        <w:keepLines/>
        <w:tabs>
          <w:tab w:val="center" w:pos="284"/>
        </w:tabs>
        <w:ind w:left="266" w:hanging="266"/>
        <w:rPr>
          <w:b/>
        </w:rPr>
      </w:pPr>
      <w:r w:rsidRPr="008E5EA0">
        <w:rPr>
          <w:b/>
        </w:rPr>
        <w:t>Keskeiset kohdat</w:t>
      </w:r>
    </w:p>
    <w:p w:rsidRPr="008E5EA0" w:rsidR="005B7B1B" w:rsidP="000B3DCE" w:rsidRDefault="005B7B1B" w14:paraId="12215AB5" w14:textId="77777777">
      <w:pPr>
        <w:keepNext/>
        <w:keepLines/>
        <w:tabs>
          <w:tab w:val="center" w:pos="284"/>
        </w:tabs>
        <w:ind w:left="266" w:hanging="266"/>
        <w:rPr>
          <w:b/>
        </w:rPr>
      </w:pPr>
    </w:p>
    <w:p w:rsidRPr="008E5EA0" w:rsidR="005B7B1B" w:rsidP="000B3DCE" w:rsidRDefault="005B7B1B" w14:paraId="24A19112" w14:textId="77777777">
      <w:pPr>
        <w:rPr>
          <w:bCs/>
          <w:iCs/>
        </w:rPr>
      </w:pPr>
      <w:r w:rsidRPr="008E5EA0">
        <w:t>ETSK</w:t>
      </w:r>
    </w:p>
    <w:p w:rsidRPr="008E5EA0" w:rsidR="005B7B1B" w:rsidP="000B3DCE" w:rsidRDefault="005B7B1B" w14:paraId="654725AC" w14:textId="77777777">
      <w:pPr>
        <w:pStyle w:val="ListParagraph"/>
        <w:numPr>
          <w:ilvl w:val="0"/>
          <w:numId w:val="33"/>
        </w:numPr>
        <w:spacing w:after="200"/>
        <w:ind w:left="426"/>
        <w:rPr>
          <w:bCs/>
          <w:iCs/>
        </w:rPr>
      </w:pPr>
      <w:r w:rsidRPr="008E5EA0">
        <w:t>korostaa tarvetta yhdenmukaistaa palveludirektiiviä ja ammattipätevyysdirektiiviä EU:n palvelusektorin pirstaleisuuden vähentämiseksi.</w:t>
      </w:r>
    </w:p>
    <w:p w:rsidRPr="008E5EA0" w:rsidR="005B7B1B" w:rsidP="000B3DCE" w:rsidRDefault="005B7B1B" w14:paraId="757D11EB" w14:textId="77777777">
      <w:pPr>
        <w:pStyle w:val="ListParagraph"/>
        <w:numPr>
          <w:ilvl w:val="0"/>
          <w:numId w:val="33"/>
        </w:numPr>
        <w:spacing w:after="200"/>
        <w:ind w:left="426"/>
        <w:rPr>
          <w:bCs/>
          <w:iCs/>
        </w:rPr>
      </w:pPr>
      <w:r w:rsidRPr="008E5EA0">
        <w:t>pitää tarpeellisena esittää sataa ammattia koskeva paketti (</w:t>
      </w:r>
      <w:r w:rsidRPr="008E5EA0">
        <w:rPr>
          <w:i/>
          <w:iCs/>
        </w:rPr>
        <w:t xml:space="preserve">100 </w:t>
      </w:r>
      <w:proofErr w:type="spellStart"/>
      <w:r w:rsidRPr="008E5EA0">
        <w:rPr>
          <w:i/>
          <w:iCs/>
        </w:rPr>
        <w:t>Professions</w:t>
      </w:r>
      <w:proofErr w:type="spellEnd"/>
      <w:r w:rsidRPr="008E5EA0">
        <w:rPr>
          <w:i/>
          <w:iCs/>
        </w:rPr>
        <w:t xml:space="preserve"> </w:t>
      </w:r>
      <w:proofErr w:type="spellStart"/>
      <w:r w:rsidRPr="008E5EA0">
        <w:rPr>
          <w:i/>
          <w:iCs/>
        </w:rPr>
        <w:t>Package</w:t>
      </w:r>
      <w:proofErr w:type="spellEnd"/>
      <w:r w:rsidRPr="008E5EA0">
        <w:t>), jolla puututtaisiin merkittävimpiin sääntelyesteisiin kaikissa jäsenvaltioissa.</w:t>
      </w:r>
    </w:p>
    <w:p w:rsidRPr="008E5EA0" w:rsidR="005B7B1B" w:rsidP="000B3DCE" w:rsidRDefault="005B7B1B" w14:paraId="5A256DCA" w14:textId="77777777">
      <w:pPr>
        <w:pStyle w:val="ListParagraph"/>
        <w:numPr>
          <w:ilvl w:val="0"/>
          <w:numId w:val="33"/>
        </w:numPr>
        <w:spacing w:after="200"/>
        <w:ind w:left="426"/>
        <w:rPr>
          <w:bCs/>
          <w:iCs/>
        </w:rPr>
      </w:pPr>
      <w:r w:rsidRPr="008E5EA0">
        <w:t xml:space="preserve">katsoo, että digitalisaatiolla olisi oltava keskeinen rooli hallinnollisten prosessien nykyaikaistamisessa. Keskitetty digitaalinen ilmoitusportaali ja A1-lomakkeiden digitalisointi vähentäisivät pk-yritysten hallinnollista taakkaa ja tekisivät </w:t>
      </w:r>
      <w:proofErr w:type="spellStart"/>
      <w:r w:rsidRPr="008E5EA0">
        <w:t>rajatylittävien</w:t>
      </w:r>
      <w:proofErr w:type="spellEnd"/>
      <w:r w:rsidRPr="008E5EA0">
        <w:t xml:space="preserve"> palvelujen tarjoamisesta yksinkertaisempaa. Ne myös takaisivat sekä yrityksille että kuluttajille nopeammat ja helpommin saatavilla olevat palvelut.</w:t>
      </w:r>
    </w:p>
    <w:p w:rsidRPr="008E5EA0" w:rsidR="005B7B1B" w:rsidP="000B3DCE" w:rsidRDefault="005B7B1B" w14:paraId="68F1BD51" w14:textId="77777777">
      <w:pPr>
        <w:pStyle w:val="ListParagraph"/>
        <w:numPr>
          <w:ilvl w:val="0"/>
          <w:numId w:val="33"/>
        </w:numPr>
        <w:spacing w:after="200"/>
        <w:ind w:left="426"/>
        <w:rPr>
          <w:bCs/>
          <w:iCs/>
        </w:rPr>
      </w:pPr>
      <w:r w:rsidRPr="008E5EA0">
        <w:t>katsoo, että esteiden poistamiseksi esimerkiksi rakennusalan, vähittäiskaupan ja rahoituspalvelujen kaltaisilta aloilta tarvitaan kohdennettuja alakohtaisia uudistuksia.</w:t>
      </w:r>
    </w:p>
    <w:p w:rsidRPr="008E5EA0" w:rsidR="005B7B1B" w:rsidP="000B3DCE" w:rsidRDefault="005B7B1B" w14:paraId="1CF8AB96" w14:textId="77777777">
      <w:pPr>
        <w:pStyle w:val="ListParagraph"/>
        <w:numPr>
          <w:ilvl w:val="0"/>
          <w:numId w:val="33"/>
        </w:numPr>
        <w:spacing w:after="200"/>
        <w:ind w:left="426"/>
        <w:rPr>
          <w:bCs/>
          <w:iCs/>
        </w:rPr>
      </w:pPr>
      <w:r w:rsidRPr="008E5EA0">
        <w:t>korostaa, että työsuojelua, työehtosopimusneuvotteluja ja työehtosopimuksia ei pidä nähdä kohtuuttomana taakkana.</w:t>
      </w:r>
    </w:p>
    <w:p w:rsidRPr="008E5EA0" w:rsidR="005B7B1B" w:rsidP="000B3DCE" w:rsidRDefault="005B7B1B" w14:paraId="0ADB6732" w14:textId="77777777">
      <w:pPr>
        <w:pStyle w:val="ListParagraph"/>
        <w:numPr>
          <w:ilvl w:val="0"/>
          <w:numId w:val="33"/>
        </w:numPr>
        <w:spacing w:after="200"/>
        <w:ind w:left="426"/>
        <w:rPr>
          <w:bCs/>
          <w:iCs/>
        </w:rPr>
      </w:pPr>
      <w:r w:rsidRPr="008E5EA0">
        <w:t>painottaa tarvetta kerätä palvelusektorista ja erityisesti pk-yrityksistä tietoa päätöksenteon tueksi ja esteiden poistamiseksi sisämarkkinoilta.</w:t>
      </w:r>
    </w:p>
    <w:p w:rsidRPr="008E5EA0" w:rsidR="005B7B1B" w:rsidP="006978D9" w:rsidRDefault="005B7B1B" w14:paraId="1E12AA81" w14:textId="77777777">
      <w:pPr>
        <w:pStyle w:val="ListParagraph"/>
        <w:numPr>
          <w:ilvl w:val="0"/>
          <w:numId w:val="33"/>
        </w:numPr>
        <w:ind w:left="425" w:hanging="357"/>
        <w:rPr>
          <w:bCs/>
          <w:iCs/>
        </w:rPr>
      </w:pPr>
      <w:r w:rsidRPr="008E5EA0">
        <w:t xml:space="preserve">on sitä mieltä, että päivitettyyn sisämarkkinastrategiaan olisi sisällytettävä kattava ja toimialoittain eritelty palvelumarkkinoiden yhdentämistä koskeva toimintasuunnitelma. </w:t>
      </w:r>
    </w:p>
    <w:p w:rsidRPr="008E5EA0" w:rsidR="005B7B1B" w:rsidP="000B3DCE" w:rsidRDefault="005B7B1B" w14:paraId="4D23D953" w14:textId="77777777">
      <w:pPr>
        <w:rPr>
          <w:bCs/>
          <w:iCs/>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E5EA0" w:rsidR="005B7B1B" w:rsidTr="00F70F48" w14:paraId="3B47CFEE" w14:textId="77777777">
        <w:tc>
          <w:tcPr>
            <w:tcW w:w="1418" w:type="dxa"/>
          </w:tcPr>
          <w:p w:rsidRPr="008E5EA0" w:rsidR="005B7B1B" w:rsidP="000B3DCE" w:rsidRDefault="005B7B1B" w14:paraId="73552369" w14:textId="77777777">
            <w:pPr>
              <w:rPr>
                <w:i/>
              </w:rPr>
            </w:pPr>
            <w:r w:rsidRPr="008E5EA0">
              <w:rPr>
                <w:b/>
                <w:i/>
              </w:rPr>
              <w:t>Yhteydenotot</w:t>
            </w:r>
          </w:p>
        </w:tc>
        <w:tc>
          <w:tcPr>
            <w:tcW w:w="5670" w:type="dxa"/>
          </w:tcPr>
          <w:p w:rsidRPr="008E5EA0" w:rsidR="005B7B1B" w:rsidP="000B3DCE" w:rsidRDefault="005B7B1B" w14:paraId="243C6051" w14:textId="59D97BE7">
            <w:pPr>
              <w:rPr>
                <w:i/>
              </w:rPr>
            </w:pPr>
            <w:proofErr w:type="spellStart"/>
            <w:r w:rsidRPr="008E5EA0">
              <w:rPr>
                <w:i/>
              </w:rPr>
              <w:t>Annalisa</w:t>
            </w:r>
            <w:proofErr w:type="spellEnd"/>
            <w:r w:rsidRPr="008E5EA0">
              <w:rPr>
                <w:i/>
              </w:rPr>
              <w:t xml:space="preserve"> </w:t>
            </w:r>
            <w:r w:rsidRPr="008E5EA0" w:rsidR="00485207">
              <w:rPr>
                <w:i/>
              </w:rPr>
              <w:t>TESSAROLO</w:t>
            </w:r>
          </w:p>
        </w:tc>
      </w:tr>
      <w:tr w:rsidRPr="008E5EA0" w:rsidR="005B7B1B" w:rsidTr="00F70F48" w14:paraId="676DE9D5" w14:textId="77777777">
        <w:tc>
          <w:tcPr>
            <w:tcW w:w="1418" w:type="dxa"/>
          </w:tcPr>
          <w:p w:rsidRPr="008E5EA0" w:rsidR="005B7B1B" w:rsidP="000B3DCE" w:rsidRDefault="005B7B1B" w14:paraId="4D00A265" w14:textId="77777777">
            <w:pPr>
              <w:rPr>
                <w:i/>
              </w:rPr>
            </w:pPr>
            <w:r w:rsidRPr="008E5EA0">
              <w:rPr>
                <w:i/>
              </w:rPr>
              <w:t>P.</w:t>
            </w:r>
          </w:p>
        </w:tc>
        <w:tc>
          <w:tcPr>
            <w:tcW w:w="5670" w:type="dxa"/>
          </w:tcPr>
          <w:p w:rsidRPr="008E5EA0" w:rsidR="005B7B1B" w:rsidP="000B3DCE" w:rsidRDefault="005B7B1B" w14:paraId="2C62DABA" w14:textId="77777777">
            <w:pPr>
              <w:rPr>
                <w:i/>
              </w:rPr>
            </w:pPr>
            <w:r w:rsidRPr="008E5EA0">
              <w:rPr>
                <w:i/>
              </w:rPr>
              <w:t>+32 254697432</w:t>
            </w:r>
          </w:p>
        </w:tc>
      </w:tr>
      <w:tr w:rsidRPr="008E5EA0" w:rsidR="005B7B1B" w:rsidTr="00F70F48" w14:paraId="69854864" w14:textId="77777777">
        <w:tc>
          <w:tcPr>
            <w:tcW w:w="1418" w:type="dxa"/>
          </w:tcPr>
          <w:p w:rsidRPr="008E5EA0" w:rsidR="005B7B1B" w:rsidP="000B3DCE" w:rsidRDefault="005B7B1B" w14:paraId="7EB08F87" w14:textId="77777777">
            <w:pPr>
              <w:rPr>
                <w:i/>
              </w:rPr>
            </w:pPr>
            <w:r w:rsidRPr="008E5EA0">
              <w:rPr>
                <w:i/>
              </w:rPr>
              <w:t>Sähköposti</w:t>
            </w:r>
          </w:p>
        </w:tc>
        <w:tc>
          <w:tcPr>
            <w:tcW w:w="5670" w:type="dxa"/>
          </w:tcPr>
          <w:p w:rsidRPr="008E5EA0" w:rsidR="005B7B1B" w:rsidP="000B3DCE" w:rsidRDefault="00D94EF3" w14:paraId="567F379C" w14:textId="77777777">
            <w:pPr>
              <w:rPr>
                <w:i/>
              </w:rPr>
            </w:pPr>
            <w:hyperlink w:history="1" r:id="rId42">
              <w:r w:rsidRPr="008E5EA0" w:rsidR="005B7B1B">
                <w:rPr>
                  <w:rStyle w:val="Hyperlink"/>
                  <w:i/>
                </w:rPr>
                <w:t>Annalisa.Tessarolo@eesc.europa.eu</w:t>
              </w:r>
            </w:hyperlink>
          </w:p>
        </w:tc>
      </w:tr>
    </w:tbl>
    <w:p w:rsidR="005B7B1B" w:rsidP="000B3DCE" w:rsidRDefault="005B7B1B" w14:paraId="07F10633" w14:textId="51249C79">
      <w:pPr>
        <w:pStyle w:val="ListParagraph"/>
        <w:ind w:left="0"/>
      </w:pPr>
    </w:p>
    <w:p w:rsidR="005B7B1B" w:rsidP="000B3DCE" w:rsidRDefault="005B7B1B" w14:paraId="0493AFE4" w14:textId="77777777">
      <w:pPr>
        <w:spacing w:after="160"/>
        <w:jc w:val="left"/>
      </w:pPr>
      <w:r>
        <w:br w:type="page"/>
      </w:r>
    </w:p>
    <w:p w:rsidRPr="00B07F33" w:rsidR="005B7B1B" w:rsidP="000B3DCE" w:rsidRDefault="00D94EF3" w14:paraId="3D48CE5E" w14:textId="4251D2EB">
      <w:pPr>
        <w:widowControl w:val="0"/>
        <w:numPr>
          <w:ilvl w:val="0"/>
          <w:numId w:val="4"/>
        </w:numPr>
        <w:overflowPunct w:val="0"/>
        <w:autoSpaceDE w:val="0"/>
        <w:autoSpaceDN w:val="0"/>
        <w:adjustRightInd w:val="0"/>
        <w:ind w:left="284" w:hanging="284"/>
        <w:textAlignment w:val="baseline"/>
        <w:rPr>
          <w:rStyle w:val="Hyperlink"/>
          <w:b/>
        </w:rPr>
      </w:pPr>
      <w:hyperlink w:tgtFrame="_blank" w:history="1" r:id="rId43">
        <w:r w:rsidR="005B7B1B">
          <w:rPr>
            <w:rStyle w:val="Hyperlink"/>
            <w:b/>
            <w:i/>
            <w:sz w:val="28"/>
          </w:rPr>
          <w:t>EU:n teollisuuden tulevaisuus: haasteena kallis energia ja siirtymäkustannukset</w:t>
        </w:r>
      </w:hyperlink>
    </w:p>
    <w:p w:rsidRPr="005E4210" w:rsidR="005B7B1B" w:rsidP="000B3DCE" w:rsidRDefault="005B7B1B" w14:paraId="2D21D3B3" w14:textId="77777777">
      <w:pPr>
        <w:widowControl w:val="0"/>
        <w:ind w:left="284"/>
        <w:rPr>
          <w:b/>
        </w:rPr>
      </w:pPr>
    </w:p>
    <w:tbl>
      <w:tblPr>
        <w:tblStyle w:val="TableGrid"/>
        <w:tblW w:w="476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29"/>
        <w:gridCol w:w="7019"/>
      </w:tblGrid>
      <w:tr w:rsidRPr="00A6689B" w:rsidR="005B7B1B" w:rsidTr="00F70F48" w14:paraId="019816A7" w14:textId="77777777">
        <w:tc>
          <w:tcPr>
            <w:tcW w:w="942" w:type="pct"/>
          </w:tcPr>
          <w:p w:rsidRPr="00A6689B" w:rsidR="005B7B1B" w:rsidP="000B3DCE" w:rsidRDefault="005B7B1B" w14:paraId="05C354EB" w14:textId="77777777">
            <w:pPr>
              <w:tabs>
                <w:tab w:val="center" w:pos="284"/>
              </w:tabs>
              <w:ind w:left="266" w:hanging="266"/>
              <w:rPr>
                <w:b/>
              </w:rPr>
            </w:pPr>
            <w:r>
              <w:rPr>
                <w:b/>
              </w:rPr>
              <w:t>Esittelijä</w:t>
            </w:r>
          </w:p>
        </w:tc>
        <w:tc>
          <w:tcPr>
            <w:tcW w:w="4058" w:type="pct"/>
          </w:tcPr>
          <w:p w:rsidRPr="00A6689B" w:rsidR="005B7B1B" w:rsidP="000B3DCE" w:rsidRDefault="005B7B1B" w14:paraId="319D7B83" w14:textId="77777777">
            <w:pPr>
              <w:tabs>
                <w:tab w:val="center" w:pos="284"/>
              </w:tabs>
              <w:ind w:left="266" w:hanging="266"/>
            </w:pPr>
            <w:r>
              <w:t>Andrea MONE (työntekijät – IT)</w:t>
            </w:r>
          </w:p>
        </w:tc>
      </w:tr>
      <w:tr w:rsidRPr="00A6689B" w:rsidR="005B7B1B" w:rsidTr="00F70F48" w14:paraId="0315E01C" w14:textId="77777777">
        <w:tc>
          <w:tcPr>
            <w:tcW w:w="5000" w:type="pct"/>
            <w:gridSpan w:val="2"/>
          </w:tcPr>
          <w:p w:rsidRPr="00A6689B" w:rsidR="005B7B1B" w:rsidP="000B3DCE" w:rsidRDefault="005B7B1B" w14:paraId="42A9B1C6" w14:textId="77777777">
            <w:pPr>
              <w:tabs>
                <w:tab w:val="center" w:pos="284"/>
              </w:tabs>
              <w:ind w:left="266" w:hanging="266"/>
              <w:rPr>
                <w:lang w:val="en-US"/>
              </w:rPr>
            </w:pPr>
          </w:p>
        </w:tc>
      </w:tr>
      <w:tr w:rsidRPr="00A6689B" w:rsidR="005B7B1B" w:rsidTr="00F70F48" w14:paraId="19C865E4" w14:textId="77777777">
        <w:tc>
          <w:tcPr>
            <w:tcW w:w="942" w:type="pct"/>
            <w:vMerge w:val="restart"/>
          </w:tcPr>
          <w:p w:rsidRPr="00A6689B" w:rsidR="005B7B1B" w:rsidP="000B3DCE" w:rsidRDefault="005B7B1B" w14:paraId="794355AE" w14:textId="77777777">
            <w:pPr>
              <w:tabs>
                <w:tab w:val="center" w:pos="284"/>
              </w:tabs>
              <w:ind w:left="266" w:hanging="266"/>
              <w:rPr>
                <w:b/>
              </w:rPr>
            </w:pPr>
            <w:r>
              <w:rPr>
                <w:b/>
              </w:rPr>
              <w:t>Viiteasiakirjat</w:t>
            </w:r>
          </w:p>
        </w:tc>
        <w:tc>
          <w:tcPr>
            <w:tcW w:w="4058" w:type="pct"/>
          </w:tcPr>
          <w:p w:rsidRPr="00A6689B" w:rsidR="005B7B1B" w:rsidP="000B3DCE" w:rsidRDefault="005E6D41" w14:paraId="273AE74E" w14:textId="6A6BE6D1">
            <w:pPr>
              <w:tabs>
                <w:tab w:val="center" w:pos="284"/>
              </w:tabs>
              <w:ind w:left="266" w:hanging="266"/>
            </w:pPr>
            <w:r w:rsidRPr="005B7B1B">
              <w:rPr>
                <w:szCs w:val="20"/>
              </w:rPr>
              <w:t>puheenjohtajavaltio Puolan pyytämä valmisteleva lausunto</w:t>
            </w:r>
          </w:p>
        </w:tc>
      </w:tr>
      <w:tr w:rsidRPr="00A6689B" w:rsidR="005B7B1B" w:rsidTr="00F70F48" w14:paraId="01E9C41E" w14:textId="77777777">
        <w:tc>
          <w:tcPr>
            <w:tcW w:w="942" w:type="pct"/>
            <w:vMerge/>
          </w:tcPr>
          <w:p w:rsidRPr="00A6689B" w:rsidR="005B7B1B" w:rsidP="000B3DCE" w:rsidRDefault="005B7B1B" w14:paraId="37F9AB67" w14:textId="77777777">
            <w:pPr>
              <w:tabs>
                <w:tab w:val="center" w:pos="284"/>
              </w:tabs>
              <w:ind w:left="266" w:hanging="266"/>
              <w:rPr>
                <w:b/>
                <w:lang w:val="en-US"/>
              </w:rPr>
            </w:pPr>
          </w:p>
        </w:tc>
        <w:tc>
          <w:tcPr>
            <w:tcW w:w="4058" w:type="pct"/>
          </w:tcPr>
          <w:p w:rsidRPr="00A6689B" w:rsidR="005B7B1B" w:rsidP="000B3DCE" w:rsidRDefault="005B7B1B" w14:paraId="00316484" w14:textId="77777777">
            <w:pPr>
              <w:tabs>
                <w:tab w:val="center" w:pos="284"/>
              </w:tabs>
              <w:ind w:left="266" w:hanging="266"/>
            </w:pPr>
            <w:r>
              <w:t>EESC-2024-03583-00-00-AC</w:t>
            </w:r>
          </w:p>
        </w:tc>
      </w:tr>
    </w:tbl>
    <w:p w:rsidRPr="00A6689B" w:rsidR="005B7B1B" w:rsidP="000B3DCE" w:rsidRDefault="005B7B1B" w14:paraId="0015742B" w14:textId="77777777">
      <w:pPr>
        <w:tabs>
          <w:tab w:val="center" w:pos="284"/>
        </w:tabs>
        <w:ind w:left="266" w:hanging="266"/>
      </w:pPr>
    </w:p>
    <w:p w:rsidRPr="00A6689B" w:rsidR="005B7B1B" w:rsidP="000B3DCE" w:rsidRDefault="005B7B1B" w14:paraId="52163920" w14:textId="77777777">
      <w:pPr>
        <w:keepNext/>
        <w:keepLines/>
        <w:tabs>
          <w:tab w:val="center" w:pos="284"/>
        </w:tabs>
        <w:ind w:left="266" w:hanging="266"/>
        <w:rPr>
          <w:b/>
        </w:rPr>
      </w:pPr>
      <w:r>
        <w:rPr>
          <w:b/>
        </w:rPr>
        <w:t>Keskeiset kohdat</w:t>
      </w:r>
    </w:p>
    <w:p w:rsidRPr="00A6689B" w:rsidR="005B7B1B" w:rsidP="000B3DCE" w:rsidRDefault="005B7B1B" w14:paraId="399A5E53" w14:textId="77777777">
      <w:pPr>
        <w:keepNext/>
        <w:keepLines/>
        <w:tabs>
          <w:tab w:val="center" w:pos="284"/>
        </w:tabs>
        <w:ind w:left="266" w:hanging="266"/>
        <w:rPr>
          <w:b/>
        </w:rPr>
      </w:pPr>
    </w:p>
    <w:p w:rsidRPr="00A6689B" w:rsidR="005B7B1B" w:rsidP="000B3DCE" w:rsidRDefault="005B7B1B" w14:paraId="722158E9" w14:textId="77777777">
      <w:pPr>
        <w:rPr>
          <w:bCs/>
          <w:iCs/>
        </w:rPr>
      </w:pPr>
      <w:r>
        <w:t>ETSK</w:t>
      </w:r>
    </w:p>
    <w:p w:rsidRPr="001612E6" w:rsidR="005B7B1B" w:rsidP="000B3DCE" w:rsidRDefault="005B7B1B" w14:paraId="045CDCC8" w14:textId="77777777">
      <w:pPr>
        <w:numPr>
          <w:ilvl w:val="0"/>
          <w:numId w:val="34"/>
        </w:numPr>
        <w:tabs>
          <w:tab w:val="clear" w:pos="720"/>
        </w:tabs>
        <w:ind w:left="426"/>
      </w:pPr>
      <w:r>
        <w:t xml:space="preserve">vaatii kiireellisiä aloitteita sellaisen </w:t>
      </w:r>
      <w:r>
        <w:rPr>
          <w:b/>
        </w:rPr>
        <w:t>kokonaisvaltaisen EU:n teollisuusstrategian</w:t>
      </w:r>
      <w:r>
        <w:t xml:space="preserve"> toteuttamiseksi, jonka tavoitteena ovat </w:t>
      </w:r>
      <w:r>
        <w:rPr>
          <w:b/>
        </w:rPr>
        <w:t>kilpailukykyiset teollisuudenalat ja laadukkaat työpaikat</w:t>
      </w:r>
      <w:r>
        <w:t xml:space="preserve"> ja jolla täydennetään vihreän kehityksen ohjelman tavoitteita </w:t>
      </w:r>
      <w:r>
        <w:rPr>
          <w:b/>
        </w:rPr>
        <w:t>tiiviin</w:t>
      </w:r>
      <w:r>
        <w:t xml:space="preserve"> seurannan ja kohdennettujen mukautusten avulla.</w:t>
      </w:r>
    </w:p>
    <w:p w:rsidRPr="001612E6" w:rsidR="005B7B1B" w:rsidP="000B3DCE" w:rsidRDefault="005B7B1B" w14:paraId="798E9B20" w14:textId="77777777">
      <w:pPr>
        <w:numPr>
          <w:ilvl w:val="0"/>
          <w:numId w:val="34"/>
        </w:numPr>
        <w:tabs>
          <w:tab w:val="clear" w:pos="720"/>
        </w:tabs>
        <w:ind w:left="426"/>
      </w:pPr>
      <w:r>
        <w:t xml:space="preserve">vaatii </w:t>
      </w:r>
      <w:r>
        <w:rPr>
          <w:b/>
        </w:rPr>
        <w:t>taloudellisen ja sääntely-ympäristön</w:t>
      </w:r>
      <w:r>
        <w:t xml:space="preserve"> parantamista ja ratkaisujen löytämistä </w:t>
      </w:r>
      <w:r>
        <w:rPr>
          <w:b/>
        </w:rPr>
        <w:t>Euroopan rakenteellisiin kilpailukykyhaasteisiin</w:t>
      </w:r>
      <w:r>
        <w:t>, kuten energian ja raaka-aineiden korkeisiin hintoihin, vihreän siirtymän edellyttämiin ennakkoinvestointeihin ja säännösten noudattamisesta aiheutuviin kustannuksiin, infrastruktuurin riittämättömyyteen, edelleen ilmenevään osaamisvajeeseen, rahoituksen ja sisäisen kysynnän vähyyteen sekä sisämarkkinoiden keskeneräisyyteen.</w:t>
      </w:r>
    </w:p>
    <w:p w:rsidRPr="001612E6" w:rsidR="005B7B1B" w:rsidP="000B3DCE" w:rsidRDefault="005B7B1B" w14:paraId="6EE21CD9" w14:textId="77777777">
      <w:pPr>
        <w:numPr>
          <w:ilvl w:val="0"/>
          <w:numId w:val="34"/>
        </w:numPr>
        <w:tabs>
          <w:tab w:val="clear" w:pos="720"/>
        </w:tabs>
        <w:ind w:left="426"/>
      </w:pPr>
      <w:r>
        <w:t xml:space="preserve">peräänkuuluttaa </w:t>
      </w:r>
      <w:r>
        <w:rPr>
          <w:b/>
        </w:rPr>
        <w:t>kilpailukykypolitiikkaa</w:t>
      </w:r>
      <w:r>
        <w:t xml:space="preserve">, jossa panostetaan </w:t>
      </w:r>
      <w:r>
        <w:rPr>
          <w:b/>
        </w:rPr>
        <w:t>investointeihin ja innovointeihin</w:t>
      </w:r>
      <w:r>
        <w:t xml:space="preserve"> ja jolla tavoitellaan </w:t>
      </w:r>
      <w:r>
        <w:rPr>
          <w:b/>
        </w:rPr>
        <w:t>sosiaalista ja alueellista yhteenkuuluvuutta</w:t>
      </w:r>
      <w:r>
        <w:t xml:space="preserve"> ja varmistetaan, että rakennemuutoksia tehdään oikeudenmukaisesti ja tasapuolisesti </w:t>
      </w:r>
      <w:r>
        <w:rPr>
          <w:b/>
        </w:rPr>
        <w:t>työmarkkinaosapuolten vuoropuhelun ja työehtosopimusneuvottelujen</w:t>
      </w:r>
      <w:r>
        <w:t xml:space="preserve"> pohjalta.</w:t>
      </w:r>
    </w:p>
    <w:p w:rsidRPr="001612E6" w:rsidR="005B7B1B" w:rsidP="000B3DCE" w:rsidRDefault="005B7B1B" w14:paraId="7379A558" w14:textId="77777777">
      <w:pPr>
        <w:numPr>
          <w:ilvl w:val="0"/>
          <w:numId w:val="34"/>
        </w:numPr>
        <w:tabs>
          <w:tab w:val="clear" w:pos="720"/>
        </w:tabs>
        <w:ind w:left="426"/>
      </w:pPr>
      <w:r>
        <w:t xml:space="preserve">kehottaa laatimaan </w:t>
      </w:r>
      <w:r>
        <w:rPr>
          <w:b/>
        </w:rPr>
        <w:t>kaikille toimialoille soveltuvan teollisuusstrategian</w:t>
      </w:r>
      <w:r>
        <w:t xml:space="preserve">, joka auttaa tekemään </w:t>
      </w:r>
      <w:r>
        <w:rPr>
          <w:b/>
        </w:rPr>
        <w:t>politiikasta johdonmukaisempaa</w:t>
      </w:r>
      <w:r>
        <w:t xml:space="preserve">, </w:t>
      </w:r>
      <w:r>
        <w:rPr>
          <w:b/>
        </w:rPr>
        <w:t>optimoimaan resurssien käytön</w:t>
      </w:r>
      <w:r>
        <w:t>, edistämään</w:t>
      </w:r>
      <w:r>
        <w:rPr>
          <w:b/>
        </w:rPr>
        <w:t xml:space="preserve"> eurooppalaisen investointirahaston perustamista</w:t>
      </w:r>
      <w:r>
        <w:t xml:space="preserve"> ensisijaisia kohdealoja varten ja ottamaan huomioon tärkeiden alojen, kuten </w:t>
      </w:r>
      <w:r>
        <w:rPr>
          <w:b/>
        </w:rPr>
        <w:t xml:space="preserve">energian, tutkimuksen ja innovoinnin, </w:t>
      </w:r>
      <w:proofErr w:type="spellStart"/>
      <w:r>
        <w:rPr>
          <w:b/>
        </w:rPr>
        <w:t>rajatylittävän</w:t>
      </w:r>
      <w:proofErr w:type="spellEnd"/>
      <w:r>
        <w:rPr>
          <w:b/>
        </w:rPr>
        <w:t xml:space="preserve"> ulottuvuuden</w:t>
      </w:r>
      <w:r>
        <w:t>.</w:t>
      </w:r>
    </w:p>
    <w:p w:rsidRPr="001612E6" w:rsidR="005B7B1B" w:rsidP="000B3DCE" w:rsidRDefault="005B7B1B" w14:paraId="1CC90C32" w14:textId="77777777">
      <w:pPr>
        <w:numPr>
          <w:ilvl w:val="0"/>
          <w:numId w:val="34"/>
        </w:numPr>
        <w:tabs>
          <w:tab w:val="clear" w:pos="720"/>
        </w:tabs>
        <w:ind w:left="426"/>
      </w:pPr>
      <w:r>
        <w:rPr>
          <w:b/>
        </w:rPr>
        <w:t>pitää tarpeellisena häiriönsietokykyistä EU:n kauppapolitiikkaa</w:t>
      </w:r>
      <w:r>
        <w:t xml:space="preserve">, jolla pienennetään </w:t>
      </w:r>
      <w:r>
        <w:rPr>
          <w:b/>
        </w:rPr>
        <w:t>epäsymmetristen vähähiilisyystoimien, maailmanlaajuisen ylikapasiteetin ja kaupan jännitteiden kiristymisen</w:t>
      </w:r>
      <w:r>
        <w:t xml:space="preserve"> riskejä ja </w:t>
      </w:r>
      <w:r>
        <w:rPr>
          <w:b/>
        </w:rPr>
        <w:t>parannetaan</w:t>
      </w:r>
      <w:r>
        <w:t xml:space="preserve"> samaan aikaan </w:t>
      </w:r>
      <w:r>
        <w:rPr>
          <w:b/>
        </w:rPr>
        <w:t>omavaraisuutta kriittisten raaka-aineiden suhteen</w:t>
      </w:r>
      <w:r>
        <w:t xml:space="preserve"> Euroopan teollisuuden tulevaisuuden turvaamiseksi.</w:t>
      </w:r>
    </w:p>
    <w:p w:rsidR="005B7B1B" w:rsidP="000B3DCE" w:rsidRDefault="005B7B1B" w14:paraId="67E58AF1" w14:textId="77777777">
      <w:pPr>
        <w:widowControl w:val="0"/>
        <w:ind w:left="709"/>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02"/>
        <w:gridCol w:w="4978"/>
      </w:tblGrid>
      <w:tr w:rsidRPr="00A6689B" w:rsidR="005B7B1B" w:rsidTr="005B7B1B" w14:paraId="4A418717" w14:textId="77777777">
        <w:tc>
          <w:tcPr>
            <w:tcW w:w="1099" w:type="pct"/>
          </w:tcPr>
          <w:p w:rsidRPr="00A6689B" w:rsidR="005B7B1B" w:rsidP="000B3DCE" w:rsidRDefault="005B7B1B" w14:paraId="2BC1D895" w14:textId="77777777">
            <w:pPr>
              <w:rPr>
                <w:i/>
              </w:rPr>
            </w:pPr>
            <w:r>
              <w:rPr>
                <w:b/>
                <w:i/>
              </w:rPr>
              <w:t>Yhteydenotot</w:t>
            </w:r>
          </w:p>
        </w:tc>
        <w:tc>
          <w:tcPr>
            <w:tcW w:w="3901" w:type="pct"/>
          </w:tcPr>
          <w:p w:rsidRPr="00A6689B" w:rsidR="005B7B1B" w:rsidP="000B3DCE" w:rsidRDefault="005B7B1B" w14:paraId="469E842D" w14:textId="1F77C887">
            <w:pPr>
              <w:rPr>
                <w:i/>
              </w:rPr>
            </w:pPr>
            <w:r>
              <w:rPr>
                <w:i/>
              </w:rPr>
              <w:t xml:space="preserve">Silvia </w:t>
            </w:r>
            <w:r w:rsidR="00B91D91">
              <w:rPr>
                <w:i/>
              </w:rPr>
              <w:t>STAFFA</w:t>
            </w:r>
          </w:p>
        </w:tc>
      </w:tr>
      <w:tr w:rsidRPr="00A6689B" w:rsidR="005B7B1B" w:rsidTr="005B7B1B" w14:paraId="6A452ABF" w14:textId="77777777">
        <w:tc>
          <w:tcPr>
            <w:tcW w:w="1099" w:type="pct"/>
          </w:tcPr>
          <w:p w:rsidRPr="00A6689B" w:rsidR="005B7B1B" w:rsidP="000B3DCE" w:rsidRDefault="005B7B1B" w14:paraId="4EE867E7" w14:textId="77777777">
            <w:pPr>
              <w:rPr>
                <w:i/>
              </w:rPr>
            </w:pPr>
            <w:r>
              <w:rPr>
                <w:i/>
              </w:rPr>
              <w:t>P.</w:t>
            </w:r>
          </w:p>
        </w:tc>
        <w:tc>
          <w:tcPr>
            <w:tcW w:w="3901" w:type="pct"/>
          </w:tcPr>
          <w:p w:rsidRPr="00A6689B" w:rsidR="005B7B1B" w:rsidP="000B3DCE" w:rsidRDefault="005B7B1B" w14:paraId="44E6EDFF" w14:textId="77777777">
            <w:pPr>
              <w:rPr>
                <w:i/>
              </w:rPr>
            </w:pPr>
            <w:r>
              <w:rPr>
                <w:i/>
              </w:rPr>
              <w:t>+32 25468378</w:t>
            </w:r>
          </w:p>
        </w:tc>
      </w:tr>
      <w:tr w:rsidRPr="00A6689B" w:rsidR="005B7B1B" w:rsidTr="005B7B1B" w14:paraId="118DAE95" w14:textId="77777777">
        <w:tc>
          <w:tcPr>
            <w:tcW w:w="1099" w:type="pct"/>
          </w:tcPr>
          <w:p w:rsidRPr="00A6689B" w:rsidR="005B7B1B" w:rsidP="000B3DCE" w:rsidRDefault="005B7B1B" w14:paraId="7A85DCCA" w14:textId="77777777">
            <w:pPr>
              <w:rPr>
                <w:i/>
              </w:rPr>
            </w:pPr>
            <w:r>
              <w:rPr>
                <w:i/>
              </w:rPr>
              <w:t>Sähköposti</w:t>
            </w:r>
          </w:p>
        </w:tc>
        <w:tc>
          <w:tcPr>
            <w:tcW w:w="3901" w:type="pct"/>
          </w:tcPr>
          <w:p w:rsidRPr="00A6689B" w:rsidR="005B7B1B" w:rsidP="000B3DCE" w:rsidRDefault="00D94EF3" w14:paraId="7C7437CD" w14:textId="77777777">
            <w:pPr>
              <w:rPr>
                <w:i/>
              </w:rPr>
            </w:pPr>
            <w:hyperlink w:history="1" r:id="rId44">
              <w:r w:rsidR="005B7B1B">
                <w:rPr>
                  <w:rStyle w:val="Hyperlink"/>
                  <w:i/>
                </w:rPr>
                <w:t>Silvia.Staffa@eesc.europa.eu</w:t>
              </w:r>
            </w:hyperlink>
          </w:p>
        </w:tc>
      </w:tr>
    </w:tbl>
    <w:p w:rsidR="005B7B1B" w:rsidP="000B3DCE" w:rsidRDefault="005B7B1B" w14:paraId="2CB2599D" w14:textId="549BBDB4">
      <w:pPr>
        <w:pStyle w:val="ListParagraph"/>
        <w:ind w:left="0"/>
      </w:pPr>
    </w:p>
    <w:p w:rsidR="005B7B1B" w:rsidP="000B3DCE" w:rsidRDefault="005B7B1B" w14:paraId="75C979D4" w14:textId="77777777">
      <w:pPr>
        <w:spacing w:after="160"/>
        <w:jc w:val="left"/>
      </w:pPr>
      <w:r>
        <w:br w:type="page"/>
      </w:r>
    </w:p>
    <w:p w:rsidRPr="0003586F" w:rsidR="005B7B1B" w:rsidP="000B3DCE" w:rsidRDefault="00D94EF3" w14:paraId="246678FF" w14:textId="2E0204D8">
      <w:pPr>
        <w:widowControl w:val="0"/>
        <w:numPr>
          <w:ilvl w:val="0"/>
          <w:numId w:val="4"/>
        </w:numPr>
        <w:overflowPunct w:val="0"/>
        <w:autoSpaceDE w:val="0"/>
        <w:autoSpaceDN w:val="0"/>
        <w:adjustRightInd w:val="0"/>
        <w:ind w:hanging="567"/>
        <w:textAlignment w:val="baseline"/>
        <w:rPr>
          <w:sz w:val="20"/>
        </w:rPr>
      </w:pPr>
      <w:hyperlink w:history="1" r:id="rId45">
        <w:r w:rsidR="005B7B1B">
          <w:rPr>
            <w:rStyle w:val="Hyperlink"/>
            <w:b/>
            <w:i/>
            <w:sz w:val="28"/>
          </w:rPr>
          <w:t>Matkailu ja kestävä kehitys</w:t>
        </w:r>
      </w:hyperlink>
    </w:p>
    <w:p w:rsidRPr="00A6689B" w:rsidR="005B7B1B" w:rsidP="000B3DCE" w:rsidRDefault="005B7B1B" w14:paraId="0A3CA003" w14:textId="77777777">
      <w:pPr>
        <w:tabs>
          <w:tab w:val="center" w:pos="284"/>
        </w:tabs>
        <w:ind w:left="266" w:hanging="266"/>
        <w:rPr>
          <w:b/>
        </w:rPr>
      </w:pPr>
    </w:p>
    <w:tbl>
      <w:tblPr>
        <w:tblStyle w:val="TableGrid"/>
        <w:tblW w:w="398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6"/>
        <w:gridCol w:w="5245"/>
      </w:tblGrid>
      <w:tr w:rsidRPr="00A6689B" w:rsidR="005B7B1B" w:rsidTr="00F70F48" w14:paraId="32E3DF9B" w14:textId="77777777">
        <w:trPr>
          <w:trHeight w:val="406"/>
        </w:trPr>
        <w:tc>
          <w:tcPr>
            <w:tcW w:w="1373" w:type="pct"/>
          </w:tcPr>
          <w:p w:rsidR="005B7B1B" w:rsidP="000B3DCE" w:rsidRDefault="005B7B1B" w14:paraId="52D3509B" w14:textId="77777777">
            <w:pPr>
              <w:tabs>
                <w:tab w:val="center" w:pos="284"/>
              </w:tabs>
              <w:ind w:left="266" w:hanging="266"/>
              <w:rPr>
                <w:b/>
              </w:rPr>
            </w:pPr>
            <w:r>
              <w:rPr>
                <w:b/>
                <w:bCs/>
              </w:rPr>
              <w:t>Esittelijä</w:t>
            </w:r>
          </w:p>
          <w:p w:rsidRPr="00A6689B" w:rsidR="005B7B1B" w:rsidP="000B3DCE" w:rsidRDefault="005B7B1B" w14:paraId="0FC82905" w14:textId="77777777">
            <w:pPr>
              <w:tabs>
                <w:tab w:val="center" w:pos="284"/>
              </w:tabs>
              <w:ind w:left="266" w:hanging="266"/>
              <w:rPr>
                <w:b/>
                <w:lang w:val="en-US"/>
              </w:rPr>
            </w:pPr>
          </w:p>
        </w:tc>
        <w:tc>
          <w:tcPr>
            <w:tcW w:w="3627" w:type="pct"/>
          </w:tcPr>
          <w:p w:rsidRPr="009E78F1" w:rsidR="005B7B1B" w:rsidP="000B3DCE" w:rsidRDefault="005B7B1B" w14:paraId="0CDA6F13" w14:textId="77777777">
            <w:pPr>
              <w:tabs>
                <w:tab w:val="center" w:pos="0"/>
              </w:tabs>
              <w:ind w:left="266" w:hanging="266"/>
            </w:pPr>
            <w:proofErr w:type="spellStart"/>
            <w:r>
              <w:t>Isabel</w:t>
            </w:r>
            <w:proofErr w:type="spellEnd"/>
            <w:r>
              <w:t xml:space="preserve"> YGLESIAS (työnantajat – ES)</w:t>
            </w:r>
          </w:p>
        </w:tc>
      </w:tr>
      <w:tr w:rsidRPr="00CB5569" w:rsidR="005B7B1B" w:rsidTr="00F70F48" w14:paraId="23C03A00" w14:textId="77777777">
        <w:tc>
          <w:tcPr>
            <w:tcW w:w="1373" w:type="pct"/>
          </w:tcPr>
          <w:p w:rsidRPr="00CB5569" w:rsidR="005B7B1B" w:rsidP="000B3DCE" w:rsidRDefault="005B7B1B" w14:paraId="6B05FD85" w14:textId="77777777">
            <w:pPr>
              <w:tabs>
                <w:tab w:val="center" w:pos="284"/>
              </w:tabs>
              <w:ind w:left="266" w:hanging="266"/>
              <w:rPr>
                <w:b/>
              </w:rPr>
            </w:pPr>
            <w:r>
              <w:rPr>
                <w:b/>
              </w:rPr>
              <w:t>Viiteasiakirja</w:t>
            </w:r>
          </w:p>
        </w:tc>
        <w:tc>
          <w:tcPr>
            <w:tcW w:w="3627" w:type="pct"/>
          </w:tcPr>
          <w:p w:rsidRPr="00CB5569" w:rsidR="005B7B1B" w:rsidP="000B3DCE" w:rsidRDefault="005B7B1B" w14:paraId="5FDBCAB4" w14:textId="77777777">
            <w:pPr>
              <w:tabs>
                <w:tab w:val="center" w:pos="284"/>
              </w:tabs>
              <w:ind w:left="266" w:hanging="266"/>
            </w:pPr>
            <w:r>
              <w:t>oma-aloitteinen lausunto</w:t>
            </w:r>
          </w:p>
          <w:p w:rsidRPr="00CB5569" w:rsidR="005B7B1B" w:rsidP="000B3DCE" w:rsidRDefault="005B7B1B" w14:paraId="0DFC511B" w14:textId="77777777">
            <w:pPr>
              <w:tabs>
                <w:tab w:val="center" w:pos="284"/>
              </w:tabs>
              <w:ind w:left="266" w:hanging="266"/>
            </w:pPr>
            <w:r>
              <w:t>EESC-2024-00656-00-00-AC</w:t>
            </w:r>
          </w:p>
        </w:tc>
      </w:tr>
    </w:tbl>
    <w:p w:rsidR="005B7B1B" w:rsidP="000B3DCE" w:rsidRDefault="005B7B1B" w14:paraId="207DC687" w14:textId="77777777">
      <w:pPr>
        <w:tabs>
          <w:tab w:val="center" w:pos="284"/>
        </w:tabs>
        <w:ind w:left="266" w:hanging="266"/>
        <w:rPr>
          <w:b/>
        </w:rPr>
      </w:pPr>
    </w:p>
    <w:p w:rsidRPr="00CB5569" w:rsidR="005B7B1B" w:rsidP="000B3DCE" w:rsidRDefault="005B7B1B" w14:paraId="1435E92F" w14:textId="77777777">
      <w:pPr>
        <w:tabs>
          <w:tab w:val="center" w:pos="284"/>
        </w:tabs>
        <w:ind w:left="266" w:hanging="266"/>
        <w:rPr>
          <w:b/>
        </w:rPr>
      </w:pPr>
      <w:r>
        <w:rPr>
          <w:b/>
        </w:rPr>
        <w:t>Keskeiset kohdat</w:t>
      </w:r>
    </w:p>
    <w:p w:rsidRPr="00CB5569" w:rsidR="005B7B1B" w:rsidP="000B3DCE" w:rsidRDefault="005B7B1B" w14:paraId="733F7621" w14:textId="77777777">
      <w:pPr>
        <w:tabs>
          <w:tab w:val="center" w:pos="284"/>
        </w:tabs>
        <w:ind w:left="266" w:hanging="266"/>
        <w:rPr>
          <w:bCs/>
        </w:rPr>
      </w:pPr>
    </w:p>
    <w:p w:rsidRPr="00CB5569" w:rsidR="005B7B1B" w:rsidP="000B3DCE" w:rsidRDefault="005B7B1B" w14:paraId="64A3C9D2" w14:textId="77777777">
      <w:pPr>
        <w:rPr>
          <w:bCs/>
          <w:iCs/>
        </w:rPr>
      </w:pPr>
      <w:r>
        <w:t>ETSK</w:t>
      </w:r>
    </w:p>
    <w:p w:rsidRPr="00501AB6" w:rsidR="005B7B1B" w:rsidP="000B3DCE" w:rsidRDefault="005B7B1B" w14:paraId="775AC761" w14:textId="77777777">
      <w:pPr>
        <w:pStyle w:val="ListParagraph"/>
        <w:numPr>
          <w:ilvl w:val="0"/>
          <w:numId w:val="35"/>
        </w:numPr>
        <w:spacing w:after="200"/>
        <w:ind w:left="426"/>
        <w:rPr>
          <w:bCs/>
          <w:iCs/>
        </w:rPr>
      </w:pPr>
      <w:r>
        <w:t xml:space="preserve">katsoo, että </w:t>
      </w:r>
      <w:r>
        <w:rPr>
          <w:b/>
        </w:rPr>
        <w:t>siirtymistä kestävään matkailuun</w:t>
      </w:r>
      <w:r>
        <w:t xml:space="preserve"> on vauhditettava ja on ryhdyttävä soveltamaan </w:t>
      </w:r>
      <w:r>
        <w:rPr>
          <w:b/>
        </w:rPr>
        <w:t>uudistavaa matkailua edistäviä strategioita</w:t>
      </w:r>
      <w:r>
        <w:t>, jotta matkailuun erikoistuneet alueet voisivat auttaa kaikin tavoin parantamaan EU:n kilpailukykyä matkailun keinoin. Uudistavassa matkailussa mennään kestävää matkailua pidemmälle: uudistavan matkailun käytännöillä ennallistetaan ja vahvistetaan luonnonpääomaa sekä sosiaalista ja taloudellista pääomaa ja luodaan pysyviä myönteisiä vaikutuksia matkakohteisiin ja niiden asuinyhteisöihin.</w:t>
      </w:r>
    </w:p>
    <w:p w:rsidR="005B7B1B" w:rsidP="000B3DCE" w:rsidRDefault="005B7B1B" w14:paraId="709FC740" w14:textId="77777777">
      <w:pPr>
        <w:pStyle w:val="ListParagraph"/>
        <w:numPr>
          <w:ilvl w:val="0"/>
          <w:numId w:val="35"/>
        </w:numPr>
        <w:spacing w:after="200"/>
        <w:ind w:left="426"/>
        <w:rPr>
          <w:bCs/>
          <w:iCs/>
        </w:rPr>
      </w:pPr>
      <w:r>
        <w:t xml:space="preserve">toteaa, että </w:t>
      </w:r>
      <w:r>
        <w:rPr>
          <w:b/>
        </w:rPr>
        <w:t>EU:n uudella lainsäädäntökaudella on edistettävä matkailupolitiikkaa, johon on sisällytetty aktiivisen uudistamisen tavoitteet</w:t>
      </w:r>
      <w:r>
        <w:t xml:space="preserve"> ja jossa yhdistyvät kaikki matkailukohteiden eri osa-alueet: ekosysteemit, yhteisöt, paikallistalous ja vierailijat.</w:t>
      </w:r>
    </w:p>
    <w:p w:rsidR="005B7B1B" w:rsidP="000B3DCE" w:rsidRDefault="005B7B1B" w14:paraId="3CABDB8F" w14:textId="77777777">
      <w:pPr>
        <w:pStyle w:val="ListParagraph"/>
        <w:numPr>
          <w:ilvl w:val="0"/>
          <w:numId w:val="35"/>
        </w:numPr>
        <w:spacing w:after="200"/>
        <w:ind w:left="426"/>
        <w:rPr>
          <w:bCs/>
          <w:iCs/>
        </w:rPr>
      </w:pPr>
      <w:r>
        <w:t xml:space="preserve">ehdottaa, että kestävän matkailun strategian puitteissa laaditaan </w:t>
      </w:r>
      <w:r>
        <w:rPr>
          <w:b/>
        </w:rPr>
        <w:t>selkeät suuntaviivat ja konkreettisia toimenpiteitä, jotka auttavat vauhdittamaan siirtymistä</w:t>
      </w:r>
      <w:r>
        <w:t xml:space="preserve"> aktiivista uudistamista ja sosiaalista arvoa painottavaan matkailuun. Strategiaan olisi liitettävä asianmukaisia </w:t>
      </w:r>
      <w:r>
        <w:rPr>
          <w:b/>
        </w:rPr>
        <w:t>rahoitus- ja tutkimusohjelmia</w:t>
      </w:r>
      <w:r>
        <w:t xml:space="preserve"> sekä </w:t>
      </w:r>
      <w:r>
        <w:rPr>
          <w:b/>
        </w:rPr>
        <w:t>sosiaali- ja koulutuspoliittisia toimenpiteitä</w:t>
      </w:r>
      <w:r>
        <w:t xml:space="preserve"> tehokkaan täytäntöönpanon varmistamiseksi.</w:t>
      </w:r>
    </w:p>
    <w:p w:rsidRPr="00CB5569" w:rsidR="005B7B1B" w:rsidP="000B3DCE" w:rsidRDefault="005B7B1B" w14:paraId="2812D9CA" w14:textId="77777777">
      <w:pPr>
        <w:pStyle w:val="ListParagraph"/>
        <w:numPr>
          <w:ilvl w:val="0"/>
          <w:numId w:val="35"/>
        </w:numPr>
        <w:spacing w:after="200"/>
        <w:ind w:left="426"/>
        <w:rPr>
          <w:bCs/>
          <w:iCs/>
        </w:rPr>
      </w:pPr>
      <w:r>
        <w:t xml:space="preserve">painottaa, että </w:t>
      </w:r>
      <w:r>
        <w:rPr>
          <w:b/>
        </w:rPr>
        <w:t>työntekijöille tarjottava kestävää kehitystä ja kiertotaloutta käsittelevä koulutus ja muu valmiuksien kehittäminen</w:t>
      </w:r>
      <w:r>
        <w:t xml:space="preserve"> on keskeisen tärkeää työpaikkojen laadun parantamiseksi sekä osaajien houkuttelemiseksi ja palveluksessa pitämiseksi, niin että siirtyminen uudistavaan matkailuun on mahdollista ja voi onnistua. Tavoitteiden saavuttamiseksi on huolehdittava siitä, että kuluttajat ovat vahvemmin ja sitoutuneemmin mukana. Jotta kuluttajien osallistuminen olisi laajempaa ja tuloksellisempaa, on tarjottava taloudellisia kannustimia ja helposti käytettävissä olevia malleja sekä toteutettava strategioita sesonkiluonteisuudesta irti pääsemiseksi.</w:t>
      </w:r>
    </w:p>
    <w:p w:rsidRPr="00AC774F" w:rsidR="005B7B1B" w:rsidP="000B3DCE" w:rsidRDefault="005B7B1B" w14:paraId="7639CFE1" w14:textId="77777777">
      <w:pPr>
        <w:pStyle w:val="ListParagraph"/>
        <w:ind w:left="567"/>
        <w:rPr>
          <w:bCs/>
          <w:iCs/>
        </w:rPr>
      </w:pPr>
    </w:p>
    <w:tbl>
      <w:tblPr>
        <w:tblStyle w:val="TableGrid"/>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A6689B" w:rsidR="005B7B1B" w:rsidTr="00F70F48" w14:paraId="2385763F" w14:textId="77777777">
        <w:tc>
          <w:tcPr>
            <w:tcW w:w="1556" w:type="pct"/>
          </w:tcPr>
          <w:p w:rsidRPr="00A6689B" w:rsidR="005B7B1B" w:rsidP="000B3DCE" w:rsidRDefault="005B7B1B" w14:paraId="22E8DF1B" w14:textId="77777777">
            <w:pPr>
              <w:rPr>
                <w:i/>
              </w:rPr>
            </w:pPr>
            <w:r>
              <w:rPr>
                <w:b/>
                <w:i/>
              </w:rPr>
              <w:t>Yhteydenotot</w:t>
            </w:r>
          </w:p>
        </w:tc>
        <w:tc>
          <w:tcPr>
            <w:tcW w:w="3444" w:type="pct"/>
          </w:tcPr>
          <w:p w:rsidRPr="00A6689B" w:rsidR="005B7B1B" w:rsidP="000B3DCE" w:rsidRDefault="005B7B1B" w14:paraId="5AC3C5BB" w14:textId="77777777">
            <w:pPr>
              <w:rPr>
                <w:i/>
              </w:rPr>
            </w:pPr>
            <w:r>
              <w:rPr>
                <w:i/>
              </w:rPr>
              <w:t>Silvia STAFFA</w:t>
            </w:r>
          </w:p>
        </w:tc>
      </w:tr>
      <w:tr w:rsidRPr="00A6689B" w:rsidR="005B7B1B" w:rsidTr="00F70F48" w14:paraId="73D7FE44" w14:textId="77777777">
        <w:tc>
          <w:tcPr>
            <w:tcW w:w="1556" w:type="pct"/>
          </w:tcPr>
          <w:p w:rsidRPr="00A6689B" w:rsidR="005B7B1B" w:rsidP="000B3DCE" w:rsidRDefault="005B7B1B" w14:paraId="52160429" w14:textId="77777777">
            <w:pPr>
              <w:rPr>
                <w:i/>
              </w:rPr>
            </w:pPr>
            <w:r>
              <w:rPr>
                <w:i/>
              </w:rPr>
              <w:t>P.</w:t>
            </w:r>
          </w:p>
        </w:tc>
        <w:tc>
          <w:tcPr>
            <w:tcW w:w="3444" w:type="pct"/>
          </w:tcPr>
          <w:p w:rsidRPr="00A6689B" w:rsidR="005B7B1B" w:rsidP="000B3DCE" w:rsidRDefault="005B7B1B" w14:paraId="31AA785B" w14:textId="77777777">
            <w:pPr>
              <w:rPr>
                <w:i/>
              </w:rPr>
            </w:pPr>
            <w:r>
              <w:rPr>
                <w:i/>
              </w:rPr>
              <w:t>+ 32 25468378</w:t>
            </w:r>
          </w:p>
        </w:tc>
      </w:tr>
      <w:tr w:rsidRPr="00A6689B" w:rsidR="005B7B1B" w:rsidTr="00F70F48" w14:paraId="0744B6DC" w14:textId="77777777">
        <w:tc>
          <w:tcPr>
            <w:tcW w:w="1556" w:type="pct"/>
          </w:tcPr>
          <w:p w:rsidRPr="00A6689B" w:rsidR="005B7B1B" w:rsidP="000B3DCE" w:rsidRDefault="005B7B1B" w14:paraId="40427449" w14:textId="77777777">
            <w:pPr>
              <w:rPr>
                <w:i/>
              </w:rPr>
            </w:pPr>
            <w:r>
              <w:rPr>
                <w:i/>
              </w:rPr>
              <w:t>Sähköposti</w:t>
            </w:r>
          </w:p>
        </w:tc>
        <w:tc>
          <w:tcPr>
            <w:tcW w:w="3444" w:type="pct"/>
          </w:tcPr>
          <w:p w:rsidRPr="00CB5569" w:rsidR="005B7B1B" w:rsidP="000B3DCE" w:rsidRDefault="00D94EF3" w14:paraId="5073D87B" w14:textId="77777777">
            <w:pPr>
              <w:rPr>
                <w:i/>
                <w:iCs/>
                <w:sz w:val="20"/>
              </w:rPr>
            </w:pPr>
            <w:hyperlink w:history="1" r:id="rId46">
              <w:r w:rsidR="005B7B1B">
                <w:rPr>
                  <w:rStyle w:val="Hyperlink"/>
                  <w:i/>
                  <w:sz w:val="20"/>
                </w:rPr>
                <w:t>S</w:t>
              </w:r>
              <w:r w:rsidR="005B7B1B">
                <w:rPr>
                  <w:rStyle w:val="Hyperlink"/>
                  <w:i/>
                </w:rPr>
                <w:t>ilvi</w:t>
              </w:r>
              <w:r w:rsidR="005B7B1B">
                <w:rPr>
                  <w:rStyle w:val="Hyperlink"/>
                  <w:i/>
                  <w:sz w:val="20"/>
                </w:rPr>
                <w:t>a.Staffa@eesc.europa.eu</w:t>
              </w:r>
            </w:hyperlink>
            <w:r w:rsidR="005B7B1B">
              <w:rPr>
                <w:i/>
                <w:sz w:val="20"/>
              </w:rPr>
              <w:t xml:space="preserve"> </w:t>
            </w:r>
          </w:p>
        </w:tc>
      </w:tr>
    </w:tbl>
    <w:p w:rsidR="004D7AC0" w:rsidP="000B3DCE" w:rsidRDefault="004D7AC0" w14:paraId="70505362" w14:textId="77777777">
      <w:pPr>
        <w:pStyle w:val="ListParagraph"/>
        <w:ind w:left="0"/>
      </w:pPr>
    </w:p>
    <w:p w:rsidR="004D7AC0" w:rsidP="000B3DCE" w:rsidRDefault="004D7AC0" w14:paraId="4982DE1E" w14:textId="77777777">
      <w:pPr>
        <w:spacing w:after="160"/>
        <w:jc w:val="left"/>
      </w:pPr>
      <w:r>
        <w:br w:type="page"/>
      </w:r>
    </w:p>
    <w:p w:rsidR="004D7AC0" w:rsidP="000B3DCE" w:rsidRDefault="004D7AC0" w14:paraId="4982DE1F" w14:textId="77777777">
      <w:pPr>
        <w:pStyle w:val="Heading1"/>
        <w:rPr>
          <w:b/>
        </w:rPr>
      </w:pPr>
      <w:bookmarkStart w:name="_Toc70322234" w:id="8"/>
      <w:bookmarkStart w:name="_Toc75527084" w:id="9"/>
      <w:bookmarkStart w:name="_Toc192065769" w:id="10"/>
      <w:r>
        <w:rPr>
          <w:b/>
        </w:rPr>
        <w:lastRenderedPageBreak/>
        <w:t>MAATALOUS, MAASEUDUN KEHITTÄMINEN JA YMPÄRISTÖ</w:t>
      </w:r>
      <w:bookmarkEnd w:id="8"/>
      <w:bookmarkEnd w:id="9"/>
      <w:bookmarkEnd w:id="10"/>
    </w:p>
    <w:p w:rsidR="004D7AC0" w:rsidP="000B3DCE" w:rsidRDefault="004D7AC0" w14:paraId="4982DE20" w14:textId="77777777"/>
    <w:p w:rsidRPr="005E6D41" w:rsidR="005B7B1B" w:rsidP="000B3DCE" w:rsidRDefault="005B7B1B" w14:paraId="247B8D03" w14:textId="10207749">
      <w:pPr>
        <w:pStyle w:val="ListParagraph"/>
        <w:widowControl w:val="0"/>
        <w:numPr>
          <w:ilvl w:val="0"/>
          <w:numId w:val="7"/>
        </w:numPr>
        <w:overflowPunct w:val="0"/>
        <w:autoSpaceDE w:val="0"/>
        <w:autoSpaceDN w:val="0"/>
        <w:adjustRightInd w:val="0"/>
        <w:ind w:left="426"/>
        <w:textAlignment w:val="baseline"/>
        <w:rPr>
          <w:sz w:val="20"/>
          <w:szCs w:val="20"/>
        </w:rPr>
      </w:pPr>
      <w:r w:rsidRPr="005B7B1B">
        <w:rPr>
          <w:noProof/>
          <w:sz w:val="20"/>
        </w:rPr>
        <mc:AlternateContent>
          <mc:Choice Requires="wps">
            <w:drawing>
              <wp:anchor distT="0" distB="0" distL="114300" distR="114300" simplePos="0" relativeHeight="251667456" behindDoc="1" locked="0" layoutInCell="0" allowOverlap="1" wp14:editId="2AD06DB0" wp14:anchorId="3CB29A26">
                <wp:simplePos x="0" y="0"/>
                <wp:positionH relativeFrom="page">
                  <wp:posOffset>6769100</wp:posOffset>
                </wp:positionH>
                <wp:positionV relativeFrom="page">
                  <wp:posOffset>10081260</wp:posOffset>
                </wp:positionV>
                <wp:extent cx="647700" cy="396240"/>
                <wp:effectExtent l="0" t="3810" r="3175" b="0"/>
                <wp:wrapNone/>
                <wp:docPr id="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5B7B1B" w:rsidP="005B7B1B" w:rsidRDefault="005B7B1B" w14:paraId="4E00AB42" w14:textId="77777777">
                            <w:pPr>
                              <w:jc w:val="center"/>
                              <w:rPr>
                                <w:rFonts w:ascii="Arial" w:hAnsi="Arial" w:cs="Arial"/>
                                <w:b/>
                                <w:bCs/>
                                <w:sz w:val="48"/>
                              </w:rPr>
                            </w:pPr>
                            <w:r>
                              <w:rPr>
                                <w:rFonts w:ascii="Arial" w:hAnsi="Arial"/>
                                <w:b/>
                                <w:sz w:val="48"/>
                              </w:rPr>
                              <w:t>FI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0" style="position:absolute;left:0;text-align:left;margin-left:533pt;margin-top:793.8pt;width:51pt;height:31.2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" w14:anchorId="3CB29A26">
                <v:textbox>
                  <w:txbxContent>
                    <w:p w:rsidRPr="00260E65" w:rsidR="005B7B1B" w:rsidP="005B7B1B" w:rsidRDefault="005B7B1B" w14:paraId="4E00AB42" w14:textId="77777777">
                      <w:pPr>
                        <w:jc w:val="center"/>
                        <w:rPr>
                          <w:rFonts w:ascii="Arial" w:hAnsi="Arial" w:cs="Arial"/>
                          <w:b/>
                          <w:bCs/>
                          <w:sz w:val="48"/>
                        </w:rPr>
                      </w:pPr>
                      <w:r>
                        <w:rPr>
                          <w:rFonts w:ascii="Arial" w:hAnsi="Arial"/>
                          <w:b/>
                          <w:sz w:val="48"/>
                        </w:rPr>
                        <w:t>FI</w:t>
                      </w:r>
                    </w:p>
                  </w:txbxContent>
                </v:textbox>
                <w10:wrap anchorx="page" anchory="page"/>
              </v:shape>
            </w:pict>
          </mc:Fallback>
        </mc:AlternateContent>
      </w:r>
      <w:hyperlink w:history="1" r:id="rId47">
        <w:r w:rsidRPr="005E6D41">
          <w:rPr>
            <w:b/>
            <w:i/>
            <w:color w:val="0000FF"/>
            <w:sz w:val="28"/>
            <w:szCs w:val="20"/>
            <w:u w:val="single"/>
          </w:rPr>
          <w:t>Kestävän elintarviketuotannon varmistaminen ja kohtuullisten tulojen turvaaminen EU:n maataloustuottajille</w:t>
        </w:r>
      </w:hyperlink>
    </w:p>
    <w:p w:rsidRPr="006978D9" w:rsidR="005B7B1B" w:rsidP="000B3DCE" w:rsidRDefault="005B7B1B" w14:paraId="32DD7FC9" w14:textId="77777777">
      <w:pPr>
        <w:tabs>
          <w:tab w:val="center" w:pos="284"/>
        </w:tabs>
        <w:overflowPunct w:val="0"/>
        <w:autoSpaceDE w:val="0"/>
        <w:autoSpaceDN w:val="0"/>
        <w:adjustRightInd w:val="0"/>
        <w:ind w:left="266" w:hanging="266"/>
        <w:textAlignment w:val="baseline"/>
        <w:rPr>
          <w:b/>
        </w:rPr>
      </w:pPr>
    </w:p>
    <w:tbl>
      <w:tblPr>
        <w:tblStyle w:val="TableGrid5"/>
        <w:tblW w:w="4845"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7"/>
        <w:gridCol w:w="6805"/>
      </w:tblGrid>
      <w:tr w:rsidRPr="005B7B1B" w:rsidR="005B7B1B" w:rsidTr="00F70F48" w14:paraId="5614B5E7" w14:textId="77777777">
        <w:tc>
          <w:tcPr>
            <w:tcW w:w="1130" w:type="pct"/>
          </w:tcPr>
          <w:p w:rsidRPr="005B7B1B" w:rsidR="005B7B1B" w:rsidP="000B3DCE" w:rsidRDefault="005B7B1B" w14:paraId="767C17BC" w14:textId="77777777">
            <w:pPr>
              <w:tabs>
                <w:tab w:val="center" w:pos="284"/>
              </w:tabs>
              <w:overflowPunct w:val="0"/>
              <w:autoSpaceDE w:val="0"/>
              <w:autoSpaceDN w:val="0"/>
              <w:adjustRightInd w:val="0"/>
              <w:ind w:left="266" w:hanging="266"/>
              <w:textAlignment w:val="baseline"/>
              <w:rPr>
                <w:b/>
              </w:rPr>
            </w:pPr>
            <w:r w:rsidRPr="005B7B1B">
              <w:rPr>
                <w:b/>
              </w:rPr>
              <w:t>Esittelijät:</w:t>
            </w:r>
          </w:p>
        </w:tc>
        <w:tc>
          <w:tcPr>
            <w:tcW w:w="3870" w:type="pct"/>
          </w:tcPr>
          <w:p w:rsidRPr="005B7B1B" w:rsidR="005B7B1B" w:rsidP="000B3DCE" w:rsidRDefault="005B7B1B" w14:paraId="11A77FB6" w14:textId="77777777">
            <w:pPr>
              <w:tabs>
                <w:tab w:val="center" w:pos="284"/>
              </w:tabs>
              <w:overflowPunct w:val="0"/>
              <w:autoSpaceDE w:val="0"/>
              <w:autoSpaceDN w:val="0"/>
              <w:adjustRightInd w:val="0"/>
              <w:ind w:left="266" w:hanging="266"/>
              <w:textAlignment w:val="baseline"/>
            </w:pPr>
            <w:r w:rsidRPr="005B7B1B">
              <w:t>Joe HEALY (kansalaisyhteiskunnan organisaatiot – IE)</w:t>
            </w:r>
          </w:p>
          <w:p w:rsidRPr="005B7B1B" w:rsidR="005B7B1B" w:rsidP="000B3DCE" w:rsidRDefault="005B7B1B" w14:paraId="61DB18B2" w14:textId="77777777">
            <w:pPr>
              <w:tabs>
                <w:tab w:val="center" w:pos="284"/>
              </w:tabs>
              <w:overflowPunct w:val="0"/>
              <w:autoSpaceDE w:val="0"/>
              <w:autoSpaceDN w:val="0"/>
              <w:adjustRightInd w:val="0"/>
              <w:ind w:left="266" w:hanging="266"/>
              <w:textAlignment w:val="baseline"/>
            </w:pPr>
            <w:proofErr w:type="spellStart"/>
            <w:r w:rsidRPr="005B7B1B">
              <w:t>Piroska</w:t>
            </w:r>
            <w:proofErr w:type="spellEnd"/>
            <w:r w:rsidRPr="005B7B1B">
              <w:t xml:space="preserve"> KÁLLAY (työntekijät – HU)</w:t>
            </w:r>
          </w:p>
          <w:p w:rsidRPr="005B7B1B" w:rsidR="005B7B1B" w:rsidP="000B3DCE" w:rsidRDefault="005B7B1B" w14:paraId="2D4F4B9E" w14:textId="77777777">
            <w:pPr>
              <w:tabs>
                <w:tab w:val="center" w:pos="284"/>
              </w:tabs>
              <w:overflowPunct w:val="0"/>
              <w:autoSpaceDE w:val="0"/>
              <w:autoSpaceDN w:val="0"/>
              <w:adjustRightInd w:val="0"/>
              <w:ind w:left="266" w:hanging="266"/>
              <w:textAlignment w:val="baseline"/>
            </w:pPr>
            <w:r w:rsidRPr="005B7B1B">
              <w:t xml:space="preserve">Arnold PUECH </w:t>
            </w:r>
            <w:proofErr w:type="spellStart"/>
            <w:r w:rsidRPr="005B7B1B">
              <w:t>d’ALISSAC</w:t>
            </w:r>
            <w:proofErr w:type="spellEnd"/>
            <w:r w:rsidRPr="005B7B1B">
              <w:t xml:space="preserve"> (työnantajat – FR)</w:t>
            </w:r>
          </w:p>
        </w:tc>
      </w:tr>
      <w:tr w:rsidRPr="005B7B1B" w:rsidR="005B7B1B" w:rsidTr="00F70F48" w14:paraId="730C0F9A" w14:textId="77777777">
        <w:tc>
          <w:tcPr>
            <w:tcW w:w="5000" w:type="pct"/>
            <w:gridSpan w:val="2"/>
          </w:tcPr>
          <w:p w:rsidRPr="005B7B1B" w:rsidR="005B7B1B" w:rsidP="000B3DCE" w:rsidRDefault="005B7B1B" w14:paraId="73934006" w14:textId="77777777">
            <w:pPr>
              <w:tabs>
                <w:tab w:val="center" w:pos="284"/>
              </w:tabs>
              <w:overflowPunct w:val="0"/>
              <w:autoSpaceDE w:val="0"/>
              <w:autoSpaceDN w:val="0"/>
              <w:adjustRightInd w:val="0"/>
              <w:ind w:left="266" w:hanging="266"/>
              <w:textAlignment w:val="baseline"/>
              <w:rPr>
                <w:lang w:val="en-US"/>
              </w:rPr>
            </w:pPr>
          </w:p>
        </w:tc>
      </w:tr>
      <w:tr w:rsidRPr="005B7B1B" w:rsidR="005B7B1B" w:rsidTr="00F70F48" w14:paraId="51D697A2" w14:textId="77777777">
        <w:tc>
          <w:tcPr>
            <w:tcW w:w="1130" w:type="pct"/>
          </w:tcPr>
          <w:p w:rsidRPr="005B7B1B" w:rsidR="005B7B1B" w:rsidP="000B3DCE" w:rsidRDefault="005B7B1B" w14:paraId="30BF76AA" w14:textId="77777777">
            <w:pPr>
              <w:tabs>
                <w:tab w:val="center" w:pos="284"/>
              </w:tabs>
              <w:overflowPunct w:val="0"/>
              <w:autoSpaceDE w:val="0"/>
              <w:autoSpaceDN w:val="0"/>
              <w:adjustRightInd w:val="0"/>
              <w:ind w:left="266" w:hanging="266"/>
              <w:textAlignment w:val="baseline"/>
              <w:rPr>
                <w:b/>
              </w:rPr>
            </w:pPr>
            <w:r w:rsidRPr="005B7B1B">
              <w:rPr>
                <w:b/>
              </w:rPr>
              <w:t>Viiteasiakirja</w:t>
            </w:r>
          </w:p>
        </w:tc>
        <w:tc>
          <w:tcPr>
            <w:tcW w:w="3870" w:type="pct"/>
          </w:tcPr>
          <w:p w:rsidR="005E6D41" w:rsidP="000B3DCE" w:rsidRDefault="005E6D41" w14:paraId="0FE8C45B" w14:textId="77777777">
            <w:pPr>
              <w:tabs>
                <w:tab w:val="center" w:pos="284"/>
              </w:tabs>
              <w:overflowPunct w:val="0"/>
              <w:autoSpaceDE w:val="0"/>
              <w:autoSpaceDN w:val="0"/>
              <w:adjustRightInd w:val="0"/>
              <w:ind w:left="266" w:hanging="266"/>
              <w:textAlignment w:val="baseline"/>
            </w:pPr>
            <w:r w:rsidRPr="005B7B1B">
              <w:t xml:space="preserve">puheenjohtajavaltio Puolan pyytämä valmisteleva lausunto </w:t>
            </w:r>
          </w:p>
          <w:p w:rsidRPr="005B7B1B" w:rsidR="005B7B1B" w:rsidP="000B3DCE" w:rsidRDefault="005B7B1B" w14:paraId="3C382B01" w14:textId="11E4C1BA">
            <w:pPr>
              <w:tabs>
                <w:tab w:val="center" w:pos="284"/>
              </w:tabs>
              <w:overflowPunct w:val="0"/>
              <w:autoSpaceDE w:val="0"/>
              <w:autoSpaceDN w:val="0"/>
              <w:adjustRightInd w:val="0"/>
              <w:ind w:left="266" w:hanging="266"/>
              <w:textAlignment w:val="baseline"/>
            </w:pPr>
            <w:r w:rsidRPr="005B7B1B">
              <w:t>EESC-2024-03974-00-00-AC</w:t>
            </w:r>
          </w:p>
        </w:tc>
      </w:tr>
    </w:tbl>
    <w:p w:rsidR="005E6D41" w:rsidP="000B3DCE" w:rsidRDefault="005E6D41" w14:paraId="53730F58" w14:textId="77777777">
      <w:pPr>
        <w:keepNext/>
        <w:keepLines/>
        <w:tabs>
          <w:tab w:val="center" w:pos="284"/>
        </w:tabs>
        <w:overflowPunct w:val="0"/>
        <w:autoSpaceDE w:val="0"/>
        <w:autoSpaceDN w:val="0"/>
        <w:adjustRightInd w:val="0"/>
        <w:ind w:left="266" w:hanging="266"/>
        <w:textAlignment w:val="baseline"/>
        <w:rPr>
          <w:b/>
          <w:szCs w:val="20"/>
        </w:rPr>
      </w:pPr>
    </w:p>
    <w:p w:rsidRPr="005B7B1B" w:rsidR="005B7B1B" w:rsidP="000B3DCE" w:rsidRDefault="005B7B1B" w14:paraId="0DA53BE3" w14:textId="60BD264C">
      <w:pPr>
        <w:keepNext/>
        <w:keepLines/>
        <w:tabs>
          <w:tab w:val="center" w:pos="284"/>
        </w:tabs>
        <w:overflowPunct w:val="0"/>
        <w:autoSpaceDE w:val="0"/>
        <w:autoSpaceDN w:val="0"/>
        <w:adjustRightInd w:val="0"/>
        <w:ind w:left="266" w:hanging="266"/>
        <w:textAlignment w:val="baseline"/>
        <w:rPr>
          <w:b/>
        </w:rPr>
      </w:pPr>
      <w:r w:rsidRPr="005B7B1B">
        <w:rPr>
          <w:b/>
          <w:szCs w:val="20"/>
        </w:rPr>
        <w:t>Keskeiset kohdat</w:t>
      </w:r>
    </w:p>
    <w:p w:rsidRPr="005B7B1B" w:rsidR="005B7B1B" w:rsidP="000B3DCE" w:rsidRDefault="005B7B1B" w14:paraId="16F722BF" w14:textId="77777777">
      <w:pPr>
        <w:keepNext/>
        <w:keepLines/>
        <w:tabs>
          <w:tab w:val="center" w:pos="284"/>
        </w:tabs>
        <w:overflowPunct w:val="0"/>
        <w:autoSpaceDE w:val="0"/>
        <w:autoSpaceDN w:val="0"/>
        <w:adjustRightInd w:val="0"/>
        <w:ind w:left="266" w:hanging="266"/>
        <w:textAlignment w:val="baseline"/>
        <w:rPr>
          <w:b/>
        </w:rPr>
      </w:pPr>
    </w:p>
    <w:p w:rsidRPr="005B7B1B" w:rsidR="005B7B1B" w:rsidP="000B3DCE" w:rsidRDefault="005B7B1B" w14:paraId="21FCC478" w14:textId="77777777">
      <w:pPr>
        <w:widowControl w:val="0"/>
        <w:overflowPunct w:val="0"/>
        <w:autoSpaceDE w:val="0"/>
        <w:autoSpaceDN w:val="0"/>
        <w:adjustRightInd w:val="0"/>
        <w:textAlignment w:val="baseline"/>
        <w:rPr>
          <w:bCs/>
          <w:iCs/>
        </w:rPr>
      </w:pPr>
      <w:r w:rsidRPr="005B7B1B">
        <w:rPr>
          <w:szCs w:val="20"/>
        </w:rPr>
        <w:t>ETSK</w:t>
      </w:r>
    </w:p>
    <w:p w:rsidRPr="005B7B1B" w:rsidR="005B7B1B" w:rsidP="006978D9" w:rsidRDefault="005B7B1B" w14:paraId="7909E337" w14:textId="77777777">
      <w:pPr>
        <w:numPr>
          <w:ilvl w:val="0"/>
          <w:numId w:val="36"/>
        </w:numPr>
        <w:overflowPunct w:val="0"/>
        <w:autoSpaceDE w:val="0"/>
        <w:autoSpaceDN w:val="0"/>
        <w:adjustRightInd w:val="0"/>
        <w:spacing w:after="200"/>
        <w:ind w:left="426" w:hanging="357"/>
        <w:contextualSpacing/>
        <w:textAlignment w:val="baseline"/>
        <w:rPr>
          <w:bCs/>
          <w:iCs/>
          <w:lang w:eastAsia="zh-CN"/>
        </w:rPr>
      </w:pPr>
      <w:r w:rsidRPr="005B7B1B">
        <w:rPr>
          <w:lang w:eastAsia="zh-CN"/>
        </w:rPr>
        <w:t>ehdottaa, että kehitetään ja otetaan käyttöön YMP:n puitteissa ja sen ulkopuolella lyhytaikaisia ja pitkäaikaisia välineitä maataloustuottajien tulojen tukemiseksi ja epävakaudelta suojaamiseksi. Tällaisia ovat muun muassa seuraavat:</w:t>
      </w:r>
    </w:p>
    <w:p w:rsidRPr="005B7B1B" w:rsidR="005B7B1B" w:rsidP="006978D9" w:rsidRDefault="005B7B1B" w14:paraId="0B5EBAF5" w14:textId="77777777">
      <w:pPr>
        <w:numPr>
          <w:ilvl w:val="1"/>
          <w:numId w:val="37"/>
        </w:numPr>
        <w:overflowPunct w:val="0"/>
        <w:autoSpaceDE w:val="0"/>
        <w:autoSpaceDN w:val="0"/>
        <w:adjustRightInd w:val="0"/>
        <w:spacing w:after="200"/>
        <w:ind w:left="851" w:hanging="357"/>
        <w:contextualSpacing/>
        <w:textAlignment w:val="baseline"/>
        <w:rPr>
          <w:bCs/>
          <w:iCs/>
          <w:lang w:eastAsia="zh-CN"/>
        </w:rPr>
      </w:pPr>
      <w:r w:rsidRPr="005B7B1B">
        <w:rPr>
          <w:b/>
          <w:lang w:eastAsia="zh-CN"/>
        </w:rPr>
        <w:t>ilmasto- ja ympäristökatastrofien varalle tarkoitetut vakuutusjärjestelmät</w:t>
      </w:r>
      <w:r w:rsidRPr="005B7B1B">
        <w:rPr>
          <w:lang w:eastAsia="zh-CN"/>
        </w:rPr>
        <w:t xml:space="preserve">: pyritään laatimaan julkisen ja yksityisen sektorin kumppanuuteen perustuva vakuutusmalli ja tarkistamaan viitearvojen laskentaa </w:t>
      </w:r>
    </w:p>
    <w:p w:rsidRPr="005B7B1B" w:rsidR="005B7B1B" w:rsidP="006978D9" w:rsidRDefault="005B7B1B" w14:paraId="4C36F3CA" w14:textId="77777777">
      <w:pPr>
        <w:numPr>
          <w:ilvl w:val="1"/>
          <w:numId w:val="37"/>
        </w:numPr>
        <w:overflowPunct w:val="0"/>
        <w:autoSpaceDE w:val="0"/>
        <w:autoSpaceDN w:val="0"/>
        <w:adjustRightInd w:val="0"/>
        <w:spacing w:after="200"/>
        <w:ind w:left="851" w:hanging="357"/>
        <w:contextualSpacing/>
        <w:textAlignment w:val="baseline"/>
        <w:rPr>
          <w:bCs/>
          <w:iCs/>
          <w:lang w:eastAsia="zh-CN"/>
        </w:rPr>
      </w:pPr>
      <w:r w:rsidRPr="005B7B1B">
        <w:rPr>
          <w:b/>
          <w:lang w:eastAsia="zh-CN"/>
        </w:rPr>
        <w:t>markkinajännitteiden varalle tarkoitetut vakuutusjärjestelmät</w:t>
      </w:r>
      <w:r w:rsidRPr="005B7B1B">
        <w:rPr>
          <w:lang w:eastAsia="zh-CN"/>
        </w:rPr>
        <w:t>: tutkitaan indeksiperusteisten vakuutusten kaltaisten innovatiivisten keinojen kehittämistä ja sisällytetään vuoden 2027 jälkeen YMP:n välineisiin vastasyklisiä tekijöitä, jotta voidaan reagoida markkinapaineisiin</w:t>
      </w:r>
    </w:p>
    <w:p w:rsidRPr="005B7B1B" w:rsidR="005B7B1B" w:rsidP="006978D9" w:rsidRDefault="005B7B1B" w14:paraId="73335B5B" w14:textId="77777777">
      <w:pPr>
        <w:numPr>
          <w:ilvl w:val="1"/>
          <w:numId w:val="37"/>
        </w:numPr>
        <w:overflowPunct w:val="0"/>
        <w:autoSpaceDE w:val="0"/>
        <w:autoSpaceDN w:val="0"/>
        <w:adjustRightInd w:val="0"/>
        <w:spacing w:after="200"/>
        <w:ind w:left="851" w:hanging="357"/>
        <w:contextualSpacing/>
        <w:textAlignment w:val="baseline"/>
        <w:rPr>
          <w:bCs/>
          <w:iCs/>
          <w:lang w:eastAsia="zh-CN"/>
        </w:rPr>
      </w:pPr>
      <w:r w:rsidRPr="005B7B1B">
        <w:rPr>
          <w:b/>
          <w:lang w:eastAsia="zh-CN"/>
        </w:rPr>
        <w:t>riskinhallinta- ja kriisinhallintavälineet</w:t>
      </w:r>
      <w:r w:rsidRPr="005B7B1B">
        <w:rPr>
          <w:lang w:eastAsia="zh-CN"/>
        </w:rPr>
        <w:t>: palautetaan seuraavassa monivuotisessa rahoituskehyksessä YMP:n määrärahat tasolle, joka vastaa 0,5:tä prosenttia EU:n BKT:stä, parannetaan ja lisätään jäsenvaltiotasolla kolmen prosentin osoittamista suorasta tuesta käytettäväksi tukemaan viljelijän osuutta riskinhallintavälineeseen, uudistetaan EU:n tasolla maatalousalan kriisivarausta ja kasvatetaan huomattavasti sen määrää ja perustetaan jäsenvaltiotasolle terveys- ja ympäristöriskien varalle keskinäisiä rahastoja</w:t>
      </w:r>
    </w:p>
    <w:p w:rsidRPr="005B7B1B" w:rsidR="005B7B1B" w:rsidP="006978D9" w:rsidRDefault="005B7B1B" w14:paraId="14449D22" w14:textId="77777777">
      <w:pPr>
        <w:numPr>
          <w:ilvl w:val="1"/>
          <w:numId w:val="37"/>
        </w:numPr>
        <w:overflowPunct w:val="0"/>
        <w:autoSpaceDE w:val="0"/>
        <w:autoSpaceDN w:val="0"/>
        <w:adjustRightInd w:val="0"/>
        <w:spacing w:after="200"/>
        <w:ind w:left="851" w:hanging="357"/>
        <w:contextualSpacing/>
        <w:textAlignment w:val="baseline"/>
        <w:rPr>
          <w:b/>
          <w:bCs/>
          <w:lang w:eastAsia="zh-CN"/>
        </w:rPr>
      </w:pPr>
      <w:r w:rsidRPr="005B7B1B">
        <w:rPr>
          <w:b/>
          <w:lang w:eastAsia="zh-CN"/>
        </w:rPr>
        <w:t>YMP:n ja pankkien tarjoamat rahoitusvälineet</w:t>
      </w:r>
      <w:r w:rsidRPr="005B7B1B">
        <w:rPr>
          <w:lang w:eastAsia="zh-CN"/>
        </w:rPr>
        <w:t>: tuetaan maataloustuottajien, etenkin nuorten viljelijöiden, investointikapasiteettia yksinkertaisilla ja byrokratiasta vapailla rahoitusvälineillä, jotka voivat olla pankkien tarjoamia rahoitustuotteita (pilottilainat, nollakorkoiset lainat, tilanpidon aloittamiseen tarkoitetut lainat) tai muita välineitä</w:t>
      </w:r>
    </w:p>
    <w:p w:rsidRPr="005B7B1B" w:rsidR="005B7B1B" w:rsidP="006978D9" w:rsidRDefault="005B7B1B" w14:paraId="274CEA8F" w14:textId="77777777">
      <w:pPr>
        <w:numPr>
          <w:ilvl w:val="1"/>
          <w:numId w:val="37"/>
        </w:numPr>
        <w:overflowPunct w:val="0"/>
        <w:autoSpaceDE w:val="0"/>
        <w:autoSpaceDN w:val="0"/>
        <w:adjustRightInd w:val="0"/>
        <w:spacing w:after="200"/>
        <w:ind w:left="851" w:hanging="357"/>
        <w:contextualSpacing/>
        <w:textAlignment w:val="baseline"/>
        <w:rPr>
          <w:bCs/>
          <w:iCs/>
          <w:lang w:eastAsia="zh-CN"/>
        </w:rPr>
      </w:pPr>
      <w:r w:rsidRPr="005B7B1B">
        <w:rPr>
          <w:b/>
          <w:lang w:eastAsia="zh-CN"/>
        </w:rPr>
        <w:t>välineet maataloustuottajien toimeentulon turvaamiseksi ja heidän neuvotteluvoimansa parantamiseksi</w:t>
      </w:r>
      <w:r w:rsidRPr="005B7B1B">
        <w:rPr>
          <w:lang w:eastAsia="zh-CN"/>
        </w:rPr>
        <w:t xml:space="preserve">: harkitaan hyvän kauppatavan vastaisia käytäntöjä koskevan direktiivin laajentamista niin, että kielletään ostajia tekemästä hankintoja hintaan, joka alittaa kustannukset, kun on ensiksi tutkittu huolellisesti kiellon vaikutukset elintarvikeketjun eri toimijoihin, tarjotaan EU:n tasolla uusi toimintapoliittinen malli, joka antaisi maataloustuottajille mahdollisuuden neuvotella kollektiivisesti hinnoista, ja lisätään osuuskunnille ja tuottajaorganisaatioille annettavaa tukea, turvataan seuraavassa YMP:ssä suorat tuet, vahvistetaan niitä ja kohdennetaan ne paremmin aktiiviviljelijöille, otetaan siirtymän tukemiseksi käyttöön kestävyyteen pohjautuva maksu, turvataan hiilitehokkaat </w:t>
      </w:r>
      <w:r w:rsidRPr="005B7B1B">
        <w:rPr>
          <w:lang w:eastAsia="zh-CN"/>
        </w:rPr>
        <w:lastRenderedPageBreak/>
        <w:t>elintarvikkeiden tuotantojärjestelmät ja varmistetaan kaikissa kauppasopimuksissa elintarviketuotannon standardien vastaavuus.</w:t>
      </w:r>
    </w:p>
    <w:p w:rsidRPr="005B7B1B" w:rsidR="005B7B1B" w:rsidP="006978D9" w:rsidRDefault="005B7B1B" w14:paraId="4CCF352F" w14:textId="77777777">
      <w:pPr>
        <w:numPr>
          <w:ilvl w:val="0"/>
          <w:numId w:val="36"/>
        </w:numPr>
        <w:overflowPunct w:val="0"/>
        <w:autoSpaceDE w:val="0"/>
        <w:autoSpaceDN w:val="0"/>
        <w:adjustRightInd w:val="0"/>
        <w:spacing w:after="200"/>
        <w:ind w:left="851" w:hanging="357"/>
        <w:contextualSpacing/>
        <w:textAlignment w:val="baseline"/>
        <w:rPr>
          <w:bCs/>
          <w:iCs/>
          <w:lang w:eastAsia="zh-CN"/>
        </w:rPr>
      </w:pPr>
      <w:r w:rsidRPr="005B7B1B">
        <w:rPr>
          <w:lang w:eastAsia="zh-CN"/>
        </w:rPr>
        <w:t>suosittaa edistämään alakohtaista osallistavaa hallintoa ja vahvistamaan maatalouselintarvikealan työmarkkinavuoropuhelua.</w:t>
      </w:r>
    </w:p>
    <w:p w:rsidRPr="005B7B1B" w:rsidR="005B7B1B" w:rsidP="006978D9" w:rsidRDefault="005B7B1B" w14:paraId="44381F9F" w14:textId="77777777">
      <w:pPr>
        <w:numPr>
          <w:ilvl w:val="0"/>
          <w:numId w:val="36"/>
        </w:numPr>
        <w:overflowPunct w:val="0"/>
        <w:autoSpaceDE w:val="0"/>
        <w:autoSpaceDN w:val="0"/>
        <w:adjustRightInd w:val="0"/>
        <w:spacing w:after="200"/>
        <w:ind w:left="851" w:hanging="357"/>
        <w:contextualSpacing/>
        <w:textAlignment w:val="baseline"/>
        <w:rPr>
          <w:bCs/>
          <w:iCs/>
          <w:lang w:eastAsia="zh-CN"/>
        </w:rPr>
      </w:pPr>
      <w:r w:rsidRPr="005B7B1B">
        <w:rPr>
          <w:lang w:eastAsia="zh-CN"/>
        </w:rPr>
        <w:t>huomauttaa, että tarvitaan korkealaatuista maatalousalan tutkimusta ja koulutusinvestointeja.</w:t>
      </w:r>
    </w:p>
    <w:p w:rsidRPr="005B7B1B" w:rsidR="005B7B1B" w:rsidP="006978D9" w:rsidRDefault="005B7B1B" w14:paraId="3821DE8B" w14:textId="77777777">
      <w:pPr>
        <w:numPr>
          <w:ilvl w:val="0"/>
          <w:numId w:val="36"/>
        </w:numPr>
        <w:overflowPunct w:val="0"/>
        <w:autoSpaceDE w:val="0"/>
        <w:autoSpaceDN w:val="0"/>
        <w:adjustRightInd w:val="0"/>
        <w:spacing w:after="200"/>
        <w:ind w:left="851" w:hanging="357"/>
        <w:contextualSpacing/>
        <w:textAlignment w:val="baseline"/>
        <w:rPr>
          <w:bCs/>
          <w:iCs/>
          <w:lang w:eastAsia="zh-CN"/>
        </w:rPr>
      </w:pPr>
      <w:r w:rsidRPr="005B7B1B">
        <w:rPr>
          <w:lang w:eastAsia="zh-CN"/>
        </w:rPr>
        <w:t>korostaa, että on tärkeää pitää maataloustuotanto elinvoimaisena kaikkialla Euroopassa sekä säilyttää maaseudun kehittäminen maatalouspolitiikan vahvana tavoitteena ja osoittaa sille riittävästi rahoitusta.</w:t>
      </w:r>
    </w:p>
    <w:p w:rsidRPr="006978D9" w:rsidR="005B7B1B" w:rsidP="000B3DCE" w:rsidRDefault="005B7B1B" w14:paraId="066354CA" w14:textId="77777777">
      <w:pPr>
        <w:widowControl w:val="0"/>
        <w:overflowPunct w:val="0"/>
        <w:autoSpaceDE w:val="0"/>
        <w:autoSpaceDN w:val="0"/>
        <w:adjustRightInd w:val="0"/>
        <w:ind w:left="709"/>
        <w:textAlignment w:val="baseline"/>
      </w:pPr>
    </w:p>
    <w:tbl>
      <w:tblPr>
        <w:tblStyle w:val="TableGrid5"/>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985"/>
        <w:gridCol w:w="4395"/>
      </w:tblGrid>
      <w:tr w:rsidRPr="005B7B1B" w:rsidR="005B7B1B" w:rsidTr="00F70F48" w14:paraId="2EACF27F" w14:textId="77777777">
        <w:tc>
          <w:tcPr>
            <w:tcW w:w="1556" w:type="pct"/>
          </w:tcPr>
          <w:p w:rsidRPr="005B7B1B" w:rsidR="005B7B1B" w:rsidP="000B3DCE" w:rsidRDefault="005B7B1B" w14:paraId="2BB87824" w14:textId="77777777">
            <w:pPr>
              <w:overflowPunct w:val="0"/>
              <w:autoSpaceDE w:val="0"/>
              <w:autoSpaceDN w:val="0"/>
              <w:adjustRightInd w:val="0"/>
              <w:textAlignment w:val="baseline"/>
              <w:rPr>
                <w:i/>
              </w:rPr>
            </w:pPr>
            <w:r w:rsidRPr="005B7B1B">
              <w:rPr>
                <w:b/>
                <w:i/>
              </w:rPr>
              <w:t>Yhteydentotot</w:t>
            </w:r>
          </w:p>
        </w:tc>
        <w:tc>
          <w:tcPr>
            <w:tcW w:w="3444" w:type="pct"/>
          </w:tcPr>
          <w:p w:rsidRPr="005B7B1B" w:rsidR="005B7B1B" w:rsidP="000B3DCE" w:rsidRDefault="005B7B1B" w14:paraId="5EE5BDBD" w14:textId="77777777">
            <w:pPr>
              <w:overflowPunct w:val="0"/>
              <w:autoSpaceDE w:val="0"/>
              <w:autoSpaceDN w:val="0"/>
              <w:adjustRightInd w:val="0"/>
              <w:textAlignment w:val="baseline"/>
              <w:rPr>
                <w:i/>
              </w:rPr>
            </w:pPr>
            <w:proofErr w:type="spellStart"/>
            <w:r w:rsidRPr="005B7B1B">
              <w:rPr>
                <w:i/>
              </w:rPr>
              <w:t>Myrto</w:t>
            </w:r>
            <w:proofErr w:type="spellEnd"/>
            <w:r w:rsidRPr="005B7B1B">
              <w:rPr>
                <w:i/>
              </w:rPr>
              <w:t xml:space="preserve"> KOLYVA</w:t>
            </w:r>
          </w:p>
        </w:tc>
      </w:tr>
      <w:tr w:rsidRPr="005B7B1B" w:rsidR="005B7B1B" w:rsidTr="00F70F48" w14:paraId="3B36A592" w14:textId="77777777">
        <w:tc>
          <w:tcPr>
            <w:tcW w:w="1556" w:type="pct"/>
          </w:tcPr>
          <w:p w:rsidRPr="005B7B1B" w:rsidR="005B7B1B" w:rsidP="000B3DCE" w:rsidRDefault="005B7B1B" w14:paraId="3BDFCF20" w14:textId="77777777">
            <w:pPr>
              <w:overflowPunct w:val="0"/>
              <w:autoSpaceDE w:val="0"/>
              <w:autoSpaceDN w:val="0"/>
              <w:adjustRightInd w:val="0"/>
              <w:textAlignment w:val="baseline"/>
              <w:rPr>
                <w:i/>
              </w:rPr>
            </w:pPr>
            <w:r w:rsidRPr="005B7B1B">
              <w:rPr>
                <w:i/>
              </w:rPr>
              <w:t>P.</w:t>
            </w:r>
          </w:p>
        </w:tc>
        <w:tc>
          <w:tcPr>
            <w:tcW w:w="3444" w:type="pct"/>
          </w:tcPr>
          <w:p w:rsidRPr="005B7B1B" w:rsidR="005B7B1B" w:rsidP="000B3DCE" w:rsidRDefault="005B7B1B" w14:paraId="1419C210" w14:textId="77777777">
            <w:pPr>
              <w:overflowPunct w:val="0"/>
              <w:autoSpaceDE w:val="0"/>
              <w:autoSpaceDN w:val="0"/>
              <w:adjustRightInd w:val="0"/>
              <w:textAlignment w:val="baseline"/>
              <w:rPr>
                <w:i/>
              </w:rPr>
            </w:pPr>
            <w:r w:rsidRPr="005B7B1B">
              <w:rPr>
                <w:i/>
              </w:rPr>
              <w:t>+32 25468718</w:t>
            </w:r>
          </w:p>
        </w:tc>
      </w:tr>
      <w:tr w:rsidRPr="005B7B1B" w:rsidR="005B7B1B" w:rsidTr="00F70F48" w14:paraId="240A5D86" w14:textId="77777777">
        <w:tc>
          <w:tcPr>
            <w:tcW w:w="1556" w:type="pct"/>
          </w:tcPr>
          <w:p w:rsidRPr="005B7B1B" w:rsidR="005B7B1B" w:rsidP="000B3DCE" w:rsidRDefault="005B7B1B" w14:paraId="3A7AB000" w14:textId="77777777">
            <w:pPr>
              <w:overflowPunct w:val="0"/>
              <w:autoSpaceDE w:val="0"/>
              <w:autoSpaceDN w:val="0"/>
              <w:adjustRightInd w:val="0"/>
              <w:textAlignment w:val="baseline"/>
              <w:rPr>
                <w:i/>
              </w:rPr>
            </w:pPr>
            <w:r w:rsidRPr="005B7B1B">
              <w:rPr>
                <w:i/>
              </w:rPr>
              <w:t>Sähköposti</w:t>
            </w:r>
          </w:p>
        </w:tc>
        <w:tc>
          <w:tcPr>
            <w:tcW w:w="3444" w:type="pct"/>
          </w:tcPr>
          <w:p w:rsidRPr="005B7B1B" w:rsidR="005B7B1B" w:rsidP="000B3DCE" w:rsidRDefault="00D94EF3" w14:paraId="0FBEC14D" w14:textId="77777777">
            <w:pPr>
              <w:overflowPunct w:val="0"/>
              <w:autoSpaceDE w:val="0"/>
              <w:autoSpaceDN w:val="0"/>
              <w:adjustRightInd w:val="0"/>
              <w:textAlignment w:val="baseline"/>
              <w:rPr>
                <w:color w:val="0000FF"/>
                <w:u w:val="single"/>
              </w:rPr>
            </w:pPr>
            <w:hyperlink w:history="1" r:id="rId48">
              <w:r w:rsidRPr="005B7B1B" w:rsidR="005B7B1B">
                <w:rPr>
                  <w:i/>
                  <w:color w:val="0000FF"/>
                  <w:u w:val="single"/>
                </w:rPr>
                <w:t>Myrto.Kolyva@eesc.europa.eu</w:t>
              </w:r>
            </w:hyperlink>
            <w:r w:rsidRPr="005B7B1B" w:rsidR="005B7B1B">
              <w:rPr>
                <w:color w:val="0000FF"/>
                <w:u w:val="single"/>
              </w:rPr>
              <w:t xml:space="preserve"> </w:t>
            </w:r>
          </w:p>
        </w:tc>
      </w:tr>
    </w:tbl>
    <w:p w:rsidR="007F5784" w:rsidP="000B3DCE" w:rsidRDefault="007F5784" w14:paraId="715DB2BD" w14:textId="77777777">
      <w:pPr>
        <w:spacing w:after="160"/>
        <w:jc w:val="left"/>
      </w:pPr>
      <w:r>
        <w:br w:type="page"/>
      </w:r>
    </w:p>
    <w:p w:rsidRPr="006D2C8A" w:rsidR="006D2C8A" w:rsidP="000B3DCE" w:rsidRDefault="006D2C8A" w14:paraId="528C73AA" w14:textId="46DE726B">
      <w:pPr>
        <w:pStyle w:val="Heading1"/>
        <w:rPr>
          <w:b/>
        </w:rPr>
      </w:pPr>
      <w:bookmarkStart w:name="_Toc192065770" w:id="11"/>
      <w:r>
        <w:rPr>
          <w:b/>
          <w:color w:val="222A35" w:themeColor="text2" w:themeShade="80"/>
        </w:rPr>
        <w:lastRenderedPageBreak/>
        <w:t>NEUVOA-ANTAVA VALIOKUNTA ”TEOLLISUUDEN MUUTOKSET”</w:t>
      </w:r>
      <w:bookmarkEnd w:id="11"/>
    </w:p>
    <w:p w:rsidR="006D2C8A" w:rsidP="000B3DCE" w:rsidRDefault="006D2C8A" w14:paraId="713E272F" w14:textId="77777777"/>
    <w:p w:rsidRPr="001F0A8F" w:rsidR="001F0A8F" w:rsidP="000B3DCE" w:rsidRDefault="001F0A8F" w14:paraId="0BBCF48C" w14:textId="43749D94">
      <w:pPr>
        <w:widowControl w:val="0"/>
        <w:numPr>
          <w:ilvl w:val="0"/>
          <w:numId w:val="4"/>
        </w:numPr>
        <w:overflowPunct w:val="0"/>
        <w:autoSpaceDE w:val="0"/>
        <w:autoSpaceDN w:val="0"/>
        <w:adjustRightInd w:val="0"/>
        <w:ind w:left="266" w:hanging="266"/>
        <w:textAlignment w:val="baseline"/>
        <w:rPr>
          <w:b/>
        </w:rPr>
      </w:pPr>
      <w:r w:rsidRPr="001F0A8F">
        <w:rPr>
          <w:szCs w:val="20"/>
        </w:rPr>
        <w:t xml:space="preserve"> </w:t>
      </w:r>
      <w:hyperlink w:history="1" r:id="rId49">
        <w:r w:rsidRPr="001F0A8F">
          <w:rPr>
            <w:b/>
            <w:i/>
            <w:color w:val="0000FF"/>
            <w:sz w:val="28"/>
            <w:szCs w:val="20"/>
            <w:u w:val="single"/>
            <w:shd w:val="clear" w:color="auto" w:fill="FEFEFE"/>
          </w:rPr>
          <w:t xml:space="preserve">Robotiikan ja </w:t>
        </w:r>
        <w:proofErr w:type="spellStart"/>
        <w:r w:rsidRPr="001F0A8F">
          <w:rPr>
            <w:b/>
            <w:i/>
            <w:color w:val="0000FF"/>
            <w:sz w:val="28"/>
            <w:szCs w:val="20"/>
            <w:u w:val="single"/>
            <w:shd w:val="clear" w:color="auto" w:fill="FEFEFE"/>
          </w:rPr>
          <w:t>metaversumin</w:t>
        </w:r>
        <w:proofErr w:type="spellEnd"/>
        <w:r w:rsidRPr="001F0A8F">
          <w:rPr>
            <w:b/>
            <w:i/>
            <w:color w:val="0000FF"/>
            <w:sz w:val="28"/>
            <w:szCs w:val="20"/>
            <w:u w:val="single"/>
            <w:shd w:val="clear" w:color="auto" w:fill="FEFEFE"/>
          </w:rPr>
          <w:t xml:space="preserve"> hyödyntäminen lääketieteessä</w:t>
        </w:r>
      </w:hyperlink>
    </w:p>
    <w:p w:rsidRPr="001F0A8F" w:rsidR="001F0A8F" w:rsidP="000B3DCE" w:rsidRDefault="001F0A8F" w14:paraId="6AFE431F" w14:textId="77777777">
      <w:pPr>
        <w:widowControl w:val="0"/>
        <w:overflowPunct w:val="0"/>
        <w:autoSpaceDE w:val="0"/>
        <w:autoSpaceDN w:val="0"/>
        <w:adjustRightInd w:val="0"/>
        <w:ind w:left="266"/>
        <w:textAlignment w:val="baseline"/>
        <w:rPr>
          <w:b/>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697"/>
        <w:gridCol w:w="7376"/>
      </w:tblGrid>
      <w:tr w:rsidRPr="001F0A8F" w:rsidR="001F0A8F" w:rsidTr="00F70F48" w14:paraId="64D94DFD" w14:textId="77777777">
        <w:tc>
          <w:tcPr>
            <w:tcW w:w="1701" w:type="dxa"/>
          </w:tcPr>
          <w:p w:rsidRPr="001F0A8F" w:rsidR="001F0A8F" w:rsidP="000B3DCE" w:rsidRDefault="001F0A8F" w14:paraId="3761F92B" w14:textId="77777777">
            <w:pPr>
              <w:tabs>
                <w:tab w:val="center" w:pos="284"/>
              </w:tabs>
              <w:overflowPunct w:val="0"/>
              <w:autoSpaceDE w:val="0"/>
              <w:autoSpaceDN w:val="0"/>
              <w:adjustRightInd w:val="0"/>
              <w:ind w:left="266" w:hanging="266"/>
              <w:textAlignment w:val="baseline"/>
              <w:rPr>
                <w:b/>
              </w:rPr>
            </w:pPr>
            <w:r w:rsidRPr="001F0A8F">
              <w:rPr>
                <w:b/>
                <w:bCs/>
              </w:rPr>
              <w:t>Esittelijä</w:t>
            </w:r>
          </w:p>
        </w:tc>
        <w:tc>
          <w:tcPr>
            <w:tcW w:w="7479" w:type="dxa"/>
          </w:tcPr>
          <w:p w:rsidRPr="001F0A8F" w:rsidR="001F0A8F" w:rsidP="000B3DCE" w:rsidRDefault="001F0A8F" w14:paraId="44A0B8AB" w14:textId="77777777">
            <w:pPr>
              <w:tabs>
                <w:tab w:val="center" w:pos="284"/>
              </w:tabs>
              <w:overflowPunct w:val="0"/>
              <w:autoSpaceDE w:val="0"/>
              <w:autoSpaceDN w:val="0"/>
              <w:adjustRightInd w:val="0"/>
              <w:ind w:left="266" w:hanging="266"/>
              <w:textAlignment w:val="baseline"/>
            </w:pPr>
            <w:r w:rsidRPr="001F0A8F">
              <w:t>Martin BÖHME (kansalaisyhteiskunnan organisaatiot – DE)</w:t>
            </w:r>
          </w:p>
        </w:tc>
      </w:tr>
      <w:tr w:rsidRPr="001F0A8F" w:rsidR="001F0A8F" w:rsidTr="00F70F48" w14:paraId="7D696AA8" w14:textId="77777777">
        <w:tc>
          <w:tcPr>
            <w:tcW w:w="1701" w:type="dxa"/>
          </w:tcPr>
          <w:p w:rsidRPr="001F0A8F" w:rsidR="001F0A8F" w:rsidP="000B3DCE" w:rsidRDefault="001F0A8F" w14:paraId="7F91C2E4" w14:textId="77777777">
            <w:pPr>
              <w:tabs>
                <w:tab w:val="center" w:pos="284"/>
              </w:tabs>
              <w:overflowPunct w:val="0"/>
              <w:autoSpaceDE w:val="0"/>
              <w:autoSpaceDN w:val="0"/>
              <w:adjustRightInd w:val="0"/>
              <w:ind w:left="266" w:hanging="266"/>
              <w:textAlignment w:val="baseline"/>
              <w:rPr>
                <w:b/>
              </w:rPr>
            </w:pPr>
            <w:r w:rsidRPr="001F0A8F">
              <w:rPr>
                <w:b/>
              </w:rPr>
              <w:t>Yhteisesittelijä</w:t>
            </w:r>
          </w:p>
        </w:tc>
        <w:tc>
          <w:tcPr>
            <w:tcW w:w="7479" w:type="dxa"/>
          </w:tcPr>
          <w:p w:rsidRPr="001F0A8F" w:rsidR="001F0A8F" w:rsidP="000B3DCE" w:rsidRDefault="001F0A8F" w14:paraId="15EE98D2" w14:textId="77777777">
            <w:pPr>
              <w:tabs>
                <w:tab w:val="center" w:pos="284"/>
              </w:tabs>
              <w:overflowPunct w:val="0"/>
              <w:autoSpaceDE w:val="0"/>
              <w:autoSpaceDN w:val="0"/>
              <w:adjustRightInd w:val="0"/>
              <w:ind w:left="266" w:hanging="266"/>
              <w:textAlignment w:val="baseline"/>
            </w:pPr>
            <w:proofErr w:type="spellStart"/>
            <w:r w:rsidRPr="001F0A8F">
              <w:t>Hervé</w:t>
            </w:r>
            <w:proofErr w:type="spellEnd"/>
            <w:r w:rsidRPr="001F0A8F">
              <w:t xml:space="preserve"> JEANNIN (kategoria 2 – FR)</w:t>
            </w:r>
          </w:p>
        </w:tc>
      </w:tr>
      <w:tr w:rsidRPr="001F0A8F" w:rsidR="001F0A8F" w:rsidTr="00F70F48" w14:paraId="00C5A3DC" w14:textId="77777777">
        <w:tc>
          <w:tcPr>
            <w:tcW w:w="9180" w:type="dxa"/>
            <w:gridSpan w:val="2"/>
          </w:tcPr>
          <w:p w:rsidRPr="001F0A8F" w:rsidR="001F0A8F" w:rsidP="000B3DCE" w:rsidRDefault="001F0A8F" w14:paraId="502D9BFA" w14:textId="77777777">
            <w:pPr>
              <w:tabs>
                <w:tab w:val="center" w:pos="284"/>
              </w:tabs>
              <w:overflowPunct w:val="0"/>
              <w:autoSpaceDE w:val="0"/>
              <w:autoSpaceDN w:val="0"/>
              <w:adjustRightInd w:val="0"/>
              <w:ind w:left="266" w:hanging="266"/>
              <w:textAlignment w:val="baseline"/>
              <w:rPr>
                <w:lang w:val="en-US"/>
              </w:rPr>
            </w:pPr>
          </w:p>
        </w:tc>
      </w:tr>
      <w:tr w:rsidRPr="001F0A8F" w:rsidR="001F0A8F" w:rsidTr="00F70F48" w14:paraId="7BC1F8B7" w14:textId="77777777">
        <w:tc>
          <w:tcPr>
            <w:tcW w:w="1701" w:type="dxa"/>
            <w:vMerge w:val="restart"/>
          </w:tcPr>
          <w:p w:rsidRPr="001F0A8F" w:rsidR="001F0A8F" w:rsidP="000B3DCE" w:rsidRDefault="001F0A8F" w14:paraId="392BE0D3" w14:textId="77777777">
            <w:pPr>
              <w:tabs>
                <w:tab w:val="center" w:pos="284"/>
              </w:tabs>
              <w:overflowPunct w:val="0"/>
              <w:autoSpaceDE w:val="0"/>
              <w:autoSpaceDN w:val="0"/>
              <w:adjustRightInd w:val="0"/>
              <w:ind w:left="266" w:hanging="266"/>
              <w:textAlignment w:val="baseline"/>
              <w:rPr>
                <w:b/>
              </w:rPr>
            </w:pPr>
            <w:r w:rsidRPr="001F0A8F">
              <w:rPr>
                <w:b/>
              </w:rPr>
              <w:t>Viiteasiakirja</w:t>
            </w:r>
          </w:p>
        </w:tc>
        <w:tc>
          <w:tcPr>
            <w:tcW w:w="7479" w:type="dxa"/>
          </w:tcPr>
          <w:p w:rsidRPr="001F0A8F" w:rsidR="001F0A8F" w:rsidP="000B3DCE" w:rsidRDefault="001F0A8F" w14:paraId="635CD771" w14:textId="77777777">
            <w:pPr>
              <w:tabs>
                <w:tab w:val="center" w:pos="284"/>
              </w:tabs>
              <w:overflowPunct w:val="0"/>
              <w:autoSpaceDE w:val="0"/>
              <w:autoSpaceDN w:val="0"/>
              <w:adjustRightInd w:val="0"/>
              <w:ind w:left="266" w:hanging="266"/>
              <w:textAlignment w:val="baseline"/>
            </w:pPr>
            <w:r w:rsidRPr="001F0A8F">
              <w:t>EESC-2024-02859-00-00-AC-TRA</w:t>
            </w:r>
          </w:p>
        </w:tc>
      </w:tr>
      <w:tr w:rsidRPr="001F0A8F" w:rsidR="001F0A8F" w:rsidTr="00F70F48" w14:paraId="54CBE76C" w14:textId="77777777">
        <w:tc>
          <w:tcPr>
            <w:tcW w:w="1701" w:type="dxa"/>
            <w:vMerge/>
          </w:tcPr>
          <w:p w:rsidRPr="001F0A8F" w:rsidR="001F0A8F" w:rsidP="000B3DCE" w:rsidRDefault="001F0A8F" w14:paraId="5B6F8F8C" w14:textId="77777777">
            <w:pPr>
              <w:tabs>
                <w:tab w:val="center" w:pos="284"/>
              </w:tabs>
              <w:overflowPunct w:val="0"/>
              <w:autoSpaceDE w:val="0"/>
              <w:autoSpaceDN w:val="0"/>
              <w:adjustRightInd w:val="0"/>
              <w:ind w:left="266" w:hanging="266"/>
              <w:textAlignment w:val="baseline"/>
              <w:rPr>
                <w:b/>
                <w:lang w:val="en-US"/>
              </w:rPr>
            </w:pPr>
          </w:p>
        </w:tc>
        <w:tc>
          <w:tcPr>
            <w:tcW w:w="7479" w:type="dxa"/>
          </w:tcPr>
          <w:p w:rsidRPr="001F0A8F" w:rsidR="001F0A8F" w:rsidP="000B3DCE" w:rsidRDefault="001F0A8F" w14:paraId="61E2CC7E" w14:textId="77777777">
            <w:pPr>
              <w:tabs>
                <w:tab w:val="center" w:pos="284"/>
              </w:tabs>
              <w:overflowPunct w:val="0"/>
              <w:autoSpaceDE w:val="0"/>
              <w:autoSpaceDN w:val="0"/>
              <w:adjustRightInd w:val="0"/>
              <w:ind w:left="266" w:hanging="266"/>
              <w:textAlignment w:val="baseline"/>
              <w:rPr>
                <w:lang w:val="en-US"/>
              </w:rPr>
            </w:pPr>
          </w:p>
        </w:tc>
      </w:tr>
    </w:tbl>
    <w:p w:rsidRPr="001F0A8F" w:rsidR="001F0A8F" w:rsidP="000B3DCE" w:rsidRDefault="001F0A8F" w14:paraId="2D79F86C" w14:textId="77777777">
      <w:pPr>
        <w:keepNext/>
        <w:keepLines/>
        <w:tabs>
          <w:tab w:val="center" w:pos="284"/>
        </w:tabs>
        <w:overflowPunct w:val="0"/>
        <w:autoSpaceDE w:val="0"/>
        <w:autoSpaceDN w:val="0"/>
        <w:adjustRightInd w:val="0"/>
        <w:ind w:left="266" w:hanging="266"/>
        <w:textAlignment w:val="baseline"/>
        <w:rPr>
          <w:b/>
        </w:rPr>
      </w:pPr>
      <w:r w:rsidRPr="001F0A8F">
        <w:rPr>
          <w:b/>
          <w:szCs w:val="20"/>
        </w:rPr>
        <w:t>Keskeiset kohdat</w:t>
      </w:r>
    </w:p>
    <w:p w:rsidRPr="001F0A8F" w:rsidR="001F0A8F" w:rsidP="000B3DCE" w:rsidRDefault="001F0A8F" w14:paraId="3B3C0713" w14:textId="77777777">
      <w:pPr>
        <w:keepNext/>
        <w:keepLines/>
        <w:tabs>
          <w:tab w:val="center" w:pos="284"/>
        </w:tabs>
        <w:overflowPunct w:val="0"/>
        <w:autoSpaceDE w:val="0"/>
        <w:autoSpaceDN w:val="0"/>
        <w:adjustRightInd w:val="0"/>
        <w:ind w:left="266" w:hanging="266"/>
        <w:textAlignment w:val="baseline"/>
        <w:rPr>
          <w:b/>
        </w:rPr>
      </w:pPr>
    </w:p>
    <w:p w:rsidRPr="001F0A8F" w:rsidR="001F0A8F" w:rsidP="000B3DCE" w:rsidRDefault="001F0A8F" w14:paraId="08E83474" w14:textId="77777777">
      <w:pPr>
        <w:overflowPunct w:val="0"/>
        <w:autoSpaceDE w:val="0"/>
        <w:autoSpaceDN w:val="0"/>
        <w:adjustRightInd w:val="0"/>
        <w:textAlignment w:val="baseline"/>
        <w:rPr>
          <w:szCs w:val="20"/>
        </w:rPr>
      </w:pPr>
      <w:r w:rsidRPr="001F0A8F">
        <w:rPr>
          <w:szCs w:val="20"/>
        </w:rPr>
        <w:t>ETSK</w:t>
      </w:r>
    </w:p>
    <w:p w:rsidRPr="001F0A8F" w:rsidR="001F0A8F" w:rsidP="009F7280" w:rsidRDefault="001F0A8F" w14:paraId="2669029D" w14:textId="77777777">
      <w:pPr>
        <w:pStyle w:val="ListParagraph"/>
        <w:numPr>
          <w:ilvl w:val="0"/>
          <w:numId w:val="40"/>
        </w:numPr>
        <w:ind w:left="426"/>
      </w:pPr>
      <w:r w:rsidRPr="001F0A8F">
        <w:t xml:space="preserve">suosittaa </w:t>
      </w:r>
      <w:r w:rsidRPr="009F7280">
        <w:rPr>
          <w:b/>
        </w:rPr>
        <w:t>kattavan sääntelykehyksen kehittämistä</w:t>
      </w:r>
      <w:r w:rsidRPr="001F0A8F">
        <w:t xml:space="preserve"> terveydenhuollon robotiikkaa ja </w:t>
      </w:r>
      <w:proofErr w:type="spellStart"/>
      <w:r w:rsidRPr="001F0A8F">
        <w:t>metaversumia</w:t>
      </w:r>
      <w:proofErr w:type="spellEnd"/>
      <w:r w:rsidRPr="001F0A8F">
        <w:t xml:space="preserve"> varten.</w:t>
      </w:r>
    </w:p>
    <w:p w:rsidRPr="001F0A8F" w:rsidR="001F0A8F" w:rsidP="009F7280" w:rsidRDefault="001F0A8F" w14:paraId="2596072C" w14:textId="77777777">
      <w:pPr>
        <w:pStyle w:val="ListParagraph"/>
        <w:numPr>
          <w:ilvl w:val="0"/>
          <w:numId w:val="40"/>
        </w:numPr>
        <w:ind w:left="426"/>
      </w:pPr>
      <w:r w:rsidRPr="001F0A8F">
        <w:t xml:space="preserve">pitää tärkeänä tärkeää </w:t>
      </w:r>
      <w:r w:rsidRPr="009F7280">
        <w:rPr>
          <w:b/>
        </w:rPr>
        <w:t>edistää eettisiä normeja ja potilaiden suostumusta koskevia protokollia</w:t>
      </w:r>
      <w:r w:rsidRPr="001F0A8F">
        <w:t>.</w:t>
      </w:r>
    </w:p>
    <w:p w:rsidRPr="001F0A8F" w:rsidR="001F0A8F" w:rsidP="009F7280" w:rsidRDefault="001F0A8F" w14:paraId="079DD710" w14:textId="77777777">
      <w:pPr>
        <w:pStyle w:val="ListParagraph"/>
        <w:numPr>
          <w:ilvl w:val="0"/>
          <w:numId w:val="40"/>
        </w:numPr>
        <w:ind w:left="426"/>
      </w:pPr>
      <w:r w:rsidRPr="001F0A8F">
        <w:t xml:space="preserve">kehottaa </w:t>
      </w:r>
      <w:r w:rsidRPr="009F7280">
        <w:rPr>
          <w:b/>
        </w:rPr>
        <w:t>investoimaan digitaaliseen infrastruktuuriin palveluiden yhdenvertaisen saatavuuden varmistamiseksi</w:t>
      </w:r>
      <w:r w:rsidRPr="001F0A8F">
        <w:t xml:space="preserve"> ja korostaa, että digitaalisen kuilun estämiseksi on tärkeää investoida digitaaliseen infrastruktuuriin erityisesti </w:t>
      </w:r>
      <w:r w:rsidRPr="009F7280">
        <w:rPr>
          <w:b/>
        </w:rPr>
        <w:t>maaseutualueilla ja alueilla, joilla palveluja on heikosti tarjolla</w:t>
      </w:r>
      <w:r w:rsidRPr="001F0A8F">
        <w:t xml:space="preserve">. EU:n olisi asetettava etusijalle 5G- ja 6G-verkkojen käyttöönotto robotiikan ja </w:t>
      </w:r>
      <w:proofErr w:type="spellStart"/>
      <w:r w:rsidRPr="001F0A8F">
        <w:t>metaversumiteknologioiden</w:t>
      </w:r>
      <w:proofErr w:type="spellEnd"/>
      <w:r w:rsidRPr="001F0A8F">
        <w:t xml:space="preserve"> turvallisen ja luotettavan toiminnan tukemiseksi. Komitea pitää keskeisenä painopisteenä, että terveydenhoidossa saavutettua edistystä on voitava hyödyntää tasavertaisesti kaikissa jäsenvaltioissa.</w:t>
      </w:r>
    </w:p>
    <w:p w:rsidRPr="001F0A8F" w:rsidR="001F0A8F" w:rsidP="009F7280" w:rsidRDefault="001F0A8F" w14:paraId="4D503D81" w14:textId="77777777">
      <w:pPr>
        <w:pStyle w:val="ListParagraph"/>
        <w:numPr>
          <w:ilvl w:val="0"/>
          <w:numId w:val="40"/>
        </w:numPr>
        <w:ind w:left="426"/>
      </w:pPr>
      <w:r w:rsidRPr="001F0A8F">
        <w:t xml:space="preserve">kannattaa </w:t>
      </w:r>
      <w:r w:rsidRPr="009F7280">
        <w:rPr>
          <w:b/>
        </w:rPr>
        <w:t>terveydenhuollon ammattilaisille tarjottavan koulutustuen lisäämistä</w:t>
      </w:r>
      <w:r w:rsidRPr="001F0A8F">
        <w:t xml:space="preserve">. Komitea katsoo, että EU:n on rahoitettava ja edistettävä koulutusohjelmia, joilla lääketieteen ammattilaisille annetaan valmiudet integroida robotiikka ja </w:t>
      </w:r>
      <w:proofErr w:type="spellStart"/>
      <w:r w:rsidRPr="001F0A8F">
        <w:t>metaversumiteknologia</w:t>
      </w:r>
      <w:proofErr w:type="spellEnd"/>
      <w:r w:rsidRPr="001F0A8F">
        <w:t xml:space="preserve"> työhönsä.</w:t>
      </w:r>
    </w:p>
    <w:p w:rsidRPr="001F0A8F" w:rsidR="001F0A8F" w:rsidP="009F7280" w:rsidRDefault="001F0A8F" w14:paraId="1A545CA6" w14:textId="77777777">
      <w:pPr>
        <w:pStyle w:val="ListParagraph"/>
        <w:numPr>
          <w:ilvl w:val="0"/>
          <w:numId w:val="40"/>
        </w:numPr>
        <w:ind w:left="426"/>
      </w:pPr>
      <w:r w:rsidRPr="001F0A8F">
        <w:t xml:space="preserve">kannustaa </w:t>
      </w:r>
      <w:r w:rsidRPr="009F7280">
        <w:rPr>
          <w:b/>
        </w:rPr>
        <w:t>edistämään innovointia kohdennetun EU:n investointistrategian avulla</w:t>
      </w:r>
      <w:r w:rsidRPr="001F0A8F">
        <w:t xml:space="preserve">. Komitea suosittaa painokkaasti, että EU kehittää kohdennetun investointistrategian, jolla pyritään erityisesti tukemaan terveydenhoitoon tarkoitettujen robotiikka- ja </w:t>
      </w:r>
      <w:proofErr w:type="spellStart"/>
      <w:r w:rsidRPr="001F0A8F">
        <w:t>metaversumiratkaisujen</w:t>
      </w:r>
      <w:proofErr w:type="spellEnd"/>
      <w:r w:rsidRPr="001F0A8F">
        <w:t xml:space="preserve"> parissa työskenteleviä pieniä ja keskisuuria yrityksiä (pk-yrityksiä), ja</w:t>
      </w:r>
    </w:p>
    <w:p w:rsidRPr="001F0A8F" w:rsidR="001F0A8F" w:rsidP="009F7280" w:rsidRDefault="001F0A8F" w14:paraId="31731D87" w14:textId="77777777">
      <w:pPr>
        <w:pStyle w:val="ListParagraph"/>
        <w:numPr>
          <w:ilvl w:val="0"/>
          <w:numId w:val="40"/>
        </w:numPr>
        <w:ind w:left="426"/>
      </w:pPr>
      <w:r w:rsidRPr="001F0A8F">
        <w:t xml:space="preserve">korostaa </w:t>
      </w:r>
      <w:r w:rsidRPr="009F7280">
        <w:rPr>
          <w:b/>
        </w:rPr>
        <w:t>vahvan tieto- ja kyberturvallisuussuojan</w:t>
      </w:r>
      <w:r w:rsidRPr="001F0A8F">
        <w:t xml:space="preserve"> tarvetta. Se kehottaa EU:ta panemaan täytäntöön tiukat tietosuoja- ja kyberturvallisuussäännökset arkaluonteisten terveystietojen suojaamiseksi ja kyberhyökkäyksiltä suojautumiseksi. Tähän sisältyy robotiikan, </w:t>
      </w:r>
      <w:proofErr w:type="spellStart"/>
      <w:r w:rsidRPr="001F0A8F">
        <w:t>metaversumin</w:t>
      </w:r>
      <w:proofErr w:type="spellEnd"/>
      <w:r w:rsidRPr="001F0A8F">
        <w:t xml:space="preserve"> ja ihmisen käytössä olevien liitäntälaitteiden välisten yhteyksien turvaaminen. ETSK huomauttaa myös, että kysymystä datasuvereniteetista ja tietojen vaatimuksenmukaisuudesta eri lainkäyttöalueilla on käsiteltävä, jotta voidaan suojella potilaiden oikeuksia ja varmistaa luottamus </w:t>
      </w:r>
      <w:proofErr w:type="spellStart"/>
      <w:r w:rsidRPr="001F0A8F">
        <w:t>rajatylittäviin</w:t>
      </w:r>
      <w:proofErr w:type="spellEnd"/>
      <w:r w:rsidRPr="001F0A8F">
        <w:t xml:space="preserve"> terveydenhuoltopalveluihin.</w:t>
      </w:r>
    </w:p>
    <w:p w:rsidRPr="001F0A8F" w:rsidR="001F0A8F" w:rsidP="000B3DCE" w:rsidRDefault="001F0A8F" w14:paraId="7470DB00" w14:textId="77777777">
      <w:pPr>
        <w:keepNext/>
        <w:keepLines/>
        <w:widowControl w:val="0"/>
        <w:overflowPunct w:val="0"/>
        <w:autoSpaceDE w:val="0"/>
        <w:autoSpaceDN w:val="0"/>
        <w:adjustRightInd w:val="0"/>
        <w:textAlignment w:val="baseline"/>
        <w:rPr>
          <w:szCs w:val="20"/>
        </w:rPr>
      </w:pPr>
    </w:p>
    <w:tbl>
      <w:tblPr>
        <w:tblStyle w:val="TableGrid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1F0A8F" w:rsidR="001F0A8F" w:rsidTr="00F70F48" w14:paraId="11F68019" w14:textId="77777777">
        <w:tc>
          <w:tcPr>
            <w:tcW w:w="1418" w:type="dxa"/>
          </w:tcPr>
          <w:p w:rsidRPr="001F0A8F" w:rsidR="001F0A8F" w:rsidP="000B3DCE" w:rsidRDefault="001F0A8F" w14:paraId="288E9679" w14:textId="77777777">
            <w:pPr>
              <w:keepNext/>
              <w:keepLines/>
              <w:overflowPunct w:val="0"/>
              <w:autoSpaceDE w:val="0"/>
              <w:autoSpaceDN w:val="0"/>
              <w:adjustRightInd w:val="0"/>
              <w:textAlignment w:val="baseline"/>
              <w:rPr>
                <w:i/>
              </w:rPr>
            </w:pPr>
            <w:r w:rsidRPr="001F0A8F">
              <w:rPr>
                <w:b/>
                <w:i/>
              </w:rPr>
              <w:t>Yhteydenotot</w:t>
            </w:r>
          </w:p>
        </w:tc>
        <w:tc>
          <w:tcPr>
            <w:tcW w:w="5670" w:type="dxa"/>
          </w:tcPr>
          <w:p w:rsidRPr="001F0A8F" w:rsidR="001F0A8F" w:rsidP="000B3DCE" w:rsidRDefault="001F0A8F" w14:paraId="012F6306" w14:textId="0D699697">
            <w:pPr>
              <w:keepNext/>
              <w:keepLines/>
              <w:overflowPunct w:val="0"/>
              <w:autoSpaceDE w:val="0"/>
              <w:autoSpaceDN w:val="0"/>
              <w:adjustRightInd w:val="0"/>
              <w:textAlignment w:val="baseline"/>
              <w:rPr>
                <w:i/>
              </w:rPr>
            </w:pPr>
            <w:r w:rsidRPr="001F0A8F">
              <w:rPr>
                <w:i/>
              </w:rPr>
              <w:t xml:space="preserve">Marie-Laurence </w:t>
            </w:r>
            <w:r w:rsidRPr="001F0A8F" w:rsidR="00B91D91">
              <w:rPr>
                <w:i/>
              </w:rPr>
              <w:t>DRILLON</w:t>
            </w:r>
          </w:p>
        </w:tc>
      </w:tr>
      <w:tr w:rsidRPr="001F0A8F" w:rsidR="001F0A8F" w:rsidTr="00F70F48" w14:paraId="14514E2F" w14:textId="77777777">
        <w:tc>
          <w:tcPr>
            <w:tcW w:w="1418" w:type="dxa"/>
          </w:tcPr>
          <w:p w:rsidRPr="001F0A8F" w:rsidR="001F0A8F" w:rsidP="000B3DCE" w:rsidRDefault="001F0A8F" w14:paraId="389D0B49" w14:textId="77777777">
            <w:pPr>
              <w:keepNext/>
              <w:keepLines/>
              <w:overflowPunct w:val="0"/>
              <w:autoSpaceDE w:val="0"/>
              <w:autoSpaceDN w:val="0"/>
              <w:adjustRightInd w:val="0"/>
              <w:textAlignment w:val="baseline"/>
              <w:rPr>
                <w:i/>
              </w:rPr>
            </w:pPr>
            <w:r w:rsidRPr="001F0A8F">
              <w:rPr>
                <w:i/>
              </w:rPr>
              <w:t>Puh.</w:t>
            </w:r>
          </w:p>
        </w:tc>
        <w:tc>
          <w:tcPr>
            <w:tcW w:w="5670" w:type="dxa"/>
          </w:tcPr>
          <w:p w:rsidRPr="001F0A8F" w:rsidR="001F0A8F" w:rsidP="000B3DCE" w:rsidRDefault="001F0A8F" w14:paraId="7BC6CA71" w14:textId="77777777">
            <w:pPr>
              <w:keepNext/>
              <w:keepLines/>
              <w:overflowPunct w:val="0"/>
              <w:autoSpaceDE w:val="0"/>
              <w:autoSpaceDN w:val="0"/>
              <w:adjustRightInd w:val="0"/>
              <w:textAlignment w:val="baseline"/>
              <w:rPr>
                <w:i/>
              </w:rPr>
            </w:pPr>
            <w:r w:rsidRPr="001F0A8F">
              <w:rPr>
                <w:i/>
              </w:rPr>
              <w:t>+32 2 546 8320</w:t>
            </w:r>
          </w:p>
        </w:tc>
      </w:tr>
      <w:tr w:rsidRPr="001F0A8F" w:rsidR="001F0A8F" w:rsidTr="00F70F48" w14:paraId="1D259557" w14:textId="77777777">
        <w:tc>
          <w:tcPr>
            <w:tcW w:w="1418" w:type="dxa"/>
          </w:tcPr>
          <w:p w:rsidRPr="001F0A8F" w:rsidR="001F0A8F" w:rsidP="000B3DCE" w:rsidRDefault="001F0A8F" w14:paraId="0E3121BE" w14:textId="77777777">
            <w:pPr>
              <w:overflowPunct w:val="0"/>
              <w:autoSpaceDE w:val="0"/>
              <w:autoSpaceDN w:val="0"/>
              <w:adjustRightInd w:val="0"/>
              <w:textAlignment w:val="baseline"/>
              <w:rPr>
                <w:i/>
              </w:rPr>
            </w:pPr>
            <w:r w:rsidRPr="001F0A8F">
              <w:rPr>
                <w:i/>
              </w:rPr>
              <w:t>Sähköposti</w:t>
            </w:r>
          </w:p>
        </w:tc>
        <w:tc>
          <w:tcPr>
            <w:tcW w:w="5670" w:type="dxa"/>
          </w:tcPr>
          <w:p w:rsidRPr="001F0A8F" w:rsidR="001F0A8F" w:rsidP="000B3DCE" w:rsidRDefault="00D94EF3" w14:paraId="0DE82023" w14:textId="77777777">
            <w:pPr>
              <w:overflowPunct w:val="0"/>
              <w:autoSpaceDE w:val="0"/>
              <w:autoSpaceDN w:val="0"/>
              <w:adjustRightInd w:val="0"/>
              <w:textAlignment w:val="baseline"/>
              <w:rPr>
                <w:i/>
              </w:rPr>
            </w:pPr>
            <w:hyperlink w:history="1" r:id="rId50">
              <w:r w:rsidRPr="001F0A8F" w:rsidR="001F0A8F">
                <w:rPr>
                  <w:i/>
                  <w:color w:val="0000FF"/>
                  <w:u w:val="single"/>
                </w:rPr>
                <w:t>Marie-Laurence.Drillon@eesc.europa.eu</w:t>
              </w:r>
            </w:hyperlink>
          </w:p>
        </w:tc>
      </w:tr>
    </w:tbl>
    <w:p w:rsidR="000B3DCE" w:rsidP="000B3DCE" w:rsidRDefault="000B3DCE" w14:paraId="4DAF9F77" w14:textId="77777777">
      <w:pPr>
        <w:overflowPunct w:val="0"/>
        <w:autoSpaceDE w:val="0"/>
        <w:autoSpaceDN w:val="0"/>
        <w:adjustRightInd w:val="0"/>
        <w:jc w:val="center"/>
        <w:textAlignment w:val="baseline"/>
        <w:rPr>
          <w:lang w:val="nl-BE"/>
        </w:rPr>
      </w:pPr>
    </w:p>
    <w:p w:rsidR="005E6D41" w:rsidP="000B3DCE" w:rsidRDefault="005E6D41" w14:paraId="01B6536D" w14:textId="113F8A77">
      <w:pPr>
        <w:overflowPunct w:val="0"/>
        <w:autoSpaceDE w:val="0"/>
        <w:autoSpaceDN w:val="0"/>
        <w:adjustRightInd w:val="0"/>
        <w:jc w:val="center"/>
        <w:textAlignment w:val="baseline"/>
        <w:rPr>
          <w:lang w:val="nl-BE"/>
        </w:rPr>
      </w:pPr>
      <w:r>
        <w:rPr>
          <w:lang w:val="nl-BE"/>
        </w:rPr>
        <w:t>_____________</w:t>
      </w:r>
    </w:p>
    <w:p w:rsidR="000D394D" w:rsidP="000B3DCE" w:rsidRDefault="000D394D" w14:paraId="2E28EF19" w14:textId="23C618E8">
      <w:pPr>
        <w:spacing w:after="160"/>
        <w:jc w:val="left"/>
      </w:pPr>
    </w:p>
    <w:sectPr w:rsidR="000D394D" w:rsidSect="00D40A83">
      <w:pgSz w:w="11907" w:h="16839"/>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830FBB" w14:textId="77777777" w:rsidR="001E391D" w:rsidRDefault="001E391D" w:rsidP="00B518C9">
      <w:pPr>
        <w:spacing w:line="240" w:lineRule="auto"/>
      </w:pPr>
      <w:r>
        <w:separator/>
      </w:r>
    </w:p>
  </w:endnote>
  <w:endnote w:type="continuationSeparator" w:id="0">
    <w:p w14:paraId="11583423" w14:textId="77777777" w:rsidR="001E391D" w:rsidRDefault="001E391D" w:rsidP="00B518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DE51" w14:textId="312A3847" w:rsidR="00B518C9" w:rsidRPr="00B518C9" w:rsidRDefault="00EC2D6A" w:rsidP="00B518C9">
    <w:pPr>
      <w:pStyle w:val="Footer"/>
    </w:pPr>
    <w:r>
      <w:t>EESC-2025-00345-00-0</w:t>
    </w:r>
    <w:r w:rsidR="00493068">
      <w:t>1</w:t>
    </w:r>
    <w:r>
      <w:t xml:space="preserve">-TCD-TRA (EN) </w:t>
    </w:r>
    <w:r w:rsidR="00B518C9">
      <w:fldChar w:fldCharType="begin"/>
    </w:r>
    <w:r w:rsidR="00B518C9">
      <w:instrText xml:space="preserve"> PAGE  \* Arabic  \* MERGEFORMAT </w:instrText>
    </w:r>
    <w:r w:rsidR="00B518C9">
      <w:fldChar w:fldCharType="separate"/>
    </w:r>
    <w:r w:rsidR="00BC5FBA">
      <w:rPr>
        <w:noProof/>
      </w:rPr>
      <w:t>3</w:t>
    </w:r>
    <w:r w:rsidR="00B518C9">
      <w:fldChar w:fldCharType="end"/>
    </w:r>
    <w:r w:rsidR="00B518C9">
      <w:t>/</w:t>
    </w:r>
    <w:r w:rsidR="00B518C9">
      <w:fldChar w:fldCharType="begin"/>
    </w:r>
    <w:r w:rsidR="00B518C9">
      <w:instrText xml:space="preserve"> = </w:instrText>
    </w:r>
    <w:fldSimple w:instr=" NUMPAGES ">
      <w:r w:rsidR="00147554">
        <w:rPr>
          <w:noProof/>
        </w:rPr>
        <w:instrText>23</w:instrText>
      </w:r>
    </w:fldSimple>
    <w:r w:rsidR="00B518C9">
      <w:instrText xml:space="preserve"> -0 </w:instrText>
    </w:r>
    <w:r w:rsidR="00B518C9">
      <w:fldChar w:fldCharType="separate"/>
    </w:r>
    <w:r w:rsidR="00147554">
      <w:rPr>
        <w:noProof/>
      </w:rPr>
      <w:t>23</w:t>
    </w:r>
    <w:r w:rsidR="00B518C9">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C2DB26" w14:textId="77777777" w:rsidR="001E391D" w:rsidRDefault="001E391D" w:rsidP="00B518C9">
      <w:pPr>
        <w:spacing w:line="240" w:lineRule="auto"/>
      </w:pPr>
      <w:r>
        <w:separator/>
      </w:r>
    </w:p>
  </w:footnote>
  <w:footnote w:type="continuationSeparator" w:id="0">
    <w:p w14:paraId="1175CF01" w14:textId="77777777" w:rsidR="001E391D" w:rsidRDefault="001E391D" w:rsidP="00B518C9">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8DA679E8"/>
    <w:lvl w:ilvl="0">
      <w:start w:val="1"/>
      <w:numFmt w:val="decimal"/>
      <w:pStyle w:val="Heading1"/>
      <w:lvlText w:val="%1."/>
      <w:legacy w:legacy="1" w:legacySpace="0" w:legacyIndent="0"/>
      <w:lvlJc w:val="left"/>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FFFFFFFE"/>
    <w:multiLevelType w:val="singleLevel"/>
    <w:tmpl w:val="DDE088C8"/>
    <w:lvl w:ilvl="0">
      <w:numFmt w:val="decimal"/>
      <w:lvlText w:val="*"/>
      <w:lvlJc w:val="left"/>
    </w:lvl>
  </w:abstractNum>
  <w:abstractNum w:abstractNumId="2" w15:restartNumberingAfterBreak="0">
    <w:nsid w:val="003B78BD"/>
    <w:multiLevelType w:val="hybridMultilevel"/>
    <w:tmpl w:val="66DEF13E"/>
    <w:lvl w:ilvl="0" w:tplc="080C0001">
      <w:start w:val="1"/>
      <w:numFmt w:val="bullet"/>
      <w:lvlText w:val=""/>
      <w:lvlJc w:val="left"/>
      <w:pPr>
        <w:ind w:left="1429" w:hanging="360"/>
      </w:pPr>
      <w:rPr>
        <w:rFonts w:ascii="Symbol" w:hAnsi="Symbol" w:hint="default"/>
      </w:rPr>
    </w:lvl>
    <w:lvl w:ilvl="1" w:tplc="080C0003" w:tentative="1">
      <w:start w:val="1"/>
      <w:numFmt w:val="bullet"/>
      <w:lvlText w:val="o"/>
      <w:lvlJc w:val="left"/>
      <w:pPr>
        <w:ind w:left="2149" w:hanging="360"/>
      </w:pPr>
      <w:rPr>
        <w:rFonts w:ascii="Courier New" w:hAnsi="Courier New" w:cs="Courier New" w:hint="default"/>
      </w:rPr>
    </w:lvl>
    <w:lvl w:ilvl="2" w:tplc="080C0005" w:tentative="1">
      <w:start w:val="1"/>
      <w:numFmt w:val="bullet"/>
      <w:lvlText w:val=""/>
      <w:lvlJc w:val="left"/>
      <w:pPr>
        <w:ind w:left="2869" w:hanging="360"/>
      </w:pPr>
      <w:rPr>
        <w:rFonts w:ascii="Wingdings" w:hAnsi="Wingdings" w:hint="default"/>
      </w:rPr>
    </w:lvl>
    <w:lvl w:ilvl="3" w:tplc="080C0001" w:tentative="1">
      <w:start w:val="1"/>
      <w:numFmt w:val="bullet"/>
      <w:lvlText w:val=""/>
      <w:lvlJc w:val="left"/>
      <w:pPr>
        <w:ind w:left="3589" w:hanging="360"/>
      </w:pPr>
      <w:rPr>
        <w:rFonts w:ascii="Symbol" w:hAnsi="Symbol" w:hint="default"/>
      </w:rPr>
    </w:lvl>
    <w:lvl w:ilvl="4" w:tplc="080C0003" w:tentative="1">
      <w:start w:val="1"/>
      <w:numFmt w:val="bullet"/>
      <w:lvlText w:val="o"/>
      <w:lvlJc w:val="left"/>
      <w:pPr>
        <w:ind w:left="4309" w:hanging="360"/>
      </w:pPr>
      <w:rPr>
        <w:rFonts w:ascii="Courier New" w:hAnsi="Courier New" w:cs="Courier New" w:hint="default"/>
      </w:rPr>
    </w:lvl>
    <w:lvl w:ilvl="5" w:tplc="080C0005" w:tentative="1">
      <w:start w:val="1"/>
      <w:numFmt w:val="bullet"/>
      <w:lvlText w:val=""/>
      <w:lvlJc w:val="left"/>
      <w:pPr>
        <w:ind w:left="5029" w:hanging="360"/>
      </w:pPr>
      <w:rPr>
        <w:rFonts w:ascii="Wingdings" w:hAnsi="Wingdings" w:hint="default"/>
      </w:rPr>
    </w:lvl>
    <w:lvl w:ilvl="6" w:tplc="080C0001" w:tentative="1">
      <w:start w:val="1"/>
      <w:numFmt w:val="bullet"/>
      <w:lvlText w:val=""/>
      <w:lvlJc w:val="left"/>
      <w:pPr>
        <w:ind w:left="5749" w:hanging="360"/>
      </w:pPr>
      <w:rPr>
        <w:rFonts w:ascii="Symbol" w:hAnsi="Symbol" w:hint="default"/>
      </w:rPr>
    </w:lvl>
    <w:lvl w:ilvl="7" w:tplc="080C0003" w:tentative="1">
      <w:start w:val="1"/>
      <w:numFmt w:val="bullet"/>
      <w:lvlText w:val="o"/>
      <w:lvlJc w:val="left"/>
      <w:pPr>
        <w:ind w:left="6469" w:hanging="360"/>
      </w:pPr>
      <w:rPr>
        <w:rFonts w:ascii="Courier New" w:hAnsi="Courier New" w:cs="Courier New" w:hint="default"/>
      </w:rPr>
    </w:lvl>
    <w:lvl w:ilvl="8" w:tplc="080C0005" w:tentative="1">
      <w:start w:val="1"/>
      <w:numFmt w:val="bullet"/>
      <w:lvlText w:val=""/>
      <w:lvlJc w:val="left"/>
      <w:pPr>
        <w:ind w:left="7189" w:hanging="360"/>
      </w:pPr>
      <w:rPr>
        <w:rFonts w:ascii="Wingdings" w:hAnsi="Wingdings" w:hint="default"/>
      </w:rPr>
    </w:lvl>
  </w:abstractNum>
  <w:abstractNum w:abstractNumId="3" w15:restartNumberingAfterBreak="0">
    <w:nsid w:val="02E66881"/>
    <w:multiLevelType w:val="hybridMultilevel"/>
    <w:tmpl w:val="C47C417C"/>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02FF20B7"/>
    <w:multiLevelType w:val="hybridMultilevel"/>
    <w:tmpl w:val="67E423E2"/>
    <w:lvl w:ilvl="0" w:tplc="89029A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F77DDB"/>
    <w:multiLevelType w:val="hybridMultilevel"/>
    <w:tmpl w:val="33DC056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174B4458"/>
    <w:multiLevelType w:val="singleLevel"/>
    <w:tmpl w:val="DDE088C8"/>
    <w:lvl w:ilvl="0">
      <w:numFmt w:val="decimal"/>
      <w:lvlText w:val="*"/>
      <w:lvlJc w:val="left"/>
    </w:lvl>
  </w:abstractNum>
  <w:abstractNum w:abstractNumId="7" w15:restartNumberingAfterBreak="0">
    <w:nsid w:val="1A060648"/>
    <w:multiLevelType w:val="hybridMultilevel"/>
    <w:tmpl w:val="4342C076"/>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461C51"/>
    <w:multiLevelType w:val="hybridMultilevel"/>
    <w:tmpl w:val="EDC2B96A"/>
    <w:lvl w:ilvl="0" w:tplc="89029AA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75F2241"/>
    <w:multiLevelType w:val="hybridMultilevel"/>
    <w:tmpl w:val="0DB4F262"/>
    <w:lvl w:ilvl="0" w:tplc="080C0001">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283D5A56"/>
    <w:multiLevelType w:val="hybridMultilevel"/>
    <w:tmpl w:val="AF40C976"/>
    <w:lvl w:ilvl="0" w:tplc="89029AA0">
      <w:start w:val="1"/>
      <w:numFmt w:val="bullet"/>
      <w:lvlText w:val=""/>
      <w:lvlJc w:val="left"/>
      <w:pPr>
        <w:ind w:left="720" w:hanging="360"/>
      </w:pPr>
      <w:rPr>
        <w:rFonts w:ascii="Symbol" w:hAnsi="Symbol" w:hint="default"/>
      </w:rPr>
    </w:lvl>
    <w:lvl w:ilvl="1" w:tplc="89029AA0">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CC4C91"/>
    <w:multiLevelType w:val="hybridMultilevel"/>
    <w:tmpl w:val="2B969890"/>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2A942A0F"/>
    <w:multiLevelType w:val="hybridMultilevel"/>
    <w:tmpl w:val="32623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CA45BD"/>
    <w:multiLevelType w:val="hybridMultilevel"/>
    <w:tmpl w:val="60948DA2"/>
    <w:lvl w:ilvl="0" w:tplc="89029A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B6158AC"/>
    <w:multiLevelType w:val="multilevel"/>
    <w:tmpl w:val="0BC842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FD83E27"/>
    <w:multiLevelType w:val="hybridMultilevel"/>
    <w:tmpl w:val="1F4CEE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6" w15:restartNumberingAfterBreak="0">
    <w:nsid w:val="334E0466"/>
    <w:multiLevelType w:val="hybridMultilevel"/>
    <w:tmpl w:val="DC2899EE"/>
    <w:lvl w:ilvl="0" w:tplc="89029AA0">
      <w:start w:val="1"/>
      <w:numFmt w:val="bullet"/>
      <w:lvlText w:val=""/>
      <w:lvlJc w:val="left"/>
      <w:pPr>
        <w:ind w:left="720" w:hanging="360"/>
      </w:pPr>
      <w:rPr>
        <w:rFonts w:ascii="Symbol" w:hAnsi="Symbol" w:hint="default"/>
      </w:rPr>
    </w:lvl>
    <w:lvl w:ilvl="1" w:tplc="B6CEA77C">
      <w:numFmt w:val="bullet"/>
      <w:lvlText w:val="-"/>
      <w:lvlJc w:val="left"/>
      <w:pPr>
        <w:ind w:left="1440" w:hanging="360"/>
      </w:pPr>
      <w:rPr>
        <w:rFonts w:ascii="Times New Roman" w:eastAsia="Times New Roman" w:hAnsi="Times New Roman" w:cs="Times New Roman"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369F1F99"/>
    <w:multiLevelType w:val="hybridMultilevel"/>
    <w:tmpl w:val="C4628F90"/>
    <w:lvl w:ilvl="0" w:tplc="89029AA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6DA0ACF"/>
    <w:multiLevelType w:val="hybridMultilevel"/>
    <w:tmpl w:val="BB728564"/>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3C0F405A"/>
    <w:multiLevelType w:val="hybridMultilevel"/>
    <w:tmpl w:val="16AAFCDC"/>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3F8E776F"/>
    <w:multiLevelType w:val="hybridMultilevel"/>
    <w:tmpl w:val="7026F874"/>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430022FB"/>
    <w:multiLevelType w:val="hybridMultilevel"/>
    <w:tmpl w:val="670A7120"/>
    <w:lvl w:ilvl="0" w:tplc="89029AA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52CA61C9"/>
    <w:multiLevelType w:val="hybridMultilevel"/>
    <w:tmpl w:val="6F5442C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54F92C6D"/>
    <w:multiLevelType w:val="hybridMultilevel"/>
    <w:tmpl w:val="246A71BC"/>
    <w:lvl w:ilvl="0" w:tplc="04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4" w15:restartNumberingAfterBreak="0">
    <w:nsid w:val="55E02A9A"/>
    <w:multiLevelType w:val="hybridMultilevel"/>
    <w:tmpl w:val="000870EA"/>
    <w:lvl w:ilvl="0" w:tplc="040B000F">
      <w:start w:val="1"/>
      <w:numFmt w:val="decimal"/>
      <w:lvlText w:val="%1."/>
      <w:lvlJc w:val="left"/>
      <w:pPr>
        <w:ind w:left="720" w:hanging="360"/>
      </w:pPr>
      <w:rPr>
        <w:rFont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5" w15:restartNumberingAfterBreak="0">
    <w:nsid w:val="562F222D"/>
    <w:multiLevelType w:val="hybridMultilevel"/>
    <w:tmpl w:val="BE9885E6"/>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56B367E8"/>
    <w:multiLevelType w:val="hybridMultilevel"/>
    <w:tmpl w:val="0B900090"/>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C742FC"/>
    <w:multiLevelType w:val="hybridMultilevel"/>
    <w:tmpl w:val="E49E1C54"/>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5B941351"/>
    <w:multiLevelType w:val="multilevel"/>
    <w:tmpl w:val="7E88BA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25CD2"/>
    <w:multiLevelType w:val="hybridMultilevel"/>
    <w:tmpl w:val="81028E4C"/>
    <w:lvl w:ilvl="0" w:tplc="89029AA0">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0" w15:restartNumberingAfterBreak="0">
    <w:nsid w:val="5FCF522C"/>
    <w:multiLevelType w:val="hybridMultilevel"/>
    <w:tmpl w:val="FAC885DE"/>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31" w15:restartNumberingAfterBreak="0">
    <w:nsid w:val="627C73E2"/>
    <w:multiLevelType w:val="hybridMultilevel"/>
    <w:tmpl w:val="D9784A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2" w15:restartNumberingAfterBreak="0">
    <w:nsid w:val="63B60044"/>
    <w:multiLevelType w:val="hybridMultilevel"/>
    <w:tmpl w:val="D59E9AB4"/>
    <w:lvl w:ilvl="0" w:tplc="3DC081D6">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3" w15:restartNumberingAfterBreak="0">
    <w:nsid w:val="668F545D"/>
    <w:multiLevelType w:val="hybridMultilevel"/>
    <w:tmpl w:val="74DCA7A4"/>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97D1E3D"/>
    <w:multiLevelType w:val="hybridMultilevel"/>
    <w:tmpl w:val="8BEA0D7E"/>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9E014D1"/>
    <w:multiLevelType w:val="hybridMultilevel"/>
    <w:tmpl w:val="84DED000"/>
    <w:lvl w:ilvl="0" w:tplc="4D645226">
      <w:start w:val="1"/>
      <w:numFmt w:val="bullet"/>
      <w:lvlText w:val=""/>
      <w:lvlJc w:val="left"/>
      <w:pPr>
        <w:ind w:left="1070" w:hanging="360"/>
      </w:pPr>
      <w:rPr>
        <w:rFonts w:ascii="Symbol" w:hAnsi="Symbol" w:hint="default"/>
        <w:sz w:val="28"/>
        <w:szCs w:val="28"/>
      </w:rPr>
    </w:lvl>
    <w:lvl w:ilvl="1" w:tplc="04090003" w:tentative="1">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36" w15:restartNumberingAfterBreak="0">
    <w:nsid w:val="6DB20D5D"/>
    <w:multiLevelType w:val="hybridMultilevel"/>
    <w:tmpl w:val="9BF0B82E"/>
    <w:lvl w:ilvl="0" w:tplc="89029AA0">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7" w15:restartNumberingAfterBreak="0">
    <w:nsid w:val="755174AA"/>
    <w:multiLevelType w:val="singleLevel"/>
    <w:tmpl w:val="DDE088C8"/>
    <w:lvl w:ilvl="0">
      <w:numFmt w:val="decimal"/>
      <w:lvlText w:val="*"/>
      <w:lvlJc w:val="left"/>
    </w:lvl>
  </w:abstractNum>
  <w:abstractNum w:abstractNumId="38" w15:restartNumberingAfterBreak="0">
    <w:nsid w:val="767D7BDC"/>
    <w:multiLevelType w:val="hybridMultilevel"/>
    <w:tmpl w:val="193433BE"/>
    <w:lvl w:ilvl="0" w:tplc="89029AA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1A7F53"/>
    <w:multiLevelType w:val="hybridMultilevel"/>
    <w:tmpl w:val="B080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35"/>
  </w:num>
  <w:num w:numId="3">
    <w:abstractNumId w:val="38"/>
  </w:num>
  <w:num w:numId="4">
    <w:abstractNumId w:val="1"/>
    <w:lvlOverride w:ilvl="0">
      <w:lvl w:ilvl="0">
        <w:start w:val="1"/>
        <w:numFmt w:val="bullet"/>
        <w:lvlText w:val=""/>
        <w:legacy w:legacy="1" w:legacySpace="0" w:legacyIndent="283"/>
        <w:lvlJc w:val="left"/>
        <w:pPr>
          <w:ind w:left="567" w:hanging="283"/>
        </w:pPr>
        <w:rPr>
          <w:rFonts w:ascii="Symbol" w:hAnsi="Symbol" w:hint="default"/>
          <w:color w:val="auto"/>
        </w:rPr>
      </w:lvl>
    </w:lvlOverride>
  </w:num>
  <w:num w:numId="5">
    <w:abstractNumId w:val="23"/>
  </w:num>
  <w:num w:numId="6">
    <w:abstractNumId w:val="15"/>
  </w:num>
  <w:num w:numId="7">
    <w:abstractNumId w:val="12"/>
  </w:num>
  <w:num w:numId="8">
    <w:abstractNumId w:val="22"/>
  </w:num>
  <w:num w:numId="9">
    <w:abstractNumId w:val="30"/>
  </w:num>
  <w:num w:numId="10">
    <w:abstractNumId w:val="1"/>
    <w:lvlOverride w:ilvl="0">
      <w:lvl w:ilvl="0">
        <w:start w:val="1"/>
        <w:numFmt w:val="bullet"/>
        <w:lvlText w:val=""/>
        <w:legacy w:legacy="1" w:legacySpace="0" w:legacyIndent="283"/>
        <w:lvlJc w:val="left"/>
        <w:pPr>
          <w:ind w:left="709" w:hanging="283"/>
        </w:pPr>
        <w:rPr>
          <w:rFonts w:ascii="Symbol" w:hAnsi="Symbol" w:hint="default"/>
          <w:color w:val="auto"/>
        </w:rPr>
      </w:lvl>
    </w:lvlOverride>
  </w:num>
  <w:num w:numId="11">
    <w:abstractNumId w:val="6"/>
  </w:num>
  <w:num w:numId="12">
    <w:abstractNumId w:val="37"/>
  </w:num>
  <w:num w:numId="13">
    <w:abstractNumId w:val="31"/>
  </w:num>
  <w:num w:numId="14">
    <w:abstractNumId w:val="5"/>
  </w:num>
  <w:num w:numId="15">
    <w:abstractNumId w:val="14"/>
  </w:num>
  <w:num w:numId="16">
    <w:abstractNumId w:val="2"/>
  </w:num>
  <w:num w:numId="17">
    <w:abstractNumId w:val="39"/>
  </w:num>
  <w:num w:numId="18">
    <w:abstractNumId w:val="34"/>
  </w:num>
  <w:num w:numId="19">
    <w:abstractNumId w:val="1"/>
    <w:lvlOverride w:ilvl="0">
      <w:lvl w:ilvl="0">
        <w:start w:val="1"/>
        <w:numFmt w:val="bullet"/>
        <w:lvlText w:val=""/>
        <w:lvlJc w:val="left"/>
        <w:pPr>
          <w:ind w:left="720" w:hanging="360"/>
        </w:pPr>
        <w:rPr>
          <w:rFonts w:ascii="Symbol" w:hAnsi="Symbol" w:hint="default"/>
          <w:color w:val="auto"/>
        </w:rPr>
      </w:lvl>
    </w:lvlOverride>
  </w:num>
  <w:num w:numId="20">
    <w:abstractNumId w:val="9"/>
  </w:num>
  <w:num w:numId="21">
    <w:abstractNumId w:val="13"/>
  </w:num>
  <w:num w:numId="22">
    <w:abstractNumId w:val="27"/>
  </w:num>
  <w:num w:numId="23">
    <w:abstractNumId w:val="19"/>
  </w:num>
  <w:num w:numId="24">
    <w:abstractNumId w:val="29"/>
  </w:num>
  <w:num w:numId="25">
    <w:abstractNumId w:val="33"/>
  </w:num>
  <w:num w:numId="26">
    <w:abstractNumId w:val="17"/>
  </w:num>
  <w:num w:numId="27">
    <w:abstractNumId w:val="16"/>
  </w:num>
  <w:num w:numId="28">
    <w:abstractNumId w:val="4"/>
  </w:num>
  <w:num w:numId="29">
    <w:abstractNumId w:val="3"/>
  </w:num>
  <w:num w:numId="30">
    <w:abstractNumId w:val="25"/>
  </w:num>
  <w:num w:numId="31">
    <w:abstractNumId w:val="36"/>
  </w:num>
  <w:num w:numId="32">
    <w:abstractNumId w:val="11"/>
  </w:num>
  <w:num w:numId="33">
    <w:abstractNumId w:val="21"/>
  </w:num>
  <w:num w:numId="34">
    <w:abstractNumId w:val="28"/>
  </w:num>
  <w:num w:numId="35">
    <w:abstractNumId w:val="18"/>
  </w:num>
  <w:num w:numId="36">
    <w:abstractNumId w:val="8"/>
  </w:num>
  <w:num w:numId="37">
    <w:abstractNumId w:val="10"/>
  </w:num>
  <w:num w:numId="38">
    <w:abstractNumId w:val="20"/>
  </w:num>
  <w:num w:numId="39">
    <w:abstractNumId w:val="26"/>
  </w:num>
  <w:num w:numId="40">
    <w:abstractNumId w:val="7"/>
  </w:num>
  <w:num w:numId="41">
    <w:abstractNumId w:val="24"/>
  </w:num>
  <w:num w:numId="4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i-FI" w:vendorID="64" w:dllVersion="6" w:nlCheck="1" w:checkStyle="0"/>
  <w:activeWritingStyle w:appName="MSWord" w:lang="fi-FI" w:vendorID="64" w:dllVersion="4096" w:nlCheck="1" w:checkStyle="0"/>
  <w:activeWritingStyle w:appName="MSWord" w:lang="en-GB" w:vendorID="64" w:dllVersion="4096" w:nlCheck="1" w:checkStyle="0"/>
  <w:activeWritingStyle w:appName="MSWord" w:lang="nl-B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6204"/>
    <w:rsid w:val="00010A4D"/>
    <w:rsid w:val="000229D4"/>
    <w:rsid w:val="00063DFF"/>
    <w:rsid w:val="00066CBB"/>
    <w:rsid w:val="000B3DCE"/>
    <w:rsid w:val="000D394D"/>
    <w:rsid w:val="00140E9C"/>
    <w:rsid w:val="00147554"/>
    <w:rsid w:val="001E391D"/>
    <w:rsid w:val="001F0A8F"/>
    <w:rsid w:val="00206FEB"/>
    <w:rsid w:val="002A5636"/>
    <w:rsid w:val="002B7981"/>
    <w:rsid w:val="003066BE"/>
    <w:rsid w:val="003227CC"/>
    <w:rsid w:val="003F326D"/>
    <w:rsid w:val="003F5613"/>
    <w:rsid w:val="003F77B6"/>
    <w:rsid w:val="003F79EF"/>
    <w:rsid w:val="00423ED1"/>
    <w:rsid w:val="0043191A"/>
    <w:rsid w:val="00485207"/>
    <w:rsid w:val="00493068"/>
    <w:rsid w:val="004A5CD7"/>
    <w:rsid w:val="004D7AC0"/>
    <w:rsid w:val="00532089"/>
    <w:rsid w:val="00586B4B"/>
    <w:rsid w:val="00590490"/>
    <w:rsid w:val="005A0BDA"/>
    <w:rsid w:val="005B7B1B"/>
    <w:rsid w:val="005E6D41"/>
    <w:rsid w:val="005E7651"/>
    <w:rsid w:val="00641262"/>
    <w:rsid w:val="006978D9"/>
    <w:rsid w:val="006D2C8A"/>
    <w:rsid w:val="006D2D64"/>
    <w:rsid w:val="00766B1A"/>
    <w:rsid w:val="007F5784"/>
    <w:rsid w:val="00845F24"/>
    <w:rsid w:val="0088219D"/>
    <w:rsid w:val="009F7280"/>
    <w:rsid w:val="00A20E9D"/>
    <w:rsid w:val="00A272B2"/>
    <w:rsid w:val="00A57327"/>
    <w:rsid w:val="00AD4580"/>
    <w:rsid w:val="00B203DA"/>
    <w:rsid w:val="00B518C9"/>
    <w:rsid w:val="00B61A11"/>
    <w:rsid w:val="00B84AA8"/>
    <w:rsid w:val="00B91D91"/>
    <w:rsid w:val="00BC5FBA"/>
    <w:rsid w:val="00BE54B3"/>
    <w:rsid w:val="00C008B4"/>
    <w:rsid w:val="00C17ABD"/>
    <w:rsid w:val="00C228B9"/>
    <w:rsid w:val="00C26C67"/>
    <w:rsid w:val="00C821A5"/>
    <w:rsid w:val="00D43613"/>
    <w:rsid w:val="00D444F3"/>
    <w:rsid w:val="00D7076A"/>
    <w:rsid w:val="00D81F5E"/>
    <w:rsid w:val="00D8706F"/>
    <w:rsid w:val="00D92269"/>
    <w:rsid w:val="00D94EF3"/>
    <w:rsid w:val="00DE176A"/>
    <w:rsid w:val="00E00A6B"/>
    <w:rsid w:val="00E77899"/>
    <w:rsid w:val="00EC2D6A"/>
    <w:rsid w:val="00EC4AF6"/>
    <w:rsid w:val="00F83C17"/>
    <w:rsid w:val="00F93366"/>
    <w:rsid w:val="00F96D7F"/>
    <w:rsid w:val="00FC45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4982DD4D"/>
  <w15:chartTrackingRefBased/>
  <w15:docId w15:val="{CC2967CE-8393-4E48-B2BE-AAD929190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7AC0"/>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4D7AC0"/>
    <w:pPr>
      <w:numPr>
        <w:numId w:val="1"/>
      </w:numPr>
      <w:ind w:left="567" w:hanging="567"/>
      <w:outlineLvl w:val="0"/>
    </w:pPr>
    <w:rPr>
      <w:kern w:val="28"/>
    </w:rPr>
  </w:style>
  <w:style w:type="paragraph" w:styleId="Heading2">
    <w:name w:val="heading 2"/>
    <w:basedOn w:val="Normal"/>
    <w:next w:val="Normal"/>
    <w:link w:val="Heading2Char"/>
    <w:qFormat/>
    <w:rsid w:val="004D7AC0"/>
    <w:pPr>
      <w:numPr>
        <w:ilvl w:val="1"/>
        <w:numId w:val="1"/>
      </w:numPr>
      <w:ind w:left="567" w:hanging="567"/>
      <w:outlineLvl w:val="1"/>
    </w:pPr>
  </w:style>
  <w:style w:type="paragraph" w:styleId="Heading3">
    <w:name w:val="heading 3"/>
    <w:basedOn w:val="Normal"/>
    <w:next w:val="Normal"/>
    <w:link w:val="Heading3Char"/>
    <w:qFormat/>
    <w:rsid w:val="004D7AC0"/>
    <w:pPr>
      <w:numPr>
        <w:ilvl w:val="2"/>
        <w:numId w:val="1"/>
      </w:numPr>
      <w:ind w:left="567" w:hanging="567"/>
      <w:outlineLvl w:val="2"/>
    </w:pPr>
  </w:style>
  <w:style w:type="paragraph" w:styleId="Heading4">
    <w:name w:val="heading 4"/>
    <w:basedOn w:val="Normal"/>
    <w:next w:val="Normal"/>
    <w:link w:val="Heading4Char"/>
    <w:qFormat/>
    <w:rsid w:val="004D7AC0"/>
    <w:pPr>
      <w:numPr>
        <w:ilvl w:val="3"/>
        <w:numId w:val="1"/>
      </w:numPr>
      <w:ind w:left="567" w:hanging="567"/>
      <w:outlineLvl w:val="3"/>
    </w:pPr>
  </w:style>
  <w:style w:type="paragraph" w:styleId="Heading5">
    <w:name w:val="heading 5"/>
    <w:basedOn w:val="Normal"/>
    <w:next w:val="Normal"/>
    <w:link w:val="Heading5Char"/>
    <w:qFormat/>
    <w:rsid w:val="004D7AC0"/>
    <w:pPr>
      <w:numPr>
        <w:ilvl w:val="4"/>
        <w:numId w:val="1"/>
      </w:numPr>
      <w:ind w:left="567" w:hanging="567"/>
      <w:outlineLvl w:val="4"/>
    </w:pPr>
  </w:style>
  <w:style w:type="paragraph" w:styleId="Heading6">
    <w:name w:val="heading 6"/>
    <w:basedOn w:val="Normal"/>
    <w:next w:val="Normal"/>
    <w:link w:val="Heading6Char"/>
    <w:qFormat/>
    <w:rsid w:val="004D7AC0"/>
    <w:pPr>
      <w:numPr>
        <w:ilvl w:val="5"/>
        <w:numId w:val="1"/>
      </w:numPr>
      <w:ind w:left="567" w:hanging="567"/>
      <w:outlineLvl w:val="5"/>
    </w:pPr>
  </w:style>
  <w:style w:type="paragraph" w:styleId="Heading7">
    <w:name w:val="heading 7"/>
    <w:basedOn w:val="Normal"/>
    <w:next w:val="Normal"/>
    <w:link w:val="Heading7Char"/>
    <w:qFormat/>
    <w:rsid w:val="004D7AC0"/>
    <w:pPr>
      <w:numPr>
        <w:ilvl w:val="6"/>
        <w:numId w:val="1"/>
      </w:numPr>
      <w:ind w:left="567" w:hanging="567"/>
      <w:outlineLvl w:val="6"/>
    </w:pPr>
  </w:style>
  <w:style w:type="paragraph" w:styleId="Heading8">
    <w:name w:val="heading 8"/>
    <w:basedOn w:val="Normal"/>
    <w:next w:val="Normal"/>
    <w:link w:val="Heading8Char"/>
    <w:qFormat/>
    <w:rsid w:val="004D7AC0"/>
    <w:pPr>
      <w:numPr>
        <w:ilvl w:val="7"/>
        <w:numId w:val="1"/>
      </w:numPr>
      <w:ind w:left="567" w:hanging="567"/>
      <w:outlineLvl w:val="7"/>
    </w:pPr>
  </w:style>
  <w:style w:type="paragraph" w:styleId="Heading9">
    <w:name w:val="heading 9"/>
    <w:basedOn w:val="Normal"/>
    <w:next w:val="Normal"/>
    <w:link w:val="Heading9Char"/>
    <w:qFormat/>
    <w:rsid w:val="004D7AC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D7AC0"/>
    <w:rPr>
      <w:rFonts w:ascii="Times New Roman" w:eastAsia="Times New Roman" w:hAnsi="Times New Roman" w:cs="Times New Roman"/>
      <w:kern w:val="28"/>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basedOn w:val="DefaultParagraphFont"/>
    <w:link w:val="FootnoteTex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Fiche List Paragraph,Task Body,Viñetas (Inicio Parrafo),3 Txt tabla,Zerrenda-paragrafoa,Lista multicolor - Énfasis 11,Paragrafo elenco,Nad,Odstavec_muj"/>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numPr>
        <w:numId w:val="0"/>
      </w:numPr>
      <w:spacing w:before="240" w:line="259" w:lineRule="auto"/>
      <w:jc w:val="left"/>
      <w:outlineLvl w:val="9"/>
    </w:pPr>
    <w:rPr>
      <w:rFonts w:asciiTheme="majorHAnsi" w:eastAsiaTheme="majorEastAsia" w:hAnsiTheme="majorHAnsi" w:cstheme="majorBidi"/>
      <w:color w:val="2E74B5" w:themeColor="accent1" w:themeShade="BF"/>
      <w:kern w:val="0"/>
      <w:sz w:val="32"/>
      <w:szCs w:val="32"/>
    </w:rPr>
  </w:style>
  <w:style w:type="paragraph" w:styleId="TOC1">
    <w:name w:val="toc 1"/>
    <w:basedOn w:val="Normal"/>
    <w:next w:val="Normal"/>
    <w:autoRedefine/>
    <w:uiPriority w:val="39"/>
    <w:unhideWhenUsed/>
    <w:rsid w:val="004D7AC0"/>
    <w:pPr>
      <w:spacing w:after="100"/>
    </w:pPr>
  </w:style>
  <w:style w:type="character" w:styleId="FollowedHyperlink">
    <w:name w:val="FollowedHyperlink"/>
    <w:basedOn w:val="DefaultParagraphFont"/>
    <w:uiPriority w:val="99"/>
    <w:semiHidden/>
    <w:unhideWhenUsed/>
    <w:rsid w:val="00B518C9"/>
    <w:rPr>
      <w:color w:val="954F72" w:themeColor="followedHyperlink"/>
      <w:u w:val="single"/>
    </w:rPr>
  </w:style>
  <w:style w:type="table" w:customStyle="1" w:styleId="TableGrid1">
    <w:name w:val="Table Grid1"/>
    <w:basedOn w:val="TableNormal"/>
    <w:next w:val="TableGrid"/>
    <w:rsid w:val="00EC2D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Fiche List Paragraph Char,Task Body Char,Viñetas (Inicio Parrafo) Char,3 Txt tabla Char,Zerrenda-paragrafoa Char,Lista multicolor - Énfasis 11 Char,Paragrafo elenco Char,Nad Char,Odstavec_muj Char"/>
    <w:link w:val="ListParagraph"/>
    <w:uiPriority w:val="34"/>
    <w:locked/>
    <w:rsid w:val="00EC2D6A"/>
    <w:rPr>
      <w:rFonts w:ascii="Times New Roman" w:eastAsia="Times New Roman" w:hAnsi="Times New Roman" w:cs="Times New Roman"/>
    </w:rPr>
  </w:style>
  <w:style w:type="table" w:customStyle="1" w:styleId="TableGrid2">
    <w:name w:val="Table Grid2"/>
    <w:basedOn w:val="TableNormal"/>
    <w:next w:val="TableGrid"/>
    <w:rsid w:val="00EC2D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5B7B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5B7B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5B7B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1F0A8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autoRedefine/>
    <w:uiPriority w:val="39"/>
    <w:unhideWhenUsed/>
    <w:rsid w:val="005E6D41"/>
    <w:pPr>
      <w:spacing w:after="100"/>
      <w:ind w:left="220"/>
    </w:pPr>
  </w:style>
  <w:style w:type="table" w:customStyle="1" w:styleId="TableGrid7">
    <w:name w:val="Table Grid7"/>
    <w:basedOn w:val="TableNormal"/>
    <w:next w:val="TableGrid"/>
    <w:rsid w:val="0049306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msearch.eesc.europa.eu/search/opinion" TargetMode="External"/><Relationship Id="rId18" Type="http://schemas.openxmlformats.org/officeDocument/2006/relationships/hyperlink" Target="mailto:Juri.Soosaar@eesc.europa.eu" TargetMode="External"/><Relationship Id="rId26" Type="http://schemas.openxmlformats.org/officeDocument/2006/relationships/hyperlink" Target="mailto:Grasu.Gabriela@eesc.europa.eu" TargetMode="External"/><Relationship Id="rId39" Type="http://schemas.openxmlformats.org/officeDocument/2006/relationships/hyperlink" Target="https://www.eesc.europa.eu/fi/our-work/opinions-information-reports/opinions/competitiveness-eus-small-and-medium-sized-enterprises-light-new-administrative-burdensobligations-eg-relating-non" TargetMode="External"/><Relationship Id="rId21" Type="http://schemas.openxmlformats.org/officeDocument/2006/relationships/hyperlink" Target="https://www.eesc.europa.eu/fi/our-work/opinions-information-reports/opinions/strengthening-results-orientation-post-2027-cohesion-policy-challenges-risks-and-opportunities" TargetMode="External"/><Relationship Id="rId34" Type="http://schemas.openxmlformats.org/officeDocument/2006/relationships/hyperlink" Target="mailto:Radoslava.Stefankova@eesc.europa.eu" TargetMode="External"/><Relationship Id="rId42" Type="http://schemas.openxmlformats.org/officeDocument/2006/relationships/hyperlink" Target="mailto:Annalisa.Tessarolo@eesc.europa.eu" TargetMode="External"/><Relationship Id="rId47" Type="http://schemas.openxmlformats.org/officeDocument/2006/relationships/hyperlink" Target="https://www.eesc.europa.eu/fi/our-work/opinions-information-reports/opinions/ensuring-sustainable-food-production-and-fair-income-european-farmers-face-market-environmental-and-climate-challenges" TargetMode="External"/><Relationship Id="rId50" Type="http://schemas.openxmlformats.org/officeDocument/2006/relationships/hyperlink" Target="mailto:Marie-Laurence.Drillon@eesc.europa.eu" TargetMode="External"/><Relationship Id="rId55" Type="http://schemas.openxmlformats.org/officeDocument/2006/relationships/customXml" Target="../customXml/item3.xml"/><Relationship Id="rId7" Type="http://schemas.openxmlformats.org/officeDocument/2006/relationships/settings" Target="settings.xml"/><Relationship Id="rId16" Type="http://schemas.openxmlformats.org/officeDocument/2006/relationships/hyperlink" Target="mailto:Anna.Pantazi@eesc.europa.eu" TargetMode="External"/><Relationship Id="rId29" Type="http://schemas.openxmlformats.org/officeDocument/2006/relationships/hyperlink" Target="mailto:Triin.AasmaaGomes@eesc.europa.eu" TargetMode="External"/><Relationship Id="rId11" Type="http://schemas.openxmlformats.org/officeDocument/2006/relationships/image" Target="media/image1.jpeg"/><Relationship Id="rId24" Type="http://schemas.openxmlformats.org/officeDocument/2006/relationships/hyperlink" Target="mailto:Valeria.Atzori@eesc.europa.eu" TargetMode="External"/><Relationship Id="rId32" Type="http://schemas.openxmlformats.org/officeDocument/2006/relationships/hyperlink" Target="https://www.eesc.europa.eu/fi/our-work/opinions-information-reports/opinions/consumer-protection-and-impact-digital-and-green-transitions-consumers" TargetMode="External"/><Relationship Id="rId37" Type="http://schemas.openxmlformats.org/officeDocument/2006/relationships/hyperlink" Target="mailto:Annalisa.Tessarolo@eesc.europa.eu" TargetMode="External"/><Relationship Id="rId40" Type="http://schemas.openxmlformats.org/officeDocument/2006/relationships/hyperlink" Target="mailto:Marco.Manfroni@eesc.europa.eu" TargetMode="External"/><Relationship Id="rId45" Type="http://schemas.openxmlformats.org/officeDocument/2006/relationships/hyperlink" Target="https://www.eesc.europa.eu/fi/our-work/opinions-information-reports/opinions/tourism-eu-social-sustainability-driver-long-term-competitiveness-sector" TargetMode="External"/><Relationship Id="rId53" Type="http://schemas.openxmlformats.org/officeDocument/2006/relationships/customXml" Target="../customXml/item1.xml"/><Relationship Id="rId5" Type="http://schemas.openxmlformats.org/officeDocument/2006/relationships/numbering" Target="numbering.xml"/><Relationship Id="rId15" Type="http://schemas.openxmlformats.org/officeDocument/2006/relationships/hyperlink" Target="https://www.eesc.europa.eu/fi/our-work/opinions-information-reports/opinions/2025-european-semester-autumn-package" TargetMode="External"/><Relationship Id="rId23" Type="http://schemas.openxmlformats.org/officeDocument/2006/relationships/hyperlink" Target="https://www.eesc.europa.eu/fi/our-work/opinions-information-reports/opinions/addressing-loneliness-cementing-measures-demographic-cohesion" TargetMode="External"/><Relationship Id="rId28" Type="http://schemas.openxmlformats.org/officeDocument/2006/relationships/hyperlink" Target="mailto:Gabriela.Grasu@eesc.europa.eu" TargetMode="External"/><Relationship Id="rId36" Type="http://schemas.openxmlformats.org/officeDocument/2006/relationships/hyperlink" Target="https://www.eesc.europa.eu/fi/our-work/opinions-information-reports/opinions/assessment-letta-and-draghi-reports-functioning-and-competitiveness-eus-single-market" TargetMode="External"/><Relationship Id="rId49" Type="http://schemas.openxmlformats.org/officeDocument/2006/relationships/hyperlink" Target="https://www.eesc.europa.eu/fi/our-work/opinions-information-reports/opinions/contribution-robotics-metaverse-medical-sector" TargetMode="External"/><Relationship Id="rId10" Type="http://schemas.openxmlformats.org/officeDocument/2006/relationships/endnotes" Target="endnotes.xml"/><Relationship Id="rId19" Type="http://schemas.openxmlformats.org/officeDocument/2006/relationships/hyperlink" Target="https://www.eesc.europa.eu/fi/our-work/opinions-information-reports/opinions/defence-funding-eu" TargetMode="External"/><Relationship Id="rId31" Type="http://schemas.openxmlformats.org/officeDocument/2006/relationships/hyperlink" Target="mailto:Albert.Precup@eesc.europa.eu" TargetMode="External"/><Relationship Id="rId44" Type="http://schemas.openxmlformats.org/officeDocument/2006/relationships/hyperlink" Target="mailto:Silvia.Staffa@eesc.europa.eu" TargetMode="External"/><Relationship Id="rId52"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Georgios.Meleas@eesc.europa.eu" TargetMode="External"/><Relationship Id="rId27" Type="http://schemas.openxmlformats.org/officeDocument/2006/relationships/hyperlink" Target="https://www.eesc.europa.eu/fi/our-work/opinions-information-reports/opinions/eesc-contribution-eus-priorities-uncsw69" TargetMode="External"/><Relationship Id="rId30" Type="http://schemas.openxmlformats.org/officeDocument/2006/relationships/hyperlink" Target="https://www.eesc.europa.eu/fi/our-work/opinions-information-reports/opinions/physical-completion-eus-internal-market-new-geopolitical-situation" TargetMode="External"/><Relationship Id="rId35" Type="http://schemas.openxmlformats.org/officeDocument/2006/relationships/hyperlink" Target="mailto:Yousra.Asbounielouahabi@eesc.europa.eu" TargetMode="External"/><Relationship Id="rId43" Type="http://schemas.openxmlformats.org/officeDocument/2006/relationships/hyperlink" Target="https://www.eesc.europa.eu/fi/our-work/opinions-information-reports/opinions/future-eu-industry-face-high-energy-prices-and-transition-costs" TargetMode="External"/><Relationship Id="rId48" Type="http://schemas.openxmlformats.org/officeDocument/2006/relationships/hyperlink" Target="mailto:Myrto.Kolyva@eesc.europa.eu" TargetMode="External"/><Relationship Id="rId56" Type="http://schemas.openxmlformats.org/officeDocument/2006/relationships/customXml" Target="../customXml/item4.xml"/><Relationship Id="rId8" Type="http://schemas.openxmlformats.org/officeDocument/2006/relationships/webSettings" Target="webSettings.xml"/><Relationship Id="rId51" Type="http://schemas.openxmlformats.org/officeDocument/2006/relationships/fontTable" Target="fontTable.xml"/><Relationship Id="rId12" Type="http://schemas.openxmlformats.org/officeDocument/2006/relationships/hyperlink" Target="https://www.eesc.europa.eu/fi/our-work/opinions-information-reports/plenary-session-summaries" TargetMode="External"/><Relationship Id="rId17" Type="http://schemas.openxmlformats.org/officeDocument/2006/relationships/hyperlink" Target="https://www.eesc.europa.eu/fi/our-work/opinions-information-reports/opinions/administrative-cooperation-field-taxation-dac9" TargetMode="External"/><Relationship Id="rId25" Type="http://schemas.openxmlformats.org/officeDocument/2006/relationships/hyperlink" Target="https://www.eesc.europa.eu/fi/our-work/opinions-information-reports/opinions/violence-against-women-human-rights-issue-state-play-measures-across-eu" TargetMode="External"/><Relationship Id="rId33" Type="http://schemas.openxmlformats.org/officeDocument/2006/relationships/hyperlink" Target="https://www.eesc.europa.eu/fi/initiatives/eu-youth-test-eesc" TargetMode="External"/><Relationship Id="rId38" Type="http://schemas.openxmlformats.org/officeDocument/2006/relationships/hyperlink" Target="mailto:Silvia.Staffa@eesc.europa.eu" TargetMode="External"/><Relationship Id="rId46" Type="http://schemas.openxmlformats.org/officeDocument/2006/relationships/hyperlink" Target="mailto:Silvia.Staffa@eesc.europa.eu" TargetMode="External"/><Relationship Id="rId20" Type="http://schemas.openxmlformats.org/officeDocument/2006/relationships/hyperlink" Target="mailto:Gerald.Klec@eesc.europa.eu" TargetMode="External"/><Relationship Id="rId41" Type="http://schemas.openxmlformats.org/officeDocument/2006/relationships/hyperlink" Target="https://www.eesc.europa.eu/fi/our-work/opinions-information-reports/opinions/services-sector-european-union" TargetMode="External"/><Relationship Id="rId54" Type="http://schemas.openxmlformats.org/officeDocument/2006/relationships/customXml" Target="../customXml/item2.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A6WAAD5KZT2Q-604569563-4613</_dlc_DocId>
    <_dlc_DocIdUrl xmlns="1a33af13-4045-4f88-9d7b-618e30f79918">
      <Url>http://dm/eesc/2025/_layouts/15/DocIdRedir.aspx?ID=A6WAAD5KZT2Q-604569563-4613</Url>
      <Description>A6WAAD5KZT2Q-604569563-4613</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2025-03-12T12:00:00+00:00</ProductionDate>
    <DocumentNumber xmlns="be3ca9a7-9286-4008-99ec-aebc20da9dc2">345</DocumentNumber>
    <FicheYear xmlns="1a33af13-4045-4f88-9d7b-618e30f79918" xsi:nil="true"/>
    <DossierNumbe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1a33af13-4045-4f88-9d7b-618e30f79918">2025-03-26T12:00:00+00:00</MeetingDate>
    <TaxCatchAll xmlns="1a33af13-4045-4f88-9d7b-618e30f79918">
      <Value>67</Value>
      <Value>50</Value>
      <Value>47</Value>
      <Value>46</Value>
      <Value>42</Value>
      <Value>41</Value>
      <Value>40</Value>
      <Value>39</Value>
      <Value>37</Value>
      <Value>36</Value>
      <Value>35</Value>
      <Value>34</Value>
      <Value>33</Value>
      <Value>31</Value>
      <Value>30</Value>
      <Value>29</Value>
      <Value>28</Value>
      <Value>27</Value>
      <Value>24</Value>
      <Value>23</Value>
      <Value>19</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FI</TermName>
          <TermId xmlns="http://schemas.microsoft.com/office/infopath/2007/PartnerControls">87606a43-d45f-42d6-b8c9-e1a3457db5b7</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 xsi:nil="true"/>
    <DocumentYear xmlns="1a33af13-4045-4f88-9d7b-618e30f79918">2025</DocumentYear>
    <FicheNumber xmlns="1a33af13-4045-4f88-9d7b-618e30f79918">2534</FicheNumber>
    <OriginalSender xmlns="1a33af13-4045-4f88-9d7b-618e30f79918">
      <UserInfo>
        <DisplayName>Eskelinen Juha</DisplayName>
        <AccountId>1503</AccountId>
        <AccountType/>
      </UserInfo>
    </OriginalSender>
    <DocumentPart xmlns="1a33af13-4045-4f88-9d7b-618e30f79918">0</DocumentPart>
    <AdoptionDate xmlns="1a33af13-4045-4f88-9d7b-618e30f79918" xsi:nil="true"/>
    <RequestingService xmlns="1a33af13-4045-4f88-9d7b-618e30f79918">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IT</TermName>
          <TermId xmlns="http://schemas.microsoft.com/office/infopath/2007/PartnerControls">0774613c-01ed-4e5d-a25d-11d2388de825</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595</MeetingNumber>
    <DossierName_0 xmlns="http://schemas.microsoft.com/sharepoint/v3/fields">
      <Terms xmlns="http://schemas.microsoft.com/office/infopath/2007/PartnerControls"/>
    </DossierName_0>
    <DocumentVersion xmlns="1a33af13-4045-4f88-9d7b-618e30f79918">1</DocumentVersion>
  </documentManagement>
</p:properties>
</file>

<file path=customXml/item2.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F5DA832-A02C-4306-82FD-33BCB2E6938B}"/>
</file>

<file path=customXml/itemProps2.xml><?xml version="1.0" encoding="utf-8"?>
<ds:datastoreItem xmlns:ds="http://schemas.openxmlformats.org/officeDocument/2006/customXml" ds:itemID="{DC482F7D-FAFB-41FE-AC92-0D7570ABED1E}"/>
</file>

<file path=customXml/itemProps3.xml><?xml version="1.0" encoding="utf-8"?>
<ds:datastoreItem xmlns:ds="http://schemas.openxmlformats.org/officeDocument/2006/customXml" ds:itemID="{72C7737F-7942-45AC-82C4-5CE8AE2B5783}"/>
</file>

<file path=customXml/itemProps4.xml><?xml version="1.0" encoding="utf-8"?>
<ds:datastoreItem xmlns:ds="http://schemas.openxmlformats.org/officeDocument/2006/customXml" ds:itemID="{4852091C-0646-4254-8589-848BB052C03A}"/>
</file>

<file path=docProps/app.xml><?xml version="1.0" encoding="utf-8"?>
<Properties xmlns="http://schemas.openxmlformats.org/officeDocument/2006/extended-properties" xmlns:vt="http://schemas.openxmlformats.org/officeDocument/2006/docPropsVTypes">
  <Template>Normal.dotm</Template>
  <TotalTime>0</TotalTime>
  <Pages>23</Pages>
  <Words>5249</Words>
  <Characters>42519</Characters>
  <Application>Microsoft Office Word</Application>
  <DocSecurity>0</DocSecurity>
  <Lines>354</Lines>
  <Paragraphs>95</Paragraphs>
  <ScaleCrop>false</ScaleCrop>
  <HeadingPairs>
    <vt:vector size="2" baseType="variant">
      <vt:variant>
        <vt:lpstr>Title</vt:lpstr>
      </vt:variant>
      <vt:variant>
        <vt:i4>1</vt:i4>
      </vt:variant>
    </vt:vector>
  </HeadingPairs>
  <TitlesOfParts>
    <vt:vector size="1" baseType="lpstr">
      <vt:lpstr>Täysistunnossa annetut lausunnot - ETSK:n uusi asiakirjamalli</vt:lpstr>
    </vt:vector>
  </TitlesOfParts>
  <Company>CESE-CdR</Company>
  <LinksUpToDate>false</LinksUpToDate>
  <CharactersWithSpaces>47673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Annetut lausunnot - 594. täysistunto - helmikuu 2025</dc:title>
  <dc:subject>TCD</dc:subject>
  <dc:creator>Nieddu Emma</dc:creator>
  <cp:keywords>EESC-2025-00345-00-01-TCD-TRA-EN</cp:keywords>
  <dc:description>Rapporteur:  - Original language: EN - Date of document: 12/03/2025 - Date of meeting: 30/26/2025 14:30 - External documents:  - Administrator: MME TAMASAUSKIENE Julija</dc:description>
  <cp:lastModifiedBy>Eskelinen Juha</cp:lastModifiedBy>
  <cp:revision>5</cp:revision>
  <dcterms:created xsi:type="dcterms:W3CDTF">2025-03-12T13:23:00Z</dcterms:created>
  <dcterms:modified xsi:type="dcterms:W3CDTF">2025-03-12T13:23:00Z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02/05/2022, 02/05/2022, 28/06/2021</vt:lpwstr>
  </property>
  <property fmtid="{D5CDD505-2E9C-101B-9397-08002B2CF9AE}" pid="4" name="Pref_Time">
    <vt:lpwstr>12:28:29, 12:25:37, 08:41:48</vt:lpwstr>
  </property>
  <property fmtid="{D5CDD505-2E9C-101B-9397-08002B2CF9AE}" pid="5" name="Pref_User">
    <vt:lpwstr>enied, enied, enied</vt:lpwstr>
  </property>
  <property fmtid="{D5CDD505-2E9C-101B-9397-08002B2CF9AE}" pid="6" name="Pref_FileName">
    <vt:lpwstr>Summary of opinions.docx, COR-EESC-2022-02370-00-00-ADMIN-ORI.docx, Synthese des avis Template.docx</vt:lpwstr>
  </property>
  <property fmtid="{D5CDD505-2E9C-101B-9397-08002B2CF9AE}" pid="7" name="ContentTypeId">
    <vt:lpwstr>0x010100EA97B91038054C99906057A708A1480A006BB3B767F3CF4149BF520211D4A86BC0</vt:lpwstr>
  </property>
  <property fmtid="{D5CDD505-2E9C-101B-9397-08002B2CF9AE}" pid="8" name="_dlc_DocIdItemGuid">
    <vt:lpwstr>ccf9b28b-b262-4c9a-8906-cd2a2303be0f</vt:lpwstr>
  </property>
  <property fmtid="{D5CDD505-2E9C-101B-9397-08002B2CF9AE}" pid="9" name="AvailableTranslations">
    <vt:lpwstr>34;#IT|0774613c-01ed-4e5d-a25d-11d2388de825;#30;#LT|a7ff5ce7-6123-4f68-865a-a57c31810414;#23;#DE|f6b31e5a-26fa-4935-b661-318e46daf27e;#50;#HR|2f555653-ed1a-4fe6-8362-9082d95989e5;#16;#ES|e7a6b05b-ae16-40c8-add9-68b64b03aeba;#40;#DA|5d49c027-8956-412b-aa16-e85a0f96ad0e;#42;#EL|6d4f4d51-af9b-4650-94b4-4276bee85c91;#24;#PL|1e03da61-4678-4e07-b136-b5024ca9197b;#46;#SK|46d9fce0-ef79-4f71-b89b-cd6aa82426b8;#27;#NL|55c6556c-b4f4-441d-9acf-c498d4f838bd;#33;#PT|50ccc04a-eadd-42ae-a0cb-acaf45f812ba;#5;#EN|f2175f21-25d7-44a3-96da-d6a61b075e1b;#39;#LV|46f7e311-5d9f-4663-b433-18aeccb7ace7;#37;#HU|6b229040-c589-4408-b4c1-4285663d20a8;#36;#RO|feb747a2-64cd-4299-af12-4833ddc30497;#29;#CS|72f9705b-0217-4fd3-bea2-cbc7ed80e26e;#12;#FR|d2afafd3-4c81-4f60-8f52-ee33f2f54ff3;#35;#FI|87606a43-d45f-42d6-b8c9-e1a3457db5b7;#31;#SL|98a412ae-eb01-49e9-ae3d-585a81724cfc;#41;#ET|ff6c3f4c-b02c-4c3c-ab07-2c37995a7a0a;#28;#SV|c2ed69e7-a339-43d7-8f22-d93680a92aa0;#47;#BG|1a1b3951-7821-4e6a-85f5-5673fc08bd2c</vt:lpwstr>
  </property>
  <property fmtid="{D5CDD505-2E9C-101B-9397-08002B2CF9AE}" pid="10" name="DocumentType_0">
    <vt:lpwstr>TCD|cd9d6eb6-3f4f-424a-b2d1-57c9d450eaaf</vt:lpwstr>
  </property>
  <property fmtid="{D5CDD505-2E9C-101B-9397-08002B2CF9AE}" pid="11" name="MeetingNumber">
    <vt:i4>595</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345</vt:i4>
  </property>
  <property fmtid="{D5CDD505-2E9C-101B-9397-08002B2CF9AE}" pid="15" name="DocumentVersion">
    <vt:i4>1</vt:i4>
  </property>
  <property fmtid="{D5CDD505-2E9C-101B-9397-08002B2CF9AE}" pid="16" name="DocumentStatus">
    <vt:lpwstr>13;#TRA|150d2a88-1431-44e6-a8ca-0bb753ab8672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19;#TCD|cd9d6eb6-3f4f-424a-b2d1-57c9d450eaaf</vt:lpwstr>
  </property>
  <property fmtid="{D5CDD505-2E9C-101B-9397-08002B2CF9AE}" pid="22" name="RequestingService">
    <vt:lpwstr>Greffe</vt:lpwstr>
  </property>
  <property fmtid="{D5CDD505-2E9C-101B-9397-08002B2CF9AE}" pid="23" name="Confidentiality">
    <vt:lpwstr>15;#Unrestricted|826e22d7-d029-4ec0-a450-0c28ff673572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67;#SPL-CES|32d8cb1f-c9ec-4365-95c7-8385a18618ac</vt:lpwstr>
  </property>
  <property fmtid="{D5CDD505-2E9C-101B-9397-08002B2CF9AE}" pid="28" name="MeetingDate">
    <vt:filetime>2025-03-26T12:00:00Z</vt:filetime>
  </property>
  <property fmtid="{D5CDD505-2E9C-101B-9397-08002B2CF9AE}" pid="29" name="AvailableTranslations_0">
    <vt:lpwstr>HR|2f555653-ed1a-4fe6-8362-9082d95989e5;EN|f2175f21-25d7-44a3-96da-d6a61b075e1b;FR|d2afafd3-4c81-4f60-8f52-ee33f2f54ff3;SL|98a412ae-eb01-49e9-ae3d-585a81724cfc</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67;#SPL-CES|32d8cb1f-c9ec-4365-95c7-8385a18618ac;#15;#Unrestricted|826e22d7-d029-4ec0-a450-0c28ff673572;#31;#SL|98a412ae-eb01-49e9-ae3d-585a81724cfc;#13;#TRA|150d2a88-1431-44e6-a8ca-0bb753ab8672;#12;#FR|d2afafd3-4c81-4f60-8f52-ee33f2f54ff3;#50;#HR|2f555653-ed1a-4fe6-8362-9082d95989e5;#8;#Final|ea5e6674-7b27-4bac-b091-73adbb394efe;#5;#EN|f2175f21-25d7-44a3-96da-d6a61b075e1b;#19;#TCD|cd9d6eb6-3f4f-424a-b2d1-57c9d450eaaf;#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2025</vt:i4>
  </property>
  <property fmtid="{D5CDD505-2E9C-101B-9397-08002B2CF9AE}" pid="36" name="FicheNumber">
    <vt:i4>2534</vt:i4>
  </property>
  <property fmtid="{D5CDD505-2E9C-101B-9397-08002B2CF9AE}" pid="37" name="DocumentLanguage">
    <vt:lpwstr>35;#FI|87606a43-d45f-42d6-b8c9-e1a3457db5b7</vt:lpwstr>
  </property>
  <property fmtid="{D5CDD505-2E9C-101B-9397-08002B2CF9AE}" pid="38" name="_docset_NoMedatataSyncRequired">
    <vt:lpwstr>False</vt:lpwstr>
  </property>
</Properties>
</file>