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BE1F8F" w:rsidRDefault="001C131E" w14:paraId="4982DD4D" w14:textId="5B21DC4D">
      <w:pPr>
        <w:jc w:val="center"/>
      </w:pPr>
      <w:r>
        <w:rPr>
          <w:noProof/>
        </w:rPr>
        <w:drawing>
          <wp:inline distT="0" distB="0" distL="0" distR="0" wp14:anchorId="0BE38AF0" wp14:editId="3CCB37A0">
            <wp:extent cx="1792605" cy="1239520"/>
            <wp:effectExtent l="0" t="0" r="0" b="0"/>
            <wp:docPr id="1" name="Picture 1" title="EESCLogo_ES"/>
            <wp:cNvGraphicFramePr/>
            <a:graphic xmlns:a="http://schemas.openxmlformats.org/drawingml/2006/main">
              <a:graphicData uri="http://schemas.openxmlformats.org/drawingml/2006/picture">
                <pic:pic xmlns:pic="http://schemas.openxmlformats.org/drawingml/2006/picture">
                  <pic:nvPicPr>
                    <pic:cNvPr id="1" name="Picture 1" title="EESCLogo_ES"/>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rFonts w:ascii="Arial" w:hAnsi="Arial"/>
          <w:b/>
          <w:noProof/>
          <w:sz w:val="20"/>
        </w:rPr>
        <mc:AlternateContent>
          <mc:Choice Requires="wps">
            <w:drawing>
              <wp:anchor distT="0" distB="0" distL="114300" distR="114300" simplePos="0" relativeHeight="251659264" behindDoc="1" locked="0" layoutInCell="0" allowOverlap="1" wp14:editId="3D0D5462" wp14:anchorId="4B97899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8354A" w:rsidRDefault="0018354A" w14:paraId="40261324"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978990">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18354A" w:rsidRDefault="0018354A" w14:paraId="40261324"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p w:rsidR="004D7AC0" w:rsidP="00BE1F8F" w:rsidRDefault="004D7AC0" w14:paraId="4982DD4E" w14:textId="77777777"/>
    <w:p w:rsidR="004D7AC0" w:rsidP="00BE1F8F" w:rsidRDefault="004D7AC0" w14:paraId="4982DD4F" w14:textId="6D24C8E5">
      <w:pPr>
        <w:jc w:val="right"/>
      </w:pPr>
      <w:r>
        <w:t>Bruselas, 14 de marzo de 2025</w:t>
      </w:r>
    </w:p>
    <w:p w:rsidR="004D7AC0" w:rsidP="00BE1F8F" w:rsidRDefault="004D7AC0" w14:paraId="4982DD50" w14:textId="77777777"/>
    <w:p w:rsidR="004D7AC0" w:rsidP="00BE1F8F" w:rsidRDefault="004D7AC0" w14:paraId="4982DD51" w14:textId="77777777"/>
    <w:p w:rsidR="004D7AC0" w:rsidP="00BE1F8F" w:rsidRDefault="004D7AC0" w14:paraId="4982DD52" w14:textId="77777777"/>
    <w:tbl>
      <w:tblPr>
        <w:tblW w:w="0" w:type="auto"/>
        <w:tblLook w:val="04A0" w:firstRow="1" w:lastRow="0" w:firstColumn="1" w:lastColumn="0" w:noHBand="0" w:noVBand="1"/>
      </w:tblPr>
      <w:tblGrid>
        <w:gridCol w:w="9289"/>
      </w:tblGrid>
      <w:tr w:rsidR="004D7AC0" w:rsidTr="00600C84" w14:paraId="4982DD59" w14:textId="77777777">
        <w:tc>
          <w:tcPr>
            <w:tcW w:w="9289" w:type="dxa"/>
            <w:tcBorders>
              <w:bottom w:val="double" w:color="auto" w:sz="4" w:space="0"/>
            </w:tcBorders>
          </w:tcPr>
          <w:p w:rsidR="003066BE" w:rsidP="00BE1F8F" w:rsidRDefault="006C6ECE" w14:paraId="4982DD53" w14:textId="527E0554">
            <w:pPr>
              <w:snapToGrid w:val="0"/>
              <w:jc w:val="center"/>
              <w:rPr>
                <w:b/>
                <w:sz w:val="32"/>
                <w:szCs w:val="32"/>
              </w:rPr>
            </w:pPr>
            <w:r>
              <w:rPr>
                <w:b/>
                <w:sz w:val="32"/>
              </w:rPr>
              <w:t>594.º PLENO</w:t>
            </w:r>
          </w:p>
          <w:p w:rsidR="003066BE" w:rsidP="00BE1F8F" w:rsidRDefault="003066BE" w14:paraId="4982DD54" w14:textId="77777777">
            <w:pPr>
              <w:snapToGrid w:val="0"/>
              <w:jc w:val="center"/>
              <w:rPr>
                <w:b/>
                <w:sz w:val="32"/>
                <w:szCs w:val="32"/>
              </w:rPr>
            </w:pPr>
          </w:p>
          <w:p w:rsidR="003066BE" w:rsidP="00BE1F8F" w:rsidRDefault="00850929" w14:paraId="4982DD55" w14:textId="094CA4B9">
            <w:pPr>
              <w:snapToGrid w:val="0"/>
              <w:jc w:val="center"/>
              <w:rPr>
                <w:b/>
                <w:sz w:val="32"/>
                <w:szCs w:val="32"/>
              </w:rPr>
            </w:pPr>
            <w:r>
              <w:rPr>
                <w:b/>
                <w:sz w:val="32"/>
              </w:rPr>
              <w:t>26 y 27 de febrero de 2025</w:t>
            </w:r>
          </w:p>
          <w:p w:rsidR="003066BE" w:rsidP="00BE1F8F" w:rsidRDefault="003066BE" w14:paraId="4982DD56" w14:textId="77777777">
            <w:pPr>
              <w:snapToGrid w:val="0"/>
              <w:jc w:val="center"/>
              <w:rPr>
                <w:b/>
                <w:sz w:val="32"/>
                <w:szCs w:val="32"/>
              </w:rPr>
            </w:pPr>
          </w:p>
          <w:p w:rsidRPr="0081153B" w:rsidR="004D7AC0" w:rsidP="00BE1F8F" w:rsidRDefault="00754027" w14:paraId="4982DD57" w14:textId="5A35E792">
            <w:pPr>
              <w:snapToGrid w:val="0"/>
              <w:jc w:val="center"/>
              <w:rPr>
                <w:rFonts w:eastAsia="MS Mincho"/>
                <w:b/>
                <w:sz w:val="32"/>
                <w:szCs w:val="32"/>
              </w:rPr>
            </w:pPr>
            <w:r>
              <w:rPr>
                <w:b/>
                <w:sz w:val="32"/>
              </w:rPr>
              <w:t>SÍNTESIS DE LOS DICTÁMENES Y RESOLUCIONES APROBADOS Y DE LOS INFORMES DE EVALUACIÓN</w:t>
            </w:r>
          </w:p>
          <w:p w:rsidR="004D7AC0" w:rsidP="00BE1F8F"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00726351" w:rsidP="00BE1F8F" w:rsidRDefault="004D7AC0" w14:paraId="05F5C867" w14:textId="77777777">
            <w:pPr>
              <w:snapToGrid w:val="0"/>
              <w:jc w:val="center"/>
            </w:pPr>
            <w:r>
              <w:t>Este documento puede consultarse en todas las lenguas oficiales de la Unión Europea en el sitio internet del CESE en la siguiente dirección:</w:t>
            </w:r>
          </w:p>
          <w:p w:rsidR="00726351" w:rsidP="00BE1F8F" w:rsidRDefault="00726351" w14:paraId="65F2BC50" w14:textId="77777777">
            <w:pPr>
              <w:snapToGrid w:val="0"/>
              <w:jc w:val="center"/>
            </w:pPr>
          </w:p>
          <w:p w:rsidRPr="0081153B" w:rsidR="004D7AC0" w:rsidP="00BE1F8F" w:rsidRDefault="00593CA8" w14:paraId="4982DD5A" w14:textId="4DF10D40">
            <w:pPr>
              <w:snapToGrid w:val="0"/>
              <w:jc w:val="center"/>
            </w:pPr>
            <w:hyperlink w:history="1" r:id="rId13">
              <w:r w:rsidR="001C131E">
                <w:rPr>
                  <w:rStyle w:val="Hyperlink"/>
                </w:rPr>
                <w:t>https://www.eesc.europa.eu/es/our-work/opinions-information-reports/plenary-session-summaries</w:t>
              </w:r>
            </w:hyperlink>
          </w:p>
          <w:p w:rsidRPr="0081153B" w:rsidR="004D7AC0" w:rsidP="00BE1F8F" w:rsidRDefault="004D7AC0" w14:paraId="4982DD5B" w14:textId="77777777">
            <w:pPr>
              <w:snapToGrid w:val="0"/>
              <w:jc w:val="center"/>
            </w:pPr>
          </w:p>
          <w:p w:rsidRPr="0081153B" w:rsidR="004D7AC0" w:rsidP="00BE1F8F" w:rsidRDefault="004D7AC0" w14:paraId="4982DD5C" w14:textId="77777777">
            <w:pPr>
              <w:snapToGrid w:val="0"/>
              <w:jc w:val="center"/>
              <w:rPr>
                <w:rFonts w:eastAsia="SimSun"/>
              </w:rPr>
            </w:pPr>
          </w:p>
          <w:p w:rsidR="00726351" w:rsidP="00BE1F8F" w:rsidRDefault="004D7AC0" w14:paraId="64A40D96" w14:textId="77777777">
            <w:pPr>
              <w:snapToGrid w:val="0"/>
              <w:jc w:val="center"/>
            </w:pPr>
            <w:r>
              <w:t xml:space="preserve">Los dictámenes mencionados pueden consultarse en línea </w:t>
            </w:r>
            <w:r>
              <w:br/>
              <w:t>utilizando el motor de búsqueda del CESE:</w:t>
            </w:r>
          </w:p>
          <w:p w:rsidR="00726351" w:rsidP="00BE1F8F" w:rsidRDefault="00726351" w14:paraId="0E196128" w14:textId="77777777">
            <w:pPr>
              <w:snapToGrid w:val="0"/>
              <w:jc w:val="center"/>
            </w:pPr>
          </w:p>
          <w:p w:rsidRPr="00044561" w:rsidR="004D7AC0" w:rsidP="00BE1F8F" w:rsidRDefault="00593CA8" w14:paraId="4982DD5D" w14:textId="339632B5">
            <w:pPr>
              <w:snapToGrid w:val="0"/>
              <w:jc w:val="center"/>
            </w:pPr>
            <w:hyperlink w:history="1" r:id="rId14">
              <w:r w:rsidR="001C131E">
                <w:rPr>
                  <w:rStyle w:val="Hyperlink"/>
                </w:rPr>
                <w:t>https://dmsearch.eesc.europa.eu/search/opinion</w:t>
              </w:r>
            </w:hyperlink>
          </w:p>
          <w:p w:rsidRPr="00044561" w:rsidR="004D7AC0" w:rsidP="00BE1F8F" w:rsidRDefault="004D7AC0" w14:paraId="4982DD5E" w14:textId="77777777">
            <w:pPr>
              <w:snapToGrid w:val="0"/>
              <w:jc w:val="center"/>
            </w:pPr>
          </w:p>
        </w:tc>
      </w:tr>
    </w:tbl>
    <w:p w:rsidR="004D7AC0" w:rsidP="00BE1F8F" w:rsidRDefault="004D7AC0" w14:paraId="4982DD60" w14:textId="77777777"/>
    <w:p w:rsidR="004D7AC0" w:rsidP="00BE1F8F" w:rsidRDefault="004D7AC0" w14:paraId="4982DD61" w14:textId="77777777"/>
    <w:p w:rsidR="004D7AC0" w:rsidP="00BE1F8F" w:rsidRDefault="004D7AC0" w14:paraId="4982DD62" w14:textId="77777777">
      <w:pPr>
        <w:sectPr w:rsidR="004D7AC0" w:rsidSect="00BE1F8F">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A81AFE" w:rsidR="004D7AC0" w:rsidP="00BE1F8F" w:rsidRDefault="004D7AC0" w14:paraId="4982DD63" w14:textId="77777777">
      <w:pPr>
        <w:rPr>
          <w:b/>
        </w:rPr>
      </w:pPr>
      <w:r>
        <w:rPr>
          <w:b/>
        </w:rPr>
        <w:lastRenderedPageBreak/>
        <w:t>Índice:</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BE1F8F" w:rsidRDefault="004D7AC0" w14:paraId="4982DD64" w14:textId="77777777">
          <w:pPr>
            <w:pStyle w:val="TOCHeading"/>
            <w:spacing w:before="0" w:line="288" w:lineRule="auto"/>
            <w:rPr>
              <w:rFonts w:ascii="Times New Roman" w:hAnsi="Times New Roman" w:cs="Times New Roman"/>
              <w:color w:val="auto"/>
              <w:sz w:val="22"/>
              <w:szCs w:val="22"/>
            </w:rPr>
          </w:pPr>
        </w:p>
        <w:p w:rsidR="00C77862" w:rsidRDefault="004D7AC0" w14:paraId="3ED9BE25" w14:textId="3B6CCF25">
          <w:pPr>
            <w:pStyle w:val="TOC1"/>
            <w:tabs>
              <w:tab w:val="left" w:pos="440"/>
              <w:tab w:val="right" w:leader="dot" w:pos="9061"/>
            </w:tabs>
            <w:rPr>
              <w:rFonts w:asciiTheme="minorHAnsi" w:hAnsiTheme="minorHAnsi" w:eastAsiaTheme="minorEastAsia" w:cstheme="minorBidi"/>
              <w:noProof/>
            </w:rPr>
          </w:pPr>
          <w:r>
            <w:fldChar w:fldCharType="begin"/>
          </w:r>
          <w:r>
            <w:instrText xml:space="preserve"> TOC \o "1-3" \h \z \u </w:instrText>
          </w:r>
          <w:r>
            <w:fldChar w:fldCharType="separate"/>
          </w:r>
          <w:hyperlink w:history="1" w:anchor="_Toc192668666">
            <w:r w:rsidRPr="001E0E6F" w:rsidR="00C77862">
              <w:rPr>
                <w:rStyle w:val="Hyperlink"/>
                <w:noProof/>
              </w:rPr>
              <w:t>1.</w:t>
            </w:r>
            <w:r w:rsidR="00C77862">
              <w:rPr>
                <w:rFonts w:asciiTheme="minorHAnsi" w:hAnsiTheme="minorHAnsi" w:eastAsiaTheme="minorEastAsia" w:cstheme="minorBidi"/>
                <w:noProof/>
              </w:rPr>
              <w:tab/>
            </w:r>
            <w:r w:rsidRPr="001E0E6F" w:rsidR="00C77862">
              <w:rPr>
                <w:rStyle w:val="Hyperlink"/>
                <w:b/>
                <w:noProof/>
              </w:rPr>
              <w:t>ECONOMIC AND MONETARY UNION, ECONOMIC AND SOCIAL COHESION</w:t>
            </w:r>
            <w:r w:rsidR="00C77862">
              <w:rPr>
                <w:noProof/>
                <w:webHidden/>
              </w:rPr>
              <w:tab/>
            </w:r>
            <w:r w:rsidR="00C77862">
              <w:rPr>
                <w:noProof/>
                <w:webHidden/>
              </w:rPr>
              <w:fldChar w:fldCharType="begin"/>
            </w:r>
            <w:r w:rsidR="00C77862">
              <w:rPr>
                <w:noProof/>
                <w:webHidden/>
              </w:rPr>
              <w:instrText xml:space="preserve"> PAGEREF _Toc192668666 \h </w:instrText>
            </w:r>
            <w:r w:rsidR="00C77862">
              <w:rPr>
                <w:noProof/>
                <w:webHidden/>
              </w:rPr>
            </w:r>
            <w:r w:rsidR="00C77862">
              <w:rPr>
                <w:noProof/>
                <w:webHidden/>
              </w:rPr>
              <w:fldChar w:fldCharType="separate"/>
            </w:r>
            <w:r w:rsidR="003F3737">
              <w:rPr>
                <w:noProof/>
                <w:webHidden/>
              </w:rPr>
              <w:t>3</w:t>
            </w:r>
            <w:r w:rsidR="00C77862">
              <w:rPr>
                <w:noProof/>
                <w:webHidden/>
              </w:rPr>
              <w:fldChar w:fldCharType="end"/>
            </w:r>
          </w:hyperlink>
        </w:p>
        <w:p w:rsidR="00C77862" w:rsidRDefault="00593CA8" w14:paraId="4260752C" w14:textId="0C60C69B">
          <w:pPr>
            <w:pStyle w:val="TOC1"/>
            <w:tabs>
              <w:tab w:val="left" w:pos="440"/>
              <w:tab w:val="right" w:leader="dot" w:pos="9061"/>
            </w:tabs>
            <w:rPr>
              <w:rFonts w:asciiTheme="minorHAnsi" w:hAnsiTheme="minorHAnsi" w:eastAsiaTheme="minorEastAsia" w:cstheme="minorBidi"/>
              <w:noProof/>
            </w:rPr>
          </w:pPr>
          <w:hyperlink w:history="1" w:anchor="_Toc192668667">
            <w:r w:rsidRPr="001E0E6F" w:rsidR="00C77862">
              <w:rPr>
                <w:rStyle w:val="Hyperlink"/>
                <w:noProof/>
              </w:rPr>
              <w:t>2.</w:t>
            </w:r>
            <w:r w:rsidR="00C77862">
              <w:rPr>
                <w:rFonts w:asciiTheme="minorHAnsi" w:hAnsiTheme="minorHAnsi" w:eastAsiaTheme="minorEastAsia" w:cstheme="minorBidi"/>
                <w:noProof/>
              </w:rPr>
              <w:tab/>
            </w:r>
            <w:r w:rsidRPr="001E0E6F" w:rsidR="00C77862">
              <w:rPr>
                <w:rStyle w:val="Hyperlink"/>
                <w:b/>
                <w:noProof/>
              </w:rPr>
              <w:t>EMPLOYMENT, SOCIAL AFFAIRS AND CITIZENSHIP</w:t>
            </w:r>
            <w:r w:rsidR="00C77862">
              <w:rPr>
                <w:noProof/>
                <w:webHidden/>
              </w:rPr>
              <w:tab/>
            </w:r>
            <w:r w:rsidR="00C77862">
              <w:rPr>
                <w:noProof/>
                <w:webHidden/>
              </w:rPr>
              <w:fldChar w:fldCharType="begin"/>
            </w:r>
            <w:r w:rsidR="00C77862">
              <w:rPr>
                <w:noProof/>
                <w:webHidden/>
              </w:rPr>
              <w:instrText xml:space="preserve"> PAGEREF _Toc192668667 \h </w:instrText>
            </w:r>
            <w:r w:rsidR="00C77862">
              <w:rPr>
                <w:noProof/>
                <w:webHidden/>
              </w:rPr>
            </w:r>
            <w:r w:rsidR="00C77862">
              <w:rPr>
                <w:noProof/>
                <w:webHidden/>
              </w:rPr>
              <w:fldChar w:fldCharType="separate"/>
            </w:r>
            <w:r w:rsidR="003F3737">
              <w:rPr>
                <w:noProof/>
                <w:webHidden/>
              </w:rPr>
              <w:t>9</w:t>
            </w:r>
            <w:r w:rsidR="00C77862">
              <w:rPr>
                <w:noProof/>
                <w:webHidden/>
              </w:rPr>
              <w:fldChar w:fldCharType="end"/>
            </w:r>
          </w:hyperlink>
        </w:p>
        <w:p w:rsidR="00C77862" w:rsidRDefault="00593CA8" w14:paraId="097BE9C3" w14:textId="7FFE7BA9">
          <w:pPr>
            <w:pStyle w:val="TOC1"/>
            <w:tabs>
              <w:tab w:val="left" w:pos="440"/>
              <w:tab w:val="right" w:leader="dot" w:pos="9061"/>
            </w:tabs>
            <w:rPr>
              <w:rFonts w:asciiTheme="minorHAnsi" w:hAnsiTheme="minorHAnsi" w:eastAsiaTheme="minorEastAsia" w:cstheme="minorBidi"/>
              <w:noProof/>
            </w:rPr>
          </w:pPr>
          <w:hyperlink w:history="1" w:anchor="_Toc192668668">
            <w:r w:rsidRPr="001E0E6F" w:rsidR="00C77862">
              <w:rPr>
                <w:rStyle w:val="Hyperlink"/>
                <w:noProof/>
              </w:rPr>
              <w:t>3.</w:t>
            </w:r>
            <w:r w:rsidR="00C77862">
              <w:rPr>
                <w:rFonts w:asciiTheme="minorHAnsi" w:hAnsiTheme="minorHAnsi" w:eastAsiaTheme="minorEastAsia" w:cstheme="minorBidi"/>
                <w:noProof/>
              </w:rPr>
              <w:tab/>
            </w:r>
            <w:r w:rsidRPr="001E0E6F" w:rsidR="00C77862">
              <w:rPr>
                <w:rStyle w:val="Hyperlink"/>
                <w:b/>
                <w:noProof/>
              </w:rPr>
              <w:t>TRANSPORT, ENERGY, INFRASTRUCTURE AND INFORMATION SOCIETY</w:t>
            </w:r>
            <w:r w:rsidR="00C77862">
              <w:rPr>
                <w:noProof/>
                <w:webHidden/>
              </w:rPr>
              <w:tab/>
            </w:r>
            <w:r w:rsidR="00C77862">
              <w:rPr>
                <w:noProof/>
                <w:webHidden/>
              </w:rPr>
              <w:fldChar w:fldCharType="begin"/>
            </w:r>
            <w:r w:rsidR="00C77862">
              <w:rPr>
                <w:noProof/>
                <w:webHidden/>
              </w:rPr>
              <w:instrText xml:space="preserve"> PAGEREF _Toc192668668 \h </w:instrText>
            </w:r>
            <w:r w:rsidR="00C77862">
              <w:rPr>
                <w:noProof/>
                <w:webHidden/>
              </w:rPr>
            </w:r>
            <w:r w:rsidR="00C77862">
              <w:rPr>
                <w:noProof/>
                <w:webHidden/>
              </w:rPr>
              <w:fldChar w:fldCharType="separate"/>
            </w:r>
            <w:r w:rsidR="003F3737">
              <w:rPr>
                <w:noProof/>
                <w:webHidden/>
              </w:rPr>
              <w:t>14</w:t>
            </w:r>
            <w:r w:rsidR="00C77862">
              <w:rPr>
                <w:noProof/>
                <w:webHidden/>
              </w:rPr>
              <w:fldChar w:fldCharType="end"/>
            </w:r>
          </w:hyperlink>
        </w:p>
        <w:p w:rsidR="00C77862" w:rsidRDefault="00593CA8" w14:paraId="71C389F8" w14:textId="71B7438C">
          <w:pPr>
            <w:pStyle w:val="TOC1"/>
            <w:tabs>
              <w:tab w:val="left" w:pos="440"/>
              <w:tab w:val="right" w:leader="dot" w:pos="9061"/>
            </w:tabs>
            <w:rPr>
              <w:rFonts w:asciiTheme="minorHAnsi" w:hAnsiTheme="minorHAnsi" w:eastAsiaTheme="minorEastAsia" w:cstheme="minorBidi"/>
              <w:noProof/>
            </w:rPr>
          </w:pPr>
          <w:hyperlink w:history="1" w:anchor="_Toc192668669">
            <w:r w:rsidRPr="001E0E6F" w:rsidR="00C77862">
              <w:rPr>
                <w:rStyle w:val="Hyperlink"/>
                <w:noProof/>
              </w:rPr>
              <w:t>4.</w:t>
            </w:r>
            <w:r w:rsidR="00C77862">
              <w:rPr>
                <w:rFonts w:asciiTheme="minorHAnsi" w:hAnsiTheme="minorHAnsi" w:eastAsiaTheme="minorEastAsia" w:cstheme="minorBidi"/>
                <w:noProof/>
              </w:rPr>
              <w:tab/>
            </w:r>
            <w:r w:rsidRPr="001E0E6F" w:rsidR="00C77862">
              <w:rPr>
                <w:rStyle w:val="Hyperlink"/>
                <w:b/>
                <w:noProof/>
              </w:rPr>
              <w:t>SINGLE MARKET, PRODUCTION AND CONSUMPTION</w:t>
            </w:r>
            <w:r w:rsidR="00C77862">
              <w:rPr>
                <w:noProof/>
                <w:webHidden/>
              </w:rPr>
              <w:tab/>
            </w:r>
            <w:r w:rsidR="00C77862">
              <w:rPr>
                <w:noProof/>
                <w:webHidden/>
              </w:rPr>
              <w:fldChar w:fldCharType="begin"/>
            </w:r>
            <w:r w:rsidR="00C77862">
              <w:rPr>
                <w:noProof/>
                <w:webHidden/>
              </w:rPr>
              <w:instrText xml:space="preserve"> PAGEREF _Toc192668669 \h </w:instrText>
            </w:r>
            <w:r w:rsidR="00C77862">
              <w:rPr>
                <w:noProof/>
                <w:webHidden/>
              </w:rPr>
            </w:r>
            <w:r w:rsidR="00C77862">
              <w:rPr>
                <w:noProof/>
                <w:webHidden/>
              </w:rPr>
              <w:fldChar w:fldCharType="separate"/>
            </w:r>
            <w:r w:rsidR="003F3737">
              <w:rPr>
                <w:noProof/>
                <w:webHidden/>
              </w:rPr>
              <w:t>15</w:t>
            </w:r>
            <w:r w:rsidR="00C77862">
              <w:rPr>
                <w:noProof/>
                <w:webHidden/>
              </w:rPr>
              <w:fldChar w:fldCharType="end"/>
            </w:r>
          </w:hyperlink>
        </w:p>
        <w:p w:rsidR="00C77862" w:rsidRDefault="00593CA8" w14:paraId="7590EEC5" w14:textId="715F5543">
          <w:pPr>
            <w:pStyle w:val="TOC1"/>
            <w:tabs>
              <w:tab w:val="left" w:pos="440"/>
              <w:tab w:val="right" w:leader="dot" w:pos="9061"/>
            </w:tabs>
            <w:rPr>
              <w:rFonts w:asciiTheme="minorHAnsi" w:hAnsiTheme="minorHAnsi" w:eastAsiaTheme="minorEastAsia" w:cstheme="minorBidi"/>
              <w:noProof/>
            </w:rPr>
          </w:pPr>
          <w:hyperlink w:history="1" w:anchor="_Toc192668670">
            <w:r w:rsidRPr="001E0E6F" w:rsidR="00C77862">
              <w:rPr>
                <w:rStyle w:val="Hyperlink"/>
                <w:noProof/>
              </w:rPr>
              <w:t>5.</w:t>
            </w:r>
            <w:r w:rsidR="00C77862">
              <w:rPr>
                <w:rFonts w:asciiTheme="minorHAnsi" w:hAnsiTheme="minorHAnsi" w:eastAsiaTheme="minorEastAsia" w:cstheme="minorBidi"/>
                <w:noProof/>
              </w:rPr>
              <w:tab/>
            </w:r>
            <w:r w:rsidRPr="001E0E6F" w:rsidR="00C77862">
              <w:rPr>
                <w:rStyle w:val="Hyperlink"/>
                <w:b/>
                <w:noProof/>
              </w:rPr>
              <w:t>AGRICULTURE, RURAL DEVELOPMENT AND THE ENVIRONMENT</w:t>
            </w:r>
            <w:r w:rsidR="00C77862">
              <w:rPr>
                <w:noProof/>
                <w:webHidden/>
              </w:rPr>
              <w:tab/>
            </w:r>
            <w:r w:rsidR="00C77862">
              <w:rPr>
                <w:noProof/>
                <w:webHidden/>
              </w:rPr>
              <w:fldChar w:fldCharType="begin"/>
            </w:r>
            <w:r w:rsidR="00C77862">
              <w:rPr>
                <w:noProof/>
                <w:webHidden/>
              </w:rPr>
              <w:instrText xml:space="preserve"> PAGEREF _Toc192668670 \h </w:instrText>
            </w:r>
            <w:r w:rsidR="00C77862">
              <w:rPr>
                <w:noProof/>
                <w:webHidden/>
              </w:rPr>
            </w:r>
            <w:r w:rsidR="00C77862">
              <w:rPr>
                <w:noProof/>
                <w:webHidden/>
              </w:rPr>
              <w:fldChar w:fldCharType="separate"/>
            </w:r>
            <w:r w:rsidR="003F3737">
              <w:rPr>
                <w:noProof/>
                <w:webHidden/>
              </w:rPr>
              <w:t>21</w:t>
            </w:r>
            <w:r w:rsidR="00C77862">
              <w:rPr>
                <w:noProof/>
                <w:webHidden/>
              </w:rPr>
              <w:fldChar w:fldCharType="end"/>
            </w:r>
          </w:hyperlink>
        </w:p>
        <w:p w:rsidR="00C77862" w:rsidRDefault="00593CA8" w14:paraId="5424E930" w14:textId="7E96C8C3">
          <w:pPr>
            <w:pStyle w:val="TOC1"/>
            <w:tabs>
              <w:tab w:val="left" w:pos="440"/>
              <w:tab w:val="right" w:leader="dot" w:pos="9061"/>
            </w:tabs>
            <w:rPr>
              <w:rFonts w:asciiTheme="minorHAnsi" w:hAnsiTheme="minorHAnsi" w:eastAsiaTheme="minorEastAsia" w:cstheme="minorBidi"/>
              <w:noProof/>
            </w:rPr>
          </w:pPr>
          <w:hyperlink w:history="1" w:anchor="_Toc192668671">
            <w:r w:rsidRPr="001E0E6F" w:rsidR="00C77862">
              <w:rPr>
                <w:rStyle w:val="Hyperlink"/>
                <w:noProof/>
              </w:rPr>
              <w:t>6.</w:t>
            </w:r>
            <w:r w:rsidR="00C77862">
              <w:rPr>
                <w:rFonts w:asciiTheme="minorHAnsi" w:hAnsiTheme="minorHAnsi" w:eastAsiaTheme="minorEastAsia" w:cstheme="minorBidi"/>
                <w:noProof/>
              </w:rPr>
              <w:tab/>
            </w:r>
            <w:r w:rsidRPr="001E0E6F" w:rsidR="00C77862">
              <w:rPr>
                <w:rStyle w:val="Hyperlink"/>
                <w:b/>
                <w:noProof/>
              </w:rPr>
              <w:t>CONSULTATIVE COMMISSION ON INDUSTRIAL CHANGE</w:t>
            </w:r>
            <w:r w:rsidR="00C77862">
              <w:rPr>
                <w:noProof/>
                <w:webHidden/>
              </w:rPr>
              <w:tab/>
            </w:r>
            <w:r w:rsidR="00C77862">
              <w:rPr>
                <w:noProof/>
                <w:webHidden/>
              </w:rPr>
              <w:fldChar w:fldCharType="begin"/>
            </w:r>
            <w:r w:rsidR="00C77862">
              <w:rPr>
                <w:noProof/>
                <w:webHidden/>
              </w:rPr>
              <w:instrText xml:space="preserve"> PAGEREF _Toc192668671 \h </w:instrText>
            </w:r>
            <w:r w:rsidR="00C77862">
              <w:rPr>
                <w:noProof/>
                <w:webHidden/>
              </w:rPr>
            </w:r>
            <w:r w:rsidR="00C77862">
              <w:rPr>
                <w:noProof/>
                <w:webHidden/>
              </w:rPr>
              <w:fldChar w:fldCharType="separate"/>
            </w:r>
            <w:r w:rsidR="003F3737">
              <w:rPr>
                <w:noProof/>
                <w:webHidden/>
              </w:rPr>
              <w:t>23</w:t>
            </w:r>
            <w:r w:rsidR="00C77862">
              <w:rPr>
                <w:noProof/>
                <w:webHidden/>
              </w:rPr>
              <w:fldChar w:fldCharType="end"/>
            </w:r>
          </w:hyperlink>
        </w:p>
        <w:p w:rsidR="004D7AC0" w:rsidP="00BE1F8F" w:rsidRDefault="004D7AC0" w14:paraId="4982DD6A" w14:textId="2712A663">
          <w:r>
            <w:rPr>
              <w:b/>
            </w:rPr>
            <w:fldChar w:fldCharType="end"/>
          </w:r>
        </w:p>
      </w:sdtContent>
    </w:sdt>
    <w:p w:rsidR="004D7AC0" w:rsidP="00BE1F8F" w:rsidRDefault="004D7AC0" w14:paraId="4982DD6B" w14:textId="77777777"/>
    <w:p w:rsidR="004D7AC0" w:rsidP="00BE1F8F" w:rsidRDefault="004D7AC0" w14:paraId="4982DD6C" w14:textId="77777777">
      <w:pPr>
        <w:jc w:val="left"/>
      </w:pPr>
      <w:r>
        <w:br w:type="page"/>
      </w:r>
    </w:p>
    <w:p w:rsidR="004D7AC0" w:rsidP="00BE1F8F" w:rsidRDefault="004D7AC0" w14:paraId="4982DD6D" w14:textId="77777777">
      <w:pPr>
        <w:pStyle w:val="Heading1"/>
        <w:rPr>
          <w:b/>
        </w:rPr>
      </w:pPr>
      <w:bookmarkStart w:name="_Toc192668666" w:id="0"/>
      <w:r>
        <w:rPr>
          <w:b/>
        </w:rPr>
        <w:lastRenderedPageBreak/>
        <w:t>UNIÓN ECONÓMICA Y MONETARIA Y COHESIÓN ECONÓMICA Y SOCIAL</w:t>
      </w:r>
      <w:bookmarkEnd w:id="0"/>
    </w:p>
    <w:p w:rsidR="004D7AC0" w:rsidP="00BE1F8F" w:rsidRDefault="004D7AC0" w14:paraId="4982DD6E" w14:textId="77777777"/>
    <w:p w:rsidRPr="00BE1F8F" w:rsidR="00BE1F8F" w:rsidP="00BE1F8F" w:rsidRDefault="00593CA8" w14:paraId="1ECDFE60" w14:textId="77777777">
      <w:pPr>
        <w:widowControl w:val="0"/>
        <w:numPr>
          <w:ilvl w:val="0"/>
          <w:numId w:val="20"/>
        </w:numPr>
        <w:ind w:left="567" w:hanging="567"/>
        <w:jc w:val="left"/>
        <w:rPr>
          <w:bCs/>
          <w:iCs/>
        </w:rPr>
      </w:pPr>
      <w:hyperlink w:history="1" r:id="rId21">
        <w:r w:rsidR="001C131E">
          <w:rPr>
            <w:b/>
            <w:i/>
            <w:color w:val="0000FF"/>
            <w:sz w:val="28"/>
            <w:u w:val="single"/>
          </w:rPr>
          <w:t>Semestre Europeo de 2025 – Paquete de otoño</w:t>
        </w:r>
      </w:hyperlink>
    </w:p>
    <w:p w:rsidRPr="003F3737" w:rsidR="009B199C" w:rsidP="00BE1F8F" w:rsidRDefault="009B199C" w14:paraId="475281DB" w14:textId="0688FCBB">
      <w:pPr>
        <w:widowControl w:val="0"/>
        <w:ind w:left="567"/>
        <w:jc w:val="left"/>
        <w:rPr>
          <w:bCs/>
          <w:iCs/>
          <w:sz w:val="18"/>
          <w:szCs w:val="18"/>
        </w:rPr>
      </w:pPr>
    </w:p>
    <w:tbl>
      <w:tblPr>
        <w:tblW w:w="5000" w:type="pct"/>
        <w:tblLook w:val="04A0" w:firstRow="1" w:lastRow="0" w:firstColumn="1" w:lastColumn="0" w:noHBand="0" w:noVBand="1"/>
      </w:tblPr>
      <w:tblGrid>
        <w:gridCol w:w="1668"/>
        <w:gridCol w:w="7619"/>
      </w:tblGrid>
      <w:tr w:rsidRPr="005C4571" w:rsidR="009B199C" w:rsidTr="00BE1F8F" w14:paraId="7E2330F9" w14:textId="77777777">
        <w:trPr>
          <w:trHeight w:val="269"/>
        </w:trPr>
        <w:tc>
          <w:tcPr>
            <w:tcW w:w="898" w:type="pct"/>
          </w:tcPr>
          <w:p w:rsidRPr="005C4571" w:rsidR="009B199C" w:rsidP="00BE1F8F" w:rsidRDefault="009B199C" w14:paraId="11357475" w14:textId="5FA4627E">
            <w:pPr>
              <w:tabs>
                <w:tab w:val="center" w:pos="284"/>
              </w:tabs>
              <w:ind w:left="266" w:hanging="266"/>
              <w:rPr>
                <w:b/>
              </w:rPr>
            </w:pPr>
            <w:r>
              <w:rPr>
                <w:b/>
              </w:rPr>
              <w:t>Ponente</w:t>
            </w:r>
          </w:p>
        </w:tc>
        <w:tc>
          <w:tcPr>
            <w:tcW w:w="4102" w:type="pct"/>
          </w:tcPr>
          <w:p w:rsidRPr="00BE1F8F" w:rsidR="009B199C" w:rsidP="00BE1F8F" w:rsidRDefault="009B199C" w14:paraId="7707B7CD" w14:textId="40636FC3">
            <w:pPr>
              <w:tabs>
                <w:tab w:val="center" w:pos="284"/>
              </w:tabs>
              <w:ind w:left="266" w:hanging="266"/>
              <w:rPr>
                <w:bCs/>
              </w:rPr>
            </w:pPr>
            <w:r>
              <w:t>Petru Sorin DANDEA (Grupo de Trabajadores – RO)</w:t>
            </w:r>
          </w:p>
        </w:tc>
      </w:tr>
      <w:tr w:rsidRPr="005C4571" w:rsidR="009B199C" w:rsidTr="00BE1F8F" w14:paraId="78616870" w14:textId="77777777">
        <w:trPr>
          <w:trHeight w:val="484"/>
        </w:trPr>
        <w:tc>
          <w:tcPr>
            <w:tcW w:w="898" w:type="pct"/>
          </w:tcPr>
          <w:p w:rsidRPr="005C4571" w:rsidR="009B199C" w:rsidP="00BE1F8F" w:rsidRDefault="009B199C" w14:paraId="271ACA41" w14:textId="77777777">
            <w:pPr>
              <w:tabs>
                <w:tab w:val="center" w:pos="284"/>
              </w:tabs>
              <w:ind w:left="266" w:hanging="266"/>
              <w:rPr>
                <w:b/>
              </w:rPr>
            </w:pPr>
            <w:r>
              <w:rPr>
                <w:b/>
              </w:rPr>
              <w:t>Referencias</w:t>
            </w:r>
          </w:p>
        </w:tc>
        <w:tc>
          <w:tcPr>
            <w:tcW w:w="4102" w:type="pct"/>
          </w:tcPr>
          <w:p w:rsidR="00FA7642" w:rsidP="00BE1F8F" w:rsidRDefault="009B199C" w14:paraId="3B2FCABD" w14:textId="77777777">
            <w:pPr>
              <w:tabs>
                <w:tab w:val="center" w:pos="284"/>
              </w:tabs>
              <w:ind w:left="266" w:hanging="266"/>
            </w:pPr>
            <w:r>
              <w:t>COM(2024) 700 final</w:t>
            </w:r>
          </w:p>
          <w:p w:rsidRPr="005C4571" w:rsidR="009B199C" w:rsidP="00BE1F8F" w:rsidRDefault="009B199C" w14:paraId="49CDD496" w14:textId="3FA98205">
            <w:pPr>
              <w:tabs>
                <w:tab w:val="center" w:pos="284"/>
              </w:tabs>
              <w:ind w:left="266" w:hanging="266"/>
            </w:pPr>
            <w:r>
              <w:t>EESC-2024-04138-00-00-AC</w:t>
            </w:r>
          </w:p>
        </w:tc>
      </w:tr>
    </w:tbl>
    <w:p w:rsidRPr="003F3737" w:rsidR="00BE1F8F" w:rsidP="00BE1F8F" w:rsidRDefault="00BE1F8F" w14:paraId="012909FD" w14:textId="77777777">
      <w:pPr>
        <w:keepNext/>
        <w:keepLines/>
        <w:tabs>
          <w:tab w:val="center" w:pos="284"/>
        </w:tabs>
        <w:ind w:left="266" w:hanging="266"/>
        <w:rPr>
          <w:b/>
          <w:sz w:val="18"/>
          <w:szCs w:val="18"/>
        </w:rPr>
      </w:pPr>
    </w:p>
    <w:p w:rsidRPr="005C4571" w:rsidR="009B199C" w:rsidP="00BE1F8F" w:rsidRDefault="009B199C" w14:paraId="4BF08ABF" w14:textId="41C36C93">
      <w:pPr>
        <w:keepNext/>
        <w:keepLines/>
        <w:tabs>
          <w:tab w:val="center" w:pos="284"/>
        </w:tabs>
        <w:ind w:left="266" w:hanging="266"/>
        <w:rPr>
          <w:b/>
        </w:rPr>
      </w:pPr>
      <w:r>
        <w:rPr>
          <w:b/>
        </w:rPr>
        <w:t>Puntos clave</w:t>
      </w:r>
    </w:p>
    <w:p w:rsidRPr="003F3737" w:rsidR="009B199C" w:rsidP="00BE1F8F" w:rsidRDefault="009B199C" w14:paraId="6607972D" w14:textId="77777777">
      <w:pPr>
        <w:keepNext/>
        <w:keepLines/>
        <w:tabs>
          <w:tab w:val="center" w:pos="284"/>
        </w:tabs>
        <w:ind w:left="266" w:hanging="266"/>
        <w:rPr>
          <w:b/>
          <w:sz w:val="18"/>
          <w:szCs w:val="18"/>
        </w:rPr>
      </w:pPr>
    </w:p>
    <w:p w:rsidR="009B199C" w:rsidP="003F3737" w:rsidRDefault="009B199C" w14:paraId="4C3F98BA" w14:textId="77777777">
      <w:pPr>
        <w:spacing w:line="283" w:lineRule="auto"/>
        <w:rPr>
          <w:bCs/>
          <w:iCs/>
        </w:rPr>
      </w:pPr>
      <w:r>
        <w:t>El CESE:</w:t>
      </w:r>
    </w:p>
    <w:p w:rsidRPr="005C4571" w:rsidR="009B199C" w:rsidP="003F3737" w:rsidRDefault="009B199C" w14:paraId="3ED2E951" w14:textId="77777777">
      <w:pPr>
        <w:numPr>
          <w:ilvl w:val="0"/>
          <w:numId w:val="19"/>
        </w:numPr>
        <w:spacing w:line="283" w:lineRule="auto"/>
        <w:ind w:left="284" w:hanging="284"/>
        <w:contextualSpacing/>
      </w:pPr>
      <w:r>
        <w:t>considera deplorable e incomprensible que, en el turbulento contexto político, social y económico mundial, la Comisión Europea haya optado por no publicar el Estudio Prospectivo Anual sobre el Crecimiento Sostenible;</w:t>
      </w:r>
    </w:p>
    <w:p w:rsidRPr="005C4571" w:rsidR="009B199C" w:rsidP="003F3737" w:rsidRDefault="009B199C" w14:paraId="3C4DA8C9" w14:textId="77777777">
      <w:pPr>
        <w:numPr>
          <w:ilvl w:val="0"/>
          <w:numId w:val="19"/>
        </w:numPr>
        <w:spacing w:line="283" w:lineRule="auto"/>
        <w:ind w:left="284" w:hanging="284"/>
        <w:contextualSpacing/>
      </w:pPr>
      <w:r>
        <w:t>considera que los graves y crecientes riesgos geopolíticos y el deterioro de las instituciones multilaterales pueden tener un grave impacto en las economías, el comercio, la inflación y el crecimiento europeos;</w:t>
      </w:r>
    </w:p>
    <w:p w:rsidRPr="005C4571" w:rsidR="009B199C" w:rsidP="003F3737" w:rsidRDefault="009B199C" w14:paraId="0A50F121" w14:textId="77777777">
      <w:pPr>
        <w:numPr>
          <w:ilvl w:val="0"/>
          <w:numId w:val="19"/>
        </w:numPr>
        <w:spacing w:line="283" w:lineRule="auto"/>
        <w:ind w:left="284" w:hanging="284"/>
        <w:contextualSpacing/>
      </w:pPr>
      <w:r>
        <w:t>acoge con satisfacción los esfuerzos de la Comisión por poner en marcha el ciclo de aplicación del nuevo marco de gobernanza europeo y anima a la Comisión a finalizar este proceso lo antes posible;</w:t>
      </w:r>
    </w:p>
    <w:p w:rsidRPr="005C4571" w:rsidR="009B199C" w:rsidP="003F3737" w:rsidRDefault="009B199C" w14:paraId="5E3F24C0" w14:textId="77777777">
      <w:pPr>
        <w:numPr>
          <w:ilvl w:val="0"/>
          <w:numId w:val="19"/>
        </w:numPr>
        <w:spacing w:line="283" w:lineRule="auto"/>
        <w:ind w:left="284" w:hanging="284"/>
        <w:contextualSpacing/>
      </w:pPr>
      <w:r>
        <w:t>subraya la posición de la sociedad civil de que, si bien el paquete de otoño hace hincapié en la importancia de la participación de las partes interesadas, se percibe una falta de mecanismos concretos para implicar a los interlocutores sociales y las organizaciones de la sociedad civil de manera adecuada y eficaz a escala nacional;</w:t>
      </w:r>
    </w:p>
    <w:p w:rsidRPr="005C4571" w:rsidR="009B199C" w:rsidP="003F3737" w:rsidRDefault="009B199C" w14:paraId="3771C892" w14:textId="77777777">
      <w:pPr>
        <w:numPr>
          <w:ilvl w:val="0"/>
          <w:numId w:val="19"/>
        </w:numPr>
        <w:spacing w:line="283" w:lineRule="auto"/>
        <w:ind w:left="284" w:hanging="284"/>
        <w:contextualSpacing/>
      </w:pPr>
      <w:r>
        <w:t>suscribe la propuesta de la Comisión de poner en marcha la brújula de competitividad;</w:t>
      </w:r>
    </w:p>
    <w:p w:rsidRPr="005C4571" w:rsidR="009B199C" w:rsidP="003F3737" w:rsidRDefault="009B199C" w14:paraId="23285551" w14:textId="77777777">
      <w:pPr>
        <w:numPr>
          <w:ilvl w:val="0"/>
          <w:numId w:val="19"/>
        </w:numPr>
        <w:spacing w:line="283" w:lineRule="auto"/>
        <w:ind w:left="284" w:hanging="284"/>
        <w:contextualSpacing/>
      </w:pPr>
      <w:r>
        <w:t>está de acuerdo con la conclusión del informe Draghi de que el principal factor causante de los diferenciales negativos de productividad y competitividad de la economía de la UE en comparación con los Estados Unidos y China es el gran déficit de inversión acumulado en las dos últimas décadas;</w:t>
      </w:r>
    </w:p>
    <w:p w:rsidRPr="005C4571" w:rsidR="009B199C" w:rsidP="003F3737" w:rsidRDefault="009B199C" w14:paraId="5D5DDAD1" w14:textId="77777777">
      <w:pPr>
        <w:numPr>
          <w:ilvl w:val="0"/>
          <w:numId w:val="19"/>
        </w:numPr>
        <w:spacing w:line="283" w:lineRule="auto"/>
        <w:ind w:left="284" w:hanging="284"/>
        <w:contextualSpacing/>
      </w:pPr>
      <w:r>
        <w:t>estima que las inversiones deben financiarse con capital público y privado, nacional y europeo;</w:t>
      </w:r>
    </w:p>
    <w:p w:rsidRPr="005C4571" w:rsidR="009B199C" w:rsidP="003F3737" w:rsidRDefault="009B199C" w14:paraId="74A06E52" w14:textId="77777777">
      <w:pPr>
        <w:numPr>
          <w:ilvl w:val="0"/>
          <w:numId w:val="19"/>
        </w:numPr>
        <w:spacing w:line="283" w:lineRule="auto"/>
        <w:ind w:left="284" w:hanging="284"/>
        <w:contextualSpacing/>
      </w:pPr>
      <w:r>
        <w:t>toma nota de la propuesta de la Comisión de orientar las recomendaciones específicas por país (REP) hacia una mejor aplicación de las reformas e inversiones incluidas en el Mecanismo de Recuperación y Resiliencia (MRR) y el MFP, ya que ambos llegarán a su fin en 2026 y 2027, respectivamente;</w:t>
      </w:r>
    </w:p>
    <w:p w:rsidRPr="005C4571" w:rsidR="009B199C" w:rsidP="003F3737" w:rsidRDefault="009B199C" w14:paraId="49B53D4B" w14:textId="77777777">
      <w:pPr>
        <w:numPr>
          <w:ilvl w:val="0"/>
          <w:numId w:val="19"/>
        </w:numPr>
        <w:spacing w:line="283" w:lineRule="auto"/>
        <w:ind w:left="284" w:hanging="284"/>
        <w:contextualSpacing/>
      </w:pPr>
      <w:r>
        <w:t>considera que, en el difícil contexto político y económico que atraviesa la UE, una mayor cooperación entre los Estados miembros es la clave para superar estos obstáculos;</w:t>
      </w:r>
    </w:p>
    <w:p w:rsidRPr="005C4571" w:rsidR="009B199C" w:rsidP="003F3737" w:rsidRDefault="009B199C" w14:paraId="48FD49AD" w14:textId="77777777">
      <w:pPr>
        <w:numPr>
          <w:ilvl w:val="0"/>
          <w:numId w:val="19"/>
        </w:numPr>
        <w:spacing w:line="283" w:lineRule="auto"/>
        <w:ind w:left="284" w:hanging="284"/>
        <w:contextualSpacing/>
      </w:pPr>
      <w:r>
        <w:t>considera que los análisis y conclusiones de la Comisión en el Informe conjunto sobre el empleo son correctos y aptos para ser transformados, con el debido cuidado, en recomendaciones específicas por país;</w:t>
      </w:r>
    </w:p>
    <w:p w:rsidRPr="005C4571" w:rsidR="009B199C" w:rsidP="003F3737" w:rsidRDefault="009B199C" w14:paraId="38004D1C" w14:textId="77777777">
      <w:pPr>
        <w:numPr>
          <w:ilvl w:val="0"/>
          <w:numId w:val="19"/>
        </w:numPr>
        <w:spacing w:line="283" w:lineRule="auto"/>
        <w:ind w:left="284" w:hanging="284"/>
        <w:contextualSpacing/>
      </w:pPr>
      <w:r>
        <w:t xml:space="preserve">anima a la Comisión a continuar con el programa de reducción de la carga que supone la regulación excesiva para las empresas europeas, que reduce su capacidad para competir a escala mundial; </w:t>
      </w:r>
    </w:p>
    <w:p w:rsidRPr="005C4571" w:rsidR="009B199C" w:rsidP="003F3737" w:rsidRDefault="009B199C" w14:paraId="7E9B0E26" w14:textId="77777777">
      <w:pPr>
        <w:widowControl w:val="0"/>
        <w:numPr>
          <w:ilvl w:val="0"/>
          <w:numId w:val="19"/>
        </w:numPr>
        <w:spacing w:line="283" w:lineRule="auto"/>
        <w:ind w:left="284" w:hanging="284"/>
        <w:rPr>
          <w:bCs/>
          <w:iCs/>
        </w:rPr>
      </w:pPr>
      <w:r>
        <w:t>considera que, en las recomendaciones específicas por país, las propuestas de inversión y reforma deben dar prioridad a la lucha contra el grave problema de la vivienda.</w:t>
      </w:r>
    </w:p>
    <w:tbl>
      <w:tblPr>
        <w:tblW w:w="4942" w:type="pct"/>
        <w:tblLook w:val="04A0" w:firstRow="1" w:lastRow="0" w:firstColumn="1" w:lastColumn="0" w:noHBand="0" w:noVBand="1"/>
      </w:tblPr>
      <w:tblGrid>
        <w:gridCol w:w="2234"/>
        <w:gridCol w:w="6945"/>
      </w:tblGrid>
      <w:tr w:rsidRPr="005C4571" w:rsidR="009B199C" w:rsidTr="003F3737" w14:paraId="6E6E3E29" w14:textId="77777777">
        <w:tc>
          <w:tcPr>
            <w:tcW w:w="1217" w:type="pct"/>
          </w:tcPr>
          <w:p w:rsidRPr="005C4571" w:rsidR="009B199C" w:rsidP="00BE1F8F" w:rsidRDefault="009B199C" w14:paraId="0A0A29E5" w14:textId="77777777">
            <w:pPr>
              <w:rPr>
                <w:b/>
                <w:i/>
              </w:rPr>
            </w:pPr>
            <w:r>
              <w:rPr>
                <w:b/>
                <w:i/>
              </w:rPr>
              <w:t>Contacto:</w:t>
            </w:r>
          </w:p>
        </w:tc>
        <w:tc>
          <w:tcPr>
            <w:tcW w:w="3783" w:type="pct"/>
          </w:tcPr>
          <w:p w:rsidRPr="005C4571" w:rsidR="009B199C" w:rsidP="00BE1F8F" w:rsidRDefault="009B199C" w14:paraId="42F5E565" w14:textId="370BC39C">
            <w:pPr>
              <w:rPr>
                <w:b/>
                <w:i/>
              </w:rPr>
            </w:pPr>
            <w:r>
              <w:rPr>
                <w:i/>
              </w:rPr>
              <w:t>Anna Pantazi</w:t>
            </w:r>
          </w:p>
        </w:tc>
      </w:tr>
      <w:tr w:rsidRPr="005C4571" w:rsidR="009B199C" w:rsidTr="003F3737" w14:paraId="552BEC45" w14:textId="77777777">
        <w:tc>
          <w:tcPr>
            <w:tcW w:w="1217" w:type="pct"/>
          </w:tcPr>
          <w:p w:rsidRPr="005C4571" w:rsidR="009B199C" w:rsidP="00BE1F8F" w:rsidRDefault="009B199C" w14:paraId="1653AF5F" w14:textId="77777777">
            <w:pPr>
              <w:rPr>
                <w:i/>
              </w:rPr>
            </w:pPr>
            <w:r>
              <w:rPr>
                <w:i/>
              </w:rPr>
              <w:t>Teléfono:</w:t>
            </w:r>
          </w:p>
        </w:tc>
        <w:tc>
          <w:tcPr>
            <w:tcW w:w="3783" w:type="pct"/>
          </w:tcPr>
          <w:p w:rsidRPr="005C4571" w:rsidR="009B199C" w:rsidP="00BE1F8F" w:rsidRDefault="009B199C" w14:paraId="237B8862" w14:textId="77777777">
            <w:pPr>
              <w:rPr>
                <w:i/>
              </w:rPr>
            </w:pPr>
            <w:r>
              <w:rPr>
                <w:i/>
              </w:rPr>
              <w:t>+32 25469231</w:t>
            </w:r>
          </w:p>
        </w:tc>
      </w:tr>
      <w:tr w:rsidRPr="005C4571" w:rsidR="009B199C" w:rsidTr="003F3737" w14:paraId="3D3A9CD1" w14:textId="77777777">
        <w:tc>
          <w:tcPr>
            <w:tcW w:w="1217" w:type="pct"/>
          </w:tcPr>
          <w:p w:rsidRPr="005C4571" w:rsidR="009B199C" w:rsidP="00BE1F8F" w:rsidRDefault="009B199C" w14:paraId="1113F6A6" w14:textId="77777777">
            <w:pPr>
              <w:rPr>
                <w:i/>
              </w:rPr>
            </w:pPr>
            <w:r>
              <w:rPr>
                <w:i/>
              </w:rPr>
              <w:t>Correo electrónico:</w:t>
            </w:r>
          </w:p>
        </w:tc>
        <w:tc>
          <w:tcPr>
            <w:tcW w:w="3783" w:type="pct"/>
          </w:tcPr>
          <w:p w:rsidRPr="005C4571" w:rsidR="009B199C" w:rsidP="00BE1F8F" w:rsidRDefault="00593CA8" w14:paraId="45EA0124" w14:textId="77777777">
            <w:pPr>
              <w:rPr>
                <w:i/>
              </w:rPr>
            </w:pPr>
            <w:hyperlink w:history="1" r:id="rId22">
              <w:r w:rsidR="001C131E">
                <w:rPr>
                  <w:i/>
                  <w:color w:val="0000FF"/>
                  <w:u w:val="single"/>
                </w:rPr>
                <w:t>Anna.Pantazi@eesc.europa.eu</w:t>
              </w:r>
            </w:hyperlink>
          </w:p>
        </w:tc>
      </w:tr>
    </w:tbl>
    <w:p w:rsidRPr="003F3737" w:rsidR="009B199C" w:rsidP="00BE1F8F" w:rsidRDefault="009B199C" w14:paraId="44976E13" w14:textId="77777777">
      <w:pPr>
        <w:jc w:val="left"/>
        <w:rPr>
          <w:sz w:val="4"/>
          <w:szCs w:val="4"/>
        </w:rPr>
      </w:pPr>
      <w:r w:rsidRPr="003F3737">
        <w:rPr>
          <w:sz w:val="4"/>
          <w:szCs w:val="4"/>
        </w:rPr>
        <w:br w:type="page"/>
      </w:r>
    </w:p>
    <w:p w:rsidRPr="003442FB" w:rsidR="009B199C" w:rsidP="00BE1F8F" w:rsidRDefault="00593CA8" w14:paraId="0066A1A1" w14:textId="4EB1C679">
      <w:pPr>
        <w:numPr>
          <w:ilvl w:val="0"/>
          <w:numId w:val="20"/>
        </w:numPr>
        <w:overflowPunct w:val="0"/>
        <w:autoSpaceDE w:val="0"/>
        <w:autoSpaceDN w:val="0"/>
        <w:adjustRightInd w:val="0"/>
        <w:ind w:left="567" w:hanging="567"/>
        <w:textAlignment w:val="baseline"/>
        <w:rPr>
          <w:sz w:val="28"/>
          <w:szCs w:val="28"/>
        </w:rPr>
      </w:pPr>
      <w:hyperlink w:history="1" r:id="rId23">
        <w:r w:rsidR="001C131E">
          <w:rPr>
            <w:b/>
            <w:i/>
            <w:color w:val="0000FF"/>
            <w:sz w:val="28"/>
            <w:u w:val="single"/>
          </w:rPr>
          <w:t>Cooperación administrativa en el ámbito de la fiscalidad (DAC 9)</w:t>
        </w:r>
      </w:hyperlink>
    </w:p>
    <w:p w:rsidRPr="00EF5B43" w:rsidR="009B199C" w:rsidP="00BE1F8F" w:rsidRDefault="009B199C" w14:paraId="7C533EFA"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1667"/>
        <w:gridCol w:w="7510"/>
      </w:tblGrid>
      <w:tr w:rsidRPr="00EF5B43" w:rsidR="009B199C" w:rsidTr="00BE1F8F" w14:paraId="15407EEF" w14:textId="77777777">
        <w:tc>
          <w:tcPr>
            <w:tcW w:w="908" w:type="pct"/>
          </w:tcPr>
          <w:p w:rsidRPr="00EF5B43" w:rsidR="009B199C" w:rsidP="00BE1F8F" w:rsidRDefault="009B199C" w14:paraId="20A40472" w14:textId="77777777">
            <w:pPr>
              <w:tabs>
                <w:tab w:val="center" w:pos="284"/>
              </w:tabs>
              <w:overflowPunct w:val="0"/>
              <w:autoSpaceDE w:val="0"/>
              <w:autoSpaceDN w:val="0"/>
              <w:adjustRightInd w:val="0"/>
              <w:ind w:left="266" w:hanging="266"/>
              <w:textAlignment w:val="baseline"/>
              <w:rPr>
                <w:b/>
              </w:rPr>
            </w:pPr>
            <w:r>
              <w:rPr>
                <w:b/>
              </w:rPr>
              <w:t>Ponente</w:t>
            </w:r>
          </w:p>
        </w:tc>
        <w:tc>
          <w:tcPr>
            <w:tcW w:w="4092" w:type="pct"/>
          </w:tcPr>
          <w:p w:rsidRPr="00EF5B43" w:rsidR="009B199C" w:rsidP="00BE1F8F" w:rsidRDefault="009B199C" w14:paraId="4F4B426F" w14:textId="77777777">
            <w:pPr>
              <w:tabs>
                <w:tab w:val="center" w:pos="284"/>
              </w:tabs>
              <w:overflowPunct w:val="0"/>
              <w:autoSpaceDE w:val="0"/>
              <w:autoSpaceDN w:val="0"/>
              <w:adjustRightInd w:val="0"/>
              <w:ind w:left="266" w:hanging="266"/>
              <w:textAlignment w:val="baseline"/>
            </w:pPr>
            <w:r>
              <w:t>Krister ANDERSSON (Grupo de Empresarios – SE)</w:t>
            </w:r>
          </w:p>
        </w:tc>
      </w:tr>
      <w:tr w:rsidRPr="00EF5B43" w:rsidR="009B199C" w:rsidTr="00BE1F8F" w14:paraId="721BA5E2" w14:textId="77777777">
        <w:tc>
          <w:tcPr>
            <w:tcW w:w="908" w:type="pct"/>
            <w:vMerge w:val="restart"/>
          </w:tcPr>
          <w:p w:rsidRPr="00EF5B43" w:rsidR="009B199C" w:rsidP="00BE1F8F" w:rsidRDefault="009B199C" w14:paraId="7B3F0224" w14:textId="77777777">
            <w:pPr>
              <w:tabs>
                <w:tab w:val="center" w:pos="284"/>
              </w:tabs>
              <w:overflowPunct w:val="0"/>
              <w:autoSpaceDE w:val="0"/>
              <w:autoSpaceDN w:val="0"/>
              <w:adjustRightInd w:val="0"/>
              <w:ind w:left="266" w:hanging="266"/>
              <w:textAlignment w:val="baseline"/>
              <w:rPr>
                <w:b/>
              </w:rPr>
            </w:pPr>
            <w:r>
              <w:rPr>
                <w:b/>
              </w:rPr>
              <w:t>Referencias</w:t>
            </w:r>
          </w:p>
        </w:tc>
        <w:tc>
          <w:tcPr>
            <w:tcW w:w="4092" w:type="pct"/>
          </w:tcPr>
          <w:p w:rsidRPr="00EF5B43" w:rsidR="009B199C" w:rsidP="00BE1F8F" w:rsidRDefault="009B199C" w14:paraId="3B421B3C" w14:textId="5FD96ECD">
            <w:pPr>
              <w:tabs>
                <w:tab w:val="center" w:pos="284"/>
              </w:tabs>
              <w:overflowPunct w:val="0"/>
              <w:autoSpaceDE w:val="0"/>
              <w:autoSpaceDN w:val="0"/>
              <w:adjustRightInd w:val="0"/>
              <w:ind w:left="266" w:hanging="266"/>
              <w:textAlignment w:val="baseline"/>
            </w:pPr>
            <w:r>
              <w:t xml:space="preserve">COM(2024) 497 final </w:t>
            </w:r>
          </w:p>
        </w:tc>
      </w:tr>
      <w:tr w:rsidRPr="00EF5B43" w:rsidR="009B199C" w:rsidTr="00BE1F8F" w14:paraId="0644B2C3" w14:textId="77777777">
        <w:tc>
          <w:tcPr>
            <w:tcW w:w="908" w:type="pct"/>
            <w:vMerge/>
          </w:tcPr>
          <w:p w:rsidRPr="00EF5B43" w:rsidR="009B199C" w:rsidP="00BE1F8F" w:rsidRDefault="009B199C" w14:paraId="29B7CE2E" w14:textId="77777777">
            <w:pPr>
              <w:tabs>
                <w:tab w:val="center" w:pos="284"/>
              </w:tabs>
              <w:overflowPunct w:val="0"/>
              <w:autoSpaceDE w:val="0"/>
              <w:autoSpaceDN w:val="0"/>
              <w:adjustRightInd w:val="0"/>
              <w:ind w:left="266" w:hanging="266"/>
              <w:textAlignment w:val="baseline"/>
              <w:rPr>
                <w:b/>
              </w:rPr>
            </w:pPr>
          </w:p>
        </w:tc>
        <w:tc>
          <w:tcPr>
            <w:tcW w:w="4092" w:type="pct"/>
          </w:tcPr>
          <w:p w:rsidRPr="00EF5B43" w:rsidR="009B199C" w:rsidP="00BE1F8F" w:rsidRDefault="009B199C" w14:paraId="0B6D96F4" w14:textId="337C89A9">
            <w:pPr>
              <w:tabs>
                <w:tab w:val="center" w:pos="284"/>
              </w:tabs>
              <w:overflowPunct w:val="0"/>
              <w:autoSpaceDE w:val="0"/>
              <w:autoSpaceDN w:val="0"/>
              <w:adjustRightInd w:val="0"/>
              <w:ind w:left="266" w:hanging="266"/>
              <w:textAlignment w:val="baseline"/>
            </w:pPr>
            <w:r>
              <w:t>EESC-2024-04551-00-00-AC</w:t>
            </w:r>
          </w:p>
        </w:tc>
      </w:tr>
    </w:tbl>
    <w:p w:rsidRPr="00EF5B43" w:rsidR="009B199C" w:rsidP="00BE1F8F" w:rsidRDefault="009B199C" w14:paraId="148A8516" w14:textId="77777777">
      <w:pPr>
        <w:tabs>
          <w:tab w:val="center" w:pos="284"/>
        </w:tabs>
        <w:overflowPunct w:val="0"/>
        <w:autoSpaceDE w:val="0"/>
        <w:autoSpaceDN w:val="0"/>
        <w:adjustRightInd w:val="0"/>
        <w:ind w:left="266" w:hanging="266"/>
        <w:textAlignment w:val="baseline"/>
        <w:rPr>
          <w:lang w:val="en-GB"/>
        </w:rPr>
      </w:pPr>
    </w:p>
    <w:p w:rsidRPr="00EF5B43" w:rsidR="009B199C" w:rsidP="00BE1F8F" w:rsidRDefault="009B199C" w14:paraId="212050D8"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EF5B43" w:rsidR="009B199C" w:rsidP="00BE1F8F" w:rsidRDefault="009B199C" w14:paraId="6FCA3C9E" w14:textId="77777777">
      <w:pPr>
        <w:keepNext/>
        <w:keepLines/>
        <w:tabs>
          <w:tab w:val="center" w:pos="284"/>
        </w:tabs>
        <w:overflowPunct w:val="0"/>
        <w:autoSpaceDE w:val="0"/>
        <w:autoSpaceDN w:val="0"/>
        <w:adjustRightInd w:val="0"/>
        <w:ind w:left="266" w:hanging="266"/>
        <w:textAlignment w:val="baseline"/>
        <w:rPr>
          <w:b/>
          <w:lang w:val="en-GB"/>
        </w:rPr>
      </w:pPr>
    </w:p>
    <w:p w:rsidRPr="00EF5B43" w:rsidR="009B199C" w:rsidP="00BE1F8F" w:rsidRDefault="009B199C" w14:paraId="3C84648C" w14:textId="77777777">
      <w:pPr>
        <w:overflowPunct w:val="0"/>
        <w:autoSpaceDE w:val="0"/>
        <w:autoSpaceDN w:val="0"/>
        <w:adjustRightInd w:val="0"/>
        <w:textAlignment w:val="baseline"/>
        <w:rPr>
          <w:bCs/>
          <w:iCs/>
        </w:rPr>
      </w:pPr>
      <w:r>
        <w:t>El CESE:</w:t>
      </w:r>
    </w:p>
    <w:p w:rsidRPr="00EF5B43" w:rsidR="009B199C" w:rsidP="00BE1F8F" w:rsidRDefault="009B199C" w14:paraId="58403D40" w14:textId="77777777">
      <w:pPr>
        <w:widowControl w:val="0"/>
        <w:numPr>
          <w:ilvl w:val="0"/>
          <w:numId w:val="18"/>
        </w:numPr>
        <w:overflowPunct w:val="0"/>
        <w:autoSpaceDE w:val="0"/>
        <w:autoSpaceDN w:val="0"/>
        <w:adjustRightInd w:val="0"/>
        <w:ind w:left="284" w:hanging="284"/>
        <w:textAlignment w:val="baseline"/>
        <w:rPr>
          <w:bCs/>
          <w:iCs/>
        </w:rPr>
      </w:pPr>
      <w:r>
        <w:t>acoge favorablemente la propuesta de Directiva del Consejo por la que se modifica la Directiva 2011/16/UE relativa a la cooperación administrativa en el ámbito de la fiscalidad (DCA 9);</w:t>
      </w:r>
    </w:p>
    <w:p w:rsidRPr="00EF5B43" w:rsidR="009B199C" w:rsidP="00BE1F8F" w:rsidRDefault="009B199C" w14:paraId="337AB66A" w14:textId="77777777">
      <w:pPr>
        <w:widowControl w:val="0"/>
        <w:numPr>
          <w:ilvl w:val="0"/>
          <w:numId w:val="18"/>
        </w:numPr>
        <w:overflowPunct w:val="0"/>
        <w:autoSpaceDE w:val="0"/>
        <w:autoSpaceDN w:val="0"/>
        <w:adjustRightInd w:val="0"/>
        <w:ind w:left="284" w:hanging="284"/>
        <w:textAlignment w:val="baseline"/>
        <w:rPr>
          <w:bCs/>
          <w:iCs/>
        </w:rPr>
      </w:pPr>
      <w:r>
        <w:t>señala que se trata de una transposición del Marco Inclusivo sobre la erosión de las bases imponibles y el traslado de beneficios de la OCDE y el G-20, que ya ha sido acordado;</w:t>
      </w:r>
    </w:p>
    <w:p w:rsidRPr="00EF5B43" w:rsidR="009B199C" w:rsidP="00BE1F8F" w:rsidRDefault="009B199C" w14:paraId="05B4C525" w14:textId="77777777">
      <w:pPr>
        <w:widowControl w:val="0"/>
        <w:numPr>
          <w:ilvl w:val="0"/>
          <w:numId w:val="18"/>
        </w:numPr>
        <w:overflowPunct w:val="0"/>
        <w:autoSpaceDE w:val="0"/>
        <w:autoSpaceDN w:val="0"/>
        <w:adjustRightInd w:val="0"/>
        <w:ind w:left="284" w:hanging="284"/>
        <w:textAlignment w:val="baseline"/>
        <w:rPr>
          <w:bCs/>
          <w:iCs/>
        </w:rPr>
      </w:pPr>
      <w:r>
        <w:t>señala que la seguridad jurídica y la claridad para las empresas multinacionales y las administraciones tributarias solo pueden garantizarse mediante la creación de un conjunto único de normas uniformes aplicables en todos los Estados miembros;</w:t>
      </w:r>
    </w:p>
    <w:p w:rsidRPr="00EF5B43" w:rsidR="009B199C" w:rsidP="00BE1F8F" w:rsidRDefault="009B199C" w14:paraId="02FBDE9B" w14:textId="77777777">
      <w:pPr>
        <w:widowControl w:val="0"/>
        <w:numPr>
          <w:ilvl w:val="0"/>
          <w:numId w:val="18"/>
        </w:numPr>
        <w:overflowPunct w:val="0"/>
        <w:autoSpaceDE w:val="0"/>
        <w:autoSpaceDN w:val="0"/>
        <w:adjustRightInd w:val="0"/>
        <w:ind w:left="284" w:hanging="284"/>
        <w:textAlignment w:val="baseline"/>
        <w:rPr>
          <w:bCs/>
          <w:iCs/>
        </w:rPr>
      </w:pPr>
      <w:r>
        <w:t>considera fundamental que la información recopilada en el marco de la DCA 9 se utilice única y exclusivamente según lo previsto en la propuesta de la Comisión y no para otros fines, lo que podría permitir a empresas de terceros países acceder a información sensible y perjudicar así la posición competitiva de las empresas europeas;</w:t>
      </w:r>
    </w:p>
    <w:p w:rsidRPr="00EF5B43" w:rsidR="009B199C" w:rsidP="00BE1F8F" w:rsidRDefault="009B199C" w14:paraId="1397A2B3" w14:textId="77777777">
      <w:pPr>
        <w:widowControl w:val="0"/>
        <w:numPr>
          <w:ilvl w:val="0"/>
          <w:numId w:val="18"/>
        </w:numPr>
        <w:overflowPunct w:val="0"/>
        <w:autoSpaceDE w:val="0"/>
        <w:autoSpaceDN w:val="0"/>
        <w:adjustRightInd w:val="0"/>
        <w:ind w:left="284" w:hanging="284"/>
        <w:textAlignment w:val="baseline"/>
        <w:rPr>
          <w:bCs/>
          <w:iCs/>
        </w:rPr>
      </w:pPr>
      <w:r>
        <w:t>lamenta que no se haya llevado a cabo ninguna evaluación de impacto o control de la competitividad para esta propuesta. Habría sido interesante poder valorar si la propuesta nos acerca al objetivo general de la Comisión de reducir la carga administrativa en un 25 %;</w:t>
      </w:r>
    </w:p>
    <w:p w:rsidRPr="00EF5B43" w:rsidR="009B199C" w:rsidP="00BE1F8F" w:rsidRDefault="009B199C" w14:paraId="3B495DF5" w14:textId="77777777">
      <w:pPr>
        <w:widowControl w:val="0"/>
        <w:numPr>
          <w:ilvl w:val="0"/>
          <w:numId w:val="18"/>
        </w:numPr>
        <w:overflowPunct w:val="0"/>
        <w:autoSpaceDE w:val="0"/>
        <w:autoSpaceDN w:val="0"/>
        <w:adjustRightInd w:val="0"/>
        <w:ind w:left="284" w:hanging="284"/>
        <w:textAlignment w:val="baseline"/>
        <w:rPr>
          <w:bCs/>
          <w:iCs/>
        </w:rPr>
      </w:pPr>
      <w:r>
        <w:t xml:space="preserve">subraya la necesidad de mantener las normas en plena consonancia con los trabajos en curso de la OCDE. </w:t>
      </w:r>
    </w:p>
    <w:p w:rsidRPr="00EF5B43" w:rsidR="009B199C" w:rsidP="00BE1F8F" w:rsidRDefault="009B199C" w14:paraId="7207F72C" w14:textId="77777777">
      <w:pPr>
        <w:widowControl w:val="0"/>
        <w:overflowPunct w:val="0"/>
        <w:autoSpaceDE w:val="0"/>
        <w:autoSpaceDN w:val="0"/>
        <w:adjustRightInd w:val="0"/>
        <w:ind w:left="709"/>
        <w:textAlignment w:val="baseline"/>
        <w:rPr>
          <w:szCs w:val="20"/>
          <w:lang w:val="en-GB"/>
        </w:rPr>
      </w:pPr>
    </w:p>
    <w:tbl>
      <w:tblPr>
        <w:tblW w:w="4941" w:type="pct"/>
        <w:tblLook w:val="04A0" w:firstRow="1" w:lastRow="0" w:firstColumn="1" w:lastColumn="0" w:noHBand="0" w:noVBand="1"/>
      </w:tblPr>
      <w:tblGrid>
        <w:gridCol w:w="2236"/>
        <w:gridCol w:w="6941"/>
      </w:tblGrid>
      <w:tr w:rsidRPr="00EF5B43" w:rsidR="009B199C" w:rsidTr="003F3737" w14:paraId="51274BC3" w14:textId="77777777">
        <w:tc>
          <w:tcPr>
            <w:tcW w:w="1218" w:type="pct"/>
          </w:tcPr>
          <w:p w:rsidRPr="00EF5B43" w:rsidR="009B199C" w:rsidP="00BE1F8F" w:rsidRDefault="009B199C" w14:paraId="36A23BA9" w14:textId="77777777">
            <w:pPr>
              <w:overflowPunct w:val="0"/>
              <w:autoSpaceDE w:val="0"/>
              <w:autoSpaceDN w:val="0"/>
              <w:adjustRightInd w:val="0"/>
              <w:textAlignment w:val="baseline"/>
              <w:rPr>
                <w:i/>
              </w:rPr>
            </w:pPr>
            <w:r>
              <w:rPr>
                <w:b/>
                <w:i/>
              </w:rPr>
              <w:t>Contacto:</w:t>
            </w:r>
          </w:p>
        </w:tc>
        <w:tc>
          <w:tcPr>
            <w:tcW w:w="3782" w:type="pct"/>
          </w:tcPr>
          <w:p w:rsidRPr="00EF5B43" w:rsidR="009B199C" w:rsidP="00BE1F8F" w:rsidRDefault="009B199C" w14:paraId="08D792CC" w14:textId="77777777">
            <w:pPr>
              <w:overflowPunct w:val="0"/>
              <w:autoSpaceDE w:val="0"/>
              <w:autoSpaceDN w:val="0"/>
              <w:adjustRightInd w:val="0"/>
              <w:textAlignment w:val="baseline"/>
              <w:rPr>
                <w:i/>
              </w:rPr>
            </w:pPr>
            <w:r>
              <w:rPr>
                <w:i/>
              </w:rPr>
              <w:t>Jüri Soosaar</w:t>
            </w:r>
          </w:p>
        </w:tc>
      </w:tr>
      <w:tr w:rsidRPr="00EF5B43" w:rsidR="009B199C" w:rsidTr="003F3737" w14:paraId="1A8CFF57" w14:textId="77777777">
        <w:tc>
          <w:tcPr>
            <w:tcW w:w="1218" w:type="pct"/>
          </w:tcPr>
          <w:p w:rsidRPr="00EF5B43" w:rsidR="009B199C" w:rsidP="00BE1F8F" w:rsidRDefault="009B199C" w14:paraId="6B9265C2" w14:textId="77777777">
            <w:pPr>
              <w:overflowPunct w:val="0"/>
              <w:autoSpaceDE w:val="0"/>
              <w:autoSpaceDN w:val="0"/>
              <w:adjustRightInd w:val="0"/>
              <w:textAlignment w:val="baseline"/>
              <w:rPr>
                <w:i/>
              </w:rPr>
            </w:pPr>
            <w:r>
              <w:rPr>
                <w:i/>
              </w:rPr>
              <w:t>Teléfono:</w:t>
            </w:r>
          </w:p>
        </w:tc>
        <w:tc>
          <w:tcPr>
            <w:tcW w:w="3782" w:type="pct"/>
          </w:tcPr>
          <w:p w:rsidRPr="00EF5B43" w:rsidR="009B199C" w:rsidP="00BE1F8F" w:rsidRDefault="009B199C" w14:paraId="6A56AF39" w14:textId="77777777">
            <w:pPr>
              <w:overflowPunct w:val="0"/>
              <w:autoSpaceDE w:val="0"/>
              <w:autoSpaceDN w:val="0"/>
              <w:adjustRightInd w:val="0"/>
              <w:textAlignment w:val="baseline"/>
              <w:rPr>
                <w:i/>
              </w:rPr>
            </w:pPr>
            <w:r>
              <w:rPr>
                <w:i/>
              </w:rPr>
              <w:t>+32 2</w:t>
            </w:r>
            <w:r>
              <w:t xml:space="preserve"> </w:t>
            </w:r>
            <w:r>
              <w:rPr>
                <w:i/>
              </w:rPr>
              <w:t>5469628</w:t>
            </w:r>
          </w:p>
        </w:tc>
      </w:tr>
      <w:tr w:rsidRPr="00EF5B43" w:rsidR="009B199C" w:rsidTr="003F3737" w14:paraId="6BB8066B" w14:textId="77777777">
        <w:tc>
          <w:tcPr>
            <w:tcW w:w="1218" w:type="pct"/>
          </w:tcPr>
          <w:p w:rsidRPr="00EF5B43" w:rsidR="009B199C" w:rsidP="00BE1F8F" w:rsidRDefault="007A0964" w14:paraId="2E2C7A15" w14:textId="4BB9F468">
            <w:pPr>
              <w:overflowPunct w:val="0"/>
              <w:autoSpaceDE w:val="0"/>
              <w:autoSpaceDN w:val="0"/>
              <w:adjustRightInd w:val="0"/>
              <w:textAlignment w:val="baseline"/>
              <w:rPr>
                <w:i/>
              </w:rPr>
            </w:pPr>
            <w:r>
              <w:rPr>
                <w:i/>
              </w:rPr>
              <w:t>Correo electrónico:</w:t>
            </w:r>
          </w:p>
        </w:tc>
        <w:tc>
          <w:tcPr>
            <w:tcW w:w="3782" w:type="pct"/>
          </w:tcPr>
          <w:p w:rsidRPr="00EF5B43" w:rsidR="009B199C" w:rsidP="00BE1F8F" w:rsidRDefault="00593CA8" w14:paraId="7B544A6C" w14:textId="195BC3BF">
            <w:pPr>
              <w:overflowPunct w:val="0"/>
              <w:autoSpaceDE w:val="0"/>
              <w:autoSpaceDN w:val="0"/>
              <w:adjustRightInd w:val="0"/>
              <w:textAlignment w:val="baseline"/>
              <w:rPr>
                <w:i/>
              </w:rPr>
            </w:pPr>
            <w:hyperlink w:history="1" r:id="rId24">
              <w:r w:rsidR="001C131E">
                <w:rPr>
                  <w:i/>
                  <w:color w:val="0000FF"/>
                  <w:u w:val="single"/>
                </w:rPr>
                <w:t>Juri.Soosaar@eesc.europa.eu</w:t>
              </w:r>
            </w:hyperlink>
          </w:p>
        </w:tc>
      </w:tr>
    </w:tbl>
    <w:p w:rsidR="009B199C" w:rsidP="00BE1F8F" w:rsidRDefault="009B199C" w14:paraId="0DDB3A60" w14:textId="77777777">
      <w:pPr>
        <w:jc w:val="left"/>
      </w:pPr>
    </w:p>
    <w:p w:rsidR="009B199C" w:rsidP="00BE1F8F" w:rsidRDefault="009B199C" w14:paraId="2E5B1FF6" w14:textId="77777777">
      <w:pPr>
        <w:jc w:val="left"/>
      </w:pPr>
      <w:r>
        <w:br w:type="page"/>
      </w:r>
    </w:p>
    <w:p w:rsidRPr="008171FA" w:rsidR="00773E8D" w:rsidP="00BE1F8F" w:rsidRDefault="00593CA8" w14:paraId="5A8B385C" w14:textId="56009D42">
      <w:pPr>
        <w:widowControl w:val="0"/>
        <w:numPr>
          <w:ilvl w:val="0"/>
          <w:numId w:val="7"/>
        </w:numPr>
        <w:overflowPunct w:val="0"/>
        <w:autoSpaceDE w:val="0"/>
        <w:autoSpaceDN w:val="0"/>
        <w:adjustRightInd w:val="0"/>
        <w:ind w:left="567" w:hanging="567"/>
        <w:contextualSpacing/>
        <w:jc w:val="left"/>
        <w:textAlignment w:val="baseline"/>
      </w:pPr>
      <w:hyperlink w:history="1" r:id="rId25">
        <w:r w:rsidR="00773E8D">
          <w:rPr>
            <w:b/>
            <w:i/>
            <w:color w:val="0000FF"/>
            <w:sz w:val="28"/>
            <w:u w:val="single"/>
          </w:rPr>
          <w:t>Financiación de la defensa en la UE</w:t>
        </w:r>
      </w:hyperlink>
    </w:p>
    <w:p w:rsidRPr="00773E8D" w:rsidR="00773E8D" w:rsidP="008171FA" w:rsidRDefault="00773E8D" w14:paraId="3EB22D3F" w14:textId="77777777">
      <w:pPr>
        <w:widowControl w:val="0"/>
        <w:overflowPunct w:val="0"/>
        <w:autoSpaceDE w:val="0"/>
        <w:autoSpaceDN w:val="0"/>
        <w:adjustRightInd w:val="0"/>
        <w:contextualSpacing/>
        <w:jc w:val="left"/>
        <w:textAlignment w:val="baseline"/>
        <w:rPr>
          <w:rFonts w:ascii="Calibri" w:hAnsi="Calibri"/>
          <w:b/>
          <w:lang w:val="en-GB" w:eastAsia="zh-CN"/>
        </w:rPr>
      </w:pPr>
    </w:p>
    <w:tbl>
      <w:tblPr>
        <w:tblW w:w="0" w:type="auto"/>
        <w:tblLook w:val="04A0" w:firstRow="1" w:lastRow="0" w:firstColumn="1" w:lastColumn="0" w:noHBand="0" w:noVBand="1"/>
      </w:tblPr>
      <w:tblGrid>
        <w:gridCol w:w="1701"/>
        <w:gridCol w:w="7088"/>
      </w:tblGrid>
      <w:tr w:rsidRPr="00773E8D" w:rsidR="00773E8D" w:rsidTr="00257E74" w14:paraId="7736047E" w14:textId="77777777">
        <w:tc>
          <w:tcPr>
            <w:tcW w:w="1701" w:type="dxa"/>
          </w:tcPr>
          <w:p w:rsidRPr="00773E8D" w:rsidR="00773E8D" w:rsidP="00BE1F8F" w:rsidRDefault="00773E8D" w14:paraId="29FDFBF0" w14:textId="77777777">
            <w:pPr>
              <w:overflowPunct w:val="0"/>
              <w:autoSpaceDE w:val="0"/>
              <w:autoSpaceDN w:val="0"/>
              <w:adjustRightInd w:val="0"/>
              <w:ind w:left="176" w:hanging="284"/>
              <w:textAlignment w:val="baseline"/>
              <w:rPr>
                <w:b/>
              </w:rPr>
            </w:pPr>
            <w:r>
              <w:rPr>
                <w:b/>
              </w:rPr>
              <w:t>Ponente</w:t>
            </w:r>
          </w:p>
        </w:tc>
        <w:tc>
          <w:tcPr>
            <w:tcW w:w="7088" w:type="dxa"/>
          </w:tcPr>
          <w:p w:rsidRPr="00773E8D" w:rsidR="00773E8D" w:rsidP="00BE1F8F" w:rsidRDefault="00773E8D" w14:paraId="0FB6E9DA" w14:textId="77777777">
            <w:pPr>
              <w:tabs>
                <w:tab w:val="center" w:pos="284"/>
              </w:tabs>
              <w:overflowPunct w:val="0"/>
              <w:autoSpaceDE w:val="0"/>
              <w:autoSpaceDN w:val="0"/>
              <w:adjustRightInd w:val="0"/>
              <w:textAlignment w:val="baseline"/>
            </w:pPr>
            <w:r>
              <w:t>Marcin NOWACKI (Grupo de Empresarios – PL)</w:t>
            </w:r>
          </w:p>
        </w:tc>
      </w:tr>
      <w:tr w:rsidRPr="00773E8D" w:rsidR="00773E8D" w:rsidTr="00257E74" w14:paraId="1DEF454E" w14:textId="77777777">
        <w:tc>
          <w:tcPr>
            <w:tcW w:w="1701" w:type="dxa"/>
          </w:tcPr>
          <w:p w:rsidRPr="00773E8D" w:rsidR="00773E8D" w:rsidP="00BE1F8F" w:rsidRDefault="00773E8D" w14:paraId="18280023" w14:textId="49E04DB4">
            <w:pPr>
              <w:tabs>
                <w:tab w:val="center" w:pos="284"/>
              </w:tabs>
              <w:overflowPunct w:val="0"/>
              <w:autoSpaceDE w:val="0"/>
              <w:autoSpaceDN w:val="0"/>
              <w:adjustRightInd w:val="0"/>
              <w:ind w:left="266" w:hanging="374"/>
              <w:textAlignment w:val="baseline"/>
              <w:rPr>
                <w:b/>
              </w:rPr>
            </w:pPr>
            <w:r>
              <w:rPr>
                <w:b/>
              </w:rPr>
              <w:t>Referencia</w:t>
            </w:r>
          </w:p>
        </w:tc>
        <w:tc>
          <w:tcPr>
            <w:tcW w:w="7088" w:type="dxa"/>
          </w:tcPr>
          <w:p w:rsidRPr="00773E8D" w:rsidR="00773E8D" w:rsidP="00BE1F8F" w:rsidRDefault="00773E8D" w14:paraId="519A0CF0" w14:textId="0E3E4972">
            <w:pPr>
              <w:tabs>
                <w:tab w:val="center" w:pos="284"/>
              </w:tabs>
              <w:overflowPunct w:val="0"/>
              <w:autoSpaceDE w:val="0"/>
              <w:autoSpaceDN w:val="0"/>
              <w:adjustRightInd w:val="0"/>
              <w:textAlignment w:val="baseline"/>
              <w:rPr>
                <w:highlight w:val="yellow"/>
              </w:rPr>
            </w:pPr>
            <w:r>
              <w:t>Dictamen exploratorio – EESC-2024-03643-00-01-AC</w:t>
            </w:r>
          </w:p>
        </w:tc>
      </w:tr>
    </w:tbl>
    <w:p w:rsidRPr="00773E8D" w:rsidR="00773E8D" w:rsidP="00BE1F8F" w:rsidRDefault="00773E8D" w14:paraId="7F428D4F" w14:textId="77777777">
      <w:pPr>
        <w:keepNext/>
        <w:keepLines/>
        <w:tabs>
          <w:tab w:val="center" w:pos="284"/>
        </w:tabs>
        <w:overflowPunct w:val="0"/>
        <w:autoSpaceDE w:val="0"/>
        <w:autoSpaceDN w:val="0"/>
        <w:adjustRightInd w:val="0"/>
        <w:ind w:left="266" w:hanging="266"/>
        <w:textAlignment w:val="baseline"/>
        <w:rPr>
          <w:b/>
          <w:lang w:val="en-GB"/>
        </w:rPr>
      </w:pPr>
    </w:p>
    <w:p w:rsidRPr="00773E8D" w:rsidR="00773E8D" w:rsidP="00BE1F8F" w:rsidRDefault="00773E8D" w14:paraId="373416F2"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773E8D" w:rsidR="00773E8D" w:rsidP="00BE1F8F" w:rsidRDefault="00773E8D" w14:paraId="64611682" w14:textId="77777777">
      <w:pPr>
        <w:keepNext/>
        <w:keepLines/>
        <w:tabs>
          <w:tab w:val="center" w:pos="284"/>
        </w:tabs>
        <w:overflowPunct w:val="0"/>
        <w:autoSpaceDE w:val="0"/>
        <w:autoSpaceDN w:val="0"/>
        <w:adjustRightInd w:val="0"/>
        <w:ind w:left="266" w:hanging="266"/>
        <w:textAlignment w:val="baseline"/>
        <w:rPr>
          <w:b/>
          <w:lang w:val="en-GB"/>
        </w:rPr>
      </w:pPr>
    </w:p>
    <w:p w:rsidR="00773E8D" w:rsidP="00BE1F8F" w:rsidRDefault="00773E8D" w14:paraId="7BA955D6" w14:textId="77777777">
      <w:pPr>
        <w:overflowPunct w:val="0"/>
        <w:autoSpaceDE w:val="0"/>
        <w:autoSpaceDN w:val="0"/>
        <w:adjustRightInd w:val="0"/>
        <w:ind w:left="425" w:hanging="425"/>
        <w:textAlignment w:val="baseline"/>
        <w:rPr>
          <w:szCs w:val="20"/>
        </w:rPr>
      </w:pPr>
      <w:r>
        <w:t>El CESE:</w:t>
      </w:r>
    </w:p>
    <w:p w:rsidRPr="00773E8D" w:rsidR="00773E8D" w:rsidP="008171FA" w:rsidRDefault="00773E8D" w14:paraId="2A4EE010" w14:textId="77777777">
      <w:pPr>
        <w:numPr>
          <w:ilvl w:val="0"/>
          <w:numId w:val="44"/>
        </w:numPr>
        <w:overflowPunct w:val="0"/>
        <w:autoSpaceDE w:val="0"/>
        <w:autoSpaceDN w:val="0"/>
        <w:adjustRightInd w:val="0"/>
        <w:ind w:left="284" w:hanging="284"/>
        <w:contextualSpacing/>
        <w:textAlignment w:val="baseline"/>
      </w:pPr>
      <w:r>
        <w:t>destaca la urgente necesidad de abordar el cambiante panorama de la seguridad en Europa mediante mecanismos de financiación de la defensa sólidos y unificados. Los retos geopolíticos, en particular la agresión de Rusia contra Ucrania, exigen una inversión inmediata y estratégica en capacidades de defensa y en preparación tanto civil como militar, a fin de salvaguardar los valores fundamentales, la paz, la seguridad y los intereses económicos de la UE;</w:t>
      </w:r>
    </w:p>
    <w:p w:rsidRPr="00773E8D" w:rsidR="00773E8D" w:rsidP="008171FA" w:rsidRDefault="00773E8D" w14:paraId="2EF6A041" w14:textId="77777777">
      <w:pPr>
        <w:numPr>
          <w:ilvl w:val="0"/>
          <w:numId w:val="44"/>
        </w:numPr>
        <w:overflowPunct w:val="0"/>
        <w:autoSpaceDE w:val="0"/>
        <w:autoSpaceDN w:val="0"/>
        <w:adjustRightInd w:val="0"/>
        <w:ind w:left="284" w:hanging="284"/>
        <w:contextualSpacing/>
        <w:textAlignment w:val="baseline"/>
      </w:pPr>
      <w:r>
        <w:t>subraya que la UE debe definir claramente sus objetivos de política de defensa y reforzar el pilar europeo de defensa, que debe coaligar sus recursos y capacidades operativas con la OTAN. La política de defensa forma parte de la política exterior y de seguridad de la UE, que debe promover la paz, la democracia y los derechos humanos en nuestro continente, en su entorno geográfico y en el resto del mundo, y defender las instituciones multilaterales del sistema de las Naciones Unidas;</w:t>
      </w:r>
    </w:p>
    <w:p w:rsidRPr="00773E8D" w:rsidR="00773E8D" w:rsidP="008171FA" w:rsidRDefault="00773E8D" w14:paraId="466E9A4E" w14:textId="77777777">
      <w:pPr>
        <w:numPr>
          <w:ilvl w:val="0"/>
          <w:numId w:val="44"/>
        </w:numPr>
        <w:overflowPunct w:val="0"/>
        <w:autoSpaceDE w:val="0"/>
        <w:autoSpaceDN w:val="0"/>
        <w:adjustRightInd w:val="0"/>
        <w:ind w:left="284" w:hanging="284"/>
        <w:contextualSpacing/>
        <w:textAlignment w:val="baseline"/>
      </w:pPr>
      <w:r>
        <w:t>hace hincapié en la necesidad de buscar formas de aumentar las capacidades de defensa de la UE con arreglo al Tratado;</w:t>
      </w:r>
    </w:p>
    <w:p w:rsidRPr="00773E8D" w:rsidR="00773E8D" w:rsidP="008171FA" w:rsidRDefault="00773E8D" w14:paraId="1C22811F" w14:textId="77777777">
      <w:pPr>
        <w:numPr>
          <w:ilvl w:val="0"/>
          <w:numId w:val="44"/>
        </w:numPr>
        <w:overflowPunct w:val="0"/>
        <w:autoSpaceDE w:val="0"/>
        <w:autoSpaceDN w:val="0"/>
        <w:adjustRightInd w:val="0"/>
        <w:ind w:left="284" w:hanging="284"/>
        <w:contextualSpacing/>
        <w:textAlignment w:val="baseline"/>
      </w:pPr>
      <w:r>
        <w:t>subraya la importancia de profundizar en la colaboración entre la UE y la OTAN para garantizar un enfoque unificado en materia de defensa;</w:t>
      </w:r>
    </w:p>
    <w:p w:rsidRPr="00773E8D" w:rsidR="00773E8D" w:rsidP="008171FA" w:rsidRDefault="00773E8D" w14:paraId="72C0537B" w14:textId="77777777">
      <w:pPr>
        <w:numPr>
          <w:ilvl w:val="0"/>
          <w:numId w:val="44"/>
        </w:numPr>
        <w:overflowPunct w:val="0"/>
        <w:autoSpaceDE w:val="0"/>
        <w:autoSpaceDN w:val="0"/>
        <w:adjustRightInd w:val="0"/>
        <w:ind w:left="284" w:hanging="284"/>
        <w:contextualSpacing/>
        <w:textAlignment w:val="baseline"/>
      </w:pPr>
      <w:r>
        <w:t>destaca la importancia de que los miembros europeos de la OTAN se comprometan a gastar al menos el 2,5 % de su PIB en defensa;</w:t>
      </w:r>
    </w:p>
    <w:p w:rsidRPr="00773E8D" w:rsidR="00773E8D" w:rsidP="008171FA" w:rsidRDefault="00773E8D" w14:paraId="574F91FD" w14:textId="77777777">
      <w:pPr>
        <w:numPr>
          <w:ilvl w:val="0"/>
          <w:numId w:val="44"/>
        </w:numPr>
        <w:overflowPunct w:val="0"/>
        <w:autoSpaceDE w:val="0"/>
        <w:autoSpaceDN w:val="0"/>
        <w:adjustRightInd w:val="0"/>
        <w:ind w:left="284" w:hanging="284"/>
        <w:contextualSpacing/>
        <w:textAlignment w:val="baseline"/>
      </w:pPr>
      <w:r>
        <w:t>destaca que las prioridades inmediatas de financiación deben incluir el desarrollo y la producción de sistemas modernos de defensa. El refuerzo de la inversión en estas tecnologías debería comenzar lo antes posible, incluso en el actual período presupuestario del marco financiero plurianual (MFP);</w:t>
      </w:r>
    </w:p>
    <w:p w:rsidRPr="00773E8D" w:rsidR="00773E8D" w:rsidP="008171FA" w:rsidRDefault="00773E8D" w14:paraId="22A07DF0" w14:textId="77777777">
      <w:pPr>
        <w:numPr>
          <w:ilvl w:val="0"/>
          <w:numId w:val="44"/>
        </w:numPr>
        <w:overflowPunct w:val="0"/>
        <w:autoSpaceDE w:val="0"/>
        <w:autoSpaceDN w:val="0"/>
        <w:adjustRightInd w:val="0"/>
        <w:ind w:left="284" w:hanging="284"/>
        <w:contextualSpacing/>
        <w:textAlignment w:val="baseline"/>
      </w:pPr>
      <w:r>
        <w:t>hace hincapié en que reforzar la base industrial y tecnológica de la defensa europea (BITDE) es esencial para reducir la dependencia de proveedores externos y fomentar la innovación dentro de la UE;</w:t>
      </w:r>
    </w:p>
    <w:p w:rsidRPr="00773E8D" w:rsidR="00773E8D" w:rsidP="008171FA" w:rsidRDefault="00773E8D" w14:paraId="020C30AA" w14:textId="77777777">
      <w:pPr>
        <w:numPr>
          <w:ilvl w:val="0"/>
          <w:numId w:val="44"/>
        </w:numPr>
        <w:overflowPunct w:val="0"/>
        <w:autoSpaceDE w:val="0"/>
        <w:autoSpaceDN w:val="0"/>
        <w:adjustRightInd w:val="0"/>
        <w:ind w:left="284" w:hanging="284"/>
        <w:contextualSpacing/>
        <w:textAlignment w:val="baseline"/>
      </w:pPr>
      <w:r>
        <w:t>aboga por la ampliación de los mecanismos de adquisición conjunta, incluido el Fondo Europeo de Apoyo a la Paz (FEAP), para maximizar la eficiencia en el uso de los recursos y potenciar la asociación estratégica. Iniciativas como el Reglamento relativo al apoyo a la producción de municiones y el instrumento para el refuerzo de la industria europea de defensa mediante las adquisiciones en común (EDIRPA) deben ampliarse para hacer frente a los cuellos de botella en la producción y la disponibilidad operativa;</w:t>
      </w:r>
    </w:p>
    <w:p w:rsidRPr="00BE1F8F" w:rsidR="00773E8D" w:rsidP="008171FA" w:rsidRDefault="00773E8D" w14:paraId="28B3A062" w14:textId="77777777">
      <w:pPr>
        <w:numPr>
          <w:ilvl w:val="0"/>
          <w:numId w:val="44"/>
        </w:numPr>
        <w:overflowPunct w:val="0"/>
        <w:autoSpaceDE w:val="0"/>
        <w:autoSpaceDN w:val="0"/>
        <w:adjustRightInd w:val="0"/>
        <w:ind w:left="284" w:hanging="284"/>
        <w:contextualSpacing/>
        <w:textAlignment w:val="baseline"/>
      </w:pPr>
      <w:r>
        <w:t xml:space="preserve">subraya que deben proseguir las asociaciones con terceros países para avanzar en los esfuerzos conjuntos en materia de infraestructuras de seguridad e innovación tecnológica; </w:t>
      </w:r>
    </w:p>
    <w:p w:rsidRPr="00BE1F8F" w:rsidR="00773E8D" w:rsidP="008171FA" w:rsidRDefault="00773E8D" w14:paraId="0E1C930B" w14:textId="77777777">
      <w:pPr>
        <w:numPr>
          <w:ilvl w:val="0"/>
          <w:numId w:val="44"/>
        </w:numPr>
        <w:overflowPunct w:val="0"/>
        <w:autoSpaceDE w:val="0"/>
        <w:autoSpaceDN w:val="0"/>
        <w:adjustRightInd w:val="0"/>
        <w:ind w:left="284" w:hanging="284"/>
        <w:contextualSpacing/>
        <w:textAlignment w:val="baseline"/>
      </w:pPr>
      <w:r>
        <w:t>destaca la importancia de las asociaciones público-privadas como herramienta complementaria para aprovechar los conocimientos especializados y los recursos, de modo que se aceleren la innovación y el despliegue en ámbitos críticos;</w:t>
      </w:r>
    </w:p>
    <w:p w:rsidRPr="00773E8D" w:rsidR="00773E8D" w:rsidP="008171FA" w:rsidRDefault="00773E8D" w14:paraId="7941C364" w14:textId="77777777">
      <w:pPr>
        <w:numPr>
          <w:ilvl w:val="0"/>
          <w:numId w:val="44"/>
        </w:numPr>
        <w:overflowPunct w:val="0"/>
        <w:autoSpaceDE w:val="0"/>
        <w:autoSpaceDN w:val="0"/>
        <w:adjustRightInd w:val="0"/>
        <w:ind w:left="284" w:hanging="284"/>
        <w:contextualSpacing/>
        <w:textAlignment w:val="baseline"/>
      </w:pPr>
      <w:r>
        <w:t>subraya que la financiación de la defensa debe dar prioridad al apoyo a los Estados miembros con fronteras exteriores más directamente afectados por los conflictos regionales, a condición de que respeten estrictamente los objetivos y principios colectivos de la UE y la OTAN;</w:t>
      </w:r>
    </w:p>
    <w:p w:rsidRPr="00773E8D" w:rsidR="00773E8D" w:rsidP="008171FA" w:rsidRDefault="00773E8D" w14:paraId="6AF1CE95" w14:textId="77777777">
      <w:pPr>
        <w:numPr>
          <w:ilvl w:val="0"/>
          <w:numId w:val="44"/>
        </w:numPr>
        <w:overflowPunct w:val="0"/>
        <w:autoSpaceDE w:val="0"/>
        <w:autoSpaceDN w:val="0"/>
        <w:adjustRightInd w:val="0"/>
        <w:ind w:left="284" w:hanging="284"/>
        <w:contextualSpacing/>
        <w:textAlignment w:val="baseline"/>
      </w:pPr>
      <w:r>
        <w:lastRenderedPageBreak/>
        <w:t>destaca la importancia de integrar la financiación de la defensa en mecanismos financieros más amplios de la UE, incluido el próximo MFP, sin que ello comprometa otras prioridades críticas de la UE como la política de cohesión, la transición ecológica y el pilar europeo de derechos sociales;</w:t>
      </w:r>
    </w:p>
    <w:p w:rsidRPr="00773E8D" w:rsidR="00773E8D" w:rsidP="008171FA" w:rsidRDefault="00773E8D" w14:paraId="598F22B0" w14:textId="77777777">
      <w:pPr>
        <w:numPr>
          <w:ilvl w:val="0"/>
          <w:numId w:val="44"/>
        </w:numPr>
        <w:overflowPunct w:val="0"/>
        <w:autoSpaceDE w:val="0"/>
        <w:autoSpaceDN w:val="0"/>
        <w:adjustRightInd w:val="0"/>
        <w:ind w:left="284" w:hanging="284"/>
        <w:contextualSpacing/>
        <w:textAlignment w:val="baseline"/>
      </w:pPr>
      <w:r>
        <w:t>hace hincapié en que deben ponerse en marcha campañas de sensibilización pública, para destacar el papel vital de la financiación de la defensa a la hora de garantizar la paz y la seguridad de Europa, así como nuestro modo de vida democrático y la cohesión social;</w:t>
      </w:r>
    </w:p>
    <w:p w:rsidRPr="00773E8D" w:rsidR="00773E8D" w:rsidP="008171FA" w:rsidRDefault="00773E8D" w14:paraId="63329DD1" w14:textId="77777777">
      <w:pPr>
        <w:numPr>
          <w:ilvl w:val="0"/>
          <w:numId w:val="44"/>
        </w:numPr>
        <w:overflowPunct w:val="0"/>
        <w:autoSpaceDE w:val="0"/>
        <w:autoSpaceDN w:val="0"/>
        <w:adjustRightInd w:val="0"/>
        <w:ind w:left="284" w:hanging="284"/>
        <w:contextualSpacing/>
        <w:textAlignment w:val="baseline"/>
      </w:pPr>
      <w:r>
        <w:t>considera que la UE está obligada a formular una política común de defensa en el marco de una política exterior y de seguridad común, a construir un pilar europeo de defensa sólido y a adoptar las medidas legislativas y financieras necesarias a tal fin;</w:t>
      </w:r>
    </w:p>
    <w:p w:rsidR="00773E8D" w:rsidP="008171FA" w:rsidRDefault="00773E8D" w14:paraId="27DD39A3" w14:textId="77777777">
      <w:pPr>
        <w:numPr>
          <w:ilvl w:val="0"/>
          <w:numId w:val="44"/>
        </w:numPr>
        <w:overflowPunct w:val="0"/>
        <w:autoSpaceDE w:val="0"/>
        <w:autoSpaceDN w:val="0"/>
        <w:adjustRightInd w:val="0"/>
        <w:ind w:left="284" w:hanging="284"/>
        <w:contextualSpacing/>
        <w:textAlignment w:val="baseline"/>
      </w:pPr>
      <w:r>
        <w:t>señala que la UE también debe desempeñar un papel diplomático activo para lograr una paz justa en Ucrania.</w:t>
      </w:r>
    </w:p>
    <w:p w:rsidRPr="00773E8D" w:rsidR="00773E8D" w:rsidP="008171FA" w:rsidRDefault="00773E8D" w14:paraId="1D56F3F6" w14:textId="77777777">
      <w:pPr>
        <w:overflowPunct w:val="0"/>
        <w:autoSpaceDE w:val="0"/>
        <w:autoSpaceDN w:val="0"/>
        <w:adjustRightInd w:val="0"/>
        <w:ind w:left="284"/>
        <w:contextualSpacing/>
        <w:textAlignment w:val="baseline"/>
        <w:rPr>
          <w:lang w:val="en-GB" w:eastAsia="zh-CN"/>
        </w:rPr>
      </w:pPr>
    </w:p>
    <w:tbl>
      <w:tblPr>
        <w:tblW w:w="9180" w:type="dxa"/>
        <w:tblLook w:val="04A0" w:firstRow="1" w:lastRow="0" w:firstColumn="1" w:lastColumn="0" w:noHBand="0" w:noVBand="1"/>
      </w:tblPr>
      <w:tblGrid>
        <w:gridCol w:w="2235"/>
        <w:gridCol w:w="6945"/>
      </w:tblGrid>
      <w:tr w:rsidRPr="00773E8D" w:rsidR="00773E8D" w:rsidTr="003F3737" w14:paraId="72A4C0C1" w14:textId="77777777">
        <w:tc>
          <w:tcPr>
            <w:tcW w:w="2235" w:type="dxa"/>
          </w:tcPr>
          <w:p w:rsidRPr="00773E8D" w:rsidR="00773E8D" w:rsidP="00BE1F8F" w:rsidRDefault="00773E8D" w14:paraId="6CF8EC77" w14:textId="77777777">
            <w:pPr>
              <w:overflowPunct w:val="0"/>
              <w:autoSpaceDE w:val="0"/>
              <w:autoSpaceDN w:val="0"/>
              <w:adjustRightInd w:val="0"/>
              <w:textAlignment w:val="baseline"/>
              <w:rPr>
                <w:bCs/>
                <w:i/>
              </w:rPr>
            </w:pPr>
            <w:r>
              <w:rPr>
                <w:i/>
              </w:rPr>
              <w:t>Contacto:</w:t>
            </w:r>
          </w:p>
        </w:tc>
        <w:tc>
          <w:tcPr>
            <w:tcW w:w="6945" w:type="dxa"/>
          </w:tcPr>
          <w:p w:rsidRPr="00C77862" w:rsidR="00773E8D" w:rsidP="00BE1F8F" w:rsidRDefault="00773E8D" w14:paraId="249491A9" w14:textId="3ED401E0">
            <w:pPr>
              <w:overflowPunct w:val="0"/>
              <w:autoSpaceDE w:val="0"/>
              <w:autoSpaceDN w:val="0"/>
              <w:adjustRightInd w:val="0"/>
              <w:textAlignment w:val="baseline"/>
              <w:rPr>
                <w:bCs/>
                <w:i/>
                <w:iCs/>
              </w:rPr>
            </w:pPr>
            <w:r>
              <w:rPr>
                <w:i/>
              </w:rPr>
              <w:t>Gerald Klec</w:t>
            </w:r>
          </w:p>
        </w:tc>
      </w:tr>
      <w:tr w:rsidRPr="00773E8D" w:rsidR="00773E8D" w:rsidTr="003F3737" w14:paraId="2C039993" w14:textId="77777777">
        <w:tc>
          <w:tcPr>
            <w:tcW w:w="2235" w:type="dxa"/>
          </w:tcPr>
          <w:p w:rsidRPr="00773E8D" w:rsidR="00773E8D" w:rsidP="00BE1F8F" w:rsidRDefault="00773E8D" w14:paraId="3583AD71" w14:textId="77777777">
            <w:pPr>
              <w:overflowPunct w:val="0"/>
              <w:autoSpaceDE w:val="0"/>
              <w:autoSpaceDN w:val="0"/>
              <w:adjustRightInd w:val="0"/>
              <w:textAlignment w:val="baseline"/>
              <w:rPr>
                <w:i/>
              </w:rPr>
            </w:pPr>
            <w:r>
              <w:rPr>
                <w:i/>
              </w:rPr>
              <w:t>Teléfono:</w:t>
            </w:r>
          </w:p>
        </w:tc>
        <w:tc>
          <w:tcPr>
            <w:tcW w:w="6945" w:type="dxa"/>
          </w:tcPr>
          <w:p w:rsidRPr="00C77862" w:rsidR="00773E8D" w:rsidP="00BE1F8F" w:rsidRDefault="00773E8D" w14:paraId="17A18F4F" w14:textId="77777777">
            <w:pPr>
              <w:overflowPunct w:val="0"/>
              <w:autoSpaceDE w:val="0"/>
              <w:autoSpaceDN w:val="0"/>
              <w:adjustRightInd w:val="0"/>
              <w:textAlignment w:val="baseline"/>
              <w:rPr>
                <w:i/>
                <w:iCs/>
              </w:rPr>
            </w:pPr>
            <w:r>
              <w:rPr>
                <w:i/>
              </w:rPr>
              <w:t>+32 25469909</w:t>
            </w:r>
          </w:p>
        </w:tc>
      </w:tr>
      <w:tr w:rsidRPr="00773E8D" w:rsidR="00773E8D" w:rsidTr="003F3737" w14:paraId="161B9255" w14:textId="77777777">
        <w:tc>
          <w:tcPr>
            <w:tcW w:w="2235" w:type="dxa"/>
          </w:tcPr>
          <w:p w:rsidRPr="00773E8D" w:rsidR="00773E8D" w:rsidP="00BE1F8F" w:rsidRDefault="00773E8D" w14:paraId="21276802" w14:textId="77777777">
            <w:pPr>
              <w:overflowPunct w:val="0"/>
              <w:autoSpaceDE w:val="0"/>
              <w:autoSpaceDN w:val="0"/>
              <w:adjustRightInd w:val="0"/>
              <w:textAlignment w:val="baseline"/>
              <w:rPr>
                <w:i/>
              </w:rPr>
            </w:pPr>
            <w:r>
              <w:rPr>
                <w:i/>
              </w:rPr>
              <w:t>Correo electrónico:</w:t>
            </w:r>
          </w:p>
        </w:tc>
        <w:tc>
          <w:tcPr>
            <w:tcW w:w="6945" w:type="dxa"/>
          </w:tcPr>
          <w:p w:rsidRPr="00C77862" w:rsidR="00773E8D" w:rsidP="00BE1F8F" w:rsidRDefault="00593CA8" w14:paraId="7FCDD2C3" w14:textId="2AECDE8E">
            <w:pPr>
              <w:overflowPunct w:val="0"/>
              <w:autoSpaceDE w:val="0"/>
              <w:autoSpaceDN w:val="0"/>
              <w:adjustRightInd w:val="0"/>
              <w:textAlignment w:val="baseline"/>
              <w:rPr>
                <w:i/>
                <w:iCs/>
              </w:rPr>
            </w:pPr>
            <w:hyperlink w:history="1" r:id="rId26">
              <w:r w:rsidR="00773E8D">
                <w:rPr>
                  <w:i/>
                  <w:color w:val="0000FF"/>
                  <w:u w:val="single"/>
                </w:rPr>
                <w:t>Gerald.Klec@eesc.europa.eu</w:t>
              </w:r>
            </w:hyperlink>
          </w:p>
        </w:tc>
      </w:tr>
    </w:tbl>
    <w:p w:rsidR="009B199C" w:rsidP="00BE1F8F" w:rsidRDefault="009B199C" w14:paraId="26817FC4" w14:textId="77777777">
      <w:pPr>
        <w:jc w:val="left"/>
      </w:pPr>
      <w:r>
        <w:br w:type="page"/>
      </w:r>
    </w:p>
    <w:p w:rsidRPr="00BE1F8F" w:rsidR="009B199C" w:rsidP="00BE1F8F" w:rsidRDefault="00593CA8" w14:paraId="510F45CA" w14:textId="58C2B1AF">
      <w:pPr>
        <w:widowControl w:val="0"/>
        <w:numPr>
          <w:ilvl w:val="0"/>
          <w:numId w:val="2"/>
        </w:numPr>
        <w:overflowPunct w:val="0"/>
        <w:autoSpaceDE w:val="0"/>
        <w:autoSpaceDN w:val="0"/>
        <w:adjustRightInd w:val="0"/>
        <w:ind w:hanging="567"/>
        <w:textAlignment w:val="baseline"/>
      </w:pPr>
      <w:hyperlink w:history="1" r:id="rId27">
        <w:r w:rsidR="001C131E">
          <w:rPr>
            <w:b/>
            <w:i/>
            <w:color w:val="0000FF"/>
            <w:sz w:val="28"/>
            <w:u w:val="single"/>
          </w:rPr>
          <w:t>Reforzar la orientación hacia los resultados de la política de cohesión posterior a 2027: retos, riesgos y oportunidades</w:t>
        </w:r>
      </w:hyperlink>
    </w:p>
    <w:p w:rsidRPr="003F3737" w:rsidR="009B199C" w:rsidP="00BE1F8F" w:rsidRDefault="009B199C" w14:paraId="51F52A14" w14:textId="77777777">
      <w:pPr>
        <w:widowControl w:val="0"/>
        <w:overflowPunct w:val="0"/>
        <w:autoSpaceDE w:val="0"/>
        <w:autoSpaceDN w:val="0"/>
        <w:adjustRightInd w:val="0"/>
        <w:ind w:left="283"/>
        <w:textAlignment w:val="baseline"/>
        <w:rPr>
          <w:b/>
          <w:i/>
          <w:iCs/>
          <w:lang w:val="en-GB"/>
        </w:rPr>
      </w:pPr>
    </w:p>
    <w:tbl>
      <w:tblPr>
        <w:tblW w:w="0" w:type="auto"/>
        <w:tblLook w:val="04A0" w:firstRow="1" w:lastRow="0" w:firstColumn="1" w:lastColumn="0" w:noHBand="0" w:noVBand="1"/>
      </w:tblPr>
      <w:tblGrid>
        <w:gridCol w:w="1701"/>
        <w:gridCol w:w="7479"/>
      </w:tblGrid>
      <w:tr w:rsidRPr="00792ABA" w:rsidR="009B199C" w:rsidTr="00A3780E" w14:paraId="5BC5C730" w14:textId="77777777">
        <w:tc>
          <w:tcPr>
            <w:tcW w:w="1701" w:type="dxa"/>
          </w:tcPr>
          <w:p w:rsidRPr="00792ABA" w:rsidR="009B199C" w:rsidP="00BE1F8F" w:rsidRDefault="009B199C" w14:paraId="455C16FC" w14:textId="77777777">
            <w:pPr>
              <w:tabs>
                <w:tab w:val="center" w:pos="284"/>
              </w:tabs>
              <w:overflowPunct w:val="0"/>
              <w:autoSpaceDE w:val="0"/>
              <w:autoSpaceDN w:val="0"/>
              <w:adjustRightInd w:val="0"/>
              <w:ind w:left="266" w:hanging="266"/>
              <w:textAlignment w:val="baseline"/>
              <w:rPr>
                <w:b/>
              </w:rPr>
            </w:pPr>
            <w:r>
              <w:rPr>
                <w:b/>
              </w:rPr>
              <w:t>Ponente</w:t>
            </w:r>
          </w:p>
          <w:p w:rsidRPr="00792ABA" w:rsidR="009B199C" w:rsidP="00BE1F8F" w:rsidRDefault="009B199C" w14:paraId="78EA9397" w14:textId="77777777">
            <w:pPr>
              <w:tabs>
                <w:tab w:val="center" w:pos="284"/>
              </w:tabs>
              <w:overflowPunct w:val="0"/>
              <w:autoSpaceDE w:val="0"/>
              <w:autoSpaceDN w:val="0"/>
              <w:adjustRightInd w:val="0"/>
              <w:ind w:left="266" w:hanging="266"/>
              <w:textAlignment w:val="baseline"/>
              <w:rPr>
                <w:b/>
              </w:rPr>
            </w:pPr>
            <w:r>
              <w:rPr>
                <w:b/>
              </w:rPr>
              <w:t>Coponente</w:t>
            </w:r>
          </w:p>
        </w:tc>
        <w:tc>
          <w:tcPr>
            <w:tcW w:w="7479" w:type="dxa"/>
          </w:tcPr>
          <w:p w:rsidRPr="009B596B" w:rsidR="009B199C" w:rsidP="00BE1F8F" w:rsidRDefault="009B199C" w14:paraId="5A2D0416" w14:textId="40276D4D">
            <w:pPr>
              <w:tabs>
                <w:tab w:val="center" w:pos="284"/>
              </w:tabs>
              <w:overflowPunct w:val="0"/>
              <w:autoSpaceDE w:val="0"/>
              <w:autoSpaceDN w:val="0"/>
              <w:adjustRightInd w:val="0"/>
              <w:ind w:left="266" w:hanging="266"/>
              <w:textAlignment w:val="baseline"/>
            </w:pPr>
            <w:r>
              <w:t>David SVENTEK (Grupo de Empresarios – CZ)</w:t>
            </w:r>
          </w:p>
          <w:p w:rsidRPr="00792ABA" w:rsidR="005F41D0" w:rsidP="00BE1F8F" w:rsidRDefault="009B199C" w14:paraId="0C02A021" w14:textId="4BEC0AEE">
            <w:pPr>
              <w:tabs>
                <w:tab w:val="center" w:pos="284"/>
              </w:tabs>
              <w:overflowPunct w:val="0"/>
              <w:autoSpaceDE w:val="0"/>
              <w:autoSpaceDN w:val="0"/>
              <w:adjustRightInd w:val="0"/>
              <w:ind w:left="266" w:hanging="266"/>
              <w:textAlignment w:val="baseline"/>
              <w:rPr>
                <w:bCs/>
              </w:rPr>
            </w:pPr>
            <w:r>
              <w:t>Florian MARIN (Grupo de Trabajadores – RO)</w:t>
            </w:r>
          </w:p>
        </w:tc>
      </w:tr>
      <w:tr w:rsidRPr="00792ABA" w:rsidR="009B199C" w:rsidTr="00A3780E" w14:paraId="4A10BF69" w14:textId="77777777">
        <w:tc>
          <w:tcPr>
            <w:tcW w:w="1701" w:type="dxa"/>
          </w:tcPr>
          <w:p w:rsidRPr="00792ABA" w:rsidR="009B199C" w:rsidP="00BE1F8F" w:rsidRDefault="009B199C" w14:paraId="4D7754ED" w14:textId="3E057298">
            <w:pPr>
              <w:tabs>
                <w:tab w:val="center" w:pos="284"/>
              </w:tabs>
              <w:overflowPunct w:val="0"/>
              <w:autoSpaceDE w:val="0"/>
              <w:autoSpaceDN w:val="0"/>
              <w:adjustRightInd w:val="0"/>
              <w:ind w:left="266" w:hanging="266"/>
              <w:textAlignment w:val="baseline"/>
              <w:rPr>
                <w:b/>
              </w:rPr>
            </w:pPr>
            <w:r>
              <w:rPr>
                <w:b/>
              </w:rPr>
              <w:t>Referencia</w:t>
            </w:r>
          </w:p>
        </w:tc>
        <w:tc>
          <w:tcPr>
            <w:tcW w:w="7479" w:type="dxa"/>
          </w:tcPr>
          <w:p w:rsidRPr="00792ABA" w:rsidR="009B199C" w:rsidP="00BE1F8F" w:rsidRDefault="009B199C" w14:paraId="7601F5CA" w14:textId="0178370F">
            <w:pPr>
              <w:overflowPunct w:val="0"/>
              <w:autoSpaceDE w:val="0"/>
              <w:autoSpaceDN w:val="0"/>
              <w:adjustRightInd w:val="0"/>
              <w:ind w:left="266" w:hanging="266"/>
              <w:textAlignment w:val="baseline"/>
            </w:pPr>
            <w:r>
              <w:t>Dictamen exploratorio solicitado por la Presidencia polaca del Consejo de la UE</w:t>
            </w:r>
          </w:p>
          <w:p w:rsidRPr="00792ABA" w:rsidR="009B199C" w:rsidP="00BE1F8F" w:rsidRDefault="009B199C" w14:paraId="443F4397" w14:textId="7E955EB3">
            <w:pPr>
              <w:overflowPunct w:val="0"/>
              <w:autoSpaceDE w:val="0"/>
              <w:autoSpaceDN w:val="0"/>
              <w:adjustRightInd w:val="0"/>
              <w:ind w:left="266" w:hanging="266"/>
              <w:textAlignment w:val="baseline"/>
            </w:pPr>
            <w:r>
              <w:t>EESC-2024-03481-00-00-AC</w:t>
            </w:r>
          </w:p>
        </w:tc>
      </w:tr>
    </w:tbl>
    <w:p w:rsidRPr="003F3737" w:rsidR="009B199C" w:rsidP="00BE1F8F" w:rsidRDefault="009B199C" w14:paraId="7F8C0AE3" w14:textId="77777777">
      <w:pPr>
        <w:keepNext/>
        <w:keepLines/>
        <w:tabs>
          <w:tab w:val="center" w:pos="284"/>
        </w:tabs>
        <w:overflowPunct w:val="0"/>
        <w:autoSpaceDE w:val="0"/>
        <w:autoSpaceDN w:val="0"/>
        <w:adjustRightInd w:val="0"/>
        <w:ind w:left="266" w:hanging="266"/>
        <w:textAlignment w:val="baseline"/>
        <w:rPr>
          <w:b/>
          <w:lang w:val="en-GB"/>
        </w:rPr>
      </w:pPr>
    </w:p>
    <w:p w:rsidRPr="00792ABA" w:rsidR="009B199C" w:rsidP="00BE1F8F" w:rsidRDefault="009B199C" w14:paraId="3A8AAE4F"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3F3737" w:rsidR="009B199C" w:rsidP="00BE1F8F" w:rsidRDefault="009B199C" w14:paraId="754DF2AC" w14:textId="77777777">
      <w:pPr>
        <w:keepNext/>
        <w:keepLines/>
        <w:tabs>
          <w:tab w:val="center" w:pos="284"/>
        </w:tabs>
        <w:overflowPunct w:val="0"/>
        <w:autoSpaceDE w:val="0"/>
        <w:autoSpaceDN w:val="0"/>
        <w:adjustRightInd w:val="0"/>
        <w:ind w:left="266" w:hanging="266"/>
        <w:textAlignment w:val="baseline"/>
        <w:rPr>
          <w:b/>
          <w:lang w:val="en-GB"/>
        </w:rPr>
      </w:pPr>
    </w:p>
    <w:p w:rsidR="009B199C" w:rsidP="00BE1F8F" w:rsidRDefault="009B199C" w14:paraId="4A63B8DB" w14:textId="77777777">
      <w:pPr>
        <w:keepNext/>
        <w:keepLines/>
        <w:tabs>
          <w:tab w:val="center" w:pos="284"/>
        </w:tabs>
        <w:overflowPunct w:val="0"/>
        <w:autoSpaceDE w:val="0"/>
        <w:autoSpaceDN w:val="0"/>
        <w:adjustRightInd w:val="0"/>
        <w:ind w:left="266" w:hanging="266"/>
        <w:textAlignment w:val="baseline"/>
        <w:rPr>
          <w:bCs/>
          <w:iCs/>
          <w:szCs w:val="20"/>
        </w:rPr>
      </w:pPr>
      <w:r>
        <w:t>El CESE:</w:t>
      </w:r>
    </w:p>
    <w:p w:rsidRPr="00792ABA" w:rsidR="009B199C" w:rsidP="00BE1F8F" w:rsidRDefault="009B199C" w14:paraId="6EB77383" w14:textId="77777777">
      <w:pPr>
        <w:keepNext/>
        <w:keepLines/>
        <w:numPr>
          <w:ilvl w:val="0"/>
          <w:numId w:val="22"/>
        </w:numPr>
        <w:overflowPunct w:val="0"/>
        <w:autoSpaceDE w:val="0"/>
        <w:autoSpaceDN w:val="0"/>
        <w:adjustRightInd w:val="0"/>
        <w:ind w:left="284" w:hanging="284"/>
        <w:contextualSpacing/>
        <w:textAlignment w:val="baseline"/>
        <w:rPr>
          <w:bCs/>
          <w:iCs/>
        </w:rPr>
      </w:pPr>
      <w:r>
        <w:t>apoya firmemente la continuación de la política de cohesión de la UE, al considerar que las motivaciones que la sustentan son claras, racionales y legítimas. No obstante, reconoce que la política de cohesión debe modernizarse y adaptarse, reflejando las tendencias y necesidades aparejadas al desarrollo;</w:t>
      </w:r>
    </w:p>
    <w:p w:rsidRPr="00792ABA" w:rsidR="009B199C" w:rsidP="00BE1F8F" w:rsidRDefault="009B199C" w14:paraId="0ED74D26" w14:textId="77777777">
      <w:pPr>
        <w:keepNext/>
        <w:keepLines/>
        <w:numPr>
          <w:ilvl w:val="0"/>
          <w:numId w:val="22"/>
        </w:numPr>
        <w:overflowPunct w:val="0"/>
        <w:autoSpaceDE w:val="0"/>
        <w:autoSpaceDN w:val="0"/>
        <w:adjustRightInd w:val="0"/>
        <w:ind w:left="284" w:hanging="284"/>
        <w:contextualSpacing/>
        <w:textAlignment w:val="baseline"/>
        <w:rPr>
          <w:rFonts w:ascii="Calibri" w:hAnsi="Calibri"/>
          <w:bCs/>
          <w:iCs/>
        </w:rPr>
      </w:pPr>
      <w:r>
        <w:t>considera que el porcentaje que el presupuesto de la UE dedica actualmente a la política de cohesión no debe reducirse en el próximo marco financiero plurianual, sino que, por el contrario, debe aumentarse;</w:t>
      </w:r>
    </w:p>
    <w:p w:rsidRPr="00792ABA" w:rsidR="009B199C" w:rsidP="00BE1F8F" w:rsidRDefault="009B199C" w14:paraId="74B75549" w14:textId="77777777">
      <w:pPr>
        <w:numPr>
          <w:ilvl w:val="0"/>
          <w:numId w:val="22"/>
        </w:numPr>
        <w:overflowPunct w:val="0"/>
        <w:autoSpaceDE w:val="0"/>
        <w:autoSpaceDN w:val="0"/>
        <w:adjustRightInd w:val="0"/>
        <w:ind w:left="284" w:hanging="284"/>
        <w:contextualSpacing/>
        <w:textAlignment w:val="baseline"/>
        <w:rPr>
          <w:bCs/>
          <w:iCs/>
        </w:rPr>
      </w:pPr>
      <w:r>
        <w:t>recomienda que, en lo sucesivo, la política de cohesión se gestione de conformidad con los siguientes principios generales: asociación, que incluye la contribución activa de la sociedad civil organizada; gestión compartida, que implica una participación equilibrada entre las autoridades de la UE, nacionales y regionales; gobernanza multinivel, que integra a las regiones, las ciudades, los entes locales y las partes interesadas; enfoque de base local, que supone la aplicación de un enfoque ascendente; concentración temática, que consiste en la interconexión por medio del proceso del Semestre Europeo; enfoque territorial, también basado en las particularidades regionales; orientación a los resultados, que implica que haya beneficios reales y cuantificados; simplificación de las normas y los procedimientos; y condicionalidad social de las inversiones financiadas;</w:t>
      </w:r>
    </w:p>
    <w:p w:rsidRPr="00792ABA" w:rsidR="009B199C" w:rsidP="00BE1F8F" w:rsidRDefault="009B199C" w14:paraId="384FD159" w14:textId="77777777">
      <w:pPr>
        <w:numPr>
          <w:ilvl w:val="0"/>
          <w:numId w:val="22"/>
        </w:numPr>
        <w:overflowPunct w:val="0"/>
        <w:autoSpaceDE w:val="0"/>
        <w:autoSpaceDN w:val="0"/>
        <w:adjustRightInd w:val="0"/>
        <w:ind w:left="284" w:hanging="284"/>
        <w:contextualSpacing/>
        <w:textAlignment w:val="baseline"/>
        <w:rPr>
          <w:bCs/>
          <w:iCs/>
        </w:rPr>
      </w:pPr>
      <w:r>
        <w:t>considera que en una futura política de cohesión orientada a los resultados deben considerarse claramente los retos geopolíticos, es necesario invertir en el desarrollo de capacidades y debe reforzarse el principio de asociación;</w:t>
      </w:r>
    </w:p>
    <w:p w:rsidRPr="00792ABA" w:rsidR="009B199C" w:rsidP="00BE1F8F" w:rsidRDefault="009B199C" w14:paraId="691F18AC" w14:textId="77777777">
      <w:pPr>
        <w:numPr>
          <w:ilvl w:val="0"/>
          <w:numId w:val="22"/>
        </w:numPr>
        <w:overflowPunct w:val="0"/>
        <w:autoSpaceDE w:val="0"/>
        <w:autoSpaceDN w:val="0"/>
        <w:adjustRightInd w:val="0"/>
        <w:ind w:left="284" w:hanging="284"/>
        <w:contextualSpacing/>
        <w:textAlignment w:val="baseline"/>
        <w:rPr>
          <w:bCs/>
          <w:iCs/>
        </w:rPr>
      </w:pPr>
      <w:r>
        <w:t>subraya que convertir el enfoque basado en los resultados en un principio fundamental contribuirá a una asignación más eficiente de los limitados recursos de la política de cohesión y aportará beneficios visibles y transparentes;</w:t>
      </w:r>
    </w:p>
    <w:p w:rsidRPr="00792ABA" w:rsidR="009B199C" w:rsidP="00BE1F8F" w:rsidRDefault="009B199C" w14:paraId="69027A6A" w14:textId="77777777">
      <w:pPr>
        <w:numPr>
          <w:ilvl w:val="0"/>
          <w:numId w:val="22"/>
        </w:numPr>
        <w:overflowPunct w:val="0"/>
        <w:autoSpaceDE w:val="0"/>
        <w:autoSpaceDN w:val="0"/>
        <w:adjustRightInd w:val="0"/>
        <w:ind w:left="284" w:hanging="284"/>
        <w:contextualSpacing/>
        <w:textAlignment w:val="baseline"/>
        <w:rPr>
          <w:bCs/>
          <w:iCs/>
        </w:rPr>
      </w:pPr>
      <w:r>
        <w:t>considera que las obligaciones que imponga la introducción de un enfoque basado en los resultados no deben añadirse a los procesos de control y auditoría existentes para verificar la eficacia, la eficiencia y la economía del gasto en los proyectos financiados por los fondos de cohesión;</w:t>
      </w:r>
    </w:p>
    <w:p w:rsidRPr="00792ABA" w:rsidR="009B199C" w:rsidP="00BE1F8F" w:rsidRDefault="009B199C" w14:paraId="1F1F1EFC" w14:textId="77777777">
      <w:pPr>
        <w:numPr>
          <w:ilvl w:val="0"/>
          <w:numId w:val="22"/>
        </w:numPr>
        <w:overflowPunct w:val="0"/>
        <w:autoSpaceDE w:val="0"/>
        <w:autoSpaceDN w:val="0"/>
        <w:adjustRightInd w:val="0"/>
        <w:ind w:left="284" w:hanging="284"/>
        <w:contextualSpacing/>
        <w:textAlignment w:val="baseline"/>
        <w:rPr>
          <w:bCs/>
          <w:iCs/>
        </w:rPr>
      </w:pPr>
      <w:r>
        <w:t>está profundamente convencido de que, a pesar de todos los cambios necesarios en el contenido y la orientación de la política de cohesión, el núcleo de esta política debe seguir radicando en las regiones y sus necesidades específicas en materia de desarrollo y resiliencia, y en tratar al mismo tiempo de reducir las desigualdades;</w:t>
      </w:r>
    </w:p>
    <w:p w:rsidRPr="00792ABA" w:rsidR="009B199C" w:rsidP="00BE1F8F" w:rsidRDefault="009B199C" w14:paraId="07F4614C" w14:textId="77777777">
      <w:pPr>
        <w:numPr>
          <w:ilvl w:val="0"/>
          <w:numId w:val="22"/>
        </w:numPr>
        <w:overflowPunct w:val="0"/>
        <w:autoSpaceDE w:val="0"/>
        <w:autoSpaceDN w:val="0"/>
        <w:adjustRightInd w:val="0"/>
        <w:ind w:left="284" w:hanging="284"/>
        <w:contextualSpacing/>
        <w:textAlignment w:val="baseline"/>
        <w:rPr>
          <w:bCs/>
          <w:iCs/>
        </w:rPr>
      </w:pPr>
      <w:r>
        <w:t xml:space="preserve">considera que debe prestarse más atención a las inversiones sociales —incluida la vivienda—, en cuanto componentes estructurales del desarrollo territorial, al acceso a servicios públicos de calidad y a los retos demográficos; </w:t>
      </w:r>
    </w:p>
    <w:p w:rsidRPr="00792ABA" w:rsidR="009B199C" w:rsidP="00BE1F8F" w:rsidRDefault="009B199C" w14:paraId="4545597B" w14:textId="77777777">
      <w:pPr>
        <w:numPr>
          <w:ilvl w:val="0"/>
          <w:numId w:val="22"/>
        </w:numPr>
        <w:overflowPunct w:val="0"/>
        <w:autoSpaceDE w:val="0"/>
        <w:autoSpaceDN w:val="0"/>
        <w:adjustRightInd w:val="0"/>
        <w:ind w:left="284" w:hanging="284"/>
        <w:contextualSpacing/>
        <w:textAlignment w:val="baseline"/>
        <w:rPr>
          <w:bCs/>
          <w:iCs/>
        </w:rPr>
      </w:pPr>
      <w:r>
        <w:lastRenderedPageBreak/>
        <w:t>recomienda crear un entorno político transparente en el que las partes interesadas específicas, incluidos los representantes de la sociedad civil organizada, ocupen una posición claramente definida;</w:t>
      </w:r>
    </w:p>
    <w:p w:rsidRPr="00C43D3E" w:rsidR="009B199C" w:rsidP="00BE1F8F" w:rsidRDefault="009B199C" w14:paraId="1086985B" w14:textId="77777777">
      <w:pPr>
        <w:numPr>
          <w:ilvl w:val="0"/>
          <w:numId w:val="22"/>
        </w:numPr>
        <w:overflowPunct w:val="0"/>
        <w:autoSpaceDE w:val="0"/>
        <w:autoSpaceDN w:val="0"/>
        <w:adjustRightInd w:val="0"/>
        <w:ind w:left="284" w:hanging="284"/>
        <w:contextualSpacing/>
        <w:textAlignment w:val="baseline"/>
        <w:rPr>
          <w:bCs/>
          <w:iCs/>
          <w:spacing w:val="-2"/>
        </w:rPr>
      </w:pPr>
      <w:r>
        <w:t>es consciente de la complejidad del sistema, que debe simplificarse considerablemente y ganar en transparencia;</w:t>
      </w:r>
    </w:p>
    <w:p w:rsidRPr="00792ABA" w:rsidR="009B199C" w:rsidP="00BE1F8F" w:rsidRDefault="009B199C" w14:paraId="168F9847" w14:textId="77777777">
      <w:pPr>
        <w:numPr>
          <w:ilvl w:val="0"/>
          <w:numId w:val="22"/>
        </w:numPr>
        <w:overflowPunct w:val="0"/>
        <w:autoSpaceDE w:val="0"/>
        <w:autoSpaceDN w:val="0"/>
        <w:adjustRightInd w:val="0"/>
        <w:ind w:left="284" w:hanging="284"/>
        <w:contextualSpacing/>
        <w:textAlignment w:val="baseline"/>
        <w:rPr>
          <w:rFonts w:ascii="Calibri" w:hAnsi="Calibri"/>
          <w:bCs/>
          <w:iCs/>
        </w:rPr>
      </w:pPr>
      <w:r>
        <w:t>subraya que, especialmente en el período actual y futuro de desarrollo económico y social en la UE, la convergencia y la competitividad sostenible no chocan entre sí.</w:t>
      </w:r>
    </w:p>
    <w:p w:rsidRPr="003F3737" w:rsidR="009B199C" w:rsidP="00BE1F8F" w:rsidRDefault="009B199C" w14:paraId="1DD19EA2" w14:textId="66A2333D">
      <w:pPr>
        <w:ind w:left="360"/>
        <w:contextualSpacing/>
        <w:rPr>
          <w:rFonts w:ascii="Calibri" w:hAnsi="Calibri"/>
          <w:bCs/>
          <w:iCs/>
          <w:lang w:val="en-GB" w:eastAsia="zh-CN"/>
        </w:rPr>
      </w:pPr>
    </w:p>
    <w:tbl>
      <w:tblPr>
        <w:tblW w:w="9322" w:type="dxa"/>
        <w:tblLook w:val="04A0" w:firstRow="1" w:lastRow="0" w:firstColumn="1" w:lastColumn="0" w:noHBand="0" w:noVBand="1"/>
      </w:tblPr>
      <w:tblGrid>
        <w:gridCol w:w="2235"/>
        <w:gridCol w:w="7087"/>
      </w:tblGrid>
      <w:tr w:rsidRPr="00792ABA" w:rsidR="00E14D8E" w:rsidTr="003F3737" w14:paraId="6547EFA9" w14:textId="77777777">
        <w:tc>
          <w:tcPr>
            <w:tcW w:w="2235" w:type="dxa"/>
          </w:tcPr>
          <w:p w:rsidRPr="00792ABA" w:rsidR="00E14D8E" w:rsidP="00BE1F8F" w:rsidRDefault="00E14D8E" w14:paraId="4258610F" w14:textId="77777777">
            <w:pPr>
              <w:overflowPunct w:val="0"/>
              <w:autoSpaceDE w:val="0"/>
              <w:autoSpaceDN w:val="0"/>
              <w:adjustRightInd w:val="0"/>
              <w:textAlignment w:val="baseline"/>
              <w:rPr>
                <w:i/>
              </w:rPr>
            </w:pPr>
            <w:r>
              <w:rPr>
                <w:b/>
                <w:i/>
              </w:rPr>
              <w:t>Contacto:</w:t>
            </w:r>
          </w:p>
        </w:tc>
        <w:tc>
          <w:tcPr>
            <w:tcW w:w="7087" w:type="dxa"/>
          </w:tcPr>
          <w:p w:rsidRPr="00792ABA" w:rsidR="00E14D8E" w:rsidP="00BE1F8F" w:rsidRDefault="00E14D8E" w14:paraId="5390638D" w14:textId="77777777">
            <w:pPr>
              <w:overflowPunct w:val="0"/>
              <w:autoSpaceDE w:val="0"/>
              <w:autoSpaceDN w:val="0"/>
              <w:adjustRightInd w:val="0"/>
              <w:textAlignment w:val="baseline"/>
              <w:rPr>
                <w:i/>
              </w:rPr>
            </w:pPr>
            <w:r>
              <w:rPr>
                <w:i/>
              </w:rPr>
              <w:t>Georgios MELEAS</w:t>
            </w:r>
          </w:p>
        </w:tc>
      </w:tr>
      <w:tr w:rsidRPr="00792ABA" w:rsidR="00E14D8E" w:rsidTr="003F3737" w14:paraId="5F576F6C" w14:textId="77777777">
        <w:tc>
          <w:tcPr>
            <w:tcW w:w="2235" w:type="dxa"/>
          </w:tcPr>
          <w:p w:rsidRPr="00792ABA" w:rsidR="00E14D8E" w:rsidP="00BE1F8F" w:rsidRDefault="00E14D8E" w14:paraId="13C225A0" w14:textId="77777777">
            <w:pPr>
              <w:overflowPunct w:val="0"/>
              <w:autoSpaceDE w:val="0"/>
              <w:autoSpaceDN w:val="0"/>
              <w:adjustRightInd w:val="0"/>
              <w:textAlignment w:val="baseline"/>
              <w:rPr>
                <w:i/>
              </w:rPr>
            </w:pPr>
            <w:r>
              <w:rPr>
                <w:i/>
              </w:rPr>
              <w:t>Teléfono:</w:t>
            </w:r>
          </w:p>
        </w:tc>
        <w:tc>
          <w:tcPr>
            <w:tcW w:w="7087" w:type="dxa"/>
          </w:tcPr>
          <w:p w:rsidRPr="00792ABA" w:rsidR="00E14D8E" w:rsidP="00BE1F8F" w:rsidRDefault="00E14D8E" w14:paraId="1A2A2EF0" w14:textId="77777777">
            <w:pPr>
              <w:overflowPunct w:val="0"/>
              <w:autoSpaceDE w:val="0"/>
              <w:autoSpaceDN w:val="0"/>
              <w:adjustRightInd w:val="0"/>
              <w:textAlignment w:val="baseline"/>
              <w:rPr>
                <w:i/>
              </w:rPr>
            </w:pPr>
            <w:r>
              <w:rPr>
                <w:i/>
              </w:rPr>
              <w:t>+32 2 5469795</w:t>
            </w:r>
          </w:p>
        </w:tc>
      </w:tr>
      <w:tr w:rsidRPr="00792ABA" w:rsidR="00E14D8E" w:rsidTr="003F3737" w14:paraId="243EA6DE" w14:textId="77777777">
        <w:tc>
          <w:tcPr>
            <w:tcW w:w="2235" w:type="dxa"/>
          </w:tcPr>
          <w:p w:rsidRPr="00792ABA" w:rsidR="00E14D8E" w:rsidP="00BE1F8F" w:rsidRDefault="00E14D8E" w14:paraId="385A71F4" w14:textId="77777777">
            <w:pPr>
              <w:overflowPunct w:val="0"/>
              <w:autoSpaceDE w:val="0"/>
              <w:autoSpaceDN w:val="0"/>
              <w:adjustRightInd w:val="0"/>
              <w:textAlignment w:val="baseline"/>
              <w:rPr>
                <w:i/>
              </w:rPr>
            </w:pPr>
            <w:r>
              <w:rPr>
                <w:i/>
              </w:rPr>
              <w:t>Correo electrónico:</w:t>
            </w:r>
          </w:p>
        </w:tc>
        <w:tc>
          <w:tcPr>
            <w:tcW w:w="7087" w:type="dxa"/>
          </w:tcPr>
          <w:p w:rsidRPr="00792ABA" w:rsidR="00E14D8E" w:rsidP="00BE1F8F" w:rsidRDefault="00593CA8" w14:paraId="00D270D1" w14:textId="77777777">
            <w:pPr>
              <w:overflowPunct w:val="0"/>
              <w:autoSpaceDE w:val="0"/>
              <w:autoSpaceDN w:val="0"/>
              <w:adjustRightInd w:val="0"/>
              <w:textAlignment w:val="baseline"/>
              <w:rPr>
                <w:i/>
                <w:iCs/>
              </w:rPr>
            </w:pPr>
            <w:hyperlink w:history="1" r:id="rId28">
              <w:r w:rsidR="001C131E">
                <w:rPr>
                  <w:i/>
                  <w:color w:val="0000FF"/>
                  <w:u w:val="single"/>
                </w:rPr>
                <w:t>Georgios.Meleas@eesc.europa.eu</w:t>
              </w:r>
            </w:hyperlink>
          </w:p>
        </w:tc>
      </w:tr>
    </w:tbl>
    <w:p w:rsidR="00E14D8E" w:rsidP="00BE1F8F" w:rsidRDefault="00E14D8E" w14:paraId="14382163" w14:textId="77777777">
      <w:pPr>
        <w:jc w:val="left"/>
        <w:rPr>
          <w:rFonts w:ascii="Calibri" w:hAnsi="Calibri"/>
          <w:bCs/>
          <w:iCs/>
          <w:sz w:val="16"/>
          <w:szCs w:val="16"/>
        </w:rPr>
      </w:pPr>
      <w:r>
        <w:br w:type="page"/>
      </w:r>
    </w:p>
    <w:p w:rsidR="004D7AC0" w:rsidP="00BE1F8F" w:rsidRDefault="004D7AC0" w14:paraId="4982DD99" w14:textId="77777777">
      <w:pPr>
        <w:pStyle w:val="Heading1"/>
        <w:keepNext/>
        <w:keepLines/>
        <w:rPr>
          <w:b/>
        </w:rPr>
      </w:pPr>
      <w:bookmarkStart w:name="_Toc192059218" w:id="1"/>
      <w:bookmarkStart w:name="_Toc192059438" w:id="2"/>
      <w:bookmarkStart w:name="_Toc192060291" w:id="3"/>
      <w:bookmarkStart w:name="_Toc192060608" w:id="4"/>
      <w:bookmarkStart w:name="_Toc192059219" w:id="5"/>
      <w:bookmarkStart w:name="_Toc192059439" w:id="6"/>
      <w:bookmarkStart w:name="_Toc192060292" w:id="7"/>
      <w:bookmarkStart w:name="_Toc192060609" w:id="8"/>
      <w:bookmarkStart w:name="_Toc75527081" w:id="9"/>
      <w:bookmarkStart w:name="_Toc192668667" w:id="10"/>
      <w:bookmarkEnd w:id="1"/>
      <w:bookmarkEnd w:id="2"/>
      <w:bookmarkEnd w:id="3"/>
      <w:bookmarkEnd w:id="4"/>
      <w:bookmarkEnd w:id="5"/>
      <w:bookmarkEnd w:id="6"/>
      <w:bookmarkEnd w:id="7"/>
      <w:bookmarkEnd w:id="8"/>
      <w:r>
        <w:rPr>
          <w:b/>
        </w:rPr>
        <w:lastRenderedPageBreak/>
        <w:t>EMPLEO, ASUNTOS SOCIALES Y CIUDADANÍA</w:t>
      </w:r>
      <w:bookmarkEnd w:id="9"/>
      <w:bookmarkEnd w:id="10"/>
    </w:p>
    <w:p w:rsidR="004D7AC0" w:rsidP="00BE1F8F" w:rsidRDefault="004D7AC0" w14:paraId="4982DD9A" w14:textId="77777777">
      <w:pPr>
        <w:keepNext/>
        <w:keepLines/>
      </w:pPr>
    </w:p>
    <w:p w:rsidRPr="00B4456F" w:rsidR="005820A0" w:rsidP="00BE1F8F" w:rsidRDefault="00593CA8" w14:paraId="1351645C" w14:textId="5889E847">
      <w:pPr>
        <w:widowControl w:val="0"/>
        <w:numPr>
          <w:ilvl w:val="0"/>
          <w:numId w:val="10"/>
        </w:numPr>
        <w:overflowPunct w:val="0"/>
        <w:autoSpaceDE w:val="0"/>
        <w:autoSpaceDN w:val="0"/>
        <w:adjustRightInd w:val="0"/>
        <w:ind w:left="567" w:hanging="567"/>
        <w:textAlignment w:val="baseline"/>
        <w:rPr>
          <w:sz w:val="24"/>
          <w:szCs w:val="24"/>
        </w:rPr>
      </w:pPr>
      <w:hyperlink w:history="1" r:id="rId29">
        <w:r w:rsidR="001C131E">
          <w:rPr>
            <w:rStyle w:val="Hyperlink"/>
            <w:b/>
            <w:i/>
            <w:sz w:val="28"/>
          </w:rPr>
          <w:t>Abordar la soledad: consolidar medidas en favor de la cohesión demográfica</w:t>
        </w:r>
      </w:hyperlink>
    </w:p>
    <w:p w:rsidRPr="00B4456F" w:rsidR="005820A0" w:rsidP="00BE1F8F" w:rsidRDefault="005820A0" w14:paraId="3483E009"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7"/>
        <w:gridCol w:w="7573"/>
      </w:tblGrid>
      <w:tr w:rsidRPr="00B4456F" w:rsidR="005820A0" w:rsidTr="00A3780E" w14:paraId="67BD490D" w14:textId="77777777">
        <w:tc>
          <w:tcPr>
            <w:tcW w:w="1607" w:type="dxa"/>
          </w:tcPr>
          <w:p w:rsidRPr="00C43D3E" w:rsidR="005820A0" w:rsidP="00BE1F8F" w:rsidRDefault="005820A0" w14:paraId="42367F1A" w14:textId="701C1F82">
            <w:pPr>
              <w:tabs>
                <w:tab w:val="center" w:pos="284"/>
              </w:tabs>
              <w:ind w:left="266" w:hanging="266"/>
              <w:rPr>
                <w:b/>
                <w:sz w:val="20"/>
                <w:szCs w:val="20"/>
              </w:rPr>
            </w:pPr>
            <w:r>
              <w:rPr>
                <w:b/>
                <w:bCs/>
                <w:sz w:val="20"/>
              </w:rPr>
              <w:t>Ponente</w:t>
            </w:r>
          </w:p>
        </w:tc>
        <w:tc>
          <w:tcPr>
            <w:tcW w:w="7573" w:type="dxa"/>
          </w:tcPr>
          <w:p w:rsidRPr="00C43D3E" w:rsidR="005820A0" w:rsidP="00BE1F8F" w:rsidRDefault="005820A0" w14:paraId="3FB6ED60" w14:textId="3DA0CD80">
            <w:pPr>
              <w:tabs>
                <w:tab w:val="center" w:pos="284"/>
              </w:tabs>
              <w:ind w:left="266" w:hanging="266"/>
              <w:rPr>
                <w:sz w:val="20"/>
                <w:szCs w:val="20"/>
              </w:rPr>
            </w:pPr>
            <w:r>
              <w:rPr>
                <w:sz w:val="20"/>
              </w:rPr>
              <w:t>Miguel Ángel CABRA DE LUNA (Grupo de Organizaciones de la Sociedad Civil – ES)</w:t>
            </w:r>
          </w:p>
        </w:tc>
      </w:tr>
      <w:tr w:rsidRPr="00B4456F" w:rsidR="005820A0" w:rsidTr="00A3780E" w14:paraId="6076883C" w14:textId="77777777">
        <w:tc>
          <w:tcPr>
            <w:tcW w:w="1607" w:type="dxa"/>
            <w:vMerge w:val="restart"/>
          </w:tcPr>
          <w:p w:rsidRPr="00C43D3E" w:rsidR="005820A0" w:rsidP="00BE1F8F" w:rsidRDefault="005820A0" w14:paraId="544AEDE8" w14:textId="720A1432">
            <w:pPr>
              <w:tabs>
                <w:tab w:val="center" w:pos="284"/>
              </w:tabs>
              <w:ind w:left="266" w:hanging="266"/>
              <w:rPr>
                <w:b/>
                <w:sz w:val="20"/>
                <w:szCs w:val="20"/>
              </w:rPr>
            </w:pPr>
            <w:r>
              <w:rPr>
                <w:b/>
                <w:sz w:val="20"/>
              </w:rPr>
              <w:t>Referencia</w:t>
            </w:r>
          </w:p>
        </w:tc>
        <w:tc>
          <w:tcPr>
            <w:tcW w:w="7573" w:type="dxa"/>
          </w:tcPr>
          <w:p w:rsidRPr="00C43D3E" w:rsidR="005820A0" w:rsidP="00BE1F8F" w:rsidRDefault="005820A0" w14:paraId="5995BCBD" w14:textId="77777777">
            <w:pPr>
              <w:tabs>
                <w:tab w:val="center" w:pos="284"/>
              </w:tabs>
              <w:ind w:left="266" w:hanging="266"/>
              <w:rPr>
                <w:sz w:val="20"/>
                <w:szCs w:val="20"/>
              </w:rPr>
            </w:pPr>
            <w:r>
              <w:rPr>
                <w:sz w:val="20"/>
              </w:rPr>
              <w:t>Dictamen de iniciativa</w:t>
            </w:r>
          </w:p>
        </w:tc>
      </w:tr>
      <w:tr w:rsidRPr="00B4456F" w:rsidR="005820A0" w:rsidTr="00A3780E" w14:paraId="4CBB60AE" w14:textId="77777777">
        <w:tc>
          <w:tcPr>
            <w:tcW w:w="1607" w:type="dxa"/>
            <w:vMerge/>
          </w:tcPr>
          <w:p w:rsidRPr="00C43D3E" w:rsidR="005820A0" w:rsidP="00BE1F8F" w:rsidRDefault="005820A0" w14:paraId="3E553D04" w14:textId="77777777">
            <w:pPr>
              <w:tabs>
                <w:tab w:val="center" w:pos="284"/>
              </w:tabs>
              <w:ind w:left="266" w:hanging="266"/>
              <w:rPr>
                <w:b/>
                <w:sz w:val="20"/>
                <w:szCs w:val="20"/>
              </w:rPr>
            </w:pPr>
          </w:p>
        </w:tc>
        <w:tc>
          <w:tcPr>
            <w:tcW w:w="7573" w:type="dxa"/>
          </w:tcPr>
          <w:p w:rsidRPr="00C43D3E" w:rsidR="005820A0" w:rsidP="00BE1F8F" w:rsidRDefault="005820A0" w14:paraId="67128669" w14:textId="77777777">
            <w:pPr>
              <w:tabs>
                <w:tab w:val="center" w:pos="284"/>
              </w:tabs>
              <w:ind w:left="266" w:hanging="266"/>
              <w:rPr>
                <w:sz w:val="20"/>
                <w:szCs w:val="20"/>
              </w:rPr>
            </w:pPr>
            <w:r>
              <w:rPr>
                <w:sz w:val="20"/>
              </w:rPr>
              <w:t>EESC-2024-03264-00-00-AC</w:t>
            </w:r>
          </w:p>
        </w:tc>
      </w:tr>
    </w:tbl>
    <w:p w:rsidRPr="00B4456F" w:rsidR="005820A0" w:rsidP="00BE1F8F" w:rsidRDefault="005820A0" w14:paraId="4B78DAB0" w14:textId="77777777">
      <w:pPr>
        <w:tabs>
          <w:tab w:val="center" w:pos="284"/>
        </w:tabs>
        <w:ind w:left="266" w:hanging="266"/>
      </w:pPr>
    </w:p>
    <w:p w:rsidRPr="00B4456F" w:rsidR="005820A0" w:rsidP="00BE1F8F" w:rsidRDefault="005820A0" w14:paraId="766A65DB" w14:textId="77777777">
      <w:pPr>
        <w:keepNext/>
        <w:keepLines/>
        <w:tabs>
          <w:tab w:val="center" w:pos="284"/>
        </w:tabs>
        <w:ind w:left="266" w:hanging="266"/>
        <w:rPr>
          <w:b/>
        </w:rPr>
      </w:pPr>
      <w:r>
        <w:rPr>
          <w:b/>
        </w:rPr>
        <w:t>Puntos clave</w:t>
      </w:r>
    </w:p>
    <w:p w:rsidRPr="00B4456F" w:rsidR="005820A0" w:rsidP="00BE1F8F" w:rsidRDefault="005820A0" w14:paraId="6AD26D2E" w14:textId="77777777">
      <w:pPr>
        <w:keepNext/>
        <w:keepLines/>
        <w:tabs>
          <w:tab w:val="center" w:pos="284"/>
        </w:tabs>
        <w:ind w:left="266" w:hanging="266"/>
        <w:rPr>
          <w:b/>
        </w:rPr>
      </w:pPr>
    </w:p>
    <w:p w:rsidRPr="00B4456F" w:rsidR="005820A0" w:rsidP="00BE1F8F" w:rsidRDefault="003F3737" w14:paraId="25B369D6" w14:textId="0EAA6BFB">
      <w:pPr>
        <w:rPr>
          <w:bCs/>
          <w:iCs/>
        </w:rPr>
      </w:pPr>
      <w:r>
        <w:t>El CESE</w:t>
      </w:r>
    </w:p>
    <w:p w:rsidRPr="00393DF5" w:rsidR="005820A0" w:rsidP="00BE1F8F" w:rsidRDefault="005820A0" w14:paraId="6EEFEE69" w14:textId="77777777">
      <w:pPr>
        <w:widowControl w:val="0"/>
        <w:numPr>
          <w:ilvl w:val="0"/>
          <w:numId w:val="23"/>
        </w:numPr>
        <w:overflowPunct w:val="0"/>
        <w:autoSpaceDE w:val="0"/>
        <w:autoSpaceDN w:val="0"/>
        <w:adjustRightInd w:val="0"/>
        <w:ind w:left="284" w:hanging="284"/>
        <w:textAlignment w:val="baseline"/>
      </w:pPr>
      <w:r>
        <w:t>pide a la Comisión que adopte una estrategia europea para abordar la soledad durante su mandato 2025-2029, consolide el conocimiento sobre la soledad, analice y evalúe las intervenciones existentes, incorpore un enfoque interseccional, aborde las causas de la soledad mediante un enfoque preventivo, sensibilice y elimine el estigma, alivie la presión sobre los sistemas de salud y movilice apoyo financiero;</w:t>
      </w:r>
    </w:p>
    <w:p w:rsidRPr="00393DF5" w:rsidR="005820A0" w:rsidP="00BE1F8F" w:rsidRDefault="005820A0" w14:paraId="059A30C7" w14:textId="77777777">
      <w:pPr>
        <w:widowControl w:val="0"/>
        <w:numPr>
          <w:ilvl w:val="0"/>
          <w:numId w:val="23"/>
        </w:numPr>
        <w:overflowPunct w:val="0"/>
        <w:autoSpaceDE w:val="0"/>
        <w:autoSpaceDN w:val="0"/>
        <w:adjustRightInd w:val="0"/>
        <w:ind w:left="284" w:hanging="284"/>
        <w:textAlignment w:val="baseline"/>
      </w:pPr>
      <w:r>
        <w:t>destaca el papel fundamental que desempeñan las organizaciones de la sociedad civil en la lucha contra la soledad y reconoce que los interlocutores sociales también pueden contribuir en este sentido;</w:t>
      </w:r>
    </w:p>
    <w:p w:rsidRPr="00393DF5" w:rsidR="005820A0" w:rsidP="00BE1F8F" w:rsidRDefault="005820A0" w14:paraId="074DF4E0" w14:textId="77777777">
      <w:pPr>
        <w:widowControl w:val="0"/>
        <w:numPr>
          <w:ilvl w:val="0"/>
          <w:numId w:val="23"/>
        </w:numPr>
        <w:overflowPunct w:val="0"/>
        <w:autoSpaceDE w:val="0"/>
        <w:autoSpaceDN w:val="0"/>
        <w:adjustRightInd w:val="0"/>
        <w:ind w:left="284" w:hanging="284"/>
        <w:textAlignment w:val="baseline"/>
      </w:pPr>
      <w:r>
        <w:t>pide que, como parte de la Estrategia europea para las personas mayores (Dictamen SOC/757) y de la futura Estrategia europea por la equidad intergeneracional (Dictamen SOC/800), se desarrollen medidas específicas a nivel europeo contra la soledad no deseada, incluyendo planes nacionales;</w:t>
      </w:r>
    </w:p>
    <w:p w:rsidRPr="00393DF5" w:rsidR="005820A0" w:rsidP="00BE1F8F" w:rsidRDefault="005820A0" w14:paraId="54B7D9CA" w14:textId="77777777">
      <w:pPr>
        <w:widowControl w:val="0"/>
        <w:numPr>
          <w:ilvl w:val="0"/>
          <w:numId w:val="23"/>
        </w:numPr>
        <w:overflowPunct w:val="0"/>
        <w:autoSpaceDE w:val="0"/>
        <w:autoSpaceDN w:val="0"/>
        <w:adjustRightInd w:val="0"/>
        <w:ind w:left="284" w:hanging="284"/>
        <w:textAlignment w:val="baseline"/>
      </w:pPr>
      <w:r>
        <w:t>considera que las estrategias deben abordar la soledad a lo largo de la vida, poniendo el foco asimismo en las transiciones vitales. También necesitan de un liderazgo de alto nivel, e incorporar a los diferentes actores, incluidas las administraciones públicas (en particular las entidades locales), la sociedad civil organizada, los agentes sociales, la economía social y los medios de comunicación;</w:t>
      </w:r>
    </w:p>
    <w:p w:rsidRPr="00393DF5" w:rsidR="005820A0" w:rsidP="00BE1F8F" w:rsidRDefault="005820A0" w14:paraId="2C2AFEDD" w14:textId="77777777">
      <w:pPr>
        <w:widowControl w:val="0"/>
        <w:numPr>
          <w:ilvl w:val="0"/>
          <w:numId w:val="23"/>
        </w:numPr>
        <w:overflowPunct w:val="0"/>
        <w:autoSpaceDE w:val="0"/>
        <w:autoSpaceDN w:val="0"/>
        <w:adjustRightInd w:val="0"/>
        <w:ind w:left="284" w:hanging="284"/>
        <w:textAlignment w:val="baseline"/>
      </w:pPr>
      <w:r>
        <w:t>pide a la Comisión Europea que dé continuidad al proyecto piloto sobre la soledad no deseada iniciado a instancias del Parlamento Europeo en 2022;</w:t>
      </w:r>
    </w:p>
    <w:p w:rsidRPr="00393DF5" w:rsidR="005820A0" w:rsidP="00BE1F8F" w:rsidRDefault="005820A0" w14:paraId="08802E05" w14:textId="77777777">
      <w:pPr>
        <w:widowControl w:val="0"/>
        <w:numPr>
          <w:ilvl w:val="0"/>
          <w:numId w:val="23"/>
        </w:numPr>
        <w:overflowPunct w:val="0"/>
        <w:autoSpaceDE w:val="0"/>
        <w:autoSpaceDN w:val="0"/>
        <w:adjustRightInd w:val="0"/>
        <w:ind w:left="284" w:hanging="284"/>
        <w:textAlignment w:val="baseline"/>
      </w:pPr>
      <w:r>
        <w:t>solicita que la dimensión de la soledad no deseada se incluya en la futura iniciativa «Youth Check»;</w:t>
      </w:r>
    </w:p>
    <w:p w:rsidRPr="00393DF5" w:rsidR="005820A0" w:rsidP="00BE1F8F" w:rsidRDefault="005820A0" w14:paraId="38721F1A" w14:textId="77777777">
      <w:pPr>
        <w:widowControl w:val="0"/>
        <w:numPr>
          <w:ilvl w:val="0"/>
          <w:numId w:val="23"/>
        </w:numPr>
        <w:overflowPunct w:val="0"/>
        <w:autoSpaceDE w:val="0"/>
        <w:autoSpaceDN w:val="0"/>
        <w:adjustRightInd w:val="0"/>
        <w:ind w:left="284" w:hanging="284"/>
        <w:textAlignment w:val="baseline"/>
      </w:pPr>
      <w:r>
        <w:t>invita al Comité Europeo de las Regiones a involucrarse en la Estrategia propuesta.</w:t>
      </w:r>
    </w:p>
    <w:p w:rsidRPr="00B4456F" w:rsidR="005820A0" w:rsidP="00BE1F8F" w:rsidRDefault="005820A0" w14:paraId="0D200582" w14:textId="77777777">
      <w:pPr>
        <w:widowControl w:val="0"/>
        <w:ind w:left="709"/>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945"/>
      </w:tblGrid>
      <w:tr w:rsidRPr="00BE1F8F" w:rsidR="005820A0" w:rsidTr="003F3737" w14:paraId="7592C7BE" w14:textId="77777777">
        <w:tc>
          <w:tcPr>
            <w:tcW w:w="2235" w:type="dxa"/>
          </w:tcPr>
          <w:p w:rsidRPr="00BE1F8F" w:rsidR="005820A0" w:rsidP="00BE1F8F" w:rsidRDefault="005820A0" w14:paraId="208016A2" w14:textId="5CF87BF1">
            <w:pPr>
              <w:rPr>
                <w:i/>
                <w:sz w:val="20"/>
                <w:szCs w:val="20"/>
              </w:rPr>
            </w:pPr>
            <w:r>
              <w:rPr>
                <w:b/>
                <w:i/>
                <w:sz w:val="20"/>
              </w:rPr>
              <w:t>Contacto:</w:t>
            </w:r>
          </w:p>
        </w:tc>
        <w:tc>
          <w:tcPr>
            <w:tcW w:w="6945" w:type="dxa"/>
          </w:tcPr>
          <w:p w:rsidRPr="00BE1F8F" w:rsidR="005820A0" w:rsidP="00BE1F8F" w:rsidRDefault="005820A0" w14:paraId="6CF1067D" w14:textId="712D966F">
            <w:pPr>
              <w:rPr>
                <w:i/>
                <w:sz w:val="20"/>
                <w:szCs w:val="20"/>
              </w:rPr>
            </w:pPr>
            <w:r>
              <w:rPr>
                <w:i/>
                <w:sz w:val="20"/>
              </w:rPr>
              <w:t>Valeria Atzori</w:t>
            </w:r>
          </w:p>
        </w:tc>
      </w:tr>
      <w:tr w:rsidRPr="00BE1F8F" w:rsidR="005820A0" w:rsidTr="003F3737" w14:paraId="6C8121C6" w14:textId="77777777">
        <w:tc>
          <w:tcPr>
            <w:tcW w:w="2235" w:type="dxa"/>
          </w:tcPr>
          <w:p w:rsidRPr="00BE1F8F" w:rsidR="005820A0" w:rsidP="00BE1F8F" w:rsidRDefault="005820A0" w14:paraId="1B05B83D" w14:textId="43B7C197">
            <w:pPr>
              <w:rPr>
                <w:i/>
                <w:sz w:val="20"/>
                <w:szCs w:val="20"/>
              </w:rPr>
            </w:pPr>
            <w:r>
              <w:rPr>
                <w:i/>
                <w:sz w:val="20"/>
              </w:rPr>
              <w:t>Teléfono:</w:t>
            </w:r>
          </w:p>
        </w:tc>
        <w:tc>
          <w:tcPr>
            <w:tcW w:w="6945" w:type="dxa"/>
          </w:tcPr>
          <w:p w:rsidRPr="00BE1F8F" w:rsidR="005820A0" w:rsidP="00BE1F8F" w:rsidRDefault="005820A0" w14:paraId="4579CB82" w14:textId="77777777">
            <w:pPr>
              <w:rPr>
                <w:i/>
                <w:sz w:val="20"/>
                <w:szCs w:val="20"/>
              </w:rPr>
            </w:pPr>
            <w:r>
              <w:rPr>
                <w:i/>
                <w:sz w:val="20"/>
              </w:rPr>
              <w:t>+32 25468774</w:t>
            </w:r>
          </w:p>
        </w:tc>
      </w:tr>
      <w:tr w:rsidRPr="00BE1F8F" w:rsidR="005820A0" w:rsidTr="003F3737" w14:paraId="7DF31CE8" w14:textId="77777777">
        <w:trPr>
          <w:trHeight w:val="285"/>
        </w:trPr>
        <w:tc>
          <w:tcPr>
            <w:tcW w:w="2235" w:type="dxa"/>
          </w:tcPr>
          <w:p w:rsidRPr="00BE1F8F" w:rsidR="005820A0" w:rsidP="00BE1F8F" w:rsidRDefault="005820A0" w14:paraId="30F9AA2F" w14:textId="7B8A8D0D">
            <w:pPr>
              <w:rPr>
                <w:i/>
                <w:sz w:val="20"/>
                <w:szCs w:val="20"/>
              </w:rPr>
            </w:pPr>
            <w:r>
              <w:rPr>
                <w:i/>
                <w:sz w:val="20"/>
              </w:rPr>
              <w:t>Correo electrónico:</w:t>
            </w:r>
          </w:p>
        </w:tc>
        <w:tc>
          <w:tcPr>
            <w:tcW w:w="6945" w:type="dxa"/>
          </w:tcPr>
          <w:p w:rsidRPr="00BE1F8F" w:rsidR="005820A0" w:rsidP="00BE1F8F" w:rsidRDefault="00593CA8" w14:paraId="75028D49" w14:textId="77777777">
            <w:pPr>
              <w:rPr>
                <w:i/>
                <w:iCs/>
                <w:sz w:val="20"/>
                <w:szCs w:val="20"/>
              </w:rPr>
            </w:pPr>
            <w:hyperlink w:history="1" r:id="rId30">
              <w:r w:rsidR="001C131E">
                <w:rPr>
                  <w:rStyle w:val="Hyperlink"/>
                  <w:i/>
                  <w:sz w:val="20"/>
                </w:rPr>
                <w:t>Valeria.Atzori@eesc.europa.eu</w:t>
              </w:r>
            </w:hyperlink>
          </w:p>
        </w:tc>
      </w:tr>
    </w:tbl>
    <w:p w:rsidR="005820A0" w:rsidP="00BE1F8F" w:rsidRDefault="005820A0" w14:paraId="1C8B6452" w14:textId="77777777">
      <w:pPr>
        <w:jc w:val="left"/>
      </w:pPr>
    </w:p>
    <w:p w:rsidR="005820A0" w:rsidP="00BE1F8F" w:rsidRDefault="005820A0" w14:paraId="18575FDC" w14:textId="77777777">
      <w:pPr>
        <w:jc w:val="left"/>
      </w:pPr>
      <w:r>
        <w:br w:type="page"/>
      </w:r>
    </w:p>
    <w:p w:rsidRPr="00BE1F8F" w:rsidR="006D1DFA" w:rsidP="00BE1F8F" w:rsidRDefault="00593CA8" w14:paraId="4A9CF9A9" w14:textId="0D522BB4">
      <w:pPr>
        <w:widowControl w:val="0"/>
        <w:numPr>
          <w:ilvl w:val="0"/>
          <w:numId w:val="3"/>
        </w:numPr>
        <w:overflowPunct w:val="0"/>
        <w:autoSpaceDE w:val="0"/>
        <w:autoSpaceDN w:val="0"/>
        <w:adjustRightInd w:val="0"/>
        <w:ind w:left="567" w:hanging="567"/>
        <w:textAlignment w:val="baseline"/>
      </w:pPr>
      <w:hyperlink w:history="1" r:id="rId31">
        <w:r w:rsidR="001C131E">
          <w:rPr>
            <w:b/>
            <w:i/>
            <w:color w:val="0000FF"/>
            <w:sz w:val="28"/>
            <w:u w:val="single"/>
          </w:rPr>
          <w:t>La violencia contra las mujeres es una cuestión de derechos humanos: situación actual de las medidas en la UE</w:t>
        </w:r>
      </w:hyperlink>
    </w:p>
    <w:p w:rsidRPr="003F3737" w:rsidR="006D1DFA" w:rsidP="00BE1F8F" w:rsidRDefault="006D1DFA" w14:paraId="0322A41C" w14:textId="77777777">
      <w:pPr>
        <w:tabs>
          <w:tab w:val="center" w:pos="284"/>
        </w:tabs>
        <w:overflowPunct w:val="0"/>
        <w:autoSpaceDE w:val="0"/>
        <w:autoSpaceDN w:val="0"/>
        <w:adjustRightInd w:val="0"/>
        <w:ind w:left="567" w:hanging="567"/>
        <w:textAlignment w:val="baseline"/>
        <w:rPr>
          <w:lang w:val="en-GB"/>
        </w:rPr>
      </w:pPr>
    </w:p>
    <w:tbl>
      <w:tblPr>
        <w:tblW w:w="9322" w:type="dxa"/>
        <w:tblLook w:val="04A0" w:firstRow="1" w:lastRow="0" w:firstColumn="1" w:lastColumn="0" w:noHBand="0" w:noVBand="1"/>
      </w:tblPr>
      <w:tblGrid>
        <w:gridCol w:w="1834"/>
        <w:gridCol w:w="7488"/>
      </w:tblGrid>
      <w:tr w:rsidRPr="00BA71AC" w:rsidR="006D1DFA" w:rsidTr="00BE1F8F" w14:paraId="4E8132D8" w14:textId="77777777">
        <w:tc>
          <w:tcPr>
            <w:tcW w:w="1834" w:type="dxa"/>
          </w:tcPr>
          <w:p w:rsidRPr="006D1DFA" w:rsidR="006D1DFA" w:rsidP="00BE1F8F" w:rsidRDefault="006D1DFA" w14:paraId="62FE863C" w14:textId="77777777">
            <w:pPr>
              <w:tabs>
                <w:tab w:val="center" w:pos="284"/>
              </w:tabs>
              <w:overflowPunct w:val="0"/>
              <w:autoSpaceDE w:val="0"/>
              <w:autoSpaceDN w:val="0"/>
              <w:adjustRightInd w:val="0"/>
              <w:ind w:left="567" w:hanging="567"/>
              <w:textAlignment w:val="baseline"/>
              <w:rPr>
                <w:b/>
              </w:rPr>
            </w:pPr>
            <w:r>
              <w:rPr>
                <w:b/>
              </w:rPr>
              <w:t>Ponente</w:t>
            </w:r>
          </w:p>
        </w:tc>
        <w:tc>
          <w:tcPr>
            <w:tcW w:w="7488" w:type="dxa"/>
          </w:tcPr>
          <w:p w:rsidRPr="006D1DFA" w:rsidR="006D1DFA" w:rsidP="00BE1F8F" w:rsidRDefault="006D1DFA" w14:paraId="59709140" w14:textId="77777777">
            <w:pPr>
              <w:overflowPunct w:val="0"/>
              <w:autoSpaceDE w:val="0"/>
              <w:autoSpaceDN w:val="0"/>
              <w:adjustRightInd w:val="0"/>
              <w:textAlignment w:val="baseline"/>
            </w:pPr>
            <w:r>
              <w:t>José Antonio MORENO DÍAZ (Grupo de Trabajadores – ES)</w:t>
            </w:r>
          </w:p>
        </w:tc>
      </w:tr>
      <w:tr w:rsidRPr="006D1DFA" w:rsidR="006D1DFA" w:rsidTr="00BE1F8F" w14:paraId="30BC9238" w14:textId="77777777">
        <w:tc>
          <w:tcPr>
            <w:tcW w:w="1834" w:type="dxa"/>
          </w:tcPr>
          <w:p w:rsidRPr="006D1DFA" w:rsidR="006D1DFA" w:rsidP="00BE1F8F" w:rsidRDefault="006D1DFA" w14:paraId="4D886634" w14:textId="77777777">
            <w:pPr>
              <w:tabs>
                <w:tab w:val="center" w:pos="284"/>
              </w:tabs>
              <w:overflowPunct w:val="0"/>
              <w:autoSpaceDE w:val="0"/>
              <w:autoSpaceDN w:val="0"/>
              <w:adjustRightInd w:val="0"/>
              <w:ind w:left="567" w:hanging="567"/>
              <w:textAlignment w:val="baseline"/>
              <w:rPr>
                <w:b/>
              </w:rPr>
            </w:pPr>
            <w:r>
              <w:rPr>
                <w:b/>
              </w:rPr>
              <w:t>Coponente</w:t>
            </w:r>
          </w:p>
        </w:tc>
        <w:tc>
          <w:tcPr>
            <w:tcW w:w="7488" w:type="dxa"/>
          </w:tcPr>
          <w:p w:rsidRPr="006D1DFA" w:rsidR="006D1DFA" w:rsidP="00BE1F8F" w:rsidRDefault="006D1DFA" w14:paraId="04C5BBA6" w14:textId="24635529">
            <w:pPr>
              <w:overflowPunct w:val="0"/>
              <w:autoSpaceDE w:val="0"/>
              <w:autoSpaceDN w:val="0"/>
              <w:adjustRightInd w:val="0"/>
              <w:textAlignment w:val="baseline"/>
            </w:pPr>
            <w:r>
              <w:t>Dovilė JUODKAITĖ (Grupo de Organizaciones de la Sociedad Civil – LT)</w:t>
            </w:r>
          </w:p>
        </w:tc>
      </w:tr>
      <w:tr w:rsidRPr="006D1DFA" w:rsidR="006D1DFA" w:rsidTr="00BE1F8F" w14:paraId="51A5C160" w14:textId="77777777">
        <w:tc>
          <w:tcPr>
            <w:tcW w:w="1834" w:type="dxa"/>
          </w:tcPr>
          <w:p w:rsidRPr="006D1DFA" w:rsidR="006D1DFA" w:rsidP="00BE1F8F" w:rsidRDefault="006D1DFA" w14:paraId="1546DA25" w14:textId="07B5C059">
            <w:pPr>
              <w:tabs>
                <w:tab w:val="center" w:pos="284"/>
              </w:tabs>
              <w:overflowPunct w:val="0"/>
              <w:autoSpaceDE w:val="0"/>
              <w:autoSpaceDN w:val="0"/>
              <w:adjustRightInd w:val="0"/>
              <w:ind w:left="567" w:hanging="567"/>
              <w:textAlignment w:val="baseline"/>
              <w:rPr>
                <w:b/>
              </w:rPr>
            </w:pPr>
            <w:r>
              <w:rPr>
                <w:b/>
              </w:rPr>
              <w:t>Referencia</w:t>
            </w:r>
          </w:p>
        </w:tc>
        <w:tc>
          <w:tcPr>
            <w:tcW w:w="7488" w:type="dxa"/>
          </w:tcPr>
          <w:p w:rsidRPr="00C43D3E" w:rsidR="00C87D91" w:rsidP="00BE1F8F" w:rsidRDefault="00C87D91" w14:paraId="4F80F6D2" w14:textId="5951F9F7">
            <w:pPr>
              <w:tabs>
                <w:tab w:val="center" w:pos="284"/>
              </w:tabs>
              <w:overflowPunct w:val="0"/>
              <w:autoSpaceDE w:val="0"/>
              <w:autoSpaceDN w:val="0"/>
              <w:adjustRightInd w:val="0"/>
              <w:ind w:left="567" w:hanging="567"/>
              <w:textAlignment w:val="baseline"/>
            </w:pPr>
            <w:r>
              <w:t>Dictamen de iniciativa</w:t>
            </w:r>
          </w:p>
          <w:p w:rsidRPr="00C43D3E" w:rsidR="006D1DFA" w:rsidP="00BE1F8F" w:rsidRDefault="006D1DFA" w14:paraId="5A2B7EA1" w14:textId="6B30F056">
            <w:pPr>
              <w:tabs>
                <w:tab w:val="center" w:pos="284"/>
              </w:tabs>
              <w:overflowPunct w:val="0"/>
              <w:autoSpaceDE w:val="0"/>
              <w:autoSpaceDN w:val="0"/>
              <w:adjustRightInd w:val="0"/>
              <w:ind w:left="567" w:hanging="567"/>
              <w:textAlignment w:val="baseline"/>
            </w:pPr>
            <w:r>
              <w:t>EESC-2024-01831-00-00-AC</w:t>
            </w:r>
          </w:p>
        </w:tc>
      </w:tr>
    </w:tbl>
    <w:p w:rsidRPr="003F3737" w:rsidR="0083181F" w:rsidP="00BE1F8F" w:rsidRDefault="0083181F" w14:paraId="2171E13E" w14:textId="77777777">
      <w:pPr>
        <w:keepNext/>
        <w:keepLines/>
        <w:tabs>
          <w:tab w:val="center" w:pos="284"/>
        </w:tabs>
        <w:overflowPunct w:val="0"/>
        <w:autoSpaceDE w:val="0"/>
        <w:autoSpaceDN w:val="0"/>
        <w:adjustRightInd w:val="0"/>
        <w:ind w:left="266" w:hanging="266"/>
        <w:textAlignment w:val="baseline"/>
        <w:rPr>
          <w:b/>
          <w:lang w:val="en-GB"/>
        </w:rPr>
      </w:pPr>
    </w:p>
    <w:p w:rsidRPr="006D1DFA" w:rsidR="006D1DFA" w:rsidP="00BE1F8F" w:rsidRDefault="006D1DFA" w14:paraId="5EF86660" w14:textId="2D834EC7">
      <w:pPr>
        <w:keepNext/>
        <w:keepLines/>
        <w:tabs>
          <w:tab w:val="center" w:pos="284"/>
        </w:tabs>
        <w:overflowPunct w:val="0"/>
        <w:autoSpaceDE w:val="0"/>
        <w:autoSpaceDN w:val="0"/>
        <w:adjustRightInd w:val="0"/>
        <w:ind w:left="266" w:hanging="266"/>
        <w:textAlignment w:val="baseline"/>
        <w:rPr>
          <w:b/>
        </w:rPr>
      </w:pPr>
      <w:r>
        <w:rPr>
          <w:b/>
        </w:rPr>
        <w:t>Puntos clave</w:t>
      </w:r>
    </w:p>
    <w:p w:rsidRPr="003F3737" w:rsidR="006D1DFA" w:rsidP="00BE1F8F" w:rsidRDefault="006D1DFA" w14:paraId="7A7C5D4B" w14:textId="77777777">
      <w:pPr>
        <w:overflowPunct w:val="0"/>
        <w:autoSpaceDE w:val="0"/>
        <w:autoSpaceDN w:val="0"/>
        <w:adjustRightInd w:val="0"/>
        <w:textAlignment w:val="baseline"/>
        <w:rPr>
          <w:lang w:val="en-GB"/>
        </w:rPr>
      </w:pPr>
    </w:p>
    <w:p w:rsidR="006D1DFA" w:rsidP="00BE1F8F" w:rsidRDefault="006D1DFA" w14:paraId="10140015" w14:textId="77777777">
      <w:pPr>
        <w:overflowPunct w:val="0"/>
        <w:autoSpaceDE w:val="0"/>
        <w:autoSpaceDN w:val="0"/>
        <w:adjustRightInd w:val="0"/>
        <w:textAlignment w:val="baseline"/>
        <w:rPr>
          <w:szCs w:val="20"/>
        </w:rPr>
      </w:pPr>
      <w:r>
        <w:t>El CESE:</w:t>
      </w:r>
    </w:p>
    <w:p w:rsidRPr="006D1DFA" w:rsidR="006D1DFA" w:rsidP="00BE1F8F" w:rsidRDefault="006D1DFA" w14:paraId="6A53E697" w14:textId="77777777">
      <w:pPr>
        <w:numPr>
          <w:ilvl w:val="0"/>
          <w:numId w:val="24"/>
        </w:numPr>
        <w:overflowPunct w:val="0"/>
        <w:autoSpaceDE w:val="0"/>
        <w:autoSpaceDN w:val="0"/>
        <w:adjustRightInd w:val="0"/>
        <w:ind w:left="284" w:hanging="284"/>
        <w:contextualSpacing/>
        <w:textAlignment w:val="baseline"/>
      </w:pPr>
      <w:r>
        <w:t>recuerda que la violencia contra las mujeres y las niñas constituye una vulneración de los derechos humanos y una de las formas más persistentes de discriminación por razones de sexo. pide que se promueva en todos los Estados miembros, y por parte de la propia UE, la ratificación y aplicación tanto del Convenio n.º 190 de la Organización Internacional del Trabajo (OIT) sobre la violencia y el acoso (en particular, su Recomendación n.º 206) como del Convenio del Consejo de Europa sobre prevención y lucha contra la violencia contra las mujeres y la violencia doméstica (Convenio de Estambul);</w:t>
      </w:r>
    </w:p>
    <w:p w:rsidRPr="006D1DFA" w:rsidR="006D1DFA" w:rsidP="00BE1F8F" w:rsidRDefault="006D1DFA" w14:paraId="2FC21B34" w14:textId="77777777">
      <w:pPr>
        <w:numPr>
          <w:ilvl w:val="0"/>
          <w:numId w:val="24"/>
        </w:numPr>
        <w:overflowPunct w:val="0"/>
        <w:autoSpaceDE w:val="0"/>
        <w:autoSpaceDN w:val="0"/>
        <w:adjustRightInd w:val="0"/>
        <w:ind w:left="284" w:hanging="284"/>
        <w:contextualSpacing/>
        <w:textAlignment w:val="baseline"/>
      </w:pPr>
      <w:r>
        <w:t>considera que la Directiva (UE) 2024/1385 sobre la lucha contra la violencia contra las mujeres y la violencia doméstica debe abordar todas las formas de violencia contra las mujeres, como la violencia institucional, la prostitución, la explotación y el lucro pornográficos, la explotación reproductiva, la violencia vicaria, la sumisión química y el acoso callejero, así como el acoso sexual y por razones de género o la esterilización forzada de mujeres con discapacidad, entre otras;</w:t>
      </w:r>
    </w:p>
    <w:p w:rsidRPr="006D1DFA" w:rsidR="006D1DFA" w:rsidP="00BE1F8F" w:rsidRDefault="006D1DFA" w14:paraId="449A6664" w14:textId="77777777">
      <w:pPr>
        <w:numPr>
          <w:ilvl w:val="0"/>
          <w:numId w:val="24"/>
        </w:numPr>
        <w:overflowPunct w:val="0"/>
        <w:autoSpaceDE w:val="0"/>
        <w:autoSpaceDN w:val="0"/>
        <w:adjustRightInd w:val="0"/>
        <w:ind w:left="284" w:hanging="284"/>
        <w:contextualSpacing/>
        <w:textAlignment w:val="baseline"/>
      </w:pPr>
      <w:r>
        <w:t>pide que dicha Directiva aborde la violencia sexual y la violación como formas de violencia, que deben tipificarse como delitos siempre que no medie consentimiento. Es necesario establecer una definición de «consentimiento» en el ámbito de la violencia sexual. La violencia de género, incluida la violación, debe añadirse a la lista de «eurodelitos» a que se hace referencia en el artículo 83, apartado 1, del TFUE;</w:t>
      </w:r>
    </w:p>
    <w:p w:rsidRPr="006D1DFA" w:rsidR="006D1DFA" w:rsidP="00BE1F8F" w:rsidRDefault="006D1DFA" w14:paraId="7256F59F" w14:textId="77777777">
      <w:pPr>
        <w:numPr>
          <w:ilvl w:val="0"/>
          <w:numId w:val="24"/>
        </w:numPr>
        <w:overflowPunct w:val="0"/>
        <w:autoSpaceDE w:val="0"/>
        <w:autoSpaceDN w:val="0"/>
        <w:adjustRightInd w:val="0"/>
        <w:ind w:left="284" w:hanging="284"/>
        <w:contextualSpacing/>
        <w:textAlignment w:val="baseline"/>
      </w:pPr>
      <w:r>
        <w:t xml:space="preserve">manifiesta su preocupación por que la violencia física, psicológica y sexual, que constituyen elementos consustanciales a la prostitución, no se hayan incluido como una forma de violencia contra las mujeres, al igual que las restricciones a la interrupción voluntaria, libre y segura del embarazo; </w:t>
      </w:r>
    </w:p>
    <w:p w:rsidRPr="006D1DFA" w:rsidR="006D1DFA" w:rsidP="00BE1F8F" w:rsidRDefault="006D1DFA" w14:paraId="0D19D92A" w14:textId="77777777">
      <w:pPr>
        <w:numPr>
          <w:ilvl w:val="0"/>
          <w:numId w:val="24"/>
        </w:numPr>
        <w:overflowPunct w:val="0"/>
        <w:autoSpaceDE w:val="0"/>
        <w:autoSpaceDN w:val="0"/>
        <w:adjustRightInd w:val="0"/>
        <w:ind w:left="284" w:hanging="284"/>
        <w:contextualSpacing/>
        <w:textAlignment w:val="baseline"/>
      </w:pPr>
      <w:r>
        <w:t>subraya que cualquier tipo de violencia contra las mujeres constituye un importante problema de salud pública y clínica; al mismo tiempo, pone de relieve la discriminación múltiple e interseccional que sufren las mujeres con discapacidad, en particular las mujeres que padecen trastornos de salud mental y discapacidades psicosociales o intelectuales, y pide que esta forma de violencia se contemple como un problema de salud pública con consecuencias a largo plazo. También pide que se recaben datos desglosados por discapacidad;</w:t>
      </w:r>
    </w:p>
    <w:p w:rsidRPr="006D1DFA" w:rsidR="006D1DFA" w:rsidP="00BE1F8F" w:rsidRDefault="006D1DFA" w14:paraId="33ACD23C" w14:textId="77777777">
      <w:pPr>
        <w:numPr>
          <w:ilvl w:val="0"/>
          <w:numId w:val="24"/>
        </w:numPr>
        <w:overflowPunct w:val="0"/>
        <w:autoSpaceDE w:val="0"/>
        <w:autoSpaceDN w:val="0"/>
        <w:adjustRightInd w:val="0"/>
        <w:ind w:left="284" w:hanging="284"/>
        <w:contextualSpacing/>
        <w:textAlignment w:val="baseline"/>
      </w:pPr>
      <w:r>
        <w:t>expresa su profunda preocupación por las opiniones que niegan la violencia contra las mujeres como forma específica de violencia debida a su condición de mujeres, atentando así contra los valores y principios consagrados en el artículo 2 del TFUE. Considera que la educación —incluida la educación sexual— desempeña un papel fundamental en la configuración de los roles y estereotipos de género, por lo que pide la integración de la comunidad educativa, las organizaciones de la sociedad civil y los interlocutores sociales en la cooperación institucional destinada a prevenir y combatir la violencia de género;</w:t>
      </w:r>
    </w:p>
    <w:p w:rsidRPr="00C43D3E" w:rsidR="006D1DFA" w:rsidP="00BE1F8F" w:rsidRDefault="006D1DFA" w14:paraId="080A278F" w14:textId="77777777">
      <w:pPr>
        <w:numPr>
          <w:ilvl w:val="0"/>
          <w:numId w:val="24"/>
        </w:numPr>
        <w:overflowPunct w:val="0"/>
        <w:autoSpaceDE w:val="0"/>
        <w:autoSpaceDN w:val="0"/>
        <w:adjustRightInd w:val="0"/>
        <w:ind w:left="284" w:hanging="284"/>
        <w:contextualSpacing/>
        <w:textAlignment w:val="baseline"/>
        <w:rPr>
          <w:rFonts w:ascii="Calibri" w:hAnsi="Calibri"/>
        </w:rPr>
      </w:pPr>
      <w:r>
        <w:lastRenderedPageBreak/>
        <w:t>pide medidas específicas en el marco del diálogo social, la negociación colectiva y las negociaciones necesarias con los interlocutores sociales para impulsar el empleo y promover la empleabilidad de las víctimas de violencia de género.</w:t>
      </w:r>
    </w:p>
    <w:p w:rsidRPr="003F3737" w:rsidR="0083181F" w:rsidP="00BE1F8F" w:rsidRDefault="0083181F" w14:paraId="1D0159F4" w14:textId="77777777">
      <w:pPr>
        <w:overflowPunct w:val="0"/>
        <w:autoSpaceDE w:val="0"/>
        <w:autoSpaceDN w:val="0"/>
        <w:adjustRightInd w:val="0"/>
        <w:ind w:left="360"/>
        <w:contextualSpacing/>
        <w:textAlignment w:val="baseline"/>
        <w:rPr>
          <w:rFonts w:ascii="Calibri" w:hAnsi="Calibri"/>
          <w:lang w:val="en-GB" w:eastAsia="zh-CN"/>
        </w:rPr>
      </w:pPr>
    </w:p>
    <w:tbl>
      <w:tblPr>
        <w:tblW w:w="5000" w:type="pct"/>
        <w:tblLook w:val="04A0" w:firstRow="1" w:lastRow="0" w:firstColumn="1" w:lastColumn="0" w:noHBand="0" w:noVBand="1"/>
      </w:tblPr>
      <w:tblGrid>
        <w:gridCol w:w="2234"/>
        <w:gridCol w:w="7053"/>
      </w:tblGrid>
      <w:tr w:rsidRPr="006D1DFA" w:rsidR="006D1DFA" w:rsidTr="003F3737" w14:paraId="4A8CFBCD" w14:textId="77777777">
        <w:trPr>
          <w:trHeight w:val="60"/>
        </w:trPr>
        <w:tc>
          <w:tcPr>
            <w:tcW w:w="1203" w:type="pct"/>
            <w:hideMark/>
          </w:tcPr>
          <w:p w:rsidRPr="006D1DFA" w:rsidR="006D1DFA" w:rsidP="00BE1F8F" w:rsidRDefault="006D1DFA" w14:paraId="089C51AC" w14:textId="77777777">
            <w:pPr>
              <w:overflowPunct w:val="0"/>
              <w:autoSpaceDE w:val="0"/>
              <w:autoSpaceDN w:val="0"/>
              <w:adjustRightInd w:val="0"/>
              <w:textAlignment w:val="baseline"/>
              <w:rPr>
                <w:i/>
              </w:rPr>
            </w:pPr>
            <w:r>
              <w:rPr>
                <w:b/>
                <w:i/>
              </w:rPr>
              <w:t>Contacto:</w:t>
            </w:r>
          </w:p>
        </w:tc>
        <w:tc>
          <w:tcPr>
            <w:tcW w:w="3797" w:type="pct"/>
            <w:hideMark/>
          </w:tcPr>
          <w:p w:rsidRPr="006D1DFA" w:rsidR="006D1DFA" w:rsidP="00BE1F8F" w:rsidRDefault="006D1DFA" w14:paraId="6FF5FA37" w14:textId="11C6C549">
            <w:pPr>
              <w:overflowPunct w:val="0"/>
              <w:autoSpaceDE w:val="0"/>
              <w:autoSpaceDN w:val="0"/>
              <w:adjustRightInd w:val="0"/>
              <w:textAlignment w:val="baseline"/>
              <w:rPr>
                <w:i/>
                <w:iCs/>
              </w:rPr>
            </w:pPr>
            <w:r>
              <w:rPr>
                <w:i/>
              </w:rPr>
              <w:t>Gabriela Grasu</w:t>
            </w:r>
          </w:p>
        </w:tc>
      </w:tr>
      <w:tr w:rsidRPr="006D1DFA" w:rsidR="006D1DFA" w:rsidTr="003F3737" w14:paraId="77817741" w14:textId="77777777">
        <w:tc>
          <w:tcPr>
            <w:tcW w:w="1203" w:type="pct"/>
            <w:hideMark/>
          </w:tcPr>
          <w:p w:rsidRPr="006D1DFA" w:rsidR="006D1DFA" w:rsidP="00BE1F8F" w:rsidRDefault="006D1DFA" w14:paraId="1DA4D000" w14:textId="77777777">
            <w:pPr>
              <w:overflowPunct w:val="0"/>
              <w:autoSpaceDE w:val="0"/>
              <w:autoSpaceDN w:val="0"/>
              <w:adjustRightInd w:val="0"/>
              <w:textAlignment w:val="baseline"/>
              <w:rPr>
                <w:i/>
              </w:rPr>
            </w:pPr>
            <w:r>
              <w:rPr>
                <w:i/>
              </w:rPr>
              <w:t>Teléfono:</w:t>
            </w:r>
          </w:p>
        </w:tc>
        <w:tc>
          <w:tcPr>
            <w:tcW w:w="3797" w:type="pct"/>
            <w:hideMark/>
          </w:tcPr>
          <w:p w:rsidRPr="006D1DFA" w:rsidR="006D1DFA" w:rsidP="00BE1F8F" w:rsidRDefault="006D1DFA" w14:paraId="56CC5263" w14:textId="77777777">
            <w:pPr>
              <w:overflowPunct w:val="0"/>
              <w:autoSpaceDE w:val="0"/>
              <w:autoSpaceDN w:val="0"/>
              <w:adjustRightInd w:val="0"/>
              <w:textAlignment w:val="baseline"/>
              <w:rPr>
                <w:i/>
              </w:rPr>
            </w:pPr>
            <w:r>
              <w:rPr>
                <w:i/>
              </w:rPr>
              <w:t>+32 25469162</w:t>
            </w:r>
          </w:p>
        </w:tc>
      </w:tr>
      <w:tr w:rsidRPr="006D1DFA" w:rsidR="006D1DFA" w:rsidTr="003F3737" w14:paraId="6F84E5BA" w14:textId="77777777">
        <w:tc>
          <w:tcPr>
            <w:tcW w:w="1203" w:type="pct"/>
            <w:hideMark/>
          </w:tcPr>
          <w:p w:rsidRPr="006D1DFA" w:rsidR="006D1DFA" w:rsidP="00BE1F8F" w:rsidRDefault="006D1DFA" w14:paraId="3CC8E9E8" w14:textId="77777777">
            <w:pPr>
              <w:overflowPunct w:val="0"/>
              <w:autoSpaceDE w:val="0"/>
              <w:autoSpaceDN w:val="0"/>
              <w:adjustRightInd w:val="0"/>
              <w:textAlignment w:val="baseline"/>
              <w:rPr>
                <w:i/>
              </w:rPr>
            </w:pPr>
            <w:r>
              <w:rPr>
                <w:i/>
              </w:rPr>
              <w:t>Correo electrónico:</w:t>
            </w:r>
          </w:p>
        </w:tc>
        <w:tc>
          <w:tcPr>
            <w:tcW w:w="3797" w:type="pct"/>
            <w:hideMark/>
          </w:tcPr>
          <w:p w:rsidRPr="006D1DFA" w:rsidR="006D1DFA" w:rsidP="00BE1F8F" w:rsidRDefault="00593CA8" w14:paraId="02C23556" w14:textId="4AC0EB0F">
            <w:pPr>
              <w:overflowPunct w:val="0"/>
              <w:autoSpaceDE w:val="0"/>
              <w:autoSpaceDN w:val="0"/>
              <w:adjustRightInd w:val="0"/>
              <w:textAlignment w:val="baseline"/>
              <w:rPr>
                <w:i/>
              </w:rPr>
            </w:pPr>
            <w:hyperlink w:history="1" r:id="rId32">
              <w:r w:rsidR="001C131E">
                <w:rPr>
                  <w:i/>
                  <w:color w:val="0000FF"/>
                  <w:u w:val="single"/>
                </w:rPr>
                <w:t>Grasu.Gabriela@eesc.europa.eu</w:t>
              </w:r>
            </w:hyperlink>
          </w:p>
        </w:tc>
      </w:tr>
    </w:tbl>
    <w:p w:rsidR="00E14D8E" w:rsidP="00BE1F8F" w:rsidRDefault="00E14D8E" w14:paraId="7F936985" w14:textId="77777777">
      <w:pPr>
        <w:jc w:val="left"/>
      </w:pPr>
      <w:r>
        <w:br w:type="page"/>
      </w:r>
    </w:p>
    <w:p w:rsidRPr="001826A4" w:rsidR="00910C90" w:rsidP="009B596B" w:rsidRDefault="00593CA8" w14:paraId="6D8670E5" w14:textId="28540015">
      <w:pPr>
        <w:widowControl w:val="0"/>
        <w:numPr>
          <w:ilvl w:val="0"/>
          <w:numId w:val="10"/>
        </w:numPr>
        <w:overflowPunct w:val="0"/>
        <w:autoSpaceDE w:val="0"/>
        <w:autoSpaceDN w:val="0"/>
        <w:adjustRightInd w:val="0"/>
        <w:ind w:left="567" w:hanging="567"/>
        <w:textAlignment w:val="baseline"/>
        <w:rPr>
          <w:sz w:val="24"/>
          <w:szCs w:val="24"/>
        </w:rPr>
      </w:pPr>
      <w:hyperlink w:history="1" r:id="rId33">
        <w:r w:rsidR="001C131E">
          <w:rPr>
            <w:b/>
            <w:i/>
            <w:color w:val="0000FF"/>
            <w:sz w:val="28"/>
            <w:u w:val="single"/>
          </w:rPr>
          <w:t>Contribución del CESE a las prioridades de la UE en la CSW 69 de las Naciones Unidas</w:t>
        </w:r>
      </w:hyperlink>
    </w:p>
    <w:p w:rsidRPr="00910C90" w:rsidR="00910C90" w:rsidP="00BE1F8F" w:rsidRDefault="00910C90" w14:paraId="59A5F3E8"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479"/>
      </w:tblGrid>
      <w:tr w:rsidRPr="00910C90" w:rsidR="00910C90" w:rsidTr="00BE1F8F" w14:paraId="465F2FF7" w14:textId="77777777">
        <w:tc>
          <w:tcPr>
            <w:tcW w:w="1701" w:type="dxa"/>
          </w:tcPr>
          <w:p w:rsidRPr="00910C90" w:rsidR="00910C90" w:rsidP="00BE1F8F" w:rsidRDefault="00910C90" w14:paraId="4E8AE8B7" w14:textId="77777777">
            <w:pPr>
              <w:tabs>
                <w:tab w:val="center" w:pos="284"/>
              </w:tabs>
              <w:overflowPunct w:val="0"/>
              <w:autoSpaceDE w:val="0"/>
              <w:autoSpaceDN w:val="0"/>
              <w:adjustRightInd w:val="0"/>
              <w:ind w:left="266" w:hanging="266"/>
              <w:textAlignment w:val="baseline"/>
              <w:rPr>
                <w:b/>
              </w:rPr>
            </w:pPr>
            <w:r>
              <w:rPr>
                <w:b/>
              </w:rPr>
              <w:t>Ponente</w:t>
            </w:r>
          </w:p>
        </w:tc>
        <w:tc>
          <w:tcPr>
            <w:tcW w:w="7479" w:type="dxa"/>
          </w:tcPr>
          <w:p w:rsidRPr="00910C90" w:rsidR="00910C90" w:rsidP="00BE1F8F" w:rsidRDefault="00910C90" w14:paraId="420EA1BA" w14:textId="3993E2B2">
            <w:pPr>
              <w:tabs>
                <w:tab w:val="center" w:pos="284"/>
              </w:tabs>
              <w:overflowPunct w:val="0"/>
              <w:autoSpaceDE w:val="0"/>
              <w:autoSpaceDN w:val="0"/>
              <w:adjustRightInd w:val="0"/>
              <w:ind w:left="266" w:hanging="266"/>
              <w:textAlignment w:val="baseline"/>
            </w:pPr>
            <w:r>
              <w:t>Maria NIKOLOPOULOU (Grupo de Trabajadores – ES)</w:t>
            </w:r>
          </w:p>
        </w:tc>
      </w:tr>
      <w:tr w:rsidRPr="00910C90" w:rsidR="00910C90" w:rsidTr="00BE1F8F" w14:paraId="417FB600" w14:textId="77777777">
        <w:tc>
          <w:tcPr>
            <w:tcW w:w="1701" w:type="dxa"/>
            <w:vMerge w:val="restart"/>
          </w:tcPr>
          <w:p w:rsidRPr="00910C90" w:rsidR="00910C90" w:rsidP="00BE1F8F" w:rsidRDefault="00910C90" w14:paraId="41736237" w14:textId="62A0C54F">
            <w:pPr>
              <w:tabs>
                <w:tab w:val="center" w:pos="284"/>
              </w:tabs>
              <w:overflowPunct w:val="0"/>
              <w:autoSpaceDE w:val="0"/>
              <w:autoSpaceDN w:val="0"/>
              <w:adjustRightInd w:val="0"/>
              <w:ind w:left="266" w:hanging="266"/>
              <w:textAlignment w:val="baseline"/>
              <w:rPr>
                <w:b/>
              </w:rPr>
            </w:pPr>
            <w:r>
              <w:rPr>
                <w:b/>
              </w:rPr>
              <w:t>Referencia</w:t>
            </w:r>
          </w:p>
        </w:tc>
        <w:tc>
          <w:tcPr>
            <w:tcW w:w="7479" w:type="dxa"/>
          </w:tcPr>
          <w:p w:rsidRPr="00910C90" w:rsidR="00910C90" w:rsidP="00BE1F8F" w:rsidRDefault="00910C90" w14:paraId="028B9FD7" w14:textId="77777777">
            <w:pPr>
              <w:tabs>
                <w:tab w:val="center" w:pos="284"/>
              </w:tabs>
              <w:overflowPunct w:val="0"/>
              <w:autoSpaceDE w:val="0"/>
              <w:autoSpaceDN w:val="0"/>
              <w:adjustRightInd w:val="0"/>
              <w:ind w:left="266" w:hanging="266"/>
              <w:textAlignment w:val="baseline"/>
            </w:pPr>
            <w:r>
              <w:t>Dictamen de iniciativa</w:t>
            </w:r>
          </w:p>
        </w:tc>
      </w:tr>
      <w:tr w:rsidRPr="00910C90" w:rsidR="00910C90" w:rsidTr="00BE1F8F" w14:paraId="08D488E3" w14:textId="77777777">
        <w:tc>
          <w:tcPr>
            <w:tcW w:w="1701" w:type="dxa"/>
            <w:vMerge/>
          </w:tcPr>
          <w:p w:rsidRPr="00910C90" w:rsidR="00910C90" w:rsidP="00BE1F8F" w:rsidRDefault="00910C90" w14:paraId="5B75EF00" w14:textId="77777777">
            <w:pPr>
              <w:tabs>
                <w:tab w:val="center" w:pos="284"/>
              </w:tabs>
              <w:overflowPunct w:val="0"/>
              <w:autoSpaceDE w:val="0"/>
              <w:autoSpaceDN w:val="0"/>
              <w:adjustRightInd w:val="0"/>
              <w:ind w:left="266" w:hanging="266"/>
              <w:textAlignment w:val="baseline"/>
              <w:rPr>
                <w:b/>
                <w:lang w:val="en-GB"/>
              </w:rPr>
            </w:pPr>
          </w:p>
        </w:tc>
        <w:tc>
          <w:tcPr>
            <w:tcW w:w="7479" w:type="dxa"/>
          </w:tcPr>
          <w:p w:rsidRPr="00910C90" w:rsidR="00910C90" w:rsidP="00BE1F8F" w:rsidRDefault="00910C90" w14:paraId="565EAB0A" w14:textId="77777777">
            <w:pPr>
              <w:tabs>
                <w:tab w:val="center" w:pos="284"/>
              </w:tabs>
              <w:overflowPunct w:val="0"/>
              <w:autoSpaceDE w:val="0"/>
              <w:autoSpaceDN w:val="0"/>
              <w:adjustRightInd w:val="0"/>
              <w:ind w:left="266" w:hanging="266"/>
              <w:textAlignment w:val="baseline"/>
            </w:pPr>
            <w:r>
              <w:t>EESC-2024-03990-00-00-AC</w:t>
            </w:r>
          </w:p>
        </w:tc>
      </w:tr>
    </w:tbl>
    <w:p w:rsidRPr="00910C90" w:rsidR="00910C90" w:rsidP="00BE1F8F" w:rsidRDefault="00910C90" w14:paraId="5C940F4E" w14:textId="77777777">
      <w:pPr>
        <w:keepNext/>
        <w:keepLines/>
        <w:tabs>
          <w:tab w:val="center" w:pos="284"/>
        </w:tabs>
        <w:overflowPunct w:val="0"/>
        <w:autoSpaceDE w:val="0"/>
        <w:autoSpaceDN w:val="0"/>
        <w:adjustRightInd w:val="0"/>
        <w:ind w:left="266" w:hanging="266"/>
        <w:textAlignment w:val="baseline"/>
        <w:rPr>
          <w:b/>
          <w:lang w:val="en-GB"/>
        </w:rPr>
      </w:pPr>
    </w:p>
    <w:p w:rsidRPr="00910C90" w:rsidR="00910C90" w:rsidP="00BE1F8F" w:rsidRDefault="00910C90" w14:paraId="371C0EEF" w14:textId="4AB8EF1C">
      <w:pPr>
        <w:keepNext/>
        <w:keepLines/>
        <w:tabs>
          <w:tab w:val="center" w:pos="284"/>
        </w:tabs>
        <w:overflowPunct w:val="0"/>
        <w:autoSpaceDE w:val="0"/>
        <w:autoSpaceDN w:val="0"/>
        <w:adjustRightInd w:val="0"/>
        <w:ind w:left="266" w:hanging="266"/>
        <w:textAlignment w:val="baseline"/>
        <w:rPr>
          <w:b/>
        </w:rPr>
      </w:pPr>
      <w:r>
        <w:rPr>
          <w:b/>
        </w:rPr>
        <w:t>Puntos clave</w:t>
      </w:r>
    </w:p>
    <w:p w:rsidRPr="00910C90" w:rsidR="00910C90" w:rsidP="00BE1F8F" w:rsidRDefault="00910C90" w14:paraId="4A75BA5E" w14:textId="77777777">
      <w:pPr>
        <w:keepNext/>
        <w:keepLines/>
        <w:tabs>
          <w:tab w:val="center" w:pos="284"/>
        </w:tabs>
        <w:overflowPunct w:val="0"/>
        <w:autoSpaceDE w:val="0"/>
        <w:autoSpaceDN w:val="0"/>
        <w:adjustRightInd w:val="0"/>
        <w:ind w:left="266" w:hanging="266"/>
        <w:textAlignment w:val="baseline"/>
        <w:rPr>
          <w:b/>
          <w:lang w:val="en-GB"/>
        </w:rPr>
      </w:pPr>
    </w:p>
    <w:p w:rsidR="00910C90" w:rsidP="00BE1F8F" w:rsidRDefault="00910C90" w14:paraId="217B964C" w14:textId="77777777">
      <w:pPr>
        <w:overflowPunct w:val="0"/>
        <w:autoSpaceDE w:val="0"/>
        <w:autoSpaceDN w:val="0"/>
        <w:adjustRightInd w:val="0"/>
        <w:textAlignment w:val="baseline"/>
        <w:rPr>
          <w:bCs/>
          <w:iCs/>
        </w:rPr>
      </w:pPr>
      <w:r>
        <w:t>El CESE:</w:t>
      </w:r>
    </w:p>
    <w:p w:rsidRPr="00910C90" w:rsidR="00910C90" w:rsidP="00BE1F8F" w:rsidRDefault="00910C90" w14:paraId="1D41958A" w14:textId="77777777">
      <w:pPr>
        <w:widowControl w:val="0"/>
        <w:numPr>
          <w:ilvl w:val="0"/>
          <w:numId w:val="26"/>
        </w:numPr>
        <w:overflowPunct w:val="0"/>
        <w:autoSpaceDE w:val="0"/>
        <w:autoSpaceDN w:val="0"/>
        <w:adjustRightInd w:val="0"/>
        <w:ind w:left="284" w:hanging="284"/>
        <w:textAlignment w:val="baseline"/>
      </w:pPr>
      <w:r>
        <w:t>insta a la UE y a los Estados miembros a que aumenten el ritmo de progreso en materia de igualdad de género, sean más ambiciosos, hagan oír sus denuncias de la reducción del espacio para la sociedad civil e impidan cualquier reacción negativa contra los derechos de las mujeres, que están siendo objeto de ataques, en particular por parte de partidos políticos de extrema derecha;</w:t>
      </w:r>
    </w:p>
    <w:p w:rsidRPr="00910C90" w:rsidR="00910C90" w:rsidP="00BE1F8F" w:rsidRDefault="00910C90" w14:paraId="78127DE3" w14:textId="77777777">
      <w:pPr>
        <w:widowControl w:val="0"/>
        <w:numPr>
          <w:ilvl w:val="0"/>
          <w:numId w:val="26"/>
        </w:numPr>
        <w:overflowPunct w:val="0"/>
        <w:autoSpaceDE w:val="0"/>
        <w:autoSpaceDN w:val="0"/>
        <w:adjustRightInd w:val="0"/>
        <w:ind w:left="284" w:hanging="284"/>
        <w:textAlignment w:val="baseline"/>
      </w:pPr>
      <w:r>
        <w:t>propone que la UE, los Estados miembros y los partidos políticos se comprometan a atraer a las mujeres a la política, entre otras cosas considerando medidas encaminadas a fomentar la elección y el nombramiento de mujeres para puestos clave, como cuotas, listas cremallera, copresidencias, mandatos divididos y propuestas de candidatura tanto masculinas como femeninas;</w:t>
      </w:r>
    </w:p>
    <w:p w:rsidRPr="00910C90" w:rsidR="00910C90" w:rsidP="00BE1F8F" w:rsidRDefault="00910C90" w14:paraId="7874547D" w14:textId="77777777">
      <w:pPr>
        <w:widowControl w:val="0"/>
        <w:numPr>
          <w:ilvl w:val="0"/>
          <w:numId w:val="26"/>
        </w:numPr>
        <w:overflowPunct w:val="0"/>
        <w:autoSpaceDE w:val="0"/>
        <w:autoSpaceDN w:val="0"/>
        <w:adjustRightInd w:val="0"/>
        <w:ind w:left="284" w:hanging="284"/>
        <w:contextualSpacing/>
        <w:textAlignment w:val="baseline"/>
      </w:pPr>
      <w:r>
        <w:t xml:space="preserve">insta a todos los Estados miembros a que asignen recursos suficientes a sus planes de acción nacionales para poner fin a la violencia contra las mujeres y a que los diseñen en consulta con las organizaciones de la sociedad civil; pide más medidas para abordar la violencia en línea y económica, velar por la salud física y mental de las mujeres y garantizar el respeto de la integridad y los derechos sexuales y reproductivos de las mujeres; </w:t>
      </w:r>
    </w:p>
    <w:p w:rsidRPr="00910C90" w:rsidR="00910C90" w:rsidP="00BE1F8F" w:rsidRDefault="00910C90" w14:paraId="21DA3653" w14:textId="77777777">
      <w:pPr>
        <w:widowControl w:val="0"/>
        <w:numPr>
          <w:ilvl w:val="0"/>
          <w:numId w:val="26"/>
        </w:numPr>
        <w:overflowPunct w:val="0"/>
        <w:autoSpaceDE w:val="0"/>
        <w:autoSpaceDN w:val="0"/>
        <w:adjustRightInd w:val="0"/>
        <w:ind w:left="284" w:hanging="284"/>
        <w:contextualSpacing/>
        <w:textAlignment w:val="baseline"/>
      </w:pPr>
      <w:r>
        <w:t>considera que un marco de transición justa de la UE debe incluir un a estrategia en materia de capacidades para abordar las desigualdades de género preexistentes, teniendo en cuenta al mismo tiempo a las mujeres y las niñas del Sur Global y las zonas rurales, que se ven afectadas desproporcionadamente por la triple crisis planetaria;</w:t>
      </w:r>
    </w:p>
    <w:p w:rsidRPr="00910C90" w:rsidR="00910C90" w:rsidP="00BE1F8F" w:rsidRDefault="00910C90" w14:paraId="4B62CBD1" w14:textId="77777777">
      <w:pPr>
        <w:widowControl w:val="0"/>
        <w:numPr>
          <w:ilvl w:val="0"/>
          <w:numId w:val="26"/>
        </w:numPr>
        <w:overflowPunct w:val="0"/>
        <w:autoSpaceDE w:val="0"/>
        <w:autoSpaceDN w:val="0"/>
        <w:adjustRightInd w:val="0"/>
        <w:ind w:left="284" w:hanging="284"/>
        <w:contextualSpacing/>
        <w:textAlignment w:val="baseline"/>
      </w:pPr>
      <w:r>
        <w:t>pide que se colme la brecha digital de género y que se incluyan las perspectivas de las mujeres en el diseño, el desarrollo y la implantación de la inteligencia artificial (IA) y los algoritmos, a fin de garantizar una IA socialmente sensible e inclusiva;</w:t>
      </w:r>
    </w:p>
    <w:p w:rsidRPr="00910C90" w:rsidR="00910C90" w:rsidP="00BE1F8F" w:rsidRDefault="00910C90" w14:paraId="2831FD93" w14:textId="77777777">
      <w:pPr>
        <w:widowControl w:val="0"/>
        <w:numPr>
          <w:ilvl w:val="0"/>
          <w:numId w:val="26"/>
        </w:numPr>
        <w:overflowPunct w:val="0"/>
        <w:autoSpaceDE w:val="0"/>
        <w:autoSpaceDN w:val="0"/>
        <w:adjustRightInd w:val="0"/>
        <w:ind w:left="284" w:hanging="284"/>
        <w:contextualSpacing/>
        <w:textAlignment w:val="baseline"/>
      </w:pPr>
      <w:r>
        <w:t>pide medidas para colmar la brecha de género en las responsabilidades asistenciales no remuneradas y ayudar a las mujeres a permanecer en el mercado laboral, también proporcionando servicios sanitarios y asistenciales asequibles, accesibles y de calidad, así como redes de seguridad, con arreglo a las normas nacionales;</w:t>
      </w:r>
    </w:p>
    <w:p w:rsidRPr="00910C90" w:rsidR="00910C90" w:rsidP="00BE1F8F" w:rsidRDefault="00910C90" w14:paraId="20D9B26B" w14:textId="77777777">
      <w:pPr>
        <w:widowControl w:val="0"/>
        <w:numPr>
          <w:ilvl w:val="0"/>
          <w:numId w:val="26"/>
        </w:numPr>
        <w:overflowPunct w:val="0"/>
        <w:autoSpaceDE w:val="0"/>
        <w:autoSpaceDN w:val="0"/>
        <w:adjustRightInd w:val="0"/>
        <w:ind w:left="284" w:hanging="284"/>
        <w:contextualSpacing/>
        <w:textAlignment w:val="baseline"/>
      </w:pPr>
      <w:r>
        <w:t>pide una estrategia de la UE a largo plazo sólida y ambiciosa en materia de política exterior inclusiva que otorgue un lugar central a la igualdad de género, los derechos humanos, la diplomacia feminista y la justicia social;</w:t>
      </w:r>
    </w:p>
    <w:p w:rsidR="00910C90" w:rsidP="00BE1F8F" w:rsidRDefault="00910C90" w14:paraId="5A9E6752" w14:textId="77777777">
      <w:pPr>
        <w:widowControl w:val="0"/>
        <w:numPr>
          <w:ilvl w:val="0"/>
          <w:numId w:val="26"/>
        </w:numPr>
        <w:overflowPunct w:val="0"/>
        <w:autoSpaceDE w:val="0"/>
        <w:autoSpaceDN w:val="0"/>
        <w:adjustRightInd w:val="0"/>
        <w:ind w:left="284" w:hanging="284"/>
        <w:contextualSpacing/>
        <w:textAlignment w:val="baseline"/>
      </w:pPr>
      <w:r>
        <w:t>subraya la necesidad de disponer de más datos interseccionales desglosados por género para elaborar y hacer un seguimiento de las estrategias, de utilizar herramientas de presupuestación con perspectiva de género y de integrar una perspectiva de género en la política presupuestaria.</w:t>
      </w:r>
    </w:p>
    <w:p w:rsidRPr="00910C90" w:rsidR="008B7F9B" w:rsidP="00BE1F8F" w:rsidRDefault="008B7F9B" w14:paraId="0A0E47B6" w14:textId="77777777">
      <w:pPr>
        <w:widowControl w:val="0"/>
        <w:overflowPunct w:val="0"/>
        <w:autoSpaceDE w:val="0"/>
        <w:autoSpaceDN w:val="0"/>
        <w:adjustRightInd w:val="0"/>
        <w:contextualSpacing/>
        <w:textAlignment w:val="baseline"/>
        <w:rPr>
          <w:lang w:val="en-GB" w:eastAsia="zh-CN"/>
        </w:rPr>
      </w:pPr>
    </w:p>
    <w:tbl>
      <w:tblPr>
        <w:tblW w:w="0" w:type="auto"/>
        <w:tblLook w:val="04A0" w:firstRow="1" w:lastRow="0" w:firstColumn="1" w:lastColumn="0" w:noHBand="0" w:noVBand="1"/>
      </w:tblPr>
      <w:tblGrid>
        <w:gridCol w:w="2235"/>
        <w:gridCol w:w="6945"/>
      </w:tblGrid>
      <w:tr w:rsidRPr="00910C90" w:rsidR="00910C90" w:rsidTr="003F3737" w14:paraId="0D75D5FA" w14:textId="77777777">
        <w:tc>
          <w:tcPr>
            <w:tcW w:w="2235" w:type="dxa"/>
          </w:tcPr>
          <w:p w:rsidRPr="00910C90" w:rsidR="00910C90" w:rsidP="00BE1F8F" w:rsidRDefault="00910C90" w14:paraId="09EE9454" w14:textId="796CA1EC">
            <w:pPr>
              <w:overflowPunct w:val="0"/>
              <w:autoSpaceDE w:val="0"/>
              <w:autoSpaceDN w:val="0"/>
              <w:adjustRightInd w:val="0"/>
              <w:textAlignment w:val="baseline"/>
              <w:rPr>
                <w:i/>
              </w:rPr>
            </w:pPr>
            <w:r>
              <w:rPr>
                <w:b/>
                <w:i/>
              </w:rPr>
              <w:t>Contacto:</w:t>
            </w:r>
          </w:p>
        </w:tc>
        <w:tc>
          <w:tcPr>
            <w:tcW w:w="6945" w:type="dxa"/>
          </w:tcPr>
          <w:p w:rsidRPr="00910C90" w:rsidR="00910C90" w:rsidP="00BE1F8F" w:rsidRDefault="00910C90" w14:paraId="20BCFE55" w14:textId="48EB87B0">
            <w:pPr>
              <w:overflowPunct w:val="0"/>
              <w:autoSpaceDE w:val="0"/>
              <w:autoSpaceDN w:val="0"/>
              <w:adjustRightInd w:val="0"/>
              <w:textAlignment w:val="baseline"/>
              <w:rPr>
                <w:i/>
              </w:rPr>
            </w:pPr>
            <w:r>
              <w:rPr>
                <w:i/>
              </w:rPr>
              <w:t>Gabriela Grasu</w:t>
            </w:r>
          </w:p>
        </w:tc>
      </w:tr>
      <w:tr w:rsidRPr="00910C90" w:rsidR="00910C90" w:rsidTr="003F3737" w14:paraId="10BE1906" w14:textId="77777777">
        <w:tc>
          <w:tcPr>
            <w:tcW w:w="2235" w:type="dxa"/>
          </w:tcPr>
          <w:p w:rsidRPr="00910C90" w:rsidR="00910C90" w:rsidP="00BE1F8F" w:rsidRDefault="00910C90" w14:paraId="7C9E9C27" w14:textId="578CE414">
            <w:pPr>
              <w:overflowPunct w:val="0"/>
              <w:autoSpaceDE w:val="0"/>
              <w:autoSpaceDN w:val="0"/>
              <w:adjustRightInd w:val="0"/>
              <w:textAlignment w:val="baseline"/>
              <w:rPr>
                <w:i/>
              </w:rPr>
            </w:pPr>
            <w:r>
              <w:rPr>
                <w:i/>
              </w:rPr>
              <w:t>Teléfono:</w:t>
            </w:r>
          </w:p>
        </w:tc>
        <w:tc>
          <w:tcPr>
            <w:tcW w:w="6945" w:type="dxa"/>
          </w:tcPr>
          <w:p w:rsidRPr="00910C90" w:rsidR="00910C90" w:rsidP="00BE1F8F" w:rsidRDefault="00910C90" w14:paraId="6BD9772E" w14:textId="77777777">
            <w:pPr>
              <w:overflowPunct w:val="0"/>
              <w:autoSpaceDE w:val="0"/>
              <w:autoSpaceDN w:val="0"/>
              <w:adjustRightInd w:val="0"/>
              <w:textAlignment w:val="baseline"/>
              <w:rPr>
                <w:i/>
              </w:rPr>
            </w:pPr>
            <w:r>
              <w:rPr>
                <w:i/>
              </w:rPr>
              <w:t>+32 25469162</w:t>
            </w:r>
          </w:p>
        </w:tc>
      </w:tr>
      <w:tr w:rsidRPr="00910C90" w:rsidR="00910C90" w:rsidTr="003F3737" w14:paraId="378A4268" w14:textId="77777777">
        <w:tc>
          <w:tcPr>
            <w:tcW w:w="2235" w:type="dxa"/>
          </w:tcPr>
          <w:p w:rsidRPr="00910C90" w:rsidR="00910C90" w:rsidP="00BE1F8F" w:rsidRDefault="00910C90" w14:paraId="67D2B1A7" w14:textId="5316AB28">
            <w:pPr>
              <w:overflowPunct w:val="0"/>
              <w:autoSpaceDE w:val="0"/>
              <w:autoSpaceDN w:val="0"/>
              <w:adjustRightInd w:val="0"/>
              <w:textAlignment w:val="baseline"/>
              <w:rPr>
                <w:i/>
              </w:rPr>
            </w:pPr>
            <w:r>
              <w:rPr>
                <w:i/>
              </w:rPr>
              <w:t>Correo electrónico:</w:t>
            </w:r>
          </w:p>
        </w:tc>
        <w:tc>
          <w:tcPr>
            <w:tcW w:w="6945" w:type="dxa"/>
          </w:tcPr>
          <w:p w:rsidRPr="00910C90" w:rsidR="00910C90" w:rsidP="00BE1F8F" w:rsidRDefault="00593CA8" w14:paraId="18F62F88" w14:textId="03616BAE">
            <w:pPr>
              <w:overflowPunct w:val="0"/>
              <w:autoSpaceDE w:val="0"/>
              <w:autoSpaceDN w:val="0"/>
              <w:adjustRightInd w:val="0"/>
              <w:textAlignment w:val="baseline"/>
              <w:rPr>
                <w:i/>
                <w:iCs/>
              </w:rPr>
            </w:pPr>
            <w:hyperlink w:history="1" r:id="rId34">
              <w:r w:rsidR="001C131E">
                <w:rPr>
                  <w:i/>
                  <w:color w:val="0000FF"/>
                  <w:u w:val="single"/>
                </w:rPr>
                <w:t>Gabriela.Grasu@eesc.europa.eu</w:t>
              </w:r>
            </w:hyperlink>
          </w:p>
        </w:tc>
      </w:tr>
    </w:tbl>
    <w:p w:rsidR="00D5795F" w:rsidP="00BE1F8F" w:rsidRDefault="00D5795F" w14:paraId="0F5B3C36" w14:textId="77777777">
      <w:pPr>
        <w:jc w:val="left"/>
      </w:pPr>
      <w:r>
        <w:br w:type="page"/>
      </w:r>
    </w:p>
    <w:p w:rsidRPr="00713105" w:rsidR="00981AAC" w:rsidP="00BE1F8F" w:rsidRDefault="00981AAC" w14:paraId="48226001" w14:textId="27B0F9D8">
      <w:pPr>
        <w:widowControl w:val="0"/>
        <w:numPr>
          <w:ilvl w:val="0"/>
          <w:numId w:val="2"/>
        </w:numPr>
        <w:overflowPunct w:val="0"/>
        <w:autoSpaceDE w:val="0"/>
        <w:autoSpaceDN w:val="0"/>
        <w:adjustRightInd w:val="0"/>
        <w:ind w:hanging="567"/>
        <w:textAlignment w:val="baseline"/>
      </w:pPr>
      <w:r w:rsidRPr="00981AAC">
        <w:rPr>
          <w:b/>
          <w:i/>
          <w:sz w:val="28"/>
        </w:rPr>
        <w:lastRenderedPageBreak/>
        <w:fldChar w:fldCharType="begin"/>
      </w:r>
      <w:r w:rsidRPr="00981AAC">
        <w:rPr>
          <w:b/>
          <w:i/>
          <w:sz w:val="28"/>
        </w:rPr>
        <w:instrText>HYPERLINK "https://www.eesc.europa.eu/es/our-work/opinions-information-reports/opinions/older-people-employment-systemic-factors-choosing-work-longer"</w:instrText>
      </w:r>
      <w:r w:rsidRPr="00981AAC">
        <w:rPr>
          <w:b/>
          <w:i/>
          <w:sz w:val="28"/>
        </w:rPr>
        <w:fldChar w:fldCharType="separate"/>
      </w:r>
      <w:r>
        <w:rPr>
          <w:b/>
          <w:i/>
          <w:color w:val="0000FF"/>
          <w:sz w:val="28"/>
          <w:u w:val="single"/>
        </w:rPr>
        <w:t>Permanencia de las personas mayores en el empleo: factores sistémicos a la hora de optar por trabajar durante más tiempo</w:t>
      </w:r>
    </w:p>
    <w:p w:rsidRPr="00C77862" w:rsidR="00981AAC" w:rsidP="00BE1F8F" w:rsidRDefault="00981AAC" w14:paraId="69C9F195" w14:textId="77777777">
      <w:pPr>
        <w:widowControl w:val="0"/>
        <w:overflowPunct w:val="0"/>
        <w:autoSpaceDE w:val="0"/>
        <w:autoSpaceDN w:val="0"/>
        <w:adjustRightInd w:val="0"/>
        <w:ind w:left="567"/>
        <w:textAlignment w:val="baseline"/>
        <w:rPr>
          <w:b/>
          <w:i/>
          <w:sz w:val="20"/>
        </w:rPr>
      </w:pPr>
      <w:r w:rsidRPr="00981AAC">
        <w:rPr>
          <w:b/>
          <w:i/>
          <w:sz w:val="28"/>
        </w:rPr>
        <w:fldChar w:fldCharType="end"/>
      </w:r>
    </w:p>
    <w:tbl>
      <w:tblPr>
        <w:tblW w:w="5000" w:type="pct"/>
        <w:tblLook w:val="04A0" w:firstRow="1" w:lastRow="0" w:firstColumn="1" w:lastColumn="0" w:noHBand="0" w:noVBand="1"/>
      </w:tblPr>
      <w:tblGrid>
        <w:gridCol w:w="1668"/>
        <w:gridCol w:w="7619"/>
      </w:tblGrid>
      <w:tr w:rsidRPr="00652335" w:rsidR="00981AAC" w:rsidTr="00713105" w14:paraId="564BEBA9" w14:textId="77777777">
        <w:tc>
          <w:tcPr>
            <w:tcW w:w="898" w:type="pct"/>
          </w:tcPr>
          <w:p w:rsidRPr="00C43D3E" w:rsidR="00981AAC" w:rsidP="00BE1F8F" w:rsidRDefault="00981AAC" w14:paraId="0345DE90" w14:textId="77777777">
            <w:pPr>
              <w:overflowPunct w:val="0"/>
              <w:autoSpaceDE w:val="0"/>
              <w:autoSpaceDN w:val="0"/>
              <w:adjustRightInd w:val="0"/>
              <w:ind w:left="-113"/>
              <w:textAlignment w:val="baseline"/>
              <w:rPr>
                <w:b/>
              </w:rPr>
            </w:pPr>
            <w:r>
              <w:rPr>
                <w:b/>
              </w:rPr>
              <w:t>Ponente</w:t>
            </w:r>
          </w:p>
        </w:tc>
        <w:tc>
          <w:tcPr>
            <w:tcW w:w="4102" w:type="pct"/>
          </w:tcPr>
          <w:p w:rsidRPr="00C43D3E" w:rsidR="00382A22" w:rsidP="00BE1F8F" w:rsidRDefault="00981AAC" w14:paraId="2A77F056" w14:textId="351CBDDF">
            <w:pPr>
              <w:tabs>
                <w:tab w:val="left" w:pos="4572"/>
              </w:tabs>
              <w:overflowPunct w:val="0"/>
              <w:autoSpaceDE w:val="0"/>
              <w:autoSpaceDN w:val="0"/>
              <w:adjustRightInd w:val="0"/>
              <w:ind w:left="-113" w:right="-823"/>
              <w:textAlignment w:val="baseline"/>
            </w:pPr>
            <w:r>
              <w:t>Krzysztof BALON (Grupo de Organizaciones de la Sociedad Civil – PL)</w:t>
            </w:r>
          </w:p>
        </w:tc>
      </w:tr>
      <w:tr w:rsidRPr="00652335" w:rsidR="00981AAC" w:rsidTr="00713105" w14:paraId="3AF74D98" w14:textId="77777777">
        <w:tc>
          <w:tcPr>
            <w:tcW w:w="898" w:type="pct"/>
          </w:tcPr>
          <w:p w:rsidRPr="00C43D3E" w:rsidR="00981AAC" w:rsidP="00BE1F8F" w:rsidRDefault="00981AAC" w14:paraId="399C89C3" w14:textId="4CBE63A1">
            <w:pPr>
              <w:overflowPunct w:val="0"/>
              <w:autoSpaceDE w:val="0"/>
              <w:autoSpaceDN w:val="0"/>
              <w:adjustRightInd w:val="0"/>
              <w:ind w:left="-113"/>
              <w:textAlignment w:val="baseline"/>
              <w:rPr>
                <w:b/>
              </w:rPr>
            </w:pPr>
            <w:r>
              <w:rPr>
                <w:b/>
              </w:rPr>
              <w:t>Referencia</w:t>
            </w:r>
          </w:p>
        </w:tc>
        <w:tc>
          <w:tcPr>
            <w:tcW w:w="4102" w:type="pct"/>
          </w:tcPr>
          <w:p w:rsidRPr="00C43D3E" w:rsidR="00382A22" w:rsidP="00BE1F8F" w:rsidRDefault="00382A22" w14:paraId="15365992" w14:textId="5B77F237">
            <w:pPr>
              <w:tabs>
                <w:tab w:val="left" w:pos="4430"/>
              </w:tabs>
              <w:overflowPunct w:val="0"/>
              <w:autoSpaceDE w:val="0"/>
              <w:autoSpaceDN w:val="0"/>
              <w:adjustRightInd w:val="0"/>
              <w:ind w:left="-113" w:right="-823"/>
              <w:textAlignment w:val="baseline"/>
            </w:pPr>
            <w:r>
              <w:t>Dictamen exploratorio solicitado por la Presidencia polaca del Consejo de la UE</w:t>
            </w:r>
          </w:p>
          <w:p w:rsidRPr="00C43D3E" w:rsidR="00981AAC" w:rsidP="00BE1F8F" w:rsidRDefault="00981AAC" w14:paraId="455DCFBD" w14:textId="0C759088">
            <w:pPr>
              <w:tabs>
                <w:tab w:val="left" w:pos="4430"/>
              </w:tabs>
              <w:overflowPunct w:val="0"/>
              <w:autoSpaceDE w:val="0"/>
              <w:autoSpaceDN w:val="0"/>
              <w:adjustRightInd w:val="0"/>
              <w:ind w:left="-113" w:right="-823"/>
              <w:textAlignment w:val="baseline"/>
            </w:pPr>
            <w:r>
              <w:t>EESC-2024-03788-00-00-AC</w:t>
            </w:r>
          </w:p>
        </w:tc>
      </w:tr>
    </w:tbl>
    <w:p w:rsidR="00652335" w:rsidP="00BE1F8F" w:rsidRDefault="00652335" w14:paraId="789D81F8" w14:textId="77777777">
      <w:pPr>
        <w:keepNext/>
        <w:keepLines/>
        <w:tabs>
          <w:tab w:val="center" w:pos="284"/>
        </w:tabs>
        <w:overflowPunct w:val="0"/>
        <w:autoSpaceDE w:val="0"/>
        <w:autoSpaceDN w:val="0"/>
        <w:adjustRightInd w:val="0"/>
        <w:ind w:left="266" w:hanging="266"/>
        <w:textAlignment w:val="baseline"/>
        <w:rPr>
          <w:b/>
          <w:lang w:val="en-GB"/>
        </w:rPr>
      </w:pPr>
    </w:p>
    <w:p w:rsidRPr="00981AAC" w:rsidR="00981AAC" w:rsidP="00BE1F8F" w:rsidRDefault="00981AAC" w14:paraId="4B8CB502" w14:textId="1F116006">
      <w:pPr>
        <w:keepNext/>
        <w:keepLines/>
        <w:tabs>
          <w:tab w:val="center" w:pos="284"/>
        </w:tabs>
        <w:overflowPunct w:val="0"/>
        <w:autoSpaceDE w:val="0"/>
        <w:autoSpaceDN w:val="0"/>
        <w:adjustRightInd w:val="0"/>
        <w:ind w:left="266" w:hanging="266"/>
        <w:textAlignment w:val="baseline"/>
        <w:rPr>
          <w:b/>
        </w:rPr>
      </w:pPr>
      <w:r>
        <w:rPr>
          <w:b/>
        </w:rPr>
        <w:t>Puntos clave</w:t>
      </w:r>
    </w:p>
    <w:p w:rsidRPr="00981AAC" w:rsidR="00981AAC" w:rsidP="00BE1F8F" w:rsidRDefault="00981AAC" w14:paraId="7008E7DD" w14:textId="77777777">
      <w:pPr>
        <w:keepNext/>
        <w:keepLines/>
        <w:tabs>
          <w:tab w:val="center" w:pos="284"/>
        </w:tabs>
        <w:overflowPunct w:val="0"/>
        <w:autoSpaceDE w:val="0"/>
        <w:autoSpaceDN w:val="0"/>
        <w:adjustRightInd w:val="0"/>
        <w:ind w:left="266" w:hanging="266"/>
        <w:textAlignment w:val="baseline"/>
        <w:rPr>
          <w:b/>
          <w:lang w:val="en-GB"/>
        </w:rPr>
      </w:pPr>
    </w:p>
    <w:p w:rsidRPr="00981AAC" w:rsidR="00E83667" w:rsidP="00BE1F8F" w:rsidRDefault="00981AAC" w14:paraId="7F206CE5" w14:textId="098D975F">
      <w:pPr>
        <w:keepNext/>
        <w:keepLines/>
        <w:tabs>
          <w:tab w:val="center" w:pos="284"/>
        </w:tabs>
        <w:overflowPunct w:val="0"/>
        <w:autoSpaceDE w:val="0"/>
        <w:autoSpaceDN w:val="0"/>
        <w:adjustRightInd w:val="0"/>
        <w:ind w:left="266" w:hanging="266"/>
        <w:textAlignment w:val="baseline"/>
        <w:rPr>
          <w:szCs w:val="20"/>
        </w:rPr>
      </w:pPr>
      <w:r>
        <w:t>El CESE:</w:t>
      </w:r>
    </w:p>
    <w:p w:rsidRPr="00981AAC" w:rsidR="00981AAC" w:rsidP="00713105" w:rsidRDefault="00981AAC" w14:paraId="3311126F" w14:textId="77777777">
      <w:pPr>
        <w:pStyle w:val="ListParagraph"/>
        <w:numPr>
          <w:ilvl w:val="0"/>
          <w:numId w:val="42"/>
        </w:numPr>
        <w:ind w:left="567" w:hanging="567"/>
      </w:pPr>
      <w:bookmarkStart w:name="_Toc191974009" w:id="11"/>
      <w:r>
        <w:t xml:space="preserve">comparte la posición de la Presidencia polaca del Consejo de la Unión Europea, que sostiene que </w:t>
      </w:r>
      <w:r>
        <w:rPr>
          <w:b/>
        </w:rPr>
        <w:t>la activación profesional de las personas mayores</w:t>
      </w:r>
      <w:r>
        <w:t xml:space="preserve"> se ha convertido en uno de los </w:t>
      </w:r>
      <w:r>
        <w:rPr>
          <w:b/>
        </w:rPr>
        <w:t>principales retos que afrontan las políticas públicas</w:t>
      </w:r>
      <w:r>
        <w:t xml:space="preserve">. Dado que la esperanza media de vida saludable está aumentando en la UE, la </w:t>
      </w:r>
      <w:r>
        <w:rPr>
          <w:b/>
        </w:rPr>
        <w:t>actividad profesional de las personas mayores</w:t>
      </w:r>
      <w:r>
        <w:t xml:space="preserve"> puede tener </w:t>
      </w:r>
      <w:r>
        <w:rPr>
          <w:b/>
        </w:rPr>
        <w:t>un efecto positivo</w:t>
      </w:r>
      <w:r>
        <w:t xml:space="preserve"> no solo en el </w:t>
      </w:r>
      <w:r>
        <w:rPr>
          <w:b/>
        </w:rPr>
        <w:t>desarrollo económico</w:t>
      </w:r>
      <w:r>
        <w:t xml:space="preserve">, sino también en </w:t>
      </w:r>
      <w:r>
        <w:rPr>
          <w:b/>
        </w:rPr>
        <w:t>su bienestar</w:t>
      </w:r>
      <w:r>
        <w:t xml:space="preserve">, al proporcionarles unas mejores </w:t>
      </w:r>
      <w:r>
        <w:rPr>
          <w:b/>
        </w:rPr>
        <w:t>condiciones financieras, sociales y sanitarias</w:t>
      </w:r>
      <w:r>
        <w:t xml:space="preserve"> y así contribuir a la solidaridad intergeneracional en la sociedad;</w:t>
      </w:r>
      <w:bookmarkEnd w:id="11"/>
    </w:p>
    <w:p w:rsidRPr="00652335" w:rsidR="00981AAC" w:rsidP="00713105" w:rsidRDefault="00981AAC" w14:paraId="30FD09FC" w14:textId="77777777">
      <w:pPr>
        <w:pStyle w:val="ListParagraph"/>
        <w:numPr>
          <w:ilvl w:val="0"/>
          <w:numId w:val="42"/>
        </w:numPr>
        <w:ind w:left="567" w:hanging="567"/>
      </w:pPr>
      <w:bookmarkStart w:name="_Toc191974010" w:id="12"/>
      <w:r>
        <w:t xml:space="preserve">observa que </w:t>
      </w:r>
      <w:r>
        <w:rPr>
          <w:b/>
        </w:rPr>
        <w:t>el principio 15 del pilar europeo de derechos sociales</w:t>
      </w:r>
      <w:r>
        <w:t xml:space="preserve"> —que contempla el derecho de los trabajadores a recibir una pensión de jubilación acorde a sus contribuciones que garantice una renta adecuada y una vida digna en la vejez— </w:t>
      </w:r>
      <w:r>
        <w:rPr>
          <w:b/>
        </w:rPr>
        <w:t>debe aplicarse plenamente</w:t>
      </w:r>
      <w:r>
        <w:t>;</w:t>
      </w:r>
      <w:bookmarkEnd w:id="12"/>
    </w:p>
    <w:p w:rsidRPr="00652335" w:rsidR="00981AAC" w:rsidP="00713105" w:rsidRDefault="00981AAC" w14:paraId="7674E455" w14:textId="77777777">
      <w:pPr>
        <w:pStyle w:val="ListParagraph"/>
        <w:numPr>
          <w:ilvl w:val="0"/>
          <w:numId w:val="42"/>
        </w:numPr>
        <w:ind w:left="567" w:hanging="567"/>
      </w:pPr>
      <w:bookmarkStart w:name="_Toc191974011" w:id="13"/>
      <w:r>
        <w:t xml:space="preserve">señala que la creación de </w:t>
      </w:r>
      <w:r>
        <w:rPr>
          <w:b/>
        </w:rPr>
        <w:t>empleos de calidad con</w:t>
      </w:r>
      <w:r>
        <w:t xml:space="preserve"> </w:t>
      </w:r>
      <w:r>
        <w:rPr>
          <w:b/>
        </w:rPr>
        <w:t>un entorno de trabajo</w:t>
      </w:r>
      <w:r>
        <w:t xml:space="preserve"> que anime a todos los grupos de edad a </w:t>
      </w:r>
      <w:r>
        <w:rPr>
          <w:b/>
        </w:rPr>
        <w:t>entrar y permanecer en el mercado laboral</w:t>
      </w:r>
      <w:r>
        <w:t xml:space="preserve"> es un aspecto importante;</w:t>
      </w:r>
      <w:bookmarkEnd w:id="13"/>
      <w:r>
        <w:t xml:space="preserve"> </w:t>
      </w:r>
    </w:p>
    <w:p w:rsidRPr="00652335" w:rsidR="00981AAC" w:rsidP="00713105" w:rsidRDefault="00981AAC" w14:paraId="7D687E45" w14:textId="77777777">
      <w:pPr>
        <w:pStyle w:val="ListParagraph"/>
        <w:numPr>
          <w:ilvl w:val="0"/>
          <w:numId w:val="41"/>
        </w:numPr>
        <w:ind w:left="567" w:hanging="567"/>
      </w:pPr>
      <w:bookmarkStart w:name="_Toc191974012" w:id="14"/>
      <w:r>
        <w:t xml:space="preserve">destaca que otro factor para el aumento del empleo de las personas mayores es la </w:t>
      </w:r>
      <w:r>
        <w:rPr>
          <w:b/>
        </w:rPr>
        <w:t>creación de equipos de trabajo multigeneracionales</w:t>
      </w:r>
      <w:r>
        <w:t xml:space="preserve"> y </w:t>
      </w:r>
      <w:r>
        <w:rPr>
          <w:b/>
        </w:rPr>
        <w:t>vuelve a solicitar</w:t>
      </w:r>
      <w:r>
        <w:t xml:space="preserve"> una vez más a la </w:t>
      </w:r>
      <w:r>
        <w:rPr>
          <w:b/>
        </w:rPr>
        <w:t>Comisión Europea</w:t>
      </w:r>
      <w:r>
        <w:t xml:space="preserve"> que adopte una </w:t>
      </w:r>
      <w:r>
        <w:rPr>
          <w:b/>
        </w:rPr>
        <w:t>recomendación</w:t>
      </w:r>
      <w:r>
        <w:t xml:space="preserve"> en la que se pida a los Estados miembros </w:t>
      </w:r>
      <w:r>
        <w:rPr>
          <w:b/>
        </w:rPr>
        <w:t>que garanticen la presencia de trabajadores de distintas generaciones y su cooperación en el lugar de trabajo</w:t>
      </w:r>
      <w:r>
        <w:t>;</w:t>
      </w:r>
      <w:bookmarkEnd w:id="14"/>
    </w:p>
    <w:p w:rsidRPr="00652335" w:rsidR="00981AAC" w:rsidP="00713105" w:rsidRDefault="00981AAC" w14:paraId="2CC124C3" w14:textId="77777777">
      <w:pPr>
        <w:pStyle w:val="ListParagraph"/>
        <w:numPr>
          <w:ilvl w:val="0"/>
          <w:numId w:val="40"/>
        </w:numPr>
        <w:ind w:left="567" w:hanging="567"/>
      </w:pPr>
      <w:bookmarkStart w:name="_Toc191974013" w:id="15"/>
      <w:r>
        <w:t xml:space="preserve">observa que, entre los instrumentos de apoyo al empleo de las personas mayores figuran los siguientes: a) </w:t>
      </w:r>
      <w:r>
        <w:rPr>
          <w:b/>
        </w:rPr>
        <w:t>crear un entorno laboral propicio</w:t>
      </w:r>
      <w:r>
        <w:t xml:space="preserve"> que anime a los mayores a permanecer más tiempo en el mercado de trabajo cuando así lo deseen; b) </w:t>
      </w:r>
      <w:r>
        <w:rPr>
          <w:b/>
        </w:rPr>
        <w:t>mantener y mejorar las cualificaciones</w:t>
      </w:r>
      <w:r>
        <w:t xml:space="preserve"> mediante </w:t>
      </w:r>
      <w:r>
        <w:rPr>
          <w:b/>
        </w:rPr>
        <w:t>políticas de aprendizaje permanente</w:t>
      </w:r>
      <w:r>
        <w:t xml:space="preserve">; c) adoptar medidas que permitan </w:t>
      </w:r>
      <w:r>
        <w:rPr>
          <w:b/>
        </w:rPr>
        <w:t>combinar el trabajo con las responsabilidades de prestar cuidados</w:t>
      </w:r>
      <w:r>
        <w:t xml:space="preserve"> a familiares de edad avanzada; d) </w:t>
      </w:r>
      <w:r>
        <w:rPr>
          <w:b/>
        </w:rPr>
        <w:t>promover la prolongación de la vida laboral</w:t>
      </w:r>
      <w:r>
        <w:t xml:space="preserve">; y e) </w:t>
      </w:r>
      <w:r>
        <w:rPr>
          <w:b/>
        </w:rPr>
        <w:t>luchar contra la discriminación por edad</w:t>
      </w:r>
      <w:r>
        <w:t xml:space="preserve"> y otros factores que impiden a los trabajadores mayores permanecer en el mercado de trabajo. Las entidades de la economía social, las organizaciones de la sociedad civil y los interlocutores sociales tienen un papel clave que desempeñar en todas estas áreas;</w:t>
      </w:r>
      <w:bookmarkEnd w:id="15"/>
    </w:p>
    <w:p w:rsidRPr="00652335" w:rsidR="00981AAC" w:rsidP="00713105" w:rsidRDefault="00981AAC" w14:paraId="08AC24E2" w14:textId="77777777">
      <w:pPr>
        <w:pStyle w:val="ListParagraph"/>
        <w:numPr>
          <w:ilvl w:val="0"/>
          <w:numId w:val="39"/>
        </w:numPr>
        <w:ind w:left="567" w:hanging="567"/>
      </w:pPr>
      <w:bookmarkStart w:name="_Toc191974014" w:id="16"/>
      <w:r>
        <w:t xml:space="preserve">propone que la </w:t>
      </w:r>
      <w:r>
        <w:rPr>
          <w:b/>
        </w:rPr>
        <w:t>Comisión Europea</w:t>
      </w:r>
      <w:r>
        <w:t xml:space="preserve">, en cooperación con el CESE, los interlocutores sociales y otras organizaciones de la sociedad civil, </w:t>
      </w:r>
      <w:r>
        <w:rPr>
          <w:b/>
        </w:rPr>
        <w:t>cree un foro para el intercambio de buenas prácticas</w:t>
      </w:r>
      <w:r>
        <w:t xml:space="preserve"> entre los Estados miembros y, posteriormente, teniendo en cuenta los resultados de los debates del foro, la Comisión Europea podría publicar un «conjunto de herramientas» de mejores prácticas.</w:t>
      </w:r>
      <w:bookmarkEnd w:id="16"/>
    </w:p>
    <w:p w:rsidRPr="00981AAC" w:rsidR="00981AAC" w:rsidP="00BE1F8F" w:rsidRDefault="00981AAC" w14:paraId="4F0FB5FC" w14:textId="77777777">
      <w:pPr>
        <w:overflowPunct w:val="0"/>
        <w:autoSpaceDE w:val="0"/>
        <w:autoSpaceDN w:val="0"/>
        <w:adjustRightInd w:val="0"/>
        <w:textAlignment w:val="baseline"/>
        <w:rPr>
          <w:szCs w:val="20"/>
          <w:lang w:val="en-GB"/>
        </w:rPr>
      </w:pPr>
    </w:p>
    <w:tbl>
      <w:tblPr>
        <w:tblW w:w="4941" w:type="pct"/>
        <w:tblLook w:val="04A0" w:firstRow="1" w:lastRow="0" w:firstColumn="1" w:lastColumn="0" w:noHBand="0" w:noVBand="1"/>
      </w:tblPr>
      <w:tblGrid>
        <w:gridCol w:w="2236"/>
        <w:gridCol w:w="6941"/>
      </w:tblGrid>
      <w:tr w:rsidRPr="00981AAC" w:rsidR="00981AAC" w:rsidTr="003F3737" w14:paraId="561BB3E5" w14:textId="77777777">
        <w:tc>
          <w:tcPr>
            <w:tcW w:w="1218" w:type="pct"/>
          </w:tcPr>
          <w:p w:rsidRPr="00981AAC" w:rsidR="00981AAC" w:rsidP="00BE1F8F" w:rsidRDefault="00981AAC" w14:paraId="28C5741E" w14:textId="77777777">
            <w:pPr>
              <w:overflowPunct w:val="0"/>
              <w:autoSpaceDE w:val="0"/>
              <w:autoSpaceDN w:val="0"/>
              <w:adjustRightInd w:val="0"/>
              <w:textAlignment w:val="baseline"/>
              <w:rPr>
                <w:i/>
              </w:rPr>
            </w:pPr>
            <w:r>
              <w:rPr>
                <w:b/>
                <w:i/>
              </w:rPr>
              <w:t>Contacto:</w:t>
            </w:r>
          </w:p>
        </w:tc>
        <w:tc>
          <w:tcPr>
            <w:tcW w:w="3782" w:type="pct"/>
          </w:tcPr>
          <w:p w:rsidRPr="00981AAC" w:rsidR="00981AAC" w:rsidP="00BE1F8F" w:rsidRDefault="00981AAC" w14:paraId="3A046822" w14:textId="6C427D2F">
            <w:pPr>
              <w:overflowPunct w:val="0"/>
              <w:autoSpaceDE w:val="0"/>
              <w:autoSpaceDN w:val="0"/>
              <w:adjustRightInd w:val="0"/>
              <w:textAlignment w:val="baseline"/>
              <w:rPr>
                <w:i/>
              </w:rPr>
            </w:pPr>
            <w:r>
              <w:rPr>
                <w:i/>
              </w:rPr>
              <w:t>Triin Aasmaa Gomes</w:t>
            </w:r>
          </w:p>
        </w:tc>
      </w:tr>
      <w:tr w:rsidRPr="00981AAC" w:rsidR="00981AAC" w:rsidTr="003F3737" w14:paraId="5B86D599" w14:textId="77777777">
        <w:tc>
          <w:tcPr>
            <w:tcW w:w="1218" w:type="pct"/>
          </w:tcPr>
          <w:p w:rsidRPr="00981AAC" w:rsidR="00981AAC" w:rsidP="00BE1F8F" w:rsidRDefault="00981AAC" w14:paraId="7FD14655" w14:textId="77777777">
            <w:pPr>
              <w:overflowPunct w:val="0"/>
              <w:autoSpaceDE w:val="0"/>
              <w:autoSpaceDN w:val="0"/>
              <w:adjustRightInd w:val="0"/>
              <w:textAlignment w:val="baseline"/>
              <w:rPr>
                <w:i/>
              </w:rPr>
            </w:pPr>
            <w:r>
              <w:rPr>
                <w:i/>
              </w:rPr>
              <w:t>Teléfono:</w:t>
            </w:r>
          </w:p>
        </w:tc>
        <w:tc>
          <w:tcPr>
            <w:tcW w:w="3782" w:type="pct"/>
          </w:tcPr>
          <w:p w:rsidRPr="00981AAC" w:rsidR="00981AAC" w:rsidP="00BE1F8F" w:rsidRDefault="00981AAC" w14:paraId="1A842B89" w14:textId="77777777">
            <w:pPr>
              <w:overflowPunct w:val="0"/>
              <w:autoSpaceDE w:val="0"/>
              <w:autoSpaceDN w:val="0"/>
              <w:adjustRightInd w:val="0"/>
              <w:textAlignment w:val="baseline"/>
              <w:rPr>
                <w:i/>
              </w:rPr>
            </w:pPr>
            <w:r>
              <w:rPr>
                <w:i/>
              </w:rPr>
              <w:t>+32 25469524</w:t>
            </w:r>
          </w:p>
        </w:tc>
      </w:tr>
      <w:tr w:rsidRPr="00981AAC" w:rsidR="00981AAC" w:rsidTr="003F3737" w14:paraId="4FA7AC41" w14:textId="77777777">
        <w:tc>
          <w:tcPr>
            <w:tcW w:w="1218" w:type="pct"/>
          </w:tcPr>
          <w:p w:rsidRPr="00981AAC" w:rsidR="00981AAC" w:rsidP="00BE1F8F" w:rsidRDefault="00981AAC" w14:paraId="5EBD3C93" w14:textId="77777777">
            <w:pPr>
              <w:overflowPunct w:val="0"/>
              <w:autoSpaceDE w:val="0"/>
              <w:autoSpaceDN w:val="0"/>
              <w:adjustRightInd w:val="0"/>
              <w:textAlignment w:val="baseline"/>
              <w:rPr>
                <w:i/>
              </w:rPr>
            </w:pPr>
            <w:r>
              <w:rPr>
                <w:i/>
              </w:rPr>
              <w:t>Correo electrónico:</w:t>
            </w:r>
          </w:p>
        </w:tc>
        <w:tc>
          <w:tcPr>
            <w:tcW w:w="3782" w:type="pct"/>
          </w:tcPr>
          <w:p w:rsidRPr="00713105" w:rsidR="00981AAC" w:rsidP="00BE1F8F" w:rsidRDefault="00593CA8" w14:paraId="03C24A43" w14:textId="0AF7A5D3">
            <w:pPr>
              <w:overflowPunct w:val="0"/>
              <w:autoSpaceDE w:val="0"/>
              <w:autoSpaceDN w:val="0"/>
              <w:adjustRightInd w:val="0"/>
              <w:textAlignment w:val="baseline"/>
            </w:pPr>
            <w:hyperlink w:history="1" r:id="rId35">
              <w:r w:rsidR="001C131E">
                <w:rPr>
                  <w:i/>
                  <w:color w:val="0000FF"/>
                  <w:u w:val="single"/>
                </w:rPr>
                <w:t>Triin.AasmaaGomes@eesc.europa.eu</w:t>
              </w:r>
            </w:hyperlink>
          </w:p>
        </w:tc>
      </w:tr>
    </w:tbl>
    <w:p w:rsidRPr="003F3737" w:rsidR="000D43E1" w:rsidP="00BE1F8F" w:rsidRDefault="000D43E1" w14:paraId="4982DDC2" w14:textId="686E2E23">
      <w:pPr>
        <w:jc w:val="left"/>
        <w:rPr>
          <w:sz w:val="4"/>
          <w:szCs w:val="4"/>
        </w:rPr>
      </w:pPr>
      <w:r w:rsidRPr="003F3737">
        <w:rPr>
          <w:sz w:val="4"/>
          <w:szCs w:val="4"/>
        </w:rPr>
        <w:br w:type="page"/>
      </w:r>
    </w:p>
    <w:p w:rsidR="004D7AC0" w:rsidP="00BE1F8F" w:rsidRDefault="004D7AC0" w14:paraId="4982DDC6" w14:textId="77777777">
      <w:pPr>
        <w:pStyle w:val="Heading1"/>
        <w:keepNext/>
        <w:keepLines/>
        <w:rPr>
          <w:b/>
        </w:rPr>
      </w:pPr>
      <w:bookmarkStart w:name="_Toc24617160" w:id="17"/>
      <w:bookmarkStart w:name="_Toc75527082" w:id="18"/>
      <w:bookmarkStart w:name="_Toc192668668" w:id="19"/>
      <w:r>
        <w:rPr>
          <w:b/>
        </w:rPr>
        <w:lastRenderedPageBreak/>
        <w:t>TRANSPORTE, ENERGÍA, INFRAESTRUCTURAS Y SOCIEDAD DE LA INFORMACIÓN</w:t>
      </w:r>
      <w:bookmarkEnd w:id="17"/>
      <w:bookmarkEnd w:id="18"/>
      <w:bookmarkEnd w:id="19"/>
    </w:p>
    <w:p w:rsidR="004D7AC0" w:rsidP="00BE1F8F" w:rsidRDefault="004D7AC0" w14:paraId="4982DDF1" w14:textId="77777777"/>
    <w:p w:rsidRPr="00A230A4" w:rsidR="00A230A4" w:rsidP="00BE1F8F" w:rsidRDefault="00593CA8" w14:paraId="64C335F9" w14:textId="3ECD80EF">
      <w:pPr>
        <w:widowControl w:val="0"/>
        <w:numPr>
          <w:ilvl w:val="0"/>
          <w:numId w:val="2"/>
        </w:numPr>
        <w:overflowPunct w:val="0"/>
        <w:autoSpaceDE w:val="0"/>
        <w:autoSpaceDN w:val="0"/>
        <w:adjustRightInd w:val="0"/>
        <w:ind w:hanging="567"/>
        <w:textAlignment w:val="baseline"/>
        <w:rPr>
          <w:b/>
          <w:bCs/>
          <w:i/>
          <w:iCs/>
          <w:sz w:val="28"/>
          <w:szCs w:val="28"/>
        </w:rPr>
      </w:pPr>
      <w:hyperlink w:history="1" r:id="rId36">
        <w:r w:rsidR="001C131E">
          <w:rPr>
            <w:b/>
            <w:i/>
            <w:color w:val="0000FF"/>
            <w:sz w:val="28"/>
            <w:u w:val="single"/>
          </w:rPr>
          <w:t>La realización física del mercado interior de la UE en la nueva situación geopolítica</w:t>
        </w:r>
      </w:hyperlink>
    </w:p>
    <w:p w:rsidRPr="00A230A4" w:rsidR="00A230A4" w:rsidP="00BE1F8F" w:rsidRDefault="00A230A4" w14:paraId="2FFA7CD5" w14:textId="77777777">
      <w:pPr>
        <w:tabs>
          <w:tab w:val="center" w:pos="284"/>
        </w:tabs>
        <w:overflowPunct w:val="0"/>
        <w:autoSpaceDE w:val="0"/>
        <w:autoSpaceDN w:val="0"/>
        <w:adjustRightInd w:val="0"/>
        <w:ind w:left="266" w:hanging="266"/>
        <w:textAlignment w:val="baseline"/>
        <w:rPr>
          <w:b/>
          <w:lang w:val="en-GB"/>
        </w:rPr>
      </w:pPr>
    </w:p>
    <w:tbl>
      <w:tblPr>
        <w:tblW w:w="0" w:type="auto"/>
        <w:tblLook w:val="04A0" w:firstRow="1" w:lastRow="0" w:firstColumn="1" w:lastColumn="0" w:noHBand="0" w:noVBand="1"/>
      </w:tblPr>
      <w:tblGrid>
        <w:gridCol w:w="1701"/>
        <w:gridCol w:w="7479"/>
      </w:tblGrid>
      <w:tr w:rsidRPr="00A230A4" w:rsidR="00A230A4" w:rsidTr="00713105" w14:paraId="6D4A0388" w14:textId="77777777">
        <w:tc>
          <w:tcPr>
            <w:tcW w:w="1701" w:type="dxa"/>
          </w:tcPr>
          <w:p w:rsidRPr="00A230A4" w:rsidR="00A230A4" w:rsidP="00BE1F8F" w:rsidRDefault="00A230A4" w14:paraId="3793B605" w14:textId="77777777">
            <w:pPr>
              <w:tabs>
                <w:tab w:val="center" w:pos="284"/>
              </w:tabs>
              <w:overflowPunct w:val="0"/>
              <w:autoSpaceDE w:val="0"/>
              <w:autoSpaceDN w:val="0"/>
              <w:adjustRightInd w:val="0"/>
              <w:ind w:left="266" w:hanging="266"/>
              <w:textAlignment w:val="baseline"/>
              <w:rPr>
                <w:b/>
              </w:rPr>
            </w:pPr>
            <w:r>
              <w:rPr>
                <w:b/>
              </w:rPr>
              <w:t>Ponente</w:t>
            </w:r>
          </w:p>
        </w:tc>
        <w:tc>
          <w:tcPr>
            <w:tcW w:w="7479" w:type="dxa"/>
          </w:tcPr>
          <w:p w:rsidRPr="00A230A4" w:rsidR="00A230A4" w:rsidP="00BE1F8F" w:rsidRDefault="00A230A4" w14:paraId="38BAB1F6" w14:textId="6CD83440">
            <w:pPr>
              <w:tabs>
                <w:tab w:val="center" w:pos="284"/>
              </w:tabs>
              <w:overflowPunct w:val="0"/>
              <w:autoSpaceDE w:val="0"/>
              <w:autoSpaceDN w:val="0"/>
              <w:adjustRightInd w:val="0"/>
              <w:ind w:left="266" w:hanging="266"/>
              <w:textAlignment w:val="baseline"/>
            </w:pPr>
            <w:r>
              <w:t>Päivi Elina WOOD (Grupo de Empresarios – FI)</w:t>
            </w:r>
          </w:p>
        </w:tc>
      </w:tr>
      <w:tr w:rsidRPr="00A230A4" w:rsidR="00A230A4" w:rsidTr="00713105" w14:paraId="19E7978D" w14:textId="77777777">
        <w:tc>
          <w:tcPr>
            <w:tcW w:w="1701" w:type="dxa"/>
          </w:tcPr>
          <w:p w:rsidRPr="00A230A4" w:rsidR="00A230A4" w:rsidP="00BE1F8F" w:rsidRDefault="00A230A4" w14:paraId="21EBC6AF" w14:textId="3F0101F6">
            <w:pPr>
              <w:tabs>
                <w:tab w:val="center" w:pos="284"/>
              </w:tabs>
              <w:overflowPunct w:val="0"/>
              <w:autoSpaceDE w:val="0"/>
              <w:autoSpaceDN w:val="0"/>
              <w:adjustRightInd w:val="0"/>
              <w:ind w:left="266" w:hanging="266"/>
              <w:textAlignment w:val="baseline"/>
              <w:rPr>
                <w:b/>
              </w:rPr>
            </w:pPr>
            <w:r>
              <w:rPr>
                <w:b/>
              </w:rPr>
              <w:t>Referencia</w:t>
            </w:r>
          </w:p>
        </w:tc>
        <w:tc>
          <w:tcPr>
            <w:tcW w:w="7479" w:type="dxa"/>
          </w:tcPr>
          <w:p w:rsidRPr="00A230A4" w:rsidR="00A230A4" w:rsidP="00BE1F8F" w:rsidRDefault="00A230A4" w14:paraId="6D31E889" w14:textId="77777777">
            <w:pPr>
              <w:tabs>
                <w:tab w:val="center" w:pos="284"/>
              </w:tabs>
              <w:overflowPunct w:val="0"/>
              <w:autoSpaceDE w:val="0"/>
              <w:autoSpaceDN w:val="0"/>
              <w:adjustRightInd w:val="0"/>
              <w:ind w:left="266" w:hanging="266"/>
              <w:textAlignment w:val="baseline"/>
            </w:pPr>
            <w:r>
              <w:t>Dictamen de iniciativa</w:t>
            </w:r>
          </w:p>
          <w:p w:rsidRPr="00A230A4" w:rsidR="00A230A4" w:rsidP="00BE1F8F" w:rsidRDefault="00A230A4" w14:paraId="2EB2BC1E" w14:textId="77777777">
            <w:pPr>
              <w:tabs>
                <w:tab w:val="center" w:pos="284"/>
              </w:tabs>
              <w:overflowPunct w:val="0"/>
              <w:autoSpaceDE w:val="0"/>
              <w:autoSpaceDN w:val="0"/>
              <w:adjustRightInd w:val="0"/>
              <w:ind w:left="266" w:hanging="266"/>
              <w:textAlignment w:val="baseline"/>
            </w:pPr>
            <w:r>
              <w:t>EESC-2024-03902-00-00-AC</w:t>
            </w:r>
          </w:p>
        </w:tc>
      </w:tr>
    </w:tbl>
    <w:p w:rsidRPr="00A230A4" w:rsidR="00A230A4" w:rsidP="00BE1F8F" w:rsidRDefault="00A230A4" w14:paraId="1945C70F" w14:textId="77777777">
      <w:pPr>
        <w:tabs>
          <w:tab w:val="center" w:pos="284"/>
        </w:tabs>
        <w:overflowPunct w:val="0"/>
        <w:autoSpaceDE w:val="0"/>
        <w:autoSpaceDN w:val="0"/>
        <w:adjustRightInd w:val="0"/>
        <w:ind w:left="266" w:hanging="266"/>
        <w:textAlignment w:val="baseline"/>
        <w:rPr>
          <w:lang w:val="en-GB"/>
        </w:rPr>
      </w:pPr>
    </w:p>
    <w:p w:rsidRPr="00A230A4" w:rsidR="00A230A4" w:rsidP="00BE1F8F" w:rsidRDefault="00A230A4" w14:paraId="24F24472"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A230A4" w:rsidR="00A230A4" w:rsidP="00BE1F8F" w:rsidRDefault="00A230A4" w14:paraId="7D389384" w14:textId="77777777">
      <w:pPr>
        <w:keepNext/>
        <w:keepLines/>
        <w:tabs>
          <w:tab w:val="center" w:pos="284"/>
        </w:tabs>
        <w:overflowPunct w:val="0"/>
        <w:autoSpaceDE w:val="0"/>
        <w:autoSpaceDN w:val="0"/>
        <w:adjustRightInd w:val="0"/>
        <w:ind w:left="266" w:hanging="266"/>
        <w:textAlignment w:val="baseline"/>
        <w:rPr>
          <w:b/>
          <w:lang w:val="en-GB"/>
        </w:rPr>
      </w:pPr>
    </w:p>
    <w:p w:rsidRPr="00A230A4" w:rsidR="00A230A4" w:rsidP="00BE1F8F" w:rsidRDefault="00A230A4" w14:paraId="7E802171" w14:textId="77777777">
      <w:pPr>
        <w:overflowPunct w:val="0"/>
        <w:autoSpaceDE w:val="0"/>
        <w:autoSpaceDN w:val="0"/>
        <w:adjustRightInd w:val="0"/>
        <w:textAlignment w:val="baseline"/>
        <w:rPr>
          <w:bCs/>
          <w:iCs/>
        </w:rPr>
      </w:pPr>
      <w:r>
        <w:t>El CESE:</w:t>
      </w:r>
    </w:p>
    <w:p w:rsidRPr="00A230A4" w:rsidR="00A230A4" w:rsidP="00BE1F8F" w:rsidRDefault="00A230A4" w14:paraId="6DCC695C" w14:textId="77777777">
      <w:pPr>
        <w:widowControl w:val="0"/>
        <w:numPr>
          <w:ilvl w:val="0"/>
          <w:numId w:val="28"/>
        </w:numPr>
        <w:overflowPunct w:val="0"/>
        <w:autoSpaceDE w:val="0"/>
        <w:autoSpaceDN w:val="0"/>
        <w:adjustRightInd w:val="0"/>
        <w:ind w:left="284" w:hanging="284"/>
        <w:textAlignment w:val="baseline"/>
        <w:rPr>
          <w:bCs/>
          <w:iCs/>
        </w:rPr>
      </w:pPr>
      <w:r>
        <w:t>considera crucial centrar más esfuerzos en mejorar la resiliencia y la fiabilidad de los sistemas de transporte; subraya la necesidad de llevar a cabo un análisis adecuado de las repercusiones de la crisis para todos los modos de transporte, así como de las posibles nuevas deficiencias en la conectividad de las distintas zonas dentro de la UE;</w:t>
      </w:r>
    </w:p>
    <w:p w:rsidRPr="00A230A4" w:rsidR="00A230A4" w:rsidP="00BE1F8F" w:rsidRDefault="00A230A4" w14:paraId="55F2F225" w14:textId="77777777">
      <w:pPr>
        <w:widowControl w:val="0"/>
        <w:numPr>
          <w:ilvl w:val="0"/>
          <w:numId w:val="28"/>
        </w:numPr>
        <w:overflowPunct w:val="0"/>
        <w:autoSpaceDE w:val="0"/>
        <w:autoSpaceDN w:val="0"/>
        <w:adjustRightInd w:val="0"/>
        <w:ind w:left="284" w:hanging="284"/>
        <w:textAlignment w:val="baseline"/>
      </w:pPr>
      <w:r>
        <w:t>considera imprescindible que en el próximo marco financiero plurianual (MFP) se asigne un nivel adecuado de financiación a la inversión en el desarrollo y el mantenimiento de las infraestructuras de transporte de manera bien focalizada, empezando por el objetivo de completar la red básica de la RTE-T para 2030;</w:t>
      </w:r>
    </w:p>
    <w:p w:rsidRPr="00A230A4" w:rsidR="00A230A4" w:rsidP="00BE1F8F" w:rsidRDefault="00A230A4" w14:paraId="64405BDE" w14:textId="77777777">
      <w:pPr>
        <w:widowControl w:val="0"/>
        <w:numPr>
          <w:ilvl w:val="0"/>
          <w:numId w:val="28"/>
        </w:numPr>
        <w:overflowPunct w:val="0"/>
        <w:autoSpaceDE w:val="0"/>
        <w:autoSpaceDN w:val="0"/>
        <w:adjustRightInd w:val="0"/>
        <w:ind w:left="284" w:hanging="284"/>
        <w:textAlignment w:val="baseline"/>
      </w:pPr>
      <w:r>
        <w:t>pide que se haga más hincapié en el doble uso de las infraestructuras y en la movilidad militar, a la vez que se mantiene la colaboración con la OTAN;</w:t>
      </w:r>
    </w:p>
    <w:p w:rsidRPr="00A230A4" w:rsidR="00A230A4" w:rsidP="00BE1F8F" w:rsidRDefault="00A230A4" w14:paraId="1411391B" w14:textId="77777777">
      <w:pPr>
        <w:widowControl w:val="0"/>
        <w:numPr>
          <w:ilvl w:val="0"/>
          <w:numId w:val="28"/>
        </w:numPr>
        <w:overflowPunct w:val="0"/>
        <w:autoSpaceDE w:val="0"/>
        <w:autoSpaceDN w:val="0"/>
        <w:adjustRightInd w:val="0"/>
        <w:ind w:left="284" w:hanging="284"/>
        <w:textAlignment w:val="baseline"/>
        <w:rPr>
          <w:szCs w:val="20"/>
        </w:rPr>
      </w:pPr>
      <w:r>
        <w:t>destaca que, desde el punto de vista de la seguridad global, es importante mejorar la vitalidad y las conexiones con el mercado único de las regiones fronterizas de la UE;</w:t>
      </w:r>
    </w:p>
    <w:p w:rsidRPr="00A230A4" w:rsidR="00A230A4" w:rsidP="00BE1F8F" w:rsidRDefault="00A230A4" w14:paraId="73C87209" w14:textId="77777777">
      <w:pPr>
        <w:widowControl w:val="0"/>
        <w:numPr>
          <w:ilvl w:val="0"/>
          <w:numId w:val="28"/>
        </w:numPr>
        <w:overflowPunct w:val="0"/>
        <w:autoSpaceDE w:val="0"/>
        <w:autoSpaceDN w:val="0"/>
        <w:adjustRightInd w:val="0"/>
        <w:ind w:left="284" w:hanging="284"/>
        <w:textAlignment w:val="baseline"/>
        <w:rPr>
          <w:szCs w:val="20"/>
        </w:rPr>
      </w:pPr>
      <w:r>
        <w:t>reclama medidas para facilitar la movilidad laboral, mejorar las competencias y las capacidades y hacer que el sector del transporte sea más atractivo.</w:t>
      </w:r>
    </w:p>
    <w:p w:rsidRPr="00A230A4" w:rsidR="00A230A4" w:rsidP="00713105" w:rsidRDefault="00A230A4" w14:paraId="7F485678" w14:textId="77777777">
      <w:pPr>
        <w:widowControl w:val="0"/>
        <w:overflowPunct w:val="0"/>
        <w:autoSpaceDE w:val="0"/>
        <w:autoSpaceDN w:val="0"/>
        <w:adjustRightInd w:val="0"/>
        <w:textAlignment w:val="baseline"/>
        <w:rPr>
          <w:szCs w:val="20"/>
          <w:lang w:val="en-GB"/>
        </w:rPr>
      </w:pPr>
    </w:p>
    <w:tbl>
      <w:tblPr>
        <w:tblW w:w="9322" w:type="dxa"/>
        <w:tblLook w:val="04A0" w:firstRow="1" w:lastRow="0" w:firstColumn="1" w:lastColumn="0" w:noHBand="0" w:noVBand="1"/>
      </w:tblPr>
      <w:tblGrid>
        <w:gridCol w:w="2235"/>
        <w:gridCol w:w="7087"/>
      </w:tblGrid>
      <w:tr w:rsidRPr="00A230A4" w:rsidR="00A230A4" w:rsidTr="003F3737" w14:paraId="4840AB28" w14:textId="77777777">
        <w:tc>
          <w:tcPr>
            <w:tcW w:w="2235" w:type="dxa"/>
          </w:tcPr>
          <w:p w:rsidRPr="00A230A4" w:rsidR="00A230A4" w:rsidP="00BE1F8F" w:rsidRDefault="00A230A4" w14:paraId="152A2305" w14:textId="77777777">
            <w:pPr>
              <w:overflowPunct w:val="0"/>
              <w:autoSpaceDE w:val="0"/>
              <w:autoSpaceDN w:val="0"/>
              <w:adjustRightInd w:val="0"/>
              <w:textAlignment w:val="baseline"/>
              <w:rPr>
                <w:i/>
              </w:rPr>
            </w:pPr>
            <w:r>
              <w:rPr>
                <w:b/>
                <w:i/>
              </w:rPr>
              <w:t>Contacto:</w:t>
            </w:r>
          </w:p>
        </w:tc>
        <w:tc>
          <w:tcPr>
            <w:tcW w:w="7087" w:type="dxa"/>
          </w:tcPr>
          <w:p w:rsidRPr="00A230A4" w:rsidR="00A230A4" w:rsidP="00BE1F8F" w:rsidRDefault="00A230A4" w14:paraId="0C8E402D" w14:textId="2EF89DD1">
            <w:pPr>
              <w:overflowPunct w:val="0"/>
              <w:autoSpaceDE w:val="0"/>
              <w:autoSpaceDN w:val="0"/>
              <w:adjustRightInd w:val="0"/>
              <w:textAlignment w:val="baseline"/>
              <w:rPr>
                <w:i/>
              </w:rPr>
            </w:pPr>
            <w:r>
              <w:rPr>
                <w:i/>
              </w:rPr>
              <w:t>Albert Precup</w:t>
            </w:r>
          </w:p>
        </w:tc>
      </w:tr>
      <w:tr w:rsidRPr="00A230A4" w:rsidR="00A230A4" w:rsidTr="003F3737" w14:paraId="19BEAAAD" w14:textId="77777777">
        <w:tc>
          <w:tcPr>
            <w:tcW w:w="2235" w:type="dxa"/>
          </w:tcPr>
          <w:p w:rsidRPr="00A230A4" w:rsidR="00A230A4" w:rsidP="00BE1F8F" w:rsidRDefault="00A230A4" w14:paraId="73F2E8D5" w14:textId="77777777">
            <w:pPr>
              <w:overflowPunct w:val="0"/>
              <w:autoSpaceDE w:val="0"/>
              <w:autoSpaceDN w:val="0"/>
              <w:adjustRightInd w:val="0"/>
              <w:textAlignment w:val="baseline"/>
              <w:rPr>
                <w:i/>
              </w:rPr>
            </w:pPr>
            <w:r>
              <w:rPr>
                <w:i/>
              </w:rPr>
              <w:t>Teléfono:</w:t>
            </w:r>
          </w:p>
        </w:tc>
        <w:tc>
          <w:tcPr>
            <w:tcW w:w="7087" w:type="dxa"/>
          </w:tcPr>
          <w:p w:rsidRPr="00A230A4" w:rsidR="00A230A4" w:rsidP="00BE1F8F" w:rsidRDefault="00A230A4" w14:paraId="48DB2246" w14:textId="44656696">
            <w:pPr>
              <w:overflowPunct w:val="0"/>
              <w:autoSpaceDE w:val="0"/>
              <w:autoSpaceDN w:val="0"/>
              <w:adjustRightInd w:val="0"/>
              <w:textAlignment w:val="baseline"/>
              <w:rPr>
                <w:i/>
              </w:rPr>
            </w:pPr>
            <w:r>
              <w:rPr>
                <w:i/>
              </w:rPr>
              <w:t>+32 25469326</w:t>
            </w:r>
          </w:p>
        </w:tc>
      </w:tr>
      <w:tr w:rsidRPr="00A230A4" w:rsidR="00A230A4" w:rsidTr="003F3737" w14:paraId="0708081C" w14:textId="77777777">
        <w:tc>
          <w:tcPr>
            <w:tcW w:w="2235" w:type="dxa"/>
          </w:tcPr>
          <w:p w:rsidRPr="00A230A4" w:rsidR="00A230A4" w:rsidP="00BE1F8F" w:rsidRDefault="0005257A" w14:paraId="42A6811E" w14:textId="3D597CE0">
            <w:pPr>
              <w:overflowPunct w:val="0"/>
              <w:autoSpaceDE w:val="0"/>
              <w:autoSpaceDN w:val="0"/>
              <w:adjustRightInd w:val="0"/>
              <w:textAlignment w:val="baseline"/>
              <w:rPr>
                <w:i/>
              </w:rPr>
            </w:pPr>
            <w:r>
              <w:rPr>
                <w:i/>
              </w:rPr>
              <w:t>Correo electrónico:</w:t>
            </w:r>
          </w:p>
        </w:tc>
        <w:tc>
          <w:tcPr>
            <w:tcW w:w="7087" w:type="dxa"/>
          </w:tcPr>
          <w:p w:rsidRPr="00A230A4" w:rsidR="00A230A4" w:rsidP="00BE1F8F" w:rsidRDefault="00593CA8" w14:paraId="08B446AD" w14:textId="03934908">
            <w:pPr>
              <w:overflowPunct w:val="0"/>
              <w:autoSpaceDE w:val="0"/>
              <w:autoSpaceDN w:val="0"/>
              <w:adjustRightInd w:val="0"/>
              <w:textAlignment w:val="baseline"/>
              <w:rPr>
                <w:i/>
              </w:rPr>
            </w:pPr>
            <w:hyperlink w:history="1" r:id="rId37">
              <w:r w:rsidR="001C131E">
                <w:rPr>
                  <w:i/>
                  <w:color w:val="0000FF"/>
                  <w:u w:val="single"/>
                </w:rPr>
                <w:t>Albert.Precup@eesc.europa.eu</w:t>
              </w:r>
            </w:hyperlink>
          </w:p>
        </w:tc>
      </w:tr>
    </w:tbl>
    <w:p w:rsidR="004D7AC0" w:rsidP="00BE1F8F" w:rsidRDefault="004D7AC0" w14:paraId="4982DDF2" w14:textId="77777777">
      <w:pPr>
        <w:jc w:val="left"/>
      </w:pPr>
      <w:r>
        <w:br w:type="page"/>
      </w:r>
    </w:p>
    <w:p w:rsidR="004D7AC0" w:rsidP="00BE1F8F" w:rsidRDefault="004D7AC0" w14:paraId="4982DDF3" w14:textId="77777777">
      <w:pPr>
        <w:pStyle w:val="Heading1"/>
        <w:rPr>
          <w:b/>
        </w:rPr>
      </w:pPr>
      <w:bookmarkStart w:name="_Toc75527083" w:id="20"/>
      <w:bookmarkStart w:name="_Toc192668669" w:id="21"/>
      <w:r>
        <w:rPr>
          <w:b/>
        </w:rPr>
        <w:lastRenderedPageBreak/>
        <w:t>MERCADO ÚNICO, PRODUCCIÓN Y CONSUMO</w:t>
      </w:r>
      <w:bookmarkEnd w:id="20"/>
      <w:bookmarkEnd w:id="21"/>
    </w:p>
    <w:p w:rsidR="004D7AC0" w:rsidP="00BE1F8F" w:rsidRDefault="004D7AC0" w14:paraId="4982DDF4" w14:textId="77777777"/>
    <w:p w:rsidRPr="001131B6" w:rsidR="009D7E2D" w:rsidP="001131B6" w:rsidRDefault="00593CA8" w14:paraId="4C3E6230" w14:textId="2999EF33">
      <w:pPr>
        <w:widowControl w:val="0"/>
        <w:numPr>
          <w:ilvl w:val="0"/>
          <w:numId w:val="2"/>
        </w:numPr>
        <w:overflowPunct w:val="0"/>
        <w:autoSpaceDE w:val="0"/>
        <w:autoSpaceDN w:val="0"/>
        <w:adjustRightInd w:val="0"/>
        <w:ind w:hanging="567"/>
        <w:textAlignment w:val="baseline"/>
        <w:rPr>
          <w:b/>
          <w:bCs/>
          <w:i/>
          <w:iCs/>
          <w:sz w:val="28"/>
          <w:szCs w:val="28"/>
        </w:rPr>
      </w:pPr>
      <w:hyperlink w:history="1" r:id="rId38">
        <w:r w:rsidR="001C131E">
          <w:rPr>
            <w:rStyle w:val="Hyperlink"/>
            <w:b/>
            <w:i/>
            <w:sz w:val="28"/>
          </w:rPr>
          <w:t>La protección de los consumidores y el impacto de las transiciones digital y ecológica en los consumidores</w:t>
        </w:r>
      </w:hyperlink>
    </w:p>
    <w:p w:rsidRPr="009D7E2D" w:rsidR="009D7E2D" w:rsidP="00BE1F8F" w:rsidRDefault="009D7E2D" w14:paraId="1049AE1F" w14:textId="77777777">
      <w:pPr>
        <w:widowControl w:val="0"/>
        <w:overflowPunct w:val="0"/>
        <w:autoSpaceDE w:val="0"/>
        <w:autoSpaceDN w:val="0"/>
        <w:adjustRightInd w:val="0"/>
        <w:ind w:left="266"/>
        <w:textAlignment w:val="baseline"/>
        <w:rPr>
          <w:b/>
          <w:lang w:val="en-GB"/>
        </w:rPr>
      </w:pPr>
    </w:p>
    <w:tbl>
      <w:tblPr>
        <w:tblW w:w="4941" w:type="pct"/>
        <w:tblLook w:val="04A0" w:firstRow="1" w:lastRow="0" w:firstColumn="1" w:lastColumn="0" w:noHBand="0" w:noVBand="1"/>
      </w:tblPr>
      <w:tblGrid>
        <w:gridCol w:w="1668"/>
        <w:gridCol w:w="7509"/>
      </w:tblGrid>
      <w:tr w:rsidRPr="009D7E2D" w:rsidR="009D7E2D" w:rsidTr="00B51A72" w14:paraId="436EE5FD" w14:textId="77777777">
        <w:tc>
          <w:tcPr>
            <w:tcW w:w="909" w:type="pct"/>
          </w:tcPr>
          <w:p w:rsidRPr="009D7E2D" w:rsidR="009D7E2D" w:rsidP="00BE1F8F" w:rsidRDefault="009D7E2D" w14:paraId="75A99734" w14:textId="77777777">
            <w:pPr>
              <w:tabs>
                <w:tab w:val="center" w:pos="284"/>
              </w:tabs>
              <w:overflowPunct w:val="0"/>
              <w:autoSpaceDE w:val="0"/>
              <w:autoSpaceDN w:val="0"/>
              <w:adjustRightInd w:val="0"/>
              <w:ind w:left="266" w:hanging="266"/>
              <w:textAlignment w:val="baseline"/>
              <w:rPr>
                <w:b/>
              </w:rPr>
            </w:pPr>
            <w:r>
              <w:rPr>
                <w:b/>
              </w:rPr>
              <w:t>Ponente</w:t>
            </w:r>
          </w:p>
        </w:tc>
        <w:tc>
          <w:tcPr>
            <w:tcW w:w="4091" w:type="pct"/>
          </w:tcPr>
          <w:p w:rsidRPr="009D7E2D" w:rsidR="009D7E2D" w:rsidP="00BE1F8F" w:rsidRDefault="009D7E2D" w14:paraId="061A8BB9" w14:textId="77777777">
            <w:pPr>
              <w:overflowPunct w:val="0"/>
              <w:autoSpaceDE w:val="0"/>
              <w:autoSpaceDN w:val="0"/>
              <w:adjustRightInd w:val="0"/>
              <w:textAlignment w:val="baseline"/>
            </w:pPr>
            <w:r>
              <w:t>Ileana IZVERNICEANU DE LA IGLESIA (Grupo de Organizaciones de la Sociedad Civil – ES)</w:t>
            </w:r>
          </w:p>
        </w:tc>
      </w:tr>
      <w:tr w:rsidRPr="009D7E2D" w:rsidR="009D7E2D" w:rsidTr="00B51A72" w14:paraId="61B6CD20" w14:textId="77777777">
        <w:tc>
          <w:tcPr>
            <w:tcW w:w="909" w:type="pct"/>
            <w:vMerge w:val="restart"/>
          </w:tcPr>
          <w:p w:rsidRPr="009D7E2D" w:rsidR="009D7E2D" w:rsidP="00BE1F8F" w:rsidRDefault="009D7E2D" w14:paraId="4A0DBE9C" w14:textId="24B5187B">
            <w:pPr>
              <w:tabs>
                <w:tab w:val="center" w:pos="284"/>
              </w:tabs>
              <w:overflowPunct w:val="0"/>
              <w:autoSpaceDE w:val="0"/>
              <w:autoSpaceDN w:val="0"/>
              <w:adjustRightInd w:val="0"/>
              <w:ind w:left="266" w:hanging="266"/>
              <w:textAlignment w:val="baseline"/>
              <w:rPr>
                <w:b/>
              </w:rPr>
            </w:pPr>
            <w:r>
              <w:rPr>
                <w:b/>
              </w:rPr>
              <w:t>Referencia</w:t>
            </w:r>
          </w:p>
        </w:tc>
        <w:tc>
          <w:tcPr>
            <w:tcW w:w="4091" w:type="pct"/>
          </w:tcPr>
          <w:p w:rsidRPr="009D7E2D" w:rsidR="009D7E2D" w:rsidP="00B51A72" w:rsidRDefault="009D7E2D" w14:paraId="0C563187" w14:textId="6D44D6A6">
            <w:pPr>
              <w:overflowPunct w:val="0"/>
              <w:autoSpaceDE w:val="0"/>
              <w:autoSpaceDN w:val="0"/>
              <w:adjustRightInd w:val="0"/>
              <w:textAlignment w:val="baseline"/>
            </w:pPr>
            <w:r>
              <w:t>Dictamen exploratorio solicitado por la Presidencia polaca del Consejo de la UE</w:t>
            </w:r>
          </w:p>
        </w:tc>
      </w:tr>
      <w:tr w:rsidRPr="009D7E2D" w:rsidR="009D7E2D" w:rsidTr="00B51A72" w14:paraId="52EB6CD9" w14:textId="77777777">
        <w:tc>
          <w:tcPr>
            <w:tcW w:w="909" w:type="pct"/>
            <w:vMerge/>
          </w:tcPr>
          <w:p w:rsidRPr="009D7E2D" w:rsidR="009D7E2D" w:rsidP="00BE1F8F" w:rsidRDefault="009D7E2D" w14:paraId="3CE83099" w14:textId="77777777">
            <w:pPr>
              <w:tabs>
                <w:tab w:val="center" w:pos="284"/>
              </w:tabs>
              <w:overflowPunct w:val="0"/>
              <w:autoSpaceDE w:val="0"/>
              <w:autoSpaceDN w:val="0"/>
              <w:adjustRightInd w:val="0"/>
              <w:ind w:left="266" w:hanging="266"/>
              <w:textAlignment w:val="baseline"/>
              <w:rPr>
                <w:b/>
              </w:rPr>
            </w:pPr>
          </w:p>
        </w:tc>
        <w:tc>
          <w:tcPr>
            <w:tcW w:w="4091" w:type="pct"/>
          </w:tcPr>
          <w:p w:rsidRPr="009D7E2D" w:rsidR="009D7E2D" w:rsidP="00BE1F8F" w:rsidRDefault="009D7E2D" w14:paraId="329D2D9B" w14:textId="77777777">
            <w:pPr>
              <w:tabs>
                <w:tab w:val="center" w:pos="284"/>
              </w:tabs>
              <w:overflowPunct w:val="0"/>
              <w:autoSpaceDE w:val="0"/>
              <w:autoSpaceDN w:val="0"/>
              <w:adjustRightInd w:val="0"/>
              <w:ind w:left="266" w:hanging="266"/>
              <w:textAlignment w:val="baseline"/>
            </w:pPr>
            <w:r>
              <w:t>EESC-2024-03566-00-00-AC</w:t>
            </w:r>
          </w:p>
        </w:tc>
      </w:tr>
    </w:tbl>
    <w:p w:rsidRPr="009D7E2D" w:rsidR="009D7E2D" w:rsidP="00BE1F8F" w:rsidRDefault="009D7E2D" w14:paraId="2CBB9CFF" w14:textId="77777777">
      <w:pPr>
        <w:tabs>
          <w:tab w:val="center" w:pos="284"/>
        </w:tabs>
        <w:overflowPunct w:val="0"/>
        <w:autoSpaceDE w:val="0"/>
        <w:autoSpaceDN w:val="0"/>
        <w:adjustRightInd w:val="0"/>
        <w:ind w:left="266" w:hanging="266"/>
        <w:textAlignment w:val="baseline"/>
        <w:rPr>
          <w:lang w:val="en-GB"/>
        </w:rPr>
      </w:pPr>
    </w:p>
    <w:p w:rsidRPr="009D7E2D" w:rsidR="009D7E2D" w:rsidP="00BE1F8F" w:rsidRDefault="009D7E2D" w14:paraId="3482A626"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9D7E2D" w:rsidR="009D7E2D" w:rsidP="00BE1F8F" w:rsidRDefault="009D7E2D" w14:paraId="132CCC89" w14:textId="77777777">
      <w:pPr>
        <w:keepNext/>
        <w:keepLines/>
        <w:tabs>
          <w:tab w:val="center" w:pos="284"/>
        </w:tabs>
        <w:overflowPunct w:val="0"/>
        <w:autoSpaceDE w:val="0"/>
        <w:autoSpaceDN w:val="0"/>
        <w:adjustRightInd w:val="0"/>
        <w:ind w:left="266" w:hanging="266"/>
        <w:textAlignment w:val="baseline"/>
        <w:rPr>
          <w:b/>
          <w:lang w:val="en-GB"/>
        </w:rPr>
      </w:pPr>
    </w:p>
    <w:p w:rsidRPr="009D7E2D" w:rsidR="009D7E2D" w:rsidP="00BE1F8F" w:rsidRDefault="009D7E2D" w14:paraId="38AF573F" w14:textId="77777777">
      <w:pPr>
        <w:overflowPunct w:val="0"/>
        <w:autoSpaceDE w:val="0"/>
        <w:autoSpaceDN w:val="0"/>
        <w:adjustRightInd w:val="0"/>
        <w:textAlignment w:val="baseline"/>
        <w:rPr>
          <w:i/>
          <w:iCs/>
          <w:sz w:val="24"/>
          <w:szCs w:val="24"/>
        </w:rPr>
      </w:pPr>
      <w:r>
        <w:rPr>
          <w:i/>
        </w:rPr>
        <w:t>La</w:t>
      </w:r>
      <w:r>
        <w:t xml:space="preserve"> </w:t>
      </w:r>
      <w:hyperlink w:history="1" r:id="rId39">
        <w:r>
          <w:rPr>
            <w:i/>
            <w:color w:val="0000FF"/>
            <w:u w:val="single"/>
          </w:rPr>
          <w:t>evaluación de la UE desde el punto de vista de los jóvenes en el CESE</w:t>
        </w:r>
      </w:hyperlink>
      <w:r>
        <w:rPr>
          <w:i/>
        </w:rPr>
        <w:t xml:space="preserve"> se aplica a este Dictamen. Un grupo de organizaciones juveniles interesadas escogieron a la European Youth Energy Network para que las represente durante el proceso de elaboración del Dictamen.</w:t>
      </w:r>
    </w:p>
    <w:p w:rsidRPr="009D7E2D" w:rsidR="009D7E2D" w:rsidP="00BE1F8F" w:rsidRDefault="009D7E2D" w14:paraId="39B2DD8F" w14:textId="77777777">
      <w:pPr>
        <w:keepNext/>
        <w:keepLines/>
        <w:tabs>
          <w:tab w:val="center" w:pos="284"/>
        </w:tabs>
        <w:overflowPunct w:val="0"/>
        <w:autoSpaceDE w:val="0"/>
        <w:autoSpaceDN w:val="0"/>
        <w:adjustRightInd w:val="0"/>
        <w:ind w:left="266" w:hanging="266"/>
        <w:textAlignment w:val="baseline"/>
        <w:rPr>
          <w:b/>
          <w:lang w:val="en-GB"/>
        </w:rPr>
      </w:pPr>
    </w:p>
    <w:p w:rsidR="009D7E2D" w:rsidP="00BE1F8F" w:rsidRDefault="009D7E2D" w14:paraId="1DEA9057" w14:textId="77777777">
      <w:pPr>
        <w:overflowPunct w:val="0"/>
        <w:autoSpaceDE w:val="0"/>
        <w:autoSpaceDN w:val="0"/>
        <w:adjustRightInd w:val="0"/>
        <w:textAlignment w:val="baseline"/>
        <w:rPr>
          <w:bCs/>
          <w:iCs/>
        </w:rPr>
      </w:pPr>
      <w:r>
        <w:t>El CESE:</w:t>
      </w:r>
    </w:p>
    <w:p w:rsidRPr="009D7E2D" w:rsidR="009D7E2D" w:rsidP="00BE1F8F" w:rsidRDefault="009D7E2D" w14:paraId="4AB027D5" w14:textId="77777777">
      <w:pPr>
        <w:widowControl w:val="0"/>
        <w:numPr>
          <w:ilvl w:val="0"/>
          <w:numId w:val="29"/>
        </w:numPr>
        <w:overflowPunct w:val="0"/>
        <w:autoSpaceDE w:val="0"/>
        <w:autoSpaceDN w:val="0"/>
        <w:adjustRightInd w:val="0"/>
        <w:ind w:left="284" w:hanging="284"/>
        <w:textAlignment w:val="baseline"/>
        <w:rPr>
          <w:bCs/>
          <w:iCs/>
        </w:rPr>
      </w:pPr>
      <w:r>
        <w:t>considera necesario armonizar, a escala europea, los requisitos de información obligatoria y voluntaria de los productos, evitar la infoxicación y garantizar la veracidad de las etiquetas para que los consumidores puedan adoptar patrones de consumo más sostenibles;</w:t>
      </w:r>
    </w:p>
    <w:p w:rsidRPr="009D7E2D" w:rsidR="009D7E2D" w:rsidP="00BE1F8F" w:rsidRDefault="009D7E2D" w14:paraId="62F4E221" w14:textId="77777777">
      <w:pPr>
        <w:widowControl w:val="0"/>
        <w:numPr>
          <w:ilvl w:val="0"/>
          <w:numId w:val="29"/>
        </w:numPr>
        <w:overflowPunct w:val="0"/>
        <w:autoSpaceDE w:val="0"/>
        <w:autoSpaceDN w:val="0"/>
        <w:adjustRightInd w:val="0"/>
        <w:ind w:left="284" w:hanging="284"/>
        <w:textAlignment w:val="baseline"/>
        <w:rPr>
          <w:bCs/>
          <w:iCs/>
        </w:rPr>
      </w:pPr>
      <w:r>
        <w:t>precisa que es crucial etiquetar los productos de manera que facilite la compra informada, proporcionando las informaciones sobre los costes del ciclo de vida, la eficiencia energética, la durabilidad y la reparabilidad de los productos;</w:t>
      </w:r>
    </w:p>
    <w:p w:rsidRPr="009D7E2D" w:rsidR="009D7E2D" w:rsidP="00BE1F8F" w:rsidRDefault="009D7E2D" w14:paraId="6793FE54" w14:textId="77777777">
      <w:pPr>
        <w:widowControl w:val="0"/>
        <w:numPr>
          <w:ilvl w:val="0"/>
          <w:numId w:val="29"/>
        </w:numPr>
        <w:overflowPunct w:val="0"/>
        <w:autoSpaceDE w:val="0"/>
        <w:autoSpaceDN w:val="0"/>
        <w:adjustRightInd w:val="0"/>
        <w:ind w:left="284" w:hanging="284"/>
        <w:textAlignment w:val="baseline"/>
        <w:rPr>
          <w:bCs/>
          <w:iCs/>
        </w:rPr>
      </w:pPr>
      <w:r>
        <w:t>pide a la Comisión y a las autoridades nacionales que desarrollen un marco adecuado que garantice el acceso a productos sostenibles mediante incentivos fiscales y, en algunos casos, subvenciones directas para reducir el diferencial de precio;</w:t>
      </w:r>
    </w:p>
    <w:p w:rsidRPr="009D7E2D" w:rsidR="009D7E2D" w:rsidP="00BE1F8F" w:rsidRDefault="009D7E2D" w14:paraId="3390BD66" w14:textId="77777777">
      <w:pPr>
        <w:widowControl w:val="0"/>
        <w:numPr>
          <w:ilvl w:val="0"/>
          <w:numId w:val="29"/>
        </w:numPr>
        <w:overflowPunct w:val="0"/>
        <w:autoSpaceDE w:val="0"/>
        <w:autoSpaceDN w:val="0"/>
        <w:adjustRightInd w:val="0"/>
        <w:ind w:left="284" w:hanging="284"/>
        <w:textAlignment w:val="baseline"/>
        <w:rPr>
          <w:bCs/>
          <w:iCs/>
        </w:rPr>
      </w:pPr>
      <w:r>
        <w:t>pide que implementen políticas eficaces para asegurar el acceso al mercado digital, especialmente en zonas rurales y menos pobladas, y para integrar a los consumidores con menos capacidades digitales;</w:t>
      </w:r>
    </w:p>
    <w:p w:rsidRPr="009D7E2D" w:rsidR="009D7E2D" w:rsidP="00BE1F8F" w:rsidRDefault="009D7E2D" w14:paraId="52BEC693" w14:textId="77777777">
      <w:pPr>
        <w:widowControl w:val="0"/>
        <w:numPr>
          <w:ilvl w:val="0"/>
          <w:numId w:val="29"/>
        </w:numPr>
        <w:overflowPunct w:val="0"/>
        <w:autoSpaceDE w:val="0"/>
        <w:autoSpaceDN w:val="0"/>
        <w:adjustRightInd w:val="0"/>
        <w:ind w:left="284" w:hanging="284"/>
        <w:textAlignment w:val="baseline"/>
      </w:pPr>
      <w:r>
        <w:t>reitera la importancia de educar a los consumidores para que tomen decisiones informadas;</w:t>
      </w:r>
    </w:p>
    <w:p w:rsidRPr="009D7E2D" w:rsidR="009D7E2D" w:rsidP="00BE1F8F" w:rsidRDefault="009D7E2D" w14:paraId="7BD4CB0B" w14:textId="77777777">
      <w:pPr>
        <w:widowControl w:val="0"/>
        <w:numPr>
          <w:ilvl w:val="0"/>
          <w:numId w:val="29"/>
        </w:numPr>
        <w:overflowPunct w:val="0"/>
        <w:autoSpaceDE w:val="0"/>
        <w:autoSpaceDN w:val="0"/>
        <w:adjustRightInd w:val="0"/>
        <w:ind w:left="284" w:hanging="284"/>
        <w:textAlignment w:val="baseline"/>
      </w:pPr>
      <w:r>
        <w:t>hace hincapié en el papel importante que desempeñan las organizaciones de consumidores en las transiciones digital y ecológica y subraya la necesidad de garantizar su financiación;</w:t>
      </w:r>
    </w:p>
    <w:p w:rsidRPr="009D7E2D" w:rsidR="009D7E2D" w:rsidP="00BE1F8F" w:rsidRDefault="009D7E2D" w14:paraId="2D7E5670" w14:textId="77777777">
      <w:pPr>
        <w:widowControl w:val="0"/>
        <w:numPr>
          <w:ilvl w:val="0"/>
          <w:numId w:val="29"/>
        </w:numPr>
        <w:overflowPunct w:val="0"/>
        <w:autoSpaceDE w:val="0"/>
        <w:autoSpaceDN w:val="0"/>
        <w:adjustRightInd w:val="0"/>
        <w:ind w:left="284" w:hanging="284"/>
        <w:textAlignment w:val="baseline"/>
      </w:pPr>
      <w:r>
        <w:t>pide velar por que también los consumidores vulnerables puedan acceder a productos asequibles y sostenibles, teniendo en cuenta que la vulnerabilidad puede deberse a distintas razones y cambiar con el tiempo;</w:t>
      </w:r>
    </w:p>
    <w:p w:rsidRPr="009D7E2D" w:rsidR="009D7E2D" w:rsidP="00BE1F8F" w:rsidRDefault="009D7E2D" w14:paraId="62C6E0D3" w14:textId="77777777">
      <w:pPr>
        <w:widowControl w:val="0"/>
        <w:numPr>
          <w:ilvl w:val="0"/>
          <w:numId w:val="29"/>
        </w:numPr>
        <w:overflowPunct w:val="0"/>
        <w:autoSpaceDE w:val="0"/>
        <w:autoSpaceDN w:val="0"/>
        <w:adjustRightInd w:val="0"/>
        <w:ind w:left="284" w:hanging="284"/>
        <w:textAlignment w:val="baseline"/>
        <w:rPr>
          <w:rFonts w:asciiTheme="minorHAnsi" w:hAnsiTheme="minorHAnsi"/>
          <w:szCs w:val="20"/>
        </w:rPr>
      </w:pPr>
      <w:r>
        <w:t>considera que la UE debe abordar los efectos negativos de las plataformas de terceros países que ofrecen productos a precios bajos y establecer una regulación más estricta incluyendo derechos aduaneros eficaces.</w:t>
      </w:r>
    </w:p>
    <w:p w:rsidRPr="009D7E2D" w:rsidR="009D7E2D" w:rsidP="00BE1F8F" w:rsidRDefault="009D7E2D" w14:paraId="02ABEC34"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234"/>
        <w:gridCol w:w="7053"/>
      </w:tblGrid>
      <w:tr w:rsidRPr="009D7E2D" w:rsidR="009D7E2D" w:rsidTr="003F3737" w14:paraId="5FEB6264" w14:textId="77777777">
        <w:tc>
          <w:tcPr>
            <w:tcW w:w="1203" w:type="pct"/>
          </w:tcPr>
          <w:p w:rsidRPr="009D7E2D" w:rsidR="009D7E2D" w:rsidP="003F3737" w:rsidRDefault="009D7E2D" w14:paraId="1891296F" w14:textId="332D9305">
            <w:pPr>
              <w:overflowPunct w:val="0"/>
              <w:autoSpaceDE w:val="0"/>
              <w:autoSpaceDN w:val="0"/>
              <w:adjustRightInd w:val="0"/>
              <w:spacing w:line="283" w:lineRule="auto"/>
              <w:textAlignment w:val="baseline"/>
              <w:rPr>
                <w:i/>
              </w:rPr>
            </w:pPr>
            <w:r>
              <w:rPr>
                <w:b/>
                <w:i/>
              </w:rPr>
              <w:t>Contacto:</w:t>
            </w:r>
          </w:p>
        </w:tc>
        <w:tc>
          <w:tcPr>
            <w:tcW w:w="3797" w:type="pct"/>
          </w:tcPr>
          <w:p w:rsidR="00713105" w:rsidP="003F3737" w:rsidRDefault="009D7E2D" w14:paraId="2EBED78A" w14:textId="77777777">
            <w:pPr>
              <w:overflowPunct w:val="0"/>
              <w:autoSpaceDE w:val="0"/>
              <w:autoSpaceDN w:val="0"/>
              <w:adjustRightInd w:val="0"/>
              <w:spacing w:line="283" w:lineRule="auto"/>
              <w:textAlignment w:val="baseline"/>
              <w:rPr>
                <w:bCs/>
                <w:i/>
              </w:rPr>
            </w:pPr>
            <w:r>
              <w:rPr>
                <w:i/>
              </w:rPr>
              <w:t>Radoslava Stefankova</w:t>
            </w:r>
          </w:p>
          <w:p w:rsidRPr="009D7E2D" w:rsidR="009D7E2D" w:rsidP="003F3737" w:rsidRDefault="009D7E2D" w14:paraId="13EF570E" w14:textId="166D0132">
            <w:pPr>
              <w:overflowPunct w:val="0"/>
              <w:autoSpaceDE w:val="0"/>
              <w:autoSpaceDN w:val="0"/>
              <w:adjustRightInd w:val="0"/>
              <w:spacing w:line="283" w:lineRule="auto"/>
              <w:textAlignment w:val="baseline"/>
              <w:rPr>
                <w:bCs/>
                <w:i/>
              </w:rPr>
            </w:pPr>
            <w:r>
              <w:rPr>
                <w:i/>
              </w:rPr>
              <w:t>Yousra Asbouni El Ouahabi</w:t>
            </w:r>
          </w:p>
        </w:tc>
      </w:tr>
      <w:tr w:rsidRPr="009D7E2D" w:rsidR="009D7E2D" w:rsidTr="003F3737" w14:paraId="56CD236C" w14:textId="77777777">
        <w:tc>
          <w:tcPr>
            <w:tcW w:w="1203" w:type="pct"/>
          </w:tcPr>
          <w:p w:rsidRPr="009D7E2D" w:rsidR="009D7E2D" w:rsidP="003F3737" w:rsidRDefault="009D7E2D" w14:paraId="642A79E8" w14:textId="77777777">
            <w:pPr>
              <w:overflowPunct w:val="0"/>
              <w:autoSpaceDE w:val="0"/>
              <w:autoSpaceDN w:val="0"/>
              <w:adjustRightInd w:val="0"/>
              <w:spacing w:line="283" w:lineRule="auto"/>
              <w:textAlignment w:val="baseline"/>
              <w:rPr>
                <w:i/>
              </w:rPr>
            </w:pPr>
            <w:r>
              <w:rPr>
                <w:i/>
              </w:rPr>
              <w:t>Teléfono:</w:t>
            </w:r>
          </w:p>
        </w:tc>
        <w:tc>
          <w:tcPr>
            <w:tcW w:w="3797" w:type="pct"/>
          </w:tcPr>
          <w:p w:rsidR="00866666" w:rsidP="003F3737" w:rsidRDefault="009D7E2D" w14:paraId="6BF80798" w14:textId="77777777">
            <w:pPr>
              <w:overflowPunct w:val="0"/>
              <w:autoSpaceDE w:val="0"/>
              <w:autoSpaceDN w:val="0"/>
              <w:adjustRightInd w:val="0"/>
              <w:spacing w:line="283" w:lineRule="auto"/>
              <w:textAlignment w:val="baseline"/>
              <w:rPr>
                <w:i/>
              </w:rPr>
            </w:pPr>
            <w:r>
              <w:rPr>
                <w:i/>
              </w:rPr>
              <w:t>+32 25468188</w:t>
            </w:r>
          </w:p>
          <w:p w:rsidRPr="009D7E2D" w:rsidR="009D7E2D" w:rsidP="003F3737" w:rsidRDefault="009D7E2D" w14:paraId="4C93A27B" w14:textId="441660D1">
            <w:pPr>
              <w:overflowPunct w:val="0"/>
              <w:autoSpaceDE w:val="0"/>
              <w:autoSpaceDN w:val="0"/>
              <w:adjustRightInd w:val="0"/>
              <w:spacing w:line="283" w:lineRule="auto"/>
              <w:textAlignment w:val="baseline"/>
              <w:rPr>
                <w:i/>
              </w:rPr>
            </w:pPr>
            <w:r>
              <w:rPr>
                <w:i/>
              </w:rPr>
              <w:t>+32 25468485</w:t>
            </w:r>
          </w:p>
        </w:tc>
      </w:tr>
      <w:tr w:rsidRPr="009D7E2D" w:rsidR="009D7E2D" w:rsidTr="003F3737" w14:paraId="79FB8085" w14:textId="77777777">
        <w:tc>
          <w:tcPr>
            <w:tcW w:w="1203" w:type="pct"/>
          </w:tcPr>
          <w:p w:rsidRPr="009D7E2D" w:rsidR="009D7E2D" w:rsidP="003F3737" w:rsidRDefault="009D7E2D" w14:paraId="16D4BECD" w14:textId="766DF770">
            <w:pPr>
              <w:overflowPunct w:val="0"/>
              <w:autoSpaceDE w:val="0"/>
              <w:autoSpaceDN w:val="0"/>
              <w:adjustRightInd w:val="0"/>
              <w:spacing w:line="283" w:lineRule="auto"/>
              <w:textAlignment w:val="baseline"/>
              <w:rPr>
                <w:i/>
              </w:rPr>
            </w:pPr>
            <w:r>
              <w:rPr>
                <w:i/>
              </w:rPr>
              <w:t>Correo electrónico:</w:t>
            </w:r>
          </w:p>
        </w:tc>
        <w:tc>
          <w:tcPr>
            <w:tcW w:w="3797" w:type="pct"/>
          </w:tcPr>
          <w:p w:rsidRPr="009D7E2D" w:rsidR="009D7E2D" w:rsidP="003F3737" w:rsidRDefault="00593CA8" w14:paraId="7AA88CC5" w14:textId="77777777">
            <w:pPr>
              <w:overflowPunct w:val="0"/>
              <w:autoSpaceDE w:val="0"/>
              <w:autoSpaceDN w:val="0"/>
              <w:adjustRightInd w:val="0"/>
              <w:spacing w:line="283" w:lineRule="auto"/>
              <w:textAlignment w:val="baseline"/>
            </w:pPr>
            <w:hyperlink w:history="1" r:id="rId40">
              <w:r w:rsidR="001C131E">
                <w:rPr>
                  <w:i/>
                  <w:color w:val="0000FF"/>
                  <w:u w:val="single"/>
                </w:rPr>
                <w:t>Radoslava.Stefankova@eesc.europa.eu</w:t>
              </w:r>
            </w:hyperlink>
          </w:p>
          <w:p w:rsidRPr="009D7E2D" w:rsidR="009D7E2D" w:rsidP="003F3737" w:rsidRDefault="00593CA8" w14:paraId="2F2D5AA7" w14:textId="77777777">
            <w:pPr>
              <w:overflowPunct w:val="0"/>
              <w:autoSpaceDE w:val="0"/>
              <w:autoSpaceDN w:val="0"/>
              <w:adjustRightInd w:val="0"/>
              <w:spacing w:line="283" w:lineRule="auto"/>
              <w:textAlignment w:val="baseline"/>
              <w:rPr>
                <w:i/>
              </w:rPr>
            </w:pPr>
            <w:hyperlink w:history="1" r:id="rId41">
              <w:r w:rsidR="001C131E">
                <w:rPr>
                  <w:i/>
                  <w:color w:val="0000FF"/>
                  <w:u w:val="single"/>
                </w:rPr>
                <w:t>Yousra.Asbounielouahabi@eesc.europa.eu</w:t>
              </w:r>
            </w:hyperlink>
          </w:p>
        </w:tc>
      </w:tr>
    </w:tbl>
    <w:p w:rsidRPr="003F3737" w:rsidR="009D7E2D" w:rsidP="00BE1F8F" w:rsidRDefault="009D7E2D" w14:paraId="1988C04D" w14:textId="77777777">
      <w:pPr>
        <w:jc w:val="left"/>
        <w:rPr>
          <w:sz w:val="4"/>
          <w:szCs w:val="4"/>
        </w:rPr>
      </w:pPr>
      <w:r w:rsidRPr="003F3737">
        <w:rPr>
          <w:sz w:val="4"/>
          <w:szCs w:val="4"/>
        </w:rPr>
        <w:br w:type="page"/>
      </w:r>
    </w:p>
    <w:p w:rsidRPr="00C43D3E" w:rsidR="00FD106B" w:rsidP="00C77862" w:rsidRDefault="00593CA8" w14:paraId="3CC025EB" w14:textId="298D155B">
      <w:pPr>
        <w:widowControl w:val="0"/>
        <w:numPr>
          <w:ilvl w:val="0"/>
          <w:numId w:val="2"/>
        </w:numPr>
        <w:overflowPunct w:val="0"/>
        <w:autoSpaceDE w:val="0"/>
        <w:autoSpaceDN w:val="0"/>
        <w:adjustRightInd w:val="0"/>
        <w:ind w:hanging="567"/>
        <w:textAlignment w:val="baseline"/>
        <w:rPr>
          <w:b/>
        </w:rPr>
      </w:pPr>
      <w:hyperlink w:tgtFrame="_blank" w:history="1" r:id="rId42">
        <w:r w:rsidR="001C131E">
          <w:rPr>
            <w:b/>
            <w:i/>
            <w:color w:val="0000FF"/>
            <w:sz w:val="28"/>
            <w:u w:val="single"/>
          </w:rPr>
          <w:t>Evaluación de los informes Letta y Draghi sobre el funcionamiento y la competitividad del mercado único de la UE</w:t>
        </w:r>
      </w:hyperlink>
    </w:p>
    <w:p w:rsidRPr="00FD106B" w:rsidR="00627052" w:rsidP="00BE1F8F" w:rsidRDefault="00627052" w14:paraId="13CC97A0" w14:textId="77777777">
      <w:pPr>
        <w:widowControl w:val="0"/>
        <w:overflowPunct w:val="0"/>
        <w:autoSpaceDE w:val="0"/>
        <w:autoSpaceDN w:val="0"/>
        <w:adjustRightInd w:val="0"/>
        <w:ind w:left="284"/>
        <w:textAlignment w:val="baseline"/>
        <w:rPr>
          <w:b/>
          <w:lang w:val="en-GB"/>
        </w:rPr>
      </w:pPr>
    </w:p>
    <w:tbl>
      <w:tblPr>
        <w:tblW w:w="4941" w:type="pct"/>
        <w:tblLook w:val="04A0" w:firstRow="1" w:lastRow="0" w:firstColumn="1" w:lastColumn="0" w:noHBand="0" w:noVBand="1"/>
      </w:tblPr>
      <w:tblGrid>
        <w:gridCol w:w="2032"/>
        <w:gridCol w:w="7145"/>
      </w:tblGrid>
      <w:tr w:rsidRPr="00FD106B" w:rsidR="00FD106B" w:rsidTr="00713105" w14:paraId="6CE7B306" w14:textId="77777777">
        <w:tc>
          <w:tcPr>
            <w:tcW w:w="1107" w:type="pct"/>
          </w:tcPr>
          <w:p w:rsidRPr="00FD106B" w:rsidR="00FD106B" w:rsidP="00BE1F8F" w:rsidRDefault="00FD106B" w14:paraId="327B6AE9" w14:textId="77777777">
            <w:pPr>
              <w:tabs>
                <w:tab w:val="center" w:pos="284"/>
              </w:tabs>
              <w:overflowPunct w:val="0"/>
              <w:autoSpaceDE w:val="0"/>
              <w:autoSpaceDN w:val="0"/>
              <w:adjustRightInd w:val="0"/>
              <w:ind w:left="266" w:hanging="266"/>
              <w:textAlignment w:val="baseline"/>
              <w:rPr>
                <w:b/>
              </w:rPr>
            </w:pPr>
            <w:r>
              <w:rPr>
                <w:b/>
              </w:rPr>
              <w:t>Ponentes</w:t>
            </w:r>
          </w:p>
        </w:tc>
        <w:tc>
          <w:tcPr>
            <w:tcW w:w="3893" w:type="pct"/>
          </w:tcPr>
          <w:p w:rsidR="00FD106B" w:rsidP="00BE1F8F" w:rsidRDefault="00FD106B" w14:paraId="43C12B82" w14:textId="24791F53">
            <w:pPr>
              <w:tabs>
                <w:tab w:val="center" w:pos="284"/>
              </w:tabs>
              <w:overflowPunct w:val="0"/>
              <w:autoSpaceDE w:val="0"/>
              <w:autoSpaceDN w:val="0"/>
              <w:adjustRightInd w:val="0"/>
              <w:ind w:left="266" w:hanging="266"/>
              <w:textAlignment w:val="baseline"/>
            </w:pPr>
            <w:r>
              <w:t>Matteo Carlo BORSANI (Grupo de Empresarios – IT)</w:t>
            </w:r>
          </w:p>
          <w:p w:rsidRPr="00FD106B" w:rsidR="009A2569" w:rsidP="00BE1F8F" w:rsidRDefault="009A2569" w14:paraId="550E4016" w14:textId="61E3CEA7">
            <w:pPr>
              <w:tabs>
                <w:tab w:val="center" w:pos="284"/>
              </w:tabs>
              <w:overflowPunct w:val="0"/>
              <w:autoSpaceDE w:val="0"/>
              <w:autoSpaceDN w:val="0"/>
              <w:adjustRightInd w:val="0"/>
              <w:ind w:left="266" w:hanging="266"/>
              <w:textAlignment w:val="baseline"/>
            </w:pPr>
            <w:r>
              <w:t>Stefano PALMIERI (Grupo de Trabajadores - IT)</w:t>
            </w:r>
          </w:p>
          <w:p w:rsidRPr="00FD106B" w:rsidR="00FD106B" w:rsidP="00BE1F8F" w:rsidRDefault="00FD106B" w14:paraId="291D8799" w14:textId="6ED3A591">
            <w:pPr>
              <w:tabs>
                <w:tab w:val="center" w:pos="284"/>
              </w:tabs>
              <w:overflowPunct w:val="0"/>
              <w:autoSpaceDE w:val="0"/>
              <w:autoSpaceDN w:val="0"/>
              <w:adjustRightInd w:val="0"/>
              <w:ind w:left="266" w:hanging="266"/>
              <w:textAlignment w:val="baseline"/>
            </w:pPr>
            <w:r>
              <w:t>Giuseppe GUERINI (Grupo de Organizaciones de la Sociedad Civil – IT)</w:t>
            </w:r>
          </w:p>
        </w:tc>
      </w:tr>
      <w:tr w:rsidRPr="00FD106B" w:rsidR="00FD106B" w:rsidTr="00713105" w14:paraId="63D5E164" w14:textId="77777777">
        <w:tc>
          <w:tcPr>
            <w:tcW w:w="1107" w:type="pct"/>
            <w:vMerge w:val="restart"/>
          </w:tcPr>
          <w:p w:rsidRPr="00FD106B" w:rsidR="00FD106B" w:rsidP="00BE1F8F" w:rsidRDefault="00FD106B" w14:paraId="2C38529F" w14:textId="5278DF8E">
            <w:pPr>
              <w:tabs>
                <w:tab w:val="center" w:pos="284"/>
              </w:tabs>
              <w:overflowPunct w:val="0"/>
              <w:autoSpaceDE w:val="0"/>
              <w:autoSpaceDN w:val="0"/>
              <w:adjustRightInd w:val="0"/>
              <w:ind w:left="266" w:hanging="266"/>
              <w:textAlignment w:val="baseline"/>
              <w:rPr>
                <w:b/>
              </w:rPr>
            </w:pPr>
            <w:r>
              <w:rPr>
                <w:b/>
              </w:rPr>
              <w:t>Referencia</w:t>
            </w:r>
          </w:p>
        </w:tc>
        <w:tc>
          <w:tcPr>
            <w:tcW w:w="3893" w:type="pct"/>
          </w:tcPr>
          <w:p w:rsidRPr="00FD106B" w:rsidR="00FD106B" w:rsidP="00BE1F8F" w:rsidRDefault="00FD106B" w14:paraId="07C67728" w14:textId="77777777">
            <w:pPr>
              <w:tabs>
                <w:tab w:val="center" w:pos="284"/>
              </w:tabs>
              <w:overflowPunct w:val="0"/>
              <w:autoSpaceDE w:val="0"/>
              <w:autoSpaceDN w:val="0"/>
              <w:adjustRightInd w:val="0"/>
              <w:ind w:left="266" w:hanging="266"/>
              <w:textAlignment w:val="baseline"/>
            </w:pPr>
            <w:r>
              <w:t>Dictamen de iniciativa</w:t>
            </w:r>
          </w:p>
        </w:tc>
      </w:tr>
      <w:tr w:rsidRPr="00FD106B" w:rsidR="00FD106B" w:rsidTr="00713105" w14:paraId="5BF5DD36" w14:textId="77777777">
        <w:tc>
          <w:tcPr>
            <w:tcW w:w="1107" w:type="pct"/>
            <w:vMerge/>
          </w:tcPr>
          <w:p w:rsidRPr="00FD106B" w:rsidR="00FD106B" w:rsidP="00BE1F8F" w:rsidRDefault="00FD106B" w14:paraId="1F34AB72" w14:textId="77777777">
            <w:pPr>
              <w:tabs>
                <w:tab w:val="center" w:pos="284"/>
              </w:tabs>
              <w:overflowPunct w:val="0"/>
              <w:autoSpaceDE w:val="0"/>
              <w:autoSpaceDN w:val="0"/>
              <w:adjustRightInd w:val="0"/>
              <w:ind w:left="266" w:hanging="266"/>
              <w:textAlignment w:val="baseline"/>
              <w:rPr>
                <w:b/>
              </w:rPr>
            </w:pPr>
          </w:p>
        </w:tc>
        <w:tc>
          <w:tcPr>
            <w:tcW w:w="3893" w:type="pct"/>
          </w:tcPr>
          <w:p w:rsidRPr="00FD106B" w:rsidR="00FD106B" w:rsidP="00BE1F8F" w:rsidRDefault="00FD106B" w14:paraId="42A20064" w14:textId="77777777">
            <w:pPr>
              <w:tabs>
                <w:tab w:val="center" w:pos="284"/>
              </w:tabs>
              <w:overflowPunct w:val="0"/>
              <w:autoSpaceDE w:val="0"/>
              <w:autoSpaceDN w:val="0"/>
              <w:adjustRightInd w:val="0"/>
              <w:ind w:left="266" w:hanging="266"/>
              <w:textAlignment w:val="baseline"/>
            </w:pPr>
            <w:r>
              <w:t>EESC-2024-03441-00-00-AC</w:t>
            </w:r>
          </w:p>
        </w:tc>
      </w:tr>
    </w:tbl>
    <w:p w:rsidRPr="00FD106B" w:rsidR="00FD106B" w:rsidP="00BE1F8F" w:rsidRDefault="00FD106B" w14:paraId="02343524" w14:textId="77777777">
      <w:pPr>
        <w:tabs>
          <w:tab w:val="center" w:pos="284"/>
        </w:tabs>
        <w:overflowPunct w:val="0"/>
        <w:autoSpaceDE w:val="0"/>
        <w:autoSpaceDN w:val="0"/>
        <w:adjustRightInd w:val="0"/>
        <w:ind w:left="266" w:hanging="266"/>
        <w:textAlignment w:val="baseline"/>
        <w:rPr>
          <w:lang w:val="en-GB"/>
        </w:rPr>
      </w:pPr>
    </w:p>
    <w:p w:rsidRPr="00FD106B" w:rsidR="00FD106B" w:rsidP="00BE1F8F" w:rsidRDefault="00FD106B" w14:paraId="27E7555C"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FD106B" w:rsidR="00FD106B" w:rsidP="00BE1F8F" w:rsidRDefault="00FD106B" w14:paraId="70C27580" w14:textId="77777777">
      <w:pPr>
        <w:keepNext/>
        <w:keepLines/>
        <w:tabs>
          <w:tab w:val="center" w:pos="284"/>
        </w:tabs>
        <w:overflowPunct w:val="0"/>
        <w:autoSpaceDE w:val="0"/>
        <w:autoSpaceDN w:val="0"/>
        <w:adjustRightInd w:val="0"/>
        <w:ind w:left="266" w:hanging="266"/>
        <w:textAlignment w:val="baseline"/>
        <w:rPr>
          <w:b/>
          <w:lang w:val="en-GB"/>
        </w:rPr>
      </w:pPr>
    </w:p>
    <w:p w:rsidR="00FD106B" w:rsidP="00BE1F8F" w:rsidRDefault="00FD106B" w14:paraId="6F22A07D" w14:textId="77777777">
      <w:pPr>
        <w:overflowPunct w:val="0"/>
        <w:autoSpaceDE w:val="0"/>
        <w:autoSpaceDN w:val="0"/>
        <w:adjustRightInd w:val="0"/>
        <w:textAlignment w:val="baseline"/>
        <w:rPr>
          <w:bCs/>
          <w:iCs/>
        </w:rPr>
      </w:pPr>
      <w:r>
        <w:t>El CESE:</w:t>
      </w:r>
    </w:p>
    <w:p w:rsidRPr="00FD106B" w:rsidR="00FD106B" w:rsidP="00BE1F8F" w:rsidRDefault="00FD106B" w14:paraId="1E73D851" w14:textId="77777777">
      <w:pPr>
        <w:widowControl w:val="0"/>
        <w:numPr>
          <w:ilvl w:val="0"/>
          <w:numId w:val="30"/>
        </w:numPr>
        <w:overflowPunct w:val="0"/>
        <w:autoSpaceDE w:val="0"/>
        <w:autoSpaceDN w:val="0"/>
        <w:adjustRightInd w:val="0"/>
        <w:ind w:left="284" w:hanging="284"/>
        <w:textAlignment w:val="baseline"/>
        <w:rPr>
          <w:szCs w:val="20"/>
        </w:rPr>
      </w:pPr>
      <w:r>
        <w:t xml:space="preserve">hace hincapié en la urgente necesidad de </w:t>
      </w:r>
      <w:r>
        <w:rPr>
          <w:b/>
        </w:rPr>
        <w:t>impulsar la competitividad europea a fin de garantizar la sostenibilidad y la cohesión social</w:t>
      </w:r>
      <w:r>
        <w:t>. La UE se enfrenta a una competencia mundial cada vez mayor y debe adoptar medidas decisivas para reforzar su posición económica. Sin embargo, esto no debe ir en detrimento de la sostenibilidad medioambiental, los derechos de los trabajadores o el equilibrio regional. Aboga por un enfoque que integre el crecimiento económico con los principios de cohesión social y territorial;</w:t>
      </w:r>
    </w:p>
    <w:p w:rsidRPr="00FD106B" w:rsidR="00FD106B" w:rsidP="00BE1F8F" w:rsidRDefault="00FD106B" w14:paraId="5D3E6D79" w14:textId="77777777">
      <w:pPr>
        <w:widowControl w:val="0"/>
        <w:numPr>
          <w:ilvl w:val="0"/>
          <w:numId w:val="30"/>
        </w:numPr>
        <w:overflowPunct w:val="0"/>
        <w:autoSpaceDE w:val="0"/>
        <w:autoSpaceDN w:val="0"/>
        <w:adjustRightInd w:val="0"/>
        <w:ind w:left="284" w:hanging="284"/>
        <w:textAlignment w:val="baseline"/>
        <w:rPr>
          <w:szCs w:val="20"/>
        </w:rPr>
      </w:pPr>
      <w:r>
        <w:t xml:space="preserve">pide que se </w:t>
      </w:r>
      <w:r>
        <w:rPr>
          <w:b/>
        </w:rPr>
        <w:t>aumenten las inversiones en ámbitos clave como las infraestructuras sociales, la transformación digital y la transición energética</w:t>
      </w:r>
      <w:r>
        <w:t>. Reconoce que la competitividad se basa en fundamentos sólidos, por lo que subraya la necesidad de realizar inversiones sustanciales en infraestructuras modernas, en particular en ámbitos como la educación, la investigación, la digitalización y las energías renovables. Estas inversiones son esenciales para mantener la fortaleza económica de Europa, al mismo tiempo que se abordan los cambios demográficos, los avances tecnológicos y los retos climáticos;</w:t>
      </w:r>
    </w:p>
    <w:p w:rsidRPr="00FD106B" w:rsidR="00FD106B" w:rsidP="00BE1F8F" w:rsidRDefault="00FD106B" w14:paraId="3EFA90D3" w14:textId="77777777">
      <w:pPr>
        <w:widowControl w:val="0"/>
        <w:numPr>
          <w:ilvl w:val="0"/>
          <w:numId w:val="30"/>
        </w:numPr>
        <w:overflowPunct w:val="0"/>
        <w:autoSpaceDE w:val="0"/>
        <w:autoSpaceDN w:val="0"/>
        <w:adjustRightInd w:val="0"/>
        <w:ind w:left="284" w:hanging="284"/>
        <w:textAlignment w:val="baseline"/>
        <w:rPr>
          <w:szCs w:val="20"/>
        </w:rPr>
      </w:pPr>
      <w:r>
        <w:t xml:space="preserve">subraya que la UE debe influir activamente en la transformación económica mundial en lugar de limitarse a preservar los logros del pasado. Subraya que Europa se encuentra en una encrucijada: puede desempeñar un papel proactivo en la transformación económica mundial o correr el riesgo de quedarse se atrás. Por consiguiente, es preciso </w:t>
      </w:r>
      <w:r>
        <w:rPr>
          <w:b/>
        </w:rPr>
        <w:t>adaptar el mercado único a las nuevas realidades geopolíticas</w:t>
      </w:r>
      <w:r>
        <w:t xml:space="preserve">, reducir la dependencia estratégica de las cadenas de suministro de terceros países y reforzar el papel de Europa en las industrias estratégicas. </w:t>
      </w:r>
    </w:p>
    <w:p w:rsidRPr="00FD106B" w:rsidR="00FD106B" w:rsidP="00BE1F8F" w:rsidRDefault="00FD106B" w14:paraId="2D92CEA3" w14:textId="77777777">
      <w:pPr>
        <w:widowControl w:val="0"/>
        <w:overflowPunct w:val="0"/>
        <w:autoSpaceDE w:val="0"/>
        <w:autoSpaceDN w:val="0"/>
        <w:adjustRightInd w:val="0"/>
        <w:ind w:left="709"/>
        <w:textAlignment w:val="baseline"/>
        <w:rPr>
          <w:szCs w:val="20"/>
          <w:lang w:val="en-GB"/>
        </w:rPr>
      </w:pPr>
    </w:p>
    <w:tbl>
      <w:tblPr>
        <w:tblW w:w="5000" w:type="pct"/>
        <w:tblLook w:val="04A0" w:firstRow="1" w:lastRow="0" w:firstColumn="1" w:lastColumn="0" w:noHBand="0" w:noVBand="1"/>
      </w:tblPr>
      <w:tblGrid>
        <w:gridCol w:w="2234"/>
        <w:gridCol w:w="7053"/>
      </w:tblGrid>
      <w:tr w:rsidRPr="00FD106B" w:rsidR="00FD106B" w:rsidTr="003F3737" w14:paraId="221C8BB2" w14:textId="77777777">
        <w:tc>
          <w:tcPr>
            <w:tcW w:w="1203" w:type="pct"/>
          </w:tcPr>
          <w:p w:rsidRPr="00FD106B" w:rsidR="00FD106B" w:rsidP="00BE1F8F" w:rsidRDefault="00FD106B" w14:paraId="740E10D6" w14:textId="77777777">
            <w:pPr>
              <w:overflowPunct w:val="0"/>
              <w:autoSpaceDE w:val="0"/>
              <w:autoSpaceDN w:val="0"/>
              <w:adjustRightInd w:val="0"/>
              <w:textAlignment w:val="baseline"/>
              <w:rPr>
                <w:i/>
              </w:rPr>
            </w:pPr>
            <w:r>
              <w:rPr>
                <w:b/>
                <w:i/>
              </w:rPr>
              <w:t>Contactos:</w:t>
            </w:r>
          </w:p>
        </w:tc>
        <w:tc>
          <w:tcPr>
            <w:tcW w:w="3797" w:type="pct"/>
          </w:tcPr>
          <w:p w:rsidRPr="00FD106B" w:rsidR="00FD106B" w:rsidP="00BE1F8F" w:rsidRDefault="00FD106B" w14:paraId="5AA8E8D6" w14:textId="77777777">
            <w:pPr>
              <w:overflowPunct w:val="0"/>
              <w:autoSpaceDE w:val="0"/>
              <w:autoSpaceDN w:val="0"/>
              <w:adjustRightInd w:val="0"/>
              <w:textAlignment w:val="baseline"/>
              <w:rPr>
                <w:i/>
              </w:rPr>
            </w:pPr>
            <w:r>
              <w:rPr>
                <w:i/>
              </w:rPr>
              <w:t>Annalisa Tessarolo</w:t>
            </w:r>
          </w:p>
          <w:p w:rsidRPr="00FD106B" w:rsidR="00FD106B" w:rsidP="00BE1F8F" w:rsidRDefault="00FD106B" w14:paraId="1CF946C4" w14:textId="77777777">
            <w:pPr>
              <w:overflowPunct w:val="0"/>
              <w:autoSpaceDE w:val="0"/>
              <w:autoSpaceDN w:val="0"/>
              <w:adjustRightInd w:val="0"/>
              <w:textAlignment w:val="baseline"/>
              <w:rPr>
                <w:i/>
              </w:rPr>
            </w:pPr>
            <w:r>
              <w:rPr>
                <w:i/>
              </w:rPr>
              <w:t>Silvia Staffa</w:t>
            </w:r>
          </w:p>
        </w:tc>
      </w:tr>
      <w:tr w:rsidRPr="00FD106B" w:rsidR="00FD106B" w:rsidTr="003F3737" w14:paraId="7C7B09FE" w14:textId="77777777">
        <w:tc>
          <w:tcPr>
            <w:tcW w:w="1203" w:type="pct"/>
          </w:tcPr>
          <w:p w:rsidRPr="00FD106B" w:rsidR="00FD106B" w:rsidP="00BE1F8F" w:rsidRDefault="00FD106B" w14:paraId="3C27F1DF" w14:textId="77777777">
            <w:pPr>
              <w:overflowPunct w:val="0"/>
              <w:autoSpaceDE w:val="0"/>
              <w:autoSpaceDN w:val="0"/>
              <w:adjustRightInd w:val="0"/>
              <w:textAlignment w:val="baseline"/>
              <w:rPr>
                <w:i/>
              </w:rPr>
            </w:pPr>
            <w:r>
              <w:rPr>
                <w:i/>
              </w:rPr>
              <w:t>Teléfono:</w:t>
            </w:r>
          </w:p>
        </w:tc>
        <w:tc>
          <w:tcPr>
            <w:tcW w:w="3797" w:type="pct"/>
          </w:tcPr>
          <w:p w:rsidRPr="00FD106B" w:rsidR="00FD106B" w:rsidP="00BE1F8F" w:rsidRDefault="00FD106B" w14:paraId="6376D96B" w14:textId="77777777">
            <w:pPr>
              <w:overflowPunct w:val="0"/>
              <w:autoSpaceDE w:val="0"/>
              <w:autoSpaceDN w:val="0"/>
              <w:adjustRightInd w:val="0"/>
              <w:textAlignment w:val="baseline"/>
              <w:rPr>
                <w:i/>
              </w:rPr>
            </w:pPr>
            <w:r>
              <w:rPr>
                <w:i/>
              </w:rPr>
              <w:t>+32 25469732</w:t>
            </w:r>
          </w:p>
          <w:p w:rsidRPr="00FD106B" w:rsidR="00FD106B" w:rsidP="00BE1F8F" w:rsidRDefault="00FD106B" w14:paraId="617FBCCE" w14:textId="77777777">
            <w:pPr>
              <w:overflowPunct w:val="0"/>
              <w:autoSpaceDE w:val="0"/>
              <w:autoSpaceDN w:val="0"/>
              <w:adjustRightInd w:val="0"/>
              <w:textAlignment w:val="baseline"/>
              <w:rPr>
                <w:i/>
              </w:rPr>
            </w:pPr>
            <w:r>
              <w:rPr>
                <w:i/>
              </w:rPr>
              <w:t>+32 25468378</w:t>
            </w:r>
          </w:p>
        </w:tc>
      </w:tr>
      <w:tr w:rsidRPr="00FD106B" w:rsidR="00FD106B" w:rsidTr="003F3737" w14:paraId="28A6E007" w14:textId="77777777">
        <w:tc>
          <w:tcPr>
            <w:tcW w:w="1203" w:type="pct"/>
          </w:tcPr>
          <w:p w:rsidRPr="00FD106B" w:rsidR="00FD106B" w:rsidP="00BE1F8F" w:rsidRDefault="00FD106B" w14:paraId="173B4957" w14:textId="77777777">
            <w:pPr>
              <w:overflowPunct w:val="0"/>
              <w:autoSpaceDE w:val="0"/>
              <w:autoSpaceDN w:val="0"/>
              <w:adjustRightInd w:val="0"/>
              <w:textAlignment w:val="baseline"/>
              <w:rPr>
                <w:i/>
              </w:rPr>
            </w:pPr>
            <w:r>
              <w:rPr>
                <w:i/>
              </w:rPr>
              <w:t>Correos electrónicos:</w:t>
            </w:r>
          </w:p>
        </w:tc>
        <w:tc>
          <w:tcPr>
            <w:tcW w:w="3797" w:type="pct"/>
          </w:tcPr>
          <w:p w:rsidRPr="00FD106B" w:rsidR="00FD106B" w:rsidP="00BE1F8F" w:rsidRDefault="00593CA8" w14:paraId="58795004" w14:textId="77777777">
            <w:pPr>
              <w:overflowPunct w:val="0"/>
              <w:autoSpaceDE w:val="0"/>
              <w:autoSpaceDN w:val="0"/>
              <w:adjustRightInd w:val="0"/>
              <w:textAlignment w:val="baseline"/>
              <w:rPr>
                <w:i/>
                <w:iCs/>
              </w:rPr>
            </w:pPr>
            <w:hyperlink w:history="1" r:id="rId43">
              <w:r w:rsidR="001C131E">
                <w:rPr>
                  <w:i/>
                  <w:color w:val="0000FF"/>
                  <w:u w:val="single"/>
                </w:rPr>
                <w:t>Annalisa.Tessarolo@eesc.europa.eu</w:t>
              </w:r>
            </w:hyperlink>
          </w:p>
          <w:p w:rsidRPr="00FD106B" w:rsidR="00FD106B" w:rsidP="00BE1F8F" w:rsidRDefault="00593CA8" w14:paraId="40FF993F" w14:textId="77777777">
            <w:pPr>
              <w:overflowPunct w:val="0"/>
              <w:autoSpaceDE w:val="0"/>
              <w:autoSpaceDN w:val="0"/>
              <w:adjustRightInd w:val="0"/>
              <w:textAlignment w:val="baseline"/>
              <w:rPr>
                <w:i/>
              </w:rPr>
            </w:pPr>
            <w:hyperlink w:history="1" r:id="rId44">
              <w:r w:rsidR="001C131E">
                <w:rPr>
                  <w:i/>
                  <w:color w:val="0000FF"/>
                  <w:u w:val="single"/>
                </w:rPr>
                <w:t>Silvia.Staffa@eesc.europa.eu</w:t>
              </w:r>
            </w:hyperlink>
          </w:p>
        </w:tc>
      </w:tr>
    </w:tbl>
    <w:p w:rsidR="00FD106B" w:rsidP="00BE1F8F" w:rsidRDefault="00FD106B" w14:paraId="6389C470" w14:textId="77777777">
      <w:pPr>
        <w:jc w:val="left"/>
      </w:pPr>
    </w:p>
    <w:p w:rsidR="00FD106B" w:rsidP="00BE1F8F" w:rsidRDefault="00FD106B" w14:paraId="78591677" w14:textId="77777777">
      <w:pPr>
        <w:jc w:val="left"/>
      </w:pPr>
      <w:r>
        <w:br w:type="page"/>
      </w:r>
    </w:p>
    <w:p w:rsidRPr="00D03AEC" w:rsidR="00D03AEC" w:rsidP="00BE1F8F" w:rsidRDefault="00593CA8" w14:paraId="5D829D13" w14:textId="2B5C8229">
      <w:pPr>
        <w:widowControl w:val="0"/>
        <w:numPr>
          <w:ilvl w:val="0"/>
          <w:numId w:val="2"/>
        </w:numPr>
        <w:overflowPunct w:val="0"/>
        <w:autoSpaceDE w:val="0"/>
        <w:autoSpaceDN w:val="0"/>
        <w:adjustRightInd w:val="0"/>
        <w:ind w:hanging="567"/>
        <w:textAlignment w:val="baseline"/>
        <w:rPr>
          <w:sz w:val="20"/>
          <w:szCs w:val="20"/>
        </w:rPr>
      </w:pPr>
      <w:hyperlink w:history="1" r:id="rId45">
        <w:r w:rsidR="001C131E">
          <w:rPr>
            <w:b/>
            <w:i/>
            <w:color w:val="0000FF"/>
            <w:sz w:val="28"/>
            <w:u w:val="single"/>
          </w:rPr>
          <w:t>La competitividad de las pequeñas y medianas empresas de la UE a la luz de las nuevas cargas y obligaciones administrativas</w:t>
        </w:r>
      </w:hyperlink>
    </w:p>
    <w:p w:rsidRPr="00D03AEC" w:rsidR="00D03AEC" w:rsidP="00BE1F8F" w:rsidRDefault="00D03AEC" w14:paraId="76D0C029" w14:textId="77777777">
      <w:pPr>
        <w:tabs>
          <w:tab w:val="center" w:pos="284"/>
        </w:tabs>
        <w:overflowPunct w:val="0"/>
        <w:autoSpaceDE w:val="0"/>
        <w:autoSpaceDN w:val="0"/>
        <w:adjustRightInd w:val="0"/>
        <w:ind w:left="266" w:hanging="266"/>
        <w:textAlignment w:val="baseline"/>
        <w:rPr>
          <w:b/>
          <w:lang w:val="en-GB"/>
        </w:rPr>
      </w:pPr>
    </w:p>
    <w:tbl>
      <w:tblPr>
        <w:tblW w:w="4941" w:type="pct"/>
        <w:tblLook w:val="04A0" w:firstRow="1" w:lastRow="0" w:firstColumn="1" w:lastColumn="0" w:noHBand="0" w:noVBand="1"/>
      </w:tblPr>
      <w:tblGrid>
        <w:gridCol w:w="1452"/>
        <w:gridCol w:w="7725"/>
      </w:tblGrid>
      <w:tr w:rsidRPr="00D03AEC" w:rsidR="00D03AEC" w:rsidTr="00713105" w14:paraId="385F137A" w14:textId="77777777">
        <w:trPr>
          <w:trHeight w:val="323"/>
        </w:trPr>
        <w:tc>
          <w:tcPr>
            <w:tcW w:w="791" w:type="pct"/>
          </w:tcPr>
          <w:p w:rsidRPr="00D03AEC" w:rsidR="00D03AEC" w:rsidP="00BE1F8F" w:rsidRDefault="00D03AEC" w14:paraId="6D4FA2AD" w14:textId="44144662">
            <w:pPr>
              <w:tabs>
                <w:tab w:val="center" w:pos="284"/>
              </w:tabs>
              <w:overflowPunct w:val="0"/>
              <w:autoSpaceDE w:val="0"/>
              <w:autoSpaceDN w:val="0"/>
              <w:adjustRightInd w:val="0"/>
              <w:ind w:left="266" w:hanging="266"/>
              <w:textAlignment w:val="baseline"/>
              <w:rPr>
                <w:b/>
              </w:rPr>
            </w:pPr>
            <w:r>
              <w:rPr>
                <w:b/>
              </w:rPr>
              <w:t>Ponente</w:t>
            </w:r>
          </w:p>
        </w:tc>
        <w:tc>
          <w:tcPr>
            <w:tcW w:w="4209" w:type="pct"/>
          </w:tcPr>
          <w:p w:rsidRPr="00D03AEC" w:rsidR="00D03AEC" w:rsidP="00BE1F8F" w:rsidRDefault="00D03AEC" w14:paraId="2320B226" w14:textId="16FA16A5">
            <w:pPr>
              <w:tabs>
                <w:tab w:val="center" w:pos="0"/>
              </w:tabs>
              <w:overflowPunct w:val="0"/>
              <w:autoSpaceDE w:val="0"/>
              <w:autoSpaceDN w:val="0"/>
              <w:adjustRightInd w:val="0"/>
              <w:ind w:left="266" w:right="-387" w:hanging="266"/>
              <w:textAlignment w:val="baseline"/>
            </w:pPr>
            <w:r>
              <w:t>Paul RÜBIG (Grupo de Empresarios – AT)</w:t>
            </w:r>
          </w:p>
        </w:tc>
      </w:tr>
      <w:tr w:rsidRPr="00D03AEC" w:rsidR="00D03AEC" w:rsidTr="00713105" w14:paraId="2544DD25" w14:textId="77777777">
        <w:tc>
          <w:tcPr>
            <w:tcW w:w="791" w:type="pct"/>
          </w:tcPr>
          <w:p w:rsidRPr="00D03AEC" w:rsidR="00D03AEC" w:rsidP="00BE1F8F" w:rsidRDefault="00D03AEC" w14:paraId="327B0796" w14:textId="02251F42">
            <w:pPr>
              <w:tabs>
                <w:tab w:val="center" w:pos="284"/>
              </w:tabs>
              <w:overflowPunct w:val="0"/>
              <w:autoSpaceDE w:val="0"/>
              <w:autoSpaceDN w:val="0"/>
              <w:adjustRightInd w:val="0"/>
              <w:ind w:left="266" w:hanging="266"/>
              <w:textAlignment w:val="baseline"/>
              <w:rPr>
                <w:b/>
              </w:rPr>
            </w:pPr>
            <w:r>
              <w:rPr>
                <w:b/>
              </w:rPr>
              <w:t>Referencia</w:t>
            </w:r>
          </w:p>
        </w:tc>
        <w:tc>
          <w:tcPr>
            <w:tcW w:w="4209" w:type="pct"/>
          </w:tcPr>
          <w:p w:rsidRPr="00D03AEC" w:rsidR="00D03AEC" w:rsidP="00BE1F8F" w:rsidRDefault="00D03AEC" w14:paraId="34DEDE49" w14:textId="26DFBBF1">
            <w:pPr>
              <w:tabs>
                <w:tab w:val="center" w:pos="284"/>
              </w:tabs>
              <w:overflowPunct w:val="0"/>
              <w:autoSpaceDE w:val="0"/>
              <w:autoSpaceDN w:val="0"/>
              <w:adjustRightInd w:val="0"/>
              <w:ind w:left="266" w:right="-387" w:hanging="266"/>
              <w:textAlignment w:val="baseline"/>
            </w:pPr>
            <w:r>
              <w:t>Dictamen exploratorio solicitado por la Presidencia polaca del Consejo de la UE</w:t>
            </w:r>
          </w:p>
          <w:p w:rsidRPr="00D03AEC" w:rsidR="00D03AEC" w:rsidP="00BE1F8F" w:rsidRDefault="00D03AEC" w14:paraId="6502535C" w14:textId="77777777">
            <w:pPr>
              <w:tabs>
                <w:tab w:val="center" w:pos="284"/>
              </w:tabs>
              <w:overflowPunct w:val="0"/>
              <w:autoSpaceDE w:val="0"/>
              <w:autoSpaceDN w:val="0"/>
              <w:adjustRightInd w:val="0"/>
              <w:ind w:left="266" w:right="-387" w:hanging="266"/>
              <w:textAlignment w:val="baseline"/>
            </w:pPr>
            <w:r>
              <w:t>EESC-2024-03549-00-00-AC</w:t>
            </w:r>
          </w:p>
        </w:tc>
      </w:tr>
    </w:tbl>
    <w:p w:rsidRPr="00D03AEC" w:rsidR="00D03AEC" w:rsidP="00BE1F8F" w:rsidRDefault="00D03AEC" w14:paraId="5DE49D6C" w14:textId="77777777">
      <w:pPr>
        <w:tabs>
          <w:tab w:val="center" w:pos="284"/>
        </w:tabs>
        <w:overflowPunct w:val="0"/>
        <w:autoSpaceDE w:val="0"/>
        <w:autoSpaceDN w:val="0"/>
        <w:adjustRightInd w:val="0"/>
        <w:ind w:left="266" w:hanging="266"/>
        <w:textAlignment w:val="baseline"/>
        <w:rPr>
          <w:b/>
          <w:lang w:val="en-GB"/>
        </w:rPr>
      </w:pPr>
    </w:p>
    <w:p w:rsidRPr="00D03AEC" w:rsidR="00D03AEC" w:rsidP="00BE1F8F" w:rsidRDefault="00D03AEC" w14:paraId="26780EEE" w14:textId="77777777">
      <w:pPr>
        <w:tabs>
          <w:tab w:val="center" w:pos="284"/>
        </w:tabs>
        <w:overflowPunct w:val="0"/>
        <w:autoSpaceDE w:val="0"/>
        <w:autoSpaceDN w:val="0"/>
        <w:adjustRightInd w:val="0"/>
        <w:ind w:left="266" w:hanging="266"/>
        <w:textAlignment w:val="baseline"/>
        <w:rPr>
          <w:b/>
        </w:rPr>
      </w:pPr>
      <w:r>
        <w:rPr>
          <w:b/>
        </w:rPr>
        <w:t>Puntos clave</w:t>
      </w:r>
    </w:p>
    <w:p w:rsidRPr="00D03AEC" w:rsidR="00D03AEC" w:rsidP="00BE1F8F" w:rsidRDefault="00D03AEC" w14:paraId="66E17A01" w14:textId="77777777">
      <w:pPr>
        <w:tabs>
          <w:tab w:val="center" w:pos="284"/>
        </w:tabs>
        <w:overflowPunct w:val="0"/>
        <w:autoSpaceDE w:val="0"/>
        <w:autoSpaceDN w:val="0"/>
        <w:adjustRightInd w:val="0"/>
        <w:ind w:left="266" w:hanging="266"/>
        <w:textAlignment w:val="baseline"/>
        <w:rPr>
          <w:bCs/>
          <w:lang w:val="en-GB"/>
        </w:rPr>
      </w:pPr>
    </w:p>
    <w:p w:rsidRPr="00D03AEC" w:rsidR="00D03AEC" w:rsidP="00BE1F8F" w:rsidRDefault="00D03AEC" w14:paraId="73126562" w14:textId="77777777">
      <w:pPr>
        <w:overflowPunct w:val="0"/>
        <w:autoSpaceDE w:val="0"/>
        <w:autoSpaceDN w:val="0"/>
        <w:adjustRightInd w:val="0"/>
        <w:textAlignment w:val="baseline"/>
        <w:rPr>
          <w:bCs/>
          <w:iCs/>
        </w:rPr>
      </w:pPr>
      <w:r>
        <w:t>El CESE:</w:t>
      </w:r>
    </w:p>
    <w:p w:rsidRPr="00D03AEC" w:rsidR="00D03AEC" w:rsidP="00BE1F8F" w:rsidRDefault="00D03AEC" w14:paraId="551D5FDC" w14:textId="77777777">
      <w:pPr>
        <w:numPr>
          <w:ilvl w:val="0"/>
          <w:numId w:val="31"/>
        </w:numPr>
        <w:overflowPunct w:val="0"/>
        <w:autoSpaceDE w:val="0"/>
        <w:autoSpaceDN w:val="0"/>
        <w:adjustRightInd w:val="0"/>
        <w:ind w:left="284" w:hanging="284"/>
        <w:contextualSpacing/>
        <w:textAlignment w:val="baseline"/>
        <w:rPr>
          <w:bCs/>
          <w:iCs/>
        </w:rPr>
      </w:pPr>
      <w:r>
        <w:t>considera que, pese a la puesta en marcha de diferentes iniciativas recientes de la Unión, todavía es necesario introducir nuevas mejorar respecto de la reducción de la carga normativa, pues las pymes se enfrentan a dos o tres veces más requisitos legislativos como consecuencia de la oleada adicional de normativa y de los requisitos existentes, también en relación con el Pacto Verde;</w:t>
      </w:r>
    </w:p>
    <w:p w:rsidRPr="00D03AEC" w:rsidR="00D03AEC" w:rsidP="00BE1F8F" w:rsidRDefault="00D03AEC" w14:paraId="62F36A43" w14:textId="77777777">
      <w:pPr>
        <w:numPr>
          <w:ilvl w:val="0"/>
          <w:numId w:val="31"/>
        </w:numPr>
        <w:overflowPunct w:val="0"/>
        <w:autoSpaceDE w:val="0"/>
        <w:autoSpaceDN w:val="0"/>
        <w:adjustRightInd w:val="0"/>
        <w:ind w:left="284" w:hanging="284"/>
        <w:contextualSpacing/>
        <w:textAlignment w:val="baseline"/>
        <w:rPr>
          <w:bCs/>
          <w:iCs/>
        </w:rPr>
      </w:pPr>
      <w:r>
        <w:t>no obstante lo anterior, considera que la reducción de las cargas normativas no debe poner en peligro el cumplimiento de los y derechos y las normas sociales, medioambientales y de protección de los consumidores establecidas a escala internacional o de la UE, ni tampoco la observancia del principio de transparencia y el Estado de Derecho en la Unión;</w:t>
      </w:r>
    </w:p>
    <w:p w:rsidRPr="00D03AEC" w:rsidR="00D03AEC" w:rsidP="00BE1F8F" w:rsidRDefault="00D03AEC" w14:paraId="2F408966" w14:textId="77777777">
      <w:pPr>
        <w:numPr>
          <w:ilvl w:val="0"/>
          <w:numId w:val="31"/>
        </w:numPr>
        <w:overflowPunct w:val="0"/>
        <w:autoSpaceDE w:val="0"/>
        <w:autoSpaceDN w:val="0"/>
        <w:adjustRightInd w:val="0"/>
        <w:ind w:left="284" w:hanging="284"/>
        <w:contextualSpacing/>
        <w:textAlignment w:val="baseline"/>
        <w:rPr>
          <w:bCs/>
          <w:iCs/>
        </w:rPr>
      </w:pPr>
      <w:r>
        <w:t>recomienda reforzar significativamente el Comité de Control Reglamentario, en particular su independencia, atribuyéndole la competencia de llevar a cabo un «control de coherencia y subsidiariedad» al principio de cada procedimiento legislativo y dotándolo de los derechos de revisión y asesoramiento adecuados;</w:t>
      </w:r>
    </w:p>
    <w:p w:rsidRPr="00D03AEC" w:rsidR="00D03AEC" w:rsidP="00BE1F8F" w:rsidRDefault="00D03AEC" w14:paraId="59E3C799" w14:textId="77777777">
      <w:pPr>
        <w:numPr>
          <w:ilvl w:val="0"/>
          <w:numId w:val="31"/>
        </w:numPr>
        <w:overflowPunct w:val="0"/>
        <w:autoSpaceDE w:val="0"/>
        <w:autoSpaceDN w:val="0"/>
        <w:adjustRightInd w:val="0"/>
        <w:ind w:left="284" w:hanging="284"/>
        <w:contextualSpacing/>
        <w:textAlignment w:val="baseline"/>
        <w:rPr>
          <w:bCs/>
          <w:iCs/>
        </w:rPr>
      </w:pPr>
      <w:r>
        <w:t>recomienda fusionar en un único procedimiento la prueba de las pymes y el control de la competitividad;</w:t>
      </w:r>
    </w:p>
    <w:p w:rsidRPr="00D03AEC" w:rsidR="00D03AEC" w:rsidP="00BE1F8F" w:rsidRDefault="00D03AEC" w14:paraId="126D259B" w14:textId="77777777">
      <w:pPr>
        <w:numPr>
          <w:ilvl w:val="0"/>
          <w:numId w:val="31"/>
        </w:numPr>
        <w:overflowPunct w:val="0"/>
        <w:autoSpaceDE w:val="0"/>
        <w:autoSpaceDN w:val="0"/>
        <w:adjustRightInd w:val="0"/>
        <w:ind w:left="284" w:hanging="284"/>
        <w:contextualSpacing/>
        <w:textAlignment w:val="baseline"/>
        <w:rPr>
          <w:bCs/>
          <w:iCs/>
        </w:rPr>
      </w:pPr>
      <w:r>
        <w:t>recomienda hacer uso de la inteligencia artificial y las herramientas de aprendizaje automático para crear una «herramienta única de información» fácil de utilizar que pueda informar a las pymes, las empresas de mediana capitalización y otras empresas de todas las obligaciones de información, plazos y sanciones vigentes en la UE;</w:t>
      </w:r>
    </w:p>
    <w:p w:rsidRPr="00D03AEC" w:rsidR="00D03AEC" w:rsidP="00BE1F8F" w:rsidRDefault="00D03AEC" w14:paraId="004869CE" w14:textId="77777777">
      <w:pPr>
        <w:numPr>
          <w:ilvl w:val="0"/>
          <w:numId w:val="31"/>
        </w:numPr>
        <w:overflowPunct w:val="0"/>
        <w:autoSpaceDE w:val="0"/>
        <w:autoSpaceDN w:val="0"/>
        <w:adjustRightInd w:val="0"/>
        <w:ind w:left="284" w:hanging="284"/>
        <w:contextualSpacing/>
        <w:textAlignment w:val="baseline"/>
        <w:rPr>
          <w:bCs/>
          <w:iCs/>
        </w:rPr>
      </w:pPr>
      <w:r>
        <w:t>señala la necesidad de que el Parlamento Europeo y el Consejo de la UE creen un procedimiento acelerado para las evaluaciones de impacto y de riesgos que llevan a cabo sus propios departamentos de políticas en el caso de enmiendas que modifiquen sustancialmente las propuestas adoptadas por la Comisión Europea;</w:t>
      </w:r>
    </w:p>
    <w:p w:rsidR="00D03AEC" w:rsidP="00BE1F8F" w:rsidRDefault="00D03AEC" w14:paraId="750FA3AD" w14:textId="77777777">
      <w:pPr>
        <w:numPr>
          <w:ilvl w:val="0"/>
          <w:numId w:val="31"/>
        </w:numPr>
        <w:overflowPunct w:val="0"/>
        <w:autoSpaceDE w:val="0"/>
        <w:autoSpaceDN w:val="0"/>
        <w:adjustRightInd w:val="0"/>
        <w:ind w:left="284" w:hanging="284"/>
        <w:contextualSpacing/>
        <w:textAlignment w:val="baseline"/>
        <w:rPr>
          <w:bCs/>
          <w:iCs/>
        </w:rPr>
      </w:pPr>
      <w:r>
        <w:t>considera que el Consejo de la UE y las autoridades nacionales deben asimismo aprovechar mejor las oportunidades de revisar las responsabilidades (subsidiariedad), en particular en lo que se refiere a las repercusiones para las pymes, los consumidores, la Administración y la Justicia.</w:t>
      </w:r>
    </w:p>
    <w:p w:rsidRPr="00D03AEC" w:rsidR="00860DE0" w:rsidP="00BE1F8F" w:rsidRDefault="00860DE0" w14:paraId="70E7E138" w14:textId="77777777">
      <w:pPr>
        <w:overflowPunct w:val="0"/>
        <w:autoSpaceDE w:val="0"/>
        <w:autoSpaceDN w:val="0"/>
        <w:adjustRightInd w:val="0"/>
        <w:ind w:left="284"/>
        <w:contextualSpacing/>
        <w:textAlignment w:val="baseline"/>
        <w:rPr>
          <w:bCs/>
          <w:iCs/>
          <w:lang w:val="en-GB"/>
        </w:rPr>
      </w:pPr>
    </w:p>
    <w:tbl>
      <w:tblPr>
        <w:tblW w:w="5000" w:type="pct"/>
        <w:tblLook w:val="04A0" w:firstRow="1" w:lastRow="0" w:firstColumn="1" w:lastColumn="0" w:noHBand="0" w:noVBand="1"/>
      </w:tblPr>
      <w:tblGrid>
        <w:gridCol w:w="2234"/>
        <w:gridCol w:w="7053"/>
      </w:tblGrid>
      <w:tr w:rsidRPr="00D03AEC" w:rsidR="00D03AEC" w:rsidTr="003F3737" w14:paraId="5FB02248" w14:textId="77777777">
        <w:tc>
          <w:tcPr>
            <w:tcW w:w="1203" w:type="pct"/>
          </w:tcPr>
          <w:p w:rsidRPr="00D03AEC" w:rsidR="00D03AEC" w:rsidP="00BE1F8F" w:rsidRDefault="00D03AEC" w14:paraId="74072B9E" w14:textId="77777777">
            <w:pPr>
              <w:overflowPunct w:val="0"/>
              <w:autoSpaceDE w:val="0"/>
              <w:autoSpaceDN w:val="0"/>
              <w:adjustRightInd w:val="0"/>
              <w:textAlignment w:val="baseline"/>
              <w:rPr>
                <w:i/>
              </w:rPr>
            </w:pPr>
            <w:r>
              <w:rPr>
                <w:b/>
                <w:i/>
              </w:rPr>
              <w:t>Contacto:</w:t>
            </w:r>
          </w:p>
        </w:tc>
        <w:tc>
          <w:tcPr>
            <w:tcW w:w="3797" w:type="pct"/>
          </w:tcPr>
          <w:p w:rsidRPr="00D03AEC" w:rsidR="00D03AEC" w:rsidP="00BE1F8F" w:rsidRDefault="00D03AEC" w14:paraId="522139B8" w14:textId="781982F3">
            <w:pPr>
              <w:overflowPunct w:val="0"/>
              <w:autoSpaceDE w:val="0"/>
              <w:autoSpaceDN w:val="0"/>
              <w:adjustRightInd w:val="0"/>
              <w:textAlignment w:val="baseline"/>
              <w:rPr>
                <w:i/>
              </w:rPr>
            </w:pPr>
            <w:r>
              <w:rPr>
                <w:i/>
              </w:rPr>
              <w:t>Marco Manfroni</w:t>
            </w:r>
          </w:p>
        </w:tc>
      </w:tr>
      <w:tr w:rsidRPr="00D03AEC" w:rsidR="00D03AEC" w:rsidTr="003F3737" w14:paraId="608E1DA4" w14:textId="77777777">
        <w:tc>
          <w:tcPr>
            <w:tcW w:w="1203" w:type="pct"/>
          </w:tcPr>
          <w:p w:rsidRPr="00D03AEC" w:rsidR="00D03AEC" w:rsidP="00BE1F8F" w:rsidRDefault="00D03AEC" w14:paraId="03200737" w14:textId="77777777">
            <w:pPr>
              <w:overflowPunct w:val="0"/>
              <w:autoSpaceDE w:val="0"/>
              <w:autoSpaceDN w:val="0"/>
              <w:adjustRightInd w:val="0"/>
              <w:textAlignment w:val="baseline"/>
              <w:rPr>
                <w:i/>
              </w:rPr>
            </w:pPr>
            <w:r>
              <w:rPr>
                <w:i/>
              </w:rPr>
              <w:t>Teléfono:</w:t>
            </w:r>
          </w:p>
        </w:tc>
        <w:tc>
          <w:tcPr>
            <w:tcW w:w="3797" w:type="pct"/>
          </w:tcPr>
          <w:p w:rsidRPr="00D03AEC" w:rsidR="00D03AEC" w:rsidP="00BE1F8F" w:rsidRDefault="00D03AEC" w14:paraId="7EC18166" w14:textId="03235857">
            <w:pPr>
              <w:overflowPunct w:val="0"/>
              <w:autoSpaceDE w:val="0"/>
              <w:autoSpaceDN w:val="0"/>
              <w:adjustRightInd w:val="0"/>
              <w:textAlignment w:val="baseline"/>
              <w:rPr>
                <w:i/>
              </w:rPr>
            </w:pPr>
            <w:r>
              <w:rPr>
                <w:i/>
              </w:rPr>
              <w:t>+32 25469140</w:t>
            </w:r>
          </w:p>
        </w:tc>
      </w:tr>
      <w:tr w:rsidRPr="00D03AEC" w:rsidR="00D03AEC" w:rsidTr="003F3737" w14:paraId="18ACE9E6" w14:textId="77777777">
        <w:tc>
          <w:tcPr>
            <w:tcW w:w="1203" w:type="pct"/>
          </w:tcPr>
          <w:p w:rsidRPr="00D03AEC" w:rsidR="00D03AEC" w:rsidP="00BE1F8F" w:rsidRDefault="00D03AEC" w14:paraId="47140999" w14:textId="77777777">
            <w:pPr>
              <w:overflowPunct w:val="0"/>
              <w:autoSpaceDE w:val="0"/>
              <w:autoSpaceDN w:val="0"/>
              <w:adjustRightInd w:val="0"/>
              <w:textAlignment w:val="baseline"/>
              <w:rPr>
                <w:i/>
              </w:rPr>
            </w:pPr>
            <w:r>
              <w:rPr>
                <w:i/>
              </w:rPr>
              <w:t>Correo electrónico:</w:t>
            </w:r>
          </w:p>
        </w:tc>
        <w:tc>
          <w:tcPr>
            <w:tcW w:w="3797" w:type="pct"/>
          </w:tcPr>
          <w:p w:rsidRPr="00D03AEC" w:rsidR="00D03AEC" w:rsidP="00BE1F8F" w:rsidRDefault="00593CA8" w14:paraId="66C1176F" w14:textId="6F5AA9D0">
            <w:pPr>
              <w:overflowPunct w:val="0"/>
              <w:autoSpaceDE w:val="0"/>
              <w:autoSpaceDN w:val="0"/>
              <w:adjustRightInd w:val="0"/>
              <w:textAlignment w:val="baseline"/>
              <w:rPr>
                <w:i/>
                <w:iCs/>
              </w:rPr>
            </w:pPr>
            <w:hyperlink w:history="1" r:id="rId46">
              <w:r w:rsidR="001C131E">
                <w:rPr>
                  <w:i/>
                  <w:color w:val="0000FF"/>
                  <w:u w:val="single"/>
                </w:rPr>
                <w:t>Marco.Manfroni@eesc.europa.eu</w:t>
              </w:r>
            </w:hyperlink>
          </w:p>
        </w:tc>
      </w:tr>
    </w:tbl>
    <w:p w:rsidR="00D03AEC" w:rsidP="00BE1F8F" w:rsidRDefault="00D03AEC" w14:paraId="20B99FD5" w14:textId="77777777">
      <w:pPr>
        <w:jc w:val="left"/>
      </w:pPr>
      <w:r>
        <w:br w:type="page"/>
      </w:r>
    </w:p>
    <w:p w:rsidRPr="008413EF" w:rsidR="008413EF" w:rsidP="00BE1F8F" w:rsidRDefault="00593CA8" w14:paraId="70DDD8A1" w14:textId="1D4BB03C">
      <w:pPr>
        <w:widowControl w:val="0"/>
        <w:numPr>
          <w:ilvl w:val="0"/>
          <w:numId w:val="2"/>
        </w:numPr>
        <w:overflowPunct w:val="0"/>
        <w:autoSpaceDE w:val="0"/>
        <w:autoSpaceDN w:val="0"/>
        <w:adjustRightInd w:val="0"/>
        <w:ind w:hanging="567"/>
        <w:textAlignment w:val="baseline"/>
        <w:rPr>
          <w:b/>
        </w:rPr>
      </w:pPr>
      <w:hyperlink w:tgtFrame="_blank" w:history="1" r:id="rId47">
        <w:r w:rsidR="001C131E">
          <w:rPr>
            <w:b/>
            <w:i/>
            <w:color w:val="0000FF"/>
            <w:sz w:val="28"/>
            <w:u w:val="single"/>
          </w:rPr>
          <w:t>El sector de los servicios en la Unión Europea</w:t>
        </w:r>
      </w:hyperlink>
    </w:p>
    <w:p w:rsidRPr="008413EF" w:rsidR="008413EF" w:rsidP="00713105" w:rsidRDefault="008413EF" w14:paraId="09CC9878" w14:textId="77777777">
      <w:pPr>
        <w:widowControl w:val="0"/>
        <w:overflowPunct w:val="0"/>
        <w:autoSpaceDE w:val="0"/>
        <w:autoSpaceDN w:val="0"/>
        <w:adjustRightInd w:val="0"/>
        <w:textAlignment w:val="baseline"/>
        <w:rPr>
          <w:b/>
          <w:lang w:val="en-GB"/>
        </w:rPr>
      </w:pPr>
    </w:p>
    <w:tbl>
      <w:tblPr>
        <w:tblW w:w="0" w:type="auto"/>
        <w:tblLook w:val="04A0" w:firstRow="1" w:lastRow="0" w:firstColumn="1" w:lastColumn="0" w:noHBand="0" w:noVBand="1"/>
      </w:tblPr>
      <w:tblGrid>
        <w:gridCol w:w="1701"/>
        <w:gridCol w:w="7479"/>
      </w:tblGrid>
      <w:tr w:rsidRPr="008413EF" w:rsidR="008413EF" w:rsidTr="00713105" w14:paraId="7A748E72" w14:textId="77777777">
        <w:tc>
          <w:tcPr>
            <w:tcW w:w="1701" w:type="dxa"/>
          </w:tcPr>
          <w:p w:rsidRPr="008413EF" w:rsidR="008413EF" w:rsidP="00BE1F8F" w:rsidRDefault="008413EF" w14:paraId="0901F05D" w14:textId="77777777">
            <w:pPr>
              <w:tabs>
                <w:tab w:val="center" w:pos="284"/>
              </w:tabs>
              <w:overflowPunct w:val="0"/>
              <w:autoSpaceDE w:val="0"/>
              <w:autoSpaceDN w:val="0"/>
              <w:adjustRightInd w:val="0"/>
              <w:ind w:left="266" w:hanging="266"/>
              <w:textAlignment w:val="baseline"/>
              <w:rPr>
                <w:b/>
              </w:rPr>
            </w:pPr>
            <w:r>
              <w:rPr>
                <w:b/>
              </w:rPr>
              <w:t>Ponente</w:t>
            </w:r>
          </w:p>
        </w:tc>
        <w:tc>
          <w:tcPr>
            <w:tcW w:w="7479" w:type="dxa"/>
          </w:tcPr>
          <w:p w:rsidRPr="008413EF" w:rsidR="008413EF" w:rsidP="00BE1F8F" w:rsidRDefault="008413EF" w14:paraId="2A6EDF2D" w14:textId="7BB4AB03">
            <w:pPr>
              <w:tabs>
                <w:tab w:val="center" w:pos="284"/>
              </w:tabs>
              <w:overflowPunct w:val="0"/>
              <w:autoSpaceDE w:val="0"/>
              <w:autoSpaceDN w:val="0"/>
              <w:adjustRightInd w:val="0"/>
              <w:ind w:left="266" w:hanging="266"/>
              <w:textAlignment w:val="baseline"/>
            </w:pPr>
            <w:r>
              <w:t>Marcin NOWACKI (Grupo de Empresarios – PL)</w:t>
            </w:r>
          </w:p>
        </w:tc>
      </w:tr>
      <w:tr w:rsidRPr="008413EF" w:rsidR="008413EF" w:rsidTr="00713105" w14:paraId="6A5323D9" w14:textId="77777777">
        <w:tc>
          <w:tcPr>
            <w:tcW w:w="1701" w:type="dxa"/>
            <w:vMerge w:val="restart"/>
          </w:tcPr>
          <w:p w:rsidRPr="008413EF" w:rsidR="008413EF" w:rsidP="00BE1F8F" w:rsidRDefault="008413EF" w14:paraId="037595AE" w14:textId="652CE431">
            <w:pPr>
              <w:tabs>
                <w:tab w:val="center" w:pos="284"/>
              </w:tabs>
              <w:overflowPunct w:val="0"/>
              <w:autoSpaceDE w:val="0"/>
              <w:autoSpaceDN w:val="0"/>
              <w:adjustRightInd w:val="0"/>
              <w:ind w:left="266" w:hanging="266"/>
              <w:textAlignment w:val="baseline"/>
              <w:rPr>
                <w:b/>
              </w:rPr>
            </w:pPr>
            <w:r>
              <w:rPr>
                <w:b/>
              </w:rPr>
              <w:t>Referencia</w:t>
            </w:r>
          </w:p>
        </w:tc>
        <w:tc>
          <w:tcPr>
            <w:tcW w:w="7479" w:type="dxa"/>
          </w:tcPr>
          <w:p w:rsidRPr="008413EF" w:rsidR="008413EF" w:rsidP="00713105" w:rsidRDefault="008413EF" w14:paraId="50FBE37D" w14:textId="72B0DC67">
            <w:pPr>
              <w:overflowPunct w:val="0"/>
              <w:autoSpaceDE w:val="0"/>
              <w:autoSpaceDN w:val="0"/>
              <w:adjustRightInd w:val="0"/>
              <w:textAlignment w:val="baseline"/>
            </w:pPr>
            <w:r>
              <w:t>Dictamen exploratorio solicitado por la Presidencia polaca del Consejo de la UE</w:t>
            </w:r>
          </w:p>
        </w:tc>
      </w:tr>
      <w:tr w:rsidRPr="008413EF" w:rsidR="008413EF" w:rsidTr="00713105" w14:paraId="730528B8" w14:textId="77777777">
        <w:tc>
          <w:tcPr>
            <w:tcW w:w="1701" w:type="dxa"/>
            <w:vMerge/>
          </w:tcPr>
          <w:p w:rsidRPr="008413EF" w:rsidR="008413EF" w:rsidP="00BE1F8F" w:rsidRDefault="008413EF" w14:paraId="12933C30" w14:textId="77777777">
            <w:pPr>
              <w:tabs>
                <w:tab w:val="center" w:pos="284"/>
              </w:tabs>
              <w:overflowPunct w:val="0"/>
              <w:autoSpaceDE w:val="0"/>
              <w:autoSpaceDN w:val="0"/>
              <w:adjustRightInd w:val="0"/>
              <w:ind w:left="266" w:hanging="266"/>
              <w:textAlignment w:val="baseline"/>
              <w:rPr>
                <w:b/>
              </w:rPr>
            </w:pPr>
          </w:p>
        </w:tc>
        <w:tc>
          <w:tcPr>
            <w:tcW w:w="7479" w:type="dxa"/>
          </w:tcPr>
          <w:p w:rsidRPr="008413EF" w:rsidR="008413EF" w:rsidP="00BE1F8F" w:rsidRDefault="008413EF" w14:paraId="3578B6AF" w14:textId="02B3A0A0">
            <w:pPr>
              <w:tabs>
                <w:tab w:val="center" w:pos="284"/>
              </w:tabs>
              <w:overflowPunct w:val="0"/>
              <w:autoSpaceDE w:val="0"/>
              <w:autoSpaceDN w:val="0"/>
              <w:adjustRightInd w:val="0"/>
              <w:ind w:left="266" w:hanging="266"/>
              <w:textAlignment w:val="baseline"/>
            </w:pPr>
            <w:r>
              <w:t>EESC-2024-03619-00-00-AC</w:t>
            </w:r>
          </w:p>
        </w:tc>
      </w:tr>
    </w:tbl>
    <w:p w:rsidRPr="008413EF" w:rsidR="008413EF" w:rsidP="00BE1F8F" w:rsidRDefault="008413EF" w14:paraId="27F8102F" w14:textId="77777777">
      <w:pPr>
        <w:tabs>
          <w:tab w:val="center" w:pos="284"/>
        </w:tabs>
        <w:overflowPunct w:val="0"/>
        <w:autoSpaceDE w:val="0"/>
        <w:autoSpaceDN w:val="0"/>
        <w:adjustRightInd w:val="0"/>
        <w:ind w:left="266" w:hanging="266"/>
        <w:textAlignment w:val="baseline"/>
        <w:rPr>
          <w:sz w:val="20"/>
          <w:szCs w:val="20"/>
          <w:lang w:val="en-GB"/>
        </w:rPr>
      </w:pPr>
    </w:p>
    <w:p w:rsidRPr="008413EF" w:rsidR="008413EF" w:rsidP="00BE1F8F" w:rsidRDefault="008413EF" w14:paraId="72919FEE"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8413EF" w:rsidR="008413EF" w:rsidP="00BE1F8F" w:rsidRDefault="008413EF" w14:paraId="57B16AE4" w14:textId="77777777">
      <w:pPr>
        <w:keepNext/>
        <w:keepLines/>
        <w:tabs>
          <w:tab w:val="center" w:pos="284"/>
        </w:tabs>
        <w:overflowPunct w:val="0"/>
        <w:autoSpaceDE w:val="0"/>
        <w:autoSpaceDN w:val="0"/>
        <w:adjustRightInd w:val="0"/>
        <w:ind w:left="266" w:hanging="266"/>
        <w:textAlignment w:val="baseline"/>
        <w:rPr>
          <w:b/>
          <w:lang w:val="en-GB"/>
        </w:rPr>
      </w:pPr>
    </w:p>
    <w:p w:rsidRPr="008413EF" w:rsidR="008413EF" w:rsidP="00BE1F8F" w:rsidRDefault="008413EF" w14:paraId="4C5E895D" w14:textId="77777777">
      <w:pPr>
        <w:overflowPunct w:val="0"/>
        <w:autoSpaceDE w:val="0"/>
        <w:autoSpaceDN w:val="0"/>
        <w:adjustRightInd w:val="0"/>
        <w:textAlignment w:val="baseline"/>
        <w:rPr>
          <w:bCs/>
          <w:iCs/>
        </w:rPr>
      </w:pPr>
      <w:r>
        <w:t>El CESE:</w:t>
      </w:r>
    </w:p>
    <w:p w:rsidRPr="008413EF" w:rsidR="008413EF" w:rsidP="00BE1F8F" w:rsidRDefault="008413EF" w14:paraId="67F46C33" w14:textId="77777777">
      <w:pPr>
        <w:numPr>
          <w:ilvl w:val="0"/>
          <w:numId w:val="32"/>
        </w:numPr>
        <w:overflowPunct w:val="0"/>
        <w:autoSpaceDE w:val="0"/>
        <w:autoSpaceDN w:val="0"/>
        <w:adjustRightInd w:val="0"/>
        <w:ind w:left="284" w:hanging="284"/>
        <w:contextualSpacing/>
        <w:textAlignment w:val="baseline"/>
        <w:rPr>
          <w:bCs/>
          <w:iCs/>
        </w:rPr>
      </w:pPr>
      <w:r>
        <w:t>destaca la necesidad de armonizar la Directiva de servicios y la Directiva relativa al reconocimiento de cualificaciones profesionales para abordar la fragmentación en el sector de los servicios de la UE;</w:t>
      </w:r>
    </w:p>
    <w:p w:rsidRPr="008413EF" w:rsidR="008413EF" w:rsidP="00BE1F8F" w:rsidRDefault="008413EF" w14:paraId="232D5697" w14:textId="77777777">
      <w:pPr>
        <w:numPr>
          <w:ilvl w:val="0"/>
          <w:numId w:val="32"/>
        </w:numPr>
        <w:overflowPunct w:val="0"/>
        <w:autoSpaceDE w:val="0"/>
        <w:autoSpaceDN w:val="0"/>
        <w:adjustRightInd w:val="0"/>
        <w:ind w:left="284" w:hanging="284"/>
        <w:contextualSpacing/>
        <w:textAlignment w:val="baseline"/>
        <w:rPr>
          <w:bCs/>
          <w:iCs/>
        </w:rPr>
      </w:pPr>
      <w:r>
        <w:t>considera que debería introducirse un «paquete de 100 profesiones» para abordar los obstáculos reglamentarios más importantes en los Estados miembros;</w:t>
      </w:r>
    </w:p>
    <w:p w:rsidRPr="008413EF" w:rsidR="008413EF" w:rsidP="00BE1F8F" w:rsidRDefault="008413EF" w14:paraId="783B2481" w14:textId="77777777">
      <w:pPr>
        <w:numPr>
          <w:ilvl w:val="0"/>
          <w:numId w:val="32"/>
        </w:numPr>
        <w:overflowPunct w:val="0"/>
        <w:autoSpaceDE w:val="0"/>
        <w:autoSpaceDN w:val="0"/>
        <w:adjustRightInd w:val="0"/>
        <w:ind w:left="284" w:hanging="284"/>
        <w:contextualSpacing/>
        <w:textAlignment w:val="baseline"/>
        <w:rPr>
          <w:bCs/>
          <w:iCs/>
        </w:rPr>
      </w:pPr>
      <w:r>
        <w:t>opina que la digitalización debe desempeñar un papel central en la modernización de los procedimientos administrativos. La creación de un portal único de declaración digital y la digitalización de los formularios A1 no solo reducirían las cargas administrativas para las pymes, sino que también racionalizarían los servicios transfronterizos, garantizando así unos servicios más rápidos y accesibles tanto para las empresas como para los consumidores;</w:t>
      </w:r>
    </w:p>
    <w:p w:rsidRPr="008413EF" w:rsidR="008413EF" w:rsidP="00BE1F8F" w:rsidRDefault="008413EF" w14:paraId="2AA10EB1" w14:textId="77777777">
      <w:pPr>
        <w:numPr>
          <w:ilvl w:val="0"/>
          <w:numId w:val="32"/>
        </w:numPr>
        <w:overflowPunct w:val="0"/>
        <w:autoSpaceDE w:val="0"/>
        <w:autoSpaceDN w:val="0"/>
        <w:adjustRightInd w:val="0"/>
        <w:ind w:left="284" w:hanging="284"/>
        <w:contextualSpacing/>
        <w:textAlignment w:val="baseline"/>
        <w:rPr>
          <w:bCs/>
          <w:iCs/>
        </w:rPr>
      </w:pPr>
      <w:r>
        <w:t>estima que se necesitan reformas sectoriales específicas para abordar las barreras en sectores como la construcción, el comercio minorista y los servicios financieros;</w:t>
      </w:r>
    </w:p>
    <w:p w:rsidRPr="008413EF" w:rsidR="008413EF" w:rsidP="00BE1F8F" w:rsidRDefault="008413EF" w14:paraId="1EFD5C32" w14:textId="77777777">
      <w:pPr>
        <w:numPr>
          <w:ilvl w:val="0"/>
          <w:numId w:val="32"/>
        </w:numPr>
        <w:overflowPunct w:val="0"/>
        <w:autoSpaceDE w:val="0"/>
        <w:autoSpaceDN w:val="0"/>
        <w:adjustRightInd w:val="0"/>
        <w:ind w:left="284" w:hanging="284"/>
        <w:contextualSpacing/>
        <w:textAlignment w:val="baseline"/>
        <w:rPr>
          <w:bCs/>
          <w:iCs/>
        </w:rPr>
      </w:pPr>
      <w:r>
        <w:t>subraya que la protección de los trabajadores, la negociación colectiva y los convenios colectivos no deben considerarse cargas innecesarias;</w:t>
      </w:r>
    </w:p>
    <w:p w:rsidRPr="008413EF" w:rsidR="008413EF" w:rsidP="00BE1F8F" w:rsidRDefault="008413EF" w14:paraId="7AEFFC54" w14:textId="77777777">
      <w:pPr>
        <w:numPr>
          <w:ilvl w:val="0"/>
          <w:numId w:val="32"/>
        </w:numPr>
        <w:overflowPunct w:val="0"/>
        <w:autoSpaceDE w:val="0"/>
        <w:autoSpaceDN w:val="0"/>
        <w:adjustRightInd w:val="0"/>
        <w:ind w:left="284" w:hanging="284"/>
        <w:contextualSpacing/>
        <w:textAlignment w:val="baseline"/>
        <w:rPr>
          <w:bCs/>
          <w:iCs/>
        </w:rPr>
      </w:pPr>
      <w:r>
        <w:t>hace hincapié en la necesidad de recopilar datos sobre el sector de los servicios, en particular en relación con las pymes, para respaldar la elaboración de políticas y eliminar los obstáculos al mercado único;</w:t>
      </w:r>
    </w:p>
    <w:p w:rsidRPr="008413EF" w:rsidR="008413EF" w:rsidP="00BE1F8F" w:rsidRDefault="008413EF" w14:paraId="74735E25" w14:textId="77777777">
      <w:pPr>
        <w:numPr>
          <w:ilvl w:val="0"/>
          <w:numId w:val="32"/>
        </w:numPr>
        <w:overflowPunct w:val="0"/>
        <w:autoSpaceDE w:val="0"/>
        <w:autoSpaceDN w:val="0"/>
        <w:adjustRightInd w:val="0"/>
        <w:ind w:left="284" w:hanging="284"/>
        <w:contextualSpacing/>
        <w:textAlignment w:val="baseline"/>
        <w:rPr>
          <w:bCs/>
          <w:iCs/>
        </w:rPr>
      </w:pPr>
      <w:r>
        <w:t xml:space="preserve">considera que cuando se actualice la Estrategia para el Mercado Único deberá incluirse un plan de acción de gran calado específico para cada sector al objeto de lograr la integración del mercado de servicios. </w:t>
      </w:r>
    </w:p>
    <w:p w:rsidRPr="008413EF" w:rsidR="008413EF" w:rsidP="00BE1F8F" w:rsidRDefault="008413EF" w14:paraId="08EF99E5" w14:textId="77777777">
      <w:pPr>
        <w:overflowPunct w:val="0"/>
        <w:autoSpaceDE w:val="0"/>
        <w:autoSpaceDN w:val="0"/>
        <w:adjustRightInd w:val="0"/>
        <w:textAlignment w:val="baseline"/>
        <w:rPr>
          <w:bCs/>
          <w:iCs/>
          <w:lang w:val="en-GB"/>
        </w:rPr>
      </w:pPr>
    </w:p>
    <w:tbl>
      <w:tblPr>
        <w:tblW w:w="0" w:type="auto"/>
        <w:tblLook w:val="04A0" w:firstRow="1" w:lastRow="0" w:firstColumn="1" w:lastColumn="0" w:noHBand="0" w:noVBand="1"/>
      </w:tblPr>
      <w:tblGrid>
        <w:gridCol w:w="2235"/>
        <w:gridCol w:w="6945"/>
      </w:tblGrid>
      <w:tr w:rsidRPr="008413EF" w:rsidR="008413EF" w:rsidTr="003F3737" w14:paraId="33B11F7A" w14:textId="77777777">
        <w:tc>
          <w:tcPr>
            <w:tcW w:w="2235" w:type="dxa"/>
          </w:tcPr>
          <w:p w:rsidRPr="00713105" w:rsidR="008413EF" w:rsidP="00BE1F8F" w:rsidRDefault="008413EF" w14:paraId="6AEFA1C2" w14:textId="77777777">
            <w:pPr>
              <w:overflowPunct w:val="0"/>
              <w:autoSpaceDE w:val="0"/>
              <w:autoSpaceDN w:val="0"/>
              <w:adjustRightInd w:val="0"/>
              <w:textAlignment w:val="baseline"/>
              <w:rPr>
                <w:i/>
              </w:rPr>
            </w:pPr>
            <w:r>
              <w:rPr>
                <w:b/>
                <w:i/>
              </w:rPr>
              <w:t>Contacto:</w:t>
            </w:r>
          </w:p>
        </w:tc>
        <w:tc>
          <w:tcPr>
            <w:tcW w:w="6945" w:type="dxa"/>
          </w:tcPr>
          <w:p w:rsidRPr="00713105" w:rsidR="008413EF" w:rsidP="00BE1F8F" w:rsidRDefault="008413EF" w14:paraId="061D78D4" w14:textId="77777777">
            <w:pPr>
              <w:overflowPunct w:val="0"/>
              <w:autoSpaceDE w:val="0"/>
              <w:autoSpaceDN w:val="0"/>
              <w:adjustRightInd w:val="0"/>
              <w:textAlignment w:val="baseline"/>
              <w:rPr>
                <w:i/>
              </w:rPr>
            </w:pPr>
            <w:r>
              <w:rPr>
                <w:i/>
              </w:rPr>
              <w:t>Annalisa Tessarolo</w:t>
            </w:r>
          </w:p>
        </w:tc>
      </w:tr>
      <w:tr w:rsidRPr="008413EF" w:rsidR="008413EF" w:rsidTr="003F3737" w14:paraId="40FDA69D" w14:textId="77777777">
        <w:tc>
          <w:tcPr>
            <w:tcW w:w="2235" w:type="dxa"/>
          </w:tcPr>
          <w:p w:rsidRPr="00713105" w:rsidR="008413EF" w:rsidP="00BE1F8F" w:rsidRDefault="008413EF" w14:paraId="2D116995" w14:textId="77777777">
            <w:pPr>
              <w:overflowPunct w:val="0"/>
              <w:autoSpaceDE w:val="0"/>
              <w:autoSpaceDN w:val="0"/>
              <w:adjustRightInd w:val="0"/>
              <w:textAlignment w:val="baseline"/>
              <w:rPr>
                <w:i/>
              </w:rPr>
            </w:pPr>
            <w:r>
              <w:rPr>
                <w:i/>
              </w:rPr>
              <w:t>Teléfono:</w:t>
            </w:r>
          </w:p>
        </w:tc>
        <w:tc>
          <w:tcPr>
            <w:tcW w:w="6945" w:type="dxa"/>
          </w:tcPr>
          <w:p w:rsidRPr="00713105" w:rsidR="008413EF" w:rsidP="00BE1F8F" w:rsidRDefault="008413EF" w14:paraId="100C3FF0" w14:textId="4D96929A">
            <w:pPr>
              <w:overflowPunct w:val="0"/>
              <w:autoSpaceDE w:val="0"/>
              <w:autoSpaceDN w:val="0"/>
              <w:adjustRightInd w:val="0"/>
              <w:textAlignment w:val="baseline"/>
              <w:rPr>
                <w:i/>
              </w:rPr>
            </w:pPr>
            <w:r>
              <w:rPr>
                <w:i/>
              </w:rPr>
              <w:t>+32 2 54697432</w:t>
            </w:r>
          </w:p>
        </w:tc>
      </w:tr>
      <w:tr w:rsidRPr="008413EF" w:rsidR="008413EF" w:rsidTr="003F3737" w14:paraId="37302371" w14:textId="77777777">
        <w:tc>
          <w:tcPr>
            <w:tcW w:w="2235" w:type="dxa"/>
          </w:tcPr>
          <w:p w:rsidRPr="00713105" w:rsidR="008413EF" w:rsidP="00BE1F8F" w:rsidRDefault="00AD28C9" w14:paraId="5DEDB95D" w14:textId="4025CC54">
            <w:pPr>
              <w:overflowPunct w:val="0"/>
              <w:autoSpaceDE w:val="0"/>
              <w:autoSpaceDN w:val="0"/>
              <w:adjustRightInd w:val="0"/>
              <w:textAlignment w:val="baseline"/>
              <w:rPr>
                <w:i/>
              </w:rPr>
            </w:pPr>
            <w:r>
              <w:rPr>
                <w:i/>
              </w:rPr>
              <w:t>Correo electrónico:</w:t>
            </w:r>
          </w:p>
        </w:tc>
        <w:tc>
          <w:tcPr>
            <w:tcW w:w="6945" w:type="dxa"/>
          </w:tcPr>
          <w:p w:rsidRPr="00713105" w:rsidR="008413EF" w:rsidP="00BE1F8F" w:rsidRDefault="00593CA8" w14:paraId="03ED06F2" w14:textId="4676909C">
            <w:pPr>
              <w:overflowPunct w:val="0"/>
              <w:autoSpaceDE w:val="0"/>
              <w:autoSpaceDN w:val="0"/>
              <w:adjustRightInd w:val="0"/>
              <w:textAlignment w:val="baseline"/>
              <w:rPr>
                <w:i/>
              </w:rPr>
            </w:pPr>
            <w:hyperlink w:history="1" r:id="rId48">
              <w:r w:rsidR="001C131E">
                <w:rPr>
                  <w:rStyle w:val="Hyperlink"/>
                  <w:i/>
                </w:rPr>
                <w:t>Annalisa.Tessarolo@eesc.europa.eu</w:t>
              </w:r>
            </w:hyperlink>
          </w:p>
        </w:tc>
      </w:tr>
    </w:tbl>
    <w:p w:rsidR="008413EF" w:rsidP="00BE1F8F" w:rsidRDefault="008413EF" w14:paraId="617BC9EE" w14:textId="77777777">
      <w:pPr>
        <w:jc w:val="left"/>
        <w:rPr>
          <w:lang w:val="en-GB"/>
        </w:rPr>
      </w:pPr>
    </w:p>
    <w:p w:rsidR="008413EF" w:rsidP="00BE1F8F" w:rsidRDefault="008413EF" w14:paraId="191624E6" w14:textId="77777777">
      <w:pPr>
        <w:jc w:val="left"/>
      </w:pPr>
      <w:r>
        <w:br w:type="page"/>
      </w:r>
    </w:p>
    <w:p w:rsidRPr="00713105" w:rsidR="001C0AB9" w:rsidP="003F3737" w:rsidRDefault="00593CA8" w14:paraId="42F00AC9" w14:textId="3186BBA7">
      <w:pPr>
        <w:widowControl w:val="0"/>
        <w:numPr>
          <w:ilvl w:val="0"/>
          <w:numId w:val="2"/>
        </w:numPr>
        <w:overflowPunct w:val="0"/>
        <w:autoSpaceDE w:val="0"/>
        <w:autoSpaceDN w:val="0"/>
        <w:adjustRightInd w:val="0"/>
        <w:ind w:hanging="567"/>
        <w:textAlignment w:val="baseline"/>
      </w:pPr>
      <w:hyperlink w:tgtFrame="_blank" w:history="1" r:id="rId49">
        <w:r w:rsidR="001C131E">
          <w:rPr>
            <w:b/>
            <w:i/>
            <w:color w:val="0000FF"/>
            <w:sz w:val="28"/>
            <w:u w:val="single"/>
          </w:rPr>
          <w:t>El futuro de la industria de la UE ante los elevados precios de la energía y los costes de la transición</w:t>
        </w:r>
      </w:hyperlink>
    </w:p>
    <w:p w:rsidRPr="001C0AB9" w:rsidR="001C0AB9" w:rsidP="00BE1F8F" w:rsidRDefault="001C0AB9" w14:paraId="0DDA99F6" w14:textId="77777777">
      <w:pPr>
        <w:widowControl w:val="0"/>
        <w:overflowPunct w:val="0"/>
        <w:autoSpaceDE w:val="0"/>
        <w:autoSpaceDN w:val="0"/>
        <w:adjustRightInd w:val="0"/>
        <w:ind w:left="284"/>
        <w:textAlignment w:val="baseline"/>
        <w:rPr>
          <w:b/>
          <w:lang w:val="en-GB"/>
        </w:rPr>
      </w:pPr>
    </w:p>
    <w:tbl>
      <w:tblPr>
        <w:tblW w:w="4942" w:type="pct"/>
        <w:tblLook w:val="04A0" w:firstRow="1" w:lastRow="0" w:firstColumn="1" w:lastColumn="0" w:noHBand="0" w:noVBand="1"/>
      </w:tblPr>
      <w:tblGrid>
        <w:gridCol w:w="1667"/>
        <w:gridCol w:w="7512"/>
      </w:tblGrid>
      <w:tr w:rsidRPr="001C0AB9" w:rsidR="001C0AB9" w:rsidTr="00713105" w14:paraId="302E5F77" w14:textId="77777777">
        <w:tc>
          <w:tcPr>
            <w:tcW w:w="908" w:type="pct"/>
          </w:tcPr>
          <w:p w:rsidRPr="001C0AB9" w:rsidR="001C0AB9" w:rsidP="00BE1F8F" w:rsidRDefault="001C0AB9" w14:paraId="16513D26" w14:textId="77777777">
            <w:pPr>
              <w:tabs>
                <w:tab w:val="center" w:pos="284"/>
              </w:tabs>
              <w:overflowPunct w:val="0"/>
              <w:autoSpaceDE w:val="0"/>
              <w:autoSpaceDN w:val="0"/>
              <w:adjustRightInd w:val="0"/>
              <w:ind w:left="266" w:hanging="266"/>
              <w:textAlignment w:val="baseline"/>
              <w:rPr>
                <w:b/>
              </w:rPr>
            </w:pPr>
            <w:r>
              <w:rPr>
                <w:b/>
              </w:rPr>
              <w:t>Ponente</w:t>
            </w:r>
          </w:p>
        </w:tc>
        <w:tc>
          <w:tcPr>
            <w:tcW w:w="4092" w:type="pct"/>
          </w:tcPr>
          <w:p w:rsidRPr="001C0AB9" w:rsidR="001C0AB9" w:rsidP="00BE1F8F" w:rsidRDefault="001C0AB9" w14:paraId="45A398EC" w14:textId="18D9B476">
            <w:pPr>
              <w:tabs>
                <w:tab w:val="center" w:pos="284"/>
              </w:tabs>
              <w:overflowPunct w:val="0"/>
              <w:autoSpaceDE w:val="0"/>
              <w:autoSpaceDN w:val="0"/>
              <w:adjustRightInd w:val="0"/>
              <w:ind w:left="266" w:hanging="266"/>
              <w:textAlignment w:val="baseline"/>
            </w:pPr>
            <w:r>
              <w:t>Andrea MONE (Grupo de Trabajadores – IT)</w:t>
            </w:r>
          </w:p>
        </w:tc>
      </w:tr>
      <w:tr w:rsidRPr="001C0AB9" w:rsidR="001C0AB9" w:rsidTr="00713105" w14:paraId="49E0B6DD" w14:textId="77777777">
        <w:tc>
          <w:tcPr>
            <w:tcW w:w="908" w:type="pct"/>
            <w:vMerge w:val="restart"/>
          </w:tcPr>
          <w:p w:rsidRPr="001C0AB9" w:rsidR="001C0AB9" w:rsidP="00BE1F8F" w:rsidRDefault="001C0AB9" w14:paraId="2351E607" w14:textId="08875287">
            <w:pPr>
              <w:tabs>
                <w:tab w:val="center" w:pos="284"/>
              </w:tabs>
              <w:overflowPunct w:val="0"/>
              <w:autoSpaceDE w:val="0"/>
              <w:autoSpaceDN w:val="0"/>
              <w:adjustRightInd w:val="0"/>
              <w:ind w:left="266" w:hanging="266"/>
              <w:textAlignment w:val="baseline"/>
              <w:rPr>
                <w:b/>
              </w:rPr>
            </w:pPr>
            <w:r>
              <w:rPr>
                <w:b/>
              </w:rPr>
              <w:t>Referenci</w:t>
            </w:r>
            <w:r w:rsidR="003F3737">
              <w:rPr>
                <w:b/>
              </w:rPr>
              <w:t>a</w:t>
            </w:r>
          </w:p>
        </w:tc>
        <w:tc>
          <w:tcPr>
            <w:tcW w:w="4092" w:type="pct"/>
          </w:tcPr>
          <w:p w:rsidRPr="00C43D3E" w:rsidR="001C0AB9" w:rsidP="00713105" w:rsidRDefault="001C0AB9" w14:paraId="17F26A32" w14:textId="41E8E568">
            <w:pPr>
              <w:tabs>
                <w:tab w:val="center" w:pos="284"/>
              </w:tabs>
              <w:overflowPunct w:val="0"/>
              <w:autoSpaceDE w:val="0"/>
              <w:autoSpaceDN w:val="0"/>
              <w:adjustRightInd w:val="0"/>
              <w:ind w:left="266" w:right="-387" w:hanging="266"/>
              <w:textAlignment w:val="baseline"/>
            </w:pPr>
            <w:r>
              <w:t>Dictamen exploratorio solicitado por la Presidencia polaca del Consejo de la UE</w:t>
            </w:r>
          </w:p>
        </w:tc>
      </w:tr>
      <w:tr w:rsidRPr="001C0AB9" w:rsidR="001C0AB9" w:rsidTr="00713105" w14:paraId="21E65686" w14:textId="77777777">
        <w:tc>
          <w:tcPr>
            <w:tcW w:w="908" w:type="pct"/>
            <w:vMerge/>
          </w:tcPr>
          <w:p w:rsidRPr="001C0AB9" w:rsidR="001C0AB9" w:rsidP="00BE1F8F" w:rsidRDefault="001C0AB9" w14:paraId="4CD406B0" w14:textId="77777777">
            <w:pPr>
              <w:tabs>
                <w:tab w:val="center" w:pos="284"/>
              </w:tabs>
              <w:overflowPunct w:val="0"/>
              <w:autoSpaceDE w:val="0"/>
              <w:autoSpaceDN w:val="0"/>
              <w:adjustRightInd w:val="0"/>
              <w:ind w:left="266" w:hanging="266"/>
              <w:textAlignment w:val="baseline"/>
              <w:rPr>
                <w:b/>
              </w:rPr>
            </w:pPr>
          </w:p>
        </w:tc>
        <w:tc>
          <w:tcPr>
            <w:tcW w:w="4092" w:type="pct"/>
          </w:tcPr>
          <w:p w:rsidRPr="001C0AB9" w:rsidR="001C0AB9" w:rsidP="00BE1F8F" w:rsidRDefault="001C0AB9" w14:paraId="7D1175EF" w14:textId="77777777">
            <w:pPr>
              <w:tabs>
                <w:tab w:val="center" w:pos="284"/>
              </w:tabs>
              <w:overflowPunct w:val="0"/>
              <w:autoSpaceDE w:val="0"/>
              <w:autoSpaceDN w:val="0"/>
              <w:adjustRightInd w:val="0"/>
              <w:ind w:left="266" w:hanging="266"/>
              <w:textAlignment w:val="baseline"/>
            </w:pPr>
            <w:r>
              <w:t>EESC-2024-03583-00-00-AC</w:t>
            </w:r>
          </w:p>
        </w:tc>
      </w:tr>
    </w:tbl>
    <w:p w:rsidRPr="001C0AB9" w:rsidR="001C0AB9" w:rsidP="00BE1F8F" w:rsidRDefault="001C0AB9" w14:paraId="1C922088" w14:textId="77777777">
      <w:pPr>
        <w:tabs>
          <w:tab w:val="center" w:pos="284"/>
        </w:tabs>
        <w:overflowPunct w:val="0"/>
        <w:autoSpaceDE w:val="0"/>
        <w:autoSpaceDN w:val="0"/>
        <w:adjustRightInd w:val="0"/>
        <w:ind w:left="266" w:hanging="266"/>
        <w:textAlignment w:val="baseline"/>
        <w:rPr>
          <w:lang w:val="en-GB"/>
        </w:rPr>
      </w:pPr>
    </w:p>
    <w:p w:rsidRPr="001C0AB9" w:rsidR="001C0AB9" w:rsidP="00BE1F8F" w:rsidRDefault="001C0AB9" w14:paraId="2CF6D0AF" w14:textId="77777777">
      <w:pPr>
        <w:keepNext/>
        <w:keepLines/>
        <w:tabs>
          <w:tab w:val="center" w:pos="284"/>
        </w:tabs>
        <w:overflowPunct w:val="0"/>
        <w:autoSpaceDE w:val="0"/>
        <w:autoSpaceDN w:val="0"/>
        <w:adjustRightInd w:val="0"/>
        <w:ind w:left="266" w:hanging="266"/>
        <w:textAlignment w:val="baseline"/>
        <w:rPr>
          <w:b/>
        </w:rPr>
      </w:pPr>
      <w:r>
        <w:rPr>
          <w:b/>
        </w:rPr>
        <w:t>Puntos clave</w:t>
      </w:r>
    </w:p>
    <w:p w:rsidRPr="001C0AB9" w:rsidR="001C0AB9" w:rsidP="00BE1F8F" w:rsidRDefault="001C0AB9" w14:paraId="13B083CC" w14:textId="77777777">
      <w:pPr>
        <w:keepNext/>
        <w:keepLines/>
        <w:tabs>
          <w:tab w:val="center" w:pos="284"/>
        </w:tabs>
        <w:overflowPunct w:val="0"/>
        <w:autoSpaceDE w:val="0"/>
        <w:autoSpaceDN w:val="0"/>
        <w:adjustRightInd w:val="0"/>
        <w:ind w:left="266" w:hanging="266"/>
        <w:textAlignment w:val="baseline"/>
        <w:rPr>
          <w:b/>
          <w:lang w:val="en-GB"/>
        </w:rPr>
      </w:pPr>
    </w:p>
    <w:p w:rsidRPr="001C0AB9" w:rsidR="00402449" w:rsidP="00BE1F8F" w:rsidRDefault="001C0AB9" w14:paraId="7AD5576E" w14:textId="147901FD">
      <w:pPr>
        <w:overflowPunct w:val="0"/>
        <w:autoSpaceDE w:val="0"/>
        <w:autoSpaceDN w:val="0"/>
        <w:adjustRightInd w:val="0"/>
        <w:textAlignment w:val="baseline"/>
        <w:rPr>
          <w:bCs/>
          <w:iCs/>
        </w:rPr>
      </w:pPr>
      <w:r>
        <w:t>El CESE:</w:t>
      </w:r>
    </w:p>
    <w:p w:rsidRPr="001C0AB9" w:rsidR="001C0AB9" w:rsidP="00BE1F8F" w:rsidRDefault="001C0AB9" w14:paraId="6A2D8F3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pide medidas urgentes para establecer una </w:t>
      </w:r>
      <w:r>
        <w:rPr>
          <w:b/>
        </w:rPr>
        <w:t>estrategia industrial integral de la UE</w:t>
      </w:r>
      <w:r>
        <w:t xml:space="preserve"> que garantice </w:t>
      </w:r>
      <w:r>
        <w:rPr>
          <w:b/>
        </w:rPr>
        <w:t>industrias competitivas y empleos de calidad</w:t>
      </w:r>
      <w:r>
        <w:t xml:space="preserve"> y que se adecue a los objetivos del Pacto Verde mediante un </w:t>
      </w:r>
      <w:r>
        <w:rPr>
          <w:b/>
        </w:rPr>
        <w:t>estrecho</w:t>
      </w:r>
      <w:r>
        <w:t xml:space="preserve"> seguimiento y ajustes específicos;</w:t>
      </w:r>
    </w:p>
    <w:p w:rsidRPr="001C0AB9" w:rsidR="001C0AB9" w:rsidP="00BE1F8F" w:rsidRDefault="001C0AB9" w14:paraId="70DD072D"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insta a que se mejore el </w:t>
      </w:r>
      <w:r>
        <w:rPr>
          <w:b/>
        </w:rPr>
        <w:t>entorno económico y normativo</w:t>
      </w:r>
      <w:r>
        <w:t xml:space="preserve"> para abordar los </w:t>
      </w:r>
      <w:r>
        <w:rPr>
          <w:b/>
        </w:rPr>
        <w:t>retos estructurales de competitividad de Europa</w:t>
      </w:r>
      <w:r>
        <w:t>, incluidos los elevados costes de la energía y las materias primas, la inversión inicial y las cargas de cumplimiento relacionadas con la transición ecológica, las infraestructuras inadecuadas, el persistente déficit de capacidades, las limitaciones de la financiación y la demanda interna y un mercado único incompleto;</w:t>
      </w:r>
    </w:p>
    <w:p w:rsidRPr="001C0AB9" w:rsidR="001C0AB9" w:rsidP="00BE1F8F" w:rsidRDefault="001C0AB9" w14:paraId="6A693864"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aboga por </w:t>
      </w:r>
      <w:r>
        <w:rPr>
          <w:b/>
        </w:rPr>
        <w:t>una política de competitividad</w:t>
      </w:r>
      <w:r>
        <w:t xml:space="preserve"> que priorice </w:t>
      </w:r>
      <w:r>
        <w:rPr>
          <w:b/>
        </w:rPr>
        <w:t>la inversión y la innovación</w:t>
      </w:r>
      <w:r>
        <w:t xml:space="preserve"> y, al mismo tiempo, promueva la </w:t>
      </w:r>
      <w:r>
        <w:rPr>
          <w:b/>
        </w:rPr>
        <w:t>inclusión social y territorial</w:t>
      </w:r>
      <w:r>
        <w:t xml:space="preserve"> y garantice que </w:t>
      </w:r>
      <w:r>
        <w:rPr>
          <w:b/>
        </w:rPr>
        <w:t>el diálogo social y la negociación colectiva</w:t>
      </w:r>
      <w:r>
        <w:t xml:space="preserve"> guíen los cambios estructurales de manera justa y equitativa;</w:t>
      </w:r>
    </w:p>
    <w:p w:rsidRPr="001C0AB9" w:rsidR="001C0AB9" w:rsidP="00BE1F8F" w:rsidRDefault="001C0AB9" w14:paraId="61A535A9" w14:textId="77777777">
      <w:pPr>
        <w:numPr>
          <w:ilvl w:val="0"/>
          <w:numId w:val="33"/>
        </w:numPr>
        <w:tabs>
          <w:tab w:val="clear" w:pos="720"/>
          <w:tab w:val="num" w:pos="567"/>
        </w:tabs>
        <w:overflowPunct w:val="0"/>
        <w:autoSpaceDE w:val="0"/>
        <w:autoSpaceDN w:val="0"/>
        <w:adjustRightInd w:val="0"/>
        <w:ind w:left="284" w:hanging="284"/>
        <w:textAlignment w:val="baseline"/>
      </w:pPr>
      <w:r>
        <w:t xml:space="preserve">pide una </w:t>
      </w:r>
      <w:r>
        <w:rPr>
          <w:b/>
        </w:rPr>
        <w:t>estrategia industrial que incluya a todos los sectores</w:t>
      </w:r>
      <w:r>
        <w:t xml:space="preserve"> y que mejore la </w:t>
      </w:r>
      <w:r>
        <w:rPr>
          <w:b/>
        </w:rPr>
        <w:t>coherencia política, optimice la asignación de recursos, cree un fondo de inversión europeo específico</w:t>
      </w:r>
      <w:r>
        <w:t xml:space="preserve"> para prioridades estratégicas y tenga en cuenta la </w:t>
      </w:r>
      <w:r>
        <w:rPr>
          <w:b/>
        </w:rPr>
        <w:t>dimensión transnacional</w:t>
      </w:r>
      <w:r>
        <w:t xml:space="preserve"> de ámbitos clave como </w:t>
      </w:r>
      <w:r>
        <w:rPr>
          <w:b/>
        </w:rPr>
        <w:t>la energía, la I+i y las capacidades</w:t>
      </w:r>
      <w:r>
        <w:t>;</w:t>
      </w:r>
    </w:p>
    <w:p w:rsidRPr="001C0AB9" w:rsidR="001C0AB9" w:rsidP="00BE1F8F" w:rsidRDefault="001C0AB9" w14:paraId="1A086C5D" w14:textId="77777777">
      <w:pPr>
        <w:numPr>
          <w:ilvl w:val="0"/>
          <w:numId w:val="33"/>
        </w:numPr>
        <w:tabs>
          <w:tab w:val="clear" w:pos="720"/>
          <w:tab w:val="num" w:pos="567"/>
        </w:tabs>
        <w:overflowPunct w:val="0"/>
        <w:autoSpaceDE w:val="0"/>
        <w:autoSpaceDN w:val="0"/>
        <w:adjustRightInd w:val="0"/>
        <w:ind w:left="284" w:hanging="284"/>
        <w:textAlignment w:val="baseline"/>
      </w:pPr>
      <w:r>
        <w:rPr>
          <w:b/>
        </w:rPr>
        <w:t>hace hincapié en la necesidad de una política comercial resiliente de la UE</w:t>
      </w:r>
      <w:r>
        <w:t xml:space="preserve"> que mitigue los riesgos de </w:t>
      </w:r>
      <w:r>
        <w:rPr>
          <w:b/>
        </w:rPr>
        <w:t>descarbonización asimétrica, exceso de capacidad mundial e intensificación de las tensiones comerciales</w:t>
      </w:r>
      <w:r>
        <w:t xml:space="preserve">, al mismo tiempo que </w:t>
      </w:r>
      <w:r>
        <w:rPr>
          <w:b/>
        </w:rPr>
        <w:t>refuerza la autonomía respecto de las materias primas fundamentales</w:t>
      </w:r>
      <w:r>
        <w:t xml:space="preserve"> para salvaguardar el futuro industrial de Europa.</w:t>
      </w:r>
    </w:p>
    <w:p w:rsidRPr="001C0AB9" w:rsidR="001C0AB9" w:rsidP="00BE1F8F" w:rsidRDefault="001C0AB9" w14:paraId="5031E8B4" w14:textId="77777777">
      <w:pPr>
        <w:widowControl w:val="0"/>
        <w:overflowPunct w:val="0"/>
        <w:autoSpaceDE w:val="0"/>
        <w:autoSpaceDN w:val="0"/>
        <w:adjustRightInd w:val="0"/>
        <w:ind w:left="709"/>
        <w:textAlignment w:val="baseline"/>
        <w:rPr>
          <w:szCs w:val="20"/>
          <w:lang w:val="en-GB"/>
        </w:rPr>
      </w:pPr>
    </w:p>
    <w:tbl>
      <w:tblPr>
        <w:tblW w:w="4942" w:type="pct"/>
        <w:tblLook w:val="04A0" w:firstRow="1" w:lastRow="0" w:firstColumn="1" w:lastColumn="0" w:noHBand="0" w:noVBand="1"/>
      </w:tblPr>
      <w:tblGrid>
        <w:gridCol w:w="2234"/>
        <w:gridCol w:w="6945"/>
      </w:tblGrid>
      <w:tr w:rsidRPr="001C0AB9" w:rsidR="001C0AB9" w:rsidTr="003F3737" w14:paraId="255B6976" w14:textId="77777777">
        <w:tc>
          <w:tcPr>
            <w:tcW w:w="1217" w:type="pct"/>
          </w:tcPr>
          <w:p w:rsidRPr="001C0AB9" w:rsidR="001C0AB9" w:rsidP="00BE1F8F" w:rsidRDefault="001C0AB9" w14:paraId="25B90EB8" w14:textId="77777777">
            <w:pPr>
              <w:overflowPunct w:val="0"/>
              <w:autoSpaceDE w:val="0"/>
              <w:autoSpaceDN w:val="0"/>
              <w:adjustRightInd w:val="0"/>
              <w:textAlignment w:val="baseline"/>
              <w:rPr>
                <w:i/>
              </w:rPr>
            </w:pPr>
            <w:r>
              <w:rPr>
                <w:b/>
                <w:i/>
              </w:rPr>
              <w:t>Contacto:</w:t>
            </w:r>
          </w:p>
        </w:tc>
        <w:tc>
          <w:tcPr>
            <w:tcW w:w="3783" w:type="pct"/>
          </w:tcPr>
          <w:p w:rsidRPr="001C0AB9" w:rsidR="001C0AB9" w:rsidP="00BE1F8F" w:rsidRDefault="001C0AB9" w14:paraId="47766DB4" w14:textId="77777777">
            <w:pPr>
              <w:overflowPunct w:val="0"/>
              <w:autoSpaceDE w:val="0"/>
              <w:autoSpaceDN w:val="0"/>
              <w:adjustRightInd w:val="0"/>
              <w:textAlignment w:val="baseline"/>
              <w:rPr>
                <w:i/>
              </w:rPr>
            </w:pPr>
            <w:r>
              <w:rPr>
                <w:i/>
              </w:rPr>
              <w:t>Silvia Staffa</w:t>
            </w:r>
          </w:p>
        </w:tc>
      </w:tr>
      <w:tr w:rsidRPr="001C0AB9" w:rsidR="001C0AB9" w:rsidTr="003F3737" w14:paraId="7C1DD93F" w14:textId="77777777">
        <w:tc>
          <w:tcPr>
            <w:tcW w:w="1217" w:type="pct"/>
          </w:tcPr>
          <w:p w:rsidRPr="001C0AB9" w:rsidR="001C0AB9" w:rsidP="00BE1F8F" w:rsidRDefault="001C0AB9" w14:paraId="3EE989E4" w14:textId="77777777">
            <w:pPr>
              <w:overflowPunct w:val="0"/>
              <w:autoSpaceDE w:val="0"/>
              <w:autoSpaceDN w:val="0"/>
              <w:adjustRightInd w:val="0"/>
              <w:textAlignment w:val="baseline"/>
              <w:rPr>
                <w:i/>
              </w:rPr>
            </w:pPr>
            <w:r>
              <w:rPr>
                <w:i/>
              </w:rPr>
              <w:t>Teléfono:</w:t>
            </w:r>
          </w:p>
        </w:tc>
        <w:tc>
          <w:tcPr>
            <w:tcW w:w="3783" w:type="pct"/>
          </w:tcPr>
          <w:p w:rsidRPr="001C0AB9" w:rsidR="001C0AB9" w:rsidP="00BE1F8F" w:rsidRDefault="001C0AB9" w14:paraId="205BC83F" w14:textId="77777777">
            <w:pPr>
              <w:overflowPunct w:val="0"/>
              <w:autoSpaceDE w:val="0"/>
              <w:autoSpaceDN w:val="0"/>
              <w:adjustRightInd w:val="0"/>
              <w:textAlignment w:val="baseline"/>
              <w:rPr>
                <w:i/>
              </w:rPr>
            </w:pPr>
            <w:r>
              <w:rPr>
                <w:i/>
              </w:rPr>
              <w:t>+32 25468378</w:t>
            </w:r>
          </w:p>
        </w:tc>
      </w:tr>
      <w:tr w:rsidRPr="001C0AB9" w:rsidR="001C0AB9" w:rsidTr="003F3737" w14:paraId="0E5D8409" w14:textId="77777777">
        <w:tc>
          <w:tcPr>
            <w:tcW w:w="1217" w:type="pct"/>
          </w:tcPr>
          <w:p w:rsidRPr="001C0AB9" w:rsidR="001C0AB9" w:rsidP="00BE1F8F" w:rsidRDefault="00402449" w14:paraId="20244737" w14:textId="72ECCE95">
            <w:pPr>
              <w:overflowPunct w:val="0"/>
              <w:autoSpaceDE w:val="0"/>
              <w:autoSpaceDN w:val="0"/>
              <w:adjustRightInd w:val="0"/>
              <w:textAlignment w:val="baseline"/>
              <w:rPr>
                <w:i/>
              </w:rPr>
            </w:pPr>
            <w:r>
              <w:rPr>
                <w:i/>
              </w:rPr>
              <w:t>Correo electrónico:</w:t>
            </w:r>
          </w:p>
        </w:tc>
        <w:tc>
          <w:tcPr>
            <w:tcW w:w="3783" w:type="pct"/>
          </w:tcPr>
          <w:p w:rsidRPr="001C0AB9" w:rsidR="001C0AB9" w:rsidP="00BE1F8F" w:rsidRDefault="00593CA8" w14:paraId="2ACCD03D" w14:textId="77777777">
            <w:pPr>
              <w:overflowPunct w:val="0"/>
              <w:autoSpaceDE w:val="0"/>
              <w:autoSpaceDN w:val="0"/>
              <w:adjustRightInd w:val="0"/>
              <w:textAlignment w:val="baseline"/>
              <w:rPr>
                <w:i/>
              </w:rPr>
            </w:pPr>
            <w:hyperlink w:history="1" r:id="rId50">
              <w:r w:rsidR="001C131E">
                <w:rPr>
                  <w:i/>
                  <w:color w:val="0000FF"/>
                  <w:u w:val="single"/>
                </w:rPr>
                <w:t>Silvia.Staffa@eesc.europa.eu</w:t>
              </w:r>
            </w:hyperlink>
          </w:p>
        </w:tc>
      </w:tr>
    </w:tbl>
    <w:p w:rsidR="00A124AE" w:rsidP="00BE1F8F" w:rsidRDefault="00A124AE" w14:paraId="5E11233F" w14:textId="77777777">
      <w:pPr>
        <w:jc w:val="left"/>
      </w:pPr>
    </w:p>
    <w:p w:rsidR="00A124AE" w:rsidP="00BE1F8F" w:rsidRDefault="00A124AE" w14:paraId="64128581" w14:textId="77777777">
      <w:pPr>
        <w:jc w:val="left"/>
      </w:pPr>
      <w:r>
        <w:br w:type="page"/>
      </w:r>
    </w:p>
    <w:p w:rsidRPr="00C43D3E" w:rsidR="00A124AE" w:rsidP="00BE1F8F" w:rsidRDefault="00593CA8" w14:paraId="6CCC3167" w14:textId="151451A1">
      <w:pPr>
        <w:widowControl w:val="0"/>
        <w:numPr>
          <w:ilvl w:val="0"/>
          <w:numId w:val="2"/>
        </w:numPr>
        <w:overflowPunct w:val="0"/>
        <w:autoSpaceDE w:val="0"/>
        <w:autoSpaceDN w:val="0"/>
        <w:adjustRightInd w:val="0"/>
        <w:ind w:hanging="567"/>
        <w:textAlignment w:val="baseline"/>
        <w:rPr>
          <w:b/>
          <w:bCs/>
          <w:i/>
          <w:iCs/>
          <w:sz w:val="28"/>
          <w:szCs w:val="28"/>
          <w:u w:val="single"/>
        </w:rPr>
      </w:pPr>
      <w:hyperlink w:history="1" r:id="rId51">
        <w:r w:rsidR="001C131E">
          <w:rPr>
            <w:b/>
            <w:i/>
            <w:color w:val="0000FF"/>
            <w:sz w:val="28"/>
            <w:u w:val="single"/>
          </w:rPr>
          <w:t>El turismo en la UE: la sostenibilidad como motor de la competitividad a largo plazo</w:t>
        </w:r>
      </w:hyperlink>
    </w:p>
    <w:p w:rsidRPr="00A124AE" w:rsidR="00A124AE" w:rsidP="00BE1F8F" w:rsidRDefault="00A124AE" w14:paraId="70901E46" w14:textId="77777777">
      <w:pPr>
        <w:tabs>
          <w:tab w:val="center" w:pos="284"/>
        </w:tabs>
        <w:overflowPunct w:val="0"/>
        <w:autoSpaceDE w:val="0"/>
        <w:autoSpaceDN w:val="0"/>
        <w:adjustRightInd w:val="0"/>
        <w:ind w:left="266" w:hanging="266"/>
        <w:textAlignment w:val="baseline"/>
        <w:rPr>
          <w:b/>
          <w:lang w:val="en-GB"/>
        </w:rPr>
      </w:pPr>
    </w:p>
    <w:tbl>
      <w:tblPr>
        <w:tblW w:w="5000" w:type="pct"/>
        <w:tblLook w:val="04A0" w:firstRow="1" w:lastRow="0" w:firstColumn="1" w:lastColumn="0" w:noHBand="0" w:noVBand="1"/>
      </w:tblPr>
      <w:tblGrid>
        <w:gridCol w:w="2025"/>
        <w:gridCol w:w="7262"/>
      </w:tblGrid>
      <w:tr w:rsidRPr="00A124AE" w:rsidR="00A124AE" w:rsidTr="00713105" w14:paraId="5244175C" w14:textId="77777777">
        <w:trPr>
          <w:trHeight w:val="322"/>
        </w:trPr>
        <w:tc>
          <w:tcPr>
            <w:tcW w:w="1090" w:type="pct"/>
          </w:tcPr>
          <w:p w:rsidRPr="00A124AE" w:rsidR="00A124AE" w:rsidP="00BE1F8F" w:rsidRDefault="00A124AE" w14:paraId="1416C2D0" w14:textId="3DD291D0">
            <w:pPr>
              <w:tabs>
                <w:tab w:val="center" w:pos="284"/>
              </w:tabs>
              <w:overflowPunct w:val="0"/>
              <w:autoSpaceDE w:val="0"/>
              <w:autoSpaceDN w:val="0"/>
              <w:adjustRightInd w:val="0"/>
              <w:ind w:left="266" w:hanging="266"/>
              <w:textAlignment w:val="baseline"/>
              <w:rPr>
                <w:b/>
              </w:rPr>
            </w:pPr>
            <w:r>
              <w:rPr>
                <w:b/>
              </w:rPr>
              <w:t>Ponente</w:t>
            </w:r>
          </w:p>
        </w:tc>
        <w:tc>
          <w:tcPr>
            <w:tcW w:w="3910" w:type="pct"/>
          </w:tcPr>
          <w:p w:rsidRPr="00A124AE" w:rsidR="00A124AE" w:rsidP="00BE1F8F" w:rsidRDefault="00A124AE" w14:paraId="483C743D" w14:textId="478C4635">
            <w:pPr>
              <w:tabs>
                <w:tab w:val="center" w:pos="0"/>
              </w:tabs>
              <w:overflowPunct w:val="0"/>
              <w:autoSpaceDE w:val="0"/>
              <w:autoSpaceDN w:val="0"/>
              <w:adjustRightInd w:val="0"/>
              <w:ind w:left="266" w:hanging="266"/>
              <w:textAlignment w:val="baseline"/>
            </w:pPr>
            <w:r>
              <w:t>Isabel YGLESIAS (Grupo de Empresarios – ES)</w:t>
            </w:r>
          </w:p>
        </w:tc>
      </w:tr>
      <w:tr w:rsidRPr="00A124AE" w:rsidR="00A124AE" w:rsidTr="00713105" w14:paraId="466A9A73" w14:textId="77777777">
        <w:tc>
          <w:tcPr>
            <w:tcW w:w="1090" w:type="pct"/>
          </w:tcPr>
          <w:p w:rsidRPr="00A124AE" w:rsidR="00A124AE" w:rsidP="00BE1F8F" w:rsidRDefault="00A124AE" w14:paraId="1940FE0A" w14:textId="4A75ADCE">
            <w:pPr>
              <w:tabs>
                <w:tab w:val="center" w:pos="284"/>
              </w:tabs>
              <w:overflowPunct w:val="0"/>
              <w:autoSpaceDE w:val="0"/>
              <w:autoSpaceDN w:val="0"/>
              <w:adjustRightInd w:val="0"/>
              <w:ind w:left="266" w:hanging="266"/>
              <w:textAlignment w:val="baseline"/>
              <w:rPr>
                <w:b/>
              </w:rPr>
            </w:pPr>
            <w:r>
              <w:rPr>
                <w:b/>
              </w:rPr>
              <w:t>Referencia</w:t>
            </w:r>
          </w:p>
        </w:tc>
        <w:tc>
          <w:tcPr>
            <w:tcW w:w="3910" w:type="pct"/>
          </w:tcPr>
          <w:p w:rsidRPr="00A124AE" w:rsidR="00A124AE" w:rsidP="00BE1F8F" w:rsidRDefault="00A124AE" w14:paraId="6D5E8266" w14:textId="709DE05D">
            <w:pPr>
              <w:tabs>
                <w:tab w:val="center" w:pos="284"/>
              </w:tabs>
              <w:overflowPunct w:val="0"/>
              <w:autoSpaceDE w:val="0"/>
              <w:autoSpaceDN w:val="0"/>
              <w:adjustRightInd w:val="0"/>
              <w:ind w:left="266" w:hanging="266"/>
              <w:textAlignment w:val="baseline"/>
            </w:pPr>
            <w:r>
              <w:t>Dictamen de iniciativa</w:t>
            </w:r>
          </w:p>
          <w:p w:rsidRPr="00A124AE" w:rsidR="00A124AE" w:rsidP="00BE1F8F" w:rsidRDefault="00A124AE" w14:paraId="5DBD68CE" w14:textId="77777777">
            <w:pPr>
              <w:tabs>
                <w:tab w:val="center" w:pos="284"/>
              </w:tabs>
              <w:overflowPunct w:val="0"/>
              <w:autoSpaceDE w:val="0"/>
              <w:autoSpaceDN w:val="0"/>
              <w:adjustRightInd w:val="0"/>
              <w:ind w:left="266" w:hanging="266"/>
              <w:textAlignment w:val="baseline"/>
            </w:pPr>
            <w:r>
              <w:t>EESC-2024-00656-00-00-AC</w:t>
            </w:r>
          </w:p>
        </w:tc>
      </w:tr>
    </w:tbl>
    <w:p w:rsidRPr="00A124AE" w:rsidR="00A124AE" w:rsidP="00BE1F8F" w:rsidRDefault="00A124AE" w14:paraId="02B41209" w14:textId="77777777">
      <w:pPr>
        <w:tabs>
          <w:tab w:val="center" w:pos="284"/>
        </w:tabs>
        <w:overflowPunct w:val="0"/>
        <w:autoSpaceDE w:val="0"/>
        <w:autoSpaceDN w:val="0"/>
        <w:adjustRightInd w:val="0"/>
        <w:ind w:left="266" w:hanging="266"/>
        <w:textAlignment w:val="baseline"/>
        <w:rPr>
          <w:b/>
          <w:lang w:val="en-GB"/>
        </w:rPr>
      </w:pPr>
    </w:p>
    <w:p w:rsidRPr="00A124AE" w:rsidR="00A124AE" w:rsidP="00BE1F8F" w:rsidRDefault="00A124AE" w14:paraId="51249818" w14:textId="77777777">
      <w:pPr>
        <w:tabs>
          <w:tab w:val="center" w:pos="284"/>
        </w:tabs>
        <w:overflowPunct w:val="0"/>
        <w:autoSpaceDE w:val="0"/>
        <w:autoSpaceDN w:val="0"/>
        <w:adjustRightInd w:val="0"/>
        <w:ind w:left="266" w:hanging="266"/>
        <w:textAlignment w:val="baseline"/>
        <w:rPr>
          <w:b/>
        </w:rPr>
      </w:pPr>
      <w:r>
        <w:rPr>
          <w:b/>
        </w:rPr>
        <w:t>Puntos clave</w:t>
      </w:r>
    </w:p>
    <w:p w:rsidRPr="00A124AE" w:rsidR="00A124AE" w:rsidP="00BE1F8F" w:rsidRDefault="00A124AE" w14:paraId="03EBACBD" w14:textId="77777777">
      <w:pPr>
        <w:tabs>
          <w:tab w:val="center" w:pos="284"/>
        </w:tabs>
        <w:overflowPunct w:val="0"/>
        <w:autoSpaceDE w:val="0"/>
        <w:autoSpaceDN w:val="0"/>
        <w:adjustRightInd w:val="0"/>
        <w:ind w:left="266" w:hanging="266"/>
        <w:textAlignment w:val="baseline"/>
        <w:rPr>
          <w:bCs/>
          <w:lang w:val="en-GB"/>
        </w:rPr>
      </w:pPr>
    </w:p>
    <w:p w:rsidRPr="00A124AE" w:rsidR="00A124AE" w:rsidP="00713105" w:rsidRDefault="00A124AE" w14:paraId="73E68146" w14:textId="372BFA81">
      <w:pPr>
        <w:overflowPunct w:val="0"/>
        <w:autoSpaceDE w:val="0"/>
        <w:autoSpaceDN w:val="0"/>
        <w:adjustRightInd w:val="0"/>
        <w:textAlignment w:val="baseline"/>
        <w:rPr>
          <w:bCs/>
          <w:iCs/>
        </w:rPr>
      </w:pPr>
      <w:r>
        <w:t>El CESE:</w:t>
      </w:r>
    </w:p>
    <w:p w:rsidRPr="00A124AE" w:rsidR="00A124AE" w:rsidP="00BE1F8F" w:rsidRDefault="00A124AE" w14:paraId="6CFA5AB5" w14:textId="77777777">
      <w:pPr>
        <w:numPr>
          <w:ilvl w:val="0"/>
          <w:numId w:val="34"/>
        </w:numPr>
        <w:overflowPunct w:val="0"/>
        <w:autoSpaceDE w:val="0"/>
        <w:autoSpaceDN w:val="0"/>
        <w:adjustRightInd w:val="0"/>
        <w:ind w:left="284" w:hanging="284"/>
        <w:contextualSpacing/>
        <w:textAlignment w:val="baseline"/>
        <w:rPr>
          <w:bCs/>
          <w:iCs/>
        </w:rPr>
      </w:pPr>
      <w:r>
        <w:t xml:space="preserve">hace hincapié en que se debe acelerar la </w:t>
      </w:r>
      <w:r>
        <w:rPr>
          <w:b/>
        </w:rPr>
        <w:t>transición hacia un turismo sostenible</w:t>
      </w:r>
      <w:r>
        <w:t xml:space="preserve"> y </w:t>
      </w:r>
      <w:r>
        <w:rPr>
          <w:b/>
        </w:rPr>
        <w:t>deben implementarse estrategias de turismo regenerativo</w:t>
      </w:r>
      <w:r>
        <w:t xml:space="preserve"> para asegurar que las regiones que presentan una elevada especialización turística puedan contribuir plenamente al impulso de la competitividad de la UE a través del turismo. El turismo regenerativo va más allá que el turismo sostenible: adopta prácticas diseñadas para restaurar y fortalecer el capital natural, social y económico, generando un impacto positivo y duradero en los destinos y sus comunidades;</w:t>
      </w:r>
    </w:p>
    <w:p w:rsidRPr="00A124AE" w:rsidR="00A124AE" w:rsidP="00BE1F8F" w:rsidRDefault="00A124AE" w14:paraId="5B76C178" w14:textId="77777777">
      <w:pPr>
        <w:numPr>
          <w:ilvl w:val="0"/>
          <w:numId w:val="34"/>
        </w:numPr>
        <w:overflowPunct w:val="0"/>
        <w:autoSpaceDE w:val="0"/>
        <w:autoSpaceDN w:val="0"/>
        <w:adjustRightInd w:val="0"/>
        <w:ind w:left="284" w:hanging="284"/>
        <w:contextualSpacing/>
        <w:textAlignment w:val="baseline"/>
        <w:rPr>
          <w:bCs/>
          <w:iCs/>
        </w:rPr>
      </w:pPr>
      <w:r>
        <w:t xml:space="preserve">señala que </w:t>
      </w:r>
      <w:r>
        <w:rPr>
          <w:b/>
        </w:rPr>
        <w:t>el nuevo ciclo legislativo europeo debe promover políticas turísticas que incorporen objetivos de regeneración activa</w:t>
      </w:r>
      <w:r>
        <w:t xml:space="preserve"> y respondan a la interconexión de todos los componentes que integran un destino turístico: ecosistemas, comunidades, economía local y visitantes;</w:t>
      </w:r>
    </w:p>
    <w:p w:rsidRPr="00A124AE" w:rsidR="00A124AE" w:rsidP="00BE1F8F" w:rsidRDefault="00A124AE" w14:paraId="75E91233" w14:textId="77777777">
      <w:pPr>
        <w:numPr>
          <w:ilvl w:val="0"/>
          <w:numId w:val="34"/>
        </w:numPr>
        <w:overflowPunct w:val="0"/>
        <w:autoSpaceDE w:val="0"/>
        <w:autoSpaceDN w:val="0"/>
        <w:adjustRightInd w:val="0"/>
        <w:ind w:left="284" w:hanging="284"/>
        <w:contextualSpacing/>
        <w:textAlignment w:val="baseline"/>
        <w:rPr>
          <w:bCs/>
          <w:iCs/>
        </w:rPr>
      </w:pPr>
      <w:r>
        <w:t xml:space="preserve">propone el desarrollo de </w:t>
      </w:r>
      <w:r>
        <w:rPr>
          <w:b/>
        </w:rPr>
        <w:t>directrices claras y acciones concretas para acelerar la transición</w:t>
      </w:r>
      <w:r>
        <w:t xml:space="preserve"> hacia un modelo de turismo centrado en la regeneración activa y el valor social, en el marco de la Estrategia para un Turismo Sostenible. Esta estrategia debe acompañarse de </w:t>
      </w:r>
      <w:r>
        <w:rPr>
          <w:b/>
        </w:rPr>
        <w:t>programas de financiación e investigación</w:t>
      </w:r>
      <w:r>
        <w:t xml:space="preserve"> adecuados, así como de </w:t>
      </w:r>
      <w:r>
        <w:rPr>
          <w:b/>
        </w:rPr>
        <w:t>políticas sociales y de formación</w:t>
      </w:r>
      <w:r>
        <w:t xml:space="preserve"> que garanticen su implementación efectiva;</w:t>
      </w:r>
    </w:p>
    <w:p w:rsidRPr="00A124AE" w:rsidR="00A124AE" w:rsidP="00BE1F8F" w:rsidRDefault="00A124AE" w14:paraId="096C272A" w14:textId="77777777">
      <w:pPr>
        <w:numPr>
          <w:ilvl w:val="0"/>
          <w:numId w:val="34"/>
        </w:numPr>
        <w:overflowPunct w:val="0"/>
        <w:autoSpaceDE w:val="0"/>
        <w:autoSpaceDN w:val="0"/>
        <w:adjustRightInd w:val="0"/>
        <w:ind w:left="284" w:hanging="284"/>
        <w:contextualSpacing/>
        <w:textAlignment w:val="baseline"/>
        <w:rPr>
          <w:bCs/>
          <w:iCs/>
        </w:rPr>
      </w:pPr>
      <w:r>
        <w:t xml:space="preserve">destaca que </w:t>
      </w:r>
      <w:r>
        <w:rPr>
          <w:b/>
        </w:rPr>
        <w:t>la formación y capacitación de los empleados en materia de sostenibilidad y economía circular</w:t>
      </w:r>
      <w:r>
        <w:t xml:space="preserve"> es clave de cara a aumentar la calidad del empleo y atraer y retener el talento necesario para que la transición hacia un turismo regenerativo sea posible y viable. Para la consecución de estos objetivos deberá velarse por reforzar y afianzar la complicidad de los consumidores. La combinación de incentivos económicos, modelos accesibles y estrategias de </w:t>
      </w:r>
      <w:r>
        <w:rPr>
          <w:b/>
        </w:rPr>
        <w:t>desestacionalización</w:t>
      </w:r>
      <w:r>
        <w:t xml:space="preserve"> es clave para lograr una implicación más amplia y efectiva.</w:t>
      </w:r>
    </w:p>
    <w:p w:rsidRPr="00A124AE" w:rsidR="00A124AE" w:rsidP="00BE1F8F" w:rsidRDefault="00A124AE" w14:paraId="15273AD2" w14:textId="77777777">
      <w:pPr>
        <w:ind w:left="567"/>
        <w:contextualSpacing/>
        <w:rPr>
          <w:bCs/>
          <w:iCs/>
          <w:lang w:val="en-GB"/>
        </w:rPr>
      </w:pPr>
    </w:p>
    <w:tbl>
      <w:tblPr>
        <w:tblW w:w="5000" w:type="pct"/>
        <w:tblLook w:val="04A0" w:firstRow="1" w:lastRow="0" w:firstColumn="1" w:lastColumn="0" w:noHBand="0" w:noVBand="1"/>
      </w:tblPr>
      <w:tblGrid>
        <w:gridCol w:w="1662"/>
        <w:gridCol w:w="7625"/>
      </w:tblGrid>
      <w:tr w:rsidRPr="00A124AE" w:rsidR="00A124AE" w:rsidTr="00713105" w14:paraId="7E775A80" w14:textId="77777777">
        <w:tc>
          <w:tcPr>
            <w:tcW w:w="895" w:type="pct"/>
          </w:tcPr>
          <w:p w:rsidRPr="00A124AE" w:rsidR="00A124AE" w:rsidP="00BE1F8F" w:rsidRDefault="00A124AE" w14:paraId="1D08457C" w14:textId="77777777">
            <w:pPr>
              <w:overflowPunct w:val="0"/>
              <w:autoSpaceDE w:val="0"/>
              <w:autoSpaceDN w:val="0"/>
              <w:adjustRightInd w:val="0"/>
              <w:textAlignment w:val="baseline"/>
              <w:rPr>
                <w:i/>
              </w:rPr>
            </w:pPr>
            <w:r>
              <w:rPr>
                <w:b/>
                <w:i/>
              </w:rPr>
              <w:t>Contacto:</w:t>
            </w:r>
          </w:p>
        </w:tc>
        <w:tc>
          <w:tcPr>
            <w:tcW w:w="4105" w:type="pct"/>
          </w:tcPr>
          <w:p w:rsidRPr="00A124AE" w:rsidR="00A124AE" w:rsidP="00BE1F8F" w:rsidRDefault="00A124AE" w14:paraId="615E6C8D" w14:textId="36E1239F">
            <w:pPr>
              <w:overflowPunct w:val="0"/>
              <w:autoSpaceDE w:val="0"/>
              <w:autoSpaceDN w:val="0"/>
              <w:adjustRightInd w:val="0"/>
              <w:textAlignment w:val="baseline"/>
              <w:rPr>
                <w:i/>
              </w:rPr>
            </w:pPr>
            <w:r>
              <w:rPr>
                <w:i/>
              </w:rPr>
              <w:t>Silvia Staffa</w:t>
            </w:r>
          </w:p>
        </w:tc>
      </w:tr>
      <w:tr w:rsidRPr="00A124AE" w:rsidR="00A124AE" w:rsidTr="00713105" w14:paraId="2BB8DEB2" w14:textId="77777777">
        <w:tc>
          <w:tcPr>
            <w:tcW w:w="895" w:type="pct"/>
          </w:tcPr>
          <w:p w:rsidRPr="00A124AE" w:rsidR="00A124AE" w:rsidP="00BE1F8F" w:rsidRDefault="00A124AE" w14:paraId="43D7D550" w14:textId="77777777">
            <w:pPr>
              <w:overflowPunct w:val="0"/>
              <w:autoSpaceDE w:val="0"/>
              <w:autoSpaceDN w:val="0"/>
              <w:adjustRightInd w:val="0"/>
              <w:textAlignment w:val="baseline"/>
              <w:rPr>
                <w:i/>
              </w:rPr>
            </w:pPr>
            <w:r>
              <w:rPr>
                <w:i/>
              </w:rPr>
              <w:t>Teléfono:</w:t>
            </w:r>
          </w:p>
        </w:tc>
        <w:tc>
          <w:tcPr>
            <w:tcW w:w="4105" w:type="pct"/>
          </w:tcPr>
          <w:p w:rsidRPr="00A124AE" w:rsidR="00A124AE" w:rsidP="00BE1F8F" w:rsidRDefault="00A124AE" w14:paraId="4A1F3ECB" w14:textId="4482010E">
            <w:pPr>
              <w:overflowPunct w:val="0"/>
              <w:autoSpaceDE w:val="0"/>
              <w:autoSpaceDN w:val="0"/>
              <w:adjustRightInd w:val="0"/>
              <w:textAlignment w:val="baseline"/>
              <w:rPr>
                <w:i/>
              </w:rPr>
            </w:pPr>
            <w:r>
              <w:rPr>
                <w:i/>
              </w:rPr>
              <w:t>+32 25468378</w:t>
            </w:r>
          </w:p>
        </w:tc>
      </w:tr>
      <w:tr w:rsidRPr="00A124AE" w:rsidR="00A124AE" w:rsidTr="00713105" w14:paraId="2D7C493D" w14:textId="77777777">
        <w:tc>
          <w:tcPr>
            <w:tcW w:w="895" w:type="pct"/>
          </w:tcPr>
          <w:p w:rsidRPr="00A124AE" w:rsidR="00A124AE" w:rsidP="00BE1F8F" w:rsidRDefault="00A124AE" w14:paraId="6E440A2F" w14:textId="77777777">
            <w:pPr>
              <w:overflowPunct w:val="0"/>
              <w:autoSpaceDE w:val="0"/>
              <w:autoSpaceDN w:val="0"/>
              <w:adjustRightInd w:val="0"/>
              <w:textAlignment w:val="baseline"/>
              <w:rPr>
                <w:i/>
              </w:rPr>
            </w:pPr>
            <w:r>
              <w:rPr>
                <w:i/>
              </w:rPr>
              <w:t>Correo electrónico:</w:t>
            </w:r>
          </w:p>
        </w:tc>
        <w:tc>
          <w:tcPr>
            <w:tcW w:w="4105" w:type="pct"/>
          </w:tcPr>
          <w:p w:rsidRPr="00A124AE" w:rsidR="00A124AE" w:rsidP="00BE1F8F" w:rsidRDefault="00593CA8" w14:paraId="43479DC4" w14:textId="7E7AB516">
            <w:pPr>
              <w:overflowPunct w:val="0"/>
              <w:autoSpaceDE w:val="0"/>
              <w:autoSpaceDN w:val="0"/>
              <w:adjustRightInd w:val="0"/>
              <w:textAlignment w:val="baseline"/>
              <w:rPr>
                <w:i/>
                <w:iCs/>
              </w:rPr>
            </w:pPr>
            <w:hyperlink w:history="1" r:id="rId52">
              <w:r w:rsidR="001C131E">
                <w:rPr>
                  <w:i/>
                  <w:color w:val="0000FF"/>
                  <w:u w:val="single"/>
                </w:rPr>
                <w:t>Silvia.Staffa@eesc.europa.eu</w:t>
              </w:r>
            </w:hyperlink>
          </w:p>
        </w:tc>
      </w:tr>
    </w:tbl>
    <w:p w:rsidR="00A124AE" w:rsidP="00BE1F8F" w:rsidRDefault="00A124AE" w14:paraId="521215C5" w14:textId="77777777">
      <w:pPr>
        <w:jc w:val="left"/>
        <w:rPr>
          <w:lang w:val="en-GB"/>
        </w:rPr>
      </w:pPr>
    </w:p>
    <w:p w:rsidR="00A124AE" w:rsidP="00BE1F8F" w:rsidRDefault="00A124AE" w14:paraId="3A56B00C" w14:textId="77777777">
      <w:pPr>
        <w:jc w:val="left"/>
      </w:pPr>
      <w:r>
        <w:br w:type="page"/>
      </w:r>
    </w:p>
    <w:p w:rsidR="004D7AC0" w:rsidP="00C77862" w:rsidRDefault="004D7AC0" w14:paraId="4982DE1F" w14:textId="77777777">
      <w:pPr>
        <w:pStyle w:val="Heading1"/>
        <w:keepNext/>
        <w:keepLines/>
        <w:spacing w:line="240" w:lineRule="auto"/>
        <w:rPr>
          <w:b/>
        </w:rPr>
      </w:pPr>
      <w:bookmarkStart w:name="_Toc189059540" w:id="22"/>
      <w:bookmarkStart w:name="_Toc70322234" w:id="23"/>
      <w:bookmarkStart w:name="_Toc75527084" w:id="24"/>
      <w:bookmarkStart w:name="_Toc192668670" w:id="25"/>
      <w:bookmarkEnd w:id="22"/>
      <w:r>
        <w:rPr>
          <w:b/>
        </w:rPr>
        <w:lastRenderedPageBreak/>
        <w:t>AGRICULTURA, DESARROLLO RURAL Y MEDIO AMBIENTE</w:t>
      </w:r>
      <w:bookmarkEnd w:id="23"/>
      <w:bookmarkEnd w:id="24"/>
      <w:bookmarkEnd w:id="25"/>
    </w:p>
    <w:p w:rsidRPr="00C77862" w:rsidR="007F5784" w:rsidP="00C77862" w:rsidRDefault="007F5784" w14:paraId="715DB2BD" w14:textId="6CA1C4B2">
      <w:pPr>
        <w:spacing w:line="240" w:lineRule="auto"/>
        <w:jc w:val="left"/>
        <w:rPr>
          <w:sz w:val="16"/>
          <w:szCs w:val="16"/>
        </w:rPr>
      </w:pPr>
    </w:p>
    <w:p w:rsidRPr="00C43D3E" w:rsidR="00DE2D96" w:rsidP="00C77862" w:rsidRDefault="00593CA8" w14:paraId="642C5AC4" w14:textId="7DDD8912">
      <w:pPr>
        <w:widowControl w:val="0"/>
        <w:numPr>
          <w:ilvl w:val="0"/>
          <w:numId w:val="10"/>
        </w:numPr>
        <w:overflowPunct w:val="0"/>
        <w:autoSpaceDE w:val="0"/>
        <w:autoSpaceDN w:val="0"/>
        <w:adjustRightInd w:val="0"/>
        <w:spacing w:line="240" w:lineRule="auto"/>
        <w:ind w:left="567" w:hanging="567"/>
        <w:textAlignment w:val="baseline"/>
        <w:rPr>
          <w:b/>
          <w:bCs/>
          <w:i/>
          <w:iCs/>
          <w:sz w:val="28"/>
          <w:szCs w:val="28"/>
          <w:u w:val="single"/>
        </w:rPr>
      </w:pPr>
      <w:hyperlink w:history="1" r:id="rId53">
        <w:r w:rsidR="001C131E">
          <w:rPr>
            <w:b/>
            <w:i/>
            <w:color w:val="0000FF"/>
            <w:sz w:val="28"/>
            <w:u w:val="single"/>
          </w:rPr>
          <w:t>Garantizar una producción alimentaria sostenible y una renta justa para los agricultores europeos frente a los retos del mercado, el medio ambiente y el clima</w:t>
        </w:r>
      </w:hyperlink>
    </w:p>
    <w:p w:rsidRPr="0079405E" w:rsidR="00DE2D96" w:rsidP="00BE1F8F" w:rsidRDefault="00DE2D96" w14:paraId="14A2FD1A" w14:textId="77777777">
      <w:pPr>
        <w:tabs>
          <w:tab w:val="center" w:pos="284"/>
        </w:tabs>
        <w:overflowPunct w:val="0"/>
        <w:autoSpaceDE w:val="0"/>
        <w:autoSpaceDN w:val="0"/>
        <w:adjustRightInd w:val="0"/>
        <w:ind w:left="266" w:hanging="266"/>
        <w:textAlignment w:val="baseline"/>
        <w:rPr>
          <w:b/>
          <w:sz w:val="16"/>
          <w:szCs w:val="16"/>
          <w:lang w:val="en-GB"/>
        </w:rPr>
      </w:pPr>
    </w:p>
    <w:tbl>
      <w:tblPr>
        <w:tblW w:w="4845" w:type="pct"/>
        <w:tblLook w:val="04A0" w:firstRow="1" w:lastRow="0" w:firstColumn="1" w:lastColumn="0" w:noHBand="0" w:noVBand="1"/>
      </w:tblPr>
      <w:tblGrid>
        <w:gridCol w:w="1809"/>
        <w:gridCol w:w="7190"/>
      </w:tblGrid>
      <w:tr w:rsidRPr="0079405E" w:rsidR="00DE2D96" w:rsidTr="003F3737" w14:paraId="518A9EA4" w14:textId="77777777">
        <w:tc>
          <w:tcPr>
            <w:tcW w:w="1005" w:type="pct"/>
          </w:tcPr>
          <w:p w:rsidRPr="0079405E" w:rsidR="00DE2D96" w:rsidP="00BE1F8F" w:rsidRDefault="00DE2D96" w14:paraId="4BD49780" w14:textId="77777777">
            <w:pPr>
              <w:tabs>
                <w:tab w:val="center" w:pos="284"/>
              </w:tabs>
              <w:overflowPunct w:val="0"/>
              <w:autoSpaceDE w:val="0"/>
              <w:autoSpaceDN w:val="0"/>
              <w:adjustRightInd w:val="0"/>
              <w:ind w:left="266" w:hanging="266"/>
              <w:textAlignment w:val="baseline"/>
              <w:rPr>
                <w:b/>
              </w:rPr>
            </w:pPr>
            <w:r>
              <w:rPr>
                <w:b/>
              </w:rPr>
              <w:t>Ponente</w:t>
            </w:r>
          </w:p>
        </w:tc>
        <w:tc>
          <w:tcPr>
            <w:tcW w:w="3995" w:type="pct"/>
          </w:tcPr>
          <w:p w:rsidRPr="0079405E" w:rsidR="00DE2D96" w:rsidP="00BE1F8F" w:rsidRDefault="00366FB1" w14:paraId="35C4E729" w14:textId="0173DE28">
            <w:pPr>
              <w:tabs>
                <w:tab w:val="center" w:pos="284"/>
              </w:tabs>
              <w:overflowPunct w:val="0"/>
              <w:autoSpaceDE w:val="0"/>
              <w:autoSpaceDN w:val="0"/>
              <w:adjustRightInd w:val="0"/>
              <w:ind w:left="266" w:hanging="266"/>
              <w:textAlignment w:val="baseline"/>
            </w:pPr>
            <w:r>
              <w:t>Arnold PUECH D'ALISSAC (Grupo de Empresarios – FR)</w:t>
            </w:r>
          </w:p>
          <w:p w:rsidRPr="0079405E" w:rsidR="00DE2D96" w:rsidP="00BE1F8F" w:rsidRDefault="00DE2D96" w14:paraId="5DE4EBAE" w14:textId="77777777">
            <w:pPr>
              <w:tabs>
                <w:tab w:val="center" w:pos="284"/>
              </w:tabs>
              <w:overflowPunct w:val="0"/>
              <w:autoSpaceDE w:val="0"/>
              <w:autoSpaceDN w:val="0"/>
              <w:adjustRightInd w:val="0"/>
              <w:ind w:left="266" w:hanging="266"/>
              <w:textAlignment w:val="baseline"/>
            </w:pPr>
            <w:r>
              <w:t>Piroska KÁLLAY (Grupo de Trabajadores – HU)</w:t>
            </w:r>
          </w:p>
          <w:p w:rsidRPr="0079405E" w:rsidR="00DE2D96" w:rsidP="00BE1F8F" w:rsidRDefault="00366FB1" w14:paraId="32325F9B" w14:textId="30D7031F">
            <w:pPr>
              <w:tabs>
                <w:tab w:val="center" w:pos="284"/>
              </w:tabs>
              <w:overflowPunct w:val="0"/>
              <w:autoSpaceDE w:val="0"/>
              <w:autoSpaceDN w:val="0"/>
              <w:adjustRightInd w:val="0"/>
              <w:ind w:left="266" w:hanging="266"/>
              <w:textAlignment w:val="baseline"/>
            </w:pPr>
            <w:r>
              <w:t>Joe HEALY (Grupo de Organizaciones de la Sociedad Civil – IE)</w:t>
            </w:r>
          </w:p>
        </w:tc>
      </w:tr>
      <w:tr w:rsidRPr="0079405E" w:rsidR="00DE2D96" w:rsidTr="003F3737" w14:paraId="4B6FEDD4" w14:textId="77777777">
        <w:tc>
          <w:tcPr>
            <w:tcW w:w="1005" w:type="pct"/>
          </w:tcPr>
          <w:p w:rsidRPr="0079405E" w:rsidR="00DE2D96" w:rsidP="00BE1F8F" w:rsidRDefault="00DE2D96" w14:paraId="5A19339E" w14:textId="1F998A7C">
            <w:pPr>
              <w:tabs>
                <w:tab w:val="center" w:pos="284"/>
              </w:tabs>
              <w:overflowPunct w:val="0"/>
              <w:autoSpaceDE w:val="0"/>
              <w:autoSpaceDN w:val="0"/>
              <w:adjustRightInd w:val="0"/>
              <w:ind w:left="266" w:hanging="266"/>
              <w:textAlignment w:val="baseline"/>
              <w:rPr>
                <w:b/>
              </w:rPr>
            </w:pPr>
            <w:r>
              <w:rPr>
                <w:b/>
              </w:rPr>
              <w:t>Referencia</w:t>
            </w:r>
          </w:p>
        </w:tc>
        <w:tc>
          <w:tcPr>
            <w:tcW w:w="3995" w:type="pct"/>
          </w:tcPr>
          <w:p w:rsidRPr="00D03AEC" w:rsidR="00366FB1" w:rsidP="00BE1F8F" w:rsidRDefault="00366FB1" w14:paraId="1D8B27BA" w14:textId="35C94900">
            <w:pPr>
              <w:tabs>
                <w:tab w:val="center" w:pos="284"/>
              </w:tabs>
              <w:overflowPunct w:val="0"/>
              <w:autoSpaceDE w:val="0"/>
              <w:autoSpaceDN w:val="0"/>
              <w:adjustRightInd w:val="0"/>
              <w:ind w:left="266" w:right="-387" w:hanging="266"/>
              <w:textAlignment w:val="baseline"/>
            </w:pPr>
            <w:r>
              <w:t>Dictamen exploratorio solicitado por la Presidencia polaca del Consejo de la UE</w:t>
            </w:r>
          </w:p>
          <w:p w:rsidRPr="0079405E" w:rsidR="00DE2D96" w:rsidP="00BE1F8F" w:rsidRDefault="00DE2D96" w14:paraId="13DE1FA0" w14:textId="22E0B95D">
            <w:pPr>
              <w:tabs>
                <w:tab w:val="center" w:pos="284"/>
              </w:tabs>
              <w:overflowPunct w:val="0"/>
              <w:autoSpaceDE w:val="0"/>
              <w:autoSpaceDN w:val="0"/>
              <w:adjustRightInd w:val="0"/>
              <w:ind w:left="266" w:hanging="266"/>
              <w:textAlignment w:val="baseline"/>
            </w:pPr>
            <w:r>
              <w:t>EESC-2024-03974-00-00-AC</w:t>
            </w:r>
          </w:p>
        </w:tc>
      </w:tr>
    </w:tbl>
    <w:p w:rsidRPr="00C77862" w:rsidR="00713105" w:rsidP="00BE1F8F" w:rsidRDefault="00713105" w14:paraId="518EA3D3"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Pr="0079405E" w:rsidR="00DE2D96" w:rsidP="00BE1F8F" w:rsidRDefault="00DE2D96" w14:paraId="1B8691C6" w14:textId="595FF6DF">
      <w:pPr>
        <w:keepNext/>
        <w:keepLines/>
        <w:tabs>
          <w:tab w:val="center" w:pos="284"/>
        </w:tabs>
        <w:overflowPunct w:val="0"/>
        <w:autoSpaceDE w:val="0"/>
        <w:autoSpaceDN w:val="0"/>
        <w:adjustRightInd w:val="0"/>
        <w:ind w:left="266" w:hanging="266"/>
        <w:textAlignment w:val="baseline"/>
        <w:rPr>
          <w:b/>
        </w:rPr>
      </w:pPr>
      <w:r>
        <w:rPr>
          <w:b/>
        </w:rPr>
        <w:t>Puntos clave</w:t>
      </w:r>
    </w:p>
    <w:p w:rsidRPr="0079405E" w:rsidR="00DE2D96" w:rsidP="00BE1F8F" w:rsidRDefault="00DE2D96" w14:paraId="1493200A" w14:textId="77777777">
      <w:pPr>
        <w:keepNext/>
        <w:keepLines/>
        <w:tabs>
          <w:tab w:val="center" w:pos="284"/>
        </w:tabs>
        <w:overflowPunct w:val="0"/>
        <w:autoSpaceDE w:val="0"/>
        <w:autoSpaceDN w:val="0"/>
        <w:adjustRightInd w:val="0"/>
        <w:ind w:left="266" w:hanging="266"/>
        <w:textAlignment w:val="baseline"/>
        <w:rPr>
          <w:b/>
          <w:sz w:val="16"/>
          <w:szCs w:val="16"/>
          <w:lang w:val="en-GB"/>
        </w:rPr>
      </w:pPr>
    </w:p>
    <w:p w:rsidR="00DE2D96" w:rsidP="00BE1F8F" w:rsidRDefault="00DE2D96" w14:paraId="6B40E191" w14:textId="77777777">
      <w:pPr>
        <w:widowControl w:val="0"/>
        <w:overflowPunct w:val="0"/>
        <w:autoSpaceDE w:val="0"/>
        <w:autoSpaceDN w:val="0"/>
        <w:adjustRightInd w:val="0"/>
        <w:textAlignment w:val="baseline"/>
        <w:rPr>
          <w:bCs/>
          <w:iCs/>
        </w:rPr>
      </w:pPr>
      <w:r>
        <w:t>El CESE:</w:t>
      </w:r>
    </w:p>
    <w:p w:rsidRPr="0079405E" w:rsidR="00DE2D96" w:rsidP="00BE1F8F" w:rsidRDefault="00DE2D96" w14:paraId="331A71E3" w14:textId="77777777">
      <w:pPr>
        <w:widowControl w:val="0"/>
        <w:numPr>
          <w:ilvl w:val="0"/>
          <w:numId w:val="35"/>
        </w:numPr>
        <w:overflowPunct w:val="0"/>
        <w:autoSpaceDE w:val="0"/>
        <w:autoSpaceDN w:val="0"/>
        <w:adjustRightInd w:val="0"/>
        <w:ind w:left="284" w:hanging="284"/>
        <w:contextualSpacing/>
        <w:textAlignment w:val="baseline"/>
        <w:rPr>
          <w:bCs/>
          <w:iCs/>
        </w:rPr>
      </w:pPr>
      <w:r>
        <w:t>propone desarrollar y aplicar instrumentos de ayuda a la renta para los agricultores en momentos de crisis, a corto y a largo plazo en el marco de la PAC y más allá, por ejemplo:</w:t>
      </w:r>
    </w:p>
    <w:p w:rsidRPr="0079405E" w:rsidR="00DE2D96" w:rsidP="00713105" w:rsidRDefault="00DE2D96" w14:paraId="188FCED5"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regímenes de seguros diseñados para la cobertura de catástrofes climáticas y medioambientales</w:t>
      </w:r>
      <w:r>
        <w:t xml:space="preserve">: trabajar en el modelo de aseguración de las asociaciones público-privadas y revisar el cálculo de las referencias de rendimiento; </w:t>
      </w:r>
    </w:p>
    <w:p w:rsidRPr="0079405E" w:rsidR="00DE2D96" w:rsidP="00713105" w:rsidRDefault="00DE2D96" w14:paraId="5FFE9226"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regímenes de seguros diseñados para cubrir las tensiones en los mercados</w:t>
      </w:r>
      <w:r>
        <w:t>: examinar el desarrollo de recursos innovadores, como el seguro paramétrico, e incluir elementos anticíclicos en los instrumentos de la PAC posterior a 2027 para reaccionar ante la presión por parte de los mercados;</w:t>
      </w:r>
    </w:p>
    <w:p w:rsidRPr="0079405E" w:rsidR="00DE2D96" w:rsidP="00713105" w:rsidRDefault="00DE2D96" w14:paraId="4439B4AA"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herramientas de gestión de riesgos y de crisis</w:t>
      </w:r>
      <w:r>
        <w:t>: restablecer el presupuesto de la PAC al nivel del 0,5 % del PIB de la UE en el próximo marco financiero plurianual (MFP); mejorar y promover a escala de los Estados miembros la asignación del 3 % de los pagos directos como contribución de los agricultores al instrumento de gestión de riesgos; reformar y aumentar de manera significativa la reserva de crisis agrícola a escala de la UE; desarrollar fondos para mutualidades a escala de los Estados miembros para cubrir riesgos para la salud y el medio ambiente;</w:t>
      </w:r>
    </w:p>
    <w:p w:rsidRPr="0079405E" w:rsidR="00DE2D96" w:rsidP="00713105" w:rsidRDefault="00DE2D96" w14:paraId="74D4B712" w14:textId="77777777">
      <w:pPr>
        <w:widowControl w:val="0"/>
        <w:numPr>
          <w:ilvl w:val="1"/>
          <w:numId w:val="36"/>
        </w:numPr>
        <w:overflowPunct w:val="0"/>
        <w:autoSpaceDE w:val="0"/>
        <w:autoSpaceDN w:val="0"/>
        <w:adjustRightInd w:val="0"/>
        <w:ind w:left="567" w:hanging="567"/>
        <w:contextualSpacing/>
        <w:textAlignment w:val="baseline"/>
        <w:rPr>
          <w:b/>
          <w:bCs/>
        </w:rPr>
      </w:pPr>
      <w:r>
        <w:rPr>
          <w:b/>
        </w:rPr>
        <w:t>instrumentos financieros aportados por la PAC y los bancos</w:t>
      </w:r>
      <w:r>
        <w:t>: apoyar la capacidad de inversión de los agricultores, en particular los jóvenes, con instrumentos financieros sencillos y sin burocracia en relación con los productos financieros ofrecidos por bancos (préstamos piloto, préstamos sin intereses, préstamos para el inicio de la actividad) o de otro tipo;</w:t>
      </w:r>
    </w:p>
    <w:p w:rsidRPr="0079405E" w:rsidR="00DE2D96" w:rsidP="00713105" w:rsidRDefault="00DE2D96" w14:paraId="1F801B29" w14:textId="77777777">
      <w:pPr>
        <w:widowControl w:val="0"/>
        <w:numPr>
          <w:ilvl w:val="1"/>
          <w:numId w:val="36"/>
        </w:numPr>
        <w:overflowPunct w:val="0"/>
        <w:autoSpaceDE w:val="0"/>
        <w:autoSpaceDN w:val="0"/>
        <w:adjustRightInd w:val="0"/>
        <w:ind w:left="567" w:hanging="567"/>
        <w:contextualSpacing/>
        <w:textAlignment w:val="baseline"/>
        <w:rPr>
          <w:bCs/>
          <w:iCs/>
        </w:rPr>
      </w:pPr>
      <w:r>
        <w:rPr>
          <w:b/>
        </w:rPr>
        <w:t>herramientas para garantizar los ingresos de los agricultores y mejorar su poder de negociación</w:t>
      </w:r>
      <w:r>
        <w:t>: sopesar la ampliación de la Directiva sobre prácticas comerciales desleales para prohibir la venta por debajo del coste tras examinar detenidamente los efectos de esta prohibición en todos los operadores de la cadena alimentaria; formular una nueva política de la UE que permita a los agricultores negociar colectivamente los precios y aumentar el apoyo a las cooperativas y las organizaciones de productores; preservar, reforzar y orientar mejor los pagos directos a los agricultores activos en la próxima reforma de la PAC; una contribución a la sostenibilidad de cara a la transición; garantizar sistemas de producción de alimentos eficientes en materia de carbono; garantizar la equivalencia de las normas en todos los acuerdos comerciales;</w:t>
      </w:r>
    </w:p>
    <w:p w:rsidRPr="0079405E" w:rsidR="00366FB1" w:rsidP="00713105" w:rsidRDefault="00DE2D96" w14:paraId="496376A0" w14:textId="5E51B798">
      <w:pPr>
        <w:widowControl w:val="0"/>
        <w:numPr>
          <w:ilvl w:val="0"/>
          <w:numId w:val="35"/>
        </w:numPr>
        <w:overflowPunct w:val="0"/>
        <w:autoSpaceDE w:val="0"/>
        <w:autoSpaceDN w:val="0"/>
        <w:adjustRightInd w:val="0"/>
        <w:ind w:left="567" w:hanging="567"/>
        <w:contextualSpacing/>
        <w:textAlignment w:val="baseline"/>
        <w:rPr>
          <w:bCs/>
          <w:iCs/>
        </w:rPr>
      </w:pPr>
      <w:r>
        <w:t>recomienda promover una gobernanza participativa sectorial y reforzar el diálogo social en el sector agroalimentario;</w:t>
      </w:r>
    </w:p>
    <w:p w:rsidRPr="0079405E" w:rsidR="00DE2D96" w:rsidP="00713105" w:rsidRDefault="00DE2D96" w14:paraId="35CC080A" w14:textId="77777777">
      <w:pPr>
        <w:widowControl w:val="0"/>
        <w:numPr>
          <w:ilvl w:val="0"/>
          <w:numId w:val="35"/>
        </w:numPr>
        <w:overflowPunct w:val="0"/>
        <w:autoSpaceDE w:val="0"/>
        <w:autoSpaceDN w:val="0"/>
        <w:adjustRightInd w:val="0"/>
        <w:ind w:left="567" w:hanging="567"/>
        <w:contextualSpacing/>
        <w:textAlignment w:val="baseline"/>
        <w:rPr>
          <w:bCs/>
          <w:iCs/>
        </w:rPr>
      </w:pPr>
      <w:r>
        <w:lastRenderedPageBreak/>
        <w:t>señala la necesidad de una investigación agrícola de alta calidad y de inversiones en educación;</w:t>
      </w:r>
    </w:p>
    <w:p w:rsidRPr="0079405E" w:rsidR="00DE2D96" w:rsidP="00713105" w:rsidRDefault="00DE2D96" w14:paraId="6F5D47EA" w14:textId="77777777">
      <w:pPr>
        <w:widowControl w:val="0"/>
        <w:numPr>
          <w:ilvl w:val="0"/>
          <w:numId w:val="35"/>
        </w:numPr>
        <w:overflowPunct w:val="0"/>
        <w:autoSpaceDE w:val="0"/>
        <w:autoSpaceDN w:val="0"/>
        <w:adjustRightInd w:val="0"/>
        <w:ind w:left="567" w:hanging="567"/>
        <w:contextualSpacing/>
        <w:textAlignment w:val="baseline"/>
        <w:rPr>
          <w:bCs/>
          <w:iCs/>
        </w:rPr>
      </w:pPr>
      <w:r>
        <w:t>destaca la importancia de mantener una producción agrícola dinámica en toda Europa y señala que es importante que el desarrollo rural siga siendo un objetivo principal de la política agrícola común y que se le asigne financiación suficiente.</w:t>
      </w:r>
    </w:p>
    <w:p w:rsidRPr="0079405E" w:rsidR="002A61F5" w:rsidP="00BE1F8F" w:rsidRDefault="002A61F5" w14:paraId="3C8AA267" w14:textId="77777777">
      <w:pPr>
        <w:widowControl w:val="0"/>
        <w:overflowPunct w:val="0"/>
        <w:autoSpaceDE w:val="0"/>
        <w:autoSpaceDN w:val="0"/>
        <w:adjustRightInd w:val="0"/>
        <w:ind w:left="709" w:hanging="425"/>
        <w:textAlignment w:val="baseline"/>
        <w:rPr>
          <w:sz w:val="16"/>
          <w:szCs w:val="16"/>
          <w:lang w:val="en-GB"/>
        </w:rPr>
      </w:pPr>
    </w:p>
    <w:tbl>
      <w:tblPr>
        <w:tblW w:w="4942" w:type="pct"/>
        <w:tblLook w:val="04A0" w:firstRow="1" w:lastRow="0" w:firstColumn="1" w:lastColumn="0" w:noHBand="0" w:noVBand="1"/>
      </w:tblPr>
      <w:tblGrid>
        <w:gridCol w:w="2032"/>
        <w:gridCol w:w="7147"/>
      </w:tblGrid>
      <w:tr w:rsidRPr="0079405E" w:rsidR="00DE2D96" w:rsidTr="00713105" w14:paraId="0E76CB38" w14:textId="77777777">
        <w:tc>
          <w:tcPr>
            <w:tcW w:w="1107" w:type="pct"/>
          </w:tcPr>
          <w:p w:rsidRPr="0079405E" w:rsidR="00DE2D96" w:rsidP="00BE1F8F" w:rsidRDefault="00DE2D96" w14:paraId="6151DC79" w14:textId="77777777">
            <w:pPr>
              <w:overflowPunct w:val="0"/>
              <w:autoSpaceDE w:val="0"/>
              <w:autoSpaceDN w:val="0"/>
              <w:adjustRightInd w:val="0"/>
              <w:textAlignment w:val="baseline"/>
              <w:rPr>
                <w:i/>
              </w:rPr>
            </w:pPr>
            <w:r>
              <w:rPr>
                <w:b/>
                <w:i/>
              </w:rPr>
              <w:t>Contacto:</w:t>
            </w:r>
          </w:p>
        </w:tc>
        <w:tc>
          <w:tcPr>
            <w:tcW w:w="3893" w:type="pct"/>
          </w:tcPr>
          <w:p w:rsidRPr="0079405E" w:rsidR="00DE2D96" w:rsidP="00BE1F8F" w:rsidRDefault="00DE2D96" w14:paraId="1C83FC67" w14:textId="58C849C6">
            <w:pPr>
              <w:overflowPunct w:val="0"/>
              <w:autoSpaceDE w:val="0"/>
              <w:autoSpaceDN w:val="0"/>
              <w:adjustRightInd w:val="0"/>
              <w:textAlignment w:val="baseline"/>
              <w:rPr>
                <w:i/>
              </w:rPr>
            </w:pPr>
            <w:r>
              <w:rPr>
                <w:i/>
              </w:rPr>
              <w:t>Myrto Kolyva</w:t>
            </w:r>
          </w:p>
        </w:tc>
      </w:tr>
      <w:tr w:rsidRPr="0079405E" w:rsidR="00DE2D96" w:rsidTr="00713105" w14:paraId="188EFACC" w14:textId="77777777">
        <w:tc>
          <w:tcPr>
            <w:tcW w:w="1107" w:type="pct"/>
          </w:tcPr>
          <w:p w:rsidRPr="0079405E" w:rsidR="00DE2D96" w:rsidP="00BE1F8F" w:rsidRDefault="00DE2D96" w14:paraId="7E5EE7F9" w14:textId="77777777">
            <w:pPr>
              <w:overflowPunct w:val="0"/>
              <w:autoSpaceDE w:val="0"/>
              <w:autoSpaceDN w:val="0"/>
              <w:adjustRightInd w:val="0"/>
              <w:textAlignment w:val="baseline"/>
              <w:rPr>
                <w:i/>
              </w:rPr>
            </w:pPr>
            <w:r>
              <w:rPr>
                <w:i/>
              </w:rPr>
              <w:t>Teléfono:</w:t>
            </w:r>
          </w:p>
        </w:tc>
        <w:tc>
          <w:tcPr>
            <w:tcW w:w="3893" w:type="pct"/>
          </w:tcPr>
          <w:p w:rsidRPr="0079405E" w:rsidR="00DE2D96" w:rsidP="00BE1F8F" w:rsidRDefault="00DE2D96" w14:paraId="19F64A59" w14:textId="77777777">
            <w:pPr>
              <w:overflowPunct w:val="0"/>
              <w:autoSpaceDE w:val="0"/>
              <w:autoSpaceDN w:val="0"/>
              <w:adjustRightInd w:val="0"/>
              <w:textAlignment w:val="baseline"/>
              <w:rPr>
                <w:i/>
              </w:rPr>
            </w:pPr>
            <w:r>
              <w:rPr>
                <w:i/>
              </w:rPr>
              <w:t>+32 25468718</w:t>
            </w:r>
          </w:p>
        </w:tc>
      </w:tr>
      <w:tr w:rsidRPr="0079405E" w:rsidR="00DE2D96" w:rsidTr="00713105" w14:paraId="1C6D3733" w14:textId="77777777">
        <w:tc>
          <w:tcPr>
            <w:tcW w:w="1107" w:type="pct"/>
          </w:tcPr>
          <w:p w:rsidRPr="0079405E" w:rsidR="00DE2D96" w:rsidP="00BE1F8F" w:rsidRDefault="00DE2D96" w14:paraId="40381C02" w14:textId="77777777">
            <w:pPr>
              <w:overflowPunct w:val="0"/>
              <w:autoSpaceDE w:val="0"/>
              <w:autoSpaceDN w:val="0"/>
              <w:adjustRightInd w:val="0"/>
              <w:textAlignment w:val="baseline"/>
              <w:rPr>
                <w:i/>
              </w:rPr>
            </w:pPr>
            <w:r>
              <w:rPr>
                <w:i/>
              </w:rPr>
              <w:t>Correo electrónico:</w:t>
            </w:r>
          </w:p>
        </w:tc>
        <w:tc>
          <w:tcPr>
            <w:tcW w:w="3893" w:type="pct"/>
          </w:tcPr>
          <w:p w:rsidRPr="0079405E" w:rsidR="00DE2D96" w:rsidP="00BE1F8F" w:rsidRDefault="00593CA8" w14:paraId="43973F89" w14:textId="77E8A581">
            <w:pPr>
              <w:overflowPunct w:val="0"/>
              <w:autoSpaceDE w:val="0"/>
              <w:autoSpaceDN w:val="0"/>
              <w:adjustRightInd w:val="0"/>
              <w:textAlignment w:val="baseline"/>
              <w:rPr>
                <w:color w:val="0000FF"/>
                <w:u w:val="single"/>
              </w:rPr>
            </w:pPr>
            <w:hyperlink w:history="1" r:id="rId54">
              <w:r w:rsidR="001C131E">
                <w:rPr>
                  <w:i/>
                  <w:color w:val="0000FF"/>
                  <w:u w:val="single"/>
                </w:rPr>
                <w:t>Myrto.Kolyva@eesc.europa.eu</w:t>
              </w:r>
            </w:hyperlink>
          </w:p>
        </w:tc>
      </w:tr>
    </w:tbl>
    <w:p w:rsidRPr="00C77862" w:rsidR="00366FB1" w:rsidP="00BE1F8F" w:rsidRDefault="00366FB1" w14:paraId="1FDF3A66" w14:textId="77777777">
      <w:pPr>
        <w:jc w:val="left"/>
        <w:rPr>
          <w:sz w:val="12"/>
          <w:szCs w:val="12"/>
        </w:rPr>
      </w:pPr>
      <w:r>
        <w:br w:type="page"/>
      </w:r>
    </w:p>
    <w:p w:rsidR="007F5784" w:rsidP="00C77862" w:rsidRDefault="00EE5F16" w14:paraId="14026A78" w14:textId="0BB4DE42">
      <w:pPr>
        <w:pStyle w:val="Heading1"/>
        <w:keepNext/>
        <w:keepLines/>
        <w:spacing w:line="240" w:lineRule="auto"/>
        <w:rPr>
          <w:b/>
        </w:rPr>
      </w:pPr>
      <w:bookmarkStart w:name="_Toc192668671" w:id="26"/>
      <w:r>
        <w:rPr>
          <w:b/>
        </w:rPr>
        <w:lastRenderedPageBreak/>
        <w:t>COMISIÓN CONSULTIVA DE LAS TRANSFORMACIONES INDUSTRIALES</w:t>
      </w:r>
      <w:bookmarkEnd w:id="26"/>
    </w:p>
    <w:p w:rsidR="003F4AD5" w:rsidP="00C77862" w:rsidRDefault="003F4AD5" w14:paraId="7C8ED9AD" w14:textId="77777777">
      <w:pPr>
        <w:spacing w:line="240" w:lineRule="auto"/>
      </w:pPr>
    </w:p>
    <w:p w:rsidRPr="00623E9E" w:rsidR="00623E9E" w:rsidP="00C77862" w:rsidRDefault="00593CA8" w14:paraId="7953BEAF" w14:textId="2D580F8B">
      <w:pPr>
        <w:widowControl w:val="0"/>
        <w:numPr>
          <w:ilvl w:val="0"/>
          <w:numId w:val="2"/>
        </w:numPr>
        <w:overflowPunct w:val="0"/>
        <w:autoSpaceDE w:val="0"/>
        <w:autoSpaceDN w:val="0"/>
        <w:adjustRightInd w:val="0"/>
        <w:spacing w:line="240" w:lineRule="auto"/>
        <w:ind w:hanging="567"/>
        <w:textAlignment w:val="baseline"/>
        <w:rPr>
          <w:b/>
        </w:rPr>
      </w:pPr>
      <w:hyperlink w:history="1" r:id="rId55">
        <w:r w:rsidR="001C131E">
          <w:rPr>
            <w:b/>
            <w:i/>
            <w:color w:val="0000FF"/>
            <w:sz w:val="28"/>
            <w:u w:val="single"/>
            <w:shd w:val="clear" w:color="auto" w:fill="FEFEFE"/>
          </w:rPr>
          <w:t>La contribución del metaverso de la robótica al sector médico</w:t>
        </w:r>
      </w:hyperlink>
    </w:p>
    <w:p w:rsidRPr="00623E9E" w:rsidR="00623E9E" w:rsidP="00C77862" w:rsidRDefault="00623E9E" w14:paraId="1CC73896" w14:textId="77777777">
      <w:pPr>
        <w:widowControl w:val="0"/>
        <w:overflowPunct w:val="0"/>
        <w:autoSpaceDE w:val="0"/>
        <w:autoSpaceDN w:val="0"/>
        <w:adjustRightInd w:val="0"/>
        <w:spacing w:line="240" w:lineRule="auto"/>
        <w:ind w:left="266"/>
        <w:textAlignment w:val="baseline"/>
        <w:rPr>
          <w:b/>
          <w:lang w:val="en-GB"/>
        </w:rPr>
      </w:pPr>
    </w:p>
    <w:tbl>
      <w:tblPr>
        <w:tblW w:w="0" w:type="auto"/>
        <w:tblLook w:val="04A0" w:firstRow="1" w:lastRow="0" w:firstColumn="1" w:lastColumn="0" w:noHBand="0" w:noVBand="1"/>
      </w:tblPr>
      <w:tblGrid>
        <w:gridCol w:w="1701"/>
        <w:gridCol w:w="7479"/>
      </w:tblGrid>
      <w:tr w:rsidRPr="00623E9E" w:rsidR="00623E9E" w:rsidTr="00A3780E" w14:paraId="269248EA" w14:textId="77777777">
        <w:tc>
          <w:tcPr>
            <w:tcW w:w="1701" w:type="dxa"/>
          </w:tcPr>
          <w:p w:rsidRPr="00623E9E" w:rsidR="00623E9E" w:rsidP="00BE1F8F" w:rsidRDefault="00623E9E" w14:paraId="21D29375" w14:textId="77777777">
            <w:pPr>
              <w:tabs>
                <w:tab w:val="center" w:pos="284"/>
              </w:tabs>
              <w:overflowPunct w:val="0"/>
              <w:autoSpaceDE w:val="0"/>
              <w:autoSpaceDN w:val="0"/>
              <w:adjustRightInd w:val="0"/>
              <w:ind w:left="266" w:hanging="266"/>
              <w:textAlignment w:val="baseline"/>
              <w:rPr>
                <w:b/>
              </w:rPr>
            </w:pPr>
            <w:r>
              <w:rPr>
                <w:b/>
              </w:rPr>
              <w:t>Ponente</w:t>
            </w:r>
          </w:p>
        </w:tc>
        <w:tc>
          <w:tcPr>
            <w:tcW w:w="7479" w:type="dxa"/>
          </w:tcPr>
          <w:p w:rsidRPr="00623E9E" w:rsidR="00623E9E" w:rsidP="00BE1F8F" w:rsidRDefault="00623E9E" w14:paraId="266FB57D" w14:textId="2659163F">
            <w:pPr>
              <w:tabs>
                <w:tab w:val="center" w:pos="284"/>
              </w:tabs>
              <w:overflowPunct w:val="0"/>
              <w:autoSpaceDE w:val="0"/>
              <w:autoSpaceDN w:val="0"/>
              <w:adjustRightInd w:val="0"/>
              <w:ind w:left="266" w:hanging="266"/>
              <w:textAlignment w:val="baseline"/>
            </w:pPr>
            <w:r>
              <w:t>Martin BÖHME (Grupo de Organizaciones de la Sociedad Civil – DE)</w:t>
            </w:r>
          </w:p>
        </w:tc>
      </w:tr>
      <w:tr w:rsidRPr="00623E9E" w:rsidR="00623E9E" w:rsidTr="00A3780E" w14:paraId="361B26C2" w14:textId="77777777">
        <w:tc>
          <w:tcPr>
            <w:tcW w:w="1701" w:type="dxa"/>
          </w:tcPr>
          <w:p w:rsidRPr="00623E9E" w:rsidR="00623E9E" w:rsidP="00BE1F8F" w:rsidRDefault="00623E9E" w14:paraId="5503FDF1" w14:textId="77777777">
            <w:pPr>
              <w:tabs>
                <w:tab w:val="center" w:pos="284"/>
              </w:tabs>
              <w:overflowPunct w:val="0"/>
              <w:autoSpaceDE w:val="0"/>
              <w:autoSpaceDN w:val="0"/>
              <w:adjustRightInd w:val="0"/>
              <w:ind w:left="266" w:hanging="266"/>
              <w:textAlignment w:val="baseline"/>
              <w:rPr>
                <w:b/>
              </w:rPr>
            </w:pPr>
            <w:r>
              <w:rPr>
                <w:b/>
              </w:rPr>
              <w:t>Coponente</w:t>
            </w:r>
          </w:p>
        </w:tc>
        <w:tc>
          <w:tcPr>
            <w:tcW w:w="7479" w:type="dxa"/>
          </w:tcPr>
          <w:p w:rsidRPr="00623E9E" w:rsidR="00623E9E" w:rsidP="00BE1F8F" w:rsidRDefault="00623E9E" w14:paraId="1531E497" w14:textId="0BE0FF95">
            <w:pPr>
              <w:tabs>
                <w:tab w:val="center" w:pos="284"/>
              </w:tabs>
              <w:overflowPunct w:val="0"/>
              <w:autoSpaceDE w:val="0"/>
              <w:autoSpaceDN w:val="0"/>
              <w:adjustRightInd w:val="0"/>
              <w:ind w:left="266" w:hanging="266"/>
              <w:textAlignment w:val="baseline"/>
            </w:pPr>
            <w:r>
              <w:t>Hervé JEANNIN (Categoría 2 – FR)</w:t>
            </w:r>
          </w:p>
        </w:tc>
      </w:tr>
      <w:tr w:rsidRPr="00623E9E" w:rsidR="00623E9E" w:rsidTr="00A3780E" w14:paraId="74813AA8" w14:textId="77777777">
        <w:tc>
          <w:tcPr>
            <w:tcW w:w="1701" w:type="dxa"/>
          </w:tcPr>
          <w:p w:rsidRPr="00623E9E" w:rsidR="00623E9E" w:rsidP="00BE1F8F" w:rsidRDefault="00623E9E" w14:paraId="1103D901" w14:textId="606277EF">
            <w:pPr>
              <w:tabs>
                <w:tab w:val="center" w:pos="284"/>
              </w:tabs>
              <w:overflowPunct w:val="0"/>
              <w:autoSpaceDE w:val="0"/>
              <w:autoSpaceDN w:val="0"/>
              <w:adjustRightInd w:val="0"/>
              <w:ind w:left="266" w:hanging="266"/>
              <w:textAlignment w:val="baseline"/>
              <w:rPr>
                <w:b/>
              </w:rPr>
            </w:pPr>
            <w:r>
              <w:rPr>
                <w:b/>
              </w:rPr>
              <w:t>Referencia</w:t>
            </w:r>
          </w:p>
        </w:tc>
        <w:tc>
          <w:tcPr>
            <w:tcW w:w="7479" w:type="dxa"/>
          </w:tcPr>
          <w:p w:rsidR="004F23ED" w:rsidP="00BE1F8F" w:rsidRDefault="004F23ED" w14:paraId="2AEBD737" w14:textId="4C750945">
            <w:pPr>
              <w:tabs>
                <w:tab w:val="center" w:pos="284"/>
              </w:tabs>
              <w:overflowPunct w:val="0"/>
              <w:autoSpaceDE w:val="0"/>
              <w:autoSpaceDN w:val="0"/>
              <w:adjustRightInd w:val="0"/>
              <w:ind w:left="266" w:hanging="266"/>
              <w:textAlignment w:val="baseline"/>
            </w:pPr>
            <w:r>
              <w:t>Dictamen de iniciativa</w:t>
            </w:r>
          </w:p>
          <w:p w:rsidRPr="00623E9E" w:rsidR="00623E9E" w:rsidP="00BE1F8F" w:rsidRDefault="00623E9E" w14:paraId="5BA8C458" w14:textId="5B035BF6">
            <w:pPr>
              <w:tabs>
                <w:tab w:val="center" w:pos="284"/>
              </w:tabs>
              <w:overflowPunct w:val="0"/>
              <w:autoSpaceDE w:val="0"/>
              <w:autoSpaceDN w:val="0"/>
              <w:adjustRightInd w:val="0"/>
              <w:ind w:left="266" w:hanging="266"/>
              <w:textAlignment w:val="baseline"/>
            </w:pPr>
            <w:r>
              <w:t>EESC-2024-02859-00-00-AC-TRA</w:t>
            </w:r>
          </w:p>
        </w:tc>
      </w:tr>
    </w:tbl>
    <w:p w:rsidR="009B596B" w:rsidP="00BE1F8F" w:rsidRDefault="009B596B" w14:paraId="7BB8F2C0" w14:textId="77777777">
      <w:pPr>
        <w:keepNext/>
        <w:keepLines/>
        <w:tabs>
          <w:tab w:val="center" w:pos="284"/>
        </w:tabs>
        <w:overflowPunct w:val="0"/>
        <w:autoSpaceDE w:val="0"/>
        <w:autoSpaceDN w:val="0"/>
        <w:adjustRightInd w:val="0"/>
        <w:ind w:left="266" w:hanging="266"/>
        <w:textAlignment w:val="baseline"/>
        <w:rPr>
          <w:b/>
          <w:szCs w:val="20"/>
          <w:lang w:val="en-GB"/>
        </w:rPr>
      </w:pPr>
    </w:p>
    <w:p w:rsidRPr="00623E9E" w:rsidR="00623E9E" w:rsidP="00BE1F8F" w:rsidRDefault="00623E9E" w14:paraId="30B2B833" w14:textId="33B9D8A5">
      <w:pPr>
        <w:keepNext/>
        <w:keepLines/>
        <w:tabs>
          <w:tab w:val="center" w:pos="284"/>
        </w:tabs>
        <w:overflowPunct w:val="0"/>
        <w:autoSpaceDE w:val="0"/>
        <w:autoSpaceDN w:val="0"/>
        <w:adjustRightInd w:val="0"/>
        <w:ind w:left="266" w:hanging="266"/>
        <w:textAlignment w:val="baseline"/>
        <w:rPr>
          <w:b/>
        </w:rPr>
      </w:pPr>
      <w:r>
        <w:rPr>
          <w:b/>
        </w:rPr>
        <w:t>Puntos clave</w:t>
      </w:r>
    </w:p>
    <w:p w:rsidRPr="00623E9E" w:rsidR="00623E9E" w:rsidP="00BE1F8F" w:rsidRDefault="00623E9E" w14:paraId="53513792" w14:textId="77777777">
      <w:pPr>
        <w:keepNext/>
        <w:keepLines/>
        <w:tabs>
          <w:tab w:val="center" w:pos="284"/>
        </w:tabs>
        <w:overflowPunct w:val="0"/>
        <w:autoSpaceDE w:val="0"/>
        <w:autoSpaceDN w:val="0"/>
        <w:adjustRightInd w:val="0"/>
        <w:ind w:left="266" w:hanging="266"/>
        <w:textAlignment w:val="baseline"/>
        <w:rPr>
          <w:b/>
          <w:lang w:val="en-GB"/>
        </w:rPr>
      </w:pPr>
    </w:p>
    <w:p w:rsidRPr="00623E9E" w:rsidR="00623E9E" w:rsidP="00BE1F8F" w:rsidRDefault="00623E9E" w14:paraId="6DCDBAF9" w14:textId="77777777">
      <w:pPr>
        <w:overflowPunct w:val="0"/>
        <w:autoSpaceDE w:val="0"/>
        <w:autoSpaceDN w:val="0"/>
        <w:adjustRightInd w:val="0"/>
        <w:textAlignment w:val="baseline"/>
        <w:rPr>
          <w:szCs w:val="20"/>
        </w:rPr>
      </w:pPr>
      <w:r>
        <w:t>El CESE:</w:t>
      </w:r>
    </w:p>
    <w:p w:rsidRPr="004C2B61" w:rsidR="00623E9E" w:rsidP="00713105" w:rsidRDefault="00623E9E" w14:paraId="4E329840" w14:textId="77777777">
      <w:pPr>
        <w:pStyle w:val="ListParagraph"/>
        <w:numPr>
          <w:ilvl w:val="0"/>
          <w:numId w:val="43"/>
        </w:numPr>
        <w:ind w:left="567" w:hanging="567"/>
      </w:pPr>
      <w:bookmarkStart w:name="_Toc191974019" w:id="27"/>
      <w:r>
        <w:t xml:space="preserve">recomienda </w:t>
      </w:r>
      <w:r>
        <w:rPr>
          <w:b/>
        </w:rPr>
        <w:t>desarrollar un marco normativo global</w:t>
      </w:r>
      <w:r>
        <w:t xml:space="preserve"> para la robótica y el metaverso en la atención sanitaria;</w:t>
      </w:r>
      <w:bookmarkEnd w:id="27"/>
    </w:p>
    <w:p w:rsidRPr="004C2B61" w:rsidR="00623E9E" w:rsidP="00713105" w:rsidRDefault="00623E9E" w14:paraId="06079E87" w14:textId="77777777">
      <w:pPr>
        <w:pStyle w:val="ListParagraph"/>
        <w:numPr>
          <w:ilvl w:val="0"/>
          <w:numId w:val="43"/>
        </w:numPr>
        <w:ind w:left="567" w:hanging="567"/>
      </w:pPr>
      <w:bookmarkStart w:name="_Toc191974020" w:id="28"/>
      <w:r>
        <w:t xml:space="preserve">hace hincapié en la importancia de </w:t>
      </w:r>
      <w:r>
        <w:rPr>
          <w:b/>
        </w:rPr>
        <w:t>promover normas éticas y protocolos de consentimiento para los pacientes</w:t>
      </w:r>
      <w:r>
        <w:t>;</w:t>
      </w:r>
      <w:bookmarkEnd w:id="28"/>
    </w:p>
    <w:p w:rsidRPr="004C2B61" w:rsidR="00623E9E" w:rsidP="00713105" w:rsidRDefault="00623E9E" w14:paraId="6D595B43" w14:textId="77777777">
      <w:pPr>
        <w:pStyle w:val="ListParagraph"/>
        <w:numPr>
          <w:ilvl w:val="0"/>
          <w:numId w:val="43"/>
        </w:numPr>
        <w:ind w:left="567" w:hanging="567"/>
      </w:pPr>
      <w:bookmarkStart w:name="_Toc191974021" w:id="29"/>
      <w:r>
        <w:t xml:space="preserve">pide que </w:t>
      </w:r>
      <w:r>
        <w:rPr>
          <w:b/>
        </w:rPr>
        <w:t>se invierta en infraestructuras digitales</w:t>
      </w:r>
      <w:r>
        <w:t xml:space="preserve"> para </w:t>
      </w:r>
      <w:r>
        <w:rPr>
          <w:b/>
        </w:rPr>
        <w:t>garantizar la igualdad de acceso</w:t>
      </w:r>
      <w:r>
        <w:t xml:space="preserve"> y destaca la importancia que revisten ese tipo de inversiones, en especial en </w:t>
      </w:r>
      <w:r>
        <w:rPr>
          <w:b/>
        </w:rPr>
        <w:t>zonas rurales y desatendidas</w:t>
      </w:r>
      <w:r>
        <w:t>, con objeto de evitar una brecha digital. La UE debe priorizar el despliegue de redes 5G y 6G para apoyar el funcionamiento seguro y fiable de la robótica y las tecnologías del metaverso. El acceso equitativo a estos avances sanitarios en todos los Estados miembros constituye una prioridad clave;</w:t>
      </w:r>
      <w:bookmarkEnd w:id="29"/>
    </w:p>
    <w:p w:rsidRPr="004C2B61" w:rsidR="00623E9E" w:rsidP="00713105" w:rsidRDefault="00623E9E" w14:paraId="180EF85A" w14:textId="77777777">
      <w:pPr>
        <w:pStyle w:val="ListParagraph"/>
        <w:numPr>
          <w:ilvl w:val="0"/>
          <w:numId w:val="43"/>
        </w:numPr>
        <w:ind w:left="567" w:hanging="567"/>
      </w:pPr>
      <w:bookmarkStart w:name="_Toc191974022" w:id="30"/>
      <w:r>
        <w:t xml:space="preserve">aboga por </w:t>
      </w:r>
      <w:r>
        <w:rPr>
          <w:b/>
        </w:rPr>
        <w:t>aumentar el apoyo educativo y formativo a los profesionales sanitarios</w:t>
      </w:r>
      <w:r>
        <w:t>. Considera que la UE debe financiar y promover programas de educación y formación que preparen a los profesionales médicos para la integración de la robótica y las tecnologías del metaverso;</w:t>
      </w:r>
      <w:bookmarkEnd w:id="30"/>
    </w:p>
    <w:p w:rsidRPr="004C2B61" w:rsidR="00623E9E" w:rsidP="00713105" w:rsidRDefault="00623E9E" w14:paraId="115A5476" w14:textId="77777777">
      <w:pPr>
        <w:pStyle w:val="ListParagraph"/>
        <w:numPr>
          <w:ilvl w:val="0"/>
          <w:numId w:val="43"/>
        </w:numPr>
        <w:ind w:left="567" w:hanging="567"/>
      </w:pPr>
      <w:bookmarkStart w:name="_Toc191974023" w:id="31"/>
      <w:r>
        <w:t xml:space="preserve">anima a que </w:t>
      </w:r>
      <w:r>
        <w:rPr>
          <w:b/>
        </w:rPr>
        <w:t>se fomente la innovación mediante una estrategia de inversión específica de la UE</w:t>
      </w:r>
      <w:r>
        <w:t>. Recomienda encarecidamente que la UE desarrolle dicha estrategia y la dirija en particular a apoyar a las pequeñas y medianas empresas (pymes) que trabajan en el ámbito de la robótica y las soluciones del metaverso para la atención sanitaria, e</w:t>
      </w:r>
      <w:bookmarkEnd w:id="31"/>
    </w:p>
    <w:p w:rsidRPr="004C2B61" w:rsidR="00623E9E" w:rsidP="00713105" w:rsidRDefault="00623E9E" w14:paraId="5166FC72" w14:textId="77777777">
      <w:pPr>
        <w:pStyle w:val="ListParagraph"/>
        <w:numPr>
          <w:ilvl w:val="0"/>
          <w:numId w:val="43"/>
        </w:numPr>
        <w:ind w:left="567" w:hanging="567"/>
      </w:pPr>
      <w:bookmarkStart w:name="_Toc191974024" w:id="32"/>
      <w:r>
        <w:t xml:space="preserve">insiste en la necesidad de </w:t>
      </w:r>
      <w:r>
        <w:rPr>
          <w:b/>
        </w:rPr>
        <w:t>reforzar la protección de la confidencialidad de los datos y la ciberseguridad</w:t>
      </w:r>
      <w:r>
        <w:t>. Insta a la UE a que aplique normas estrictas en materia de protección de datos y ciberseguridad para salvaguardar los datos sanitarios sensibles y protegerlos frente a los ciberataques, lo que implica asegurar las conexiones entre la robótica, el metaverso y los dispositivos de interfaz humana. El CESE también señala que la soberanía de los datos y el cumplimiento de las normas deben abordarse en las distintas jurisdicciones a fin de proteger los derechos de los pacientes y velar por la confianza en los servicios sanitarios transfronterizos.</w:t>
      </w:r>
      <w:bookmarkEnd w:id="32"/>
    </w:p>
    <w:p w:rsidRPr="00623E9E" w:rsidR="00623E9E" w:rsidP="00BE1F8F" w:rsidRDefault="00623E9E" w14:paraId="189CE723" w14:textId="77777777">
      <w:pPr>
        <w:rPr>
          <w:lang w:val="en-GB"/>
        </w:rPr>
      </w:pPr>
    </w:p>
    <w:tbl>
      <w:tblPr>
        <w:tblW w:w="0" w:type="auto"/>
        <w:tblLook w:val="04A0" w:firstRow="1" w:lastRow="0" w:firstColumn="1" w:lastColumn="0" w:noHBand="0" w:noVBand="1"/>
      </w:tblPr>
      <w:tblGrid>
        <w:gridCol w:w="2235"/>
        <w:gridCol w:w="4853"/>
      </w:tblGrid>
      <w:tr w:rsidRPr="00623E9E" w:rsidR="00623E9E" w:rsidTr="003F3737" w14:paraId="5AA87467" w14:textId="77777777">
        <w:tc>
          <w:tcPr>
            <w:tcW w:w="2235" w:type="dxa"/>
          </w:tcPr>
          <w:p w:rsidRPr="00623E9E" w:rsidR="00623E9E" w:rsidP="00BE1F8F" w:rsidRDefault="00623E9E" w14:paraId="565BF265" w14:textId="77777777">
            <w:pPr>
              <w:keepNext/>
              <w:keepLines/>
              <w:overflowPunct w:val="0"/>
              <w:autoSpaceDE w:val="0"/>
              <w:autoSpaceDN w:val="0"/>
              <w:adjustRightInd w:val="0"/>
              <w:textAlignment w:val="baseline"/>
              <w:rPr>
                <w:i/>
              </w:rPr>
            </w:pPr>
            <w:r>
              <w:rPr>
                <w:b/>
                <w:i/>
              </w:rPr>
              <w:t>Contacto:</w:t>
            </w:r>
          </w:p>
        </w:tc>
        <w:tc>
          <w:tcPr>
            <w:tcW w:w="4853" w:type="dxa"/>
          </w:tcPr>
          <w:p w:rsidRPr="00623E9E" w:rsidR="00623E9E" w:rsidP="00BE1F8F" w:rsidRDefault="00623E9E" w14:paraId="206EEDE0" w14:textId="77777777">
            <w:pPr>
              <w:keepNext/>
              <w:keepLines/>
              <w:overflowPunct w:val="0"/>
              <w:autoSpaceDE w:val="0"/>
              <w:autoSpaceDN w:val="0"/>
              <w:adjustRightInd w:val="0"/>
              <w:textAlignment w:val="baseline"/>
              <w:rPr>
                <w:i/>
              </w:rPr>
            </w:pPr>
            <w:r>
              <w:rPr>
                <w:i/>
              </w:rPr>
              <w:t>Marie-Laurence Drillon</w:t>
            </w:r>
          </w:p>
        </w:tc>
      </w:tr>
      <w:tr w:rsidRPr="00623E9E" w:rsidR="00623E9E" w:rsidTr="003F3737" w14:paraId="1831ADE5" w14:textId="77777777">
        <w:tc>
          <w:tcPr>
            <w:tcW w:w="2235" w:type="dxa"/>
          </w:tcPr>
          <w:p w:rsidRPr="00623E9E" w:rsidR="00623E9E" w:rsidP="00BE1F8F" w:rsidRDefault="00623E9E" w14:paraId="0B867EF2" w14:textId="77777777">
            <w:pPr>
              <w:keepNext/>
              <w:keepLines/>
              <w:overflowPunct w:val="0"/>
              <w:autoSpaceDE w:val="0"/>
              <w:autoSpaceDN w:val="0"/>
              <w:adjustRightInd w:val="0"/>
              <w:textAlignment w:val="baseline"/>
              <w:rPr>
                <w:i/>
              </w:rPr>
            </w:pPr>
            <w:r>
              <w:rPr>
                <w:i/>
              </w:rPr>
              <w:t>Teléfono:</w:t>
            </w:r>
          </w:p>
        </w:tc>
        <w:tc>
          <w:tcPr>
            <w:tcW w:w="4853" w:type="dxa"/>
          </w:tcPr>
          <w:p w:rsidRPr="00623E9E" w:rsidR="00623E9E" w:rsidP="00BE1F8F" w:rsidRDefault="00623E9E" w14:paraId="41C0B021" w14:textId="77777777">
            <w:pPr>
              <w:keepNext/>
              <w:keepLines/>
              <w:overflowPunct w:val="0"/>
              <w:autoSpaceDE w:val="0"/>
              <w:autoSpaceDN w:val="0"/>
              <w:adjustRightInd w:val="0"/>
              <w:textAlignment w:val="baseline"/>
              <w:rPr>
                <w:i/>
              </w:rPr>
            </w:pPr>
            <w:r>
              <w:rPr>
                <w:i/>
              </w:rPr>
              <w:t>+32 2 546 8320</w:t>
            </w:r>
          </w:p>
        </w:tc>
      </w:tr>
      <w:tr w:rsidRPr="00623E9E" w:rsidR="00623E9E" w:rsidTr="003F3737" w14:paraId="042D4108" w14:textId="77777777">
        <w:tc>
          <w:tcPr>
            <w:tcW w:w="2235" w:type="dxa"/>
          </w:tcPr>
          <w:p w:rsidRPr="00623E9E" w:rsidR="00623E9E" w:rsidP="00BE1F8F" w:rsidRDefault="00752F62" w14:paraId="44E8DDBE" w14:textId="17714177">
            <w:pPr>
              <w:overflowPunct w:val="0"/>
              <w:autoSpaceDE w:val="0"/>
              <w:autoSpaceDN w:val="0"/>
              <w:adjustRightInd w:val="0"/>
              <w:textAlignment w:val="baseline"/>
              <w:rPr>
                <w:i/>
              </w:rPr>
            </w:pPr>
            <w:r>
              <w:rPr>
                <w:i/>
              </w:rPr>
              <w:t>Correo electrónico:</w:t>
            </w:r>
          </w:p>
        </w:tc>
        <w:tc>
          <w:tcPr>
            <w:tcW w:w="4853" w:type="dxa"/>
          </w:tcPr>
          <w:p w:rsidRPr="00623E9E" w:rsidR="00623E9E" w:rsidP="00BE1F8F" w:rsidRDefault="00593CA8" w14:paraId="348F9AAA" w14:textId="77777777">
            <w:pPr>
              <w:overflowPunct w:val="0"/>
              <w:autoSpaceDE w:val="0"/>
              <w:autoSpaceDN w:val="0"/>
              <w:adjustRightInd w:val="0"/>
              <w:textAlignment w:val="baseline"/>
              <w:rPr>
                <w:i/>
              </w:rPr>
            </w:pPr>
            <w:hyperlink w:history="1" r:id="rId56">
              <w:r w:rsidR="001C131E">
                <w:rPr>
                  <w:i/>
                  <w:color w:val="0000FF"/>
                  <w:u w:val="single"/>
                </w:rPr>
                <w:t>Marie-Laurence.Drillon@eesc.europa.eu</w:t>
              </w:r>
            </w:hyperlink>
          </w:p>
        </w:tc>
      </w:tr>
    </w:tbl>
    <w:p w:rsidR="000D394D" w:rsidP="00BE1F8F" w:rsidRDefault="00726351" w14:paraId="2E28EF19" w14:textId="70908071">
      <w:pPr>
        <w:jc w:val="center"/>
      </w:pPr>
      <w:r>
        <w:t>_____________</w:t>
      </w:r>
    </w:p>
    <w:sectPr w:rsidR="000D394D" w:rsidSect="00713105">
      <w:headerReference w:type="even" r:id="rId57"/>
      <w:headerReference w:type="default" r:id="rId58"/>
      <w:footerReference w:type="even" r:id="rId59"/>
      <w:footerReference w:type="default" r:id="rId60"/>
      <w:headerReference w:type="first" r:id="rId61"/>
      <w:footerReference w:type="first" r:id="rId62"/>
      <w:pgSz w:w="11907" w:h="1683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A4C4" w14:textId="77777777" w:rsidR="00227559" w:rsidRDefault="00227559" w:rsidP="00B518C9">
      <w:pPr>
        <w:spacing w:line="240" w:lineRule="auto"/>
      </w:pPr>
      <w:r>
        <w:separator/>
      </w:r>
    </w:p>
    <w:p w14:paraId="3A5ED762" w14:textId="77777777" w:rsidR="00227559" w:rsidRDefault="00227559"/>
  </w:endnote>
  <w:endnote w:type="continuationSeparator" w:id="0">
    <w:p w14:paraId="4BCEBE6C" w14:textId="77777777" w:rsidR="00227559" w:rsidRDefault="00227559" w:rsidP="00B518C9">
      <w:pPr>
        <w:spacing w:line="240" w:lineRule="auto"/>
      </w:pPr>
      <w:r>
        <w:continuationSeparator/>
      </w:r>
    </w:p>
    <w:p w14:paraId="556C10CC" w14:textId="77777777" w:rsidR="00227559" w:rsidRDefault="002275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1E2A" w14:textId="77777777" w:rsidR="00F250D5" w:rsidRPr="00BE1F8F" w:rsidRDefault="00F250D5" w:rsidP="00BE1F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4BA8DE2A" w:rsidR="00B518C9" w:rsidRPr="00BE1F8F" w:rsidRDefault="00BE1F8F" w:rsidP="00BE1F8F">
    <w:pPr>
      <w:pStyle w:val="Footer"/>
    </w:pPr>
    <w:r>
      <w:t xml:space="preserve">EESC-2025-00345-00-01-TCD-TRA (EN) </w:t>
    </w:r>
    <w:r>
      <w:fldChar w:fldCharType="begin"/>
    </w:r>
    <w:r>
      <w:instrText xml:space="preserve"> PAGE  \* Arabic  \* MERGEFORMAT </w:instrText>
    </w:r>
    <w:r>
      <w:fldChar w:fldCharType="separate"/>
    </w:r>
    <w:r w:rsidR="008171FA">
      <w:t>1</w:t>
    </w:r>
    <w:r>
      <w:fldChar w:fldCharType="end"/>
    </w:r>
    <w:r>
      <w:t>/</w:t>
    </w:r>
    <w:fldSimple w:instr=" NUMPAGES ">
      <w:r w:rsidR="008171FA">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274A4" w14:textId="77777777" w:rsidR="00F250D5" w:rsidRPr="00BE1F8F" w:rsidRDefault="00F250D5" w:rsidP="00BE1F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80EDD" w14:textId="77777777" w:rsidR="0067428C" w:rsidRPr="00BE1F8F" w:rsidRDefault="0067428C" w:rsidP="00BE1F8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A535" w14:textId="1A8F1C6B" w:rsidR="0067428C" w:rsidRPr="00BE1F8F" w:rsidRDefault="00BE1F8F" w:rsidP="00BE1F8F">
    <w:pPr>
      <w:pStyle w:val="Footer"/>
    </w:pPr>
    <w:r>
      <w:t xml:space="preserve">EESC-2025-00345-00-01-TCD-TRA (EN) </w:t>
    </w:r>
    <w:r>
      <w:fldChar w:fldCharType="begin"/>
    </w:r>
    <w:r>
      <w:instrText xml:space="preserve"> PAGE  \* Arabic  \* MERGEFORMAT </w:instrText>
    </w:r>
    <w:r>
      <w:fldChar w:fldCharType="separate"/>
    </w:r>
    <w:r>
      <w:t>2</w:t>
    </w:r>
    <w:r>
      <w:fldChar w:fldCharType="end"/>
    </w:r>
    <w:r>
      <w:t>/</w:t>
    </w:r>
    <w:fldSimple w:instr=" NUMPAGES ">
      <w:r>
        <w:t>9</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199D3" w14:textId="77777777" w:rsidR="00EE160A" w:rsidRPr="00BE1F8F" w:rsidRDefault="00EE160A" w:rsidP="00BE1F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85884" w14:textId="77777777" w:rsidR="00227559" w:rsidRDefault="00227559" w:rsidP="00B518C9">
      <w:pPr>
        <w:spacing w:line="240" w:lineRule="auto"/>
      </w:pPr>
      <w:r>
        <w:separator/>
      </w:r>
    </w:p>
    <w:p w14:paraId="68988782" w14:textId="77777777" w:rsidR="00227559" w:rsidRDefault="00227559"/>
  </w:footnote>
  <w:footnote w:type="continuationSeparator" w:id="0">
    <w:p w14:paraId="39883EF1" w14:textId="77777777" w:rsidR="00227559" w:rsidRDefault="00227559" w:rsidP="00B518C9">
      <w:pPr>
        <w:spacing w:line="240" w:lineRule="auto"/>
      </w:pPr>
      <w:r>
        <w:continuationSeparator/>
      </w:r>
    </w:p>
    <w:p w14:paraId="3AE36317" w14:textId="77777777" w:rsidR="00227559" w:rsidRDefault="002275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1D47C" w14:textId="77777777" w:rsidR="00F250D5" w:rsidRPr="00BE1F8F" w:rsidRDefault="00F250D5" w:rsidP="00BE1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8CD0" w14:textId="26DDA75F" w:rsidR="00F250D5" w:rsidRPr="00BE1F8F" w:rsidRDefault="00F250D5" w:rsidP="00BE1F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66853" w14:textId="77777777" w:rsidR="00F250D5" w:rsidRPr="00BE1F8F" w:rsidRDefault="00F250D5" w:rsidP="00BE1F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FC30" w14:textId="77777777" w:rsidR="0067428C" w:rsidRPr="00BE1F8F" w:rsidRDefault="0067428C" w:rsidP="00BE1F8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2C5D" w14:textId="3724526D" w:rsidR="0067428C" w:rsidRPr="00BE1F8F" w:rsidRDefault="0067428C" w:rsidP="00BE1F8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5D0A" w14:textId="77777777" w:rsidR="00EE160A" w:rsidRPr="00BE1F8F" w:rsidRDefault="00EE160A" w:rsidP="00BE1F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E78A658"/>
    <w:lvl w:ilvl="0">
      <w:start w:val="1"/>
      <w:numFmt w:val="decimal"/>
      <w:pStyle w:val="Heading1"/>
      <w:lvlText w:val="%1."/>
      <w:legacy w:legacy="1" w:legacySpace="0" w:legacyIndent="0"/>
      <w:lvlJc w:val="left"/>
      <w:rPr>
        <w:b w:val="0"/>
        <w:bCs/>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E06ABCBE"/>
    <w:lvl w:ilvl="0">
      <w:numFmt w:val="decimal"/>
      <w:lvlText w:val="*"/>
      <w:lvlJc w:val="left"/>
    </w:lvl>
  </w:abstractNum>
  <w:abstractNum w:abstractNumId="2" w15:restartNumberingAfterBreak="0">
    <w:nsid w:val="003B78BD"/>
    <w:multiLevelType w:val="hybridMultilevel"/>
    <w:tmpl w:val="66DEF13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017F16A7"/>
    <w:multiLevelType w:val="hybridMultilevel"/>
    <w:tmpl w:val="76122482"/>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78F1F91"/>
    <w:multiLevelType w:val="hybridMultilevel"/>
    <w:tmpl w:val="991EBB24"/>
    <w:lvl w:ilvl="0" w:tplc="FFFFFFFF">
      <w:start w:val="1"/>
      <w:numFmt w:val="bullet"/>
      <w:lvlText w:val="o"/>
      <w:lvlJc w:val="left"/>
      <w:pPr>
        <w:ind w:left="720" w:hanging="360"/>
      </w:pPr>
      <w:rPr>
        <w:rFonts w:ascii="Courier New" w:hAnsi="Courier New" w:cs="Courier New" w:hint="default"/>
      </w:rPr>
    </w:lvl>
    <w:lvl w:ilvl="1" w:tplc="8E864B0C">
      <w:start w:val="1"/>
      <w:numFmt w:val="bullet"/>
      <w:lvlText w:val=""/>
      <w:lvlJc w:val="left"/>
      <w:pPr>
        <w:ind w:left="72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C53A5C"/>
    <w:multiLevelType w:val="hybridMultilevel"/>
    <w:tmpl w:val="2CB206D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080A122A"/>
    <w:multiLevelType w:val="hybridMultilevel"/>
    <w:tmpl w:val="0BB8EE18"/>
    <w:lvl w:ilvl="0" w:tplc="8E864B0C">
      <w:start w:val="1"/>
      <w:numFmt w:val="bullet"/>
      <w:lvlText w:val=""/>
      <w:lvlJc w:val="left"/>
      <w:pPr>
        <w:ind w:left="720" w:hanging="360"/>
      </w:pPr>
      <w:rPr>
        <w:rFonts w:ascii="Symbol" w:hAnsi="Symbol" w:hint="default"/>
        <w:color w:val="auto"/>
      </w:rPr>
    </w:lvl>
    <w:lvl w:ilvl="1" w:tplc="FFFFFFFF">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9B475CB"/>
    <w:multiLevelType w:val="hybridMultilevel"/>
    <w:tmpl w:val="7BFE4DA0"/>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0CDE4774"/>
    <w:multiLevelType w:val="hybridMultilevel"/>
    <w:tmpl w:val="37BA4F4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10F77DDB"/>
    <w:multiLevelType w:val="hybridMultilevel"/>
    <w:tmpl w:val="33DC05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94116E1"/>
    <w:multiLevelType w:val="hybridMultilevel"/>
    <w:tmpl w:val="DFE84AE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883396"/>
    <w:multiLevelType w:val="hybridMultilevel"/>
    <w:tmpl w:val="5EC05AF6"/>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2" w15:restartNumberingAfterBreak="0">
    <w:nsid w:val="1BBA7630"/>
    <w:multiLevelType w:val="singleLevel"/>
    <w:tmpl w:val="20000001"/>
    <w:lvl w:ilvl="0">
      <w:start w:val="1"/>
      <w:numFmt w:val="bullet"/>
      <w:lvlText w:val=""/>
      <w:lvlJc w:val="left"/>
      <w:pPr>
        <w:ind w:left="720" w:hanging="360"/>
      </w:pPr>
      <w:rPr>
        <w:rFonts w:ascii="Symbol" w:hAnsi="Symbol" w:hint="default"/>
      </w:rPr>
    </w:lvl>
  </w:abstractNum>
  <w:abstractNum w:abstractNumId="13" w15:restartNumberingAfterBreak="0">
    <w:nsid w:val="1C4658E6"/>
    <w:multiLevelType w:val="hybridMultilevel"/>
    <w:tmpl w:val="874629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14" w15:restartNumberingAfterBreak="0">
    <w:nsid w:val="1E5D0EFB"/>
    <w:multiLevelType w:val="hybridMultilevel"/>
    <w:tmpl w:val="FC00356E"/>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5" w15:restartNumberingAfterBreak="0">
    <w:nsid w:val="1FFA70D8"/>
    <w:multiLevelType w:val="hybridMultilevel"/>
    <w:tmpl w:val="81BC6AFA"/>
    <w:lvl w:ilvl="0" w:tplc="2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24202159"/>
    <w:multiLevelType w:val="hybridMultilevel"/>
    <w:tmpl w:val="02F24922"/>
    <w:lvl w:ilvl="0" w:tplc="8E864B0C">
      <w:start w:val="1"/>
      <w:numFmt w:val="bullet"/>
      <w:lvlText w:val=""/>
      <w:lvlJc w:val="left"/>
      <w:pPr>
        <w:ind w:left="720" w:hanging="360"/>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A942A0F"/>
    <w:multiLevelType w:val="hybridMultilevel"/>
    <w:tmpl w:val="8758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6158AC"/>
    <w:multiLevelType w:val="multilevel"/>
    <w:tmpl w:val="0BC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0375C3D"/>
    <w:multiLevelType w:val="hybridMultilevel"/>
    <w:tmpl w:val="A06E2070"/>
    <w:lvl w:ilvl="0" w:tplc="8E864B0C">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2" w15:restartNumberingAfterBreak="0">
    <w:nsid w:val="327B5574"/>
    <w:multiLevelType w:val="hybridMultilevel"/>
    <w:tmpl w:val="1854AB3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3" w15:restartNumberingAfterBreak="0">
    <w:nsid w:val="35F41A11"/>
    <w:multiLevelType w:val="hybridMultilevel"/>
    <w:tmpl w:val="BF64D86A"/>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AC60B2F"/>
    <w:multiLevelType w:val="hybridMultilevel"/>
    <w:tmpl w:val="76C615E8"/>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5" w15:restartNumberingAfterBreak="0">
    <w:nsid w:val="418E1E35"/>
    <w:multiLevelType w:val="multilevel"/>
    <w:tmpl w:val="972E55B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323467D"/>
    <w:multiLevelType w:val="hybridMultilevel"/>
    <w:tmpl w:val="A724B3C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FE12C5B"/>
    <w:multiLevelType w:val="hybridMultilevel"/>
    <w:tmpl w:val="A59A9AF2"/>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8" w15:restartNumberingAfterBreak="0">
    <w:nsid w:val="52CA61C9"/>
    <w:multiLevelType w:val="hybridMultilevel"/>
    <w:tmpl w:val="6F5442C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4382302"/>
    <w:multiLevelType w:val="hybridMultilevel"/>
    <w:tmpl w:val="13C23AD6"/>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4F92C6D"/>
    <w:multiLevelType w:val="hybridMultilevel"/>
    <w:tmpl w:val="246A71BC"/>
    <w:lvl w:ilvl="0" w:tplc="04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5928275E"/>
    <w:multiLevelType w:val="hybridMultilevel"/>
    <w:tmpl w:val="F3E2DFF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2" w15:restartNumberingAfterBreak="0">
    <w:nsid w:val="59CD5CD1"/>
    <w:multiLevelType w:val="hybridMultilevel"/>
    <w:tmpl w:val="EA264F80"/>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3" w15:restartNumberingAfterBreak="0">
    <w:nsid w:val="5D195562"/>
    <w:multiLevelType w:val="hybridMultilevel"/>
    <w:tmpl w:val="916C5084"/>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CF522C"/>
    <w:multiLevelType w:val="hybridMultilevel"/>
    <w:tmpl w:val="FAC885D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5"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6" w15:restartNumberingAfterBreak="0">
    <w:nsid w:val="697D1E3D"/>
    <w:multiLevelType w:val="hybridMultilevel"/>
    <w:tmpl w:val="8BEA0D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6D11A3"/>
    <w:multiLevelType w:val="singleLevel"/>
    <w:tmpl w:val="C97AF652"/>
    <w:lvl w:ilvl="0">
      <w:numFmt w:val="decimal"/>
      <w:lvlText w:val="*"/>
      <w:lvlJc w:val="left"/>
    </w:lvl>
  </w:abstractNum>
  <w:abstractNum w:abstractNumId="38" w15:restartNumberingAfterBreak="0">
    <w:nsid w:val="6C3C7753"/>
    <w:multiLevelType w:val="hybridMultilevel"/>
    <w:tmpl w:val="F4C60320"/>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9" w15:restartNumberingAfterBreak="0">
    <w:nsid w:val="6F781A53"/>
    <w:multiLevelType w:val="hybridMultilevel"/>
    <w:tmpl w:val="20F6F7E8"/>
    <w:lvl w:ilvl="0" w:tplc="8E864B0C">
      <w:start w:val="1"/>
      <w:numFmt w:val="bullet"/>
      <w:lvlText w:val=""/>
      <w:lvlJc w:val="left"/>
      <w:pPr>
        <w:ind w:left="720" w:hanging="360"/>
      </w:pPr>
      <w:rPr>
        <w:rFonts w:ascii="Symbol" w:hAnsi="Symbol" w:hint="default"/>
        <w:color w:val="auto"/>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72EB051D"/>
    <w:multiLevelType w:val="hybridMultilevel"/>
    <w:tmpl w:val="D5B6578A"/>
    <w:lvl w:ilvl="0" w:tplc="8E864B0C">
      <w:start w:val="1"/>
      <w:numFmt w:val="bullet"/>
      <w:lvlText w:val=""/>
      <w:lvlJc w:val="left"/>
      <w:pPr>
        <w:ind w:left="567" w:hanging="283"/>
      </w:pPr>
      <w:rPr>
        <w:rFonts w:ascii="Symbol" w:hAnsi="Symbol" w:hint="default"/>
        <w:color w:val="auto"/>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1" w15:restartNumberingAfterBreak="0">
    <w:nsid w:val="7E085AB1"/>
    <w:multiLevelType w:val="hybridMultilevel"/>
    <w:tmpl w:val="06FC5AFA"/>
    <w:lvl w:ilvl="0" w:tplc="8E864B0C">
      <w:start w:val="1"/>
      <w:numFmt w:val="bullet"/>
      <w:lvlText w:val=""/>
      <w:lvlJc w:val="left"/>
      <w:pPr>
        <w:ind w:left="644" w:hanging="360"/>
      </w:pPr>
      <w:rPr>
        <w:rFonts w:ascii="Symbol" w:hAnsi="Symbol" w:hint="default"/>
        <w:color w:val="auto"/>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42" w15:restartNumberingAfterBreak="0">
    <w:nsid w:val="7E1A7F53"/>
    <w:multiLevelType w:val="hybridMultilevel"/>
    <w:tmpl w:val="B080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
    <w:lvlOverride w:ilvl="0">
      <w:lvl w:ilvl="0">
        <w:start w:val="1"/>
        <w:numFmt w:val="bullet"/>
        <w:lvlText w:val=""/>
        <w:lvlJc w:val="left"/>
        <w:pPr>
          <w:ind w:left="720" w:hanging="360"/>
        </w:pPr>
        <w:rPr>
          <w:rFonts w:ascii="Symbol" w:hAnsi="Symbol" w:hint="default"/>
          <w:color w:val="auto"/>
        </w:rPr>
      </w:lvl>
    </w:lvlOverride>
  </w:num>
  <w:num w:numId="4">
    <w:abstractNumId w:val="17"/>
  </w:num>
  <w:num w:numId="5">
    <w:abstractNumId w:val="30"/>
  </w:num>
  <w:num w:numId="6">
    <w:abstractNumId w:val="20"/>
  </w:num>
  <w:num w:numId="7">
    <w:abstractNumId w:val="18"/>
  </w:num>
  <w:num w:numId="8">
    <w:abstractNumId w:val="28"/>
  </w:num>
  <w:num w:numId="9">
    <w:abstractNumId w:val="34"/>
  </w:num>
  <w:num w:numId="10">
    <w:abstractNumId w:val="12"/>
  </w:num>
  <w:num w:numId="11">
    <w:abstractNumId w:val="37"/>
  </w:num>
  <w:num w:numId="12">
    <w:abstractNumId w:val="35"/>
  </w:num>
  <w:num w:numId="13">
    <w:abstractNumId w:val="9"/>
  </w:num>
  <w:num w:numId="14">
    <w:abstractNumId w:val="19"/>
  </w:num>
  <w:num w:numId="15">
    <w:abstractNumId w:val="2"/>
  </w:num>
  <w:num w:numId="16">
    <w:abstractNumId w:val="42"/>
  </w:num>
  <w:num w:numId="17">
    <w:abstractNumId w:val="36"/>
  </w:num>
  <w:num w:numId="18">
    <w:abstractNumId w:val="40"/>
  </w:num>
  <w:num w:numId="19">
    <w:abstractNumId w:val="27"/>
  </w:num>
  <w:num w:numId="20">
    <w:abstractNumId w:val="15"/>
  </w:num>
  <w:num w:numId="21">
    <w:abstractNumId w:val="29"/>
  </w:num>
  <w:num w:numId="22">
    <w:abstractNumId w:val="16"/>
  </w:num>
  <w:num w:numId="23">
    <w:abstractNumId w:val="7"/>
  </w:num>
  <w:num w:numId="24">
    <w:abstractNumId w:val="6"/>
  </w:num>
  <w:num w:numId="25">
    <w:abstractNumId w:val="8"/>
  </w:num>
  <w:num w:numId="26">
    <w:abstractNumId w:val="26"/>
  </w:num>
  <w:num w:numId="27">
    <w:abstractNumId w:val="10"/>
  </w:num>
  <w:num w:numId="28">
    <w:abstractNumId w:val="22"/>
  </w:num>
  <w:num w:numId="29">
    <w:abstractNumId w:val="41"/>
  </w:num>
  <w:num w:numId="30">
    <w:abstractNumId w:val="11"/>
  </w:num>
  <w:num w:numId="31">
    <w:abstractNumId w:val="13"/>
  </w:num>
  <w:num w:numId="32">
    <w:abstractNumId w:val="33"/>
  </w:num>
  <w:num w:numId="33">
    <w:abstractNumId w:val="25"/>
  </w:num>
  <w:num w:numId="34">
    <w:abstractNumId w:val="24"/>
  </w:num>
  <w:num w:numId="35">
    <w:abstractNumId w:val="23"/>
  </w:num>
  <w:num w:numId="36">
    <w:abstractNumId w:val="4"/>
  </w:num>
  <w:num w:numId="37">
    <w:abstractNumId w:val="21"/>
  </w:num>
  <w:num w:numId="38">
    <w:abstractNumId w:val="32"/>
  </w:num>
  <w:num w:numId="39">
    <w:abstractNumId w:val="39"/>
  </w:num>
  <w:num w:numId="40">
    <w:abstractNumId w:val="38"/>
  </w:num>
  <w:num w:numId="41">
    <w:abstractNumId w:val="31"/>
  </w:num>
  <w:num w:numId="42">
    <w:abstractNumId w:val="14"/>
  </w:num>
  <w:num w:numId="43">
    <w:abstractNumId w:val="5"/>
  </w:num>
  <w:num w:numId="44">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462A"/>
    <w:rsid w:val="00010A4D"/>
    <w:rsid w:val="00032230"/>
    <w:rsid w:val="0005257A"/>
    <w:rsid w:val="00063DFF"/>
    <w:rsid w:val="00077D3D"/>
    <w:rsid w:val="00083115"/>
    <w:rsid w:val="000857F2"/>
    <w:rsid w:val="00093B0F"/>
    <w:rsid w:val="000A2214"/>
    <w:rsid w:val="000A6A5A"/>
    <w:rsid w:val="000B40B4"/>
    <w:rsid w:val="000D394D"/>
    <w:rsid w:val="000D43E1"/>
    <w:rsid w:val="000D533F"/>
    <w:rsid w:val="000E4936"/>
    <w:rsid w:val="00107677"/>
    <w:rsid w:val="001131B6"/>
    <w:rsid w:val="00114665"/>
    <w:rsid w:val="00114D45"/>
    <w:rsid w:val="00116EE0"/>
    <w:rsid w:val="001208E1"/>
    <w:rsid w:val="00126764"/>
    <w:rsid w:val="0015044C"/>
    <w:rsid w:val="0015267F"/>
    <w:rsid w:val="00154A6C"/>
    <w:rsid w:val="00157297"/>
    <w:rsid w:val="001638E9"/>
    <w:rsid w:val="00175F5A"/>
    <w:rsid w:val="001826A4"/>
    <w:rsid w:val="0018354A"/>
    <w:rsid w:val="001900C9"/>
    <w:rsid w:val="00195DF6"/>
    <w:rsid w:val="001C0AB9"/>
    <w:rsid w:val="001C131E"/>
    <w:rsid w:val="001C4BA5"/>
    <w:rsid w:val="001C5762"/>
    <w:rsid w:val="001E391D"/>
    <w:rsid w:val="0020320E"/>
    <w:rsid w:val="00204020"/>
    <w:rsid w:val="00217685"/>
    <w:rsid w:val="00225BB6"/>
    <w:rsid w:val="00227559"/>
    <w:rsid w:val="00232656"/>
    <w:rsid w:val="00247F8B"/>
    <w:rsid w:val="002538AC"/>
    <w:rsid w:val="00264FC2"/>
    <w:rsid w:val="0027707F"/>
    <w:rsid w:val="00293191"/>
    <w:rsid w:val="002A5636"/>
    <w:rsid w:val="002A61F5"/>
    <w:rsid w:val="002B7981"/>
    <w:rsid w:val="002E05A2"/>
    <w:rsid w:val="00302537"/>
    <w:rsid w:val="003066BE"/>
    <w:rsid w:val="00321FDD"/>
    <w:rsid w:val="003227CC"/>
    <w:rsid w:val="003232BE"/>
    <w:rsid w:val="00343F74"/>
    <w:rsid w:val="003442FB"/>
    <w:rsid w:val="00366FB1"/>
    <w:rsid w:val="00382A22"/>
    <w:rsid w:val="00392B2D"/>
    <w:rsid w:val="003A4752"/>
    <w:rsid w:val="003B3B1A"/>
    <w:rsid w:val="003C2964"/>
    <w:rsid w:val="003F326D"/>
    <w:rsid w:val="003F3737"/>
    <w:rsid w:val="003F4AD5"/>
    <w:rsid w:val="003F79EF"/>
    <w:rsid w:val="00402449"/>
    <w:rsid w:val="0041135D"/>
    <w:rsid w:val="00421AAB"/>
    <w:rsid w:val="004229C4"/>
    <w:rsid w:val="004255DD"/>
    <w:rsid w:val="0043191A"/>
    <w:rsid w:val="00435AEF"/>
    <w:rsid w:val="00444504"/>
    <w:rsid w:val="00465FCD"/>
    <w:rsid w:val="00486DAE"/>
    <w:rsid w:val="004A5CD7"/>
    <w:rsid w:val="004C2B61"/>
    <w:rsid w:val="004D7AC0"/>
    <w:rsid w:val="004E3508"/>
    <w:rsid w:val="004E411F"/>
    <w:rsid w:val="004F23ED"/>
    <w:rsid w:val="004F2989"/>
    <w:rsid w:val="0052107B"/>
    <w:rsid w:val="005234CD"/>
    <w:rsid w:val="00532089"/>
    <w:rsid w:val="005404CB"/>
    <w:rsid w:val="005820A0"/>
    <w:rsid w:val="00586B4B"/>
    <w:rsid w:val="005873B0"/>
    <w:rsid w:val="005904B2"/>
    <w:rsid w:val="00592F07"/>
    <w:rsid w:val="00593C9F"/>
    <w:rsid w:val="00593CA8"/>
    <w:rsid w:val="005A0BDA"/>
    <w:rsid w:val="005A3D14"/>
    <w:rsid w:val="005A4C58"/>
    <w:rsid w:val="005B5258"/>
    <w:rsid w:val="005C66E1"/>
    <w:rsid w:val="005E43B3"/>
    <w:rsid w:val="005E7651"/>
    <w:rsid w:val="005F41D0"/>
    <w:rsid w:val="005F55DC"/>
    <w:rsid w:val="00623E9E"/>
    <w:rsid w:val="00625CA3"/>
    <w:rsid w:val="00627052"/>
    <w:rsid w:val="00641262"/>
    <w:rsid w:val="006467F9"/>
    <w:rsid w:val="00652335"/>
    <w:rsid w:val="0067428C"/>
    <w:rsid w:val="006825FC"/>
    <w:rsid w:val="00691BA5"/>
    <w:rsid w:val="006B21A0"/>
    <w:rsid w:val="006C0A65"/>
    <w:rsid w:val="006C533B"/>
    <w:rsid w:val="006C6ECE"/>
    <w:rsid w:val="006D16C7"/>
    <w:rsid w:val="006D1DFA"/>
    <w:rsid w:val="006D2C8A"/>
    <w:rsid w:val="006D2D64"/>
    <w:rsid w:val="006E2EF5"/>
    <w:rsid w:val="006E62F7"/>
    <w:rsid w:val="006F1989"/>
    <w:rsid w:val="00713105"/>
    <w:rsid w:val="00720580"/>
    <w:rsid w:val="00726351"/>
    <w:rsid w:val="007448E4"/>
    <w:rsid w:val="00752F62"/>
    <w:rsid w:val="00754027"/>
    <w:rsid w:val="007554BE"/>
    <w:rsid w:val="00766B1A"/>
    <w:rsid w:val="00770B4A"/>
    <w:rsid w:val="00773E8D"/>
    <w:rsid w:val="00777195"/>
    <w:rsid w:val="0079405E"/>
    <w:rsid w:val="00795836"/>
    <w:rsid w:val="007A0964"/>
    <w:rsid w:val="007A0BE6"/>
    <w:rsid w:val="007B1DCA"/>
    <w:rsid w:val="007C1ABC"/>
    <w:rsid w:val="007D30C1"/>
    <w:rsid w:val="007F5784"/>
    <w:rsid w:val="008171FA"/>
    <w:rsid w:val="0083181F"/>
    <w:rsid w:val="00832938"/>
    <w:rsid w:val="00840FC8"/>
    <w:rsid w:val="008413EF"/>
    <w:rsid w:val="0084417F"/>
    <w:rsid w:val="008452C8"/>
    <w:rsid w:val="00845F24"/>
    <w:rsid w:val="00850929"/>
    <w:rsid w:val="00860DE0"/>
    <w:rsid w:val="00864670"/>
    <w:rsid w:val="00865A78"/>
    <w:rsid w:val="00866666"/>
    <w:rsid w:val="0086679E"/>
    <w:rsid w:val="00871DCF"/>
    <w:rsid w:val="008752F5"/>
    <w:rsid w:val="008761FA"/>
    <w:rsid w:val="0088219D"/>
    <w:rsid w:val="00892F37"/>
    <w:rsid w:val="008B5FC5"/>
    <w:rsid w:val="008B7F9B"/>
    <w:rsid w:val="008C5361"/>
    <w:rsid w:val="008C7452"/>
    <w:rsid w:val="008D0303"/>
    <w:rsid w:val="008D05C8"/>
    <w:rsid w:val="008D44E2"/>
    <w:rsid w:val="0090254F"/>
    <w:rsid w:val="00904A22"/>
    <w:rsid w:val="00910C90"/>
    <w:rsid w:val="009144BA"/>
    <w:rsid w:val="00941874"/>
    <w:rsid w:val="0094356F"/>
    <w:rsid w:val="00945147"/>
    <w:rsid w:val="00980902"/>
    <w:rsid w:val="0098098F"/>
    <w:rsid w:val="00981AAC"/>
    <w:rsid w:val="00996457"/>
    <w:rsid w:val="009A2569"/>
    <w:rsid w:val="009B04E2"/>
    <w:rsid w:val="009B199C"/>
    <w:rsid w:val="009B596B"/>
    <w:rsid w:val="009C3A5E"/>
    <w:rsid w:val="009D7E2D"/>
    <w:rsid w:val="009E747C"/>
    <w:rsid w:val="00A02A59"/>
    <w:rsid w:val="00A073FB"/>
    <w:rsid w:val="00A124AE"/>
    <w:rsid w:val="00A20E9D"/>
    <w:rsid w:val="00A230A4"/>
    <w:rsid w:val="00A26A65"/>
    <w:rsid w:val="00A272B2"/>
    <w:rsid w:val="00A30FAD"/>
    <w:rsid w:val="00A33529"/>
    <w:rsid w:val="00A50553"/>
    <w:rsid w:val="00A5081E"/>
    <w:rsid w:val="00A512D0"/>
    <w:rsid w:val="00A71030"/>
    <w:rsid w:val="00A81F18"/>
    <w:rsid w:val="00A832E6"/>
    <w:rsid w:val="00A94349"/>
    <w:rsid w:val="00AC7540"/>
    <w:rsid w:val="00AD28C9"/>
    <w:rsid w:val="00AE5791"/>
    <w:rsid w:val="00AF6DC1"/>
    <w:rsid w:val="00AF7CA7"/>
    <w:rsid w:val="00B11B7E"/>
    <w:rsid w:val="00B16AE4"/>
    <w:rsid w:val="00B203DA"/>
    <w:rsid w:val="00B21DC6"/>
    <w:rsid w:val="00B227BF"/>
    <w:rsid w:val="00B47C02"/>
    <w:rsid w:val="00B518C9"/>
    <w:rsid w:val="00B51A72"/>
    <w:rsid w:val="00B73BE7"/>
    <w:rsid w:val="00B80EC0"/>
    <w:rsid w:val="00B83272"/>
    <w:rsid w:val="00B8503F"/>
    <w:rsid w:val="00B87220"/>
    <w:rsid w:val="00B95DFE"/>
    <w:rsid w:val="00B97319"/>
    <w:rsid w:val="00BA081D"/>
    <w:rsid w:val="00BA2F3D"/>
    <w:rsid w:val="00BA71AC"/>
    <w:rsid w:val="00BB020C"/>
    <w:rsid w:val="00BB1131"/>
    <w:rsid w:val="00BB118B"/>
    <w:rsid w:val="00BB17B1"/>
    <w:rsid w:val="00BB7501"/>
    <w:rsid w:val="00BC003D"/>
    <w:rsid w:val="00BC15D3"/>
    <w:rsid w:val="00BC1D26"/>
    <w:rsid w:val="00BC5818"/>
    <w:rsid w:val="00BC6AA1"/>
    <w:rsid w:val="00BD3C24"/>
    <w:rsid w:val="00BD6AD8"/>
    <w:rsid w:val="00BE1F8F"/>
    <w:rsid w:val="00BE37B5"/>
    <w:rsid w:val="00BE54B3"/>
    <w:rsid w:val="00C008B4"/>
    <w:rsid w:val="00C05074"/>
    <w:rsid w:val="00C17ABD"/>
    <w:rsid w:val="00C26C67"/>
    <w:rsid w:val="00C3059A"/>
    <w:rsid w:val="00C37BD4"/>
    <w:rsid w:val="00C4084F"/>
    <w:rsid w:val="00C417FE"/>
    <w:rsid w:val="00C43D3E"/>
    <w:rsid w:val="00C52092"/>
    <w:rsid w:val="00C63C88"/>
    <w:rsid w:val="00C65E51"/>
    <w:rsid w:val="00C65EA7"/>
    <w:rsid w:val="00C67580"/>
    <w:rsid w:val="00C67D5A"/>
    <w:rsid w:val="00C77862"/>
    <w:rsid w:val="00C804F4"/>
    <w:rsid w:val="00C8173B"/>
    <w:rsid w:val="00C821A5"/>
    <w:rsid w:val="00C87D91"/>
    <w:rsid w:val="00C94866"/>
    <w:rsid w:val="00CC44CF"/>
    <w:rsid w:val="00CF233F"/>
    <w:rsid w:val="00D03AEC"/>
    <w:rsid w:val="00D1047D"/>
    <w:rsid w:val="00D24919"/>
    <w:rsid w:val="00D26CB8"/>
    <w:rsid w:val="00D43613"/>
    <w:rsid w:val="00D5795F"/>
    <w:rsid w:val="00D615E8"/>
    <w:rsid w:val="00D63232"/>
    <w:rsid w:val="00D6450A"/>
    <w:rsid w:val="00D66820"/>
    <w:rsid w:val="00D7076A"/>
    <w:rsid w:val="00D7172A"/>
    <w:rsid w:val="00D81F5E"/>
    <w:rsid w:val="00D92269"/>
    <w:rsid w:val="00D92715"/>
    <w:rsid w:val="00DC329C"/>
    <w:rsid w:val="00DC348C"/>
    <w:rsid w:val="00DC45BC"/>
    <w:rsid w:val="00DE176A"/>
    <w:rsid w:val="00DE2D96"/>
    <w:rsid w:val="00DE7710"/>
    <w:rsid w:val="00DF0344"/>
    <w:rsid w:val="00DF3CEF"/>
    <w:rsid w:val="00E00A6B"/>
    <w:rsid w:val="00E13806"/>
    <w:rsid w:val="00E14D8E"/>
    <w:rsid w:val="00E16E3C"/>
    <w:rsid w:val="00E348EA"/>
    <w:rsid w:val="00E44ADA"/>
    <w:rsid w:val="00E55DDF"/>
    <w:rsid w:val="00E57BB9"/>
    <w:rsid w:val="00E624FB"/>
    <w:rsid w:val="00E77899"/>
    <w:rsid w:val="00E83667"/>
    <w:rsid w:val="00E9219E"/>
    <w:rsid w:val="00EA3596"/>
    <w:rsid w:val="00EB5E2E"/>
    <w:rsid w:val="00EB629E"/>
    <w:rsid w:val="00EC0F9A"/>
    <w:rsid w:val="00EC5572"/>
    <w:rsid w:val="00ED1DE3"/>
    <w:rsid w:val="00EE160A"/>
    <w:rsid w:val="00EE5F16"/>
    <w:rsid w:val="00EF40DB"/>
    <w:rsid w:val="00F02BB5"/>
    <w:rsid w:val="00F23122"/>
    <w:rsid w:val="00F250D5"/>
    <w:rsid w:val="00F54496"/>
    <w:rsid w:val="00F54B68"/>
    <w:rsid w:val="00F60997"/>
    <w:rsid w:val="00F617CE"/>
    <w:rsid w:val="00F70422"/>
    <w:rsid w:val="00F83C17"/>
    <w:rsid w:val="00F84774"/>
    <w:rsid w:val="00F93648"/>
    <w:rsid w:val="00F96D7F"/>
    <w:rsid w:val="00FA33C4"/>
    <w:rsid w:val="00FA4B28"/>
    <w:rsid w:val="00FA7642"/>
    <w:rsid w:val="00FA7854"/>
    <w:rsid w:val="00FC456F"/>
    <w:rsid w:val="00FD106B"/>
    <w:rsid w:val="00FD5458"/>
    <w:rsid w:val="00FF0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paragraph" w:styleId="Revision">
    <w:name w:val="Revision"/>
    <w:hidden/>
    <w:uiPriority w:val="99"/>
    <w:semiHidden/>
    <w:rsid w:val="006C6ECE"/>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1131B6"/>
    <w:rPr>
      <w:color w:val="605E5C"/>
      <w:shd w:val="clear" w:color="auto" w:fill="E1DFDD"/>
    </w:rPr>
  </w:style>
  <w:style w:type="paragraph" w:styleId="ListParagraph">
    <w:name w:val="List Paragraph"/>
    <w:basedOn w:val="Normal"/>
    <w:uiPriority w:val="34"/>
    <w:qFormat/>
    <w:rsid w:val="006523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s/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mailto:Gerald.Klec@eesc.europa.eu" TargetMode="External"/><Relationship Id="rId39" Type="http://schemas.openxmlformats.org/officeDocument/2006/relationships/hyperlink" Target="https://www.eesc.europa.eu/es/initiatives/eu-youth-test-eesc" TargetMode="External"/><Relationship Id="rId21" Type="http://schemas.openxmlformats.org/officeDocument/2006/relationships/hyperlink" Target="https://www.eesc.europa.eu/es/our-work/opinions-information-reports/opinions/2025-european-semester-autumn-package" TargetMode="External"/><Relationship Id="rId34" Type="http://schemas.openxmlformats.org/officeDocument/2006/relationships/hyperlink" Target="mailto:Gabriela.Grasu@eesc.europa.eu" TargetMode="External"/><Relationship Id="rId42" Type="http://schemas.openxmlformats.org/officeDocument/2006/relationships/hyperlink" Target="https://www.eesc.europa.eu/es/our-work/opinions-information-reports/opinions/assessment-letta-and-draghi-reports-functioning-and-competitiveness-eus-single-market" TargetMode="External"/><Relationship Id="rId47" Type="http://schemas.openxmlformats.org/officeDocument/2006/relationships/hyperlink" Target="https://www.eesc.europa.eu/es/our-work/opinions-information-reports/opinions/services-sector-european-union" TargetMode="External"/><Relationship Id="rId50" Type="http://schemas.openxmlformats.org/officeDocument/2006/relationships/hyperlink" Target="mailto:Silvia.Staffa@eesc.europa.eu" TargetMode="External"/><Relationship Id="rId55" Type="http://schemas.openxmlformats.org/officeDocument/2006/relationships/hyperlink" Target="https://www.eesc.europa.eu/es/our-work/opinions-information-reports/opinions/contribution-robotics-metaverse-medical-sector" TargetMode="External"/><Relationship Id="rId63" Type="http://schemas.openxmlformats.org/officeDocument/2006/relationships/fontTable" Target="fontTable.xml"/><Relationship Id="rId68" Type="http://schemas.openxmlformats.org/officeDocument/2006/relationships/customXml" Target="../customXml/item4.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https://www.eesc.europa.eu/es/our-work/opinions-information-reports/opinions/addressing-loneliness-cementing-measures-demographic-cohesion" TargetMode="External"/><Relationship Id="rId11" Type="http://schemas.openxmlformats.org/officeDocument/2006/relationships/endnotes" Target="endnotes.xml"/><Relationship Id="rId24" Type="http://schemas.openxmlformats.org/officeDocument/2006/relationships/hyperlink" Target="mailto:Juri.Soosaar@eesc.europa.eu" TargetMode="External"/><Relationship Id="rId32" Type="http://schemas.openxmlformats.org/officeDocument/2006/relationships/hyperlink" Target="mailto:Grasu.Gabriela@eesc.europa.eu" TargetMode="External"/><Relationship Id="rId37" Type="http://schemas.openxmlformats.org/officeDocument/2006/relationships/hyperlink" Target="mailto:Albert.Precup@eesc.europa.eu" TargetMode="External"/><Relationship Id="rId40" Type="http://schemas.openxmlformats.org/officeDocument/2006/relationships/hyperlink" Target="mailto:Radoslava.Stefankova@eesc.europa.eu" TargetMode="External"/><Relationship Id="rId45" Type="http://schemas.openxmlformats.org/officeDocument/2006/relationships/hyperlink" Target="https://www.eesc.europa.eu/es/our-work/opinions-information-reports/opinions/competitiveness-eus-small-and-medium-sized-enterprises-light-new-administrative-burdensobligations-eg-relating-non" TargetMode="External"/><Relationship Id="rId53" Type="http://schemas.openxmlformats.org/officeDocument/2006/relationships/hyperlink" Target="https://www.eesc.europa.eu/es/our-work/opinions-information-reports/opinions/ensuring-sustainable-food-production-and-fair-income-european-farmers-face-market-environmental-and-climate-challenges" TargetMode="External"/><Relationship Id="rId58" Type="http://schemas.openxmlformats.org/officeDocument/2006/relationships/header" Target="header5.xml"/><Relationship Id="rId66" Type="http://schemas.openxmlformats.org/officeDocument/2006/relationships/customXml" Target="../customXml/item2.xml"/><Relationship Id="rId61" Type="http://schemas.openxmlformats.org/officeDocument/2006/relationships/header" Target="header6.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Anna.Pantazi@eesc.europa.eu" TargetMode="External"/><Relationship Id="rId27" Type="http://schemas.openxmlformats.org/officeDocument/2006/relationships/hyperlink" Target="https://www.eesc.europa.eu/es/our-work/opinions-information-reports/opinions/strengthening-results-orientation-post-2027-cohesion-policy-challenges-risks-and-opportunities" TargetMode="External"/><Relationship Id="rId30" Type="http://schemas.openxmlformats.org/officeDocument/2006/relationships/hyperlink" Target="mailto:Valeria.Atzori@eesc.europa.eu" TargetMode="External"/><Relationship Id="rId35" Type="http://schemas.openxmlformats.org/officeDocument/2006/relationships/hyperlink" Target="mailto:Triin.AasmaaGomes@eesc.europa.eu" TargetMode="External"/><Relationship Id="rId43" Type="http://schemas.openxmlformats.org/officeDocument/2006/relationships/hyperlink" Target="mailto:Annalisa.Tessarolo@eesc.europa.eu" TargetMode="External"/><Relationship Id="rId48" Type="http://schemas.openxmlformats.org/officeDocument/2006/relationships/hyperlink" Target="mailto:Annalisa.Tessarolo@eesc.europa.eu" TargetMode="External"/><Relationship Id="rId56" Type="http://schemas.openxmlformats.org/officeDocument/2006/relationships/hyperlink" Target="mailto:Marie-Laurence.Drillon@eesc.europa.eu" TargetMode="External"/><Relationship Id="rId64"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eesc.europa.eu/es/our-work/opinions-information-reports/opinions/tourism-eu-social-sustainability-driver-long-term-competitiveness-sector"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s/our-work/opinions-information-reports/opinions/defence-funding-eu" TargetMode="External"/><Relationship Id="rId33" Type="http://schemas.openxmlformats.org/officeDocument/2006/relationships/hyperlink" Target="https://www.eesc.europa.eu/es/our-work/opinions-information-reports/opinions/eesc-contribution-eus-priorities-uncsw69" TargetMode="External"/><Relationship Id="rId38" Type="http://schemas.openxmlformats.org/officeDocument/2006/relationships/hyperlink" Target="https://www.eesc.europa.eu/es/our-work/opinions-information-reports/opinions/consumer-protection-and-impact-digital-and-green-transitions-consumers" TargetMode="External"/><Relationship Id="rId46" Type="http://schemas.openxmlformats.org/officeDocument/2006/relationships/hyperlink" Target="mailto:Marco.Manfroni@eesc.europa.eu" TargetMode="External"/><Relationship Id="rId59" Type="http://schemas.openxmlformats.org/officeDocument/2006/relationships/footer" Target="footer4.xml"/><Relationship Id="rId67" Type="http://schemas.openxmlformats.org/officeDocument/2006/relationships/customXml" Target="../customXml/item3.xml"/><Relationship Id="rId20" Type="http://schemas.openxmlformats.org/officeDocument/2006/relationships/footer" Target="footer3.xml"/><Relationship Id="rId41" Type="http://schemas.openxmlformats.org/officeDocument/2006/relationships/hyperlink" Target="mailto:Yousra.Asbounielouahabi@eesc.europa.eu" TargetMode="External"/><Relationship Id="rId54" Type="http://schemas.openxmlformats.org/officeDocument/2006/relationships/hyperlink" Target="mailto:Myrto.Kolyva@eesc.europa.eu" TargetMode="External"/><Relationship Id="rId62" Type="http://schemas.openxmlformats.org/officeDocument/2006/relationships/footer" Target="footer6.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es/our-work/opinions-information-reports/opinions/administrative-cooperation-field-taxation-dac9" TargetMode="External"/><Relationship Id="rId28" Type="http://schemas.openxmlformats.org/officeDocument/2006/relationships/hyperlink" Target="mailto:Georgios.Meleas@eesc.europa.eu" TargetMode="External"/><Relationship Id="rId36" Type="http://schemas.openxmlformats.org/officeDocument/2006/relationships/hyperlink" Target="https://www.eesc.europa.eu/es/our-work/opinions-information-reports/opinions/physical-completion-eus-internal-market-new-geopolitical-situation" TargetMode="External"/><Relationship Id="rId49" Type="http://schemas.openxmlformats.org/officeDocument/2006/relationships/hyperlink" Target="https://www.eesc.europa.eu/es/our-work/opinions-information-reports/opinions/future-eu-industry-face-high-energy-prices-and-transition-costs" TargetMode="External"/><Relationship Id="rId57" Type="http://schemas.openxmlformats.org/officeDocument/2006/relationships/header" Target="header4.xml"/><Relationship Id="rId10" Type="http://schemas.openxmlformats.org/officeDocument/2006/relationships/footnotes" Target="footnotes.xml"/><Relationship Id="rId31" Type="http://schemas.openxmlformats.org/officeDocument/2006/relationships/hyperlink" Target="https://www.eesc.europa.eu/es/our-work/opinions-information-reports/opinions/violence-against-women-human-rights-issue-state-play-measures-across-eu" TargetMode="External"/><Relationship Id="rId44" Type="http://schemas.openxmlformats.org/officeDocument/2006/relationships/hyperlink" Target="mailto:Silvia.Staffa@eesc.europa.eu" TargetMode="External"/><Relationship Id="rId52" Type="http://schemas.openxmlformats.org/officeDocument/2006/relationships/hyperlink" Target="mailto:Silvia.Staffa@eesc.europa.eu" TargetMode="External"/><Relationship Id="rId60" Type="http://schemas.openxmlformats.org/officeDocument/2006/relationships/footer" Target="footer5.xml"/><Relationship Id="rId65" Type="http://schemas.openxmlformats.org/officeDocument/2006/relationships/customXml" Target="../customXml/item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A6WAAD5KZT2Q-604569563-4623</_dlc_DocId>
    <_dlc_DocIdUrl xmlns="1a33af13-4045-4f88-9d7b-618e30f79918">
      <Url>http://dm/eesc/2025/_layouts/15/DocIdRedir.aspx?ID=A6WAAD5KZT2Q-604569563-4623</Url>
      <Description>A6WAAD5KZT2Q-604569563-4623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2025-03-12T12:00:00+00:00</ProductionDate>
    <DocumentNumber xmlns="be3ca9a7-9286-4008-99ec-aebc20da9dc2">345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2025-03-26T12:00:00+00:00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2534</FicheNumber>
    <OriginalSender xmlns="1a33af13-4045-4f88-9d7b-618e30f79918">
      <UserInfo>
        <DisplayName>Navarro Anna</DisplayName>
        <AccountId>1542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595</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Props1.xml><?xml version="1.0" encoding="utf-8"?>
<ds:datastoreItem xmlns:ds="http://schemas.openxmlformats.org/officeDocument/2006/customXml" ds:itemID="{46B01005-7B2F-48DD-AA4F-834403CD536B}"/>
</file>

<file path=customXml/itemProps2.xml><?xml version="1.0" encoding="utf-8"?>
<ds:datastoreItem xmlns:ds="http://schemas.openxmlformats.org/officeDocument/2006/customXml" ds:itemID="{94F8C74D-6C59-45F7-8FE2-DA538552A97B}"/>
</file>

<file path=customXml/itemProps3.xml><?xml version="1.0" encoding="utf-8"?>
<ds:datastoreItem xmlns:ds="http://schemas.openxmlformats.org/officeDocument/2006/customXml" ds:itemID="{FB01E0B9-C234-4C5A-B5B1-1F46828A51D8}"/>
</file>

<file path=customXml/itemProps4.xml><?xml version="1.0" encoding="utf-8"?>
<ds:datastoreItem xmlns:ds="http://schemas.openxmlformats.org/officeDocument/2006/customXml" ds:itemID="{2D1ED288-2F4D-4A47-8642-0D3A69E4391F}"/>
</file>

<file path=docProps/app.xml><?xml version="1.0" encoding="utf-8"?>
<Properties xmlns="http://schemas.openxmlformats.org/officeDocument/2006/extended-properties" xmlns:vt="http://schemas.openxmlformats.org/officeDocument/2006/docPropsVTypes">
  <Template>Normal.dotm</Template>
  <TotalTime>0</TotalTime>
  <Pages>23</Pages>
  <Words>7455</Words>
  <Characters>42498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Summary of opinions - 593rd plenary session - January 2025</vt:lpstr>
    </vt:vector>
  </TitlesOfParts>
  <Company>CESE-CdR</Company>
  <LinksUpToDate>false</LinksUpToDate>
  <CharactersWithSpaces>49854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los dictámenes - 594.º pleno - febrero de 2025</dc:title>
  <dc:subject>TCD</dc:subject>
  <dc:creator>Nieddu Emma</dc:creator>
  <cp:keywords>EESC-2025-00345-00-01-TCD-TRA-EN</cp:keywords>
  <dc:description>Rapporteur:  - Original language: EN - Date of document: 12/03/2025 - Date of meeting: 30/26/2025 14:30 - External documents:  - Administrator: MME TAMASAUSKIENE Julija</dc:description>
  <cp:lastModifiedBy>Navarro Anna</cp:lastModifiedBy>
  <cp:revision>9</cp:revision>
  <dcterms:created xsi:type="dcterms:W3CDTF">2025-03-12T09:56:00Z</dcterms:created>
  <dcterms:modified xsi:type="dcterms:W3CDTF">2025-03-12T14:04:00Z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12/03/2025, 05/03/2025, 29/01/2025, 02/05/2022, 02/05/2022, 28/06/2021</vt:lpwstr>
  </property>
  <property fmtid="{D5CDD505-2E9C-101B-9397-08002B2CF9AE}" pid="4" name="Pref_Time">
    <vt:lpwstr>10:27:20, 09:28:12, 15:29:38, 12:28:29, 12:25:37, 08:41:48</vt:lpwstr>
  </property>
  <property fmtid="{D5CDD505-2E9C-101B-9397-08002B2CF9AE}" pid="5" name="Pref_User">
    <vt:lpwstr>amett, enied, amett, enied, enied, enied</vt:lpwstr>
  </property>
  <property fmtid="{D5CDD505-2E9C-101B-9397-08002B2CF9AE}" pid="6" name="Pref_FileName">
    <vt:lpwstr>EESC-2025-00345-00-01-TCD-ORI.docx, EESC-2025-00345-00-00-TCD-ORI.docx, EESC-2024-04576-00-00-TCD-ORI.docx, 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365c9dfc-e9e8-4382-bbbe-2f1ac6f88730</vt:lpwstr>
  </property>
  <property fmtid="{D5CDD505-2E9C-101B-9397-08002B2CF9AE}" pid="9" name="AvailableTranslations">
    <vt:lpwstr>34;#IT|0774613c-01ed-4e5d-a25d-11d2388de825;#30;#LT|a7ff5ce7-6123-4f68-865a-a57c31810414;#23;#DE|f6b31e5a-26fa-4935-b661-318e46daf27e;#50;#HR|2f555653-ed1a-4fe6-8362-9082d95989e5;#16;#ES|e7a6b05b-ae16-40c8-add9-68b64b03aeba;#40;#DA|5d49c027-8956-412b-aa16-e85a0f96ad0e;#42;#EL|6d4f4d51-af9b-4650-94b4-4276bee85c91;#24;#PL|1e03da61-4678-4e07-b136-b5024ca9197b;#46;#SK|46d9fce0-ef79-4f71-b89b-cd6aa82426b8;#27;#NL|55c6556c-b4f4-441d-9acf-c498d4f838bd;#33;#PT|50ccc04a-eadd-42ae-a0cb-acaf45f812ba;#5;#EN|f2175f21-25d7-44a3-96da-d6a61b075e1b;#39;#LV|46f7e311-5d9f-4663-b433-18aeccb7ace7;#37;#HU|6b229040-c589-4408-b4c1-4285663d20a8;#36;#RO|feb747a2-64cd-4299-af12-4833ddc30497;#29;#CS|72f9705b-0217-4fd3-bea2-cbc7ed80e26e;#12;#FR|d2afafd3-4c81-4f60-8f52-ee33f2f54ff3;#35;#FI|87606a43-d45f-42d6-b8c9-e1a3457db5b7;#31;#SL|98a412ae-eb01-49e9-ae3d-585a81724cfc;#41;#ET|ff6c3f4c-b02c-4c3c-ab07-2c37995a7a0a;#28;#SV|c2ed69e7-a339-43d7-8f22-d93680a92aa0;#47;#BG|1a1b3951-7821-4e6a-85f5-5673fc08bd2c</vt:lpwstr>
  </property>
  <property fmtid="{D5CDD505-2E9C-101B-9397-08002B2CF9AE}" pid="10" name="DocumentType_0">
    <vt:lpwstr>TCD|cd9d6eb6-3f4f-424a-b2d1-57c9d450eaaf</vt:lpwstr>
  </property>
  <property fmtid="{D5CDD505-2E9C-101B-9397-08002B2CF9AE}" pid="11" name="MeetingNumber">
    <vt:i4>595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2025-03-26T12:00:00Z</vt:filetime>
  </property>
  <property fmtid="{D5CDD505-2E9C-101B-9397-08002B2CF9AE}" pid="29" name="AvailableTranslations_0">
    <vt:lpwstr>HR|2f555653-ed1a-4fe6-8362-9082d95989e5;EN|f2175f21-25d7-44a3-96da-d6a61b075e1b;FR|d2afafd3-4c81-4f60-8f52-ee33f2f54ff3;FI|87606a43-d45f-42d6-b8c9-e1a3457db5b7;SL|98a412ae-eb01-49e9-ae3d-585a81724cfc;SV|c2ed69e7-a339-43d7-8f22-d93680a92aa0</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15;#Unrestricted|826e22d7-d029-4ec0-a450-0c28ff673572;#31;#SL|98a412ae-eb01-49e9-ae3d-585a81724cfc;#13;#TRA|150d2a88-1431-44e6-a8ca-0bb753ab8672;#12;#FR|d2afafd3-4c81-4f60-8f52-ee33f2f54ff3;#28;#SV|c2ed69e7-a339-43d7-8f22-d93680a92aa0;#50;#HR|2f555653-ed1a-4fe6-8362-9082d95989e5;#8;#Final|ea5e6674-7b27-4bac-b091-73adbb394efe;#5;#EN|f2175f21-25d7-44a3-96da-d6a61b075e1b;#19;#TCD|cd9d6eb6-3f4f-424a-b2d1-57c9d450eaaf;#1;#EESC|422833ec-8d7e-4e65-8e4e-8bed07ffb729;#35;#FI|87606a43-d45f-42d6-b8c9-e1a3457db5b7</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2534</vt:i4>
  </property>
  <property fmtid="{D5CDD505-2E9C-101B-9397-08002B2CF9AE}" pid="37" name="DocumentLanguage">
    <vt:lpwstr>16;#ES|e7a6b05b-ae16-40c8-add9-68b64b03aeba</vt:lpwstr>
  </property>
  <property fmtid="{D5CDD505-2E9C-101B-9397-08002B2CF9AE}" pid="38" name="_docset_NoMedatataSyncRequired">
    <vt:lpwstr>False</vt:lpwstr>
  </property>
</Properties>
</file>