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BE1F8F" w:rsidRDefault="008A2164" w14:paraId="4982DD4D" w14:textId="1B8C92F1">
      <w:pPr>
        <w:jc w:val="center"/>
      </w:pPr>
      <w:r>
        <w:rPr>
          <w:noProof/>
        </w:rPr>
        <w:drawing>
          <wp:inline distT="0" distB="0" distL="0" distR="0" wp14:anchorId="28B9D32E" wp14:editId="44D431F0">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rFonts w:ascii="Arial" w:hAnsi="Arial"/>
          <w:b/>
          <w:noProof/>
          <w:sz w:val="20"/>
        </w:rPr>
        <mc:AlternateContent>
          <mc:Choice Requires="wps">
            <w:drawing>
              <wp:anchor distT="0" distB="0" distL="114300" distR="114300" simplePos="0" relativeHeight="251659264" behindDoc="1" locked="0" layoutInCell="0" allowOverlap="1" wp14:editId="7AEDD75A" wp14:anchorId="4B97899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8354A" w:rsidRDefault="0018354A" w14:paraId="40261324"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97899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18354A" w:rsidRDefault="0018354A" w14:paraId="40261324"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004D7AC0" w:rsidP="00BE1F8F" w:rsidRDefault="004D7AC0" w14:paraId="4982DD4E" w14:textId="77777777"/>
    <w:p w:rsidR="004D7AC0" w:rsidP="00BE1F8F" w:rsidRDefault="004D7AC0" w14:paraId="4982DD4F" w14:textId="6D24C8E5">
      <w:pPr>
        <w:jc w:val="right"/>
      </w:pPr>
      <w:r>
        <w:t>Brüssel, den 14. März 2025</w:t>
      </w:r>
    </w:p>
    <w:p w:rsidR="004D7AC0" w:rsidP="00BE1F8F" w:rsidRDefault="004D7AC0" w14:paraId="4982DD50" w14:textId="77777777"/>
    <w:p w:rsidR="004D7AC0" w:rsidP="00BE1F8F" w:rsidRDefault="004D7AC0" w14:paraId="4982DD51" w14:textId="77777777"/>
    <w:p w:rsidR="004D7AC0" w:rsidP="00BE1F8F"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BE1F8F" w:rsidRDefault="006C6ECE" w14:paraId="4982DD53" w14:textId="527E0554">
            <w:pPr>
              <w:snapToGrid w:val="0"/>
              <w:jc w:val="center"/>
              <w:rPr>
                <w:b/>
                <w:sz w:val="32"/>
                <w:szCs w:val="32"/>
              </w:rPr>
            </w:pPr>
            <w:r>
              <w:rPr>
                <w:b/>
                <w:sz w:val="32"/>
              </w:rPr>
              <w:t>594. PLENARTAGUNG</w:t>
            </w:r>
          </w:p>
          <w:p w:rsidR="003066BE" w:rsidP="00BE1F8F" w:rsidRDefault="003066BE" w14:paraId="4982DD54" w14:textId="77777777">
            <w:pPr>
              <w:snapToGrid w:val="0"/>
              <w:jc w:val="center"/>
              <w:rPr>
                <w:b/>
                <w:sz w:val="32"/>
                <w:szCs w:val="32"/>
              </w:rPr>
            </w:pPr>
          </w:p>
          <w:p w:rsidR="003066BE" w:rsidP="00BE1F8F" w:rsidRDefault="00850929" w14:paraId="4982DD55" w14:textId="094CA4B9">
            <w:pPr>
              <w:snapToGrid w:val="0"/>
              <w:jc w:val="center"/>
              <w:rPr>
                <w:b/>
                <w:sz w:val="32"/>
                <w:szCs w:val="32"/>
              </w:rPr>
            </w:pPr>
            <w:r>
              <w:rPr>
                <w:b/>
                <w:sz w:val="32"/>
              </w:rPr>
              <w:t>26./27. Februar 2025</w:t>
            </w:r>
          </w:p>
          <w:p w:rsidR="003066BE" w:rsidP="00BE1F8F" w:rsidRDefault="003066BE" w14:paraId="4982DD56" w14:textId="77777777">
            <w:pPr>
              <w:snapToGrid w:val="0"/>
              <w:jc w:val="center"/>
              <w:rPr>
                <w:b/>
                <w:sz w:val="32"/>
                <w:szCs w:val="32"/>
              </w:rPr>
            </w:pPr>
          </w:p>
          <w:p w:rsidRPr="0081153B" w:rsidR="004D7AC0" w:rsidP="00BE1F8F" w:rsidRDefault="00754027" w14:paraId="4982DD57" w14:textId="5A35E792">
            <w:pPr>
              <w:snapToGrid w:val="0"/>
              <w:jc w:val="center"/>
              <w:rPr>
                <w:rFonts w:eastAsia="MS Mincho"/>
                <w:b/>
                <w:sz w:val="32"/>
                <w:szCs w:val="32"/>
              </w:rPr>
            </w:pPr>
            <w:r>
              <w:rPr>
                <w:b/>
                <w:sz w:val="32"/>
              </w:rPr>
              <w:t>ZUSAMMENFASSUNG DER VERABSCHIEDETEN STELLUNGNAHMEN, ENTSCHLIEẞUNGEN UND INFORMATIONS-/BEWERTUNGSBERICHTE</w:t>
            </w:r>
          </w:p>
          <w:p w:rsidR="004D7AC0" w:rsidP="00BE1F8F"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P="00BE1F8F" w:rsidRDefault="004D7AC0" w14:paraId="05F5C867" w14:textId="77777777">
            <w:pPr>
              <w:snapToGrid w:val="0"/>
              <w:jc w:val="center"/>
            </w:pPr>
            <w:r>
              <w:t>Dieses Dokument kann in allen Amtssprachen der Europäischen Union auf dem EWSA-Internetportal abgerufen werden:</w:t>
            </w:r>
          </w:p>
          <w:p w:rsidR="00726351" w:rsidP="00BE1F8F" w:rsidRDefault="00726351" w14:paraId="65F2BC50" w14:textId="77777777">
            <w:pPr>
              <w:snapToGrid w:val="0"/>
              <w:jc w:val="center"/>
            </w:pPr>
          </w:p>
          <w:p w:rsidRPr="0081153B" w:rsidR="004D7AC0" w:rsidP="00BE1F8F" w:rsidRDefault="006A4D48" w14:paraId="4982DD5A" w14:textId="4DF10D40">
            <w:pPr>
              <w:snapToGrid w:val="0"/>
              <w:jc w:val="center"/>
            </w:pPr>
            <w:hyperlink w:history="1" r:id="rId13">
              <w:r w:rsidR="008A2164">
                <w:rPr>
                  <w:rStyle w:val="Hyperlink"/>
                </w:rPr>
                <w:t>https://www.eesc.europa.eu/de/our-work/opinions-information-reports/plenary-session-summaries</w:t>
              </w:r>
            </w:hyperlink>
          </w:p>
          <w:p w:rsidRPr="0081153B" w:rsidR="004D7AC0" w:rsidP="00BE1F8F" w:rsidRDefault="004D7AC0" w14:paraId="4982DD5B" w14:textId="77777777">
            <w:pPr>
              <w:snapToGrid w:val="0"/>
              <w:jc w:val="center"/>
            </w:pPr>
          </w:p>
          <w:p w:rsidRPr="0081153B" w:rsidR="004D7AC0" w:rsidP="00BE1F8F" w:rsidRDefault="004D7AC0" w14:paraId="4982DD5C" w14:textId="77777777">
            <w:pPr>
              <w:snapToGrid w:val="0"/>
              <w:jc w:val="center"/>
              <w:rPr>
                <w:rFonts w:eastAsia="SimSun"/>
              </w:rPr>
            </w:pPr>
          </w:p>
          <w:p w:rsidR="00726351" w:rsidP="00BE1F8F" w:rsidRDefault="004D7AC0" w14:paraId="64A40D96" w14:textId="77777777">
            <w:pPr>
              <w:snapToGrid w:val="0"/>
              <w:jc w:val="center"/>
            </w:pPr>
            <w:r>
              <w:t>Die aufgeführten Stellungnahmen können online über die Suchmaschine des EWSA abgerufen werden:</w:t>
            </w:r>
          </w:p>
          <w:p w:rsidR="00726351" w:rsidP="00BE1F8F" w:rsidRDefault="00726351" w14:paraId="0E196128" w14:textId="77777777">
            <w:pPr>
              <w:snapToGrid w:val="0"/>
              <w:jc w:val="center"/>
            </w:pPr>
          </w:p>
          <w:p w:rsidRPr="00044561" w:rsidR="004D7AC0" w:rsidP="00BE1F8F" w:rsidRDefault="006A4D48" w14:paraId="4982DD5D" w14:textId="339632B5">
            <w:pPr>
              <w:snapToGrid w:val="0"/>
              <w:jc w:val="center"/>
            </w:pPr>
            <w:hyperlink w:history="1" r:id="rId14">
              <w:r w:rsidR="008A2164">
                <w:rPr>
                  <w:rStyle w:val="Hyperlink"/>
                </w:rPr>
                <w:t>https://dmsearch.eesc.europa.eu/search/opinion</w:t>
              </w:r>
            </w:hyperlink>
          </w:p>
          <w:p w:rsidRPr="00044561" w:rsidR="004D7AC0" w:rsidP="00BE1F8F" w:rsidRDefault="004D7AC0" w14:paraId="4982DD5E" w14:textId="77777777">
            <w:pPr>
              <w:snapToGrid w:val="0"/>
              <w:jc w:val="center"/>
            </w:pPr>
          </w:p>
        </w:tc>
      </w:tr>
    </w:tbl>
    <w:p w:rsidR="004D7AC0" w:rsidP="00BE1F8F" w:rsidRDefault="004D7AC0" w14:paraId="4982DD60" w14:textId="77777777"/>
    <w:p w:rsidR="004D7AC0" w:rsidP="00BE1F8F" w:rsidRDefault="004D7AC0" w14:paraId="4982DD61" w14:textId="77777777"/>
    <w:p w:rsidR="004D7AC0" w:rsidP="00BE1F8F" w:rsidRDefault="004D7AC0" w14:paraId="4982DD62" w14:textId="77777777">
      <w:pPr>
        <w:sectPr w:rsidR="004D7AC0" w:rsidSect="00BE1F8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BE1F8F" w:rsidRDefault="004D7AC0" w14:paraId="4982DD63" w14:textId="77777777">
      <w:pPr>
        <w:rPr>
          <w:b/>
        </w:rPr>
      </w:pPr>
      <w:r>
        <w:rPr>
          <w:b/>
        </w:rPr>
        <w:lastRenderedPageBreak/>
        <w:t>Inhalt</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BE1F8F" w:rsidRDefault="004D7AC0" w14:paraId="4982DD64" w14:textId="77777777">
          <w:pPr>
            <w:pStyle w:val="TOCHeading"/>
            <w:spacing w:before="0" w:line="288" w:lineRule="auto"/>
            <w:rPr>
              <w:rFonts w:ascii="Times New Roman" w:hAnsi="Times New Roman" w:cs="Times New Roman"/>
              <w:color w:val="auto"/>
              <w:sz w:val="22"/>
              <w:szCs w:val="22"/>
            </w:rPr>
          </w:pPr>
        </w:p>
        <w:p w:rsidR="00740BE9" w:rsidRDefault="004D7AC0" w14:paraId="7CBF6FF0" w14:textId="3F65B554">
          <w:pPr>
            <w:pStyle w:val="TOC1"/>
            <w:tabs>
              <w:tab w:val="left" w:pos="440"/>
              <w:tab w:val="right" w:leader="dot" w:pos="9061"/>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2845595">
            <w:r w:rsidRPr="00D25CA2" w:rsidR="00740BE9">
              <w:rPr>
                <w:rStyle w:val="Hyperlink"/>
                <w:bCs/>
                <w:noProof/>
              </w:rPr>
              <w:t>1.</w:t>
            </w:r>
            <w:r w:rsidR="00740BE9">
              <w:rPr>
                <w:rFonts w:asciiTheme="minorHAnsi" w:hAnsiTheme="minorHAnsi" w:eastAsiaTheme="minorEastAsia" w:cstheme="minorBidi"/>
                <w:noProof/>
                <w:lang w:val="en-US"/>
              </w:rPr>
              <w:tab/>
            </w:r>
            <w:r w:rsidRPr="00D25CA2" w:rsidR="00740BE9">
              <w:rPr>
                <w:rStyle w:val="Hyperlink"/>
                <w:b/>
                <w:noProof/>
              </w:rPr>
              <w:t>WIRTSCHAFTS- UND WÄHRUNGSUNION, WIRTSCHAFTLICHER UND SOZIALER ZUSAMMENHALT</w:t>
            </w:r>
            <w:r w:rsidR="00740BE9">
              <w:rPr>
                <w:noProof/>
                <w:webHidden/>
              </w:rPr>
              <w:tab/>
            </w:r>
            <w:r w:rsidR="00740BE9">
              <w:rPr>
                <w:noProof/>
                <w:webHidden/>
              </w:rPr>
              <w:fldChar w:fldCharType="begin"/>
            </w:r>
            <w:r w:rsidR="00740BE9">
              <w:rPr>
                <w:noProof/>
                <w:webHidden/>
              </w:rPr>
              <w:instrText xml:space="preserve"> PAGEREF _Toc192845595 \h </w:instrText>
            </w:r>
            <w:r w:rsidR="00740BE9">
              <w:rPr>
                <w:noProof/>
                <w:webHidden/>
              </w:rPr>
            </w:r>
            <w:r w:rsidR="00740BE9">
              <w:rPr>
                <w:noProof/>
                <w:webHidden/>
              </w:rPr>
              <w:fldChar w:fldCharType="separate"/>
            </w:r>
            <w:r w:rsidR="00740BE9">
              <w:rPr>
                <w:noProof/>
                <w:webHidden/>
              </w:rPr>
              <w:t>3</w:t>
            </w:r>
            <w:r w:rsidR="00740BE9">
              <w:rPr>
                <w:noProof/>
                <w:webHidden/>
              </w:rPr>
              <w:fldChar w:fldCharType="end"/>
            </w:r>
          </w:hyperlink>
        </w:p>
        <w:p w:rsidR="00740BE9" w:rsidRDefault="00740BE9" w14:paraId="57363DE0" w14:textId="27523AFB">
          <w:pPr>
            <w:pStyle w:val="TOC1"/>
            <w:tabs>
              <w:tab w:val="left" w:pos="440"/>
              <w:tab w:val="right" w:leader="dot" w:pos="9061"/>
            </w:tabs>
            <w:rPr>
              <w:rFonts w:asciiTheme="minorHAnsi" w:hAnsiTheme="minorHAnsi" w:eastAsiaTheme="minorEastAsia" w:cstheme="minorBidi"/>
              <w:noProof/>
              <w:lang w:val="en-US"/>
            </w:rPr>
          </w:pPr>
          <w:hyperlink w:history="1" w:anchor="_Toc192845596">
            <w:r w:rsidRPr="00D25CA2">
              <w:rPr>
                <w:rStyle w:val="Hyperlink"/>
                <w:bCs/>
                <w:noProof/>
              </w:rPr>
              <w:t>2.</w:t>
            </w:r>
            <w:r>
              <w:rPr>
                <w:rFonts w:asciiTheme="minorHAnsi" w:hAnsiTheme="minorHAnsi" w:eastAsiaTheme="minorEastAsia" w:cstheme="minorBidi"/>
                <w:noProof/>
                <w:lang w:val="en-US"/>
              </w:rPr>
              <w:tab/>
            </w:r>
            <w:r w:rsidRPr="00D25CA2">
              <w:rPr>
                <w:rStyle w:val="Hyperlink"/>
                <w:b/>
                <w:noProof/>
              </w:rPr>
              <w:t>BESCHÄFTIGUNG, SOZIALFRAGEN, UNIONSBÜRGERSCHAFT</w:t>
            </w:r>
            <w:r>
              <w:rPr>
                <w:noProof/>
                <w:webHidden/>
              </w:rPr>
              <w:tab/>
            </w:r>
            <w:r>
              <w:rPr>
                <w:noProof/>
                <w:webHidden/>
              </w:rPr>
              <w:fldChar w:fldCharType="begin"/>
            </w:r>
            <w:r>
              <w:rPr>
                <w:noProof/>
                <w:webHidden/>
              </w:rPr>
              <w:instrText xml:space="preserve"> PAGEREF _Toc192845596 \h </w:instrText>
            </w:r>
            <w:r>
              <w:rPr>
                <w:noProof/>
                <w:webHidden/>
              </w:rPr>
            </w:r>
            <w:r>
              <w:rPr>
                <w:noProof/>
                <w:webHidden/>
              </w:rPr>
              <w:fldChar w:fldCharType="separate"/>
            </w:r>
            <w:r>
              <w:rPr>
                <w:noProof/>
                <w:webHidden/>
              </w:rPr>
              <w:t>10</w:t>
            </w:r>
            <w:r>
              <w:rPr>
                <w:noProof/>
                <w:webHidden/>
              </w:rPr>
              <w:fldChar w:fldCharType="end"/>
            </w:r>
          </w:hyperlink>
        </w:p>
        <w:p w:rsidR="00740BE9" w:rsidRDefault="00740BE9" w14:paraId="56F0A599" w14:textId="399F4914">
          <w:pPr>
            <w:pStyle w:val="TOC1"/>
            <w:tabs>
              <w:tab w:val="left" w:pos="440"/>
              <w:tab w:val="right" w:leader="dot" w:pos="9061"/>
            </w:tabs>
            <w:rPr>
              <w:rFonts w:asciiTheme="minorHAnsi" w:hAnsiTheme="minorHAnsi" w:eastAsiaTheme="minorEastAsia" w:cstheme="minorBidi"/>
              <w:noProof/>
              <w:lang w:val="en-US"/>
            </w:rPr>
          </w:pPr>
          <w:hyperlink w:history="1" w:anchor="_Toc192845597">
            <w:r w:rsidRPr="00D25CA2">
              <w:rPr>
                <w:rStyle w:val="Hyperlink"/>
                <w:bCs/>
                <w:noProof/>
              </w:rPr>
              <w:t>3.</w:t>
            </w:r>
            <w:r>
              <w:rPr>
                <w:rFonts w:asciiTheme="minorHAnsi" w:hAnsiTheme="minorHAnsi" w:eastAsiaTheme="minorEastAsia" w:cstheme="minorBidi"/>
                <w:noProof/>
                <w:lang w:val="en-US"/>
              </w:rPr>
              <w:tab/>
            </w:r>
            <w:r w:rsidRPr="00D25CA2">
              <w:rPr>
                <w:rStyle w:val="Hyperlink"/>
                <w:b/>
                <w:noProof/>
              </w:rPr>
              <w:t>VERKEHR, ENERGIE, INFRASTRUKTUREN, INFORMATIONSGESELLSCHAFT</w:t>
            </w:r>
            <w:r>
              <w:rPr>
                <w:noProof/>
                <w:webHidden/>
              </w:rPr>
              <w:tab/>
            </w:r>
            <w:r>
              <w:rPr>
                <w:noProof/>
                <w:webHidden/>
              </w:rPr>
              <w:fldChar w:fldCharType="begin"/>
            </w:r>
            <w:r>
              <w:rPr>
                <w:noProof/>
                <w:webHidden/>
              </w:rPr>
              <w:instrText xml:space="preserve"> PAGEREF _Toc192845597 \h </w:instrText>
            </w:r>
            <w:r>
              <w:rPr>
                <w:noProof/>
                <w:webHidden/>
              </w:rPr>
            </w:r>
            <w:r>
              <w:rPr>
                <w:noProof/>
                <w:webHidden/>
              </w:rPr>
              <w:fldChar w:fldCharType="separate"/>
            </w:r>
            <w:r>
              <w:rPr>
                <w:noProof/>
                <w:webHidden/>
              </w:rPr>
              <w:t>17</w:t>
            </w:r>
            <w:r>
              <w:rPr>
                <w:noProof/>
                <w:webHidden/>
              </w:rPr>
              <w:fldChar w:fldCharType="end"/>
            </w:r>
          </w:hyperlink>
        </w:p>
        <w:p w:rsidR="00740BE9" w:rsidRDefault="00740BE9" w14:paraId="690DB5A6" w14:textId="0D47E6A7">
          <w:pPr>
            <w:pStyle w:val="TOC1"/>
            <w:tabs>
              <w:tab w:val="left" w:pos="440"/>
              <w:tab w:val="right" w:leader="dot" w:pos="9061"/>
            </w:tabs>
            <w:rPr>
              <w:rFonts w:asciiTheme="minorHAnsi" w:hAnsiTheme="minorHAnsi" w:eastAsiaTheme="minorEastAsia" w:cstheme="minorBidi"/>
              <w:noProof/>
              <w:lang w:val="en-US"/>
            </w:rPr>
          </w:pPr>
          <w:hyperlink w:history="1" w:anchor="_Toc192845598">
            <w:r w:rsidRPr="00D25CA2">
              <w:rPr>
                <w:rStyle w:val="Hyperlink"/>
                <w:bCs/>
                <w:noProof/>
              </w:rPr>
              <w:t>4.</w:t>
            </w:r>
            <w:r>
              <w:rPr>
                <w:rFonts w:asciiTheme="minorHAnsi" w:hAnsiTheme="minorHAnsi" w:eastAsiaTheme="minorEastAsia" w:cstheme="minorBidi"/>
                <w:noProof/>
                <w:lang w:val="en-US"/>
              </w:rPr>
              <w:tab/>
            </w:r>
            <w:r w:rsidRPr="00D25CA2">
              <w:rPr>
                <w:rStyle w:val="Hyperlink"/>
                <w:b/>
                <w:noProof/>
              </w:rPr>
              <w:t>BINNENMARKT, PRODUKTION, VERBRAUCH</w:t>
            </w:r>
            <w:r>
              <w:rPr>
                <w:noProof/>
                <w:webHidden/>
              </w:rPr>
              <w:tab/>
            </w:r>
            <w:r>
              <w:rPr>
                <w:noProof/>
                <w:webHidden/>
              </w:rPr>
              <w:fldChar w:fldCharType="begin"/>
            </w:r>
            <w:r>
              <w:rPr>
                <w:noProof/>
                <w:webHidden/>
              </w:rPr>
              <w:instrText xml:space="preserve"> PAGEREF _Toc192845598 \h </w:instrText>
            </w:r>
            <w:r>
              <w:rPr>
                <w:noProof/>
                <w:webHidden/>
              </w:rPr>
            </w:r>
            <w:r>
              <w:rPr>
                <w:noProof/>
                <w:webHidden/>
              </w:rPr>
              <w:fldChar w:fldCharType="separate"/>
            </w:r>
            <w:r>
              <w:rPr>
                <w:noProof/>
                <w:webHidden/>
              </w:rPr>
              <w:t>18</w:t>
            </w:r>
            <w:r>
              <w:rPr>
                <w:noProof/>
                <w:webHidden/>
              </w:rPr>
              <w:fldChar w:fldCharType="end"/>
            </w:r>
          </w:hyperlink>
        </w:p>
        <w:p w:rsidR="00740BE9" w:rsidRDefault="00740BE9" w14:paraId="4DFE7DB1" w14:textId="469F0748">
          <w:pPr>
            <w:pStyle w:val="TOC1"/>
            <w:tabs>
              <w:tab w:val="left" w:pos="440"/>
              <w:tab w:val="right" w:leader="dot" w:pos="9061"/>
            </w:tabs>
            <w:rPr>
              <w:rFonts w:asciiTheme="minorHAnsi" w:hAnsiTheme="minorHAnsi" w:eastAsiaTheme="minorEastAsia" w:cstheme="minorBidi"/>
              <w:noProof/>
              <w:lang w:val="en-US"/>
            </w:rPr>
          </w:pPr>
          <w:hyperlink w:history="1" w:anchor="_Toc192845599">
            <w:r w:rsidRPr="00D25CA2">
              <w:rPr>
                <w:rStyle w:val="Hyperlink"/>
                <w:bCs/>
                <w:noProof/>
              </w:rPr>
              <w:t>5.</w:t>
            </w:r>
            <w:r>
              <w:rPr>
                <w:rFonts w:asciiTheme="minorHAnsi" w:hAnsiTheme="minorHAnsi" w:eastAsiaTheme="minorEastAsia" w:cstheme="minorBidi"/>
                <w:noProof/>
                <w:lang w:val="en-US"/>
              </w:rPr>
              <w:tab/>
            </w:r>
            <w:r w:rsidRPr="00D25CA2">
              <w:rPr>
                <w:rStyle w:val="Hyperlink"/>
                <w:b/>
                <w:noProof/>
              </w:rPr>
              <w:t>LANDWIRTSCHAFT, LÄNDLICHE ENTWICKLUNG, UMWELT</w:t>
            </w:r>
            <w:r>
              <w:rPr>
                <w:noProof/>
                <w:webHidden/>
              </w:rPr>
              <w:tab/>
            </w:r>
            <w:r>
              <w:rPr>
                <w:noProof/>
                <w:webHidden/>
              </w:rPr>
              <w:fldChar w:fldCharType="begin"/>
            </w:r>
            <w:r>
              <w:rPr>
                <w:noProof/>
                <w:webHidden/>
              </w:rPr>
              <w:instrText xml:space="preserve"> PAGEREF _Toc192845599 \h </w:instrText>
            </w:r>
            <w:r>
              <w:rPr>
                <w:noProof/>
                <w:webHidden/>
              </w:rPr>
            </w:r>
            <w:r>
              <w:rPr>
                <w:noProof/>
                <w:webHidden/>
              </w:rPr>
              <w:fldChar w:fldCharType="separate"/>
            </w:r>
            <w:r>
              <w:rPr>
                <w:noProof/>
                <w:webHidden/>
              </w:rPr>
              <w:t>25</w:t>
            </w:r>
            <w:r>
              <w:rPr>
                <w:noProof/>
                <w:webHidden/>
              </w:rPr>
              <w:fldChar w:fldCharType="end"/>
            </w:r>
          </w:hyperlink>
        </w:p>
        <w:p w:rsidR="00740BE9" w:rsidRDefault="00740BE9" w14:paraId="3728C7B8" w14:textId="649787ED">
          <w:pPr>
            <w:pStyle w:val="TOC1"/>
            <w:tabs>
              <w:tab w:val="left" w:pos="440"/>
              <w:tab w:val="right" w:leader="dot" w:pos="9061"/>
            </w:tabs>
            <w:rPr>
              <w:rFonts w:asciiTheme="minorHAnsi" w:hAnsiTheme="minorHAnsi" w:eastAsiaTheme="minorEastAsia" w:cstheme="minorBidi"/>
              <w:noProof/>
              <w:lang w:val="en-US"/>
            </w:rPr>
          </w:pPr>
          <w:hyperlink w:history="1" w:anchor="_Toc192845600">
            <w:r w:rsidRPr="00D25CA2">
              <w:rPr>
                <w:rStyle w:val="Hyperlink"/>
                <w:bCs/>
                <w:noProof/>
              </w:rPr>
              <w:t>6.</w:t>
            </w:r>
            <w:r>
              <w:rPr>
                <w:rFonts w:asciiTheme="minorHAnsi" w:hAnsiTheme="minorHAnsi" w:eastAsiaTheme="minorEastAsia" w:cstheme="minorBidi"/>
                <w:noProof/>
                <w:lang w:val="en-US"/>
              </w:rPr>
              <w:tab/>
            </w:r>
            <w:r w:rsidRPr="00D25CA2">
              <w:rPr>
                <w:rStyle w:val="Hyperlink"/>
                <w:b/>
                <w:noProof/>
              </w:rPr>
              <w:t>BERATENDE KOMMISSION FÜR DEN INDUSTRIELLEN WANDEL</w:t>
            </w:r>
            <w:r>
              <w:rPr>
                <w:noProof/>
                <w:webHidden/>
              </w:rPr>
              <w:tab/>
            </w:r>
            <w:r>
              <w:rPr>
                <w:noProof/>
                <w:webHidden/>
              </w:rPr>
              <w:fldChar w:fldCharType="begin"/>
            </w:r>
            <w:r>
              <w:rPr>
                <w:noProof/>
                <w:webHidden/>
              </w:rPr>
              <w:instrText xml:space="preserve"> PAGEREF _Toc192845600 \h </w:instrText>
            </w:r>
            <w:r>
              <w:rPr>
                <w:noProof/>
                <w:webHidden/>
              </w:rPr>
            </w:r>
            <w:r>
              <w:rPr>
                <w:noProof/>
                <w:webHidden/>
              </w:rPr>
              <w:fldChar w:fldCharType="separate"/>
            </w:r>
            <w:r>
              <w:rPr>
                <w:noProof/>
                <w:webHidden/>
              </w:rPr>
              <w:t>27</w:t>
            </w:r>
            <w:r>
              <w:rPr>
                <w:noProof/>
                <w:webHidden/>
              </w:rPr>
              <w:fldChar w:fldCharType="end"/>
            </w:r>
          </w:hyperlink>
        </w:p>
        <w:p w:rsidR="004D7AC0" w:rsidP="00BE1F8F" w:rsidRDefault="004D7AC0" w14:paraId="4982DD6A" w14:textId="32829E35">
          <w:r>
            <w:rPr>
              <w:b/>
            </w:rPr>
            <w:fldChar w:fldCharType="end"/>
          </w:r>
        </w:p>
      </w:sdtContent>
    </w:sdt>
    <w:p w:rsidR="004D7AC0" w:rsidP="00BE1F8F" w:rsidRDefault="004D7AC0" w14:paraId="4982DD6B" w14:textId="77777777"/>
    <w:p w:rsidR="004D7AC0" w:rsidP="00BE1F8F" w:rsidRDefault="004D7AC0" w14:paraId="4982DD6C" w14:textId="77777777">
      <w:pPr>
        <w:jc w:val="left"/>
      </w:pPr>
      <w:r>
        <w:br w:type="page"/>
      </w:r>
    </w:p>
    <w:p w:rsidR="004D7AC0" w:rsidP="00BE1F8F" w:rsidRDefault="004D7AC0" w14:paraId="4982DD6D" w14:textId="77777777">
      <w:pPr>
        <w:pStyle w:val="Heading1"/>
        <w:rPr>
          <w:b/>
        </w:rPr>
      </w:pPr>
      <w:bookmarkStart w:name="_Toc192845595" w:id="0"/>
      <w:r>
        <w:rPr>
          <w:b/>
        </w:rPr>
        <w:lastRenderedPageBreak/>
        <w:t>WIRTSCHAFTS- UND WÄHRUNGSUNION, WIRTSCHAFTLICHER UND SOZIALER ZUSAMMENHALT</w:t>
      </w:r>
      <w:bookmarkEnd w:id="0"/>
    </w:p>
    <w:p w:rsidR="004D7AC0" w:rsidP="00BE1F8F" w:rsidRDefault="004D7AC0" w14:paraId="4982DD6E" w14:textId="77777777"/>
    <w:p w:rsidRPr="00BE1F8F" w:rsidR="00BE1F8F" w:rsidP="00BE1F8F" w:rsidRDefault="006A4D48" w14:paraId="1ECDFE60" w14:textId="77777777">
      <w:pPr>
        <w:widowControl w:val="0"/>
        <w:numPr>
          <w:ilvl w:val="0"/>
          <w:numId w:val="20"/>
        </w:numPr>
        <w:ind w:left="567" w:hanging="567"/>
        <w:jc w:val="left"/>
        <w:rPr>
          <w:bCs/>
          <w:iCs/>
        </w:rPr>
      </w:pPr>
      <w:hyperlink w:history="1" r:id="rId21">
        <w:r w:rsidR="008A2164">
          <w:rPr>
            <w:b/>
            <w:i/>
            <w:color w:val="0000FF"/>
            <w:sz w:val="28"/>
            <w:u w:val="single"/>
          </w:rPr>
          <w:t>Europäisches Semester 2025 – Herbstpaket</w:t>
        </w:r>
      </w:hyperlink>
    </w:p>
    <w:p w:rsidRPr="00795836" w:rsidR="009B199C" w:rsidP="00BE1F8F" w:rsidRDefault="009B199C" w14:paraId="475281DB" w14:textId="0688FCBB">
      <w:pPr>
        <w:widowControl w:val="0"/>
        <w:ind w:left="567"/>
        <w:jc w:val="left"/>
        <w:rPr>
          <w:bCs/>
          <w:iCs/>
        </w:rPr>
      </w:pPr>
    </w:p>
    <w:tbl>
      <w:tblPr>
        <w:tblW w:w="5000" w:type="pct"/>
        <w:tblLook w:val="04A0" w:firstRow="1" w:lastRow="0" w:firstColumn="1" w:lastColumn="0" w:noHBand="0" w:noVBand="1"/>
      </w:tblPr>
      <w:tblGrid>
        <w:gridCol w:w="2110"/>
        <w:gridCol w:w="7177"/>
      </w:tblGrid>
      <w:tr w:rsidRPr="005C4571" w:rsidR="009B199C" w:rsidTr="00BE1F8F" w14:paraId="7E2330F9" w14:textId="77777777">
        <w:trPr>
          <w:trHeight w:val="269"/>
        </w:trPr>
        <w:tc>
          <w:tcPr>
            <w:tcW w:w="898" w:type="pct"/>
          </w:tcPr>
          <w:p w:rsidRPr="005C4571" w:rsidR="009B199C" w:rsidP="00BE1F8F" w:rsidRDefault="009B199C" w14:paraId="11357475" w14:textId="5FA4627E">
            <w:pPr>
              <w:tabs>
                <w:tab w:val="center" w:pos="284"/>
              </w:tabs>
              <w:ind w:left="266" w:hanging="266"/>
              <w:rPr>
                <w:b/>
              </w:rPr>
            </w:pPr>
            <w:r>
              <w:rPr>
                <w:b/>
              </w:rPr>
              <w:t>Berichterstatter</w:t>
            </w:r>
          </w:p>
        </w:tc>
        <w:tc>
          <w:tcPr>
            <w:tcW w:w="4102" w:type="pct"/>
          </w:tcPr>
          <w:p w:rsidRPr="00BE1F8F" w:rsidR="009B199C" w:rsidP="00BE1F8F" w:rsidRDefault="009B199C" w14:paraId="7707B7CD" w14:textId="40636FC3">
            <w:pPr>
              <w:tabs>
                <w:tab w:val="center" w:pos="284"/>
              </w:tabs>
              <w:ind w:left="266" w:hanging="266"/>
              <w:rPr>
                <w:bCs/>
              </w:rPr>
            </w:pPr>
            <w:r>
              <w:t>Petru Sorin DANDEA (Gruppe Arbeitnehmer – RO)</w:t>
            </w:r>
          </w:p>
        </w:tc>
      </w:tr>
      <w:tr w:rsidRPr="005C4571" w:rsidR="009B199C" w:rsidTr="00BE1F8F" w14:paraId="78616870" w14:textId="77777777">
        <w:trPr>
          <w:trHeight w:val="484"/>
        </w:trPr>
        <w:tc>
          <w:tcPr>
            <w:tcW w:w="898" w:type="pct"/>
          </w:tcPr>
          <w:p w:rsidRPr="005C4571" w:rsidR="009B199C" w:rsidP="00BE1F8F" w:rsidRDefault="009B199C" w14:paraId="271ACA41" w14:textId="77777777">
            <w:pPr>
              <w:tabs>
                <w:tab w:val="center" w:pos="284"/>
              </w:tabs>
              <w:ind w:left="266" w:hanging="266"/>
              <w:rPr>
                <w:b/>
              </w:rPr>
            </w:pPr>
            <w:r>
              <w:rPr>
                <w:b/>
              </w:rPr>
              <w:t>Referenzdokumente</w:t>
            </w:r>
          </w:p>
        </w:tc>
        <w:tc>
          <w:tcPr>
            <w:tcW w:w="4102" w:type="pct"/>
          </w:tcPr>
          <w:p w:rsidR="00FA7642" w:rsidP="00BE1F8F" w:rsidRDefault="009B199C" w14:paraId="3B2FCABD" w14:textId="77777777">
            <w:pPr>
              <w:tabs>
                <w:tab w:val="center" w:pos="284"/>
              </w:tabs>
              <w:ind w:left="266" w:hanging="266"/>
            </w:pPr>
            <w:r>
              <w:t>COM(2024) 700 final</w:t>
            </w:r>
          </w:p>
          <w:p w:rsidRPr="005C4571" w:rsidR="009B199C" w:rsidP="00BE1F8F" w:rsidRDefault="009B199C" w14:paraId="49CDD496" w14:textId="3FA98205">
            <w:pPr>
              <w:tabs>
                <w:tab w:val="center" w:pos="284"/>
              </w:tabs>
              <w:ind w:left="266" w:hanging="266"/>
            </w:pPr>
            <w:r>
              <w:t>EESC-2024-04138-00-00-AC</w:t>
            </w:r>
          </w:p>
        </w:tc>
      </w:tr>
    </w:tbl>
    <w:p w:rsidR="00BE1F8F" w:rsidP="00BE1F8F" w:rsidRDefault="00BE1F8F" w14:paraId="012909FD" w14:textId="77777777">
      <w:pPr>
        <w:keepNext/>
        <w:keepLines/>
        <w:tabs>
          <w:tab w:val="center" w:pos="284"/>
        </w:tabs>
        <w:ind w:left="266" w:hanging="266"/>
        <w:rPr>
          <w:b/>
        </w:rPr>
      </w:pPr>
    </w:p>
    <w:p w:rsidRPr="005C4571" w:rsidR="009B199C" w:rsidP="00BE1F8F" w:rsidRDefault="009B199C" w14:paraId="4BF08ABF" w14:textId="41C36C93">
      <w:pPr>
        <w:keepNext/>
        <w:keepLines/>
        <w:tabs>
          <w:tab w:val="center" w:pos="284"/>
        </w:tabs>
        <w:ind w:left="266" w:hanging="266"/>
        <w:rPr>
          <w:b/>
        </w:rPr>
      </w:pPr>
      <w:r>
        <w:rPr>
          <w:b/>
        </w:rPr>
        <w:t>Kernaussagen</w:t>
      </w:r>
    </w:p>
    <w:p w:rsidRPr="005C4571" w:rsidR="009B199C" w:rsidP="00BE1F8F" w:rsidRDefault="009B199C" w14:paraId="6607972D" w14:textId="77777777">
      <w:pPr>
        <w:keepNext/>
        <w:keepLines/>
        <w:tabs>
          <w:tab w:val="center" w:pos="284"/>
        </w:tabs>
        <w:ind w:left="266" w:hanging="266"/>
        <w:rPr>
          <w:b/>
        </w:rPr>
      </w:pPr>
    </w:p>
    <w:p w:rsidR="009B199C" w:rsidP="00BE1F8F" w:rsidRDefault="009B199C" w14:paraId="4C3F98BA" w14:textId="77777777">
      <w:pPr>
        <w:rPr>
          <w:bCs/>
          <w:iCs/>
        </w:rPr>
      </w:pPr>
      <w:r>
        <w:t>Der EWSA</w:t>
      </w:r>
    </w:p>
    <w:p w:rsidRPr="005C4571" w:rsidR="009B199C" w:rsidP="00BE1F8F" w:rsidRDefault="009B199C" w14:paraId="3ED2E951" w14:textId="77777777">
      <w:pPr>
        <w:numPr>
          <w:ilvl w:val="0"/>
          <w:numId w:val="19"/>
        </w:numPr>
        <w:ind w:left="284" w:hanging="284"/>
        <w:contextualSpacing/>
      </w:pPr>
      <w:r>
        <w:t>bedauert es zutiefst und findet es unbegreiflich, dass die Europäische Kommission angesichts der globalen politischen, sozialen und wirtschaftlichen Turbulenzen beschlossen hat, den Jahresbericht zum nachhaltigen Wachstum nicht zu veröffentlichen;</w:t>
      </w:r>
    </w:p>
    <w:p w:rsidRPr="005C4571" w:rsidR="009B199C" w:rsidP="00BE1F8F" w:rsidRDefault="009B199C" w14:paraId="3C4DA8C9" w14:textId="77777777">
      <w:pPr>
        <w:numPr>
          <w:ilvl w:val="0"/>
          <w:numId w:val="19"/>
        </w:numPr>
        <w:ind w:left="284" w:hanging="284"/>
        <w:contextualSpacing/>
      </w:pPr>
      <w:r>
        <w:t>ist der Ansicht, dass die erheblichen und zunehmenden geopolitischen Risiken und die Schwächung multilateraler Institutionen letztendlich schwerwiegende Auswirkungen auf die Volkswirtschaften, den Handel, die Inflation und das Wachstum in Europa haben könnten;</w:t>
      </w:r>
    </w:p>
    <w:p w:rsidRPr="005C4571" w:rsidR="009B199C" w:rsidP="00BE1F8F" w:rsidRDefault="009B199C" w14:paraId="0A50F121" w14:textId="77777777">
      <w:pPr>
        <w:numPr>
          <w:ilvl w:val="0"/>
          <w:numId w:val="19"/>
        </w:numPr>
        <w:ind w:left="284" w:hanging="284"/>
        <w:contextualSpacing/>
      </w:pPr>
      <w:r>
        <w:t>begrüßt die Bemühungen der Kommission, den Umsetzungszyklus des neuen Rahmens für die wirtschaftspolitische Steuerung einzuleiten, und fordert die Kommission auf, diesen Prozess so bald wie möglich abzuschließen;</w:t>
      </w:r>
    </w:p>
    <w:p w:rsidRPr="005C4571" w:rsidR="009B199C" w:rsidP="00BE1F8F" w:rsidRDefault="009B199C" w14:paraId="5E3F24C0" w14:textId="77777777">
      <w:pPr>
        <w:numPr>
          <w:ilvl w:val="0"/>
          <w:numId w:val="19"/>
        </w:numPr>
        <w:ind w:left="284" w:hanging="284"/>
        <w:contextualSpacing/>
      </w:pPr>
      <w:r>
        <w:t>verweist auf den Standpunkt der Zivilgesellschaft, dass im Herbstpaket zwar hervorgehoben wird, wie wichtig die Einbeziehung der Interessenträger ist, dass es jedoch an konkreten Mechanismen zur angemessenen und wirksamen Einbeziehung der Sozialpartner und der Organisationen der Zivilgesellschaft auf nationaler Ebene fehlt;</w:t>
      </w:r>
    </w:p>
    <w:p w:rsidRPr="005C4571" w:rsidR="009B199C" w:rsidP="00BE1F8F" w:rsidRDefault="009B199C" w14:paraId="3771C892" w14:textId="77777777">
      <w:pPr>
        <w:numPr>
          <w:ilvl w:val="0"/>
          <w:numId w:val="19"/>
        </w:numPr>
        <w:ind w:left="284" w:hanging="284"/>
        <w:contextualSpacing/>
      </w:pPr>
      <w:r>
        <w:t>befürwortet die Absicht der Kommission, bereits zu Jahresbeginn den Kompass für die Wettbewerbsfähigkeit zu veröffentlichen;</w:t>
      </w:r>
    </w:p>
    <w:p w:rsidRPr="005C4571" w:rsidR="009B199C" w:rsidP="00BE1F8F" w:rsidRDefault="009B199C" w14:paraId="23285551" w14:textId="77777777">
      <w:pPr>
        <w:numPr>
          <w:ilvl w:val="0"/>
          <w:numId w:val="19"/>
        </w:numPr>
        <w:ind w:left="284" w:hanging="284"/>
        <w:contextualSpacing/>
      </w:pPr>
      <w:r>
        <w:t>stimmt mit der Schlussfolgerung des Draghi-Berichts überein, dass der Hauptgrund für das schlechte Abschneiden der EU-Wirtschaft in puncto Produktivität und Wettbewerbsfähigkeit im Vergleich zu den USA und China das hohe Investitionsdefizit ist, das sich in den letzten zwei Jahrzehnten angehäuft hat;</w:t>
      </w:r>
    </w:p>
    <w:p w:rsidRPr="005C4571" w:rsidR="009B199C" w:rsidP="00BE1F8F" w:rsidRDefault="009B199C" w14:paraId="5D5DDAD1" w14:textId="77777777">
      <w:pPr>
        <w:numPr>
          <w:ilvl w:val="0"/>
          <w:numId w:val="19"/>
        </w:numPr>
        <w:ind w:left="284" w:hanging="284"/>
        <w:contextualSpacing/>
      </w:pPr>
      <w:r>
        <w:t>ist der Ansicht, dass die Investitionen aus öffentlichen und privaten, nationalen und europäischen Mitteln finanziert werden müssen;</w:t>
      </w:r>
    </w:p>
    <w:p w:rsidRPr="005C4571" w:rsidR="009B199C" w:rsidP="00BE1F8F" w:rsidRDefault="009B199C" w14:paraId="74A06E52" w14:textId="77777777">
      <w:pPr>
        <w:numPr>
          <w:ilvl w:val="0"/>
          <w:numId w:val="19"/>
        </w:numPr>
        <w:ind w:left="284" w:hanging="284"/>
        <w:contextualSpacing/>
      </w:pPr>
      <w:r>
        <w:t xml:space="preserve">nimmt den Vorschlag der Kommission zur Kenntnis, die länderspezifischen Empfehlungen auf eine bessere Umsetzung der Reformen und Investitionen im Rahmen der Aufbau- und </w:t>
      </w:r>
      <w:proofErr w:type="spellStart"/>
      <w:r>
        <w:t>Resilienzfazilität</w:t>
      </w:r>
      <w:proofErr w:type="spellEnd"/>
      <w:r>
        <w:t xml:space="preserve"> und des MFR auszurichten, da beide in Kürze (2026 bzw. 2027) auslaufen werden;</w:t>
      </w:r>
    </w:p>
    <w:p w:rsidRPr="005C4571" w:rsidR="009B199C" w:rsidP="00BE1F8F" w:rsidRDefault="009B199C" w14:paraId="49B53D4B" w14:textId="77777777">
      <w:pPr>
        <w:numPr>
          <w:ilvl w:val="0"/>
          <w:numId w:val="19"/>
        </w:numPr>
        <w:ind w:left="284" w:hanging="284"/>
        <w:contextualSpacing/>
      </w:pPr>
      <w:r>
        <w:t>hält angesichts der schwierigen politischen und wirtschaftlichen Lage, in der sich die EU befindet, eine bessere Zusammenarbeit zwischen den Mitgliedstaaten für die Überwindung dieser Hindernisse entscheidend;</w:t>
      </w:r>
    </w:p>
    <w:p w:rsidRPr="005C4571" w:rsidR="009B199C" w:rsidP="00BE1F8F" w:rsidRDefault="009B199C" w14:paraId="48FD49AD" w14:textId="77777777">
      <w:pPr>
        <w:numPr>
          <w:ilvl w:val="0"/>
          <w:numId w:val="19"/>
        </w:numPr>
        <w:ind w:left="284" w:hanging="284"/>
        <w:contextualSpacing/>
      </w:pPr>
      <w:r>
        <w:t>ist der Auffassung, dass die im Gemeinsamen Beschäftigungsbericht enthaltenen Analysen und Erkenntnisse der Kommission zutreffen und sorgfältig in länderspezifische Empfehlungen umgesetzt werden sollten;</w:t>
      </w:r>
    </w:p>
    <w:p w:rsidRPr="005C4571" w:rsidR="009B199C" w:rsidP="00BE1F8F" w:rsidRDefault="009B199C" w14:paraId="38004D1C" w14:textId="77777777">
      <w:pPr>
        <w:numPr>
          <w:ilvl w:val="0"/>
          <w:numId w:val="19"/>
        </w:numPr>
        <w:ind w:left="284" w:hanging="284"/>
        <w:contextualSpacing/>
      </w:pPr>
      <w:r>
        <w:t xml:space="preserve">fordert die Kommission auf, das Programm zum Abbau der durch übermäßige Regulierung verursachten Belastungen für europäische Unternehmen fortzusetzen, denn diese Belastungen untergraben ihre globale Wettbewerbsfähigkeit; </w:t>
      </w:r>
    </w:p>
    <w:p w:rsidRPr="005C4571" w:rsidR="009B199C" w:rsidP="00BE1F8F" w:rsidRDefault="009B199C" w14:paraId="7E9B0E26" w14:textId="77777777">
      <w:pPr>
        <w:widowControl w:val="0"/>
        <w:numPr>
          <w:ilvl w:val="0"/>
          <w:numId w:val="19"/>
        </w:numPr>
        <w:ind w:left="284" w:hanging="284"/>
        <w:rPr>
          <w:bCs/>
          <w:iCs/>
        </w:rPr>
      </w:pPr>
      <w:r>
        <w:lastRenderedPageBreak/>
        <w:t>ist der Ansicht, dass die Investitions- und Reformvorschläge in den länderspezifischen Empfehlungen vorrangig auf die Bewältigung des gravierenden Wohnungsproblems ausgerichtet sein sollten.</w:t>
      </w:r>
    </w:p>
    <w:p w:rsidRPr="005C4571" w:rsidR="009B199C" w:rsidP="00BE1F8F" w:rsidRDefault="009B199C" w14:paraId="1D7AC5FD" w14:textId="77777777">
      <w:pPr>
        <w:widowControl w:val="0"/>
        <w:ind w:left="709"/>
      </w:pPr>
    </w:p>
    <w:tbl>
      <w:tblPr>
        <w:tblW w:w="4942" w:type="pct"/>
        <w:tblLook w:val="04A0" w:firstRow="1" w:lastRow="0" w:firstColumn="1" w:lastColumn="0" w:noHBand="0" w:noVBand="1"/>
      </w:tblPr>
      <w:tblGrid>
        <w:gridCol w:w="1729"/>
        <w:gridCol w:w="7450"/>
      </w:tblGrid>
      <w:tr w:rsidRPr="005C4571" w:rsidR="009B199C" w:rsidTr="00A3780E" w14:paraId="6E6E3E29" w14:textId="77777777">
        <w:tc>
          <w:tcPr>
            <w:tcW w:w="942" w:type="pct"/>
          </w:tcPr>
          <w:p w:rsidRPr="005C4571" w:rsidR="009B199C" w:rsidP="00BE1F8F" w:rsidRDefault="009B199C" w14:paraId="0A0A29E5" w14:textId="77777777">
            <w:pPr>
              <w:rPr>
                <w:b/>
                <w:i/>
              </w:rPr>
            </w:pPr>
            <w:r>
              <w:rPr>
                <w:b/>
                <w:i/>
              </w:rPr>
              <w:t>Kontakt</w:t>
            </w:r>
          </w:p>
        </w:tc>
        <w:tc>
          <w:tcPr>
            <w:tcW w:w="4058" w:type="pct"/>
          </w:tcPr>
          <w:p w:rsidRPr="005C4571" w:rsidR="009B199C" w:rsidP="00BE1F8F" w:rsidRDefault="009B199C" w14:paraId="42F5E565" w14:textId="370BC39C">
            <w:pPr>
              <w:rPr>
                <w:b/>
                <w:i/>
              </w:rPr>
            </w:pPr>
            <w:r>
              <w:rPr>
                <w:i/>
              </w:rPr>
              <w:t xml:space="preserve">Anna </w:t>
            </w:r>
            <w:proofErr w:type="spellStart"/>
            <w:r>
              <w:rPr>
                <w:i/>
              </w:rPr>
              <w:t>Pantazi</w:t>
            </w:r>
            <w:proofErr w:type="spellEnd"/>
          </w:p>
        </w:tc>
      </w:tr>
      <w:tr w:rsidRPr="005C4571" w:rsidR="009B199C" w:rsidTr="00A3780E" w14:paraId="552BEC45" w14:textId="77777777">
        <w:tc>
          <w:tcPr>
            <w:tcW w:w="942" w:type="pct"/>
          </w:tcPr>
          <w:p w:rsidRPr="005C4571" w:rsidR="009B199C" w:rsidP="00BE1F8F" w:rsidRDefault="009B199C" w14:paraId="1653AF5F" w14:textId="77777777">
            <w:pPr>
              <w:rPr>
                <w:i/>
              </w:rPr>
            </w:pPr>
            <w:r>
              <w:rPr>
                <w:i/>
              </w:rPr>
              <w:t>Tel.</w:t>
            </w:r>
          </w:p>
        </w:tc>
        <w:tc>
          <w:tcPr>
            <w:tcW w:w="4058" w:type="pct"/>
          </w:tcPr>
          <w:p w:rsidRPr="005C4571" w:rsidR="009B199C" w:rsidP="00BE1F8F" w:rsidRDefault="009B199C" w14:paraId="237B8862" w14:textId="77777777">
            <w:pPr>
              <w:rPr>
                <w:i/>
              </w:rPr>
            </w:pPr>
            <w:r>
              <w:rPr>
                <w:i/>
              </w:rPr>
              <w:t>+32 25469231</w:t>
            </w:r>
          </w:p>
        </w:tc>
      </w:tr>
      <w:tr w:rsidRPr="005C4571" w:rsidR="009B199C" w:rsidTr="00A3780E" w14:paraId="3D3A9CD1" w14:textId="77777777">
        <w:tc>
          <w:tcPr>
            <w:tcW w:w="942" w:type="pct"/>
          </w:tcPr>
          <w:p w:rsidRPr="005C4571" w:rsidR="009B199C" w:rsidP="00BE1F8F" w:rsidRDefault="009B199C" w14:paraId="1113F6A6" w14:textId="77777777">
            <w:pPr>
              <w:rPr>
                <w:i/>
              </w:rPr>
            </w:pPr>
            <w:r>
              <w:rPr>
                <w:i/>
              </w:rPr>
              <w:t>E-Mail</w:t>
            </w:r>
          </w:p>
        </w:tc>
        <w:tc>
          <w:tcPr>
            <w:tcW w:w="4058" w:type="pct"/>
          </w:tcPr>
          <w:p w:rsidRPr="005C4571" w:rsidR="009B199C" w:rsidP="00BE1F8F" w:rsidRDefault="006A4D48" w14:paraId="45EA0124" w14:textId="77777777">
            <w:pPr>
              <w:rPr>
                <w:i/>
              </w:rPr>
            </w:pPr>
            <w:hyperlink w:history="1" r:id="rId22">
              <w:r w:rsidR="008A2164">
                <w:rPr>
                  <w:i/>
                  <w:color w:val="0000FF"/>
                  <w:u w:val="single"/>
                </w:rPr>
                <w:t>Anna.Pantazi@eesc.europa.eu</w:t>
              </w:r>
            </w:hyperlink>
          </w:p>
        </w:tc>
      </w:tr>
    </w:tbl>
    <w:p w:rsidR="009B199C" w:rsidP="00BE1F8F" w:rsidRDefault="009B199C" w14:paraId="44976E13" w14:textId="77777777">
      <w:pPr>
        <w:jc w:val="left"/>
      </w:pPr>
      <w:r>
        <w:br w:type="page"/>
      </w:r>
    </w:p>
    <w:p w:rsidRPr="003442FB" w:rsidR="009B199C" w:rsidP="00BE1F8F" w:rsidRDefault="006A4D48" w14:paraId="0066A1A1" w14:textId="4EB1C679">
      <w:pPr>
        <w:numPr>
          <w:ilvl w:val="0"/>
          <w:numId w:val="20"/>
        </w:numPr>
        <w:overflowPunct w:val="0"/>
        <w:autoSpaceDE w:val="0"/>
        <w:autoSpaceDN w:val="0"/>
        <w:adjustRightInd w:val="0"/>
        <w:ind w:left="567" w:hanging="567"/>
        <w:textAlignment w:val="baseline"/>
        <w:rPr>
          <w:sz w:val="28"/>
          <w:szCs w:val="28"/>
        </w:rPr>
      </w:pPr>
      <w:hyperlink w:history="1" r:id="rId23">
        <w:r w:rsidR="008A2164">
          <w:rPr>
            <w:b/>
            <w:i/>
            <w:color w:val="0000FF"/>
            <w:sz w:val="28"/>
            <w:u w:val="single"/>
          </w:rPr>
          <w:t>Zusammenarbeit der Verwaltungsbehörden im Bereich der Besteuerung (DAC9)</w:t>
        </w:r>
      </w:hyperlink>
    </w:p>
    <w:p w:rsidRPr="00EF5B43" w:rsidR="009B199C" w:rsidP="00BE1F8F" w:rsidRDefault="009B199C" w14:paraId="7C533EFA"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110"/>
        <w:gridCol w:w="7067"/>
      </w:tblGrid>
      <w:tr w:rsidRPr="00EF5B43" w:rsidR="009B199C" w:rsidTr="00BE1F8F" w14:paraId="15407EEF" w14:textId="77777777">
        <w:tc>
          <w:tcPr>
            <w:tcW w:w="908" w:type="pct"/>
          </w:tcPr>
          <w:p w:rsidRPr="00EF5B43" w:rsidR="009B199C" w:rsidP="00BE1F8F" w:rsidRDefault="009B199C" w14:paraId="20A40472" w14:textId="77777777">
            <w:pPr>
              <w:tabs>
                <w:tab w:val="center" w:pos="284"/>
              </w:tabs>
              <w:overflowPunct w:val="0"/>
              <w:autoSpaceDE w:val="0"/>
              <w:autoSpaceDN w:val="0"/>
              <w:adjustRightInd w:val="0"/>
              <w:ind w:left="266" w:hanging="266"/>
              <w:textAlignment w:val="baseline"/>
              <w:rPr>
                <w:b/>
              </w:rPr>
            </w:pPr>
            <w:r>
              <w:rPr>
                <w:b/>
              </w:rPr>
              <w:t>Berichterstatter</w:t>
            </w:r>
          </w:p>
        </w:tc>
        <w:tc>
          <w:tcPr>
            <w:tcW w:w="4092" w:type="pct"/>
          </w:tcPr>
          <w:p w:rsidRPr="00EF5B43" w:rsidR="009B199C" w:rsidP="00BE1F8F" w:rsidRDefault="009B199C" w14:paraId="4F4B426F" w14:textId="77777777">
            <w:pPr>
              <w:tabs>
                <w:tab w:val="center" w:pos="284"/>
              </w:tabs>
              <w:overflowPunct w:val="0"/>
              <w:autoSpaceDE w:val="0"/>
              <w:autoSpaceDN w:val="0"/>
              <w:adjustRightInd w:val="0"/>
              <w:ind w:left="266" w:hanging="266"/>
              <w:textAlignment w:val="baseline"/>
            </w:pPr>
            <w:r>
              <w:t>Krister ANDERSSON (Gruppe Arbeitgeber – SE)</w:t>
            </w:r>
          </w:p>
        </w:tc>
      </w:tr>
      <w:tr w:rsidRPr="00EF5B43" w:rsidR="009B199C" w:rsidTr="00BE1F8F" w14:paraId="721BA5E2" w14:textId="77777777">
        <w:tc>
          <w:tcPr>
            <w:tcW w:w="908" w:type="pct"/>
            <w:vMerge w:val="restart"/>
          </w:tcPr>
          <w:p w:rsidRPr="00EF5B43" w:rsidR="009B199C" w:rsidP="00BE1F8F" w:rsidRDefault="009B199C" w14:paraId="7B3F0224" w14:textId="77777777">
            <w:pPr>
              <w:tabs>
                <w:tab w:val="center" w:pos="284"/>
              </w:tabs>
              <w:overflowPunct w:val="0"/>
              <w:autoSpaceDE w:val="0"/>
              <w:autoSpaceDN w:val="0"/>
              <w:adjustRightInd w:val="0"/>
              <w:ind w:left="266" w:hanging="266"/>
              <w:textAlignment w:val="baseline"/>
              <w:rPr>
                <w:b/>
              </w:rPr>
            </w:pPr>
            <w:r>
              <w:rPr>
                <w:b/>
              </w:rPr>
              <w:t>Referenzdokumente</w:t>
            </w:r>
          </w:p>
        </w:tc>
        <w:tc>
          <w:tcPr>
            <w:tcW w:w="4092" w:type="pct"/>
          </w:tcPr>
          <w:p w:rsidRPr="00EF5B43" w:rsidR="009B199C" w:rsidP="00BE1F8F" w:rsidRDefault="009B199C" w14:paraId="3B421B3C" w14:textId="5FD96ECD">
            <w:pPr>
              <w:tabs>
                <w:tab w:val="center" w:pos="284"/>
              </w:tabs>
              <w:overflowPunct w:val="0"/>
              <w:autoSpaceDE w:val="0"/>
              <w:autoSpaceDN w:val="0"/>
              <w:adjustRightInd w:val="0"/>
              <w:ind w:left="266" w:hanging="266"/>
              <w:textAlignment w:val="baseline"/>
            </w:pPr>
            <w:r>
              <w:t xml:space="preserve">COM(2024) 497 final </w:t>
            </w:r>
          </w:p>
        </w:tc>
      </w:tr>
      <w:tr w:rsidRPr="00EF5B43" w:rsidR="009B199C" w:rsidTr="00BE1F8F" w14:paraId="0644B2C3" w14:textId="77777777">
        <w:tc>
          <w:tcPr>
            <w:tcW w:w="908" w:type="pct"/>
            <w:vMerge/>
          </w:tcPr>
          <w:p w:rsidRPr="00EF5B43" w:rsidR="009B199C" w:rsidP="00BE1F8F" w:rsidRDefault="009B199C" w14:paraId="29B7CE2E" w14:textId="77777777">
            <w:pPr>
              <w:tabs>
                <w:tab w:val="center" w:pos="284"/>
              </w:tabs>
              <w:overflowPunct w:val="0"/>
              <w:autoSpaceDE w:val="0"/>
              <w:autoSpaceDN w:val="0"/>
              <w:adjustRightInd w:val="0"/>
              <w:ind w:left="266" w:hanging="266"/>
              <w:textAlignment w:val="baseline"/>
              <w:rPr>
                <w:b/>
              </w:rPr>
            </w:pPr>
          </w:p>
        </w:tc>
        <w:tc>
          <w:tcPr>
            <w:tcW w:w="4092" w:type="pct"/>
          </w:tcPr>
          <w:p w:rsidRPr="00EF5B43" w:rsidR="009B199C" w:rsidP="00BE1F8F" w:rsidRDefault="009B199C" w14:paraId="0B6D96F4" w14:textId="337C89A9">
            <w:pPr>
              <w:tabs>
                <w:tab w:val="center" w:pos="284"/>
              </w:tabs>
              <w:overflowPunct w:val="0"/>
              <w:autoSpaceDE w:val="0"/>
              <w:autoSpaceDN w:val="0"/>
              <w:adjustRightInd w:val="0"/>
              <w:ind w:left="266" w:hanging="266"/>
              <w:textAlignment w:val="baseline"/>
            </w:pPr>
            <w:r>
              <w:t>EESC-2024-04551-00-00-AC</w:t>
            </w:r>
          </w:p>
        </w:tc>
      </w:tr>
    </w:tbl>
    <w:p w:rsidRPr="00EF5B43" w:rsidR="009B199C" w:rsidP="00BE1F8F" w:rsidRDefault="009B199C" w14:paraId="148A8516" w14:textId="77777777">
      <w:pPr>
        <w:tabs>
          <w:tab w:val="center" w:pos="284"/>
        </w:tabs>
        <w:overflowPunct w:val="0"/>
        <w:autoSpaceDE w:val="0"/>
        <w:autoSpaceDN w:val="0"/>
        <w:adjustRightInd w:val="0"/>
        <w:ind w:left="266" w:hanging="266"/>
        <w:textAlignment w:val="baseline"/>
        <w:rPr>
          <w:lang w:val="en-GB"/>
        </w:rPr>
      </w:pPr>
    </w:p>
    <w:p w:rsidRPr="00EF5B43" w:rsidR="009B199C" w:rsidP="00BE1F8F" w:rsidRDefault="009B199C" w14:paraId="212050D8"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EF5B43" w:rsidR="009B199C" w:rsidP="00BE1F8F" w:rsidRDefault="009B199C" w14:paraId="6FCA3C9E" w14:textId="77777777">
      <w:pPr>
        <w:keepNext/>
        <w:keepLines/>
        <w:tabs>
          <w:tab w:val="center" w:pos="284"/>
        </w:tabs>
        <w:overflowPunct w:val="0"/>
        <w:autoSpaceDE w:val="0"/>
        <w:autoSpaceDN w:val="0"/>
        <w:adjustRightInd w:val="0"/>
        <w:ind w:left="266" w:hanging="266"/>
        <w:textAlignment w:val="baseline"/>
        <w:rPr>
          <w:b/>
          <w:lang w:val="en-GB"/>
        </w:rPr>
      </w:pPr>
    </w:p>
    <w:p w:rsidRPr="00EF5B43" w:rsidR="009B199C" w:rsidP="00BE1F8F" w:rsidRDefault="009B199C" w14:paraId="3C84648C" w14:textId="77777777">
      <w:pPr>
        <w:overflowPunct w:val="0"/>
        <w:autoSpaceDE w:val="0"/>
        <w:autoSpaceDN w:val="0"/>
        <w:adjustRightInd w:val="0"/>
        <w:textAlignment w:val="baseline"/>
        <w:rPr>
          <w:bCs/>
          <w:iCs/>
        </w:rPr>
      </w:pPr>
      <w:r>
        <w:t>Der EWSA</w:t>
      </w:r>
    </w:p>
    <w:p w:rsidRPr="00EF5B43" w:rsidR="009B199C" w:rsidP="00BE1F8F" w:rsidRDefault="009B199C" w14:paraId="58403D40" w14:textId="77777777">
      <w:pPr>
        <w:widowControl w:val="0"/>
        <w:numPr>
          <w:ilvl w:val="0"/>
          <w:numId w:val="18"/>
        </w:numPr>
        <w:overflowPunct w:val="0"/>
        <w:autoSpaceDE w:val="0"/>
        <w:autoSpaceDN w:val="0"/>
        <w:adjustRightInd w:val="0"/>
        <w:ind w:left="284" w:hanging="284"/>
        <w:textAlignment w:val="baseline"/>
        <w:rPr>
          <w:bCs/>
          <w:iCs/>
        </w:rPr>
      </w:pPr>
      <w:r>
        <w:t>begrüßt den Vorschlag für eine Richtlinie des Rates zur Änderung der Richtlinie 2011/16/EU über die Zusammenarbeit der Verwaltungsbehörden im Bereich der Besteuerung (DAC 9);</w:t>
      </w:r>
    </w:p>
    <w:p w:rsidRPr="00EF5B43" w:rsidR="009B199C" w:rsidP="00BE1F8F" w:rsidRDefault="009B199C" w14:paraId="337AB66A" w14:textId="77777777">
      <w:pPr>
        <w:widowControl w:val="0"/>
        <w:numPr>
          <w:ilvl w:val="0"/>
          <w:numId w:val="18"/>
        </w:numPr>
        <w:overflowPunct w:val="0"/>
        <w:autoSpaceDE w:val="0"/>
        <w:autoSpaceDN w:val="0"/>
        <w:adjustRightInd w:val="0"/>
        <w:ind w:left="284" w:hanging="284"/>
        <w:textAlignment w:val="baseline"/>
        <w:rPr>
          <w:bCs/>
          <w:iCs/>
        </w:rPr>
      </w:pPr>
      <w:r>
        <w:t>stellt fest, dass es sich um eine Umsetzung des Inklusiven Rahmens der OECD/G20 handelt, über den bereits eine Einigung erzielt wurde;</w:t>
      </w:r>
    </w:p>
    <w:p w:rsidRPr="00EF5B43" w:rsidR="009B199C" w:rsidP="00BE1F8F" w:rsidRDefault="009B199C" w14:paraId="05B4C525" w14:textId="77777777">
      <w:pPr>
        <w:widowControl w:val="0"/>
        <w:numPr>
          <w:ilvl w:val="0"/>
          <w:numId w:val="18"/>
        </w:numPr>
        <w:overflowPunct w:val="0"/>
        <w:autoSpaceDE w:val="0"/>
        <w:autoSpaceDN w:val="0"/>
        <w:adjustRightInd w:val="0"/>
        <w:ind w:left="284" w:hanging="284"/>
        <w:textAlignment w:val="baseline"/>
        <w:rPr>
          <w:bCs/>
          <w:iCs/>
        </w:rPr>
      </w:pPr>
      <w:r>
        <w:t>weist darauf hin, dass nur durch die Schaffung einheitlicher, für alle Mitgliedstaaten geltender Vorschriften Rechtssicherheit und Klarheit für multinationale Unternehmen und Steuerverwaltungen gewährleistet werden können;</w:t>
      </w:r>
    </w:p>
    <w:p w:rsidRPr="00EF5B43" w:rsidR="009B199C" w:rsidP="00BE1F8F" w:rsidRDefault="009B199C" w14:paraId="02FBDE9B" w14:textId="77777777">
      <w:pPr>
        <w:widowControl w:val="0"/>
        <w:numPr>
          <w:ilvl w:val="0"/>
          <w:numId w:val="18"/>
        </w:numPr>
        <w:overflowPunct w:val="0"/>
        <w:autoSpaceDE w:val="0"/>
        <w:autoSpaceDN w:val="0"/>
        <w:adjustRightInd w:val="0"/>
        <w:ind w:left="284" w:hanging="284"/>
        <w:textAlignment w:val="baseline"/>
        <w:rPr>
          <w:bCs/>
          <w:iCs/>
        </w:rPr>
      </w:pPr>
      <w:r>
        <w:t>hält es für entscheidend, dass die im Rahmen der DAC 9 gesammelten Informationen einzig und allein im Sinne des Kommissionsvorschlags und nicht für andere Zwecke verwendet werden, um auszuschließen, dass Unternehmen in Drittländern auf sensible Informationen zugreifen und dadurch die Wettbewerbsposition der europäischen Unternehmen beeinträchtigen;</w:t>
      </w:r>
    </w:p>
    <w:p w:rsidRPr="00EF5B43" w:rsidR="009B199C" w:rsidP="00BE1F8F" w:rsidRDefault="009B199C" w14:paraId="1397A2B3" w14:textId="77777777">
      <w:pPr>
        <w:widowControl w:val="0"/>
        <w:numPr>
          <w:ilvl w:val="0"/>
          <w:numId w:val="18"/>
        </w:numPr>
        <w:overflowPunct w:val="0"/>
        <w:autoSpaceDE w:val="0"/>
        <w:autoSpaceDN w:val="0"/>
        <w:adjustRightInd w:val="0"/>
        <w:ind w:left="284" w:hanging="284"/>
        <w:textAlignment w:val="baseline"/>
        <w:rPr>
          <w:bCs/>
          <w:iCs/>
        </w:rPr>
      </w:pPr>
      <w:r>
        <w:t>bedauert, dass für diesen Vorschlag weder eine Folgenabschätzung noch ein Check-up der Wettbewerbsfähigkeit durchgeführt wurde. Es wäre interessant gewesen, feststellen zu können, ob der Vorschlag zum allgemeinen Ziel der Kommission beiträgt, den Verwaltungsaufwand um 25 % zu verringern;</w:t>
      </w:r>
    </w:p>
    <w:p w:rsidRPr="00EF5B43" w:rsidR="009B199C" w:rsidP="00BE1F8F" w:rsidRDefault="009B199C" w14:paraId="3B495DF5" w14:textId="77777777">
      <w:pPr>
        <w:widowControl w:val="0"/>
        <w:numPr>
          <w:ilvl w:val="0"/>
          <w:numId w:val="18"/>
        </w:numPr>
        <w:overflowPunct w:val="0"/>
        <w:autoSpaceDE w:val="0"/>
        <w:autoSpaceDN w:val="0"/>
        <w:adjustRightInd w:val="0"/>
        <w:ind w:left="284" w:hanging="284"/>
        <w:textAlignment w:val="baseline"/>
        <w:rPr>
          <w:bCs/>
          <w:iCs/>
        </w:rPr>
      </w:pPr>
      <w:r>
        <w:t xml:space="preserve">hält es für erforderlich, dass die Vorschriften mit den laufenden Arbeiten der OECD voll und ganz im Einklang stehen. </w:t>
      </w:r>
    </w:p>
    <w:p w:rsidRPr="00EF5B43" w:rsidR="009B199C" w:rsidP="00BE1F8F" w:rsidRDefault="009B199C" w14:paraId="7207F72C"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1667"/>
        <w:gridCol w:w="7510"/>
      </w:tblGrid>
      <w:tr w:rsidRPr="00EF5B43" w:rsidR="009B199C" w:rsidTr="00BE1F8F" w14:paraId="51274BC3" w14:textId="77777777">
        <w:tc>
          <w:tcPr>
            <w:tcW w:w="908" w:type="pct"/>
          </w:tcPr>
          <w:p w:rsidRPr="00EF5B43" w:rsidR="009B199C" w:rsidP="00BE1F8F" w:rsidRDefault="009B199C" w14:paraId="36A23BA9" w14:textId="77777777">
            <w:pPr>
              <w:overflowPunct w:val="0"/>
              <w:autoSpaceDE w:val="0"/>
              <w:autoSpaceDN w:val="0"/>
              <w:adjustRightInd w:val="0"/>
              <w:textAlignment w:val="baseline"/>
              <w:rPr>
                <w:i/>
              </w:rPr>
            </w:pPr>
            <w:r>
              <w:rPr>
                <w:b/>
                <w:i/>
              </w:rPr>
              <w:t>Kontakt</w:t>
            </w:r>
          </w:p>
        </w:tc>
        <w:tc>
          <w:tcPr>
            <w:tcW w:w="4092" w:type="pct"/>
          </w:tcPr>
          <w:p w:rsidRPr="00EF5B43" w:rsidR="009B199C" w:rsidP="00BE1F8F" w:rsidRDefault="009B199C" w14:paraId="08D792CC" w14:textId="77777777">
            <w:pPr>
              <w:overflowPunct w:val="0"/>
              <w:autoSpaceDE w:val="0"/>
              <w:autoSpaceDN w:val="0"/>
              <w:adjustRightInd w:val="0"/>
              <w:textAlignment w:val="baseline"/>
              <w:rPr>
                <w:i/>
              </w:rPr>
            </w:pPr>
            <w:proofErr w:type="spellStart"/>
            <w:r>
              <w:rPr>
                <w:i/>
              </w:rPr>
              <w:t>Jüri</w:t>
            </w:r>
            <w:proofErr w:type="spellEnd"/>
            <w:r>
              <w:rPr>
                <w:i/>
              </w:rPr>
              <w:t xml:space="preserve"> </w:t>
            </w:r>
            <w:proofErr w:type="spellStart"/>
            <w:r>
              <w:rPr>
                <w:i/>
              </w:rPr>
              <w:t>Soosaar</w:t>
            </w:r>
            <w:proofErr w:type="spellEnd"/>
          </w:p>
        </w:tc>
      </w:tr>
      <w:tr w:rsidRPr="00EF5B43" w:rsidR="009B199C" w:rsidTr="00BE1F8F" w14:paraId="1A8CFF57" w14:textId="77777777">
        <w:tc>
          <w:tcPr>
            <w:tcW w:w="908" w:type="pct"/>
          </w:tcPr>
          <w:p w:rsidRPr="00EF5B43" w:rsidR="009B199C" w:rsidP="00BE1F8F" w:rsidRDefault="009B199C" w14:paraId="6B9265C2" w14:textId="77777777">
            <w:pPr>
              <w:overflowPunct w:val="0"/>
              <w:autoSpaceDE w:val="0"/>
              <w:autoSpaceDN w:val="0"/>
              <w:adjustRightInd w:val="0"/>
              <w:textAlignment w:val="baseline"/>
              <w:rPr>
                <w:i/>
              </w:rPr>
            </w:pPr>
            <w:r>
              <w:rPr>
                <w:i/>
              </w:rPr>
              <w:t>Tel.</w:t>
            </w:r>
          </w:p>
        </w:tc>
        <w:tc>
          <w:tcPr>
            <w:tcW w:w="4092" w:type="pct"/>
          </w:tcPr>
          <w:p w:rsidRPr="00EF5B43" w:rsidR="009B199C" w:rsidP="00BE1F8F" w:rsidRDefault="009B199C" w14:paraId="6A56AF39" w14:textId="77777777">
            <w:pPr>
              <w:overflowPunct w:val="0"/>
              <w:autoSpaceDE w:val="0"/>
              <w:autoSpaceDN w:val="0"/>
              <w:adjustRightInd w:val="0"/>
              <w:textAlignment w:val="baseline"/>
              <w:rPr>
                <w:i/>
              </w:rPr>
            </w:pPr>
            <w:r>
              <w:rPr>
                <w:i/>
              </w:rPr>
              <w:t>+32 2</w:t>
            </w:r>
            <w:r>
              <w:t xml:space="preserve"> </w:t>
            </w:r>
            <w:r>
              <w:rPr>
                <w:i/>
              </w:rPr>
              <w:t>5469628</w:t>
            </w:r>
          </w:p>
        </w:tc>
      </w:tr>
      <w:tr w:rsidRPr="00EF5B43" w:rsidR="009B199C" w:rsidTr="00BE1F8F" w14:paraId="6BB8066B" w14:textId="77777777">
        <w:tc>
          <w:tcPr>
            <w:tcW w:w="908" w:type="pct"/>
          </w:tcPr>
          <w:p w:rsidRPr="00EF5B43" w:rsidR="009B199C" w:rsidP="00BE1F8F" w:rsidRDefault="007A0964" w14:paraId="2E2C7A15" w14:textId="4BB9F468">
            <w:pPr>
              <w:overflowPunct w:val="0"/>
              <w:autoSpaceDE w:val="0"/>
              <w:autoSpaceDN w:val="0"/>
              <w:adjustRightInd w:val="0"/>
              <w:textAlignment w:val="baseline"/>
              <w:rPr>
                <w:i/>
              </w:rPr>
            </w:pPr>
            <w:r>
              <w:rPr>
                <w:i/>
              </w:rPr>
              <w:t>E-Mail</w:t>
            </w:r>
          </w:p>
        </w:tc>
        <w:tc>
          <w:tcPr>
            <w:tcW w:w="4092" w:type="pct"/>
          </w:tcPr>
          <w:p w:rsidRPr="00EF5B43" w:rsidR="009B199C" w:rsidP="00BE1F8F" w:rsidRDefault="006A4D48" w14:paraId="7B544A6C" w14:textId="195BC3BF">
            <w:pPr>
              <w:overflowPunct w:val="0"/>
              <w:autoSpaceDE w:val="0"/>
              <w:autoSpaceDN w:val="0"/>
              <w:adjustRightInd w:val="0"/>
              <w:textAlignment w:val="baseline"/>
              <w:rPr>
                <w:i/>
              </w:rPr>
            </w:pPr>
            <w:hyperlink w:history="1" r:id="rId24">
              <w:r w:rsidR="008A2164">
                <w:rPr>
                  <w:i/>
                  <w:color w:val="0000FF"/>
                  <w:u w:val="single"/>
                </w:rPr>
                <w:t>Juri.Soosaar@eesc.europa.eu</w:t>
              </w:r>
            </w:hyperlink>
          </w:p>
        </w:tc>
      </w:tr>
    </w:tbl>
    <w:p w:rsidR="009B199C" w:rsidP="00BE1F8F" w:rsidRDefault="009B199C" w14:paraId="0DDB3A60" w14:textId="77777777">
      <w:pPr>
        <w:jc w:val="left"/>
      </w:pPr>
    </w:p>
    <w:p w:rsidR="009B199C" w:rsidP="00BE1F8F" w:rsidRDefault="009B199C" w14:paraId="2E5B1FF6" w14:textId="77777777">
      <w:pPr>
        <w:jc w:val="left"/>
      </w:pPr>
      <w:r>
        <w:br w:type="page"/>
      </w:r>
    </w:p>
    <w:p w:rsidRPr="008171FA" w:rsidR="00773E8D" w:rsidP="00BE1F8F" w:rsidRDefault="006A4D48" w14:paraId="5A8B385C" w14:textId="56009D42">
      <w:pPr>
        <w:widowControl w:val="0"/>
        <w:numPr>
          <w:ilvl w:val="0"/>
          <w:numId w:val="7"/>
        </w:numPr>
        <w:overflowPunct w:val="0"/>
        <w:autoSpaceDE w:val="0"/>
        <w:autoSpaceDN w:val="0"/>
        <w:adjustRightInd w:val="0"/>
        <w:ind w:left="567" w:hanging="567"/>
        <w:contextualSpacing/>
        <w:jc w:val="left"/>
        <w:textAlignment w:val="baseline"/>
      </w:pPr>
      <w:hyperlink w:history="1" r:id="rId25">
        <w:r w:rsidR="00773E8D">
          <w:rPr>
            <w:b/>
            <w:i/>
            <w:color w:val="0000FF"/>
            <w:sz w:val="28"/>
            <w:u w:val="single"/>
          </w:rPr>
          <w:t>Finanzierung der Verteidigung in der EU</w:t>
        </w:r>
      </w:hyperlink>
    </w:p>
    <w:p w:rsidRPr="00773E8D" w:rsidR="00773E8D" w:rsidP="008171FA" w:rsidRDefault="00773E8D" w14:paraId="3EB22D3F" w14:textId="77777777">
      <w:pPr>
        <w:widowControl w:val="0"/>
        <w:overflowPunct w:val="0"/>
        <w:autoSpaceDE w:val="0"/>
        <w:autoSpaceDN w:val="0"/>
        <w:adjustRightInd w:val="0"/>
        <w:contextualSpacing/>
        <w:jc w:val="left"/>
        <w:textAlignment w:val="baseline"/>
        <w:rPr>
          <w:rFonts w:ascii="Calibri" w:hAnsi="Calibri"/>
          <w:b/>
          <w:lang w:val="en-GB" w:eastAsia="zh-CN"/>
        </w:rPr>
      </w:pPr>
    </w:p>
    <w:tbl>
      <w:tblPr>
        <w:tblW w:w="0" w:type="auto"/>
        <w:tblLook w:val="04A0" w:firstRow="1" w:lastRow="0" w:firstColumn="1" w:lastColumn="0" w:noHBand="0" w:noVBand="1"/>
      </w:tblPr>
      <w:tblGrid>
        <w:gridCol w:w="1905"/>
        <w:gridCol w:w="7088"/>
      </w:tblGrid>
      <w:tr w:rsidRPr="00773E8D" w:rsidR="00773E8D" w:rsidTr="00257E74" w14:paraId="7736047E" w14:textId="77777777">
        <w:tc>
          <w:tcPr>
            <w:tcW w:w="1701" w:type="dxa"/>
          </w:tcPr>
          <w:p w:rsidRPr="00773E8D" w:rsidR="00773E8D" w:rsidP="00BE1F8F" w:rsidRDefault="00773E8D" w14:paraId="29FDFBF0" w14:textId="77777777">
            <w:pPr>
              <w:overflowPunct w:val="0"/>
              <w:autoSpaceDE w:val="0"/>
              <w:autoSpaceDN w:val="0"/>
              <w:adjustRightInd w:val="0"/>
              <w:ind w:left="176" w:hanging="284"/>
              <w:textAlignment w:val="baseline"/>
              <w:rPr>
                <w:b/>
              </w:rPr>
            </w:pPr>
            <w:r>
              <w:rPr>
                <w:b/>
              </w:rPr>
              <w:t>Berichterstatter</w:t>
            </w:r>
          </w:p>
        </w:tc>
        <w:tc>
          <w:tcPr>
            <w:tcW w:w="7088" w:type="dxa"/>
          </w:tcPr>
          <w:p w:rsidRPr="00773E8D" w:rsidR="00773E8D" w:rsidP="00BE1F8F" w:rsidRDefault="00773E8D" w14:paraId="0FB6E9DA" w14:textId="77777777">
            <w:pPr>
              <w:tabs>
                <w:tab w:val="center" w:pos="284"/>
              </w:tabs>
              <w:overflowPunct w:val="0"/>
              <w:autoSpaceDE w:val="0"/>
              <w:autoSpaceDN w:val="0"/>
              <w:adjustRightInd w:val="0"/>
              <w:textAlignment w:val="baseline"/>
            </w:pPr>
            <w:r>
              <w:t>Marcin NOWACKI (Gruppe Arbeitgeber – PL)</w:t>
            </w:r>
          </w:p>
        </w:tc>
      </w:tr>
      <w:tr w:rsidRPr="00773E8D" w:rsidR="00773E8D" w:rsidTr="00257E74" w14:paraId="1DEF454E" w14:textId="77777777">
        <w:tc>
          <w:tcPr>
            <w:tcW w:w="1701" w:type="dxa"/>
          </w:tcPr>
          <w:p w:rsidRPr="00773E8D" w:rsidR="00773E8D" w:rsidP="00BE1F8F" w:rsidRDefault="00773E8D" w14:paraId="18280023" w14:textId="49E04DB4">
            <w:pPr>
              <w:tabs>
                <w:tab w:val="center" w:pos="284"/>
              </w:tabs>
              <w:overflowPunct w:val="0"/>
              <w:autoSpaceDE w:val="0"/>
              <w:autoSpaceDN w:val="0"/>
              <w:adjustRightInd w:val="0"/>
              <w:ind w:left="266" w:hanging="374"/>
              <w:textAlignment w:val="baseline"/>
              <w:rPr>
                <w:b/>
              </w:rPr>
            </w:pPr>
            <w:r>
              <w:rPr>
                <w:b/>
              </w:rPr>
              <w:t>Referenzdokument</w:t>
            </w:r>
          </w:p>
        </w:tc>
        <w:tc>
          <w:tcPr>
            <w:tcW w:w="7088" w:type="dxa"/>
          </w:tcPr>
          <w:p w:rsidRPr="00773E8D" w:rsidR="00773E8D" w:rsidP="00BE1F8F" w:rsidRDefault="00773E8D" w14:paraId="519A0CF0" w14:textId="0E3E4972">
            <w:pPr>
              <w:tabs>
                <w:tab w:val="center" w:pos="284"/>
              </w:tabs>
              <w:overflowPunct w:val="0"/>
              <w:autoSpaceDE w:val="0"/>
              <w:autoSpaceDN w:val="0"/>
              <w:adjustRightInd w:val="0"/>
              <w:textAlignment w:val="baseline"/>
              <w:rPr>
                <w:highlight w:val="yellow"/>
              </w:rPr>
            </w:pPr>
            <w:r>
              <w:t>Sondierungsstellungnahme – EESC-2024-03643-00-01-AC</w:t>
            </w:r>
          </w:p>
        </w:tc>
      </w:tr>
    </w:tbl>
    <w:p w:rsidRPr="00773E8D" w:rsidR="00773E8D" w:rsidP="00BE1F8F" w:rsidRDefault="00773E8D" w14:paraId="7F428D4F" w14:textId="77777777">
      <w:pPr>
        <w:keepNext/>
        <w:keepLines/>
        <w:tabs>
          <w:tab w:val="center" w:pos="284"/>
        </w:tabs>
        <w:overflowPunct w:val="0"/>
        <w:autoSpaceDE w:val="0"/>
        <w:autoSpaceDN w:val="0"/>
        <w:adjustRightInd w:val="0"/>
        <w:ind w:left="266" w:hanging="266"/>
        <w:textAlignment w:val="baseline"/>
        <w:rPr>
          <w:b/>
          <w:lang w:val="en-GB"/>
        </w:rPr>
      </w:pPr>
    </w:p>
    <w:p w:rsidRPr="00773E8D" w:rsidR="00773E8D" w:rsidP="00BE1F8F" w:rsidRDefault="00773E8D" w14:paraId="373416F2"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773E8D" w:rsidR="00773E8D" w:rsidP="00BE1F8F" w:rsidRDefault="00773E8D" w14:paraId="64611682" w14:textId="77777777">
      <w:pPr>
        <w:keepNext/>
        <w:keepLines/>
        <w:tabs>
          <w:tab w:val="center" w:pos="284"/>
        </w:tabs>
        <w:overflowPunct w:val="0"/>
        <w:autoSpaceDE w:val="0"/>
        <w:autoSpaceDN w:val="0"/>
        <w:adjustRightInd w:val="0"/>
        <w:ind w:left="266" w:hanging="266"/>
        <w:textAlignment w:val="baseline"/>
        <w:rPr>
          <w:b/>
          <w:lang w:val="en-GB"/>
        </w:rPr>
      </w:pPr>
    </w:p>
    <w:p w:rsidR="00773E8D" w:rsidP="00BE1F8F" w:rsidRDefault="00773E8D" w14:paraId="7BA955D6" w14:textId="77777777">
      <w:pPr>
        <w:overflowPunct w:val="0"/>
        <w:autoSpaceDE w:val="0"/>
        <w:autoSpaceDN w:val="0"/>
        <w:adjustRightInd w:val="0"/>
        <w:ind w:left="425" w:hanging="425"/>
        <w:textAlignment w:val="baseline"/>
        <w:rPr>
          <w:szCs w:val="20"/>
        </w:rPr>
      </w:pPr>
      <w:r>
        <w:t>Der EWSA</w:t>
      </w:r>
    </w:p>
    <w:p w:rsidRPr="00773E8D" w:rsidR="00773E8D" w:rsidP="008171FA" w:rsidRDefault="00773E8D" w14:paraId="2A4EE010" w14:textId="77777777">
      <w:pPr>
        <w:numPr>
          <w:ilvl w:val="0"/>
          <w:numId w:val="44"/>
        </w:numPr>
        <w:overflowPunct w:val="0"/>
        <w:autoSpaceDE w:val="0"/>
        <w:autoSpaceDN w:val="0"/>
        <w:adjustRightInd w:val="0"/>
        <w:ind w:left="284" w:hanging="284"/>
        <w:contextualSpacing/>
        <w:textAlignment w:val="baseline"/>
      </w:pPr>
      <w:r>
        <w:t>betont, dass für den Umgang mit den Veränderungen in der Sicherheitslandschaft in Europa dringend belastbare und einheitliche Lösungen zur Finanzierung der Verteidigung gefunden werden müssen. Geopolitische Herausforderungen, insbesondere die russische Aggression gegen die Ukraine, erfordern sofortige und strategische Investitionen in Verteidigungsfähigkeiten – sowohl in die militärische als auch in die zivile Bereitschaft, um die Grundwerte, Frieden, Sicherheit und die wirtschaftlichen Interessen der EU zu schützen;</w:t>
      </w:r>
    </w:p>
    <w:p w:rsidRPr="00773E8D" w:rsidR="00773E8D" w:rsidP="008171FA" w:rsidRDefault="00773E8D" w14:paraId="2EF6A041" w14:textId="77777777">
      <w:pPr>
        <w:numPr>
          <w:ilvl w:val="0"/>
          <w:numId w:val="44"/>
        </w:numPr>
        <w:overflowPunct w:val="0"/>
        <w:autoSpaceDE w:val="0"/>
        <w:autoSpaceDN w:val="0"/>
        <w:adjustRightInd w:val="0"/>
        <w:ind w:left="284" w:hanging="284"/>
        <w:contextualSpacing/>
        <w:textAlignment w:val="baseline"/>
      </w:pPr>
      <w:r>
        <w:t>betont, dass die EU ihre verteidigungspolitischen Ziele klar definieren und die europäische Verteidigungssäule stärken muss, deren Ressourcen und operativen Kapazitäten mit der NATO zu koordinieren sind. Die Verteidigungspolitik ist Teil der Außen- und Sicherheitspolitik der EU, mit der der Frieden, die Demokratie und die Menschenrechte auf unserem Kontinent, in den angrenzenden Gebieten und in der ganzen Welt gefördert und die multilateralen Institutionen des UN-Systems verteidigt werden müssen;</w:t>
      </w:r>
    </w:p>
    <w:p w:rsidRPr="00773E8D" w:rsidR="00773E8D" w:rsidP="008171FA" w:rsidRDefault="00773E8D" w14:paraId="466E9A4E" w14:textId="77777777">
      <w:pPr>
        <w:numPr>
          <w:ilvl w:val="0"/>
          <w:numId w:val="44"/>
        </w:numPr>
        <w:overflowPunct w:val="0"/>
        <w:autoSpaceDE w:val="0"/>
        <w:autoSpaceDN w:val="0"/>
        <w:adjustRightInd w:val="0"/>
        <w:ind w:left="284" w:hanging="284"/>
        <w:contextualSpacing/>
        <w:textAlignment w:val="baseline"/>
      </w:pPr>
      <w:r>
        <w:t>hält es für sehr wichtig, nach Wegen zu suchen, wie die Verteidigungsfähigkeiten der EU innerhalb der derzeitigen, durch die Verträge gesetzten Grenzen für die Nutzung von EU-Mitteln für Verteidigungszwecke gestärkt werden können;</w:t>
      </w:r>
    </w:p>
    <w:p w:rsidRPr="00773E8D" w:rsidR="00773E8D" w:rsidP="008171FA" w:rsidRDefault="00773E8D" w14:paraId="1C22811F" w14:textId="77777777">
      <w:pPr>
        <w:numPr>
          <w:ilvl w:val="0"/>
          <w:numId w:val="44"/>
        </w:numPr>
        <w:overflowPunct w:val="0"/>
        <w:autoSpaceDE w:val="0"/>
        <w:autoSpaceDN w:val="0"/>
        <w:adjustRightInd w:val="0"/>
        <w:ind w:left="284" w:hanging="284"/>
        <w:contextualSpacing/>
        <w:textAlignment w:val="baseline"/>
      </w:pPr>
      <w:r>
        <w:t>betont die Bedeutung einer vertieften Zusammenarbeit zwischen der EU und der NATO, um einen einheitlichen Ansatz in der Verteidigungspolitik zu gewährleisten;</w:t>
      </w:r>
    </w:p>
    <w:p w:rsidRPr="00773E8D" w:rsidR="00773E8D" w:rsidP="008171FA" w:rsidRDefault="00773E8D" w14:paraId="72C0537B" w14:textId="77777777">
      <w:pPr>
        <w:numPr>
          <w:ilvl w:val="0"/>
          <w:numId w:val="44"/>
        </w:numPr>
        <w:overflowPunct w:val="0"/>
        <w:autoSpaceDE w:val="0"/>
        <w:autoSpaceDN w:val="0"/>
        <w:adjustRightInd w:val="0"/>
        <w:ind w:left="284" w:hanging="284"/>
        <w:contextualSpacing/>
        <w:textAlignment w:val="baseline"/>
      </w:pPr>
      <w:r>
        <w:t>Die Stärkung der Investitionen in derartige Technologien sollte unverzüglich anlaufen, noch in diesem MFR-Zeitraum;</w:t>
      </w:r>
    </w:p>
    <w:p w:rsidRPr="00773E8D" w:rsidR="00773E8D" w:rsidP="008171FA" w:rsidRDefault="00773E8D" w14:paraId="574F91FD" w14:textId="77777777">
      <w:pPr>
        <w:numPr>
          <w:ilvl w:val="0"/>
          <w:numId w:val="44"/>
        </w:numPr>
        <w:overflowPunct w:val="0"/>
        <w:autoSpaceDE w:val="0"/>
        <w:autoSpaceDN w:val="0"/>
        <w:adjustRightInd w:val="0"/>
        <w:ind w:left="284" w:hanging="284"/>
        <w:contextualSpacing/>
        <w:textAlignment w:val="baseline"/>
      </w:pPr>
      <w:r>
        <w:t>ist der Ansicht, dass die Entwicklung und Produktion moderner Verteidigungssysteme zu den unmittelbaren Finanzierungsprioritäten gehören sollten. Die Stärkung der Investitionen in derartige Technologien sollte unverzüglich anlaufen, noch in diesem MFR-Zeitraum;</w:t>
      </w:r>
    </w:p>
    <w:p w:rsidRPr="00773E8D" w:rsidR="00773E8D" w:rsidP="008171FA" w:rsidRDefault="00773E8D" w14:paraId="22A07DF0" w14:textId="77777777">
      <w:pPr>
        <w:numPr>
          <w:ilvl w:val="0"/>
          <w:numId w:val="44"/>
        </w:numPr>
        <w:overflowPunct w:val="0"/>
        <w:autoSpaceDE w:val="0"/>
        <w:autoSpaceDN w:val="0"/>
        <w:adjustRightInd w:val="0"/>
        <w:ind w:left="284" w:hanging="284"/>
        <w:contextualSpacing/>
        <w:textAlignment w:val="baseline"/>
      </w:pPr>
      <w:r>
        <w:t>unterstreicht, dass die Stärkung der technologischen und industriellen Basis der europäischen Verteidigung (EDTIB) für eine Verringerung der Abhängigkeit von externen Lieferanten und die Förderung von Innovationen in der EU essentiell ist;</w:t>
      </w:r>
    </w:p>
    <w:p w:rsidRPr="00773E8D" w:rsidR="00773E8D" w:rsidP="008171FA" w:rsidRDefault="00773E8D" w14:paraId="020C30AA" w14:textId="77777777">
      <w:pPr>
        <w:numPr>
          <w:ilvl w:val="0"/>
          <w:numId w:val="44"/>
        </w:numPr>
        <w:overflowPunct w:val="0"/>
        <w:autoSpaceDE w:val="0"/>
        <w:autoSpaceDN w:val="0"/>
        <w:adjustRightInd w:val="0"/>
        <w:ind w:left="284" w:hanging="284"/>
        <w:contextualSpacing/>
        <w:textAlignment w:val="baseline"/>
      </w:pPr>
      <w:r>
        <w:t>befürwortet den Ausbau gemeinsamer Beschaffungsmechanismen, u. a. der Europäischen Friedensfazilität (EFF) zur Maximierung der Ressourceneffizienz und zur Stärkung strategischer Partnerschaften. Initiativen wie die Verordnung zur Förderung der Munitionsproduktion (ASAP) und das Instrument zur Stärkung der europäischen Verteidigungsindustrie durch gemeinsame Beschaffung (EDIRPA) sollten ausgeweitet werden, um Produktionsengpässe zu beheben und die Einsatzbereitschaft zu erhöhen;</w:t>
      </w:r>
    </w:p>
    <w:p w:rsidRPr="00BE1F8F" w:rsidR="00773E8D" w:rsidP="008171FA" w:rsidRDefault="00773E8D" w14:paraId="28B3A062" w14:textId="77777777">
      <w:pPr>
        <w:numPr>
          <w:ilvl w:val="0"/>
          <w:numId w:val="44"/>
        </w:numPr>
        <w:overflowPunct w:val="0"/>
        <w:autoSpaceDE w:val="0"/>
        <w:autoSpaceDN w:val="0"/>
        <w:adjustRightInd w:val="0"/>
        <w:ind w:left="284" w:hanging="284"/>
        <w:contextualSpacing/>
        <w:textAlignment w:val="baseline"/>
      </w:pPr>
      <w:r>
        <w:t xml:space="preserve">ist der Ansicht, dass Partnerschaften mit Drittländern angestrebt werden sollten, um gemeinsame Anstrengungen in den Bereichen Sicherheitsinfrastruktur und technologische Innovation voranzutreiben; </w:t>
      </w:r>
    </w:p>
    <w:p w:rsidRPr="00BE1F8F" w:rsidR="00773E8D" w:rsidP="008171FA" w:rsidRDefault="00773E8D" w14:paraId="0E1C930B" w14:textId="77777777">
      <w:pPr>
        <w:numPr>
          <w:ilvl w:val="0"/>
          <w:numId w:val="44"/>
        </w:numPr>
        <w:overflowPunct w:val="0"/>
        <w:autoSpaceDE w:val="0"/>
        <w:autoSpaceDN w:val="0"/>
        <w:adjustRightInd w:val="0"/>
        <w:ind w:left="284" w:hanging="284"/>
        <w:contextualSpacing/>
        <w:textAlignment w:val="baseline"/>
      </w:pPr>
      <w:r>
        <w:t>weist auf die Bedeutung öffentlich-privater Partnerschaften als ergänzendes Instrument zur Bündelung von Fachwissen und Ressourcen hin, um Innovationen voranzutreiben und eine schnellere Markteinführung zu ermöglichen;</w:t>
      </w:r>
    </w:p>
    <w:p w:rsidRPr="00773E8D" w:rsidR="00773E8D" w:rsidP="008171FA" w:rsidRDefault="00773E8D" w14:paraId="7941C364" w14:textId="77777777">
      <w:pPr>
        <w:numPr>
          <w:ilvl w:val="0"/>
          <w:numId w:val="44"/>
        </w:numPr>
        <w:overflowPunct w:val="0"/>
        <w:autoSpaceDE w:val="0"/>
        <w:autoSpaceDN w:val="0"/>
        <w:adjustRightInd w:val="0"/>
        <w:ind w:left="284" w:hanging="284"/>
        <w:contextualSpacing/>
        <w:textAlignment w:val="baseline"/>
      </w:pPr>
      <w:r>
        <w:lastRenderedPageBreak/>
        <w:t>betont, dass bei der Finanzierung der Verteidigung die Unterstützung der Mitgliedstaaten an den Außengrenzen, die von regionalen Konflikten am unmittelbarsten betroffen sind, Vorrang haben sollte, sofern sie die gemeinsamen Ziele und Grundsätze der EU und der NATO strikt einhalten;</w:t>
      </w:r>
    </w:p>
    <w:p w:rsidRPr="00773E8D" w:rsidR="00773E8D" w:rsidP="008171FA" w:rsidRDefault="00773E8D" w14:paraId="6AF1CE95" w14:textId="4EFA63D6">
      <w:pPr>
        <w:numPr>
          <w:ilvl w:val="0"/>
          <w:numId w:val="44"/>
        </w:numPr>
        <w:overflowPunct w:val="0"/>
        <w:autoSpaceDE w:val="0"/>
        <w:autoSpaceDN w:val="0"/>
        <w:adjustRightInd w:val="0"/>
        <w:ind w:left="284" w:hanging="284"/>
        <w:contextualSpacing/>
        <w:textAlignment w:val="baseline"/>
      </w:pPr>
      <w:r>
        <w:t>hält es für ausgesprochen wichtig, die Verteidigungsfinanzierung in umfassendere EU</w:t>
      </w:r>
      <w:r w:rsidR="007601EB">
        <w:noBreakHyphen/>
      </w:r>
      <w:r>
        <w:t>Finanzierungsmechanismen, einschließlich des kommenden mehrjährigen Finanzrahmens (MFR), einzubetten, ohne andere kritische Prioritäten der EU wie die Kohäsionspolitik, den ökologischen Wandel und die europäische Säule sozialer Rechte zu gefährden;</w:t>
      </w:r>
    </w:p>
    <w:p w:rsidRPr="00773E8D" w:rsidR="00773E8D" w:rsidP="008171FA" w:rsidRDefault="00773E8D" w14:paraId="598F22B0" w14:textId="77777777">
      <w:pPr>
        <w:numPr>
          <w:ilvl w:val="0"/>
          <w:numId w:val="44"/>
        </w:numPr>
        <w:overflowPunct w:val="0"/>
        <w:autoSpaceDE w:val="0"/>
        <w:autoSpaceDN w:val="0"/>
        <w:adjustRightInd w:val="0"/>
        <w:ind w:left="284" w:hanging="284"/>
        <w:contextualSpacing/>
        <w:textAlignment w:val="baseline"/>
      </w:pPr>
      <w:r>
        <w:t>hält es für nötig, Kampagnen zur Sensibilisierung der Öffentlichkeit durchzuführen, um herauszustellen, wie wichtig die Verteidigungsfinanzierung für die Gewährleistung von Frieden und Sicherheit in Europa sowie für die demokratische Lebensweise und den sozialen Zusammenhalt in Europa ist.</w:t>
      </w:r>
    </w:p>
    <w:p w:rsidRPr="00773E8D" w:rsidR="00773E8D" w:rsidP="008171FA" w:rsidRDefault="00773E8D" w14:paraId="63329DD1" w14:textId="77777777">
      <w:pPr>
        <w:numPr>
          <w:ilvl w:val="0"/>
          <w:numId w:val="44"/>
        </w:numPr>
        <w:overflowPunct w:val="0"/>
        <w:autoSpaceDE w:val="0"/>
        <w:autoSpaceDN w:val="0"/>
        <w:adjustRightInd w:val="0"/>
        <w:ind w:left="284" w:hanging="284"/>
        <w:contextualSpacing/>
        <w:textAlignment w:val="baseline"/>
      </w:pPr>
      <w:r>
        <w:t>ist der Ansicht, dass die EU in der Pflicht steht, im Rahmen der Gemeinsamen Außen- und Sicherheitspolitik eine gemeinsame Verteidigungspolitik festzulegen, eine starke europäische Verteidigungssäule aufzubauen und die dafür erforderlichen legislativen und finanziellen Maßnahmen zu ergreifen;</w:t>
      </w:r>
    </w:p>
    <w:p w:rsidR="00773E8D" w:rsidP="008171FA" w:rsidRDefault="00773E8D" w14:paraId="27DD39A3" w14:textId="77777777">
      <w:pPr>
        <w:numPr>
          <w:ilvl w:val="0"/>
          <w:numId w:val="44"/>
        </w:numPr>
        <w:overflowPunct w:val="0"/>
        <w:autoSpaceDE w:val="0"/>
        <w:autoSpaceDN w:val="0"/>
        <w:adjustRightInd w:val="0"/>
        <w:ind w:left="284" w:hanging="284"/>
        <w:contextualSpacing/>
        <w:textAlignment w:val="baseline"/>
      </w:pPr>
      <w:r>
        <w:t>hält es für erforderlich, dass sich die EU auch auf diplomatischer Ebene aktiv für einen gerechten Frieden in der Ukraine einsetzt.</w:t>
      </w:r>
    </w:p>
    <w:p w:rsidRPr="00773E8D" w:rsidR="00773E8D" w:rsidP="008171FA" w:rsidRDefault="00773E8D" w14:paraId="1D56F3F6" w14:textId="77777777">
      <w:pPr>
        <w:overflowPunct w:val="0"/>
        <w:autoSpaceDE w:val="0"/>
        <w:autoSpaceDN w:val="0"/>
        <w:adjustRightInd w:val="0"/>
        <w:ind w:left="284"/>
        <w:contextualSpacing/>
        <w:textAlignment w:val="baseline"/>
        <w:rPr>
          <w:lang w:val="en-GB" w:eastAsia="zh-CN"/>
        </w:rPr>
      </w:pPr>
    </w:p>
    <w:tbl>
      <w:tblPr>
        <w:tblW w:w="9180" w:type="dxa"/>
        <w:tblLook w:val="04A0" w:firstRow="1" w:lastRow="0" w:firstColumn="1" w:lastColumn="0" w:noHBand="0" w:noVBand="1"/>
      </w:tblPr>
      <w:tblGrid>
        <w:gridCol w:w="1668"/>
        <w:gridCol w:w="7512"/>
      </w:tblGrid>
      <w:tr w:rsidRPr="00773E8D" w:rsidR="00773E8D" w:rsidTr="00BE1F8F" w14:paraId="72A4C0C1" w14:textId="77777777">
        <w:tc>
          <w:tcPr>
            <w:tcW w:w="1668" w:type="dxa"/>
          </w:tcPr>
          <w:p w:rsidRPr="00773E8D" w:rsidR="00773E8D" w:rsidP="00BE1F8F" w:rsidRDefault="00773E8D" w14:paraId="6CF8EC77" w14:textId="77777777">
            <w:pPr>
              <w:overflowPunct w:val="0"/>
              <w:autoSpaceDE w:val="0"/>
              <w:autoSpaceDN w:val="0"/>
              <w:adjustRightInd w:val="0"/>
              <w:textAlignment w:val="baseline"/>
              <w:rPr>
                <w:bCs/>
                <w:i/>
              </w:rPr>
            </w:pPr>
            <w:r>
              <w:rPr>
                <w:i/>
              </w:rPr>
              <w:t>Kontakt</w:t>
            </w:r>
          </w:p>
        </w:tc>
        <w:tc>
          <w:tcPr>
            <w:tcW w:w="7512" w:type="dxa"/>
          </w:tcPr>
          <w:p w:rsidRPr="00C77862" w:rsidR="00773E8D" w:rsidP="00BE1F8F" w:rsidRDefault="00773E8D" w14:paraId="249491A9" w14:textId="3ED401E0">
            <w:pPr>
              <w:overflowPunct w:val="0"/>
              <w:autoSpaceDE w:val="0"/>
              <w:autoSpaceDN w:val="0"/>
              <w:adjustRightInd w:val="0"/>
              <w:textAlignment w:val="baseline"/>
              <w:rPr>
                <w:bCs/>
                <w:i/>
                <w:iCs/>
              </w:rPr>
            </w:pPr>
            <w:r>
              <w:rPr>
                <w:i/>
              </w:rPr>
              <w:t xml:space="preserve">Gerald </w:t>
            </w:r>
            <w:proofErr w:type="spellStart"/>
            <w:r>
              <w:rPr>
                <w:i/>
              </w:rPr>
              <w:t>Klec</w:t>
            </w:r>
            <w:proofErr w:type="spellEnd"/>
          </w:p>
        </w:tc>
      </w:tr>
      <w:tr w:rsidRPr="00773E8D" w:rsidR="00773E8D" w:rsidTr="00BE1F8F" w14:paraId="2C039993" w14:textId="77777777">
        <w:tc>
          <w:tcPr>
            <w:tcW w:w="1668" w:type="dxa"/>
          </w:tcPr>
          <w:p w:rsidRPr="00773E8D" w:rsidR="00773E8D" w:rsidP="00BE1F8F" w:rsidRDefault="00773E8D" w14:paraId="3583AD71" w14:textId="77777777">
            <w:pPr>
              <w:overflowPunct w:val="0"/>
              <w:autoSpaceDE w:val="0"/>
              <w:autoSpaceDN w:val="0"/>
              <w:adjustRightInd w:val="0"/>
              <w:textAlignment w:val="baseline"/>
              <w:rPr>
                <w:i/>
              </w:rPr>
            </w:pPr>
            <w:r>
              <w:rPr>
                <w:i/>
              </w:rPr>
              <w:t>Tel.</w:t>
            </w:r>
          </w:p>
        </w:tc>
        <w:tc>
          <w:tcPr>
            <w:tcW w:w="7512" w:type="dxa"/>
          </w:tcPr>
          <w:p w:rsidRPr="00C77862" w:rsidR="00773E8D" w:rsidP="00BE1F8F" w:rsidRDefault="00773E8D" w14:paraId="17A18F4F" w14:textId="77777777">
            <w:pPr>
              <w:overflowPunct w:val="0"/>
              <w:autoSpaceDE w:val="0"/>
              <w:autoSpaceDN w:val="0"/>
              <w:adjustRightInd w:val="0"/>
              <w:textAlignment w:val="baseline"/>
              <w:rPr>
                <w:i/>
                <w:iCs/>
              </w:rPr>
            </w:pPr>
            <w:r>
              <w:rPr>
                <w:i/>
              </w:rPr>
              <w:t>+32 25469909</w:t>
            </w:r>
          </w:p>
        </w:tc>
      </w:tr>
      <w:tr w:rsidRPr="00773E8D" w:rsidR="00773E8D" w:rsidTr="00BE1F8F" w14:paraId="161B9255" w14:textId="77777777">
        <w:tc>
          <w:tcPr>
            <w:tcW w:w="1668" w:type="dxa"/>
          </w:tcPr>
          <w:p w:rsidRPr="00773E8D" w:rsidR="00773E8D" w:rsidP="00BE1F8F" w:rsidRDefault="00773E8D" w14:paraId="21276802" w14:textId="77777777">
            <w:pPr>
              <w:overflowPunct w:val="0"/>
              <w:autoSpaceDE w:val="0"/>
              <w:autoSpaceDN w:val="0"/>
              <w:adjustRightInd w:val="0"/>
              <w:textAlignment w:val="baseline"/>
              <w:rPr>
                <w:i/>
              </w:rPr>
            </w:pPr>
            <w:r>
              <w:rPr>
                <w:i/>
              </w:rPr>
              <w:t>E-Mail</w:t>
            </w:r>
          </w:p>
        </w:tc>
        <w:tc>
          <w:tcPr>
            <w:tcW w:w="7512" w:type="dxa"/>
          </w:tcPr>
          <w:p w:rsidRPr="00C77862" w:rsidR="00773E8D" w:rsidP="00BE1F8F" w:rsidRDefault="006A4D48" w14:paraId="7FCDD2C3" w14:textId="2AECDE8E">
            <w:pPr>
              <w:overflowPunct w:val="0"/>
              <w:autoSpaceDE w:val="0"/>
              <w:autoSpaceDN w:val="0"/>
              <w:adjustRightInd w:val="0"/>
              <w:textAlignment w:val="baseline"/>
              <w:rPr>
                <w:i/>
                <w:iCs/>
              </w:rPr>
            </w:pPr>
            <w:hyperlink w:history="1" r:id="rId26">
              <w:r w:rsidR="00773E8D">
                <w:rPr>
                  <w:i/>
                  <w:color w:val="0000FF"/>
                  <w:u w:val="single"/>
                </w:rPr>
                <w:t>Gerald.Klec@eesc.europa.eu</w:t>
              </w:r>
            </w:hyperlink>
          </w:p>
        </w:tc>
      </w:tr>
    </w:tbl>
    <w:p w:rsidR="009B199C" w:rsidP="00BE1F8F" w:rsidRDefault="009B199C" w14:paraId="26817FC4" w14:textId="77777777">
      <w:pPr>
        <w:jc w:val="left"/>
      </w:pPr>
      <w:r>
        <w:br w:type="page"/>
      </w:r>
    </w:p>
    <w:p w:rsidRPr="00BE1F8F" w:rsidR="009B199C" w:rsidP="00BE1F8F" w:rsidRDefault="006A4D48" w14:paraId="510F45CA" w14:textId="58C2B1AF">
      <w:pPr>
        <w:widowControl w:val="0"/>
        <w:numPr>
          <w:ilvl w:val="0"/>
          <w:numId w:val="2"/>
        </w:numPr>
        <w:overflowPunct w:val="0"/>
        <w:autoSpaceDE w:val="0"/>
        <w:autoSpaceDN w:val="0"/>
        <w:adjustRightInd w:val="0"/>
        <w:ind w:hanging="567"/>
        <w:textAlignment w:val="baseline"/>
      </w:pPr>
      <w:hyperlink w:history="1" r:id="rId27">
        <w:r w:rsidR="008A2164">
          <w:rPr>
            <w:b/>
            <w:i/>
            <w:color w:val="0000FF"/>
            <w:sz w:val="28"/>
            <w:u w:val="single"/>
          </w:rPr>
          <w:t>Stärkung der Ergebnisorientierung der Kohäsionspolitik nach 2027 – Herausforderungen, Risiken und Chancen</w:t>
        </w:r>
      </w:hyperlink>
    </w:p>
    <w:p w:rsidRPr="00BE1F8F" w:rsidR="009B199C" w:rsidP="00BE1F8F" w:rsidRDefault="009B199C" w14:paraId="51F52A14" w14:textId="77777777">
      <w:pPr>
        <w:widowControl w:val="0"/>
        <w:overflowPunct w:val="0"/>
        <w:autoSpaceDE w:val="0"/>
        <w:autoSpaceDN w:val="0"/>
        <w:adjustRightInd w:val="0"/>
        <w:ind w:left="283"/>
        <w:textAlignment w:val="baseline"/>
        <w:rPr>
          <w:b/>
          <w:i/>
          <w:iCs/>
          <w:sz w:val="12"/>
          <w:szCs w:val="12"/>
          <w:lang w:val="en-GB"/>
        </w:rPr>
      </w:pPr>
    </w:p>
    <w:tbl>
      <w:tblPr>
        <w:tblW w:w="0" w:type="auto"/>
        <w:tblLook w:val="04A0" w:firstRow="1" w:lastRow="0" w:firstColumn="1" w:lastColumn="0" w:noHBand="0" w:noVBand="1"/>
      </w:tblPr>
      <w:tblGrid>
        <w:gridCol w:w="2376"/>
        <w:gridCol w:w="6911"/>
      </w:tblGrid>
      <w:tr w:rsidRPr="00792ABA" w:rsidR="009B199C" w:rsidTr="007601EB" w14:paraId="5BC5C730" w14:textId="77777777">
        <w:tc>
          <w:tcPr>
            <w:tcW w:w="2376" w:type="dxa"/>
          </w:tcPr>
          <w:p w:rsidRPr="00792ABA" w:rsidR="009B199C" w:rsidP="00BE1F8F" w:rsidRDefault="009B199C" w14:paraId="455C16FC" w14:textId="77777777">
            <w:pPr>
              <w:tabs>
                <w:tab w:val="center" w:pos="284"/>
              </w:tabs>
              <w:overflowPunct w:val="0"/>
              <w:autoSpaceDE w:val="0"/>
              <w:autoSpaceDN w:val="0"/>
              <w:adjustRightInd w:val="0"/>
              <w:ind w:left="266" w:hanging="266"/>
              <w:textAlignment w:val="baseline"/>
              <w:rPr>
                <w:b/>
              </w:rPr>
            </w:pPr>
            <w:r>
              <w:rPr>
                <w:b/>
              </w:rPr>
              <w:t>Berichterstatter</w:t>
            </w:r>
          </w:p>
          <w:p w:rsidRPr="00792ABA" w:rsidR="009B199C" w:rsidP="00BE1F8F" w:rsidRDefault="009B199C" w14:paraId="78EA9397" w14:textId="77777777">
            <w:pPr>
              <w:tabs>
                <w:tab w:val="center" w:pos="284"/>
              </w:tabs>
              <w:overflowPunct w:val="0"/>
              <w:autoSpaceDE w:val="0"/>
              <w:autoSpaceDN w:val="0"/>
              <w:adjustRightInd w:val="0"/>
              <w:ind w:left="266" w:hanging="266"/>
              <w:textAlignment w:val="baseline"/>
              <w:rPr>
                <w:b/>
              </w:rPr>
            </w:pPr>
            <w:r>
              <w:rPr>
                <w:b/>
              </w:rPr>
              <w:t>Ko-Berichterstatter</w:t>
            </w:r>
          </w:p>
        </w:tc>
        <w:tc>
          <w:tcPr>
            <w:tcW w:w="6911" w:type="dxa"/>
          </w:tcPr>
          <w:p w:rsidRPr="009B596B" w:rsidR="009B199C" w:rsidP="00BE1F8F" w:rsidRDefault="009B199C" w14:paraId="5A2D0416" w14:textId="40276D4D">
            <w:pPr>
              <w:tabs>
                <w:tab w:val="center" w:pos="284"/>
              </w:tabs>
              <w:overflowPunct w:val="0"/>
              <w:autoSpaceDE w:val="0"/>
              <w:autoSpaceDN w:val="0"/>
              <w:adjustRightInd w:val="0"/>
              <w:ind w:left="266" w:hanging="266"/>
              <w:textAlignment w:val="baseline"/>
            </w:pPr>
            <w:r>
              <w:t>David SVENTEK (Gruppe Arbeitgeber – CZ)</w:t>
            </w:r>
          </w:p>
          <w:p w:rsidRPr="00792ABA" w:rsidR="005F41D0" w:rsidP="00BE1F8F" w:rsidRDefault="009B199C" w14:paraId="0C02A021" w14:textId="4BEC0AEE">
            <w:pPr>
              <w:tabs>
                <w:tab w:val="center" w:pos="284"/>
              </w:tabs>
              <w:overflowPunct w:val="0"/>
              <w:autoSpaceDE w:val="0"/>
              <w:autoSpaceDN w:val="0"/>
              <w:adjustRightInd w:val="0"/>
              <w:ind w:left="266" w:hanging="266"/>
              <w:textAlignment w:val="baseline"/>
              <w:rPr>
                <w:bCs/>
              </w:rPr>
            </w:pPr>
            <w:r>
              <w:t>Florian MARIN (Gruppe Arbeitnehmer – RO)</w:t>
            </w:r>
          </w:p>
        </w:tc>
      </w:tr>
      <w:tr w:rsidRPr="00792ABA" w:rsidR="009B199C" w:rsidTr="007601EB" w14:paraId="4A10BF69" w14:textId="77777777">
        <w:tc>
          <w:tcPr>
            <w:tcW w:w="2376" w:type="dxa"/>
          </w:tcPr>
          <w:p w:rsidRPr="00792ABA" w:rsidR="009B199C" w:rsidP="00BE1F8F" w:rsidRDefault="009B199C" w14:paraId="4D7754ED" w14:textId="396C246D">
            <w:pPr>
              <w:tabs>
                <w:tab w:val="center" w:pos="284"/>
              </w:tabs>
              <w:overflowPunct w:val="0"/>
              <w:autoSpaceDE w:val="0"/>
              <w:autoSpaceDN w:val="0"/>
              <w:adjustRightInd w:val="0"/>
              <w:ind w:left="266" w:hanging="266"/>
              <w:textAlignment w:val="baseline"/>
              <w:rPr>
                <w:b/>
              </w:rPr>
            </w:pPr>
            <w:r>
              <w:rPr>
                <w:b/>
              </w:rPr>
              <w:t>Referenzdokument</w:t>
            </w:r>
          </w:p>
        </w:tc>
        <w:tc>
          <w:tcPr>
            <w:tcW w:w="6911" w:type="dxa"/>
          </w:tcPr>
          <w:p w:rsidRPr="00792ABA" w:rsidR="009B199C" w:rsidP="00BE1F8F" w:rsidRDefault="009B199C" w14:paraId="7601F5CA" w14:textId="00E8D08D">
            <w:pPr>
              <w:overflowPunct w:val="0"/>
              <w:autoSpaceDE w:val="0"/>
              <w:autoSpaceDN w:val="0"/>
              <w:adjustRightInd w:val="0"/>
              <w:ind w:left="266" w:hanging="266"/>
              <w:textAlignment w:val="baseline"/>
            </w:pPr>
            <w:r>
              <w:t>Sondierungsstellungnahme auf Ersuchen des polnischen EU-Ratsvorsitzes</w:t>
            </w:r>
          </w:p>
          <w:p w:rsidRPr="00792ABA" w:rsidR="009B199C" w:rsidP="00BE1F8F" w:rsidRDefault="009B199C" w14:paraId="443F4397" w14:textId="7E955EB3">
            <w:pPr>
              <w:overflowPunct w:val="0"/>
              <w:autoSpaceDE w:val="0"/>
              <w:autoSpaceDN w:val="0"/>
              <w:adjustRightInd w:val="0"/>
              <w:ind w:left="266" w:hanging="266"/>
              <w:textAlignment w:val="baseline"/>
            </w:pPr>
            <w:r>
              <w:t>EESC-2024-03481-00-00-AC</w:t>
            </w:r>
          </w:p>
        </w:tc>
      </w:tr>
    </w:tbl>
    <w:p w:rsidRPr="00C43D3E" w:rsidR="009B199C" w:rsidP="00BE1F8F" w:rsidRDefault="009B199C" w14:paraId="7F8C0AE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2ABA" w:rsidR="009B199C" w:rsidP="00BE1F8F" w:rsidRDefault="009B199C" w14:paraId="3A8AAE4F"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C43D3E" w:rsidR="009B199C" w:rsidP="00BE1F8F" w:rsidRDefault="009B199C" w14:paraId="754DF2AC"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9B199C" w:rsidP="00BE1F8F" w:rsidRDefault="009B199C" w14:paraId="4A63B8DB" w14:textId="77777777">
      <w:pPr>
        <w:keepNext/>
        <w:keepLines/>
        <w:tabs>
          <w:tab w:val="center" w:pos="284"/>
        </w:tabs>
        <w:overflowPunct w:val="0"/>
        <w:autoSpaceDE w:val="0"/>
        <w:autoSpaceDN w:val="0"/>
        <w:adjustRightInd w:val="0"/>
        <w:ind w:left="266" w:hanging="266"/>
        <w:textAlignment w:val="baseline"/>
        <w:rPr>
          <w:bCs/>
          <w:iCs/>
          <w:szCs w:val="20"/>
        </w:rPr>
      </w:pPr>
      <w:r>
        <w:t>Der EWSA</w:t>
      </w:r>
    </w:p>
    <w:p w:rsidRPr="00792ABA" w:rsidR="009B199C" w:rsidP="00BE1F8F" w:rsidRDefault="009B199C" w14:paraId="6EB77383" w14:textId="77777777">
      <w:pPr>
        <w:keepNext/>
        <w:keepLines/>
        <w:numPr>
          <w:ilvl w:val="0"/>
          <w:numId w:val="22"/>
        </w:numPr>
        <w:overflowPunct w:val="0"/>
        <w:autoSpaceDE w:val="0"/>
        <w:autoSpaceDN w:val="0"/>
        <w:adjustRightInd w:val="0"/>
        <w:ind w:left="284" w:hanging="284"/>
        <w:contextualSpacing/>
        <w:textAlignment w:val="baseline"/>
        <w:rPr>
          <w:bCs/>
          <w:iCs/>
        </w:rPr>
      </w:pPr>
      <w:r>
        <w:t>unterstützt nachdrücklich die Fortführung der EU-Kohäsionspolitik, die er für klar begründet, rational und legitim hält. Er sieht gleichwohl in Bezug auf die Kohäsionspolitik einen Modernisierungs- und Anpassungsbedarf, damit den Entwicklungen und den Bedürfnissen Rechnung getragen werden kann;</w:t>
      </w:r>
    </w:p>
    <w:p w:rsidRPr="00792ABA" w:rsidR="009B199C" w:rsidP="00BE1F8F" w:rsidRDefault="009B199C" w14:paraId="0ED74D26" w14:textId="77777777">
      <w:pPr>
        <w:keepNext/>
        <w:keepLines/>
        <w:numPr>
          <w:ilvl w:val="0"/>
          <w:numId w:val="22"/>
        </w:numPr>
        <w:overflowPunct w:val="0"/>
        <w:autoSpaceDE w:val="0"/>
        <w:autoSpaceDN w:val="0"/>
        <w:adjustRightInd w:val="0"/>
        <w:ind w:left="284" w:hanging="284"/>
        <w:contextualSpacing/>
        <w:textAlignment w:val="baseline"/>
        <w:rPr>
          <w:rFonts w:ascii="Calibri" w:hAnsi="Calibri"/>
          <w:bCs/>
          <w:iCs/>
        </w:rPr>
      </w:pPr>
      <w:r>
        <w:t>ist davon überzeugt, dass der jetzige Anteil der Kohäsionspolitik am EU-Haushalt im nächsten mehrjährigen Finanzrahmen nicht verringert, sondern eher erhöht werden sollte;</w:t>
      </w:r>
    </w:p>
    <w:p w:rsidRPr="00792ABA" w:rsidR="009B199C" w:rsidP="00BE1F8F" w:rsidRDefault="009B199C" w14:paraId="74B75549" w14:textId="77777777">
      <w:pPr>
        <w:numPr>
          <w:ilvl w:val="0"/>
          <w:numId w:val="22"/>
        </w:numPr>
        <w:overflowPunct w:val="0"/>
        <w:autoSpaceDE w:val="0"/>
        <w:autoSpaceDN w:val="0"/>
        <w:adjustRightInd w:val="0"/>
        <w:ind w:left="284" w:hanging="284"/>
        <w:contextualSpacing/>
        <w:textAlignment w:val="baseline"/>
        <w:rPr>
          <w:bCs/>
          <w:iCs/>
        </w:rPr>
      </w:pPr>
      <w:r>
        <w:t>empfiehlt, die künftige Kohäsionspolitik an folgenden Prinzipien auszurichten: Partnerschaft (mit aktivem Beitrag der organisierten Zivilgesellschaft), geteilte Mittelverwaltung (ausgewogene Beteiligung europäischer, nationaler und regionaler Behörden), Multi-Level-</w:t>
      </w:r>
      <w:proofErr w:type="spellStart"/>
      <w:r>
        <w:t>Governance</w:t>
      </w:r>
      <w:proofErr w:type="spellEnd"/>
      <w:r>
        <w:t xml:space="preserve"> (Einbeziehung der Regionen, Städte und lokalen Gebietskörperschaften), ortsbezogener Ansatz (Umsetzung eines Bottom-up-Ansatzes), thematische Konzentration (Verknüpfung mit den strategischen Prioritäten der EU und dem Europäischen Semester), territoriale Ausrichtung (auch auf der Grundlage der regionalen Gegebenheiten), Ergebnisorientierung (konkrete und quantifizierte Ergebnisse und Vorteile), Vereinfachung (der Regeln und Verfahren) und soziale Auflagen für die Finanzierung von Investitionen;</w:t>
      </w:r>
    </w:p>
    <w:p w:rsidRPr="00792ABA" w:rsidR="009B199C" w:rsidP="00BE1F8F" w:rsidRDefault="009B199C" w14:paraId="384FD159" w14:textId="77777777">
      <w:pPr>
        <w:numPr>
          <w:ilvl w:val="0"/>
          <w:numId w:val="22"/>
        </w:numPr>
        <w:overflowPunct w:val="0"/>
        <w:autoSpaceDE w:val="0"/>
        <w:autoSpaceDN w:val="0"/>
        <w:adjustRightInd w:val="0"/>
        <w:ind w:left="284" w:hanging="284"/>
        <w:contextualSpacing/>
        <w:textAlignment w:val="baseline"/>
        <w:rPr>
          <w:bCs/>
          <w:iCs/>
        </w:rPr>
      </w:pPr>
      <w:r>
        <w:t>ist der Auffassung, dass eine ergebnisorientierte Kohäsionspolitik in der Zukunft ausdrücklich die geopolitischen Herausforderungen berücksichtigt sollte. Sie sollte außerdem Investitionen in den Kapazitätsaufbau ermöglichen und das Partnerschaftsprinzip konsolidieren;</w:t>
      </w:r>
    </w:p>
    <w:p w:rsidRPr="00792ABA" w:rsidR="009B199C" w:rsidP="00BE1F8F" w:rsidRDefault="009B199C" w14:paraId="691F18AC" w14:textId="77777777">
      <w:pPr>
        <w:numPr>
          <w:ilvl w:val="0"/>
          <w:numId w:val="22"/>
        </w:numPr>
        <w:overflowPunct w:val="0"/>
        <w:autoSpaceDE w:val="0"/>
        <w:autoSpaceDN w:val="0"/>
        <w:adjustRightInd w:val="0"/>
        <w:ind w:left="284" w:hanging="284"/>
        <w:contextualSpacing/>
        <w:textAlignment w:val="baseline"/>
        <w:rPr>
          <w:bCs/>
          <w:iCs/>
        </w:rPr>
      </w:pPr>
      <w:r>
        <w:t>rät dazu, die Ergebnisorientierung zu einem zentralen Grundsatz zu machen, der zu einer effizienteren Zuweisung der begrenzten kohäsionspolitischen Mittel beitragen sowie sichtbar und transparent Wirkung entfalten wird;</w:t>
      </w:r>
    </w:p>
    <w:p w:rsidRPr="00792ABA" w:rsidR="009B199C" w:rsidP="00BE1F8F" w:rsidRDefault="009B199C" w14:paraId="69027A6A" w14:textId="77777777">
      <w:pPr>
        <w:numPr>
          <w:ilvl w:val="0"/>
          <w:numId w:val="22"/>
        </w:numPr>
        <w:overflowPunct w:val="0"/>
        <w:autoSpaceDE w:val="0"/>
        <w:autoSpaceDN w:val="0"/>
        <w:adjustRightInd w:val="0"/>
        <w:ind w:left="284" w:hanging="284"/>
        <w:contextualSpacing/>
        <w:textAlignment w:val="baseline"/>
        <w:rPr>
          <w:bCs/>
          <w:iCs/>
        </w:rPr>
      </w:pPr>
      <w:r>
        <w:t>warnt davor, die Verpflichtungen, die sich aus der Einführung des ergebnisorientierten Ansatzes ergeben, auf die bereits bestehenden Kontroll- und Prüfungsverfahren zum Monitoring der Wirksamkeit, Effizienz und Wirtschaftlichkeit der Ausgaben für aus Kohäsionsmitteln finanzierte Projekte aufzusatteln;</w:t>
      </w:r>
    </w:p>
    <w:p w:rsidRPr="00792ABA" w:rsidR="009B199C" w:rsidP="00BE1F8F" w:rsidRDefault="009B199C" w14:paraId="1F1F1EFC" w14:textId="77777777">
      <w:pPr>
        <w:numPr>
          <w:ilvl w:val="0"/>
          <w:numId w:val="22"/>
        </w:numPr>
        <w:overflowPunct w:val="0"/>
        <w:autoSpaceDE w:val="0"/>
        <w:autoSpaceDN w:val="0"/>
        <w:adjustRightInd w:val="0"/>
        <w:ind w:left="284" w:hanging="284"/>
        <w:contextualSpacing/>
        <w:textAlignment w:val="baseline"/>
        <w:rPr>
          <w:bCs/>
          <w:iCs/>
        </w:rPr>
      </w:pPr>
      <w:r>
        <w:t xml:space="preserve">ist der festen Überzeugung, dass das Hauptaugenmerk der Kohäsionspolitik ungeachtet aller notwendigen Änderungen an Inhalt und Ausrichtung den Regionen und ihren spezifischen Entwicklungs- und </w:t>
      </w:r>
      <w:proofErr w:type="spellStart"/>
      <w:r>
        <w:t>Resilienzbedürfnissen</w:t>
      </w:r>
      <w:proofErr w:type="spellEnd"/>
      <w:r>
        <w:t xml:space="preserve"> gelten und zugleich der Verringerung von Ungleichheiten dienen muss;</w:t>
      </w:r>
    </w:p>
    <w:p w:rsidRPr="00792ABA" w:rsidR="009B199C" w:rsidP="00BE1F8F" w:rsidRDefault="009B199C" w14:paraId="07F4614C" w14:textId="77777777">
      <w:pPr>
        <w:numPr>
          <w:ilvl w:val="0"/>
          <w:numId w:val="22"/>
        </w:numPr>
        <w:overflowPunct w:val="0"/>
        <w:autoSpaceDE w:val="0"/>
        <w:autoSpaceDN w:val="0"/>
        <w:adjustRightInd w:val="0"/>
        <w:ind w:left="284" w:hanging="284"/>
        <w:contextualSpacing/>
        <w:textAlignment w:val="baseline"/>
        <w:rPr>
          <w:bCs/>
          <w:iCs/>
        </w:rPr>
      </w:pPr>
      <w:r>
        <w:t xml:space="preserve">meint, dass soziale Investitionen, darunter auch in den Wohnraum, als strukturelle Faktoren für die territoriale Entwicklung, gute öffentliche Dienstleistungen, die demografischen Probleme und das Problem der Entvölkerung sowie für die Verbesserung der Lebensqualität stärker in den Blickpunkt gerückt werden sollten; </w:t>
      </w:r>
    </w:p>
    <w:p w:rsidRPr="00792ABA" w:rsidR="009B199C" w:rsidP="00BE1F8F" w:rsidRDefault="009B199C" w14:paraId="4545597B" w14:textId="77777777">
      <w:pPr>
        <w:numPr>
          <w:ilvl w:val="0"/>
          <w:numId w:val="22"/>
        </w:numPr>
        <w:overflowPunct w:val="0"/>
        <w:autoSpaceDE w:val="0"/>
        <w:autoSpaceDN w:val="0"/>
        <w:adjustRightInd w:val="0"/>
        <w:ind w:left="284" w:hanging="284"/>
        <w:contextualSpacing/>
        <w:textAlignment w:val="baseline"/>
        <w:rPr>
          <w:bCs/>
          <w:iCs/>
        </w:rPr>
      </w:pPr>
      <w:r>
        <w:t>spricht sich für ein transparentes politisches Umfeld aus, in dem die Interessenträger, u. a. die organisierte Zivilgesellschaft, einen festen Platz haben;</w:t>
      </w:r>
    </w:p>
    <w:p w:rsidRPr="00C43D3E" w:rsidR="009B199C" w:rsidP="00BE1F8F" w:rsidRDefault="009B199C" w14:paraId="1086985B" w14:textId="77777777">
      <w:pPr>
        <w:numPr>
          <w:ilvl w:val="0"/>
          <w:numId w:val="22"/>
        </w:numPr>
        <w:overflowPunct w:val="0"/>
        <w:autoSpaceDE w:val="0"/>
        <w:autoSpaceDN w:val="0"/>
        <w:adjustRightInd w:val="0"/>
        <w:ind w:left="284" w:hanging="284"/>
        <w:contextualSpacing/>
        <w:textAlignment w:val="baseline"/>
        <w:rPr>
          <w:bCs/>
          <w:iCs/>
          <w:spacing w:val="-2"/>
        </w:rPr>
      </w:pPr>
      <w:r>
        <w:lastRenderedPageBreak/>
        <w:t>weiß um die Komplexität des Systems, das erheblich vereinfacht und transparenter werden muss;</w:t>
      </w:r>
    </w:p>
    <w:p w:rsidRPr="00792ABA" w:rsidR="009B199C" w:rsidP="00BE1F8F" w:rsidRDefault="009B199C" w14:paraId="168F9847" w14:textId="77777777">
      <w:pPr>
        <w:numPr>
          <w:ilvl w:val="0"/>
          <w:numId w:val="22"/>
        </w:numPr>
        <w:overflowPunct w:val="0"/>
        <w:autoSpaceDE w:val="0"/>
        <w:autoSpaceDN w:val="0"/>
        <w:adjustRightInd w:val="0"/>
        <w:ind w:left="284" w:hanging="284"/>
        <w:contextualSpacing/>
        <w:textAlignment w:val="baseline"/>
        <w:rPr>
          <w:rFonts w:ascii="Calibri" w:hAnsi="Calibri"/>
          <w:bCs/>
          <w:iCs/>
        </w:rPr>
      </w:pPr>
      <w:r>
        <w:t>betont, dass Konvergenz und nachhaltige Wettbewerbsfähigkeit insbesondere in der gegenwärtigen und in der heraufziehenden Phase der wirtschaftlichen und sozialen Entwicklung in der EU durchaus miteinander vereinbar sind.</w:t>
      </w:r>
    </w:p>
    <w:p w:rsidR="009B199C" w:rsidP="00BE1F8F" w:rsidRDefault="009B199C" w14:paraId="1DD19EA2" w14:textId="66A2333D">
      <w:pPr>
        <w:ind w:left="360"/>
        <w:contextualSpacing/>
        <w:rPr>
          <w:rFonts w:ascii="Calibri" w:hAnsi="Calibri"/>
          <w:bCs/>
          <w:iCs/>
          <w:sz w:val="16"/>
          <w:szCs w:val="16"/>
          <w:lang w:val="en-GB" w:eastAsia="zh-CN"/>
        </w:rPr>
      </w:pPr>
    </w:p>
    <w:tbl>
      <w:tblPr>
        <w:tblW w:w="9322" w:type="dxa"/>
        <w:tblLook w:val="04A0" w:firstRow="1" w:lastRow="0" w:firstColumn="1" w:lastColumn="0" w:noHBand="0" w:noVBand="1"/>
      </w:tblPr>
      <w:tblGrid>
        <w:gridCol w:w="1668"/>
        <w:gridCol w:w="7654"/>
      </w:tblGrid>
      <w:tr w:rsidRPr="00792ABA" w:rsidR="00E14D8E" w:rsidTr="00BE1F8F" w14:paraId="6547EFA9" w14:textId="77777777">
        <w:tc>
          <w:tcPr>
            <w:tcW w:w="1668" w:type="dxa"/>
          </w:tcPr>
          <w:p w:rsidRPr="00792ABA" w:rsidR="00E14D8E" w:rsidP="00BE1F8F" w:rsidRDefault="00E14D8E" w14:paraId="4258610F" w14:textId="77777777">
            <w:pPr>
              <w:overflowPunct w:val="0"/>
              <w:autoSpaceDE w:val="0"/>
              <w:autoSpaceDN w:val="0"/>
              <w:adjustRightInd w:val="0"/>
              <w:textAlignment w:val="baseline"/>
              <w:rPr>
                <w:i/>
              </w:rPr>
            </w:pPr>
            <w:r>
              <w:rPr>
                <w:b/>
                <w:i/>
              </w:rPr>
              <w:t>Kontakt</w:t>
            </w:r>
          </w:p>
        </w:tc>
        <w:tc>
          <w:tcPr>
            <w:tcW w:w="7654" w:type="dxa"/>
          </w:tcPr>
          <w:p w:rsidRPr="00792ABA" w:rsidR="00E14D8E" w:rsidP="00BE1F8F" w:rsidRDefault="00E14D8E" w14:paraId="5390638D" w14:textId="77777777">
            <w:pPr>
              <w:overflowPunct w:val="0"/>
              <w:autoSpaceDE w:val="0"/>
              <w:autoSpaceDN w:val="0"/>
              <w:adjustRightInd w:val="0"/>
              <w:textAlignment w:val="baseline"/>
              <w:rPr>
                <w:i/>
              </w:rPr>
            </w:pPr>
            <w:r>
              <w:rPr>
                <w:i/>
              </w:rPr>
              <w:t>Georgios MELEAS</w:t>
            </w:r>
          </w:p>
        </w:tc>
      </w:tr>
      <w:tr w:rsidRPr="00792ABA" w:rsidR="00E14D8E" w:rsidTr="00BE1F8F" w14:paraId="5F576F6C" w14:textId="77777777">
        <w:tc>
          <w:tcPr>
            <w:tcW w:w="1668" w:type="dxa"/>
          </w:tcPr>
          <w:p w:rsidRPr="00792ABA" w:rsidR="00E14D8E" w:rsidP="00BE1F8F" w:rsidRDefault="00E14D8E" w14:paraId="13C225A0" w14:textId="77777777">
            <w:pPr>
              <w:overflowPunct w:val="0"/>
              <w:autoSpaceDE w:val="0"/>
              <w:autoSpaceDN w:val="0"/>
              <w:adjustRightInd w:val="0"/>
              <w:textAlignment w:val="baseline"/>
              <w:rPr>
                <w:i/>
              </w:rPr>
            </w:pPr>
            <w:r>
              <w:rPr>
                <w:i/>
              </w:rPr>
              <w:t>Tel.</w:t>
            </w:r>
          </w:p>
        </w:tc>
        <w:tc>
          <w:tcPr>
            <w:tcW w:w="7654" w:type="dxa"/>
          </w:tcPr>
          <w:p w:rsidRPr="00792ABA" w:rsidR="00E14D8E" w:rsidP="00BE1F8F" w:rsidRDefault="00E14D8E" w14:paraId="1A2A2EF0" w14:textId="77777777">
            <w:pPr>
              <w:overflowPunct w:val="0"/>
              <w:autoSpaceDE w:val="0"/>
              <w:autoSpaceDN w:val="0"/>
              <w:adjustRightInd w:val="0"/>
              <w:textAlignment w:val="baseline"/>
              <w:rPr>
                <w:i/>
              </w:rPr>
            </w:pPr>
            <w:r>
              <w:rPr>
                <w:i/>
              </w:rPr>
              <w:t>+32 2 5469795</w:t>
            </w:r>
          </w:p>
        </w:tc>
      </w:tr>
      <w:tr w:rsidRPr="00792ABA" w:rsidR="00E14D8E" w:rsidTr="00BE1F8F" w14:paraId="243EA6DE" w14:textId="77777777">
        <w:tc>
          <w:tcPr>
            <w:tcW w:w="1668" w:type="dxa"/>
          </w:tcPr>
          <w:p w:rsidRPr="00792ABA" w:rsidR="00E14D8E" w:rsidP="00BE1F8F" w:rsidRDefault="00E14D8E" w14:paraId="385A71F4" w14:textId="77777777">
            <w:pPr>
              <w:overflowPunct w:val="0"/>
              <w:autoSpaceDE w:val="0"/>
              <w:autoSpaceDN w:val="0"/>
              <w:adjustRightInd w:val="0"/>
              <w:textAlignment w:val="baseline"/>
              <w:rPr>
                <w:i/>
              </w:rPr>
            </w:pPr>
            <w:r>
              <w:rPr>
                <w:i/>
              </w:rPr>
              <w:t>E-Mail</w:t>
            </w:r>
          </w:p>
        </w:tc>
        <w:tc>
          <w:tcPr>
            <w:tcW w:w="7654" w:type="dxa"/>
          </w:tcPr>
          <w:p w:rsidRPr="00792ABA" w:rsidR="00E14D8E" w:rsidP="00BE1F8F" w:rsidRDefault="006A4D48" w14:paraId="00D270D1" w14:textId="77777777">
            <w:pPr>
              <w:overflowPunct w:val="0"/>
              <w:autoSpaceDE w:val="0"/>
              <w:autoSpaceDN w:val="0"/>
              <w:adjustRightInd w:val="0"/>
              <w:textAlignment w:val="baseline"/>
              <w:rPr>
                <w:i/>
                <w:iCs/>
              </w:rPr>
            </w:pPr>
            <w:hyperlink w:history="1" r:id="rId28">
              <w:r w:rsidR="008A2164">
                <w:rPr>
                  <w:i/>
                  <w:color w:val="0000FF"/>
                  <w:u w:val="single"/>
                </w:rPr>
                <w:t>Georgios.Meleas@eesc.europa.eu</w:t>
              </w:r>
            </w:hyperlink>
          </w:p>
        </w:tc>
      </w:tr>
    </w:tbl>
    <w:p w:rsidR="00E14D8E" w:rsidP="00BE1F8F" w:rsidRDefault="00E14D8E" w14:paraId="14382163" w14:textId="77777777">
      <w:pPr>
        <w:jc w:val="left"/>
        <w:rPr>
          <w:rFonts w:ascii="Calibri" w:hAnsi="Calibri"/>
          <w:bCs/>
          <w:iCs/>
          <w:sz w:val="16"/>
          <w:szCs w:val="16"/>
        </w:rPr>
      </w:pPr>
      <w:r>
        <w:br w:type="page"/>
      </w:r>
    </w:p>
    <w:p w:rsidR="004D7AC0" w:rsidP="00BE1F8F" w:rsidRDefault="004D7AC0" w14:paraId="4982DD99" w14:textId="77777777">
      <w:pPr>
        <w:pStyle w:val="Heading1"/>
        <w:keepNext/>
        <w:keepLines/>
        <w:rPr>
          <w:b/>
        </w:rPr>
      </w:pPr>
      <w:bookmarkStart w:name="_Toc192059218" w:id="1"/>
      <w:bookmarkStart w:name="_Toc192059438" w:id="2"/>
      <w:bookmarkStart w:name="_Toc192060291" w:id="3"/>
      <w:bookmarkStart w:name="_Toc192060608" w:id="4"/>
      <w:bookmarkStart w:name="_Toc192059219" w:id="5"/>
      <w:bookmarkStart w:name="_Toc192059439" w:id="6"/>
      <w:bookmarkStart w:name="_Toc192060292" w:id="7"/>
      <w:bookmarkStart w:name="_Toc192060609" w:id="8"/>
      <w:bookmarkStart w:name="_Toc75527081" w:id="9"/>
      <w:bookmarkStart w:name="_Toc192845596" w:id="10"/>
      <w:bookmarkEnd w:id="1"/>
      <w:bookmarkEnd w:id="2"/>
      <w:bookmarkEnd w:id="3"/>
      <w:bookmarkEnd w:id="4"/>
      <w:bookmarkEnd w:id="5"/>
      <w:bookmarkEnd w:id="6"/>
      <w:bookmarkEnd w:id="7"/>
      <w:bookmarkEnd w:id="8"/>
      <w:r>
        <w:rPr>
          <w:b/>
        </w:rPr>
        <w:lastRenderedPageBreak/>
        <w:t>BESCHÄFTIGUNG, SOZIALFRAGEN, UNIONSBÜRGERSCHAFT</w:t>
      </w:r>
      <w:bookmarkEnd w:id="9"/>
      <w:bookmarkEnd w:id="10"/>
    </w:p>
    <w:p w:rsidR="004D7AC0" w:rsidP="00BE1F8F" w:rsidRDefault="004D7AC0" w14:paraId="4982DD9A" w14:textId="77777777">
      <w:pPr>
        <w:keepNext/>
        <w:keepLines/>
      </w:pPr>
    </w:p>
    <w:p w:rsidRPr="00B4456F" w:rsidR="005820A0" w:rsidP="00BE1F8F" w:rsidRDefault="006A4D48" w14:paraId="1351645C" w14:textId="5889E847">
      <w:pPr>
        <w:widowControl w:val="0"/>
        <w:numPr>
          <w:ilvl w:val="0"/>
          <w:numId w:val="10"/>
        </w:numPr>
        <w:overflowPunct w:val="0"/>
        <w:autoSpaceDE w:val="0"/>
        <w:autoSpaceDN w:val="0"/>
        <w:adjustRightInd w:val="0"/>
        <w:ind w:left="567" w:hanging="567"/>
        <w:textAlignment w:val="baseline"/>
        <w:rPr>
          <w:sz w:val="24"/>
          <w:szCs w:val="24"/>
        </w:rPr>
      </w:pPr>
      <w:hyperlink w:history="1" r:id="rId29">
        <w:r w:rsidR="008A2164">
          <w:rPr>
            <w:rStyle w:val="Hyperlink"/>
            <w:b/>
            <w:i/>
            <w:sz w:val="28"/>
          </w:rPr>
          <w:t>Maßnahmen gegen Einsamkeit als Kitt für den demografischen Zusammenhalt</w:t>
        </w:r>
      </w:hyperlink>
    </w:p>
    <w:p w:rsidRPr="00B4456F" w:rsidR="005820A0" w:rsidP="00BE1F8F" w:rsidRDefault="005820A0" w14:paraId="3483E009"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3"/>
        <w:gridCol w:w="7274"/>
      </w:tblGrid>
      <w:tr w:rsidRPr="007601EB" w:rsidR="005820A0" w:rsidTr="00A3780E" w14:paraId="67BD490D" w14:textId="77777777">
        <w:tc>
          <w:tcPr>
            <w:tcW w:w="1607" w:type="dxa"/>
          </w:tcPr>
          <w:p w:rsidRPr="007601EB" w:rsidR="005820A0" w:rsidP="00BE1F8F" w:rsidRDefault="005820A0" w14:paraId="42367F1A" w14:textId="701C1F82">
            <w:pPr>
              <w:tabs>
                <w:tab w:val="center" w:pos="284"/>
              </w:tabs>
              <w:ind w:left="266" w:hanging="266"/>
              <w:rPr>
                <w:b/>
              </w:rPr>
            </w:pPr>
            <w:r w:rsidRPr="007601EB">
              <w:rPr>
                <w:b/>
              </w:rPr>
              <w:t>Berichterstatter</w:t>
            </w:r>
          </w:p>
        </w:tc>
        <w:tc>
          <w:tcPr>
            <w:tcW w:w="7573" w:type="dxa"/>
          </w:tcPr>
          <w:p w:rsidRPr="007601EB" w:rsidR="005820A0" w:rsidP="00BE1F8F" w:rsidRDefault="005820A0" w14:paraId="3FB6ED60" w14:textId="3DA0CD80">
            <w:pPr>
              <w:tabs>
                <w:tab w:val="center" w:pos="284"/>
              </w:tabs>
              <w:ind w:left="266" w:hanging="266"/>
            </w:pPr>
            <w:r w:rsidRPr="007601EB">
              <w:t>Miguel Ángel CABRA DE LUNA (Gruppe Organisationen der Zivilgesellschaft – ES)</w:t>
            </w:r>
          </w:p>
        </w:tc>
      </w:tr>
      <w:tr w:rsidRPr="007601EB" w:rsidR="005820A0" w:rsidTr="00A3780E" w14:paraId="6076883C" w14:textId="77777777">
        <w:tc>
          <w:tcPr>
            <w:tcW w:w="1607" w:type="dxa"/>
            <w:vMerge w:val="restart"/>
          </w:tcPr>
          <w:p w:rsidRPr="007601EB" w:rsidR="005820A0" w:rsidP="00BE1F8F" w:rsidRDefault="005820A0" w14:paraId="544AEDE8" w14:textId="4C4437C3">
            <w:pPr>
              <w:tabs>
                <w:tab w:val="center" w:pos="284"/>
              </w:tabs>
              <w:ind w:left="266" w:hanging="266"/>
              <w:rPr>
                <w:b/>
              </w:rPr>
            </w:pPr>
            <w:r w:rsidRPr="007601EB">
              <w:rPr>
                <w:b/>
              </w:rPr>
              <w:t>Referenzdokument</w:t>
            </w:r>
          </w:p>
        </w:tc>
        <w:tc>
          <w:tcPr>
            <w:tcW w:w="7573" w:type="dxa"/>
          </w:tcPr>
          <w:p w:rsidRPr="007601EB" w:rsidR="005820A0" w:rsidP="00BE1F8F" w:rsidRDefault="005820A0" w14:paraId="5995BCBD" w14:textId="77777777">
            <w:pPr>
              <w:tabs>
                <w:tab w:val="center" w:pos="284"/>
              </w:tabs>
              <w:ind w:left="266" w:hanging="266"/>
            </w:pPr>
            <w:r w:rsidRPr="007601EB">
              <w:t>Initiativstellungnahme</w:t>
            </w:r>
          </w:p>
        </w:tc>
      </w:tr>
      <w:tr w:rsidRPr="007601EB" w:rsidR="005820A0" w:rsidTr="00A3780E" w14:paraId="4CBB60AE" w14:textId="77777777">
        <w:tc>
          <w:tcPr>
            <w:tcW w:w="1607" w:type="dxa"/>
            <w:vMerge/>
          </w:tcPr>
          <w:p w:rsidRPr="007601EB" w:rsidR="005820A0" w:rsidP="00BE1F8F" w:rsidRDefault="005820A0" w14:paraId="3E553D04" w14:textId="77777777">
            <w:pPr>
              <w:tabs>
                <w:tab w:val="center" w:pos="284"/>
              </w:tabs>
              <w:ind w:left="266" w:hanging="266"/>
              <w:rPr>
                <w:b/>
              </w:rPr>
            </w:pPr>
          </w:p>
        </w:tc>
        <w:tc>
          <w:tcPr>
            <w:tcW w:w="7573" w:type="dxa"/>
          </w:tcPr>
          <w:p w:rsidRPr="007601EB" w:rsidR="005820A0" w:rsidP="00BE1F8F" w:rsidRDefault="005820A0" w14:paraId="67128669" w14:textId="77777777">
            <w:pPr>
              <w:tabs>
                <w:tab w:val="center" w:pos="284"/>
              </w:tabs>
              <w:ind w:left="266" w:hanging="266"/>
            </w:pPr>
            <w:r w:rsidRPr="007601EB">
              <w:t>EESC-2024-03264-00-00-AC</w:t>
            </w:r>
          </w:p>
        </w:tc>
      </w:tr>
    </w:tbl>
    <w:p w:rsidRPr="007601EB" w:rsidR="005820A0" w:rsidP="00BE1F8F" w:rsidRDefault="005820A0" w14:paraId="4B78DAB0" w14:textId="77777777">
      <w:pPr>
        <w:tabs>
          <w:tab w:val="center" w:pos="284"/>
        </w:tabs>
        <w:ind w:left="266" w:hanging="266"/>
      </w:pPr>
    </w:p>
    <w:p w:rsidRPr="00B4456F" w:rsidR="005820A0" w:rsidP="00BE1F8F" w:rsidRDefault="005820A0" w14:paraId="766A65DB" w14:textId="77777777">
      <w:pPr>
        <w:keepNext/>
        <w:keepLines/>
        <w:tabs>
          <w:tab w:val="center" w:pos="284"/>
        </w:tabs>
        <w:ind w:left="266" w:hanging="266"/>
        <w:rPr>
          <w:b/>
        </w:rPr>
      </w:pPr>
      <w:r>
        <w:rPr>
          <w:b/>
        </w:rPr>
        <w:t>Kernaussagen</w:t>
      </w:r>
    </w:p>
    <w:p w:rsidRPr="00B4456F" w:rsidR="005820A0" w:rsidP="00BE1F8F" w:rsidRDefault="005820A0" w14:paraId="6AD26D2E" w14:textId="77777777">
      <w:pPr>
        <w:keepNext/>
        <w:keepLines/>
        <w:tabs>
          <w:tab w:val="center" w:pos="284"/>
        </w:tabs>
        <w:ind w:left="266" w:hanging="266"/>
        <w:rPr>
          <w:b/>
        </w:rPr>
      </w:pPr>
    </w:p>
    <w:p w:rsidRPr="00B4456F" w:rsidR="005820A0" w:rsidP="00BE1F8F" w:rsidRDefault="005820A0" w14:paraId="25B369D6" w14:textId="77777777">
      <w:pPr>
        <w:rPr>
          <w:bCs/>
          <w:iCs/>
        </w:rPr>
      </w:pPr>
      <w:r>
        <w:t>The EESC</w:t>
      </w:r>
    </w:p>
    <w:p w:rsidRPr="00393DF5" w:rsidR="005820A0" w:rsidP="00BE1F8F" w:rsidRDefault="005820A0" w14:paraId="6EEFEE69" w14:textId="77777777">
      <w:pPr>
        <w:widowControl w:val="0"/>
        <w:numPr>
          <w:ilvl w:val="0"/>
          <w:numId w:val="23"/>
        </w:numPr>
        <w:overflowPunct w:val="0"/>
        <w:autoSpaceDE w:val="0"/>
        <w:autoSpaceDN w:val="0"/>
        <w:adjustRightInd w:val="0"/>
        <w:ind w:left="284" w:hanging="284"/>
        <w:textAlignment w:val="baseline"/>
      </w:pPr>
      <w:r>
        <w:t>fordert die Kommission auf, in ihrer Amtszeit 2025–2029 eine europäische Strategie zur Bekämpfung der Einsamkeit mit folgenden Zielen anzunehmen: Konsolidierung der Kenntnisse über Einsamkeit, Analyse und Bewertung bestehender Maßnahmen, Einbeziehung eines bereichsübergreifenden Ansatzes, Bekämpfung der Ursachen von Einsamkeit durch einen präventiven Ansatz, Sensibilisierung und Entstigmatisierung, Entlastung der Gesundheitssysteme und Mobilisierung von Finanzmitteln;</w:t>
      </w:r>
    </w:p>
    <w:p w:rsidRPr="00393DF5" w:rsidR="005820A0" w:rsidP="00BE1F8F" w:rsidRDefault="005820A0" w14:paraId="059A30C7" w14:textId="77777777">
      <w:pPr>
        <w:widowControl w:val="0"/>
        <w:numPr>
          <w:ilvl w:val="0"/>
          <w:numId w:val="23"/>
        </w:numPr>
        <w:overflowPunct w:val="0"/>
        <w:autoSpaceDE w:val="0"/>
        <w:autoSpaceDN w:val="0"/>
        <w:adjustRightInd w:val="0"/>
        <w:ind w:left="284" w:hanging="284"/>
        <w:textAlignment w:val="baseline"/>
      </w:pPr>
      <w:r>
        <w:t>unterstreicht die Schlüsselrolle von Organisationen der Zivilgesellschaft bei der Bekämpfung von Einsamkeit, und erkennt an, dass auch die Sozialpartner hier einen Beitrag leisten können;</w:t>
      </w:r>
    </w:p>
    <w:p w:rsidRPr="00393DF5" w:rsidR="005820A0" w:rsidP="00BE1F8F" w:rsidRDefault="005820A0" w14:paraId="074DF4E0" w14:textId="77777777">
      <w:pPr>
        <w:widowControl w:val="0"/>
        <w:numPr>
          <w:ilvl w:val="0"/>
          <w:numId w:val="23"/>
        </w:numPr>
        <w:overflowPunct w:val="0"/>
        <w:autoSpaceDE w:val="0"/>
        <w:autoSpaceDN w:val="0"/>
        <w:adjustRightInd w:val="0"/>
        <w:ind w:left="284" w:hanging="284"/>
        <w:textAlignment w:val="baseline"/>
      </w:pPr>
      <w:r>
        <w:t>fordert, dass im Rahmen der europäischen Strategie für ältere Menschen (Stellungnahme SOC/757) und der künftigen europäischen Strategie für Generationengerechtigkeit (Stellungnahme SOC/800) auf europäischer Ebene spezifische Maßnahmen gegen Einsamkeit entwickelt werden, einschließlich nationaler Pläne;</w:t>
      </w:r>
    </w:p>
    <w:p w:rsidRPr="00393DF5" w:rsidR="005820A0" w:rsidP="00BE1F8F" w:rsidRDefault="005820A0" w14:paraId="54B7D9CA" w14:textId="77777777">
      <w:pPr>
        <w:widowControl w:val="0"/>
        <w:numPr>
          <w:ilvl w:val="0"/>
          <w:numId w:val="23"/>
        </w:numPr>
        <w:overflowPunct w:val="0"/>
        <w:autoSpaceDE w:val="0"/>
        <w:autoSpaceDN w:val="0"/>
        <w:adjustRightInd w:val="0"/>
        <w:ind w:left="284" w:hanging="284"/>
        <w:textAlignment w:val="baseline"/>
      </w:pPr>
      <w:r>
        <w:t>ist der Ansicht, dass Strategien gegen Einsamkeit auf das gesamte Leben ausgerichtet sein und sich dabei auf die Übergangsphasen im Leben konzentrieren sollten. Sie sollten zudem auf hoher Ebene unter Einbeziehung der verschiedenen Akteure wie der öffentlichen Verwaltungen, insbesondere lokaler Behörden, der organisierten Zivilgesellschaft, der Sozialpartner, der Sozialwirtschaft und der Medien konzipiert und umgesetzt werden;</w:t>
      </w:r>
    </w:p>
    <w:p w:rsidRPr="00393DF5" w:rsidR="005820A0" w:rsidP="00BE1F8F" w:rsidRDefault="005820A0" w14:paraId="2C2AFEDD" w14:textId="77777777">
      <w:pPr>
        <w:widowControl w:val="0"/>
        <w:numPr>
          <w:ilvl w:val="0"/>
          <w:numId w:val="23"/>
        </w:numPr>
        <w:overflowPunct w:val="0"/>
        <w:autoSpaceDE w:val="0"/>
        <w:autoSpaceDN w:val="0"/>
        <w:adjustRightInd w:val="0"/>
        <w:ind w:left="284" w:hanging="284"/>
        <w:textAlignment w:val="baseline"/>
      </w:pPr>
      <w:r>
        <w:t>fordert die Europäische Kommission auf, das auf Ersuchen des Europäischen Parlaments im Jahr 2022 eingeleitete Pilotprojekt zur Einsamkeit fortzusetzen;</w:t>
      </w:r>
    </w:p>
    <w:p w:rsidRPr="00393DF5" w:rsidR="005820A0" w:rsidP="00BE1F8F" w:rsidRDefault="005820A0" w14:paraId="08802E05" w14:textId="77777777">
      <w:pPr>
        <w:widowControl w:val="0"/>
        <w:numPr>
          <w:ilvl w:val="0"/>
          <w:numId w:val="23"/>
        </w:numPr>
        <w:overflowPunct w:val="0"/>
        <w:autoSpaceDE w:val="0"/>
        <w:autoSpaceDN w:val="0"/>
        <w:adjustRightInd w:val="0"/>
        <w:ind w:left="284" w:hanging="284"/>
        <w:textAlignment w:val="baseline"/>
      </w:pPr>
      <w:r>
        <w:t>fordert, die Dimension der Einsamkeit in die künftige Initiative „Jugendtest“ aufzunehmen;</w:t>
      </w:r>
    </w:p>
    <w:p w:rsidRPr="00393DF5" w:rsidR="005820A0" w:rsidP="00BE1F8F" w:rsidRDefault="005820A0" w14:paraId="38721F1A" w14:textId="77777777">
      <w:pPr>
        <w:widowControl w:val="0"/>
        <w:numPr>
          <w:ilvl w:val="0"/>
          <w:numId w:val="23"/>
        </w:numPr>
        <w:overflowPunct w:val="0"/>
        <w:autoSpaceDE w:val="0"/>
        <w:autoSpaceDN w:val="0"/>
        <w:adjustRightInd w:val="0"/>
        <w:ind w:left="284" w:hanging="284"/>
        <w:textAlignment w:val="baseline"/>
      </w:pPr>
      <w:r>
        <w:t>ersucht den Europäischen Ausschuss der Regionen, sich an der vorgeschlagenen Strategie zu beteiligen.</w:t>
      </w:r>
    </w:p>
    <w:p w:rsidRPr="00B4456F" w:rsidR="005820A0" w:rsidP="00BE1F8F" w:rsidRDefault="005820A0" w14:paraId="0D200582"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12"/>
      </w:tblGrid>
      <w:tr w:rsidRPr="007601EB" w:rsidR="005820A0" w:rsidTr="00BE1F8F" w14:paraId="7592C7BE" w14:textId="77777777">
        <w:tc>
          <w:tcPr>
            <w:tcW w:w="1668" w:type="dxa"/>
          </w:tcPr>
          <w:p w:rsidRPr="007601EB" w:rsidR="005820A0" w:rsidP="00BE1F8F" w:rsidRDefault="005820A0" w14:paraId="208016A2" w14:textId="5CF87BF1">
            <w:pPr>
              <w:rPr>
                <w:i/>
              </w:rPr>
            </w:pPr>
            <w:r w:rsidRPr="007601EB">
              <w:rPr>
                <w:b/>
                <w:i/>
              </w:rPr>
              <w:t>Kontakt</w:t>
            </w:r>
          </w:p>
        </w:tc>
        <w:tc>
          <w:tcPr>
            <w:tcW w:w="7512" w:type="dxa"/>
          </w:tcPr>
          <w:p w:rsidRPr="007601EB" w:rsidR="005820A0" w:rsidP="00BE1F8F" w:rsidRDefault="005820A0" w14:paraId="6CF1067D" w14:textId="712D966F">
            <w:pPr>
              <w:rPr>
                <w:i/>
              </w:rPr>
            </w:pPr>
            <w:r w:rsidRPr="007601EB">
              <w:rPr>
                <w:i/>
              </w:rPr>
              <w:t xml:space="preserve">Valeria </w:t>
            </w:r>
            <w:proofErr w:type="spellStart"/>
            <w:r w:rsidRPr="007601EB">
              <w:rPr>
                <w:i/>
              </w:rPr>
              <w:t>Atzori</w:t>
            </w:r>
            <w:proofErr w:type="spellEnd"/>
          </w:p>
        </w:tc>
      </w:tr>
      <w:tr w:rsidRPr="007601EB" w:rsidR="005820A0" w:rsidTr="00BE1F8F" w14:paraId="6C8121C6" w14:textId="77777777">
        <w:tc>
          <w:tcPr>
            <w:tcW w:w="1668" w:type="dxa"/>
          </w:tcPr>
          <w:p w:rsidRPr="007601EB" w:rsidR="005820A0" w:rsidP="00BE1F8F" w:rsidRDefault="005820A0" w14:paraId="1B05B83D" w14:textId="43B7C197">
            <w:pPr>
              <w:rPr>
                <w:i/>
              </w:rPr>
            </w:pPr>
            <w:r w:rsidRPr="007601EB">
              <w:rPr>
                <w:i/>
              </w:rPr>
              <w:t>Tel.</w:t>
            </w:r>
          </w:p>
        </w:tc>
        <w:tc>
          <w:tcPr>
            <w:tcW w:w="7512" w:type="dxa"/>
          </w:tcPr>
          <w:p w:rsidRPr="007601EB" w:rsidR="005820A0" w:rsidP="00BE1F8F" w:rsidRDefault="005820A0" w14:paraId="4579CB82" w14:textId="77777777">
            <w:pPr>
              <w:rPr>
                <w:i/>
              </w:rPr>
            </w:pPr>
            <w:r w:rsidRPr="007601EB">
              <w:rPr>
                <w:i/>
              </w:rPr>
              <w:t>+32 25468774</w:t>
            </w:r>
          </w:p>
        </w:tc>
      </w:tr>
      <w:tr w:rsidRPr="007601EB" w:rsidR="005820A0" w:rsidTr="00BE1F8F" w14:paraId="7DF31CE8" w14:textId="77777777">
        <w:trPr>
          <w:trHeight w:val="285"/>
        </w:trPr>
        <w:tc>
          <w:tcPr>
            <w:tcW w:w="1668" w:type="dxa"/>
          </w:tcPr>
          <w:p w:rsidRPr="007601EB" w:rsidR="005820A0" w:rsidP="00BE1F8F" w:rsidRDefault="005820A0" w14:paraId="30F9AA2F" w14:textId="7B8A8D0D">
            <w:pPr>
              <w:rPr>
                <w:i/>
              </w:rPr>
            </w:pPr>
            <w:r w:rsidRPr="007601EB">
              <w:rPr>
                <w:i/>
              </w:rPr>
              <w:t>E-Mail</w:t>
            </w:r>
          </w:p>
        </w:tc>
        <w:tc>
          <w:tcPr>
            <w:tcW w:w="7512" w:type="dxa"/>
          </w:tcPr>
          <w:p w:rsidRPr="007601EB" w:rsidR="005820A0" w:rsidP="00BE1F8F" w:rsidRDefault="006A4D48" w14:paraId="75028D49" w14:textId="77777777">
            <w:pPr>
              <w:rPr>
                <w:i/>
                <w:iCs/>
              </w:rPr>
            </w:pPr>
            <w:hyperlink w:history="1" r:id="rId30">
              <w:r w:rsidRPr="007601EB" w:rsidR="008A2164">
                <w:rPr>
                  <w:rStyle w:val="Hyperlink"/>
                  <w:i/>
                </w:rPr>
                <w:t>Valeria.Atzori@eesc.europa.eu</w:t>
              </w:r>
            </w:hyperlink>
          </w:p>
        </w:tc>
      </w:tr>
    </w:tbl>
    <w:p w:rsidRPr="007601EB" w:rsidR="005820A0" w:rsidP="00BE1F8F" w:rsidRDefault="005820A0" w14:paraId="1C8B6452" w14:textId="77777777">
      <w:pPr>
        <w:jc w:val="left"/>
      </w:pPr>
    </w:p>
    <w:p w:rsidR="005820A0" w:rsidP="00BE1F8F" w:rsidRDefault="005820A0" w14:paraId="18575FDC" w14:textId="77777777">
      <w:pPr>
        <w:jc w:val="left"/>
      </w:pPr>
      <w:r>
        <w:br w:type="page"/>
      </w:r>
    </w:p>
    <w:p w:rsidRPr="00BE1F8F" w:rsidR="006D1DFA" w:rsidP="00BE1F8F" w:rsidRDefault="006A4D48" w14:paraId="4A9CF9A9" w14:textId="0D522BB4">
      <w:pPr>
        <w:widowControl w:val="0"/>
        <w:numPr>
          <w:ilvl w:val="0"/>
          <w:numId w:val="3"/>
        </w:numPr>
        <w:overflowPunct w:val="0"/>
        <w:autoSpaceDE w:val="0"/>
        <w:autoSpaceDN w:val="0"/>
        <w:adjustRightInd w:val="0"/>
        <w:ind w:left="567" w:hanging="567"/>
        <w:textAlignment w:val="baseline"/>
      </w:pPr>
      <w:hyperlink w:history="1" r:id="rId31">
        <w:r w:rsidR="008A2164">
          <w:rPr>
            <w:b/>
            <w:i/>
            <w:color w:val="0000FF"/>
            <w:sz w:val="28"/>
            <w:u w:val="single"/>
          </w:rPr>
          <w:t>Gewalt gegen Frauen als Menschenrechtsfrage – aktueller Stand der Maßnahmen in der EU</w:t>
        </w:r>
      </w:hyperlink>
    </w:p>
    <w:p w:rsidRPr="006D1DFA" w:rsidR="006D1DFA" w:rsidP="00BE1F8F" w:rsidRDefault="006D1DFA" w14:paraId="0322A41C" w14:textId="77777777">
      <w:pPr>
        <w:tabs>
          <w:tab w:val="center" w:pos="284"/>
        </w:tabs>
        <w:overflowPunct w:val="0"/>
        <w:autoSpaceDE w:val="0"/>
        <w:autoSpaceDN w:val="0"/>
        <w:adjustRightInd w:val="0"/>
        <w:ind w:left="567" w:hanging="567"/>
        <w:textAlignment w:val="baseline"/>
        <w:rPr>
          <w:sz w:val="16"/>
          <w:szCs w:val="16"/>
          <w:lang w:val="en-GB"/>
        </w:rPr>
      </w:pPr>
    </w:p>
    <w:tbl>
      <w:tblPr>
        <w:tblW w:w="9322" w:type="dxa"/>
        <w:tblLook w:val="04A0" w:firstRow="1" w:lastRow="0" w:firstColumn="1" w:lastColumn="0" w:noHBand="0" w:noVBand="1"/>
      </w:tblPr>
      <w:tblGrid>
        <w:gridCol w:w="2376"/>
        <w:gridCol w:w="6946"/>
      </w:tblGrid>
      <w:tr w:rsidRPr="00BA71AC" w:rsidR="006D1DFA" w:rsidTr="007601EB" w14:paraId="4E8132D8" w14:textId="77777777">
        <w:tc>
          <w:tcPr>
            <w:tcW w:w="2376" w:type="dxa"/>
          </w:tcPr>
          <w:p w:rsidRPr="006D1DFA" w:rsidR="006D1DFA" w:rsidP="00BE1F8F" w:rsidRDefault="006D1DFA" w14:paraId="62FE863C" w14:textId="77777777">
            <w:pPr>
              <w:tabs>
                <w:tab w:val="center" w:pos="284"/>
              </w:tabs>
              <w:overflowPunct w:val="0"/>
              <w:autoSpaceDE w:val="0"/>
              <w:autoSpaceDN w:val="0"/>
              <w:adjustRightInd w:val="0"/>
              <w:ind w:left="567" w:hanging="567"/>
              <w:textAlignment w:val="baseline"/>
              <w:rPr>
                <w:b/>
              </w:rPr>
            </w:pPr>
            <w:r>
              <w:rPr>
                <w:b/>
              </w:rPr>
              <w:t>Berichterstatter</w:t>
            </w:r>
          </w:p>
        </w:tc>
        <w:tc>
          <w:tcPr>
            <w:tcW w:w="6946" w:type="dxa"/>
          </w:tcPr>
          <w:p w:rsidRPr="006D1DFA" w:rsidR="006D1DFA" w:rsidP="00BE1F8F" w:rsidRDefault="006D1DFA" w14:paraId="59709140" w14:textId="77777777">
            <w:pPr>
              <w:overflowPunct w:val="0"/>
              <w:autoSpaceDE w:val="0"/>
              <w:autoSpaceDN w:val="0"/>
              <w:adjustRightInd w:val="0"/>
              <w:textAlignment w:val="baseline"/>
            </w:pPr>
            <w:r>
              <w:t>José Antonio MORENO DÍAZ (Gruppe Arbeitnehmer – ES)</w:t>
            </w:r>
          </w:p>
        </w:tc>
      </w:tr>
      <w:tr w:rsidRPr="006D1DFA" w:rsidR="006D1DFA" w:rsidTr="007601EB" w14:paraId="30BC9238" w14:textId="77777777">
        <w:tc>
          <w:tcPr>
            <w:tcW w:w="2376" w:type="dxa"/>
          </w:tcPr>
          <w:p w:rsidRPr="006D1DFA" w:rsidR="006D1DFA" w:rsidP="00BE1F8F" w:rsidRDefault="006D1DFA" w14:paraId="4D886634" w14:textId="77777777">
            <w:pPr>
              <w:tabs>
                <w:tab w:val="center" w:pos="284"/>
              </w:tabs>
              <w:overflowPunct w:val="0"/>
              <w:autoSpaceDE w:val="0"/>
              <w:autoSpaceDN w:val="0"/>
              <w:adjustRightInd w:val="0"/>
              <w:ind w:left="567" w:hanging="567"/>
              <w:textAlignment w:val="baseline"/>
              <w:rPr>
                <w:b/>
              </w:rPr>
            </w:pPr>
            <w:r>
              <w:rPr>
                <w:b/>
              </w:rPr>
              <w:t>Ko-Berichterstatterin</w:t>
            </w:r>
          </w:p>
        </w:tc>
        <w:tc>
          <w:tcPr>
            <w:tcW w:w="6946" w:type="dxa"/>
          </w:tcPr>
          <w:p w:rsidRPr="006D1DFA" w:rsidR="006D1DFA" w:rsidP="00BE1F8F" w:rsidRDefault="006D1DFA" w14:paraId="04C5BBA6" w14:textId="24635529">
            <w:pPr>
              <w:overflowPunct w:val="0"/>
              <w:autoSpaceDE w:val="0"/>
              <w:autoSpaceDN w:val="0"/>
              <w:adjustRightInd w:val="0"/>
              <w:textAlignment w:val="baseline"/>
            </w:pPr>
            <w:proofErr w:type="spellStart"/>
            <w:r>
              <w:t>Dovilė</w:t>
            </w:r>
            <w:proofErr w:type="spellEnd"/>
            <w:r>
              <w:t xml:space="preserve"> JUODKAITĖ (Gruppe Organisationen der Zivilgesellschaft – LT)</w:t>
            </w:r>
          </w:p>
        </w:tc>
      </w:tr>
      <w:tr w:rsidRPr="006D1DFA" w:rsidR="006D1DFA" w:rsidTr="007601EB" w14:paraId="51A5C160" w14:textId="77777777">
        <w:tc>
          <w:tcPr>
            <w:tcW w:w="2376" w:type="dxa"/>
          </w:tcPr>
          <w:p w:rsidRPr="006D1DFA" w:rsidR="006D1DFA" w:rsidP="00BE1F8F" w:rsidRDefault="006D1DFA" w14:paraId="1546DA25" w14:textId="112DF30C">
            <w:pPr>
              <w:tabs>
                <w:tab w:val="center" w:pos="284"/>
              </w:tabs>
              <w:overflowPunct w:val="0"/>
              <w:autoSpaceDE w:val="0"/>
              <w:autoSpaceDN w:val="0"/>
              <w:adjustRightInd w:val="0"/>
              <w:ind w:left="567" w:hanging="567"/>
              <w:textAlignment w:val="baseline"/>
              <w:rPr>
                <w:b/>
              </w:rPr>
            </w:pPr>
            <w:r>
              <w:rPr>
                <w:b/>
              </w:rPr>
              <w:t>Referenzdokument</w:t>
            </w:r>
          </w:p>
        </w:tc>
        <w:tc>
          <w:tcPr>
            <w:tcW w:w="6946" w:type="dxa"/>
          </w:tcPr>
          <w:p w:rsidRPr="00C43D3E" w:rsidR="00C87D91" w:rsidP="00BE1F8F" w:rsidRDefault="00C87D91" w14:paraId="4F80F6D2" w14:textId="5951F9F7">
            <w:pPr>
              <w:tabs>
                <w:tab w:val="center" w:pos="284"/>
              </w:tabs>
              <w:overflowPunct w:val="0"/>
              <w:autoSpaceDE w:val="0"/>
              <w:autoSpaceDN w:val="0"/>
              <w:adjustRightInd w:val="0"/>
              <w:ind w:left="567" w:hanging="567"/>
              <w:textAlignment w:val="baseline"/>
            </w:pPr>
            <w:r>
              <w:t>Initiativstellungnahme</w:t>
            </w:r>
          </w:p>
          <w:p w:rsidRPr="00C43D3E" w:rsidR="006D1DFA" w:rsidP="00BE1F8F" w:rsidRDefault="006D1DFA" w14:paraId="5A2B7EA1" w14:textId="6B30F056">
            <w:pPr>
              <w:tabs>
                <w:tab w:val="center" w:pos="284"/>
              </w:tabs>
              <w:overflowPunct w:val="0"/>
              <w:autoSpaceDE w:val="0"/>
              <w:autoSpaceDN w:val="0"/>
              <w:adjustRightInd w:val="0"/>
              <w:ind w:left="567" w:hanging="567"/>
              <w:textAlignment w:val="baseline"/>
            </w:pPr>
            <w:r>
              <w:t>EESC-2024-01831-00-00-AC</w:t>
            </w:r>
          </w:p>
        </w:tc>
      </w:tr>
    </w:tbl>
    <w:p w:rsidRPr="00BE1F8F" w:rsidR="0083181F" w:rsidP="00BE1F8F" w:rsidRDefault="0083181F" w14:paraId="2171E13E"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D1DFA" w:rsidR="006D1DFA" w:rsidP="00BE1F8F" w:rsidRDefault="006D1DFA" w14:paraId="5EF86660" w14:textId="2D834EC7">
      <w:pPr>
        <w:keepNext/>
        <w:keepLines/>
        <w:tabs>
          <w:tab w:val="center" w:pos="284"/>
        </w:tabs>
        <w:overflowPunct w:val="0"/>
        <w:autoSpaceDE w:val="0"/>
        <w:autoSpaceDN w:val="0"/>
        <w:adjustRightInd w:val="0"/>
        <w:ind w:left="266" w:hanging="266"/>
        <w:textAlignment w:val="baseline"/>
        <w:rPr>
          <w:b/>
        </w:rPr>
      </w:pPr>
      <w:r>
        <w:rPr>
          <w:b/>
        </w:rPr>
        <w:t>Kernaussagen</w:t>
      </w:r>
    </w:p>
    <w:p w:rsidRPr="00BE1F8F" w:rsidR="006D1DFA" w:rsidP="00BE1F8F" w:rsidRDefault="006D1DFA" w14:paraId="7A7C5D4B" w14:textId="77777777">
      <w:pPr>
        <w:overflowPunct w:val="0"/>
        <w:autoSpaceDE w:val="0"/>
        <w:autoSpaceDN w:val="0"/>
        <w:adjustRightInd w:val="0"/>
        <w:textAlignment w:val="baseline"/>
        <w:rPr>
          <w:sz w:val="16"/>
          <w:szCs w:val="16"/>
          <w:lang w:val="en-GB"/>
        </w:rPr>
      </w:pPr>
    </w:p>
    <w:p w:rsidR="006D1DFA" w:rsidP="00BE1F8F" w:rsidRDefault="006D1DFA" w14:paraId="10140015" w14:textId="77777777">
      <w:pPr>
        <w:overflowPunct w:val="0"/>
        <w:autoSpaceDE w:val="0"/>
        <w:autoSpaceDN w:val="0"/>
        <w:adjustRightInd w:val="0"/>
        <w:textAlignment w:val="baseline"/>
        <w:rPr>
          <w:szCs w:val="20"/>
        </w:rPr>
      </w:pPr>
      <w:r>
        <w:t>Der EWSA</w:t>
      </w:r>
    </w:p>
    <w:p w:rsidRPr="006D1DFA" w:rsidR="006D1DFA" w:rsidP="00BE1F8F" w:rsidRDefault="006D1DFA" w14:paraId="6A53E697" w14:textId="77777777">
      <w:pPr>
        <w:numPr>
          <w:ilvl w:val="0"/>
          <w:numId w:val="24"/>
        </w:numPr>
        <w:overflowPunct w:val="0"/>
        <w:autoSpaceDE w:val="0"/>
        <w:autoSpaceDN w:val="0"/>
        <w:adjustRightInd w:val="0"/>
        <w:ind w:left="284" w:hanging="284"/>
        <w:contextualSpacing/>
        <w:textAlignment w:val="baseline"/>
      </w:pPr>
      <w:r>
        <w:t>weist darauf hin, dass Gewalt gegen Frauen und Mädchen eine Menschenrechtsverletzung und eine der am schwersten zu bekämpfenden Formen der Diskriminierung aufgrund des Geschlechts ist; fordert die Ratifizierung und Umsetzung des Übereinkommens des Europarats zur Verhütung und Bekämpfung von Gewalt gegen Frauen und häuslicher Gewalt (Übereinkommen von Istanbul) und des Übereinkommens 190 der Internationalen Arbeitsorganisation über Gewalt und Belästigung sowie insbesondere von deren Empfehlung 206, die in allen Mitgliedstaaten und von der EU selbst besser bekannt gemacht und umgesetzt werden sollten;</w:t>
      </w:r>
    </w:p>
    <w:p w:rsidRPr="006D1DFA" w:rsidR="006D1DFA" w:rsidP="00BE1F8F" w:rsidRDefault="006D1DFA" w14:paraId="2FC21B34" w14:textId="77777777">
      <w:pPr>
        <w:numPr>
          <w:ilvl w:val="0"/>
          <w:numId w:val="24"/>
        </w:numPr>
        <w:overflowPunct w:val="0"/>
        <w:autoSpaceDE w:val="0"/>
        <w:autoSpaceDN w:val="0"/>
        <w:adjustRightInd w:val="0"/>
        <w:ind w:left="284" w:hanging="284"/>
        <w:contextualSpacing/>
        <w:textAlignment w:val="baseline"/>
      </w:pPr>
      <w:r>
        <w:t xml:space="preserve">ist der Auffassung, dass die Richtlinie (EU) 2024/1385 zur Bekämpfung von Gewalt gegen Frauen und häuslicher Gewalt allen Formen von Gewalt gegen Frauen, u. a. institutioneller Gewalt, Prostitution, kommerzieller oder ausbeuterischer Pornografie, reproduktiver Ausbeutung, indirekter Gewalt, </w:t>
      </w:r>
      <w:proofErr w:type="spellStart"/>
      <w:r>
        <w:t>Gefügigmachen</w:t>
      </w:r>
      <w:proofErr w:type="spellEnd"/>
      <w:r>
        <w:t xml:space="preserve"> durch chemische Substanzen und Belästigung im öffentlichen Raum sowie sexueller und geschlechtsbezogener Belästigung und Zwangssterilisierung von Frauen mit Behinderungen, Rechnung tragen sollte;</w:t>
      </w:r>
    </w:p>
    <w:p w:rsidRPr="006D1DFA" w:rsidR="006D1DFA" w:rsidP="00BE1F8F" w:rsidRDefault="006D1DFA" w14:paraId="449A6664" w14:textId="560DC9F4">
      <w:pPr>
        <w:numPr>
          <w:ilvl w:val="0"/>
          <w:numId w:val="24"/>
        </w:numPr>
        <w:overflowPunct w:val="0"/>
        <w:autoSpaceDE w:val="0"/>
        <w:autoSpaceDN w:val="0"/>
        <w:adjustRightInd w:val="0"/>
        <w:ind w:left="284" w:hanging="284"/>
        <w:contextualSpacing/>
        <w:textAlignment w:val="baseline"/>
      </w:pPr>
      <w:r>
        <w:t>fordert, sexuelle Gewalt und Vergewaltigung als Formen der Gewalt in die Richtlinie aufzunehmen und aufgrund des fehlenden Einverständnisses unter Strafe zu stellen. Der Begriff „Einverständnis“ muss im Zusammenhang mit sexueller Gewalt definiert werden. Geschlechtsspezifische Gewalt, einschließlich Vergewaltigung, sollte zu den in Artikel 83 Absatz 1 AEUV genannten „EU</w:t>
      </w:r>
      <w:r w:rsidR="007601EB">
        <w:noBreakHyphen/>
      </w:r>
      <w:r>
        <w:t>Straftatbeständen“ hinzugefügt werden;</w:t>
      </w:r>
    </w:p>
    <w:p w:rsidRPr="006D1DFA" w:rsidR="006D1DFA" w:rsidP="00BE1F8F" w:rsidRDefault="006D1DFA" w14:paraId="7256F59F" w14:textId="77777777">
      <w:pPr>
        <w:numPr>
          <w:ilvl w:val="0"/>
          <w:numId w:val="24"/>
        </w:numPr>
        <w:overflowPunct w:val="0"/>
        <w:autoSpaceDE w:val="0"/>
        <w:autoSpaceDN w:val="0"/>
        <w:adjustRightInd w:val="0"/>
        <w:ind w:left="284" w:hanging="284"/>
        <w:contextualSpacing/>
        <w:textAlignment w:val="baseline"/>
      </w:pPr>
      <w:r>
        <w:t xml:space="preserve">ist besorgt darüber, dass physische, psychische und sexuelle Gewalt als wesentliche Bestandteile von Prostitution sowie Einschränkungen hinsichtlich eines kostenlosen und sicheren Schwangerschaftsabbruchs nicht als Form der Gewalt gegen Frauen aufgenommen wurden; </w:t>
      </w:r>
    </w:p>
    <w:p w:rsidRPr="006D1DFA" w:rsidR="006D1DFA" w:rsidP="00BE1F8F" w:rsidRDefault="006D1DFA" w14:paraId="0D19D92A" w14:textId="77777777">
      <w:pPr>
        <w:numPr>
          <w:ilvl w:val="0"/>
          <w:numId w:val="24"/>
        </w:numPr>
        <w:overflowPunct w:val="0"/>
        <w:autoSpaceDE w:val="0"/>
        <w:autoSpaceDN w:val="0"/>
        <w:adjustRightInd w:val="0"/>
        <w:ind w:left="284" w:hanging="284"/>
        <w:contextualSpacing/>
        <w:textAlignment w:val="baseline"/>
      </w:pPr>
      <w:r>
        <w:t>betont zwar, dass jedwede Gewalt gegen Frauen ein erhebliches Problem für die öffentliche und klinische Gesundheit darstellt, unterstreicht jedoch die mehrfachen sowie sich überschneidenden Formen der Diskriminierung von Frauen mit Behinderungen, insbesondere von Frauen mit psychischen Erkrankungen und psychosozialen und/oder geistigen Behinderungen; fordert, diese Form von Gewalt als Problem der öffentlichen Gesundheit mit langfristigen Folgen zu betrachten; fordert zudem eine nach Behinderungen aufgeschlüsselte Datenerhebung;</w:t>
      </w:r>
    </w:p>
    <w:p w:rsidRPr="006D1DFA" w:rsidR="006D1DFA" w:rsidP="00BE1F8F" w:rsidRDefault="006D1DFA" w14:paraId="33ACD23C" w14:textId="77777777">
      <w:pPr>
        <w:numPr>
          <w:ilvl w:val="0"/>
          <w:numId w:val="24"/>
        </w:numPr>
        <w:overflowPunct w:val="0"/>
        <w:autoSpaceDE w:val="0"/>
        <w:autoSpaceDN w:val="0"/>
        <w:adjustRightInd w:val="0"/>
        <w:ind w:left="284" w:hanging="284"/>
        <w:contextualSpacing/>
        <w:textAlignment w:val="baseline"/>
      </w:pPr>
      <w:r>
        <w:t xml:space="preserve">ist zutiefst besorgt darüber, dass Gewalt gegen Frauen </w:t>
      </w:r>
      <w:proofErr w:type="spellStart"/>
      <w:r>
        <w:t>mancherseits</w:t>
      </w:r>
      <w:proofErr w:type="spellEnd"/>
      <w:r>
        <w:t xml:space="preserve"> nicht als spezifische Form der Gewalt anerkannt wird, die gegen Frauen ausgeübt wird, weil sie Frauen sind, womit gegen die Werte und Grundsätze von Artikel 2 AEUV verstoßen wird; ist der Ansicht, dass Bildung und Erziehung, einschließlich der Sexualerziehung, für die Prägung von Geschlechterrollen und Stereotypen von maßgeblicher Bedeutung sind, und fordert eine Einbeziehung der Bildungsfachleute, der zivilgesellschaftlichen Organisationen und der Sozialpartner in die institutionelle Zusammenarbeit zur Prävention und zur Beseitigung geschlechtsspezifischer Gewalt;</w:t>
      </w:r>
    </w:p>
    <w:p w:rsidRPr="00C43D3E" w:rsidR="006D1DFA" w:rsidP="00BE1F8F" w:rsidRDefault="006D1DFA" w14:paraId="080A278F" w14:textId="77777777">
      <w:pPr>
        <w:numPr>
          <w:ilvl w:val="0"/>
          <w:numId w:val="24"/>
        </w:numPr>
        <w:overflowPunct w:val="0"/>
        <w:autoSpaceDE w:val="0"/>
        <w:autoSpaceDN w:val="0"/>
        <w:adjustRightInd w:val="0"/>
        <w:ind w:left="284" w:hanging="284"/>
        <w:contextualSpacing/>
        <w:textAlignment w:val="baseline"/>
        <w:rPr>
          <w:rFonts w:ascii="Calibri" w:hAnsi="Calibri"/>
        </w:rPr>
      </w:pPr>
      <w:r>
        <w:lastRenderedPageBreak/>
        <w:t>fordert, spezifische Maßnahmen in den Bereichen sozialer Dialog, Tarifverhandlungen und notwendige Verhandlungen mit den Sozialpartnern vorzusehen, um die Beschäftigung und die Beschäftigungsfähigkeit von Opfern geschlechtsspezifischer Gewalt zu fördern.</w:t>
      </w:r>
    </w:p>
    <w:p w:rsidRPr="00BE1F8F" w:rsidR="0083181F" w:rsidP="00BE1F8F" w:rsidRDefault="0083181F" w14:paraId="1D0159F4" w14:textId="77777777">
      <w:pPr>
        <w:overflowPunct w:val="0"/>
        <w:autoSpaceDE w:val="0"/>
        <w:autoSpaceDN w:val="0"/>
        <w:adjustRightInd w:val="0"/>
        <w:ind w:left="360"/>
        <w:contextualSpacing/>
        <w:textAlignment w:val="baseline"/>
        <w:rPr>
          <w:rFonts w:ascii="Calibri" w:hAnsi="Calibri"/>
          <w:sz w:val="16"/>
          <w:szCs w:val="16"/>
          <w:lang w:val="en-GB" w:eastAsia="zh-CN"/>
        </w:rPr>
      </w:pPr>
    </w:p>
    <w:tbl>
      <w:tblPr>
        <w:tblW w:w="5000" w:type="pct"/>
        <w:tblLook w:val="04A0" w:firstRow="1" w:lastRow="0" w:firstColumn="1" w:lastColumn="0" w:noHBand="0" w:noVBand="1"/>
      </w:tblPr>
      <w:tblGrid>
        <w:gridCol w:w="1668"/>
        <w:gridCol w:w="7619"/>
      </w:tblGrid>
      <w:tr w:rsidRPr="006D1DFA" w:rsidR="006D1DFA" w:rsidTr="00BE1F8F" w14:paraId="4A8CFBCD" w14:textId="77777777">
        <w:trPr>
          <w:trHeight w:val="60"/>
        </w:trPr>
        <w:tc>
          <w:tcPr>
            <w:tcW w:w="898" w:type="pct"/>
            <w:hideMark/>
          </w:tcPr>
          <w:p w:rsidRPr="006D1DFA" w:rsidR="006D1DFA" w:rsidP="00BE1F8F" w:rsidRDefault="006D1DFA" w14:paraId="089C51AC" w14:textId="77777777">
            <w:pPr>
              <w:overflowPunct w:val="0"/>
              <w:autoSpaceDE w:val="0"/>
              <w:autoSpaceDN w:val="0"/>
              <w:adjustRightInd w:val="0"/>
              <w:textAlignment w:val="baseline"/>
              <w:rPr>
                <w:i/>
              </w:rPr>
            </w:pPr>
            <w:r>
              <w:rPr>
                <w:b/>
                <w:i/>
              </w:rPr>
              <w:t>Kontakt</w:t>
            </w:r>
          </w:p>
        </w:tc>
        <w:tc>
          <w:tcPr>
            <w:tcW w:w="4102" w:type="pct"/>
            <w:hideMark/>
          </w:tcPr>
          <w:p w:rsidRPr="006D1DFA" w:rsidR="006D1DFA" w:rsidP="00BE1F8F" w:rsidRDefault="006D1DFA" w14:paraId="6FF5FA37" w14:textId="11C6C549">
            <w:pPr>
              <w:overflowPunct w:val="0"/>
              <w:autoSpaceDE w:val="0"/>
              <w:autoSpaceDN w:val="0"/>
              <w:adjustRightInd w:val="0"/>
              <w:textAlignment w:val="baseline"/>
              <w:rPr>
                <w:i/>
                <w:iCs/>
              </w:rPr>
            </w:pPr>
            <w:r>
              <w:rPr>
                <w:i/>
              </w:rPr>
              <w:t xml:space="preserve">Gabriela </w:t>
            </w:r>
            <w:proofErr w:type="spellStart"/>
            <w:r>
              <w:rPr>
                <w:i/>
              </w:rPr>
              <w:t>Grasu</w:t>
            </w:r>
            <w:proofErr w:type="spellEnd"/>
          </w:p>
        </w:tc>
      </w:tr>
      <w:tr w:rsidRPr="006D1DFA" w:rsidR="006D1DFA" w:rsidTr="00BE1F8F" w14:paraId="77817741" w14:textId="77777777">
        <w:tc>
          <w:tcPr>
            <w:tcW w:w="898" w:type="pct"/>
            <w:hideMark/>
          </w:tcPr>
          <w:p w:rsidRPr="006D1DFA" w:rsidR="006D1DFA" w:rsidP="00BE1F8F" w:rsidRDefault="006D1DFA" w14:paraId="1DA4D000" w14:textId="77777777">
            <w:pPr>
              <w:overflowPunct w:val="0"/>
              <w:autoSpaceDE w:val="0"/>
              <w:autoSpaceDN w:val="0"/>
              <w:adjustRightInd w:val="0"/>
              <w:textAlignment w:val="baseline"/>
              <w:rPr>
                <w:i/>
              </w:rPr>
            </w:pPr>
            <w:r>
              <w:rPr>
                <w:i/>
              </w:rPr>
              <w:t>Tel.</w:t>
            </w:r>
          </w:p>
        </w:tc>
        <w:tc>
          <w:tcPr>
            <w:tcW w:w="4102" w:type="pct"/>
            <w:hideMark/>
          </w:tcPr>
          <w:p w:rsidRPr="006D1DFA" w:rsidR="006D1DFA" w:rsidP="00BE1F8F" w:rsidRDefault="006D1DFA" w14:paraId="56CC5263" w14:textId="77777777">
            <w:pPr>
              <w:overflowPunct w:val="0"/>
              <w:autoSpaceDE w:val="0"/>
              <w:autoSpaceDN w:val="0"/>
              <w:adjustRightInd w:val="0"/>
              <w:textAlignment w:val="baseline"/>
              <w:rPr>
                <w:i/>
              </w:rPr>
            </w:pPr>
            <w:r>
              <w:rPr>
                <w:i/>
              </w:rPr>
              <w:t>+32 25469162</w:t>
            </w:r>
          </w:p>
        </w:tc>
      </w:tr>
      <w:tr w:rsidRPr="006D1DFA" w:rsidR="006D1DFA" w:rsidTr="00BE1F8F" w14:paraId="6F84E5BA" w14:textId="77777777">
        <w:tc>
          <w:tcPr>
            <w:tcW w:w="898" w:type="pct"/>
            <w:hideMark/>
          </w:tcPr>
          <w:p w:rsidRPr="006D1DFA" w:rsidR="006D1DFA" w:rsidP="00BE1F8F" w:rsidRDefault="006D1DFA" w14:paraId="3CC8E9E8" w14:textId="77777777">
            <w:pPr>
              <w:overflowPunct w:val="0"/>
              <w:autoSpaceDE w:val="0"/>
              <w:autoSpaceDN w:val="0"/>
              <w:adjustRightInd w:val="0"/>
              <w:textAlignment w:val="baseline"/>
              <w:rPr>
                <w:i/>
              </w:rPr>
            </w:pPr>
            <w:r>
              <w:rPr>
                <w:i/>
              </w:rPr>
              <w:t>E-Mail</w:t>
            </w:r>
          </w:p>
        </w:tc>
        <w:tc>
          <w:tcPr>
            <w:tcW w:w="4102" w:type="pct"/>
            <w:hideMark/>
          </w:tcPr>
          <w:p w:rsidRPr="006D1DFA" w:rsidR="006D1DFA" w:rsidP="00BE1F8F" w:rsidRDefault="006A4D48" w14:paraId="02C23556" w14:textId="4AC0EB0F">
            <w:pPr>
              <w:overflowPunct w:val="0"/>
              <w:autoSpaceDE w:val="0"/>
              <w:autoSpaceDN w:val="0"/>
              <w:adjustRightInd w:val="0"/>
              <w:textAlignment w:val="baseline"/>
              <w:rPr>
                <w:i/>
              </w:rPr>
            </w:pPr>
            <w:hyperlink w:history="1" r:id="rId32">
              <w:r w:rsidR="008A2164">
                <w:rPr>
                  <w:i/>
                  <w:color w:val="0000FF"/>
                  <w:u w:val="single"/>
                </w:rPr>
                <w:t>Grasu.Gabriela@eesc.europa.eu</w:t>
              </w:r>
            </w:hyperlink>
          </w:p>
        </w:tc>
      </w:tr>
    </w:tbl>
    <w:p w:rsidR="00E14D8E" w:rsidP="00BE1F8F" w:rsidRDefault="00E14D8E" w14:paraId="7F936985" w14:textId="77777777">
      <w:pPr>
        <w:jc w:val="left"/>
      </w:pPr>
      <w:r>
        <w:br w:type="page"/>
      </w:r>
    </w:p>
    <w:p w:rsidRPr="001826A4" w:rsidR="00910C90" w:rsidP="009B596B" w:rsidRDefault="006A4D48" w14:paraId="6D8670E5" w14:textId="28540015">
      <w:pPr>
        <w:widowControl w:val="0"/>
        <w:numPr>
          <w:ilvl w:val="0"/>
          <w:numId w:val="10"/>
        </w:numPr>
        <w:overflowPunct w:val="0"/>
        <w:autoSpaceDE w:val="0"/>
        <w:autoSpaceDN w:val="0"/>
        <w:adjustRightInd w:val="0"/>
        <w:ind w:left="567" w:hanging="567"/>
        <w:textAlignment w:val="baseline"/>
        <w:rPr>
          <w:sz w:val="24"/>
          <w:szCs w:val="24"/>
        </w:rPr>
      </w:pPr>
      <w:hyperlink w:history="1" r:id="rId33">
        <w:r w:rsidR="008A2164">
          <w:rPr>
            <w:b/>
            <w:i/>
            <w:color w:val="0000FF"/>
            <w:sz w:val="28"/>
            <w:u w:val="single"/>
          </w:rPr>
          <w:t>Beitrag des EWSA zu den Prioritäten der EU auf der 69. Tagung der UN-Kommission für die Rechtsstellung der Frau</w:t>
        </w:r>
      </w:hyperlink>
    </w:p>
    <w:p w:rsidRPr="00910C90" w:rsidR="00910C90" w:rsidP="00BE1F8F" w:rsidRDefault="00910C90" w14:paraId="59A5F3E8"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13"/>
        <w:gridCol w:w="7274"/>
      </w:tblGrid>
      <w:tr w:rsidRPr="00910C90" w:rsidR="00910C90" w:rsidTr="00BE1F8F" w14:paraId="465F2FF7" w14:textId="77777777">
        <w:tc>
          <w:tcPr>
            <w:tcW w:w="1701" w:type="dxa"/>
          </w:tcPr>
          <w:p w:rsidRPr="00910C90" w:rsidR="00910C90" w:rsidP="00BE1F8F" w:rsidRDefault="00910C90" w14:paraId="4E8AE8B7" w14:textId="77777777">
            <w:pPr>
              <w:tabs>
                <w:tab w:val="center" w:pos="284"/>
              </w:tabs>
              <w:overflowPunct w:val="0"/>
              <w:autoSpaceDE w:val="0"/>
              <w:autoSpaceDN w:val="0"/>
              <w:adjustRightInd w:val="0"/>
              <w:ind w:left="266" w:hanging="266"/>
              <w:textAlignment w:val="baseline"/>
              <w:rPr>
                <w:b/>
              </w:rPr>
            </w:pPr>
            <w:r>
              <w:rPr>
                <w:b/>
              </w:rPr>
              <w:t>Berichterstatterin</w:t>
            </w:r>
          </w:p>
        </w:tc>
        <w:tc>
          <w:tcPr>
            <w:tcW w:w="7479" w:type="dxa"/>
          </w:tcPr>
          <w:p w:rsidRPr="00910C90" w:rsidR="00910C90" w:rsidP="00BE1F8F" w:rsidRDefault="00910C90" w14:paraId="420EA1BA" w14:textId="3993E2B2">
            <w:pPr>
              <w:tabs>
                <w:tab w:val="center" w:pos="284"/>
              </w:tabs>
              <w:overflowPunct w:val="0"/>
              <w:autoSpaceDE w:val="0"/>
              <w:autoSpaceDN w:val="0"/>
              <w:adjustRightInd w:val="0"/>
              <w:ind w:left="266" w:hanging="266"/>
              <w:textAlignment w:val="baseline"/>
            </w:pPr>
            <w:r>
              <w:t>Maria NIKOLOPOULOU (Gruppe Arbeitnehmer – ES)</w:t>
            </w:r>
          </w:p>
        </w:tc>
      </w:tr>
      <w:tr w:rsidRPr="00910C90" w:rsidR="00910C90" w:rsidTr="00BE1F8F" w14:paraId="417FB600" w14:textId="77777777">
        <w:tc>
          <w:tcPr>
            <w:tcW w:w="1701" w:type="dxa"/>
            <w:vMerge w:val="restart"/>
          </w:tcPr>
          <w:p w:rsidRPr="00910C90" w:rsidR="00910C90" w:rsidP="00BE1F8F" w:rsidRDefault="00910C90" w14:paraId="41736237" w14:textId="3B749ABF">
            <w:pPr>
              <w:tabs>
                <w:tab w:val="center" w:pos="284"/>
              </w:tabs>
              <w:overflowPunct w:val="0"/>
              <w:autoSpaceDE w:val="0"/>
              <w:autoSpaceDN w:val="0"/>
              <w:adjustRightInd w:val="0"/>
              <w:ind w:left="266" w:hanging="266"/>
              <w:textAlignment w:val="baseline"/>
              <w:rPr>
                <w:b/>
              </w:rPr>
            </w:pPr>
            <w:r>
              <w:rPr>
                <w:b/>
              </w:rPr>
              <w:t>Referenzdokument</w:t>
            </w:r>
          </w:p>
        </w:tc>
        <w:tc>
          <w:tcPr>
            <w:tcW w:w="7479" w:type="dxa"/>
          </w:tcPr>
          <w:p w:rsidRPr="00910C90" w:rsidR="00910C90" w:rsidP="00BE1F8F" w:rsidRDefault="00910C90" w14:paraId="028B9FD7" w14:textId="77777777">
            <w:pPr>
              <w:tabs>
                <w:tab w:val="center" w:pos="284"/>
              </w:tabs>
              <w:overflowPunct w:val="0"/>
              <w:autoSpaceDE w:val="0"/>
              <w:autoSpaceDN w:val="0"/>
              <w:adjustRightInd w:val="0"/>
              <w:ind w:left="266" w:hanging="266"/>
              <w:textAlignment w:val="baseline"/>
            </w:pPr>
            <w:r>
              <w:t>Initiativstellungnahme</w:t>
            </w:r>
          </w:p>
        </w:tc>
      </w:tr>
      <w:tr w:rsidRPr="00910C90" w:rsidR="00910C90" w:rsidTr="00BE1F8F" w14:paraId="08D488E3" w14:textId="77777777">
        <w:tc>
          <w:tcPr>
            <w:tcW w:w="1701" w:type="dxa"/>
            <w:vMerge/>
          </w:tcPr>
          <w:p w:rsidRPr="00910C90" w:rsidR="00910C90" w:rsidP="00BE1F8F" w:rsidRDefault="00910C90" w14:paraId="5B75EF0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910C90" w:rsidR="00910C90" w:rsidP="00BE1F8F" w:rsidRDefault="00910C90" w14:paraId="565EAB0A" w14:textId="77777777">
            <w:pPr>
              <w:tabs>
                <w:tab w:val="center" w:pos="284"/>
              </w:tabs>
              <w:overflowPunct w:val="0"/>
              <w:autoSpaceDE w:val="0"/>
              <w:autoSpaceDN w:val="0"/>
              <w:adjustRightInd w:val="0"/>
              <w:ind w:left="266" w:hanging="266"/>
              <w:textAlignment w:val="baseline"/>
            </w:pPr>
            <w:r>
              <w:t>EESC-2024-03990-00-00-AC</w:t>
            </w:r>
          </w:p>
        </w:tc>
      </w:tr>
    </w:tbl>
    <w:p w:rsidRPr="00910C90" w:rsidR="00910C90" w:rsidP="00BE1F8F" w:rsidRDefault="00910C90" w14:paraId="5C940F4E" w14:textId="77777777">
      <w:pPr>
        <w:keepNext/>
        <w:keepLines/>
        <w:tabs>
          <w:tab w:val="center" w:pos="284"/>
        </w:tabs>
        <w:overflowPunct w:val="0"/>
        <w:autoSpaceDE w:val="0"/>
        <w:autoSpaceDN w:val="0"/>
        <w:adjustRightInd w:val="0"/>
        <w:ind w:left="266" w:hanging="266"/>
        <w:textAlignment w:val="baseline"/>
        <w:rPr>
          <w:b/>
          <w:lang w:val="en-GB"/>
        </w:rPr>
      </w:pPr>
    </w:p>
    <w:p w:rsidRPr="00910C90" w:rsidR="00910C90" w:rsidP="00BE1F8F" w:rsidRDefault="00910C90" w14:paraId="371C0EEF" w14:textId="4AB8EF1C">
      <w:pPr>
        <w:keepNext/>
        <w:keepLines/>
        <w:tabs>
          <w:tab w:val="center" w:pos="284"/>
        </w:tabs>
        <w:overflowPunct w:val="0"/>
        <w:autoSpaceDE w:val="0"/>
        <w:autoSpaceDN w:val="0"/>
        <w:adjustRightInd w:val="0"/>
        <w:ind w:left="266" w:hanging="266"/>
        <w:textAlignment w:val="baseline"/>
        <w:rPr>
          <w:b/>
        </w:rPr>
      </w:pPr>
      <w:r>
        <w:rPr>
          <w:b/>
        </w:rPr>
        <w:t>Kernaussagen</w:t>
      </w:r>
    </w:p>
    <w:p w:rsidRPr="00910C90" w:rsidR="00910C90" w:rsidP="00BE1F8F" w:rsidRDefault="00910C90" w14:paraId="4A75BA5E" w14:textId="77777777">
      <w:pPr>
        <w:keepNext/>
        <w:keepLines/>
        <w:tabs>
          <w:tab w:val="center" w:pos="284"/>
        </w:tabs>
        <w:overflowPunct w:val="0"/>
        <w:autoSpaceDE w:val="0"/>
        <w:autoSpaceDN w:val="0"/>
        <w:adjustRightInd w:val="0"/>
        <w:ind w:left="266" w:hanging="266"/>
        <w:textAlignment w:val="baseline"/>
        <w:rPr>
          <w:b/>
          <w:lang w:val="en-GB"/>
        </w:rPr>
      </w:pPr>
    </w:p>
    <w:p w:rsidR="00910C90" w:rsidP="00BE1F8F" w:rsidRDefault="00910C90" w14:paraId="217B964C" w14:textId="77777777">
      <w:pPr>
        <w:overflowPunct w:val="0"/>
        <w:autoSpaceDE w:val="0"/>
        <w:autoSpaceDN w:val="0"/>
        <w:adjustRightInd w:val="0"/>
        <w:textAlignment w:val="baseline"/>
        <w:rPr>
          <w:bCs/>
          <w:iCs/>
        </w:rPr>
      </w:pPr>
      <w:r>
        <w:t>Der EWSA</w:t>
      </w:r>
    </w:p>
    <w:p w:rsidRPr="00910C90" w:rsidR="00910C90" w:rsidP="00BE1F8F" w:rsidRDefault="00910C90" w14:paraId="1D41958A" w14:textId="77777777">
      <w:pPr>
        <w:widowControl w:val="0"/>
        <w:numPr>
          <w:ilvl w:val="0"/>
          <w:numId w:val="26"/>
        </w:numPr>
        <w:overflowPunct w:val="0"/>
        <w:autoSpaceDE w:val="0"/>
        <w:autoSpaceDN w:val="0"/>
        <w:adjustRightInd w:val="0"/>
        <w:ind w:left="284" w:hanging="284"/>
        <w:textAlignment w:val="baseline"/>
      </w:pPr>
      <w:r>
        <w:t>appelliert nachdrücklich an die EU und die Mitgliedstaaten, die Fortschritte bei der Gleichstellung der Geschlechter zu beschleunigen, ehrgeiziger zu sein und den schrumpfenden Handlungsspielraum für die Zivilgesellschaft zu kritisieren sowie Rückschritten bei den Frauenrechten, die insbesondere von rechtsextremen politischen Parteien angegriffen werden, entgegenzuwirken;</w:t>
      </w:r>
    </w:p>
    <w:p w:rsidRPr="00910C90" w:rsidR="00910C90" w:rsidP="00BE1F8F" w:rsidRDefault="00910C90" w14:paraId="78127DE3" w14:textId="77777777">
      <w:pPr>
        <w:widowControl w:val="0"/>
        <w:numPr>
          <w:ilvl w:val="0"/>
          <w:numId w:val="26"/>
        </w:numPr>
        <w:overflowPunct w:val="0"/>
        <w:autoSpaceDE w:val="0"/>
        <w:autoSpaceDN w:val="0"/>
        <w:adjustRightInd w:val="0"/>
        <w:ind w:left="284" w:hanging="284"/>
        <w:textAlignment w:val="baseline"/>
      </w:pPr>
      <w:r>
        <w:t>schlägt vor, dass die EU, die Mitgliedstaaten und die politischen Parteien sich dazu verpflichten, mehr Frauen für die Politik zu gewinnen, indem sie u. a. Maßnahmen in Erwägung ziehen, mit denen die Wahl und Ernennung von Frauen für wichtige Positionen gefördert werden, wie Quoten, die Anwendung des Reißverschlussverfahrens bei der Listenaufstellung, Ko-Vorsitze, aufgeteilte Amtszeiten und das Vorschlagen männlicher und weiblicher Kandidaten;</w:t>
      </w:r>
    </w:p>
    <w:p w:rsidRPr="00910C90" w:rsidR="00910C90" w:rsidP="00BE1F8F" w:rsidRDefault="00910C90" w14:paraId="7874547D" w14:textId="77777777">
      <w:pPr>
        <w:widowControl w:val="0"/>
        <w:numPr>
          <w:ilvl w:val="0"/>
          <w:numId w:val="26"/>
        </w:numPr>
        <w:overflowPunct w:val="0"/>
        <w:autoSpaceDE w:val="0"/>
        <w:autoSpaceDN w:val="0"/>
        <w:adjustRightInd w:val="0"/>
        <w:ind w:left="284" w:hanging="284"/>
        <w:contextualSpacing/>
        <w:textAlignment w:val="baseline"/>
      </w:pPr>
      <w:r>
        <w:t xml:space="preserve">fordert alle Mitgliedstaaten nachdrücklich auf, ausreichende Ressourcen für ihre nationalen Aktionspläne zur Beendigung der Gewalt gegen Frauen bereitzustellen und diese in Absprache mit den Organisationen der Zivilgesellschaft zu gestalten; ruft zu verstärkten Maßnahmen auf, um gegen Gewalt im Internet und gegen wirtschaftliche Gewalt vorzugehen, die körperliche und geistige Gesundheit von Frauen zu fördern und dafür zu sorgen, dass die sexuelle und reproduktive Gesundheit von Frauen und ihre damit verbundenen Rechte geachtet werden; </w:t>
      </w:r>
    </w:p>
    <w:p w:rsidRPr="00910C90" w:rsidR="00910C90" w:rsidP="00BE1F8F" w:rsidRDefault="00910C90" w14:paraId="21DA3653" w14:textId="77777777">
      <w:pPr>
        <w:widowControl w:val="0"/>
        <w:numPr>
          <w:ilvl w:val="0"/>
          <w:numId w:val="26"/>
        </w:numPr>
        <w:overflowPunct w:val="0"/>
        <w:autoSpaceDE w:val="0"/>
        <w:autoSpaceDN w:val="0"/>
        <w:adjustRightInd w:val="0"/>
        <w:ind w:left="284" w:hanging="284"/>
        <w:contextualSpacing/>
        <w:textAlignment w:val="baseline"/>
      </w:pPr>
      <w:r>
        <w:t>ist der Auffassung, dass ein EU-Rahmen für einen gerechten Übergang eine Kompetenzstrategie umfassen sollte, mit der bereits bestehende Formen der geschlechtsspezifischen Ungleichheit angegangen werden. Besondere Aufmerksamkeit sollte dabei Frauen und Mädchen im Globalen Süden und in ländlichen Gebieten gewidmet werden, die unverhältnismäßig stark von der Dreifachkrise des Planeten betroffen sind;</w:t>
      </w:r>
    </w:p>
    <w:p w:rsidRPr="00910C90" w:rsidR="00910C90" w:rsidP="00BE1F8F" w:rsidRDefault="00910C90" w14:paraId="4B62CBD1" w14:textId="77777777">
      <w:pPr>
        <w:widowControl w:val="0"/>
        <w:numPr>
          <w:ilvl w:val="0"/>
          <w:numId w:val="26"/>
        </w:numPr>
        <w:overflowPunct w:val="0"/>
        <w:autoSpaceDE w:val="0"/>
        <w:autoSpaceDN w:val="0"/>
        <w:adjustRightInd w:val="0"/>
        <w:ind w:left="284" w:hanging="284"/>
        <w:contextualSpacing/>
        <w:textAlignment w:val="baseline"/>
      </w:pPr>
      <w:r>
        <w:t>fordert, dass die digitale Kluft zwischen den Geschlechtern überwunden werden muss und die Perspektiven von Frauen bei der Konzeption, der Entwicklung und dem Einsatz von künstlicher Intelligenz (KI) und Algorithmen einbezogen werden müssen, um KI sozial sensibel und inklusiv zu gestalten;</w:t>
      </w:r>
    </w:p>
    <w:p w:rsidRPr="00910C90" w:rsidR="00910C90" w:rsidP="00BE1F8F" w:rsidRDefault="00910C90" w14:paraId="2831FD93" w14:textId="77777777">
      <w:pPr>
        <w:widowControl w:val="0"/>
        <w:numPr>
          <w:ilvl w:val="0"/>
          <w:numId w:val="26"/>
        </w:numPr>
        <w:overflowPunct w:val="0"/>
        <w:autoSpaceDE w:val="0"/>
        <w:autoSpaceDN w:val="0"/>
        <w:adjustRightInd w:val="0"/>
        <w:ind w:left="284" w:hanging="284"/>
        <w:contextualSpacing/>
        <w:textAlignment w:val="baseline"/>
      </w:pPr>
      <w:r>
        <w:t>plädiert für Maßnahmen zur Beseitigung der geschlechtsspezifischen Diskrepanz bei unbezahlten Pflege- und Betreuungsaufgaben und zur Unterstützung von Frauen beim Verbleib auf dem Arbeitsmarkt, u. a. durch die Bereitstellung erschwinglicher, zugänglicher und hochwertiger Gesundheitsversorgungs-, Pflege- und Betreuungsdienste sowie von Sicherheitsnetzen gemäß den nationalen Vorschriften;</w:t>
      </w:r>
    </w:p>
    <w:p w:rsidRPr="00910C90" w:rsidR="00910C90" w:rsidP="00BE1F8F" w:rsidRDefault="00910C90" w14:paraId="20D9B26B" w14:textId="77777777">
      <w:pPr>
        <w:widowControl w:val="0"/>
        <w:numPr>
          <w:ilvl w:val="0"/>
          <w:numId w:val="26"/>
        </w:numPr>
        <w:overflowPunct w:val="0"/>
        <w:autoSpaceDE w:val="0"/>
        <w:autoSpaceDN w:val="0"/>
        <w:adjustRightInd w:val="0"/>
        <w:ind w:left="284" w:hanging="284"/>
        <w:contextualSpacing/>
        <w:textAlignment w:val="baseline"/>
      </w:pPr>
      <w:r>
        <w:t>fordert eine starke und ehrgeizige Langzeitstrategie der EU für eine inklusive Außenpolitik, bei der die Gleichstellung der Geschlechter, Menschenrechte, eine feministische Diplomatie und soziale Gerechtigkeit in den Mittelpunkt gestellt werden;</w:t>
      </w:r>
    </w:p>
    <w:p w:rsidR="00910C90" w:rsidP="00BE1F8F" w:rsidRDefault="00910C90" w14:paraId="5A9E6752" w14:textId="77777777">
      <w:pPr>
        <w:widowControl w:val="0"/>
        <w:numPr>
          <w:ilvl w:val="0"/>
          <w:numId w:val="26"/>
        </w:numPr>
        <w:overflowPunct w:val="0"/>
        <w:autoSpaceDE w:val="0"/>
        <w:autoSpaceDN w:val="0"/>
        <w:adjustRightInd w:val="0"/>
        <w:ind w:left="284" w:hanging="284"/>
        <w:contextualSpacing/>
        <w:textAlignment w:val="baseline"/>
      </w:pPr>
      <w:r>
        <w:t xml:space="preserve">betont, dass im Hinblick auf die Konzipierung und Weiterverfolgung entsprechender Strategien mehr nach Geschlecht aufgeschlüsselte intersektionale Daten benötigt werden, dass Instrumente </w:t>
      </w:r>
      <w:r>
        <w:lastRenderedPageBreak/>
        <w:t>zur Berücksichtigung des Gleichstellungsaspekts bei der Haushaltsplanung eingesetzt werden sollten und dass in der Haushaltspolitik eine Geschlechterperspektive angewendet werden sollte.</w:t>
      </w:r>
    </w:p>
    <w:p w:rsidRPr="00910C90" w:rsidR="008B7F9B" w:rsidP="00BE1F8F" w:rsidRDefault="008B7F9B" w14:paraId="0A0E47B6" w14:textId="77777777">
      <w:pPr>
        <w:widowControl w:val="0"/>
        <w:overflowPunct w:val="0"/>
        <w:autoSpaceDE w:val="0"/>
        <w:autoSpaceDN w:val="0"/>
        <w:adjustRightInd w:val="0"/>
        <w:contextualSpacing/>
        <w:textAlignment w:val="baseline"/>
        <w:rPr>
          <w:lang w:val="en-GB" w:eastAsia="zh-CN"/>
        </w:rPr>
      </w:pPr>
    </w:p>
    <w:tbl>
      <w:tblPr>
        <w:tblW w:w="0" w:type="auto"/>
        <w:tblLook w:val="04A0" w:firstRow="1" w:lastRow="0" w:firstColumn="1" w:lastColumn="0" w:noHBand="0" w:noVBand="1"/>
      </w:tblPr>
      <w:tblGrid>
        <w:gridCol w:w="1668"/>
        <w:gridCol w:w="7512"/>
      </w:tblGrid>
      <w:tr w:rsidRPr="00910C90" w:rsidR="00910C90" w:rsidTr="00713105" w14:paraId="0D75D5FA" w14:textId="77777777">
        <w:tc>
          <w:tcPr>
            <w:tcW w:w="1668" w:type="dxa"/>
          </w:tcPr>
          <w:p w:rsidRPr="00910C90" w:rsidR="00910C90" w:rsidP="00BE1F8F" w:rsidRDefault="00910C90" w14:paraId="09EE9454" w14:textId="796CA1EC">
            <w:pPr>
              <w:overflowPunct w:val="0"/>
              <w:autoSpaceDE w:val="0"/>
              <w:autoSpaceDN w:val="0"/>
              <w:adjustRightInd w:val="0"/>
              <w:textAlignment w:val="baseline"/>
              <w:rPr>
                <w:i/>
              </w:rPr>
            </w:pPr>
            <w:r>
              <w:rPr>
                <w:b/>
                <w:i/>
              </w:rPr>
              <w:t>Kontakt</w:t>
            </w:r>
          </w:p>
        </w:tc>
        <w:tc>
          <w:tcPr>
            <w:tcW w:w="7512" w:type="dxa"/>
          </w:tcPr>
          <w:p w:rsidRPr="00910C90" w:rsidR="00910C90" w:rsidP="00BE1F8F" w:rsidRDefault="00910C90" w14:paraId="20BCFE55" w14:textId="48EB87B0">
            <w:pPr>
              <w:overflowPunct w:val="0"/>
              <w:autoSpaceDE w:val="0"/>
              <w:autoSpaceDN w:val="0"/>
              <w:adjustRightInd w:val="0"/>
              <w:textAlignment w:val="baseline"/>
              <w:rPr>
                <w:i/>
              </w:rPr>
            </w:pPr>
            <w:r>
              <w:rPr>
                <w:i/>
              </w:rPr>
              <w:t xml:space="preserve">Gabriela </w:t>
            </w:r>
            <w:proofErr w:type="spellStart"/>
            <w:r>
              <w:rPr>
                <w:i/>
              </w:rPr>
              <w:t>Grasu</w:t>
            </w:r>
            <w:proofErr w:type="spellEnd"/>
          </w:p>
        </w:tc>
      </w:tr>
      <w:tr w:rsidRPr="00910C90" w:rsidR="00910C90" w:rsidTr="00713105" w14:paraId="10BE1906" w14:textId="77777777">
        <w:tc>
          <w:tcPr>
            <w:tcW w:w="1668" w:type="dxa"/>
          </w:tcPr>
          <w:p w:rsidRPr="00910C90" w:rsidR="00910C90" w:rsidP="00BE1F8F" w:rsidRDefault="00910C90" w14:paraId="7C9E9C27" w14:textId="578CE414">
            <w:pPr>
              <w:overflowPunct w:val="0"/>
              <w:autoSpaceDE w:val="0"/>
              <w:autoSpaceDN w:val="0"/>
              <w:adjustRightInd w:val="0"/>
              <w:textAlignment w:val="baseline"/>
              <w:rPr>
                <w:i/>
              </w:rPr>
            </w:pPr>
            <w:r>
              <w:rPr>
                <w:i/>
              </w:rPr>
              <w:t>Tel.</w:t>
            </w:r>
          </w:p>
        </w:tc>
        <w:tc>
          <w:tcPr>
            <w:tcW w:w="7512" w:type="dxa"/>
          </w:tcPr>
          <w:p w:rsidRPr="00910C90" w:rsidR="00910C90" w:rsidP="00BE1F8F" w:rsidRDefault="00910C90" w14:paraId="6BD9772E" w14:textId="77777777">
            <w:pPr>
              <w:overflowPunct w:val="0"/>
              <w:autoSpaceDE w:val="0"/>
              <w:autoSpaceDN w:val="0"/>
              <w:adjustRightInd w:val="0"/>
              <w:textAlignment w:val="baseline"/>
              <w:rPr>
                <w:i/>
              </w:rPr>
            </w:pPr>
            <w:r>
              <w:rPr>
                <w:i/>
              </w:rPr>
              <w:t>+32 25469162</w:t>
            </w:r>
          </w:p>
        </w:tc>
      </w:tr>
      <w:tr w:rsidRPr="00910C90" w:rsidR="00910C90" w:rsidTr="00713105" w14:paraId="378A4268" w14:textId="77777777">
        <w:tc>
          <w:tcPr>
            <w:tcW w:w="1668" w:type="dxa"/>
          </w:tcPr>
          <w:p w:rsidRPr="00910C90" w:rsidR="00910C90" w:rsidP="00BE1F8F" w:rsidRDefault="00910C90" w14:paraId="67D2B1A7" w14:textId="5316AB28">
            <w:pPr>
              <w:overflowPunct w:val="0"/>
              <w:autoSpaceDE w:val="0"/>
              <w:autoSpaceDN w:val="0"/>
              <w:adjustRightInd w:val="0"/>
              <w:textAlignment w:val="baseline"/>
              <w:rPr>
                <w:i/>
              </w:rPr>
            </w:pPr>
            <w:r>
              <w:rPr>
                <w:i/>
              </w:rPr>
              <w:t>E-Mail</w:t>
            </w:r>
          </w:p>
        </w:tc>
        <w:tc>
          <w:tcPr>
            <w:tcW w:w="7512" w:type="dxa"/>
          </w:tcPr>
          <w:p w:rsidRPr="00910C90" w:rsidR="00910C90" w:rsidP="00BE1F8F" w:rsidRDefault="006A4D48" w14:paraId="18F62F88" w14:textId="03616BAE">
            <w:pPr>
              <w:overflowPunct w:val="0"/>
              <w:autoSpaceDE w:val="0"/>
              <w:autoSpaceDN w:val="0"/>
              <w:adjustRightInd w:val="0"/>
              <w:textAlignment w:val="baseline"/>
              <w:rPr>
                <w:i/>
                <w:iCs/>
              </w:rPr>
            </w:pPr>
            <w:hyperlink w:history="1" r:id="rId34">
              <w:r w:rsidR="008A2164">
                <w:rPr>
                  <w:i/>
                  <w:color w:val="0000FF"/>
                  <w:u w:val="single"/>
                </w:rPr>
                <w:t>Gabriela.Grasu@eesc.europa.eu</w:t>
              </w:r>
            </w:hyperlink>
          </w:p>
        </w:tc>
      </w:tr>
    </w:tbl>
    <w:p w:rsidR="00D5795F" w:rsidP="00BE1F8F" w:rsidRDefault="00D5795F" w14:paraId="0F5B3C36" w14:textId="77777777">
      <w:pPr>
        <w:jc w:val="left"/>
      </w:pPr>
      <w:r>
        <w:br w:type="page"/>
      </w:r>
    </w:p>
    <w:p w:rsidRPr="00713105" w:rsidR="00981AAC" w:rsidP="00BE1F8F" w:rsidRDefault="00981AAC" w14:paraId="48226001" w14:textId="27B0F9D8">
      <w:pPr>
        <w:widowControl w:val="0"/>
        <w:numPr>
          <w:ilvl w:val="0"/>
          <w:numId w:val="2"/>
        </w:numPr>
        <w:overflowPunct w:val="0"/>
        <w:autoSpaceDE w:val="0"/>
        <w:autoSpaceDN w:val="0"/>
        <w:adjustRightInd w:val="0"/>
        <w:ind w:hanging="567"/>
        <w:textAlignment w:val="baseline"/>
      </w:pPr>
      <w:r w:rsidRPr="00981AAC">
        <w:rPr>
          <w:b/>
          <w:i/>
          <w:sz w:val="28"/>
        </w:rPr>
        <w:lastRenderedPageBreak/>
        <w:fldChar w:fldCharType="begin"/>
      </w:r>
      <w:r w:rsidRPr="00981AAC">
        <w:rPr>
          <w:b/>
          <w:i/>
          <w:sz w:val="28"/>
        </w:rPr>
        <w:instrText>HYPERLINK "https://www.eesc.europa.eu/de/our-work/opinions-information-reports/opinions/older-people-employment-systemic-factors-choosing-work-longer"</w:instrText>
      </w:r>
      <w:r w:rsidRPr="00981AAC">
        <w:rPr>
          <w:b/>
          <w:i/>
          <w:sz w:val="28"/>
        </w:rPr>
        <w:fldChar w:fldCharType="separate"/>
      </w:r>
      <w:r>
        <w:rPr>
          <w:b/>
          <w:i/>
          <w:color w:val="0000FF"/>
          <w:sz w:val="28"/>
          <w:u w:val="single"/>
        </w:rPr>
        <w:t>Ältere Menschen in Beschäftigung – systemische Voraussetzungen für einen freiwilligen längeren Verbleib im Erwerbsleben</w:t>
      </w:r>
    </w:p>
    <w:p w:rsidRPr="00C77862" w:rsidR="00981AAC" w:rsidP="00BE1F8F" w:rsidRDefault="00981AAC" w14:paraId="69C9F195" w14:textId="77777777">
      <w:pPr>
        <w:widowControl w:val="0"/>
        <w:overflowPunct w:val="0"/>
        <w:autoSpaceDE w:val="0"/>
        <w:autoSpaceDN w:val="0"/>
        <w:adjustRightInd w:val="0"/>
        <w:ind w:left="567"/>
        <w:textAlignment w:val="baseline"/>
        <w:rPr>
          <w:b/>
          <w:i/>
          <w:sz w:val="20"/>
        </w:rPr>
      </w:pPr>
      <w:r w:rsidRPr="00981AAC">
        <w:rPr>
          <w:b/>
          <w:i/>
          <w:sz w:val="28"/>
        </w:rPr>
        <w:fldChar w:fldCharType="end"/>
      </w:r>
    </w:p>
    <w:tbl>
      <w:tblPr>
        <w:tblW w:w="5000" w:type="pct"/>
        <w:tblLook w:val="04A0" w:firstRow="1" w:lastRow="0" w:firstColumn="1" w:lastColumn="0" w:noHBand="0" w:noVBand="1"/>
      </w:tblPr>
      <w:tblGrid>
        <w:gridCol w:w="1900"/>
        <w:gridCol w:w="7387"/>
      </w:tblGrid>
      <w:tr w:rsidRPr="00652335" w:rsidR="00981AAC" w:rsidTr="00713105" w14:paraId="564BEBA9" w14:textId="77777777">
        <w:tc>
          <w:tcPr>
            <w:tcW w:w="898" w:type="pct"/>
          </w:tcPr>
          <w:p w:rsidRPr="00C43D3E" w:rsidR="00981AAC" w:rsidP="00BE1F8F" w:rsidRDefault="00981AAC" w14:paraId="0345DE90" w14:textId="77777777">
            <w:pPr>
              <w:overflowPunct w:val="0"/>
              <w:autoSpaceDE w:val="0"/>
              <w:autoSpaceDN w:val="0"/>
              <w:adjustRightInd w:val="0"/>
              <w:ind w:left="-113"/>
              <w:textAlignment w:val="baseline"/>
              <w:rPr>
                <w:b/>
              </w:rPr>
            </w:pPr>
            <w:r>
              <w:rPr>
                <w:b/>
              </w:rPr>
              <w:t>Berichterstatter</w:t>
            </w:r>
          </w:p>
        </w:tc>
        <w:tc>
          <w:tcPr>
            <w:tcW w:w="4102" w:type="pct"/>
          </w:tcPr>
          <w:p w:rsidRPr="00C43D3E" w:rsidR="00382A22" w:rsidP="00BE1F8F" w:rsidRDefault="00981AAC" w14:paraId="2A77F056" w14:textId="351CBDDF">
            <w:pPr>
              <w:tabs>
                <w:tab w:val="left" w:pos="4572"/>
              </w:tabs>
              <w:overflowPunct w:val="0"/>
              <w:autoSpaceDE w:val="0"/>
              <w:autoSpaceDN w:val="0"/>
              <w:adjustRightInd w:val="0"/>
              <w:ind w:left="-113" w:right="-823"/>
              <w:textAlignment w:val="baseline"/>
            </w:pPr>
            <w:r>
              <w:t>Krzysztof BALON (Gruppe Organisationen der Zivilgesellschaft – PL)</w:t>
            </w:r>
          </w:p>
        </w:tc>
      </w:tr>
      <w:tr w:rsidRPr="00652335" w:rsidR="00981AAC" w:rsidTr="00713105" w14:paraId="3AF74D98" w14:textId="77777777">
        <w:tc>
          <w:tcPr>
            <w:tcW w:w="898" w:type="pct"/>
          </w:tcPr>
          <w:p w:rsidRPr="00C43D3E" w:rsidR="00981AAC" w:rsidP="00BE1F8F" w:rsidRDefault="00981AAC" w14:paraId="399C89C3" w14:textId="7F5F6409">
            <w:pPr>
              <w:overflowPunct w:val="0"/>
              <w:autoSpaceDE w:val="0"/>
              <w:autoSpaceDN w:val="0"/>
              <w:adjustRightInd w:val="0"/>
              <w:ind w:left="-113"/>
              <w:textAlignment w:val="baseline"/>
              <w:rPr>
                <w:b/>
              </w:rPr>
            </w:pPr>
            <w:r>
              <w:rPr>
                <w:b/>
              </w:rPr>
              <w:t>Referenzdokument</w:t>
            </w:r>
          </w:p>
        </w:tc>
        <w:tc>
          <w:tcPr>
            <w:tcW w:w="4102" w:type="pct"/>
          </w:tcPr>
          <w:p w:rsidRPr="00C43D3E" w:rsidR="00382A22" w:rsidP="00BE1F8F" w:rsidRDefault="00382A22" w14:paraId="15365992" w14:textId="791A85F1">
            <w:pPr>
              <w:tabs>
                <w:tab w:val="left" w:pos="4430"/>
              </w:tabs>
              <w:overflowPunct w:val="0"/>
              <w:autoSpaceDE w:val="0"/>
              <w:autoSpaceDN w:val="0"/>
              <w:adjustRightInd w:val="0"/>
              <w:ind w:left="-113" w:right="-823"/>
              <w:textAlignment w:val="baseline"/>
            </w:pPr>
            <w:r>
              <w:t>Sondierungsstellungnahme auf Ersuchen des polnischen EU-Ratsvorsitzes</w:t>
            </w:r>
          </w:p>
          <w:p w:rsidRPr="00C43D3E" w:rsidR="00981AAC" w:rsidP="00BE1F8F" w:rsidRDefault="00981AAC" w14:paraId="455DCFBD" w14:textId="0C759088">
            <w:pPr>
              <w:tabs>
                <w:tab w:val="left" w:pos="4430"/>
              </w:tabs>
              <w:overflowPunct w:val="0"/>
              <w:autoSpaceDE w:val="0"/>
              <w:autoSpaceDN w:val="0"/>
              <w:adjustRightInd w:val="0"/>
              <w:ind w:left="-113" w:right="-823"/>
              <w:textAlignment w:val="baseline"/>
            </w:pPr>
            <w:r>
              <w:t>EESC-2024-03788-00-00-AC</w:t>
            </w:r>
          </w:p>
        </w:tc>
      </w:tr>
    </w:tbl>
    <w:p w:rsidR="00652335" w:rsidP="00BE1F8F" w:rsidRDefault="00652335" w14:paraId="789D81F8"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981AAC" w:rsidP="00BE1F8F" w:rsidRDefault="00981AAC" w14:paraId="4B8CB502" w14:textId="1F116006">
      <w:pPr>
        <w:keepNext/>
        <w:keepLines/>
        <w:tabs>
          <w:tab w:val="center" w:pos="284"/>
        </w:tabs>
        <w:overflowPunct w:val="0"/>
        <w:autoSpaceDE w:val="0"/>
        <w:autoSpaceDN w:val="0"/>
        <w:adjustRightInd w:val="0"/>
        <w:ind w:left="266" w:hanging="266"/>
        <w:textAlignment w:val="baseline"/>
        <w:rPr>
          <w:b/>
        </w:rPr>
      </w:pPr>
      <w:r>
        <w:rPr>
          <w:b/>
        </w:rPr>
        <w:t>Kernaussagen</w:t>
      </w:r>
    </w:p>
    <w:p w:rsidRPr="00981AAC" w:rsidR="00981AAC" w:rsidP="00BE1F8F" w:rsidRDefault="00981AAC" w14:paraId="7008E7DD"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E83667" w:rsidP="00BE1F8F" w:rsidRDefault="00981AAC" w14:paraId="7F206CE5" w14:textId="098D975F">
      <w:pPr>
        <w:keepNext/>
        <w:keepLines/>
        <w:tabs>
          <w:tab w:val="center" w:pos="284"/>
        </w:tabs>
        <w:overflowPunct w:val="0"/>
        <w:autoSpaceDE w:val="0"/>
        <w:autoSpaceDN w:val="0"/>
        <w:adjustRightInd w:val="0"/>
        <w:ind w:left="266" w:hanging="266"/>
        <w:textAlignment w:val="baseline"/>
        <w:rPr>
          <w:szCs w:val="20"/>
        </w:rPr>
      </w:pPr>
      <w:r>
        <w:t>Der EWSA</w:t>
      </w:r>
    </w:p>
    <w:p w:rsidRPr="00981AAC" w:rsidR="00981AAC" w:rsidP="00713105" w:rsidRDefault="00981AAC" w14:paraId="3311126F" w14:textId="77777777">
      <w:pPr>
        <w:pStyle w:val="ListParagraph"/>
        <w:numPr>
          <w:ilvl w:val="0"/>
          <w:numId w:val="42"/>
        </w:numPr>
        <w:ind w:left="567" w:hanging="567"/>
      </w:pPr>
      <w:bookmarkStart w:name="_Toc191974009" w:id="11"/>
      <w:r>
        <w:t xml:space="preserve">teilt die Auffassung des polnischen EU-Ratsvorsitzes, dass die </w:t>
      </w:r>
      <w:r>
        <w:rPr>
          <w:b/>
        </w:rPr>
        <w:t>Erwerbsbeteiligung älterer Menschen</w:t>
      </w:r>
      <w:r>
        <w:t xml:space="preserve"> zu einer der </w:t>
      </w:r>
      <w:r>
        <w:rPr>
          <w:b/>
        </w:rPr>
        <w:t>wichtigsten Herausforderungen für die Politik</w:t>
      </w:r>
      <w:r>
        <w:t xml:space="preserve"> geworden ist. Da die durchschnittliche Lebenserwartung bei guter Gesundheit in der EU steigt, kann sich die </w:t>
      </w:r>
      <w:r>
        <w:rPr>
          <w:b/>
        </w:rPr>
        <w:t>berufliche Tätigkeit älterer Menschen</w:t>
      </w:r>
      <w:r>
        <w:t xml:space="preserve"> nicht nur </w:t>
      </w:r>
      <w:r>
        <w:rPr>
          <w:b/>
        </w:rPr>
        <w:t>positiv</w:t>
      </w:r>
      <w:r>
        <w:t xml:space="preserve"> auf die </w:t>
      </w:r>
      <w:r>
        <w:rPr>
          <w:b/>
        </w:rPr>
        <w:t>wirtschaftliche Entwicklung auswirken</w:t>
      </w:r>
      <w:r>
        <w:t xml:space="preserve">, sondern auch das </w:t>
      </w:r>
      <w:r>
        <w:rPr>
          <w:b/>
        </w:rPr>
        <w:t>Wohlergehen dieser Menschen</w:t>
      </w:r>
      <w:r>
        <w:t xml:space="preserve"> in </w:t>
      </w:r>
      <w:r>
        <w:rPr>
          <w:b/>
        </w:rPr>
        <w:t>finanzieller</w:t>
      </w:r>
      <w:r>
        <w:t xml:space="preserve">, </w:t>
      </w:r>
      <w:r>
        <w:rPr>
          <w:b/>
        </w:rPr>
        <w:t>sozialer</w:t>
      </w:r>
      <w:r>
        <w:t xml:space="preserve"> und </w:t>
      </w:r>
      <w:r>
        <w:rPr>
          <w:b/>
        </w:rPr>
        <w:t>gesundheitlicher Hinsicht</w:t>
      </w:r>
      <w:r>
        <w:t xml:space="preserve"> verbessern und die Solidarität zwischen den Generationen in der Gesellschaft fördern;</w:t>
      </w:r>
      <w:bookmarkEnd w:id="11"/>
    </w:p>
    <w:p w:rsidRPr="00652335" w:rsidR="00981AAC" w:rsidP="00713105" w:rsidRDefault="00981AAC" w14:paraId="30FD09FC" w14:textId="77777777">
      <w:pPr>
        <w:pStyle w:val="ListParagraph"/>
        <w:numPr>
          <w:ilvl w:val="0"/>
          <w:numId w:val="42"/>
        </w:numPr>
        <w:ind w:left="567" w:hanging="567"/>
      </w:pPr>
      <w:bookmarkStart w:name="_Toc191974010" w:id="12"/>
      <w:r>
        <w:t xml:space="preserve">weist darauf hin, dass der </w:t>
      </w:r>
      <w:r>
        <w:rPr>
          <w:b/>
        </w:rPr>
        <w:t>15. Grundsatz der europäischen Säule sozialer Rechte</w:t>
      </w:r>
      <w:r>
        <w:t xml:space="preserve"> (das Recht auf eine Rente, die den gezahlten Beiträgen entspricht und ein angemessenes Einkommen für ein würdevolles Leben im Alter sicherstellt) </w:t>
      </w:r>
      <w:r>
        <w:rPr>
          <w:b/>
        </w:rPr>
        <w:t>vollständig umgesetzt werden sollte</w:t>
      </w:r>
      <w:r>
        <w:t>;</w:t>
      </w:r>
      <w:bookmarkEnd w:id="12"/>
    </w:p>
    <w:p w:rsidRPr="00652335" w:rsidR="00981AAC" w:rsidP="00713105" w:rsidRDefault="00981AAC" w14:paraId="7674E455" w14:textId="77777777">
      <w:pPr>
        <w:pStyle w:val="ListParagraph"/>
        <w:numPr>
          <w:ilvl w:val="0"/>
          <w:numId w:val="42"/>
        </w:numPr>
        <w:ind w:left="567" w:hanging="567"/>
      </w:pPr>
      <w:bookmarkStart w:name="_Toc191974011" w:id="13"/>
      <w:r>
        <w:t xml:space="preserve">stellt fest, dass die </w:t>
      </w:r>
      <w:r>
        <w:rPr>
          <w:b/>
        </w:rPr>
        <w:t>Schaffung guter Arbeitsplätze in einem Arbeitsumfeld</w:t>
      </w:r>
      <w:r>
        <w:t xml:space="preserve">, in dem alle Altersgruppen ermutigt werden, </w:t>
      </w:r>
      <w:r>
        <w:rPr>
          <w:b/>
        </w:rPr>
        <w:t>eine Arbeit aufzunehmen und erwerbstätig zu bleiben</w:t>
      </w:r>
      <w:r>
        <w:t>, ein wichtiger Aspekt ist;</w:t>
      </w:r>
      <w:bookmarkEnd w:id="13"/>
      <w:r>
        <w:t xml:space="preserve"> </w:t>
      </w:r>
    </w:p>
    <w:p w:rsidRPr="00652335" w:rsidR="00981AAC" w:rsidP="00713105" w:rsidRDefault="00981AAC" w14:paraId="7D687E45" w14:textId="77777777">
      <w:pPr>
        <w:pStyle w:val="ListParagraph"/>
        <w:numPr>
          <w:ilvl w:val="0"/>
          <w:numId w:val="41"/>
        </w:numPr>
        <w:ind w:left="567" w:hanging="567"/>
      </w:pPr>
      <w:bookmarkStart w:name="_Toc191974012" w:id="14"/>
      <w:r>
        <w:t xml:space="preserve">weist darauf hin, dass die </w:t>
      </w:r>
      <w:r>
        <w:rPr>
          <w:b/>
        </w:rPr>
        <w:t>Bildung generationenübergreifender Teams</w:t>
      </w:r>
      <w:r>
        <w:t xml:space="preserve"> ein weiterer Faktor für die Förderung der Beschäftigung älterer Menschen ist, und </w:t>
      </w:r>
      <w:r>
        <w:rPr>
          <w:b/>
        </w:rPr>
        <w:t>fordert die Europäische Kommission erneut auf</w:t>
      </w:r>
      <w:r>
        <w:t xml:space="preserve">, die Mitgliedstaaten in einer </w:t>
      </w:r>
      <w:r>
        <w:rPr>
          <w:b/>
        </w:rPr>
        <w:t>Empfehlung</w:t>
      </w:r>
      <w:r>
        <w:t xml:space="preserve"> dazu aufzurufen, </w:t>
      </w:r>
      <w:r>
        <w:rPr>
          <w:b/>
        </w:rPr>
        <w:t>die Präsenz von Arbeitnehmern unterschiedlicher Generationen am Arbeitsplatz sicherzustellen</w:t>
      </w:r>
      <w:r>
        <w:t>;</w:t>
      </w:r>
      <w:bookmarkEnd w:id="14"/>
    </w:p>
    <w:p w:rsidRPr="00652335" w:rsidR="00981AAC" w:rsidP="00713105" w:rsidRDefault="00981AAC" w14:paraId="2CC124C3" w14:textId="77777777">
      <w:pPr>
        <w:pStyle w:val="ListParagraph"/>
        <w:numPr>
          <w:ilvl w:val="0"/>
          <w:numId w:val="40"/>
        </w:numPr>
        <w:ind w:left="567" w:hanging="567"/>
      </w:pPr>
      <w:bookmarkStart w:name="_Toc191974013" w:id="15"/>
      <w:r>
        <w:t xml:space="preserve">stellt fest, dass zu den Instrumenten zur Förderung der Beschäftigung älterer Menschen außerdem gehören: a) die </w:t>
      </w:r>
      <w:r>
        <w:rPr>
          <w:b/>
        </w:rPr>
        <w:t>Schaffung eines günstigen Arbeitsumfelds</w:t>
      </w:r>
      <w:r>
        <w:t xml:space="preserve">, in dem ältere Menschen ermutigt werden, länger erwerbstätig zu bleiben, b) </w:t>
      </w:r>
      <w:r>
        <w:rPr>
          <w:b/>
        </w:rPr>
        <w:t>der Erhalt und der Ausbau von Kompetenzen</w:t>
      </w:r>
      <w:r>
        <w:t xml:space="preserve"> im Rahmen des </w:t>
      </w:r>
      <w:r>
        <w:rPr>
          <w:b/>
        </w:rPr>
        <w:t>lebenslangen Lernens</w:t>
      </w:r>
      <w:r>
        <w:t xml:space="preserve">, c) Lösungen für die </w:t>
      </w:r>
      <w:r>
        <w:rPr>
          <w:b/>
        </w:rPr>
        <w:t>Vereinbarkeit von Arbeitstätigkeit und Betreuung</w:t>
      </w:r>
      <w:r>
        <w:t xml:space="preserve"> betagter Angehöriger, d) die </w:t>
      </w:r>
      <w:r>
        <w:rPr>
          <w:b/>
        </w:rPr>
        <w:t>Förderung eines längeren Erwerbslebens</w:t>
      </w:r>
      <w:r>
        <w:t xml:space="preserve">, und e) die </w:t>
      </w:r>
      <w:r>
        <w:rPr>
          <w:b/>
        </w:rPr>
        <w:t>Bekämpfung von Diskriminierung aus Altersgründen</w:t>
      </w:r>
      <w:r>
        <w:t xml:space="preserve"> und anderer Faktoren, die ältere Arbeitnehmer daran hindern, auf dem Arbeitsmarkt zu bleiben. In all diesen Bereichen kommt den Akteuren der Sozialwirtschaft, den Organisationen der Zivilgesellschaft und den Sozialpartnern eine Schlüsselrolle zu;</w:t>
      </w:r>
      <w:bookmarkEnd w:id="15"/>
    </w:p>
    <w:p w:rsidRPr="00652335" w:rsidR="00981AAC" w:rsidP="00713105" w:rsidRDefault="00981AAC" w14:paraId="08AC24E2" w14:textId="77777777">
      <w:pPr>
        <w:pStyle w:val="ListParagraph"/>
        <w:numPr>
          <w:ilvl w:val="0"/>
          <w:numId w:val="39"/>
        </w:numPr>
        <w:ind w:left="567" w:hanging="567"/>
      </w:pPr>
      <w:bookmarkStart w:name="_Toc191974014" w:id="16"/>
      <w:r>
        <w:t xml:space="preserve">schlägt vor, dass die </w:t>
      </w:r>
      <w:r>
        <w:rPr>
          <w:b/>
        </w:rPr>
        <w:t>Europäische Kommission</w:t>
      </w:r>
      <w:r>
        <w:t xml:space="preserve"> in Zusammenarbeit mit dem EWSA, den Sozialpartnern und sonstigen Organisationen der Zivilgesellschaft ein </w:t>
      </w:r>
      <w:r>
        <w:rPr>
          <w:b/>
        </w:rPr>
        <w:t>Forum für den Austausch bewährter Verfahren</w:t>
      </w:r>
      <w:r>
        <w:t xml:space="preserve"> zwischen den Mitgliedstaaten einrichtet und anschließend unter Berücksichtigung der Ergebnisse der Beratungen des Forums ein Instrumentarium bewährter Verfahren veröffentlicht.</w:t>
      </w:r>
      <w:bookmarkEnd w:id="16"/>
    </w:p>
    <w:p w:rsidRPr="00981AAC" w:rsidR="00981AAC" w:rsidP="00BE1F8F" w:rsidRDefault="00981AAC" w14:paraId="4F0FB5FC" w14:textId="77777777">
      <w:pPr>
        <w:overflowPunct w:val="0"/>
        <w:autoSpaceDE w:val="0"/>
        <w:autoSpaceDN w:val="0"/>
        <w:adjustRightInd w:val="0"/>
        <w:textAlignment w:val="baseline"/>
        <w:rPr>
          <w:szCs w:val="20"/>
          <w:lang w:val="en-GB"/>
        </w:rPr>
      </w:pPr>
    </w:p>
    <w:tbl>
      <w:tblPr>
        <w:tblW w:w="4941" w:type="pct"/>
        <w:tblLook w:val="04A0" w:firstRow="1" w:lastRow="0" w:firstColumn="1" w:lastColumn="0" w:noHBand="0" w:noVBand="1"/>
      </w:tblPr>
      <w:tblGrid>
        <w:gridCol w:w="1668"/>
        <w:gridCol w:w="7509"/>
      </w:tblGrid>
      <w:tr w:rsidRPr="00981AAC" w:rsidR="00981AAC" w:rsidTr="00713105" w14:paraId="561BB3E5" w14:textId="77777777">
        <w:tc>
          <w:tcPr>
            <w:tcW w:w="909" w:type="pct"/>
          </w:tcPr>
          <w:p w:rsidRPr="00981AAC" w:rsidR="00981AAC" w:rsidP="007601EB" w:rsidRDefault="00981AAC" w14:paraId="28C5741E" w14:textId="77777777">
            <w:pPr>
              <w:keepNext/>
              <w:keepLines/>
              <w:overflowPunct w:val="0"/>
              <w:autoSpaceDE w:val="0"/>
              <w:autoSpaceDN w:val="0"/>
              <w:adjustRightInd w:val="0"/>
              <w:textAlignment w:val="baseline"/>
              <w:rPr>
                <w:i/>
              </w:rPr>
            </w:pPr>
            <w:r>
              <w:rPr>
                <w:b/>
                <w:i/>
              </w:rPr>
              <w:lastRenderedPageBreak/>
              <w:t>Kontakt</w:t>
            </w:r>
          </w:p>
        </w:tc>
        <w:tc>
          <w:tcPr>
            <w:tcW w:w="4091" w:type="pct"/>
          </w:tcPr>
          <w:p w:rsidRPr="00981AAC" w:rsidR="00981AAC" w:rsidP="007601EB" w:rsidRDefault="00981AAC" w14:paraId="3A046822" w14:textId="6C427D2F">
            <w:pPr>
              <w:keepNext/>
              <w:keepLines/>
              <w:overflowPunct w:val="0"/>
              <w:autoSpaceDE w:val="0"/>
              <w:autoSpaceDN w:val="0"/>
              <w:adjustRightInd w:val="0"/>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981AAC" w:rsidR="00981AAC" w:rsidTr="00713105" w14:paraId="5B86D599" w14:textId="77777777">
        <w:tc>
          <w:tcPr>
            <w:tcW w:w="909" w:type="pct"/>
          </w:tcPr>
          <w:p w:rsidRPr="00981AAC" w:rsidR="00981AAC" w:rsidP="007601EB" w:rsidRDefault="00981AAC" w14:paraId="7FD14655" w14:textId="77777777">
            <w:pPr>
              <w:keepNext/>
              <w:keepLines/>
              <w:overflowPunct w:val="0"/>
              <w:autoSpaceDE w:val="0"/>
              <w:autoSpaceDN w:val="0"/>
              <w:adjustRightInd w:val="0"/>
              <w:textAlignment w:val="baseline"/>
              <w:rPr>
                <w:i/>
              </w:rPr>
            </w:pPr>
            <w:r>
              <w:rPr>
                <w:i/>
              </w:rPr>
              <w:t>Tel.</w:t>
            </w:r>
          </w:p>
        </w:tc>
        <w:tc>
          <w:tcPr>
            <w:tcW w:w="4091" w:type="pct"/>
          </w:tcPr>
          <w:p w:rsidRPr="00981AAC" w:rsidR="00981AAC" w:rsidP="007601EB" w:rsidRDefault="00981AAC" w14:paraId="1A842B89" w14:textId="77777777">
            <w:pPr>
              <w:keepNext/>
              <w:keepLines/>
              <w:overflowPunct w:val="0"/>
              <w:autoSpaceDE w:val="0"/>
              <w:autoSpaceDN w:val="0"/>
              <w:adjustRightInd w:val="0"/>
              <w:textAlignment w:val="baseline"/>
              <w:rPr>
                <w:i/>
              </w:rPr>
            </w:pPr>
            <w:r>
              <w:rPr>
                <w:i/>
              </w:rPr>
              <w:t>+32 25469524</w:t>
            </w:r>
          </w:p>
        </w:tc>
      </w:tr>
      <w:tr w:rsidRPr="00981AAC" w:rsidR="00981AAC" w:rsidTr="00713105" w14:paraId="4FA7AC41" w14:textId="77777777">
        <w:tc>
          <w:tcPr>
            <w:tcW w:w="909" w:type="pct"/>
          </w:tcPr>
          <w:p w:rsidRPr="00981AAC" w:rsidR="00981AAC" w:rsidP="007601EB" w:rsidRDefault="00981AAC" w14:paraId="5EBD3C93" w14:textId="77777777">
            <w:pPr>
              <w:keepNext/>
              <w:keepLines/>
              <w:overflowPunct w:val="0"/>
              <w:autoSpaceDE w:val="0"/>
              <w:autoSpaceDN w:val="0"/>
              <w:adjustRightInd w:val="0"/>
              <w:textAlignment w:val="baseline"/>
              <w:rPr>
                <w:i/>
              </w:rPr>
            </w:pPr>
            <w:r>
              <w:rPr>
                <w:i/>
              </w:rPr>
              <w:t>E-Mail</w:t>
            </w:r>
          </w:p>
        </w:tc>
        <w:tc>
          <w:tcPr>
            <w:tcW w:w="4091" w:type="pct"/>
          </w:tcPr>
          <w:p w:rsidRPr="00713105" w:rsidR="00981AAC" w:rsidP="007601EB" w:rsidRDefault="006A4D48" w14:paraId="03C24A43" w14:textId="0AF7A5D3">
            <w:pPr>
              <w:keepNext/>
              <w:keepLines/>
              <w:overflowPunct w:val="0"/>
              <w:autoSpaceDE w:val="0"/>
              <w:autoSpaceDN w:val="0"/>
              <w:adjustRightInd w:val="0"/>
              <w:textAlignment w:val="baseline"/>
            </w:pPr>
            <w:hyperlink w:history="1" r:id="rId35">
              <w:r w:rsidR="008A2164">
                <w:rPr>
                  <w:i/>
                  <w:color w:val="0000FF"/>
                  <w:u w:val="single"/>
                </w:rPr>
                <w:t>Triin.AasmaaGomes@eesc.europa.eu</w:t>
              </w:r>
            </w:hyperlink>
          </w:p>
        </w:tc>
      </w:tr>
    </w:tbl>
    <w:p w:rsidRPr="00713105" w:rsidR="000D43E1" w:rsidP="00BE1F8F" w:rsidRDefault="000D43E1" w14:paraId="4982DDC2" w14:textId="686E2E23">
      <w:pPr>
        <w:jc w:val="left"/>
      </w:pPr>
      <w:r>
        <w:br w:type="page"/>
      </w:r>
    </w:p>
    <w:p w:rsidRPr="00DC45BC" w:rsidR="004D7AC0" w:rsidP="00BE1F8F" w:rsidRDefault="004D7AC0" w14:paraId="4982DDC5" w14:textId="3495F80F">
      <w:pPr>
        <w:jc w:val="left"/>
        <w:rPr>
          <w:sz w:val="8"/>
          <w:szCs w:val="8"/>
        </w:rPr>
      </w:pPr>
    </w:p>
    <w:p w:rsidR="004D7AC0" w:rsidP="00BE1F8F" w:rsidRDefault="004D7AC0" w14:paraId="4982DDC6" w14:textId="77777777">
      <w:pPr>
        <w:pStyle w:val="Heading1"/>
        <w:keepNext/>
        <w:keepLines/>
        <w:rPr>
          <w:b/>
        </w:rPr>
      </w:pPr>
      <w:bookmarkStart w:name="_Toc24617160" w:id="17"/>
      <w:bookmarkStart w:name="_Toc75527082" w:id="18"/>
      <w:bookmarkStart w:name="_Toc192845597" w:id="19"/>
      <w:r>
        <w:rPr>
          <w:b/>
        </w:rPr>
        <w:t>VERKEHR, ENERGIE, INFRASTRUKTUREN, INFORMATIONSGESELLSCHAFT</w:t>
      </w:r>
      <w:bookmarkEnd w:id="17"/>
      <w:bookmarkEnd w:id="18"/>
      <w:bookmarkEnd w:id="19"/>
    </w:p>
    <w:p w:rsidR="004D7AC0" w:rsidP="00BE1F8F" w:rsidRDefault="004D7AC0" w14:paraId="4982DDF1" w14:textId="77777777"/>
    <w:p w:rsidRPr="00A230A4" w:rsidR="00A230A4" w:rsidP="00BE1F8F" w:rsidRDefault="006A4D48" w14:paraId="64C335F9" w14:textId="3ECD80EF">
      <w:pPr>
        <w:widowControl w:val="0"/>
        <w:numPr>
          <w:ilvl w:val="0"/>
          <w:numId w:val="2"/>
        </w:numPr>
        <w:overflowPunct w:val="0"/>
        <w:autoSpaceDE w:val="0"/>
        <w:autoSpaceDN w:val="0"/>
        <w:adjustRightInd w:val="0"/>
        <w:ind w:hanging="567"/>
        <w:textAlignment w:val="baseline"/>
        <w:rPr>
          <w:b/>
          <w:bCs/>
          <w:i/>
          <w:iCs/>
          <w:sz w:val="28"/>
          <w:szCs w:val="28"/>
        </w:rPr>
      </w:pPr>
      <w:hyperlink w:history="1" r:id="rId36">
        <w:r w:rsidR="008A2164">
          <w:rPr>
            <w:b/>
            <w:i/>
            <w:color w:val="0000FF"/>
            <w:sz w:val="28"/>
            <w:u w:val="single"/>
          </w:rPr>
          <w:t>Vollendung der Infrastruktur des EU-Binnenmarkts in einem neuen geopolitischen Umfeld</w:t>
        </w:r>
      </w:hyperlink>
    </w:p>
    <w:p w:rsidRPr="00A230A4" w:rsidR="00A230A4" w:rsidP="00BE1F8F" w:rsidRDefault="00A230A4" w14:paraId="2FFA7CD5"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13"/>
        <w:gridCol w:w="7274"/>
      </w:tblGrid>
      <w:tr w:rsidRPr="00A230A4" w:rsidR="00A230A4" w:rsidTr="00713105" w14:paraId="6D4A0388" w14:textId="77777777">
        <w:tc>
          <w:tcPr>
            <w:tcW w:w="1701" w:type="dxa"/>
          </w:tcPr>
          <w:p w:rsidRPr="00A230A4" w:rsidR="00A230A4" w:rsidP="00BE1F8F" w:rsidRDefault="00A230A4" w14:paraId="3793B605" w14:textId="77777777">
            <w:pPr>
              <w:tabs>
                <w:tab w:val="center" w:pos="284"/>
              </w:tabs>
              <w:overflowPunct w:val="0"/>
              <w:autoSpaceDE w:val="0"/>
              <w:autoSpaceDN w:val="0"/>
              <w:adjustRightInd w:val="0"/>
              <w:ind w:left="266" w:hanging="266"/>
              <w:textAlignment w:val="baseline"/>
              <w:rPr>
                <w:b/>
              </w:rPr>
            </w:pPr>
            <w:r>
              <w:rPr>
                <w:b/>
              </w:rPr>
              <w:t>Berichterstatterin</w:t>
            </w:r>
          </w:p>
        </w:tc>
        <w:tc>
          <w:tcPr>
            <w:tcW w:w="7479" w:type="dxa"/>
          </w:tcPr>
          <w:p w:rsidRPr="00A230A4" w:rsidR="00A230A4" w:rsidP="00BE1F8F" w:rsidRDefault="00A230A4" w14:paraId="38BAB1F6" w14:textId="6CD83440">
            <w:pPr>
              <w:tabs>
                <w:tab w:val="center" w:pos="284"/>
              </w:tabs>
              <w:overflowPunct w:val="0"/>
              <w:autoSpaceDE w:val="0"/>
              <w:autoSpaceDN w:val="0"/>
              <w:adjustRightInd w:val="0"/>
              <w:ind w:left="266" w:hanging="266"/>
              <w:textAlignment w:val="baseline"/>
            </w:pPr>
            <w:r>
              <w:t>Päivi Elina WOOD (Gruppe Arbeitgeber – FI)</w:t>
            </w:r>
          </w:p>
        </w:tc>
      </w:tr>
      <w:tr w:rsidRPr="00A230A4" w:rsidR="00A230A4" w:rsidTr="00713105" w14:paraId="19E7978D" w14:textId="77777777">
        <w:tc>
          <w:tcPr>
            <w:tcW w:w="1701" w:type="dxa"/>
          </w:tcPr>
          <w:p w:rsidRPr="00A230A4" w:rsidR="00A230A4" w:rsidP="00BE1F8F" w:rsidRDefault="00A230A4" w14:paraId="21EBC6AF" w14:textId="1650C1F5">
            <w:pPr>
              <w:tabs>
                <w:tab w:val="center" w:pos="284"/>
              </w:tabs>
              <w:overflowPunct w:val="0"/>
              <w:autoSpaceDE w:val="0"/>
              <w:autoSpaceDN w:val="0"/>
              <w:adjustRightInd w:val="0"/>
              <w:ind w:left="266" w:hanging="266"/>
              <w:textAlignment w:val="baseline"/>
              <w:rPr>
                <w:b/>
              </w:rPr>
            </w:pPr>
            <w:r>
              <w:rPr>
                <w:b/>
              </w:rPr>
              <w:t>Referenzdokument</w:t>
            </w:r>
          </w:p>
        </w:tc>
        <w:tc>
          <w:tcPr>
            <w:tcW w:w="7479" w:type="dxa"/>
          </w:tcPr>
          <w:p w:rsidRPr="00A230A4" w:rsidR="00A230A4" w:rsidP="00BE1F8F" w:rsidRDefault="00A230A4" w14:paraId="6D31E889" w14:textId="77777777">
            <w:pPr>
              <w:tabs>
                <w:tab w:val="center" w:pos="284"/>
              </w:tabs>
              <w:overflowPunct w:val="0"/>
              <w:autoSpaceDE w:val="0"/>
              <w:autoSpaceDN w:val="0"/>
              <w:adjustRightInd w:val="0"/>
              <w:ind w:left="266" w:hanging="266"/>
              <w:textAlignment w:val="baseline"/>
            </w:pPr>
            <w:r>
              <w:t>Initiativstellungnahme</w:t>
            </w:r>
          </w:p>
          <w:p w:rsidRPr="00A230A4" w:rsidR="00A230A4" w:rsidP="00BE1F8F" w:rsidRDefault="00A230A4" w14:paraId="2EB2BC1E" w14:textId="77777777">
            <w:pPr>
              <w:tabs>
                <w:tab w:val="center" w:pos="284"/>
              </w:tabs>
              <w:overflowPunct w:val="0"/>
              <w:autoSpaceDE w:val="0"/>
              <w:autoSpaceDN w:val="0"/>
              <w:adjustRightInd w:val="0"/>
              <w:ind w:left="266" w:hanging="266"/>
              <w:textAlignment w:val="baseline"/>
            </w:pPr>
            <w:r>
              <w:t>EESC-2024-03902-00-00-AC</w:t>
            </w:r>
          </w:p>
        </w:tc>
      </w:tr>
    </w:tbl>
    <w:p w:rsidRPr="00A230A4" w:rsidR="00A230A4" w:rsidP="00BE1F8F" w:rsidRDefault="00A230A4" w14:paraId="1945C70F" w14:textId="77777777">
      <w:pPr>
        <w:tabs>
          <w:tab w:val="center" w:pos="284"/>
        </w:tabs>
        <w:overflowPunct w:val="0"/>
        <w:autoSpaceDE w:val="0"/>
        <w:autoSpaceDN w:val="0"/>
        <w:adjustRightInd w:val="0"/>
        <w:ind w:left="266" w:hanging="266"/>
        <w:textAlignment w:val="baseline"/>
        <w:rPr>
          <w:lang w:val="en-GB"/>
        </w:rPr>
      </w:pPr>
    </w:p>
    <w:p w:rsidRPr="00A230A4" w:rsidR="00A230A4" w:rsidP="00BE1F8F" w:rsidRDefault="00A230A4" w14:paraId="24F24472"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A230A4" w:rsidR="00A230A4" w:rsidP="00BE1F8F" w:rsidRDefault="00A230A4" w14:paraId="7D389384" w14:textId="77777777">
      <w:pPr>
        <w:keepNext/>
        <w:keepLines/>
        <w:tabs>
          <w:tab w:val="center" w:pos="284"/>
        </w:tabs>
        <w:overflowPunct w:val="0"/>
        <w:autoSpaceDE w:val="0"/>
        <w:autoSpaceDN w:val="0"/>
        <w:adjustRightInd w:val="0"/>
        <w:ind w:left="266" w:hanging="266"/>
        <w:textAlignment w:val="baseline"/>
        <w:rPr>
          <w:b/>
          <w:lang w:val="en-GB"/>
        </w:rPr>
      </w:pPr>
    </w:p>
    <w:p w:rsidRPr="00A230A4" w:rsidR="00A230A4" w:rsidP="00BE1F8F" w:rsidRDefault="00A230A4" w14:paraId="7E802171" w14:textId="77777777">
      <w:pPr>
        <w:overflowPunct w:val="0"/>
        <w:autoSpaceDE w:val="0"/>
        <w:autoSpaceDN w:val="0"/>
        <w:adjustRightInd w:val="0"/>
        <w:textAlignment w:val="baseline"/>
        <w:rPr>
          <w:bCs/>
          <w:iCs/>
        </w:rPr>
      </w:pPr>
      <w:r>
        <w:t>Der EWSA</w:t>
      </w:r>
    </w:p>
    <w:p w:rsidRPr="00A230A4" w:rsidR="00A230A4" w:rsidP="00BE1F8F" w:rsidRDefault="00A230A4" w14:paraId="6DCC695C" w14:textId="77777777">
      <w:pPr>
        <w:widowControl w:val="0"/>
        <w:numPr>
          <w:ilvl w:val="0"/>
          <w:numId w:val="28"/>
        </w:numPr>
        <w:overflowPunct w:val="0"/>
        <w:autoSpaceDE w:val="0"/>
        <w:autoSpaceDN w:val="0"/>
        <w:adjustRightInd w:val="0"/>
        <w:ind w:left="284" w:hanging="284"/>
        <w:textAlignment w:val="baseline"/>
        <w:rPr>
          <w:bCs/>
          <w:iCs/>
        </w:rPr>
      </w:pPr>
      <w:r>
        <w:t>hält es für unabdingbar, die Bemühungen um widerstandsfähigere und zuverlässigere Verkehrssysteme zu intensivieren; betont, dass die Folgen von Krisen für alle Verkehrsträger angemessen untersucht und mögliche neue Hindernisse für die Anbindung unterschiedlicher Gebiete innerhalb der EU ermittelt werden müssen;</w:t>
      </w:r>
    </w:p>
    <w:p w:rsidRPr="00A230A4" w:rsidR="00A230A4" w:rsidP="00BE1F8F" w:rsidRDefault="00A230A4" w14:paraId="55F2F225" w14:textId="77777777">
      <w:pPr>
        <w:widowControl w:val="0"/>
        <w:numPr>
          <w:ilvl w:val="0"/>
          <w:numId w:val="28"/>
        </w:numPr>
        <w:overflowPunct w:val="0"/>
        <w:autoSpaceDE w:val="0"/>
        <w:autoSpaceDN w:val="0"/>
        <w:adjustRightInd w:val="0"/>
        <w:ind w:left="284" w:hanging="284"/>
        <w:textAlignment w:val="baseline"/>
      </w:pPr>
      <w:r>
        <w:t>hält es für unbedingt erforderlich, im nächsten MFR auf zielführende Weise angemessene Finanzmittel für Investitionen in den Ausbau und die Instandhaltung der Verkehrsinfrastruktur vorzusehen. Dabei sollte die angestrebte Fertigstellung des TEN-V-Kernnetzes bis 2030 an erster Stelle rangieren;</w:t>
      </w:r>
    </w:p>
    <w:p w:rsidRPr="00A230A4" w:rsidR="00A230A4" w:rsidP="00BE1F8F" w:rsidRDefault="00A230A4" w14:paraId="64405BDE" w14:textId="77777777">
      <w:pPr>
        <w:widowControl w:val="0"/>
        <w:numPr>
          <w:ilvl w:val="0"/>
          <w:numId w:val="28"/>
        </w:numPr>
        <w:overflowPunct w:val="0"/>
        <w:autoSpaceDE w:val="0"/>
        <w:autoSpaceDN w:val="0"/>
        <w:adjustRightInd w:val="0"/>
        <w:ind w:left="284" w:hanging="284"/>
        <w:textAlignment w:val="baseline"/>
      </w:pPr>
      <w:r>
        <w:t>fordert zudem, dass stärker auf die duale Nutzung von Infrastruktur hingewirkt wird, wobei auch weiter mit der NATO zusammengearbeitet werden muss;</w:t>
      </w:r>
    </w:p>
    <w:p w:rsidRPr="00A230A4" w:rsidR="00A230A4" w:rsidP="00BE1F8F" w:rsidRDefault="00A230A4" w14:paraId="1411391B" w14:textId="77777777">
      <w:pPr>
        <w:widowControl w:val="0"/>
        <w:numPr>
          <w:ilvl w:val="0"/>
          <w:numId w:val="28"/>
        </w:numPr>
        <w:overflowPunct w:val="0"/>
        <w:autoSpaceDE w:val="0"/>
        <w:autoSpaceDN w:val="0"/>
        <w:adjustRightInd w:val="0"/>
        <w:ind w:left="284" w:hanging="284"/>
        <w:textAlignment w:val="baseline"/>
        <w:rPr>
          <w:szCs w:val="20"/>
        </w:rPr>
      </w:pPr>
      <w:r>
        <w:t>betont, dass unter dem Gesichtspunkt umfassender Sicherheit die Vitalität und die Binnenmarktanbindung der EU-Grenzregionen verbessert werden müssen;</w:t>
      </w:r>
    </w:p>
    <w:p w:rsidRPr="00A230A4" w:rsidR="00A230A4" w:rsidP="00BE1F8F" w:rsidRDefault="00A230A4" w14:paraId="73C87209" w14:textId="77777777">
      <w:pPr>
        <w:widowControl w:val="0"/>
        <w:numPr>
          <w:ilvl w:val="0"/>
          <w:numId w:val="28"/>
        </w:numPr>
        <w:overflowPunct w:val="0"/>
        <w:autoSpaceDE w:val="0"/>
        <w:autoSpaceDN w:val="0"/>
        <w:adjustRightInd w:val="0"/>
        <w:ind w:left="284" w:hanging="284"/>
        <w:textAlignment w:val="baseline"/>
        <w:rPr>
          <w:szCs w:val="20"/>
        </w:rPr>
      </w:pPr>
      <w:r>
        <w:t>fordert, die Mobilität der Arbeitskräfte zu erleichtern, für ein größeres Angebot an Kompetenzen und Fähigkeiten zu sorgen und den Verkehrssektor attraktiver zu machen.</w:t>
      </w:r>
    </w:p>
    <w:p w:rsidRPr="00A230A4" w:rsidR="00A230A4" w:rsidP="00713105" w:rsidRDefault="00A230A4" w14:paraId="7F485678" w14:textId="77777777">
      <w:pPr>
        <w:widowControl w:val="0"/>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668"/>
        <w:gridCol w:w="7654"/>
      </w:tblGrid>
      <w:tr w:rsidRPr="00A230A4" w:rsidR="00A230A4" w:rsidTr="00713105" w14:paraId="4840AB28" w14:textId="77777777">
        <w:tc>
          <w:tcPr>
            <w:tcW w:w="1668" w:type="dxa"/>
          </w:tcPr>
          <w:p w:rsidRPr="00A230A4" w:rsidR="00A230A4" w:rsidP="00BE1F8F" w:rsidRDefault="00A230A4" w14:paraId="152A2305" w14:textId="77777777">
            <w:pPr>
              <w:overflowPunct w:val="0"/>
              <w:autoSpaceDE w:val="0"/>
              <w:autoSpaceDN w:val="0"/>
              <w:adjustRightInd w:val="0"/>
              <w:textAlignment w:val="baseline"/>
              <w:rPr>
                <w:i/>
              </w:rPr>
            </w:pPr>
            <w:r>
              <w:rPr>
                <w:b/>
                <w:i/>
              </w:rPr>
              <w:t>Kontakt</w:t>
            </w:r>
          </w:p>
        </w:tc>
        <w:tc>
          <w:tcPr>
            <w:tcW w:w="7654" w:type="dxa"/>
          </w:tcPr>
          <w:p w:rsidRPr="00A230A4" w:rsidR="00A230A4" w:rsidP="00BE1F8F" w:rsidRDefault="00A230A4" w14:paraId="0C8E402D" w14:textId="2EF89DD1">
            <w:pPr>
              <w:overflowPunct w:val="0"/>
              <w:autoSpaceDE w:val="0"/>
              <w:autoSpaceDN w:val="0"/>
              <w:adjustRightInd w:val="0"/>
              <w:textAlignment w:val="baseline"/>
              <w:rPr>
                <w:i/>
              </w:rPr>
            </w:pPr>
            <w:r>
              <w:rPr>
                <w:i/>
              </w:rPr>
              <w:t xml:space="preserve">Albert </w:t>
            </w:r>
            <w:proofErr w:type="spellStart"/>
            <w:r>
              <w:rPr>
                <w:i/>
              </w:rPr>
              <w:t>Precup</w:t>
            </w:r>
            <w:proofErr w:type="spellEnd"/>
          </w:p>
        </w:tc>
      </w:tr>
      <w:tr w:rsidRPr="00A230A4" w:rsidR="00A230A4" w:rsidTr="00713105" w14:paraId="19BEAAAD" w14:textId="77777777">
        <w:tc>
          <w:tcPr>
            <w:tcW w:w="1668" w:type="dxa"/>
          </w:tcPr>
          <w:p w:rsidRPr="00A230A4" w:rsidR="00A230A4" w:rsidP="00BE1F8F" w:rsidRDefault="00A230A4" w14:paraId="73F2E8D5" w14:textId="77777777">
            <w:pPr>
              <w:overflowPunct w:val="0"/>
              <w:autoSpaceDE w:val="0"/>
              <w:autoSpaceDN w:val="0"/>
              <w:adjustRightInd w:val="0"/>
              <w:textAlignment w:val="baseline"/>
              <w:rPr>
                <w:i/>
              </w:rPr>
            </w:pPr>
            <w:r>
              <w:rPr>
                <w:i/>
              </w:rPr>
              <w:t>Tel.</w:t>
            </w:r>
          </w:p>
        </w:tc>
        <w:tc>
          <w:tcPr>
            <w:tcW w:w="7654" w:type="dxa"/>
          </w:tcPr>
          <w:p w:rsidRPr="00A230A4" w:rsidR="00A230A4" w:rsidP="00BE1F8F" w:rsidRDefault="00A230A4" w14:paraId="48DB2246" w14:textId="44656696">
            <w:pPr>
              <w:overflowPunct w:val="0"/>
              <w:autoSpaceDE w:val="0"/>
              <w:autoSpaceDN w:val="0"/>
              <w:adjustRightInd w:val="0"/>
              <w:textAlignment w:val="baseline"/>
              <w:rPr>
                <w:i/>
              </w:rPr>
            </w:pPr>
            <w:r>
              <w:rPr>
                <w:i/>
              </w:rPr>
              <w:t>+32 25469326</w:t>
            </w:r>
          </w:p>
        </w:tc>
      </w:tr>
      <w:tr w:rsidRPr="00A230A4" w:rsidR="00A230A4" w:rsidTr="00713105" w14:paraId="0708081C" w14:textId="77777777">
        <w:tc>
          <w:tcPr>
            <w:tcW w:w="1668" w:type="dxa"/>
          </w:tcPr>
          <w:p w:rsidRPr="00A230A4" w:rsidR="00A230A4" w:rsidP="00BE1F8F" w:rsidRDefault="0005257A" w14:paraId="42A6811E" w14:textId="3D597CE0">
            <w:pPr>
              <w:overflowPunct w:val="0"/>
              <w:autoSpaceDE w:val="0"/>
              <w:autoSpaceDN w:val="0"/>
              <w:adjustRightInd w:val="0"/>
              <w:textAlignment w:val="baseline"/>
              <w:rPr>
                <w:i/>
              </w:rPr>
            </w:pPr>
            <w:r>
              <w:rPr>
                <w:i/>
              </w:rPr>
              <w:t>E-Mail</w:t>
            </w:r>
          </w:p>
        </w:tc>
        <w:tc>
          <w:tcPr>
            <w:tcW w:w="7654" w:type="dxa"/>
          </w:tcPr>
          <w:p w:rsidRPr="00A230A4" w:rsidR="00A230A4" w:rsidP="00BE1F8F" w:rsidRDefault="006A4D48" w14:paraId="08B446AD" w14:textId="03934908">
            <w:pPr>
              <w:overflowPunct w:val="0"/>
              <w:autoSpaceDE w:val="0"/>
              <w:autoSpaceDN w:val="0"/>
              <w:adjustRightInd w:val="0"/>
              <w:textAlignment w:val="baseline"/>
              <w:rPr>
                <w:i/>
              </w:rPr>
            </w:pPr>
            <w:hyperlink w:history="1" r:id="rId37">
              <w:r w:rsidR="008A2164">
                <w:rPr>
                  <w:i/>
                  <w:color w:val="0000FF"/>
                  <w:u w:val="single"/>
                </w:rPr>
                <w:t>Albert.Precup@eesc.europa.eu</w:t>
              </w:r>
            </w:hyperlink>
          </w:p>
        </w:tc>
      </w:tr>
    </w:tbl>
    <w:p w:rsidR="004D7AC0" w:rsidP="00BE1F8F" w:rsidRDefault="004D7AC0" w14:paraId="4982DDF2" w14:textId="77777777">
      <w:pPr>
        <w:jc w:val="left"/>
      </w:pPr>
      <w:r>
        <w:br w:type="page"/>
      </w:r>
    </w:p>
    <w:p w:rsidR="004D7AC0" w:rsidP="00BE1F8F" w:rsidRDefault="004D7AC0" w14:paraId="4982DDF3" w14:textId="77777777">
      <w:pPr>
        <w:pStyle w:val="Heading1"/>
        <w:rPr>
          <w:b/>
        </w:rPr>
      </w:pPr>
      <w:bookmarkStart w:name="_Toc75527083" w:id="20"/>
      <w:bookmarkStart w:name="_Toc192845598" w:id="21"/>
      <w:r>
        <w:rPr>
          <w:b/>
        </w:rPr>
        <w:lastRenderedPageBreak/>
        <w:t>BINNENMARKT, PRODUKTION, VERBRAUCH</w:t>
      </w:r>
      <w:bookmarkEnd w:id="20"/>
      <w:bookmarkEnd w:id="21"/>
    </w:p>
    <w:p w:rsidR="004D7AC0" w:rsidP="00BE1F8F" w:rsidRDefault="004D7AC0" w14:paraId="4982DDF4" w14:textId="77777777"/>
    <w:p w:rsidRPr="001131B6" w:rsidR="009D7E2D" w:rsidP="001131B6" w:rsidRDefault="006A4D48" w14:paraId="4C3E6230" w14:textId="2999EF33">
      <w:pPr>
        <w:widowControl w:val="0"/>
        <w:numPr>
          <w:ilvl w:val="0"/>
          <w:numId w:val="2"/>
        </w:numPr>
        <w:overflowPunct w:val="0"/>
        <w:autoSpaceDE w:val="0"/>
        <w:autoSpaceDN w:val="0"/>
        <w:adjustRightInd w:val="0"/>
        <w:ind w:hanging="567"/>
        <w:textAlignment w:val="baseline"/>
        <w:rPr>
          <w:b/>
          <w:bCs/>
          <w:i/>
          <w:iCs/>
          <w:sz w:val="28"/>
          <w:szCs w:val="28"/>
        </w:rPr>
      </w:pPr>
      <w:hyperlink w:history="1" r:id="rId38">
        <w:r w:rsidR="008A2164">
          <w:rPr>
            <w:rStyle w:val="Hyperlink"/>
            <w:b/>
            <w:i/>
            <w:sz w:val="28"/>
          </w:rPr>
          <w:t>Verbraucherschutz und Auswirkungen des digitalen und des grünen Wandels auf die Situation der Verbraucher</w:t>
        </w:r>
      </w:hyperlink>
    </w:p>
    <w:p w:rsidRPr="009D7E2D" w:rsidR="009D7E2D" w:rsidP="00BE1F8F" w:rsidRDefault="009D7E2D" w14:paraId="1049AE1F" w14:textId="77777777">
      <w:pPr>
        <w:widowControl w:val="0"/>
        <w:overflowPunct w:val="0"/>
        <w:autoSpaceDE w:val="0"/>
        <w:autoSpaceDN w:val="0"/>
        <w:adjustRightInd w:val="0"/>
        <w:ind w:left="266"/>
        <w:textAlignment w:val="baseline"/>
        <w:rPr>
          <w:b/>
          <w:lang w:val="en-GB"/>
        </w:rPr>
      </w:pPr>
    </w:p>
    <w:tbl>
      <w:tblPr>
        <w:tblW w:w="4941" w:type="pct"/>
        <w:tblLook w:val="04A0" w:firstRow="1" w:lastRow="0" w:firstColumn="1" w:lastColumn="0" w:noHBand="0" w:noVBand="1"/>
      </w:tblPr>
      <w:tblGrid>
        <w:gridCol w:w="2013"/>
        <w:gridCol w:w="7164"/>
      </w:tblGrid>
      <w:tr w:rsidRPr="009D7E2D" w:rsidR="009D7E2D" w:rsidTr="00B51A72" w14:paraId="436EE5FD" w14:textId="77777777">
        <w:tc>
          <w:tcPr>
            <w:tcW w:w="909" w:type="pct"/>
          </w:tcPr>
          <w:p w:rsidRPr="009D7E2D" w:rsidR="009D7E2D" w:rsidP="00BE1F8F" w:rsidRDefault="009D7E2D" w14:paraId="75A99734" w14:textId="77777777">
            <w:pPr>
              <w:tabs>
                <w:tab w:val="center" w:pos="284"/>
              </w:tabs>
              <w:overflowPunct w:val="0"/>
              <w:autoSpaceDE w:val="0"/>
              <w:autoSpaceDN w:val="0"/>
              <w:adjustRightInd w:val="0"/>
              <w:ind w:left="266" w:hanging="266"/>
              <w:textAlignment w:val="baseline"/>
              <w:rPr>
                <w:b/>
              </w:rPr>
            </w:pPr>
            <w:r>
              <w:rPr>
                <w:b/>
              </w:rPr>
              <w:t>Berichterstatterin</w:t>
            </w:r>
          </w:p>
        </w:tc>
        <w:tc>
          <w:tcPr>
            <w:tcW w:w="4091" w:type="pct"/>
          </w:tcPr>
          <w:p w:rsidRPr="009D7E2D" w:rsidR="009D7E2D" w:rsidP="00BE1F8F" w:rsidRDefault="009D7E2D" w14:paraId="061A8BB9" w14:textId="77777777">
            <w:pPr>
              <w:overflowPunct w:val="0"/>
              <w:autoSpaceDE w:val="0"/>
              <w:autoSpaceDN w:val="0"/>
              <w:adjustRightInd w:val="0"/>
              <w:textAlignment w:val="baseline"/>
            </w:pPr>
            <w:r>
              <w:t>Ileana IZVERNICEANU DE LA IGLESIA (Gruppe Organisationen der Zivilgesellschaft – ES)</w:t>
            </w:r>
          </w:p>
        </w:tc>
      </w:tr>
      <w:tr w:rsidRPr="009D7E2D" w:rsidR="009D7E2D" w:rsidTr="00B51A72" w14:paraId="61B6CD20" w14:textId="77777777">
        <w:tc>
          <w:tcPr>
            <w:tcW w:w="909" w:type="pct"/>
            <w:vMerge w:val="restart"/>
          </w:tcPr>
          <w:p w:rsidRPr="009D7E2D" w:rsidR="009D7E2D" w:rsidP="00BE1F8F" w:rsidRDefault="009D7E2D" w14:paraId="4A0DBE9C" w14:textId="011D688E">
            <w:pPr>
              <w:tabs>
                <w:tab w:val="center" w:pos="284"/>
              </w:tabs>
              <w:overflowPunct w:val="0"/>
              <w:autoSpaceDE w:val="0"/>
              <w:autoSpaceDN w:val="0"/>
              <w:adjustRightInd w:val="0"/>
              <w:ind w:left="266" w:hanging="266"/>
              <w:textAlignment w:val="baseline"/>
              <w:rPr>
                <w:b/>
              </w:rPr>
            </w:pPr>
            <w:r>
              <w:rPr>
                <w:b/>
              </w:rPr>
              <w:t>Referenzdokument</w:t>
            </w:r>
          </w:p>
        </w:tc>
        <w:tc>
          <w:tcPr>
            <w:tcW w:w="4091" w:type="pct"/>
          </w:tcPr>
          <w:p w:rsidRPr="009D7E2D" w:rsidR="009D7E2D" w:rsidP="00B51A72" w:rsidRDefault="009D7E2D" w14:paraId="0C563187" w14:textId="052EB171">
            <w:pPr>
              <w:overflowPunct w:val="0"/>
              <w:autoSpaceDE w:val="0"/>
              <w:autoSpaceDN w:val="0"/>
              <w:adjustRightInd w:val="0"/>
              <w:textAlignment w:val="baseline"/>
            </w:pPr>
            <w:r>
              <w:t>Sondierungsstellungnahme auf Ersuchen des polnischen EU-Ratsvorsitzes</w:t>
            </w:r>
          </w:p>
        </w:tc>
      </w:tr>
      <w:tr w:rsidRPr="009D7E2D" w:rsidR="009D7E2D" w:rsidTr="00B51A72" w14:paraId="52EB6CD9" w14:textId="77777777">
        <w:tc>
          <w:tcPr>
            <w:tcW w:w="909" w:type="pct"/>
            <w:vMerge/>
          </w:tcPr>
          <w:p w:rsidRPr="009D7E2D" w:rsidR="009D7E2D" w:rsidP="00BE1F8F" w:rsidRDefault="009D7E2D" w14:paraId="3CE83099" w14:textId="77777777">
            <w:pPr>
              <w:tabs>
                <w:tab w:val="center" w:pos="284"/>
              </w:tabs>
              <w:overflowPunct w:val="0"/>
              <w:autoSpaceDE w:val="0"/>
              <w:autoSpaceDN w:val="0"/>
              <w:adjustRightInd w:val="0"/>
              <w:ind w:left="266" w:hanging="266"/>
              <w:textAlignment w:val="baseline"/>
              <w:rPr>
                <w:b/>
              </w:rPr>
            </w:pPr>
          </w:p>
        </w:tc>
        <w:tc>
          <w:tcPr>
            <w:tcW w:w="4091" w:type="pct"/>
          </w:tcPr>
          <w:p w:rsidRPr="009D7E2D" w:rsidR="009D7E2D" w:rsidP="00BE1F8F" w:rsidRDefault="009D7E2D" w14:paraId="329D2D9B" w14:textId="77777777">
            <w:pPr>
              <w:tabs>
                <w:tab w:val="center" w:pos="284"/>
              </w:tabs>
              <w:overflowPunct w:val="0"/>
              <w:autoSpaceDE w:val="0"/>
              <w:autoSpaceDN w:val="0"/>
              <w:adjustRightInd w:val="0"/>
              <w:ind w:left="266" w:hanging="266"/>
              <w:textAlignment w:val="baseline"/>
            </w:pPr>
            <w:r>
              <w:t>EESC-2024-03566-00-00-AC</w:t>
            </w:r>
          </w:p>
        </w:tc>
      </w:tr>
    </w:tbl>
    <w:p w:rsidRPr="009D7E2D" w:rsidR="009D7E2D" w:rsidP="00BE1F8F" w:rsidRDefault="009D7E2D" w14:paraId="2CBB9CFF" w14:textId="77777777">
      <w:pPr>
        <w:tabs>
          <w:tab w:val="center" w:pos="284"/>
        </w:tabs>
        <w:overflowPunct w:val="0"/>
        <w:autoSpaceDE w:val="0"/>
        <w:autoSpaceDN w:val="0"/>
        <w:adjustRightInd w:val="0"/>
        <w:ind w:left="266" w:hanging="266"/>
        <w:textAlignment w:val="baseline"/>
        <w:rPr>
          <w:lang w:val="en-GB"/>
        </w:rPr>
      </w:pPr>
    </w:p>
    <w:p w:rsidRPr="009D7E2D" w:rsidR="009D7E2D" w:rsidP="00BE1F8F" w:rsidRDefault="009D7E2D" w14:paraId="3482A626"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9D7E2D" w:rsidR="009D7E2D" w:rsidP="00BE1F8F" w:rsidRDefault="009D7E2D" w14:paraId="132CCC89" w14:textId="77777777">
      <w:pPr>
        <w:keepNext/>
        <w:keepLines/>
        <w:tabs>
          <w:tab w:val="center" w:pos="284"/>
        </w:tabs>
        <w:overflowPunct w:val="0"/>
        <w:autoSpaceDE w:val="0"/>
        <w:autoSpaceDN w:val="0"/>
        <w:adjustRightInd w:val="0"/>
        <w:ind w:left="266" w:hanging="266"/>
        <w:textAlignment w:val="baseline"/>
        <w:rPr>
          <w:b/>
          <w:lang w:val="en-GB"/>
        </w:rPr>
      </w:pPr>
    </w:p>
    <w:p w:rsidRPr="009D7E2D" w:rsidR="009D7E2D" w:rsidP="00BE1F8F" w:rsidRDefault="009D7E2D" w14:paraId="38AF573F" w14:textId="77777777">
      <w:pPr>
        <w:overflowPunct w:val="0"/>
        <w:autoSpaceDE w:val="0"/>
        <w:autoSpaceDN w:val="0"/>
        <w:adjustRightInd w:val="0"/>
        <w:textAlignment w:val="baseline"/>
        <w:rPr>
          <w:i/>
          <w:iCs/>
          <w:sz w:val="24"/>
          <w:szCs w:val="24"/>
        </w:rPr>
      </w:pPr>
      <w:r>
        <w:rPr>
          <w:i/>
        </w:rPr>
        <w:t>Für diese Stellungnahme wird der</w:t>
      </w:r>
      <w:r>
        <w:t xml:space="preserve"> </w:t>
      </w:r>
      <w:hyperlink w:history="1" r:id="rId39">
        <w:r>
          <w:rPr>
            <w:i/>
            <w:color w:val="0000FF"/>
            <w:u w:val="single"/>
          </w:rPr>
          <w:t>EU-Jugendtest im EWSA</w:t>
        </w:r>
      </w:hyperlink>
      <w:r>
        <w:rPr>
          <w:i/>
        </w:rPr>
        <w:t xml:space="preserve"> durchgeführt. Das Europäische Jugendnetzwerk für Energie (EYEN) wurde von einer Gruppe interessierter Jugendorganisationen ausgewählt, um sie bei der Erarbeitung dieser Stellungnahme zu vertreten.</w:t>
      </w:r>
    </w:p>
    <w:p w:rsidRPr="009D7E2D" w:rsidR="009D7E2D" w:rsidP="00BE1F8F" w:rsidRDefault="009D7E2D" w14:paraId="39B2DD8F" w14:textId="77777777">
      <w:pPr>
        <w:keepNext/>
        <w:keepLines/>
        <w:tabs>
          <w:tab w:val="center" w:pos="284"/>
        </w:tabs>
        <w:overflowPunct w:val="0"/>
        <w:autoSpaceDE w:val="0"/>
        <w:autoSpaceDN w:val="0"/>
        <w:adjustRightInd w:val="0"/>
        <w:ind w:left="266" w:hanging="266"/>
        <w:textAlignment w:val="baseline"/>
        <w:rPr>
          <w:b/>
          <w:lang w:val="en-GB"/>
        </w:rPr>
      </w:pPr>
    </w:p>
    <w:p w:rsidR="009D7E2D" w:rsidP="00BE1F8F" w:rsidRDefault="009D7E2D" w14:paraId="1DEA9057" w14:textId="77777777">
      <w:pPr>
        <w:overflowPunct w:val="0"/>
        <w:autoSpaceDE w:val="0"/>
        <w:autoSpaceDN w:val="0"/>
        <w:adjustRightInd w:val="0"/>
        <w:textAlignment w:val="baseline"/>
        <w:rPr>
          <w:bCs/>
          <w:iCs/>
        </w:rPr>
      </w:pPr>
      <w:r>
        <w:t>Der EWSA</w:t>
      </w:r>
    </w:p>
    <w:p w:rsidRPr="009D7E2D" w:rsidR="009D7E2D" w:rsidP="00BE1F8F" w:rsidRDefault="009D7E2D" w14:paraId="4AB027D5" w14:textId="77777777">
      <w:pPr>
        <w:widowControl w:val="0"/>
        <w:numPr>
          <w:ilvl w:val="0"/>
          <w:numId w:val="29"/>
        </w:numPr>
        <w:overflowPunct w:val="0"/>
        <w:autoSpaceDE w:val="0"/>
        <w:autoSpaceDN w:val="0"/>
        <w:adjustRightInd w:val="0"/>
        <w:ind w:left="284" w:hanging="284"/>
        <w:textAlignment w:val="baseline"/>
        <w:rPr>
          <w:bCs/>
          <w:iCs/>
        </w:rPr>
      </w:pPr>
      <w:r>
        <w:t>ist der Auffassung, dass die Anforderungen an verpflichtende und freiwillige Produktinformationen auf europäischer Ebene harmonisiert werden sollten. Ferner gilt es, eine übermäßige Informationsflut zu vermeiden, die Richtigkeit der Kennzeichnungen zu gewährleisten und so ein nachhaltigeres Konsumverhalten seitens der Verbraucher zu fördern;</w:t>
      </w:r>
    </w:p>
    <w:p w:rsidRPr="009D7E2D" w:rsidR="009D7E2D" w:rsidP="00BE1F8F" w:rsidRDefault="009D7E2D" w14:paraId="62F4E221" w14:textId="77777777">
      <w:pPr>
        <w:widowControl w:val="0"/>
        <w:numPr>
          <w:ilvl w:val="0"/>
          <w:numId w:val="29"/>
        </w:numPr>
        <w:overflowPunct w:val="0"/>
        <w:autoSpaceDE w:val="0"/>
        <w:autoSpaceDN w:val="0"/>
        <w:adjustRightInd w:val="0"/>
        <w:ind w:left="284" w:hanging="284"/>
        <w:textAlignment w:val="baseline"/>
        <w:rPr>
          <w:bCs/>
          <w:iCs/>
        </w:rPr>
      </w:pPr>
      <w:r>
        <w:t>macht deutlich, dass es wichtig ist, informierte Kaufentscheidungen durch eine Produktkennzeichnung zu erleichtern, die Aufschluss über die Lebenszykluskosten, die Energieeffizienz sowie die Haltbarkeit und Reparierbarkeit der Produkte gibt;</w:t>
      </w:r>
    </w:p>
    <w:p w:rsidRPr="009D7E2D" w:rsidR="009D7E2D" w:rsidP="00BE1F8F" w:rsidRDefault="009D7E2D" w14:paraId="6793FE54" w14:textId="77777777">
      <w:pPr>
        <w:widowControl w:val="0"/>
        <w:numPr>
          <w:ilvl w:val="0"/>
          <w:numId w:val="29"/>
        </w:numPr>
        <w:overflowPunct w:val="0"/>
        <w:autoSpaceDE w:val="0"/>
        <w:autoSpaceDN w:val="0"/>
        <w:adjustRightInd w:val="0"/>
        <w:ind w:left="284" w:hanging="284"/>
        <w:textAlignment w:val="baseline"/>
        <w:rPr>
          <w:bCs/>
          <w:iCs/>
        </w:rPr>
      </w:pPr>
      <w:r>
        <w:t>fordert die Kommission und die nationalen Behörden auf, einen geeigneten Rahmen zu entwickeln, mit dem durch steuerliche Anreize und in manchen Fällen durch direkte Subventionen zur Verringerung der Preisunterschiede für einen Zugang zu nachhaltigen Produkten gesorgt wird;</w:t>
      </w:r>
    </w:p>
    <w:p w:rsidRPr="009D7E2D" w:rsidR="009D7E2D" w:rsidP="00BE1F8F" w:rsidRDefault="009D7E2D" w14:paraId="3390BD66" w14:textId="77777777">
      <w:pPr>
        <w:widowControl w:val="0"/>
        <w:numPr>
          <w:ilvl w:val="0"/>
          <w:numId w:val="29"/>
        </w:numPr>
        <w:overflowPunct w:val="0"/>
        <w:autoSpaceDE w:val="0"/>
        <w:autoSpaceDN w:val="0"/>
        <w:adjustRightInd w:val="0"/>
        <w:ind w:left="284" w:hanging="284"/>
        <w:textAlignment w:val="baseline"/>
        <w:rPr>
          <w:bCs/>
          <w:iCs/>
        </w:rPr>
      </w:pPr>
      <w:r>
        <w:t>fordert weiterhin, dass wirksame Maßnahmen zur Gewährleistung des Zugangs zum digitalen Markt insbesondere in ländlichen und weniger besiedelten Gebieten ergriffen und auch Verbraucherinnen und Verbraucher mit geringeren digitalen Kompetenzen einbezogen werden;</w:t>
      </w:r>
    </w:p>
    <w:p w:rsidRPr="009D7E2D" w:rsidR="009D7E2D" w:rsidP="00BE1F8F" w:rsidRDefault="009D7E2D" w14:paraId="52BEC693" w14:textId="77777777">
      <w:pPr>
        <w:widowControl w:val="0"/>
        <w:numPr>
          <w:ilvl w:val="0"/>
          <w:numId w:val="29"/>
        </w:numPr>
        <w:overflowPunct w:val="0"/>
        <w:autoSpaceDE w:val="0"/>
        <w:autoSpaceDN w:val="0"/>
        <w:adjustRightInd w:val="0"/>
        <w:ind w:left="284" w:hanging="284"/>
        <w:textAlignment w:val="baseline"/>
      </w:pPr>
      <w:r>
        <w:t>bekräftigt, wie wichtig die Aufklärung der Verbraucherinnen und Verbraucher ist, damit sie fundierte Entscheidungen treffen können;</w:t>
      </w:r>
    </w:p>
    <w:p w:rsidRPr="009D7E2D" w:rsidR="009D7E2D" w:rsidP="00BE1F8F" w:rsidRDefault="009D7E2D" w14:paraId="7BD4CB0B" w14:textId="77777777">
      <w:pPr>
        <w:widowControl w:val="0"/>
        <w:numPr>
          <w:ilvl w:val="0"/>
          <w:numId w:val="29"/>
        </w:numPr>
        <w:overflowPunct w:val="0"/>
        <w:autoSpaceDE w:val="0"/>
        <w:autoSpaceDN w:val="0"/>
        <w:adjustRightInd w:val="0"/>
        <w:ind w:left="284" w:hanging="284"/>
        <w:textAlignment w:val="baseline"/>
      </w:pPr>
      <w:r>
        <w:t>verweist auf die wichtige Rolle der Verbraucherverbände beim grünen und digitalen Wandel und betont, dass ihre Finanzierung gesichert sein muss;</w:t>
      </w:r>
    </w:p>
    <w:p w:rsidRPr="009D7E2D" w:rsidR="009D7E2D" w:rsidP="00BE1F8F" w:rsidRDefault="009D7E2D" w14:paraId="2D7E5670" w14:textId="77777777">
      <w:pPr>
        <w:widowControl w:val="0"/>
        <w:numPr>
          <w:ilvl w:val="0"/>
          <w:numId w:val="29"/>
        </w:numPr>
        <w:overflowPunct w:val="0"/>
        <w:autoSpaceDE w:val="0"/>
        <w:autoSpaceDN w:val="0"/>
        <w:adjustRightInd w:val="0"/>
        <w:ind w:left="284" w:hanging="284"/>
        <w:textAlignment w:val="baseline"/>
      </w:pPr>
      <w:r>
        <w:t>fordert, dass auch schutzbedürftigen Verbrauchergruppen der Zugang zu erschwinglichen und nachhaltigen Produkten ermöglicht und dabei berücksichtigt werden sollte, dass es unterschiedliche Formen von Schutzbedürftigkeit gibt und dass sich die Schutzbedürftigkeit im Laufe der Zeit verändern kann;</w:t>
      </w:r>
    </w:p>
    <w:p w:rsidRPr="009D7E2D" w:rsidR="009D7E2D" w:rsidP="00BE1F8F" w:rsidRDefault="009D7E2D" w14:paraId="62C6E0D3"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ist der Ansicht, dass die EU den negativen Auswirkungen von Plattformen in Drittstaaten, die Billigprodukte anbieten, mit strengeren Vorschriften wie u. a. wirksamen Zöllen entgegenwirken sollte.</w:t>
      </w:r>
    </w:p>
    <w:p w:rsidRPr="009D7E2D" w:rsidR="009D7E2D" w:rsidP="00BE1F8F" w:rsidRDefault="009D7E2D" w14:paraId="02ABEC3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995"/>
        <w:gridCol w:w="7292"/>
      </w:tblGrid>
      <w:tr w:rsidRPr="009D7E2D" w:rsidR="009D7E2D" w:rsidTr="00A3780E" w14:paraId="5FEB6264" w14:textId="77777777">
        <w:tc>
          <w:tcPr>
            <w:tcW w:w="1074" w:type="pct"/>
          </w:tcPr>
          <w:p w:rsidRPr="009D7E2D" w:rsidR="009D7E2D" w:rsidP="007601EB" w:rsidRDefault="009D7E2D" w14:paraId="1891296F" w14:textId="332D9305">
            <w:pPr>
              <w:keepNext/>
              <w:keepLines/>
              <w:overflowPunct w:val="0"/>
              <w:autoSpaceDE w:val="0"/>
              <w:autoSpaceDN w:val="0"/>
              <w:adjustRightInd w:val="0"/>
              <w:textAlignment w:val="baseline"/>
              <w:rPr>
                <w:i/>
              </w:rPr>
            </w:pPr>
            <w:r>
              <w:rPr>
                <w:b/>
                <w:i/>
              </w:rPr>
              <w:lastRenderedPageBreak/>
              <w:t>Kontakte</w:t>
            </w:r>
          </w:p>
        </w:tc>
        <w:tc>
          <w:tcPr>
            <w:tcW w:w="3926" w:type="pct"/>
          </w:tcPr>
          <w:p w:rsidR="00713105" w:rsidP="007601EB" w:rsidRDefault="009D7E2D" w14:paraId="2EBED78A" w14:textId="77777777">
            <w:pPr>
              <w:keepNext/>
              <w:keepLines/>
              <w:overflowPunct w:val="0"/>
              <w:autoSpaceDE w:val="0"/>
              <w:autoSpaceDN w:val="0"/>
              <w:adjustRightInd w:val="0"/>
              <w:textAlignment w:val="baseline"/>
              <w:rPr>
                <w:bCs/>
                <w:i/>
              </w:rPr>
            </w:pPr>
            <w:proofErr w:type="spellStart"/>
            <w:r>
              <w:rPr>
                <w:i/>
              </w:rPr>
              <w:t>Radoslava</w:t>
            </w:r>
            <w:proofErr w:type="spellEnd"/>
            <w:r>
              <w:rPr>
                <w:i/>
              </w:rPr>
              <w:t xml:space="preserve"> </w:t>
            </w:r>
            <w:proofErr w:type="spellStart"/>
            <w:r>
              <w:rPr>
                <w:i/>
              </w:rPr>
              <w:t>Stefankova</w:t>
            </w:r>
            <w:proofErr w:type="spellEnd"/>
          </w:p>
          <w:p w:rsidRPr="009D7E2D" w:rsidR="009D7E2D" w:rsidP="007601EB" w:rsidRDefault="009D7E2D" w14:paraId="13EF570E" w14:textId="166D0132">
            <w:pPr>
              <w:keepNext/>
              <w:keepLines/>
              <w:overflowPunct w:val="0"/>
              <w:autoSpaceDE w:val="0"/>
              <w:autoSpaceDN w:val="0"/>
              <w:adjustRightInd w:val="0"/>
              <w:textAlignment w:val="baseline"/>
              <w:rPr>
                <w:bCs/>
                <w:i/>
              </w:rPr>
            </w:pPr>
            <w:proofErr w:type="spellStart"/>
            <w:r>
              <w:rPr>
                <w:i/>
              </w:rPr>
              <w:t>Yousra</w:t>
            </w:r>
            <w:proofErr w:type="spellEnd"/>
            <w:r>
              <w:rPr>
                <w:i/>
              </w:rPr>
              <w:t xml:space="preserve"> </w:t>
            </w:r>
            <w:proofErr w:type="spellStart"/>
            <w:r>
              <w:rPr>
                <w:i/>
              </w:rPr>
              <w:t>Asbouni</w:t>
            </w:r>
            <w:proofErr w:type="spellEnd"/>
            <w:r>
              <w:rPr>
                <w:i/>
              </w:rPr>
              <w:t xml:space="preserve"> El </w:t>
            </w:r>
            <w:proofErr w:type="spellStart"/>
            <w:r>
              <w:rPr>
                <w:i/>
              </w:rPr>
              <w:t>Ouahabi</w:t>
            </w:r>
            <w:proofErr w:type="spellEnd"/>
          </w:p>
        </w:tc>
      </w:tr>
      <w:tr w:rsidRPr="009D7E2D" w:rsidR="009D7E2D" w:rsidTr="00A3780E" w14:paraId="56CD236C" w14:textId="77777777">
        <w:tc>
          <w:tcPr>
            <w:tcW w:w="1074" w:type="pct"/>
          </w:tcPr>
          <w:p w:rsidRPr="009D7E2D" w:rsidR="009D7E2D" w:rsidP="007601EB" w:rsidRDefault="009D7E2D" w14:paraId="642A79E8" w14:textId="77777777">
            <w:pPr>
              <w:keepNext/>
              <w:keepLines/>
              <w:overflowPunct w:val="0"/>
              <w:autoSpaceDE w:val="0"/>
              <w:autoSpaceDN w:val="0"/>
              <w:adjustRightInd w:val="0"/>
              <w:textAlignment w:val="baseline"/>
              <w:rPr>
                <w:i/>
              </w:rPr>
            </w:pPr>
            <w:r>
              <w:rPr>
                <w:i/>
              </w:rPr>
              <w:t>Tel.</w:t>
            </w:r>
          </w:p>
        </w:tc>
        <w:tc>
          <w:tcPr>
            <w:tcW w:w="3926" w:type="pct"/>
          </w:tcPr>
          <w:p w:rsidR="00866666" w:rsidP="007601EB" w:rsidRDefault="009D7E2D" w14:paraId="6BF80798" w14:textId="77777777">
            <w:pPr>
              <w:keepNext/>
              <w:keepLines/>
              <w:overflowPunct w:val="0"/>
              <w:autoSpaceDE w:val="0"/>
              <w:autoSpaceDN w:val="0"/>
              <w:adjustRightInd w:val="0"/>
              <w:textAlignment w:val="baseline"/>
              <w:rPr>
                <w:i/>
              </w:rPr>
            </w:pPr>
            <w:r>
              <w:rPr>
                <w:i/>
              </w:rPr>
              <w:t>+32 25468188</w:t>
            </w:r>
          </w:p>
          <w:p w:rsidRPr="009D7E2D" w:rsidR="009D7E2D" w:rsidP="007601EB" w:rsidRDefault="009D7E2D" w14:paraId="4C93A27B" w14:textId="441660D1">
            <w:pPr>
              <w:keepNext/>
              <w:keepLines/>
              <w:overflowPunct w:val="0"/>
              <w:autoSpaceDE w:val="0"/>
              <w:autoSpaceDN w:val="0"/>
              <w:adjustRightInd w:val="0"/>
              <w:textAlignment w:val="baseline"/>
              <w:rPr>
                <w:i/>
              </w:rPr>
            </w:pPr>
            <w:r>
              <w:rPr>
                <w:i/>
              </w:rPr>
              <w:t>+32 25468485</w:t>
            </w:r>
          </w:p>
        </w:tc>
      </w:tr>
      <w:tr w:rsidRPr="009D7E2D" w:rsidR="009D7E2D" w:rsidTr="00A3780E" w14:paraId="79FB8085" w14:textId="77777777">
        <w:tc>
          <w:tcPr>
            <w:tcW w:w="1074" w:type="pct"/>
          </w:tcPr>
          <w:p w:rsidRPr="009D7E2D" w:rsidR="009D7E2D" w:rsidP="007601EB" w:rsidRDefault="009D7E2D" w14:paraId="16D4BECD" w14:textId="766DF770">
            <w:pPr>
              <w:keepNext/>
              <w:keepLines/>
              <w:overflowPunct w:val="0"/>
              <w:autoSpaceDE w:val="0"/>
              <w:autoSpaceDN w:val="0"/>
              <w:adjustRightInd w:val="0"/>
              <w:textAlignment w:val="baseline"/>
              <w:rPr>
                <w:i/>
              </w:rPr>
            </w:pPr>
            <w:r>
              <w:rPr>
                <w:i/>
              </w:rPr>
              <w:t>E-Mail</w:t>
            </w:r>
          </w:p>
        </w:tc>
        <w:tc>
          <w:tcPr>
            <w:tcW w:w="3926" w:type="pct"/>
          </w:tcPr>
          <w:p w:rsidRPr="009D7E2D" w:rsidR="009D7E2D" w:rsidP="007601EB" w:rsidRDefault="006A4D48" w14:paraId="7AA88CC5" w14:textId="77777777">
            <w:pPr>
              <w:keepNext/>
              <w:keepLines/>
              <w:overflowPunct w:val="0"/>
              <w:autoSpaceDE w:val="0"/>
              <w:autoSpaceDN w:val="0"/>
              <w:adjustRightInd w:val="0"/>
              <w:textAlignment w:val="baseline"/>
            </w:pPr>
            <w:hyperlink w:history="1" r:id="rId40">
              <w:r w:rsidR="008A2164">
                <w:rPr>
                  <w:i/>
                  <w:color w:val="0000FF"/>
                  <w:u w:val="single"/>
                </w:rPr>
                <w:t>Radoslava.Stefankova@eesc.europa.eu</w:t>
              </w:r>
            </w:hyperlink>
          </w:p>
          <w:p w:rsidRPr="009D7E2D" w:rsidR="009D7E2D" w:rsidP="007601EB" w:rsidRDefault="006A4D48" w14:paraId="2F2D5AA7" w14:textId="77777777">
            <w:pPr>
              <w:keepNext/>
              <w:keepLines/>
              <w:overflowPunct w:val="0"/>
              <w:autoSpaceDE w:val="0"/>
              <w:autoSpaceDN w:val="0"/>
              <w:adjustRightInd w:val="0"/>
              <w:textAlignment w:val="baseline"/>
              <w:rPr>
                <w:i/>
              </w:rPr>
            </w:pPr>
            <w:hyperlink w:history="1" r:id="rId41">
              <w:r w:rsidR="008A2164">
                <w:rPr>
                  <w:i/>
                  <w:color w:val="0000FF"/>
                  <w:u w:val="single"/>
                </w:rPr>
                <w:t>Yousra.Asbounielouahabi@eesc.europa.eu</w:t>
              </w:r>
            </w:hyperlink>
          </w:p>
        </w:tc>
      </w:tr>
    </w:tbl>
    <w:p w:rsidR="009D7E2D" w:rsidP="00BE1F8F" w:rsidRDefault="009D7E2D" w14:paraId="1988C04D" w14:textId="77777777">
      <w:pPr>
        <w:jc w:val="left"/>
      </w:pPr>
      <w:r>
        <w:br w:type="page"/>
      </w:r>
    </w:p>
    <w:p w:rsidRPr="00C43D3E" w:rsidR="00FD106B" w:rsidP="00C77862" w:rsidRDefault="006A4D48" w14:paraId="3CC025EB" w14:textId="298D155B">
      <w:pPr>
        <w:widowControl w:val="0"/>
        <w:numPr>
          <w:ilvl w:val="0"/>
          <w:numId w:val="2"/>
        </w:numPr>
        <w:overflowPunct w:val="0"/>
        <w:autoSpaceDE w:val="0"/>
        <w:autoSpaceDN w:val="0"/>
        <w:adjustRightInd w:val="0"/>
        <w:ind w:hanging="567"/>
        <w:textAlignment w:val="baseline"/>
        <w:rPr>
          <w:b/>
        </w:rPr>
      </w:pPr>
      <w:hyperlink w:tgtFrame="_blank" w:history="1" r:id="rId42">
        <w:r w:rsidR="008A2164">
          <w:rPr>
            <w:b/>
            <w:i/>
            <w:color w:val="0000FF"/>
            <w:sz w:val="28"/>
            <w:u w:val="single"/>
          </w:rPr>
          <w:t>Bewertung der Letta- und Draghi-Berichte über das Funktionieren und die Wettbewerbsfähigkeit des EU-Binnenmarkts</w:t>
        </w:r>
      </w:hyperlink>
    </w:p>
    <w:p w:rsidRPr="00FD106B" w:rsidR="00627052" w:rsidP="00BE1F8F" w:rsidRDefault="00627052" w14:paraId="13CC97A0" w14:textId="77777777">
      <w:pPr>
        <w:widowControl w:val="0"/>
        <w:overflowPunct w:val="0"/>
        <w:autoSpaceDE w:val="0"/>
        <w:autoSpaceDN w:val="0"/>
        <w:adjustRightInd w:val="0"/>
        <w:ind w:left="284"/>
        <w:textAlignment w:val="baseline"/>
        <w:rPr>
          <w:b/>
          <w:lang w:val="en-GB"/>
        </w:rPr>
      </w:pPr>
    </w:p>
    <w:tbl>
      <w:tblPr>
        <w:tblW w:w="4941" w:type="pct"/>
        <w:tblLook w:val="04A0" w:firstRow="1" w:lastRow="0" w:firstColumn="1" w:lastColumn="0" w:noHBand="0" w:noVBand="1"/>
      </w:tblPr>
      <w:tblGrid>
        <w:gridCol w:w="2032"/>
        <w:gridCol w:w="7145"/>
      </w:tblGrid>
      <w:tr w:rsidRPr="00FD106B" w:rsidR="00FD106B" w:rsidTr="00713105" w14:paraId="6CE7B306" w14:textId="77777777">
        <w:tc>
          <w:tcPr>
            <w:tcW w:w="1107" w:type="pct"/>
          </w:tcPr>
          <w:p w:rsidRPr="00FD106B" w:rsidR="00FD106B" w:rsidP="00BE1F8F" w:rsidRDefault="00FD106B" w14:paraId="327B6AE9" w14:textId="77777777">
            <w:pPr>
              <w:tabs>
                <w:tab w:val="center" w:pos="284"/>
              </w:tabs>
              <w:overflowPunct w:val="0"/>
              <w:autoSpaceDE w:val="0"/>
              <w:autoSpaceDN w:val="0"/>
              <w:adjustRightInd w:val="0"/>
              <w:ind w:left="266" w:hanging="266"/>
              <w:textAlignment w:val="baseline"/>
              <w:rPr>
                <w:b/>
              </w:rPr>
            </w:pPr>
            <w:r>
              <w:rPr>
                <w:b/>
              </w:rPr>
              <w:t>Berichterstatter</w:t>
            </w:r>
          </w:p>
        </w:tc>
        <w:tc>
          <w:tcPr>
            <w:tcW w:w="3893" w:type="pct"/>
          </w:tcPr>
          <w:p w:rsidR="00FD106B" w:rsidP="00BE1F8F" w:rsidRDefault="00FD106B" w14:paraId="43C12B82" w14:textId="24791F53">
            <w:pPr>
              <w:tabs>
                <w:tab w:val="center" w:pos="284"/>
              </w:tabs>
              <w:overflowPunct w:val="0"/>
              <w:autoSpaceDE w:val="0"/>
              <w:autoSpaceDN w:val="0"/>
              <w:adjustRightInd w:val="0"/>
              <w:ind w:left="266" w:hanging="266"/>
              <w:textAlignment w:val="baseline"/>
            </w:pPr>
            <w:r>
              <w:t>Matteo Carlo BORSANI (Gruppe Arbeitgeber – IT)</w:t>
            </w:r>
          </w:p>
          <w:p w:rsidRPr="00FD106B" w:rsidR="009A2569" w:rsidP="00BE1F8F" w:rsidRDefault="009A2569" w14:paraId="550E4016" w14:textId="61E3CEA7">
            <w:pPr>
              <w:tabs>
                <w:tab w:val="center" w:pos="284"/>
              </w:tabs>
              <w:overflowPunct w:val="0"/>
              <w:autoSpaceDE w:val="0"/>
              <w:autoSpaceDN w:val="0"/>
              <w:adjustRightInd w:val="0"/>
              <w:ind w:left="266" w:hanging="266"/>
              <w:textAlignment w:val="baseline"/>
            </w:pPr>
            <w:r>
              <w:t>Stefano PALMIERI (Gruppe Arbeitnehmer – IT)</w:t>
            </w:r>
          </w:p>
          <w:p w:rsidRPr="00FD106B" w:rsidR="00FD106B" w:rsidP="00BE1F8F" w:rsidRDefault="00FD106B" w14:paraId="291D8799" w14:textId="6ED3A591">
            <w:pPr>
              <w:tabs>
                <w:tab w:val="center" w:pos="284"/>
              </w:tabs>
              <w:overflowPunct w:val="0"/>
              <w:autoSpaceDE w:val="0"/>
              <w:autoSpaceDN w:val="0"/>
              <w:adjustRightInd w:val="0"/>
              <w:ind w:left="266" w:hanging="266"/>
              <w:textAlignment w:val="baseline"/>
            </w:pPr>
            <w:r>
              <w:t>Giuseppe GUERINI (Gruppe Organisationen der Zivilgesellschaft – IT)</w:t>
            </w:r>
          </w:p>
        </w:tc>
      </w:tr>
      <w:tr w:rsidRPr="00FD106B" w:rsidR="00FD106B" w:rsidTr="00713105" w14:paraId="63D5E164" w14:textId="77777777">
        <w:tc>
          <w:tcPr>
            <w:tcW w:w="1107" w:type="pct"/>
            <w:vMerge w:val="restart"/>
          </w:tcPr>
          <w:p w:rsidRPr="00FD106B" w:rsidR="00FD106B" w:rsidP="00BE1F8F" w:rsidRDefault="00FD106B" w14:paraId="2C38529F" w14:textId="7DEB39C5">
            <w:pPr>
              <w:tabs>
                <w:tab w:val="center" w:pos="284"/>
              </w:tabs>
              <w:overflowPunct w:val="0"/>
              <w:autoSpaceDE w:val="0"/>
              <w:autoSpaceDN w:val="0"/>
              <w:adjustRightInd w:val="0"/>
              <w:ind w:left="266" w:hanging="266"/>
              <w:textAlignment w:val="baseline"/>
              <w:rPr>
                <w:b/>
              </w:rPr>
            </w:pPr>
            <w:r>
              <w:rPr>
                <w:b/>
              </w:rPr>
              <w:t>Referenzdokument</w:t>
            </w:r>
          </w:p>
        </w:tc>
        <w:tc>
          <w:tcPr>
            <w:tcW w:w="3893" w:type="pct"/>
          </w:tcPr>
          <w:p w:rsidRPr="00FD106B" w:rsidR="00FD106B" w:rsidP="00BE1F8F" w:rsidRDefault="00FD106B" w14:paraId="07C67728" w14:textId="77777777">
            <w:pPr>
              <w:tabs>
                <w:tab w:val="center" w:pos="284"/>
              </w:tabs>
              <w:overflowPunct w:val="0"/>
              <w:autoSpaceDE w:val="0"/>
              <w:autoSpaceDN w:val="0"/>
              <w:adjustRightInd w:val="0"/>
              <w:ind w:left="266" w:hanging="266"/>
              <w:textAlignment w:val="baseline"/>
            </w:pPr>
            <w:r>
              <w:t>Initiativstellungnahme</w:t>
            </w:r>
          </w:p>
        </w:tc>
      </w:tr>
      <w:tr w:rsidRPr="00FD106B" w:rsidR="00FD106B" w:rsidTr="00713105" w14:paraId="5BF5DD36" w14:textId="77777777">
        <w:tc>
          <w:tcPr>
            <w:tcW w:w="1107" w:type="pct"/>
            <w:vMerge/>
          </w:tcPr>
          <w:p w:rsidRPr="00FD106B" w:rsidR="00FD106B" w:rsidP="00BE1F8F" w:rsidRDefault="00FD106B" w14:paraId="1F34AB72" w14:textId="77777777">
            <w:pPr>
              <w:tabs>
                <w:tab w:val="center" w:pos="284"/>
              </w:tabs>
              <w:overflowPunct w:val="0"/>
              <w:autoSpaceDE w:val="0"/>
              <w:autoSpaceDN w:val="0"/>
              <w:adjustRightInd w:val="0"/>
              <w:ind w:left="266" w:hanging="266"/>
              <w:textAlignment w:val="baseline"/>
              <w:rPr>
                <w:b/>
              </w:rPr>
            </w:pPr>
          </w:p>
        </w:tc>
        <w:tc>
          <w:tcPr>
            <w:tcW w:w="3893" w:type="pct"/>
          </w:tcPr>
          <w:p w:rsidRPr="00FD106B" w:rsidR="00FD106B" w:rsidP="00BE1F8F" w:rsidRDefault="00FD106B" w14:paraId="42A20064" w14:textId="77777777">
            <w:pPr>
              <w:tabs>
                <w:tab w:val="center" w:pos="284"/>
              </w:tabs>
              <w:overflowPunct w:val="0"/>
              <w:autoSpaceDE w:val="0"/>
              <w:autoSpaceDN w:val="0"/>
              <w:adjustRightInd w:val="0"/>
              <w:ind w:left="266" w:hanging="266"/>
              <w:textAlignment w:val="baseline"/>
            </w:pPr>
            <w:r>
              <w:t>EESC-2024-03441-00-00-AC</w:t>
            </w:r>
          </w:p>
        </w:tc>
      </w:tr>
    </w:tbl>
    <w:p w:rsidRPr="00FD106B" w:rsidR="00FD106B" w:rsidP="00BE1F8F" w:rsidRDefault="00FD106B" w14:paraId="02343524" w14:textId="77777777">
      <w:pPr>
        <w:tabs>
          <w:tab w:val="center" w:pos="284"/>
        </w:tabs>
        <w:overflowPunct w:val="0"/>
        <w:autoSpaceDE w:val="0"/>
        <w:autoSpaceDN w:val="0"/>
        <w:adjustRightInd w:val="0"/>
        <w:ind w:left="266" w:hanging="266"/>
        <w:textAlignment w:val="baseline"/>
        <w:rPr>
          <w:lang w:val="en-GB"/>
        </w:rPr>
      </w:pPr>
    </w:p>
    <w:p w:rsidRPr="00FD106B" w:rsidR="00FD106B" w:rsidP="00BE1F8F" w:rsidRDefault="00FD106B" w14:paraId="27E7555C"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FD106B" w:rsidR="00FD106B" w:rsidP="00BE1F8F" w:rsidRDefault="00FD106B" w14:paraId="70C27580" w14:textId="77777777">
      <w:pPr>
        <w:keepNext/>
        <w:keepLines/>
        <w:tabs>
          <w:tab w:val="center" w:pos="284"/>
        </w:tabs>
        <w:overflowPunct w:val="0"/>
        <w:autoSpaceDE w:val="0"/>
        <w:autoSpaceDN w:val="0"/>
        <w:adjustRightInd w:val="0"/>
        <w:ind w:left="266" w:hanging="266"/>
        <w:textAlignment w:val="baseline"/>
        <w:rPr>
          <w:b/>
          <w:lang w:val="en-GB"/>
        </w:rPr>
      </w:pPr>
    </w:p>
    <w:p w:rsidR="00FD106B" w:rsidP="00BE1F8F" w:rsidRDefault="00FD106B" w14:paraId="6F22A07D" w14:textId="77777777">
      <w:pPr>
        <w:overflowPunct w:val="0"/>
        <w:autoSpaceDE w:val="0"/>
        <w:autoSpaceDN w:val="0"/>
        <w:adjustRightInd w:val="0"/>
        <w:textAlignment w:val="baseline"/>
        <w:rPr>
          <w:bCs/>
          <w:iCs/>
        </w:rPr>
      </w:pPr>
      <w:r>
        <w:t>Der EWSA</w:t>
      </w:r>
    </w:p>
    <w:p w:rsidRPr="00FD106B" w:rsidR="00FD106B" w:rsidP="00BE1F8F" w:rsidRDefault="00FD106B" w14:paraId="1E73D851" w14:textId="77777777">
      <w:pPr>
        <w:widowControl w:val="0"/>
        <w:numPr>
          <w:ilvl w:val="0"/>
          <w:numId w:val="30"/>
        </w:numPr>
        <w:overflowPunct w:val="0"/>
        <w:autoSpaceDE w:val="0"/>
        <w:autoSpaceDN w:val="0"/>
        <w:adjustRightInd w:val="0"/>
        <w:ind w:left="284" w:hanging="284"/>
        <w:textAlignment w:val="baseline"/>
        <w:rPr>
          <w:szCs w:val="20"/>
        </w:rPr>
      </w:pPr>
      <w:r>
        <w:t xml:space="preserve">betont, dass die </w:t>
      </w:r>
      <w:r>
        <w:rPr>
          <w:b/>
        </w:rPr>
        <w:t>Wettbewerbsfähigkeit Europas dringend gestärkt und zugleich Nachhaltigkeit und sozialer Zusammenhalt gewährleistet werden müssen</w:t>
      </w:r>
      <w:r>
        <w:t>. Die EU steht vor einem zunehmenden globalen Wettbewerb und muss entschlossen handeln, um ihre wirtschaftliche Position zu stärken. Dies sollte jedoch nicht zulasten der ökologischen Nachhaltigkeit, der Arbeitnehmerrechte oder des regionalen Gleichgewichts gehen. Er fordert einen Ansatz, bei dem das Wirtschaftswachstum mit den Grundsätzen des sozialen und territorialen Zusammenhalts verknüpft wird;</w:t>
      </w:r>
    </w:p>
    <w:p w:rsidRPr="00FD106B" w:rsidR="00FD106B" w:rsidP="00BE1F8F" w:rsidRDefault="00FD106B" w14:paraId="5D3E6D79" w14:textId="77777777">
      <w:pPr>
        <w:widowControl w:val="0"/>
        <w:numPr>
          <w:ilvl w:val="0"/>
          <w:numId w:val="30"/>
        </w:numPr>
        <w:overflowPunct w:val="0"/>
        <w:autoSpaceDE w:val="0"/>
        <w:autoSpaceDN w:val="0"/>
        <w:adjustRightInd w:val="0"/>
        <w:ind w:left="284" w:hanging="284"/>
        <w:textAlignment w:val="baseline"/>
        <w:rPr>
          <w:szCs w:val="20"/>
        </w:rPr>
      </w:pPr>
      <w:r>
        <w:t xml:space="preserve">fordert </w:t>
      </w:r>
      <w:r>
        <w:rPr>
          <w:b/>
        </w:rPr>
        <w:t>verstärkte Investitionen in Schlüsselbereiche wie die soziale Infrastruktur, den digitalen Wandel und die Energiewende</w:t>
      </w:r>
      <w:r>
        <w:t>. Er erkennt an, dass die Wettbewerbsfähigkeit auf einem soliden Fundament beruht, und betont, dass erhebliche Investitionen in moderne Infrastrukturen, einschließlich Bildung, Forschung, Digitalisierung und erneuerbare Energien, erforderlich sind. Diese Investitionen sind von entscheidender Bedeutung, um die wirtschaftliche Stärke Europas zu erhalten und gleichzeitig den demografischen Wandel, den technologischen Fortschritt und die Herausforderungen des Klimawandels zu bewältigen;</w:t>
      </w:r>
    </w:p>
    <w:p w:rsidRPr="00FD106B" w:rsidR="00FD106B" w:rsidP="00BE1F8F" w:rsidRDefault="00FD106B" w14:paraId="3EFA90D3" w14:textId="77777777">
      <w:pPr>
        <w:widowControl w:val="0"/>
        <w:numPr>
          <w:ilvl w:val="0"/>
          <w:numId w:val="30"/>
        </w:numPr>
        <w:overflowPunct w:val="0"/>
        <w:autoSpaceDE w:val="0"/>
        <w:autoSpaceDN w:val="0"/>
        <w:adjustRightInd w:val="0"/>
        <w:ind w:left="284" w:hanging="284"/>
        <w:textAlignment w:val="baseline"/>
        <w:rPr>
          <w:szCs w:val="20"/>
        </w:rPr>
      </w:pPr>
      <w:r>
        <w:t>betont, dass die EU den globalen wirtschaftlichen Wandel aktiv mitgestalten muss, anstatt sich nur auf Errungenschaften auszuruhen. Er verweist darauf, dass Europa an einem Scheideweg steht: es kann entweder beim globalen wirtschaftlichen Wandel eine proaktive Rolle übernehmen oder Gefahr laufen, ins Hintertreffen zu geraten. Dies bedeutet, dass</w:t>
      </w:r>
      <w:r>
        <w:rPr>
          <w:b/>
        </w:rPr>
        <w:t xml:space="preserve"> der Binnenmarkt an neue geopolitische Gegebenheiten angepasst</w:t>
      </w:r>
      <w:r>
        <w:t xml:space="preserve">, die strategische Abhängigkeit von Lieferketten außerhalb der EU verringert und die Rolle Europas in strategischen Industriezweigen gestärkt werden müssen. </w:t>
      </w:r>
    </w:p>
    <w:p w:rsidRPr="00FD106B" w:rsidR="00FD106B" w:rsidP="00BE1F8F" w:rsidRDefault="00FD106B" w14:paraId="2D92CEA3"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25"/>
        <w:gridCol w:w="7262"/>
      </w:tblGrid>
      <w:tr w:rsidRPr="00FD106B" w:rsidR="00FD106B" w:rsidTr="00A3780E" w14:paraId="221C8BB2" w14:textId="77777777">
        <w:tc>
          <w:tcPr>
            <w:tcW w:w="1090" w:type="pct"/>
          </w:tcPr>
          <w:p w:rsidRPr="00FD106B" w:rsidR="00FD106B" w:rsidP="00BE1F8F" w:rsidRDefault="00FD106B" w14:paraId="740E10D6" w14:textId="77777777">
            <w:pPr>
              <w:overflowPunct w:val="0"/>
              <w:autoSpaceDE w:val="0"/>
              <w:autoSpaceDN w:val="0"/>
              <w:adjustRightInd w:val="0"/>
              <w:textAlignment w:val="baseline"/>
              <w:rPr>
                <w:i/>
              </w:rPr>
            </w:pPr>
            <w:r>
              <w:rPr>
                <w:b/>
                <w:i/>
              </w:rPr>
              <w:t>Kontakte</w:t>
            </w:r>
          </w:p>
        </w:tc>
        <w:tc>
          <w:tcPr>
            <w:tcW w:w="3910" w:type="pct"/>
          </w:tcPr>
          <w:p w:rsidRPr="00FD106B" w:rsidR="00FD106B" w:rsidP="00BE1F8F" w:rsidRDefault="00FD106B" w14:paraId="5AA8E8D6" w14:textId="77777777">
            <w:pPr>
              <w:overflowPunct w:val="0"/>
              <w:autoSpaceDE w:val="0"/>
              <w:autoSpaceDN w:val="0"/>
              <w:adjustRightInd w:val="0"/>
              <w:textAlignment w:val="baseline"/>
              <w:rPr>
                <w:i/>
              </w:rPr>
            </w:pPr>
            <w:r>
              <w:rPr>
                <w:i/>
              </w:rPr>
              <w:t xml:space="preserve">Annalisa </w:t>
            </w:r>
            <w:proofErr w:type="spellStart"/>
            <w:r>
              <w:rPr>
                <w:i/>
              </w:rPr>
              <w:t>Tessarolo</w:t>
            </w:r>
            <w:proofErr w:type="spellEnd"/>
          </w:p>
          <w:p w:rsidRPr="00FD106B" w:rsidR="00FD106B" w:rsidP="00BE1F8F" w:rsidRDefault="00FD106B" w14:paraId="1CF946C4" w14:textId="77777777">
            <w:pPr>
              <w:overflowPunct w:val="0"/>
              <w:autoSpaceDE w:val="0"/>
              <w:autoSpaceDN w:val="0"/>
              <w:adjustRightInd w:val="0"/>
              <w:textAlignment w:val="baseline"/>
              <w:rPr>
                <w:i/>
              </w:rPr>
            </w:pPr>
            <w:r>
              <w:rPr>
                <w:i/>
              </w:rPr>
              <w:t>Silvia Staffa</w:t>
            </w:r>
          </w:p>
        </w:tc>
      </w:tr>
      <w:tr w:rsidRPr="00FD106B" w:rsidR="00FD106B" w:rsidTr="00A3780E" w14:paraId="7C7B09FE" w14:textId="77777777">
        <w:tc>
          <w:tcPr>
            <w:tcW w:w="1090" w:type="pct"/>
          </w:tcPr>
          <w:p w:rsidRPr="00FD106B" w:rsidR="00FD106B" w:rsidP="00BE1F8F" w:rsidRDefault="00FD106B" w14:paraId="3C27F1DF" w14:textId="77777777">
            <w:pPr>
              <w:overflowPunct w:val="0"/>
              <w:autoSpaceDE w:val="0"/>
              <w:autoSpaceDN w:val="0"/>
              <w:adjustRightInd w:val="0"/>
              <w:textAlignment w:val="baseline"/>
              <w:rPr>
                <w:i/>
              </w:rPr>
            </w:pPr>
            <w:r>
              <w:rPr>
                <w:i/>
              </w:rPr>
              <w:t>Tel.</w:t>
            </w:r>
          </w:p>
        </w:tc>
        <w:tc>
          <w:tcPr>
            <w:tcW w:w="3910" w:type="pct"/>
          </w:tcPr>
          <w:p w:rsidRPr="00FD106B" w:rsidR="00FD106B" w:rsidP="00BE1F8F" w:rsidRDefault="00FD106B" w14:paraId="6376D96B" w14:textId="77777777">
            <w:pPr>
              <w:overflowPunct w:val="0"/>
              <w:autoSpaceDE w:val="0"/>
              <w:autoSpaceDN w:val="0"/>
              <w:adjustRightInd w:val="0"/>
              <w:textAlignment w:val="baseline"/>
              <w:rPr>
                <w:i/>
              </w:rPr>
            </w:pPr>
            <w:r>
              <w:rPr>
                <w:i/>
              </w:rPr>
              <w:t>+32 25469732</w:t>
            </w:r>
          </w:p>
          <w:p w:rsidRPr="00FD106B" w:rsidR="00FD106B" w:rsidP="00BE1F8F" w:rsidRDefault="00FD106B" w14:paraId="617FBCCE" w14:textId="77777777">
            <w:pPr>
              <w:overflowPunct w:val="0"/>
              <w:autoSpaceDE w:val="0"/>
              <w:autoSpaceDN w:val="0"/>
              <w:adjustRightInd w:val="0"/>
              <w:textAlignment w:val="baseline"/>
              <w:rPr>
                <w:i/>
              </w:rPr>
            </w:pPr>
            <w:r>
              <w:rPr>
                <w:i/>
              </w:rPr>
              <w:t>+32 25468378</w:t>
            </w:r>
          </w:p>
        </w:tc>
      </w:tr>
      <w:tr w:rsidRPr="00FD106B" w:rsidR="00FD106B" w:rsidTr="00A3780E" w14:paraId="28A6E007" w14:textId="77777777">
        <w:tc>
          <w:tcPr>
            <w:tcW w:w="1090" w:type="pct"/>
          </w:tcPr>
          <w:p w:rsidRPr="00FD106B" w:rsidR="00FD106B" w:rsidP="00BE1F8F" w:rsidRDefault="00FD106B" w14:paraId="173B4957" w14:textId="77777777">
            <w:pPr>
              <w:overflowPunct w:val="0"/>
              <w:autoSpaceDE w:val="0"/>
              <w:autoSpaceDN w:val="0"/>
              <w:adjustRightInd w:val="0"/>
              <w:textAlignment w:val="baseline"/>
              <w:rPr>
                <w:i/>
              </w:rPr>
            </w:pPr>
            <w:r>
              <w:rPr>
                <w:i/>
              </w:rPr>
              <w:t>E-Mail</w:t>
            </w:r>
          </w:p>
        </w:tc>
        <w:tc>
          <w:tcPr>
            <w:tcW w:w="3910" w:type="pct"/>
          </w:tcPr>
          <w:p w:rsidRPr="00FD106B" w:rsidR="00FD106B" w:rsidP="00BE1F8F" w:rsidRDefault="006A4D48" w14:paraId="58795004" w14:textId="77777777">
            <w:pPr>
              <w:overflowPunct w:val="0"/>
              <w:autoSpaceDE w:val="0"/>
              <w:autoSpaceDN w:val="0"/>
              <w:adjustRightInd w:val="0"/>
              <w:textAlignment w:val="baseline"/>
              <w:rPr>
                <w:i/>
                <w:iCs/>
              </w:rPr>
            </w:pPr>
            <w:hyperlink w:history="1" r:id="rId43">
              <w:r w:rsidR="008A2164">
                <w:rPr>
                  <w:i/>
                  <w:color w:val="0000FF"/>
                  <w:u w:val="single"/>
                </w:rPr>
                <w:t>Annalisa.Tessarolo@eesc.europa.eu</w:t>
              </w:r>
            </w:hyperlink>
          </w:p>
          <w:p w:rsidRPr="00FD106B" w:rsidR="00FD106B" w:rsidP="00BE1F8F" w:rsidRDefault="006A4D48" w14:paraId="40FF993F" w14:textId="77777777">
            <w:pPr>
              <w:overflowPunct w:val="0"/>
              <w:autoSpaceDE w:val="0"/>
              <w:autoSpaceDN w:val="0"/>
              <w:adjustRightInd w:val="0"/>
              <w:textAlignment w:val="baseline"/>
              <w:rPr>
                <w:i/>
              </w:rPr>
            </w:pPr>
            <w:hyperlink w:history="1" r:id="rId44">
              <w:r w:rsidR="008A2164">
                <w:rPr>
                  <w:i/>
                  <w:color w:val="0000FF"/>
                  <w:u w:val="single"/>
                </w:rPr>
                <w:t>Silvia.Staffa@eesc.europa.eu</w:t>
              </w:r>
            </w:hyperlink>
          </w:p>
        </w:tc>
      </w:tr>
    </w:tbl>
    <w:p w:rsidR="00FD106B" w:rsidP="00BE1F8F" w:rsidRDefault="00FD106B" w14:paraId="6389C470" w14:textId="77777777">
      <w:pPr>
        <w:jc w:val="left"/>
      </w:pPr>
    </w:p>
    <w:p w:rsidR="00FD106B" w:rsidP="00BE1F8F" w:rsidRDefault="00FD106B" w14:paraId="78591677" w14:textId="77777777">
      <w:pPr>
        <w:jc w:val="left"/>
      </w:pPr>
      <w:r>
        <w:br w:type="page"/>
      </w:r>
    </w:p>
    <w:p w:rsidRPr="00D03AEC" w:rsidR="00D03AEC" w:rsidP="00BE1F8F" w:rsidRDefault="006A4D48" w14:paraId="5D829D13" w14:textId="2B5C8229">
      <w:pPr>
        <w:widowControl w:val="0"/>
        <w:numPr>
          <w:ilvl w:val="0"/>
          <w:numId w:val="2"/>
        </w:numPr>
        <w:overflowPunct w:val="0"/>
        <w:autoSpaceDE w:val="0"/>
        <w:autoSpaceDN w:val="0"/>
        <w:adjustRightInd w:val="0"/>
        <w:ind w:hanging="567"/>
        <w:textAlignment w:val="baseline"/>
        <w:rPr>
          <w:sz w:val="20"/>
          <w:szCs w:val="20"/>
        </w:rPr>
      </w:pPr>
      <w:hyperlink w:history="1" r:id="rId45">
        <w:r w:rsidR="008A2164">
          <w:rPr>
            <w:b/>
            <w:i/>
            <w:color w:val="0000FF"/>
            <w:sz w:val="28"/>
            <w:u w:val="single"/>
          </w:rPr>
          <w:t>Die Wettbewerbsfähigkeit von KMU in der EU angesichts neuer Belastungen/Verwaltungslasten</w:t>
        </w:r>
      </w:hyperlink>
    </w:p>
    <w:p w:rsidRPr="00D03AEC" w:rsidR="00D03AEC" w:rsidP="00BE1F8F" w:rsidRDefault="00D03AEC" w14:paraId="76D0C029"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13"/>
        <w:gridCol w:w="7164"/>
      </w:tblGrid>
      <w:tr w:rsidRPr="00D03AEC" w:rsidR="00D03AEC" w:rsidTr="00713105" w14:paraId="385F137A" w14:textId="77777777">
        <w:trPr>
          <w:trHeight w:val="323"/>
        </w:trPr>
        <w:tc>
          <w:tcPr>
            <w:tcW w:w="791" w:type="pct"/>
          </w:tcPr>
          <w:p w:rsidRPr="00D03AEC" w:rsidR="00D03AEC" w:rsidP="00BE1F8F" w:rsidRDefault="00D03AEC" w14:paraId="6D4FA2AD" w14:textId="44144662">
            <w:pPr>
              <w:tabs>
                <w:tab w:val="center" w:pos="284"/>
              </w:tabs>
              <w:overflowPunct w:val="0"/>
              <w:autoSpaceDE w:val="0"/>
              <w:autoSpaceDN w:val="0"/>
              <w:adjustRightInd w:val="0"/>
              <w:ind w:left="266" w:hanging="266"/>
              <w:textAlignment w:val="baseline"/>
              <w:rPr>
                <w:b/>
              </w:rPr>
            </w:pPr>
            <w:r>
              <w:rPr>
                <w:b/>
              </w:rPr>
              <w:t>Berichterstatter</w:t>
            </w:r>
          </w:p>
        </w:tc>
        <w:tc>
          <w:tcPr>
            <w:tcW w:w="4209" w:type="pct"/>
          </w:tcPr>
          <w:p w:rsidRPr="00D03AEC" w:rsidR="00D03AEC" w:rsidP="00BE1F8F" w:rsidRDefault="00D03AEC" w14:paraId="2320B226" w14:textId="16FA16A5">
            <w:pPr>
              <w:tabs>
                <w:tab w:val="center" w:pos="0"/>
              </w:tabs>
              <w:overflowPunct w:val="0"/>
              <w:autoSpaceDE w:val="0"/>
              <w:autoSpaceDN w:val="0"/>
              <w:adjustRightInd w:val="0"/>
              <w:ind w:left="266" w:right="-387" w:hanging="266"/>
              <w:textAlignment w:val="baseline"/>
            </w:pPr>
            <w:r>
              <w:t>Paul RÜBIG (Gruppe Arbeitgeber – AT)</w:t>
            </w:r>
          </w:p>
        </w:tc>
      </w:tr>
      <w:tr w:rsidRPr="00D03AEC" w:rsidR="00D03AEC" w:rsidTr="00713105" w14:paraId="2544DD25" w14:textId="77777777">
        <w:tc>
          <w:tcPr>
            <w:tcW w:w="791" w:type="pct"/>
          </w:tcPr>
          <w:p w:rsidRPr="00D03AEC" w:rsidR="00D03AEC" w:rsidP="00BE1F8F" w:rsidRDefault="00D03AEC" w14:paraId="327B0796" w14:textId="569A93C2">
            <w:pPr>
              <w:tabs>
                <w:tab w:val="center" w:pos="284"/>
              </w:tabs>
              <w:overflowPunct w:val="0"/>
              <w:autoSpaceDE w:val="0"/>
              <w:autoSpaceDN w:val="0"/>
              <w:adjustRightInd w:val="0"/>
              <w:ind w:left="266" w:hanging="266"/>
              <w:textAlignment w:val="baseline"/>
              <w:rPr>
                <w:b/>
              </w:rPr>
            </w:pPr>
            <w:r>
              <w:rPr>
                <w:b/>
              </w:rPr>
              <w:t>Referenzdokument</w:t>
            </w:r>
          </w:p>
        </w:tc>
        <w:tc>
          <w:tcPr>
            <w:tcW w:w="4209" w:type="pct"/>
          </w:tcPr>
          <w:p w:rsidRPr="00D03AEC" w:rsidR="00D03AEC" w:rsidP="00BE1F8F" w:rsidRDefault="00D03AEC" w14:paraId="34DEDE49" w14:textId="588F8405">
            <w:pPr>
              <w:tabs>
                <w:tab w:val="center" w:pos="284"/>
              </w:tabs>
              <w:overflowPunct w:val="0"/>
              <w:autoSpaceDE w:val="0"/>
              <w:autoSpaceDN w:val="0"/>
              <w:adjustRightInd w:val="0"/>
              <w:ind w:left="266" w:right="-387" w:hanging="266"/>
              <w:textAlignment w:val="baseline"/>
            </w:pPr>
            <w:r>
              <w:t>Sondierungsstellungnahme auf Ersuchen des polnischen EU-Ratsvorsitzes</w:t>
            </w:r>
          </w:p>
          <w:p w:rsidRPr="00D03AEC" w:rsidR="00D03AEC" w:rsidP="00BE1F8F" w:rsidRDefault="00D03AEC" w14:paraId="6502535C" w14:textId="77777777">
            <w:pPr>
              <w:tabs>
                <w:tab w:val="center" w:pos="284"/>
              </w:tabs>
              <w:overflowPunct w:val="0"/>
              <w:autoSpaceDE w:val="0"/>
              <w:autoSpaceDN w:val="0"/>
              <w:adjustRightInd w:val="0"/>
              <w:ind w:left="266" w:right="-387" w:hanging="266"/>
              <w:textAlignment w:val="baseline"/>
            </w:pPr>
            <w:r>
              <w:t>EESC-2024-03549-00-00-AC</w:t>
            </w:r>
          </w:p>
        </w:tc>
      </w:tr>
    </w:tbl>
    <w:p w:rsidRPr="00D03AEC" w:rsidR="00D03AEC" w:rsidP="00BE1F8F" w:rsidRDefault="00D03AEC" w14:paraId="5DE49D6C" w14:textId="77777777">
      <w:pPr>
        <w:tabs>
          <w:tab w:val="center" w:pos="284"/>
        </w:tabs>
        <w:overflowPunct w:val="0"/>
        <w:autoSpaceDE w:val="0"/>
        <w:autoSpaceDN w:val="0"/>
        <w:adjustRightInd w:val="0"/>
        <w:ind w:left="266" w:hanging="266"/>
        <w:textAlignment w:val="baseline"/>
        <w:rPr>
          <w:b/>
          <w:lang w:val="en-GB"/>
        </w:rPr>
      </w:pPr>
    </w:p>
    <w:p w:rsidRPr="00D03AEC" w:rsidR="00D03AEC" w:rsidP="00BE1F8F" w:rsidRDefault="00D03AEC" w14:paraId="26780EEE" w14:textId="77777777">
      <w:pPr>
        <w:tabs>
          <w:tab w:val="center" w:pos="284"/>
        </w:tabs>
        <w:overflowPunct w:val="0"/>
        <w:autoSpaceDE w:val="0"/>
        <w:autoSpaceDN w:val="0"/>
        <w:adjustRightInd w:val="0"/>
        <w:ind w:left="266" w:hanging="266"/>
        <w:textAlignment w:val="baseline"/>
        <w:rPr>
          <w:b/>
        </w:rPr>
      </w:pPr>
      <w:r>
        <w:rPr>
          <w:b/>
        </w:rPr>
        <w:t>Kernaussagen</w:t>
      </w:r>
    </w:p>
    <w:p w:rsidRPr="00D03AEC" w:rsidR="00D03AEC" w:rsidP="00BE1F8F" w:rsidRDefault="00D03AEC" w14:paraId="66E17A01" w14:textId="77777777">
      <w:pPr>
        <w:tabs>
          <w:tab w:val="center" w:pos="284"/>
        </w:tabs>
        <w:overflowPunct w:val="0"/>
        <w:autoSpaceDE w:val="0"/>
        <w:autoSpaceDN w:val="0"/>
        <w:adjustRightInd w:val="0"/>
        <w:ind w:left="266" w:hanging="266"/>
        <w:textAlignment w:val="baseline"/>
        <w:rPr>
          <w:bCs/>
          <w:lang w:val="en-GB"/>
        </w:rPr>
      </w:pPr>
    </w:p>
    <w:p w:rsidRPr="00D03AEC" w:rsidR="00D03AEC" w:rsidP="00BE1F8F" w:rsidRDefault="00D03AEC" w14:paraId="73126562" w14:textId="77777777">
      <w:pPr>
        <w:overflowPunct w:val="0"/>
        <w:autoSpaceDE w:val="0"/>
        <w:autoSpaceDN w:val="0"/>
        <w:adjustRightInd w:val="0"/>
        <w:textAlignment w:val="baseline"/>
        <w:rPr>
          <w:bCs/>
          <w:iCs/>
        </w:rPr>
      </w:pPr>
      <w:r>
        <w:t>Der EWSA</w:t>
      </w:r>
    </w:p>
    <w:p w:rsidRPr="00D03AEC" w:rsidR="00D03AEC" w:rsidP="00BE1F8F" w:rsidRDefault="00D03AEC" w14:paraId="551D5FDC" w14:textId="77777777">
      <w:pPr>
        <w:numPr>
          <w:ilvl w:val="0"/>
          <w:numId w:val="31"/>
        </w:numPr>
        <w:overflowPunct w:val="0"/>
        <w:autoSpaceDE w:val="0"/>
        <w:autoSpaceDN w:val="0"/>
        <w:adjustRightInd w:val="0"/>
        <w:ind w:left="284" w:hanging="284"/>
        <w:contextualSpacing/>
        <w:textAlignment w:val="baseline"/>
        <w:rPr>
          <w:bCs/>
          <w:iCs/>
        </w:rPr>
      </w:pPr>
      <w:r>
        <w:t>ist der Ansicht, dass trotz verschiedener EU-Initiativen in der Vergangenheit weitere Verbesserungen bei der Verringerung des Regelungsaufwands erforderlich sind, da KMU aufgrund der zusätzlichen Regulierungswelle und der bestehenden Anforderungen, auch im Zusammenhang mit dem Grünen Deal, mit doppelten und dreifachen rechtlichen Anforderungen konfrontiert sind;</w:t>
      </w:r>
    </w:p>
    <w:p w:rsidRPr="00D03AEC" w:rsidR="00D03AEC" w:rsidP="00BE1F8F" w:rsidRDefault="00D03AEC" w14:paraId="62F36A43" w14:textId="77777777">
      <w:pPr>
        <w:numPr>
          <w:ilvl w:val="0"/>
          <w:numId w:val="31"/>
        </w:numPr>
        <w:overflowPunct w:val="0"/>
        <w:autoSpaceDE w:val="0"/>
        <w:autoSpaceDN w:val="0"/>
        <w:adjustRightInd w:val="0"/>
        <w:ind w:left="284" w:hanging="284"/>
        <w:contextualSpacing/>
        <w:textAlignment w:val="baseline"/>
        <w:rPr>
          <w:bCs/>
          <w:iCs/>
        </w:rPr>
      </w:pPr>
      <w:r>
        <w:t>ist gleichzeitig der Auffassung, dass die Verringerung des Regelungsaufwands nicht die Einhaltung der auf internationaler Ebene und auf EU-Ebene festgelegten Sozial-, Umwelt- und Verbraucherschutzrechte und -standards sowie des Grundsatzes der Transparenz und der Rechtsstaatlichkeit in der EU gefährden darf;</w:t>
      </w:r>
    </w:p>
    <w:p w:rsidRPr="00D03AEC" w:rsidR="00D03AEC" w:rsidP="00BE1F8F" w:rsidRDefault="00D03AEC" w14:paraId="2F408966" w14:textId="77777777">
      <w:pPr>
        <w:numPr>
          <w:ilvl w:val="0"/>
          <w:numId w:val="31"/>
        </w:numPr>
        <w:overflowPunct w:val="0"/>
        <w:autoSpaceDE w:val="0"/>
        <w:autoSpaceDN w:val="0"/>
        <w:adjustRightInd w:val="0"/>
        <w:ind w:left="284" w:hanging="284"/>
        <w:contextualSpacing/>
        <w:textAlignment w:val="baseline"/>
        <w:rPr>
          <w:bCs/>
          <w:iCs/>
        </w:rPr>
      </w:pPr>
      <w:r>
        <w:t>empfiehlt, den Ausschuss für Regulierungskontrolle (RSB) erheblich aufzuwerten und seine Unabhängigkeit zu stärken. Er sollte zu Beginn eines jeden Gesetzgebungsverfahrens eine „Kohärenz- und Subsidiaritätsprüfung“ durchführen und angemessene Prüfungs- und Vorschlagsrechte bekommen;</w:t>
      </w:r>
    </w:p>
    <w:p w:rsidRPr="00D03AEC" w:rsidR="00D03AEC" w:rsidP="00BE1F8F" w:rsidRDefault="00D03AEC" w14:paraId="59E3C799" w14:textId="77777777">
      <w:pPr>
        <w:numPr>
          <w:ilvl w:val="0"/>
          <w:numId w:val="31"/>
        </w:numPr>
        <w:overflowPunct w:val="0"/>
        <w:autoSpaceDE w:val="0"/>
        <w:autoSpaceDN w:val="0"/>
        <w:adjustRightInd w:val="0"/>
        <w:ind w:left="284" w:hanging="284"/>
        <w:contextualSpacing/>
        <w:textAlignment w:val="baseline"/>
        <w:rPr>
          <w:bCs/>
          <w:iCs/>
        </w:rPr>
      </w:pPr>
      <w:r>
        <w:t>empfiehlt, den KMU-Test und den Check-up der Wettbewerbsfähigkeit in einem Verfahren zusammenzufassen;</w:t>
      </w:r>
    </w:p>
    <w:p w:rsidRPr="00D03AEC" w:rsidR="00D03AEC" w:rsidP="00BE1F8F" w:rsidRDefault="00D03AEC" w14:paraId="126D259B" w14:textId="77777777">
      <w:pPr>
        <w:numPr>
          <w:ilvl w:val="0"/>
          <w:numId w:val="31"/>
        </w:numPr>
        <w:overflowPunct w:val="0"/>
        <w:autoSpaceDE w:val="0"/>
        <w:autoSpaceDN w:val="0"/>
        <w:adjustRightInd w:val="0"/>
        <w:ind w:left="284" w:hanging="284"/>
        <w:contextualSpacing/>
        <w:textAlignment w:val="baseline"/>
        <w:rPr>
          <w:bCs/>
          <w:iCs/>
        </w:rPr>
      </w:pPr>
      <w:r>
        <w:t xml:space="preserve">legt nahe, mithilfe künstlicher Intelligenz und maschinellen Lernens ein benutzerfreundliches „einheitliches Meldeinstrument“ zu schaffen, das KMU, </w:t>
      </w:r>
      <w:proofErr w:type="spellStart"/>
      <w:r>
        <w:t>Midcap</w:t>
      </w:r>
      <w:proofErr w:type="spellEnd"/>
      <w:r>
        <w:t>-Unternehmen und anderen Unternehmen für alle EU-relevanten Berichtspflichten, Fristen und Sanktionen zur Verfügung steht;</w:t>
      </w:r>
    </w:p>
    <w:p w:rsidRPr="00D03AEC" w:rsidR="00D03AEC" w:rsidP="00BE1F8F" w:rsidRDefault="00D03AEC" w14:paraId="004869CE" w14:textId="77777777">
      <w:pPr>
        <w:numPr>
          <w:ilvl w:val="0"/>
          <w:numId w:val="31"/>
        </w:numPr>
        <w:overflowPunct w:val="0"/>
        <w:autoSpaceDE w:val="0"/>
        <w:autoSpaceDN w:val="0"/>
        <w:adjustRightInd w:val="0"/>
        <w:ind w:left="284" w:hanging="284"/>
        <w:contextualSpacing/>
        <w:textAlignment w:val="baseline"/>
        <w:rPr>
          <w:bCs/>
          <w:iCs/>
        </w:rPr>
      </w:pPr>
      <w:r>
        <w:t>spricht sich dafür aus, dass das Europäische Parlament und der Rat der EU ein beschleunigtes Verfahren für Folgen- und Risikobewertungen entwickeln, die die zuständigen Fachabteilungen dieser Organe bei substanziellen Änderungen an den Kommissionsvorlagen vornehmen;</w:t>
      </w:r>
    </w:p>
    <w:p w:rsidR="00D03AEC" w:rsidP="00BE1F8F" w:rsidRDefault="00D03AEC" w14:paraId="750FA3AD" w14:textId="77777777">
      <w:pPr>
        <w:numPr>
          <w:ilvl w:val="0"/>
          <w:numId w:val="31"/>
        </w:numPr>
        <w:overflowPunct w:val="0"/>
        <w:autoSpaceDE w:val="0"/>
        <w:autoSpaceDN w:val="0"/>
        <w:adjustRightInd w:val="0"/>
        <w:ind w:left="284" w:hanging="284"/>
        <w:contextualSpacing/>
        <w:textAlignment w:val="baseline"/>
        <w:rPr>
          <w:bCs/>
          <w:iCs/>
        </w:rPr>
      </w:pPr>
      <w:r>
        <w:t>vertritt die Auffassung, dass der Rat der Europäischen Union und die nationalen Parlamente die Möglichkeiten zur Überprüfung der Zuständigkeit (Subsidiarität) insbesondere im Hinblick auf die Auswirkungen auf KMU, Verbraucher, Behörden und Justiz, umfassender nutzen sollten.</w:t>
      </w:r>
    </w:p>
    <w:p w:rsidRPr="00D03AEC" w:rsidR="00860DE0" w:rsidP="00BE1F8F" w:rsidRDefault="00860DE0" w14:paraId="70E7E138" w14:textId="77777777">
      <w:pPr>
        <w:overflowPunct w:val="0"/>
        <w:autoSpaceDE w:val="0"/>
        <w:autoSpaceDN w:val="0"/>
        <w:adjustRightInd w:val="0"/>
        <w:ind w:left="284"/>
        <w:contextualSpacing/>
        <w:textAlignment w:val="baseline"/>
        <w:rPr>
          <w:bCs/>
          <w:iCs/>
          <w:lang w:val="en-GB"/>
        </w:rPr>
      </w:pPr>
    </w:p>
    <w:tbl>
      <w:tblPr>
        <w:tblW w:w="5000" w:type="pct"/>
        <w:tblLook w:val="04A0" w:firstRow="1" w:lastRow="0" w:firstColumn="1" w:lastColumn="0" w:noHBand="0" w:noVBand="1"/>
      </w:tblPr>
      <w:tblGrid>
        <w:gridCol w:w="1662"/>
        <w:gridCol w:w="7625"/>
      </w:tblGrid>
      <w:tr w:rsidRPr="00D03AEC" w:rsidR="00D03AEC" w:rsidTr="00713105" w14:paraId="5FB02248" w14:textId="77777777">
        <w:tc>
          <w:tcPr>
            <w:tcW w:w="895" w:type="pct"/>
          </w:tcPr>
          <w:p w:rsidRPr="00D03AEC" w:rsidR="00D03AEC" w:rsidP="00BE1F8F" w:rsidRDefault="00D03AEC" w14:paraId="74072B9E" w14:textId="77777777">
            <w:pPr>
              <w:overflowPunct w:val="0"/>
              <w:autoSpaceDE w:val="0"/>
              <w:autoSpaceDN w:val="0"/>
              <w:adjustRightInd w:val="0"/>
              <w:textAlignment w:val="baseline"/>
              <w:rPr>
                <w:i/>
              </w:rPr>
            </w:pPr>
            <w:r>
              <w:rPr>
                <w:b/>
                <w:i/>
              </w:rPr>
              <w:t>Kontakt</w:t>
            </w:r>
          </w:p>
        </w:tc>
        <w:tc>
          <w:tcPr>
            <w:tcW w:w="4105" w:type="pct"/>
          </w:tcPr>
          <w:p w:rsidRPr="00D03AEC" w:rsidR="00D03AEC" w:rsidP="00BE1F8F" w:rsidRDefault="00D03AEC" w14:paraId="522139B8" w14:textId="781982F3">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Pr="00D03AEC" w:rsidR="00D03AEC" w:rsidTr="00713105" w14:paraId="608E1DA4" w14:textId="77777777">
        <w:tc>
          <w:tcPr>
            <w:tcW w:w="895" w:type="pct"/>
          </w:tcPr>
          <w:p w:rsidRPr="00D03AEC" w:rsidR="00D03AEC" w:rsidP="00BE1F8F" w:rsidRDefault="00D03AEC" w14:paraId="03200737" w14:textId="77777777">
            <w:pPr>
              <w:overflowPunct w:val="0"/>
              <w:autoSpaceDE w:val="0"/>
              <w:autoSpaceDN w:val="0"/>
              <w:adjustRightInd w:val="0"/>
              <w:textAlignment w:val="baseline"/>
              <w:rPr>
                <w:i/>
              </w:rPr>
            </w:pPr>
            <w:r>
              <w:rPr>
                <w:i/>
              </w:rPr>
              <w:t>Tel.</w:t>
            </w:r>
          </w:p>
        </w:tc>
        <w:tc>
          <w:tcPr>
            <w:tcW w:w="4105" w:type="pct"/>
          </w:tcPr>
          <w:p w:rsidRPr="00D03AEC" w:rsidR="00D03AEC" w:rsidP="00BE1F8F" w:rsidRDefault="00D03AEC" w14:paraId="7EC18166" w14:textId="03235857">
            <w:pPr>
              <w:overflowPunct w:val="0"/>
              <w:autoSpaceDE w:val="0"/>
              <w:autoSpaceDN w:val="0"/>
              <w:adjustRightInd w:val="0"/>
              <w:textAlignment w:val="baseline"/>
              <w:rPr>
                <w:i/>
              </w:rPr>
            </w:pPr>
            <w:r>
              <w:rPr>
                <w:i/>
              </w:rPr>
              <w:t>+32 25469140</w:t>
            </w:r>
          </w:p>
        </w:tc>
      </w:tr>
      <w:tr w:rsidRPr="00D03AEC" w:rsidR="00D03AEC" w:rsidTr="00713105" w14:paraId="18ACE9E6" w14:textId="77777777">
        <w:tc>
          <w:tcPr>
            <w:tcW w:w="895" w:type="pct"/>
          </w:tcPr>
          <w:p w:rsidRPr="00D03AEC" w:rsidR="00D03AEC" w:rsidP="00BE1F8F" w:rsidRDefault="00D03AEC" w14:paraId="47140999" w14:textId="77777777">
            <w:pPr>
              <w:overflowPunct w:val="0"/>
              <w:autoSpaceDE w:val="0"/>
              <w:autoSpaceDN w:val="0"/>
              <w:adjustRightInd w:val="0"/>
              <w:textAlignment w:val="baseline"/>
              <w:rPr>
                <w:i/>
              </w:rPr>
            </w:pPr>
            <w:r>
              <w:rPr>
                <w:i/>
              </w:rPr>
              <w:t>E-Mail</w:t>
            </w:r>
          </w:p>
        </w:tc>
        <w:tc>
          <w:tcPr>
            <w:tcW w:w="4105" w:type="pct"/>
          </w:tcPr>
          <w:p w:rsidRPr="00D03AEC" w:rsidR="00D03AEC" w:rsidP="00BE1F8F" w:rsidRDefault="006A4D48" w14:paraId="66C1176F" w14:textId="6F5AA9D0">
            <w:pPr>
              <w:overflowPunct w:val="0"/>
              <w:autoSpaceDE w:val="0"/>
              <w:autoSpaceDN w:val="0"/>
              <w:adjustRightInd w:val="0"/>
              <w:textAlignment w:val="baseline"/>
              <w:rPr>
                <w:i/>
                <w:iCs/>
              </w:rPr>
            </w:pPr>
            <w:hyperlink w:history="1" r:id="rId46">
              <w:r w:rsidR="008A2164">
                <w:rPr>
                  <w:i/>
                  <w:color w:val="0000FF"/>
                  <w:u w:val="single"/>
                </w:rPr>
                <w:t>Marco.Manfroni@eesc.europa.eu</w:t>
              </w:r>
            </w:hyperlink>
          </w:p>
        </w:tc>
      </w:tr>
    </w:tbl>
    <w:p w:rsidR="00D03AEC" w:rsidP="00BE1F8F" w:rsidRDefault="00D03AEC" w14:paraId="20B99FD5" w14:textId="77777777">
      <w:pPr>
        <w:jc w:val="left"/>
      </w:pPr>
      <w:r>
        <w:br w:type="page"/>
      </w:r>
    </w:p>
    <w:p w:rsidRPr="008413EF" w:rsidR="008413EF" w:rsidP="00BE1F8F" w:rsidRDefault="006A4D48" w14:paraId="70DDD8A1" w14:textId="1D4BB03C">
      <w:pPr>
        <w:widowControl w:val="0"/>
        <w:numPr>
          <w:ilvl w:val="0"/>
          <w:numId w:val="2"/>
        </w:numPr>
        <w:overflowPunct w:val="0"/>
        <w:autoSpaceDE w:val="0"/>
        <w:autoSpaceDN w:val="0"/>
        <w:adjustRightInd w:val="0"/>
        <w:ind w:hanging="567"/>
        <w:textAlignment w:val="baseline"/>
        <w:rPr>
          <w:b/>
        </w:rPr>
      </w:pPr>
      <w:hyperlink w:tgtFrame="_blank" w:history="1" r:id="rId47">
        <w:r w:rsidR="008A2164">
          <w:rPr>
            <w:b/>
            <w:i/>
            <w:color w:val="0000FF"/>
            <w:sz w:val="28"/>
            <w:u w:val="single"/>
          </w:rPr>
          <w:t>Der Dienstleistungssektor in der Europäischen Union</w:t>
        </w:r>
      </w:hyperlink>
    </w:p>
    <w:p w:rsidRPr="008413EF" w:rsidR="008413EF" w:rsidP="00713105" w:rsidRDefault="008413EF" w14:paraId="09CC9878" w14:textId="77777777">
      <w:pPr>
        <w:widowControl w:val="0"/>
        <w:overflowPunct w:val="0"/>
        <w:autoSpaceDE w:val="0"/>
        <w:autoSpaceDN w:val="0"/>
        <w:adjustRightInd w:val="0"/>
        <w:textAlignment w:val="baseline"/>
        <w:rPr>
          <w:b/>
          <w:lang w:val="en-GB"/>
        </w:rPr>
      </w:pPr>
    </w:p>
    <w:tbl>
      <w:tblPr>
        <w:tblW w:w="0" w:type="auto"/>
        <w:tblLook w:val="04A0" w:firstRow="1" w:lastRow="0" w:firstColumn="1" w:lastColumn="0" w:noHBand="0" w:noVBand="1"/>
      </w:tblPr>
      <w:tblGrid>
        <w:gridCol w:w="2013"/>
        <w:gridCol w:w="7274"/>
      </w:tblGrid>
      <w:tr w:rsidRPr="008413EF" w:rsidR="008413EF" w:rsidTr="00713105" w14:paraId="7A748E72" w14:textId="77777777">
        <w:tc>
          <w:tcPr>
            <w:tcW w:w="1701" w:type="dxa"/>
          </w:tcPr>
          <w:p w:rsidRPr="008413EF" w:rsidR="008413EF" w:rsidP="00BE1F8F" w:rsidRDefault="008413EF" w14:paraId="0901F05D" w14:textId="77777777">
            <w:pPr>
              <w:tabs>
                <w:tab w:val="center" w:pos="284"/>
              </w:tabs>
              <w:overflowPunct w:val="0"/>
              <w:autoSpaceDE w:val="0"/>
              <w:autoSpaceDN w:val="0"/>
              <w:adjustRightInd w:val="0"/>
              <w:ind w:left="266" w:hanging="266"/>
              <w:textAlignment w:val="baseline"/>
              <w:rPr>
                <w:b/>
              </w:rPr>
            </w:pPr>
            <w:r>
              <w:rPr>
                <w:b/>
              </w:rPr>
              <w:t>Berichterstatter</w:t>
            </w:r>
          </w:p>
        </w:tc>
        <w:tc>
          <w:tcPr>
            <w:tcW w:w="7479" w:type="dxa"/>
          </w:tcPr>
          <w:p w:rsidRPr="008413EF" w:rsidR="008413EF" w:rsidP="00BE1F8F" w:rsidRDefault="008413EF" w14:paraId="2A6EDF2D" w14:textId="7BB4AB03">
            <w:pPr>
              <w:tabs>
                <w:tab w:val="center" w:pos="284"/>
              </w:tabs>
              <w:overflowPunct w:val="0"/>
              <w:autoSpaceDE w:val="0"/>
              <w:autoSpaceDN w:val="0"/>
              <w:adjustRightInd w:val="0"/>
              <w:ind w:left="266" w:hanging="266"/>
              <w:textAlignment w:val="baseline"/>
            </w:pPr>
            <w:r>
              <w:t>Marcin NOWACKI (Gruppe Arbeitgeber – PL)</w:t>
            </w:r>
          </w:p>
        </w:tc>
      </w:tr>
      <w:tr w:rsidRPr="008413EF" w:rsidR="008413EF" w:rsidTr="00713105" w14:paraId="6A5323D9" w14:textId="77777777">
        <w:tc>
          <w:tcPr>
            <w:tcW w:w="1701" w:type="dxa"/>
            <w:vMerge w:val="restart"/>
          </w:tcPr>
          <w:p w:rsidRPr="008413EF" w:rsidR="008413EF" w:rsidP="00BE1F8F" w:rsidRDefault="008413EF" w14:paraId="037595AE" w14:textId="7E00B36E">
            <w:pPr>
              <w:tabs>
                <w:tab w:val="center" w:pos="284"/>
              </w:tabs>
              <w:overflowPunct w:val="0"/>
              <w:autoSpaceDE w:val="0"/>
              <w:autoSpaceDN w:val="0"/>
              <w:adjustRightInd w:val="0"/>
              <w:ind w:left="266" w:hanging="266"/>
              <w:textAlignment w:val="baseline"/>
              <w:rPr>
                <w:b/>
              </w:rPr>
            </w:pPr>
            <w:r>
              <w:rPr>
                <w:b/>
              </w:rPr>
              <w:t>Referenzdokument</w:t>
            </w:r>
          </w:p>
        </w:tc>
        <w:tc>
          <w:tcPr>
            <w:tcW w:w="7479" w:type="dxa"/>
          </w:tcPr>
          <w:p w:rsidRPr="008413EF" w:rsidR="008413EF" w:rsidP="00713105" w:rsidRDefault="008413EF" w14:paraId="50FBE37D" w14:textId="5D117B4A">
            <w:pPr>
              <w:overflowPunct w:val="0"/>
              <w:autoSpaceDE w:val="0"/>
              <w:autoSpaceDN w:val="0"/>
              <w:adjustRightInd w:val="0"/>
              <w:textAlignment w:val="baseline"/>
            </w:pPr>
            <w:r>
              <w:t>Sondierungsstellungnahme auf Ersuchen des polnischen EU-Ratsvorsitzes</w:t>
            </w:r>
          </w:p>
        </w:tc>
      </w:tr>
      <w:tr w:rsidRPr="008413EF" w:rsidR="008413EF" w:rsidTr="00713105" w14:paraId="730528B8" w14:textId="77777777">
        <w:tc>
          <w:tcPr>
            <w:tcW w:w="1701" w:type="dxa"/>
            <w:vMerge/>
          </w:tcPr>
          <w:p w:rsidRPr="008413EF" w:rsidR="008413EF" w:rsidP="00BE1F8F" w:rsidRDefault="008413EF" w14:paraId="12933C30" w14:textId="77777777">
            <w:pPr>
              <w:tabs>
                <w:tab w:val="center" w:pos="284"/>
              </w:tabs>
              <w:overflowPunct w:val="0"/>
              <w:autoSpaceDE w:val="0"/>
              <w:autoSpaceDN w:val="0"/>
              <w:adjustRightInd w:val="0"/>
              <w:ind w:left="266" w:hanging="266"/>
              <w:textAlignment w:val="baseline"/>
              <w:rPr>
                <w:b/>
              </w:rPr>
            </w:pPr>
          </w:p>
        </w:tc>
        <w:tc>
          <w:tcPr>
            <w:tcW w:w="7479" w:type="dxa"/>
          </w:tcPr>
          <w:p w:rsidRPr="008413EF" w:rsidR="008413EF" w:rsidP="00BE1F8F" w:rsidRDefault="008413EF" w14:paraId="3578B6AF" w14:textId="02B3A0A0">
            <w:pPr>
              <w:tabs>
                <w:tab w:val="center" w:pos="284"/>
              </w:tabs>
              <w:overflowPunct w:val="0"/>
              <w:autoSpaceDE w:val="0"/>
              <w:autoSpaceDN w:val="0"/>
              <w:adjustRightInd w:val="0"/>
              <w:ind w:left="266" w:hanging="266"/>
              <w:textAlignment w:val="baseline"/>
            </w:pPr>
            <w:r>
              <w:t>EESC-2024-03619-00-00-AC</w:t>
            </w:r>
          </w:p>
        </w:tc>
      </w:tr>
    </w:tbl>
    <w:p w:rsidRPr="008413EF" w:rsidR="008413EF" w:rsidP="00BE1F8F" w:rsidRDefault="008413EF" w14:paraId="27F8102F" w14:textId="77777777">
      <w:pPr>
        <w:tabs>
          <w:tab w:val="center" w:pos="284"/>
        </w:tabs>
        <w:overflowPunct w:val="0"/>
        <w:autoSpaceDE w:val="0"/>
        <w:autoSpaceDN w:val="0"/>
        <w:adjustRightInd w:val="0"/>
        <w:ind w:left="266" w:hanging="266"/>
        <w:textAlignment w:val="baseline"/>
        <w:rPr>
          <w:sz w:val="20"/>
          <w:szCs w:val="20"/>
          <w:lang w:val="en-GB"/>
        </w:rPr>
      </w:pPr>
    </w:p>
    <w:p w:rsidRPr="008413EF" w:rsidR="008413EF" w:rsidP="00BE1F8F" w:rsidRDefault="008413EF" w14:paraId="72919FEE"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8413EF" w:rsidR="008413EF" w:rsidP="00BE1F8F" w:rsidRDefault="008413EF" w14:paraId="57B16AE4" w14:textId="77777777">
      <w:pPr>
        <w:keepNext/>
        <w:keepLines/>
        <w:tabs>
          <w:tab w:val="center" w:pos="284"/>
        </w:tabs>
        <w:overflowPunct w:val="0"/>
        <w:autoSpaceDE w:val="0"/>
        <w:autoSpaceDN w:val="0"/>
        <w:adjustRightInd w:val="0"/>
        <w:ind w:left="266" w:hanging="266"/>
        <w:textAlignment w:val="baseline"/>
        <w:rPr>
          <w:b/>
          <w:lang w:val="en-GB"/>
        </w:rPr>
      </w:pPr>
    </w:p>
    <w:p w:rsidRPr="008413EF" w:rsidR="008413EF" w:rsidP="00BE1F8F" w:rsidRDefault="008413EF" w14:paraId="4C5E895D" w14:textId="77777777">
      <w:pPr>
        <w:overflowPunct w:val="0"/>
        <w:autoSpaceDE w:val="0"/>
        <w:autoSpaceDN w:val="0"/>
        <w:adjustRightInd w:val="0"/>
        <w:textAlignment w:val="baseline"/>
        <w:rPr>
          <w:bCs/>
          <w:iCs/>
        </w:rPr>
      </w:pPr>
      <w:r>
        <w:t>Der EWSA</w:t>
      </w:r>
    </w:p>
    <w:p w:rsidRPr="008413EF" w:rsidR="008413EF" w:rsidP="00BE1F8F" w:rsidRDefault="008413EF" w14:paraId="67F46C33" w14:textId="77777777">
      <w:pPr>
        <w:numPr>
          <w:ilvl w:val="0"/>
          <w:numId w:val="32"/>
        </w:numPr>
        <w:overflowPunct w:val="0"/>
        <w:autoSpaceDE w:val="0"/>
        <w:autoSpaceDN w:val="0"/>
        <w:adjustRightInd w:val="0"/>
        <w:ind w:left="284" w:hanging="284"/>
        <w:contextualSpacing/>
        <w:textAlignment w:val="baseline"/>
        <w:rPr>
          <w:bCs/>
          <w:iCs/>
        </w:rPr>
      </w:pPr>
      <w:r>
        <w:t>betont, dass die Dienstleistungsrichtlinie und die Richtlinie über Berufsqualifikationen harmonisiert werden müssen, um der Fragmentierung im Dienstleistungssektor der EU entgegenzuwirken;</w:t>
      </w:r>
    </w:p>
    <w:p w:rsidRPr="008413EF" w:rsidR="008413EF" w:rsidP="00BE1F8F" w:rsidRDefault="008413EF" w14:paraId="232D5697" w14:textId="77777777">
      <w:pPr>
        <w:numPr>
          <w:ilvl w:val="0"/>
          <w:numId w:val="32"/>
        </w:numPr>
        <w:overflowPunct w:val="0"/>
        <w:autoSpaceDE w:val="0"/>
        <w:autoSpaceDN w:val="0"/>
        <w:adjustRightInd w:val="0"/>
        <w:ind w:left="284" w:hanging="284"/>
        <w:contextualSpacing/>
        <w:textAlignment w:val="baseline"/>
        <w:rPr>
          <w:bCs/>
          <w:iCs/>
        </w:rPr>
      </w:pPr>
      <w:r>
        <w:t>ist der Ansicht, dass ein „100-Berufe-Paket“ auf den Weg gebracht werden sollte, um die größten regulatorischen Hindernisse in den Mitgliedstaaten zu beseitigen;</w:t>
      </w:r>
    </w:p>
    <w:p w:rsidRPr="008413EF" w:rsidR="008413EF" w:rsidP="00BE1F8F" w:rsidRDefault="008413EF" w14:paraId="783B2481" w14:textId="77777777">
      <w:pPr>
        <w:numPr>
          <w:ilvl w:val="0"/>
          <w:numId w:val="32"/>
        </w:numPr>
        <w:overflowPunct w:val="0"/>
        <w:autoSpaceDE w:val="0"/>
        <w:autoSpaceDN w:val="0"/>
        <w:adjustRightInd w:val="0"/>
        <w:ind w:left="284" w:hanging="284"/>
        <w:contextualSpacing/>
        <w:textAlignment w:val="baseline"/>
        <w:rPr>
          <w:bCs/>
          <w:iCs/>
        </w:rPr>
      </w:pPr>
      <w:r>
        <w:t>vertritt die Auffassung, dass die Digitalisierung bei der Modernisierung der Verwaltungsprozesse eine zentrale Rolle spielen sollte. Durch ein einheitliches digitales Meldeportal und die Digitalisierung der A1-Formulare würde nicht nur der Verwaltungsaufwand für KMU verringert, sondern auch die Bereitstellung grenzüberschreitender Dienstleistungen rationalisiert und so für schnellere und leichter zugängliche Dienstleistungen für Unternehmen und Verbraucher gleichermaßen gesorgt;</w:t>
      </w:r>
    </w:p>
    <w:p w:rsidRPr="008413EF" w:rsidR="008413EF" w:rsidP="00BE1F8F" w:rsidRDefault="008413EF" w14:paraId="2AA10EB1" w14:textId="77777777">
      <w:pPr>
        <w:numPr>
          <w:ilvl w:val="0"/>
          <w:numId w:val="32"/>
        </w:numPr>
        <w:overflowPunct w:val="0"/>
        <w:autoSpaceDE w:val="0"/>
        <w:autoSpaceDN w:val="0"/>
        <w:adjustRightInd w:val="0"/>
        <w:ind w:left="284" w:hanging="284"/>
        <w:contextualSpacing/>
        <w:textAlignment w:val="baseline"/>
        <w:rPr>
          <w:bCs/>
          <w:iCs/>
        </w:rPr>
      </w:pPr>
      <w:r>
        <w:t>hält gezielte, sektorspezifische Reformen für nötig, um Hindernisse in Branchen wie Baugewerbe, Einzelhandel und Finanzdienstleistungen zu beseitigen;</w:t>
      </w:r>
    </w:p>
    <w:p w:rsidRPr="008413EF" w:rsidR="008413EF" w:rsidP="00BE1F8F" w:rsidRDefault="008413EF" w14:paraId="1EFD5C32" w14:textId="77777777">
      <w:pPr>
        <w:numPr>
          <w:ilvl w:val="0"/>
          <w:numId w:val="32"/>
        </w:numPr>
        <w:overflowPunct w:val="0"/>
        <w:autoSpaceDE w:val="0"/>
        <w:autoSpaceDN w:val="0"/>
        <w:adjustRightInd w:val="0"/>
        <w:ind w:left="284" w:hanging="284"/>
        <w:contextualSpacing/>
        <w:textAlignment w:val="baseline"/>
        <w:rPr>
          <w:bCs/>
          <w:iCs/>
        </w:rPr>
      </w:pPr>
      <w:r>
        <w:t>unterstreicht, dass Arbeitsschutz, Tarifverhandlungen und Tarifverträge nicht als unnötige Belastung angesehen werden dürfen;</w:t>
      </w:r>
    </w:p>
    <w:p w:rsidRPr="008413EF" w:rsidR="008413EF" w:rsidP="00BE1F8F" w:rsidRDefault="008413EF" w14:paraId="7AEFFC54" w14:textId="77777777">
      <w:pPr>
        <w:numPr>
          <w:ilvl w:val="0"/>
          <w:numId w:val="32"/>
        </w:numPr>
        <w:overflowPunct w:val="0"/>
        <w:autoSpaceDE w:val="0"/>
        <w:autoSpaceDN w:val="0"/>
        <w:adjustRightInd w:val="0"/>
        <w:ind w:left="284" w:hanging="284"/>
        <w:contextualSpacing/>
        <w:textAlignment w:val="baseline"/>
        <w:rPr>
          <w:bCs/>
          <w:iCs/>
        </w:rPr>
      </w:pPr>
      <w:r>
        <w:t>betont, dass Daten über den Dienstleistungssektor, insbesondere in Bezug auf KMU, erhoben werden müssen, um die Politikgestaltung zu unterstützen und Hindernisse für den Binnenmarkt zu beseitigen;</w:t>
      </w:r>
    </w:p>
    <w:p w:rsidRPr="008413EF" w:rsidR="008413EF" w:rsidP="00BE1F8F" w:rsidRDefault="008413EF" w14:paraId="74735E25" w14:textId="77777777">
      <w:pPr>
        <w:numPr>
          <w:ilvl w:val="0"/>
          <w:numId w:val="32"/>
        </w:numPr>
        <w:overflowPunct w:val="0"/>
        <w:autoSpaceDE w:val="0"/>
        <w:autoSpaceDN w:val="0"/>
        <w:adjustRightInd w:val="0"/>
        <w:ind w:left="284" w:hanging="284"/>
        <w:contextualSpacing/>
        <w:textAlignment w:val="baseline"/>
        <w:rPr>
          <w:bCs/>
          <w:iCs/>
        </w:rPr>
      </w:pPr>
      <w:r>
        <w:t xml:space="preserve">ist der Ansicht, dass in die aktualisierte Binnenmarktstrategie ein umfassender sektorspezifischer Aktionsplan für die Integration des Dienstleistungsmarktes aufgenommen werden sollte. </w:t>
      </w:r>
    </w:p>
    <w:p w:rsidRPr="008413EF" w:rsidR="008413EF" w:rsidP="00BE1F8F" w:rsidRDefault="008413EF" w14:paraId="08EF99E5"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668"/>
        <w:gridCol w:w="7512"/>
      </w:tblGrid>
      <w:tr w:rsidRPr="008413EF" w:rsidR="008413EF" w:rsidTr="00713105" w14:paraId="33B11F7A" w14:textId="77777777">
        <w:tc>
          <w:tcPr>
            <w:tcW w:w="1668" w:type="dxa"/>
          </w:tcPr>
          <w:p w:rsidRPr="00713105" w:rsidR="008413EF" w:rsidP="00BE1F8F" w:rsidRDefault="008413EF" w14:paraId="6AEFA1C2" w14:textId="77777777">
            <w:pPr>
              <w:overflowPunct w:val="0"/>
              <w:autoSpaceDE w:val="0"/>
              <w:autoSpaceDN w:val="0"/>
              <w:adjustRightInd w:val="0"/>
              <w:textAlignment w:val="baseline"/>
              <w:rPr>
                <w:i/>
              </w:rPr>
            </w:pPr>
            <w:r>
              <w:rPr>
                <w:b/>
                <w:i/>
              </w:rPr>
              <w:t>Kontakt</w:t>
            </w:r>
          </w:p>
        </w:tc>
        <w:tc>
          <w:tcPr>
            <w:tcW w:w="7512" w:type="dxa"/>
          </w:tcPr>
          <w:p w:rsidRPr="00713105" w:rsidR="008413EF" w:rsidP="00BE1F8F" w:rsidRDefault="008413EF" w14:paraId="061D78D4" w14:textId="77777777">
            <w:pPr>
              <w:overflowPunct w:val="0"/>
              <w:autoSpaceDE w:val="0"/>
              <w:autoSpaceDN w:val="0"/>
              <w:adjustRightInd w:val="0"/>
              <w:textAlignment w:val="baseline"/>
              <w:rPr>
                <w:i/>
              </w:rPr>
            </w:pPr>
            <w:r>
              <w:rPr>
                <w:i/>
              </w:rPr>
              <w:t xml:space="preserve">Annalisa </w:t>
            </w:r>
            <w:proofErr w:type="spellStart"/>
            <w:r>
              <w:rPr>
                <w:i/>
              </w:rPr>
              <w:t>Tessarolo</w:t>
            </w:r>
            <w:proofErr w:type="spellEnd"/>
          </w:p>
        </w:tc>
      </w:tr>
      <w:tr w:rsidRPr="008413EF" w:rsidR="008413EF" w:rsidTr="00713105" w14:paraId="40FDA69D" w14:textId="77777777">
        <w:tc>
          <w:tcPr>
            <w:tcW w:w="1668" w:type="dxa"/>
          </w:tcPr>
          <w:p w:rsidRPr="00713105" w:rsidR="008413EF" w:rsidP="00BE1F8F" w:rsidRDefault="008413EF" w14:paraId="2D116995" w14:textId="77777777">
            <w:pPr>
              <w:overflowPunct w:val="0"/>
              <w:autoSpaceDE w:val="0"/>
              <w:autoSpaceDN w:val="0"/>
              <w:adjustRightInd w:val="0"/>
              <w:textAlignment w:val="baseline"/>
              <w:rPr>
                <w:i/>
              </w:rPr>
            </w:pPr>
            <w:r>
              <w:rPr>
                <w:i/>
              </w:rPr>
              <w:t>Tel.</w:t>
            </w:r>
          </w:p>
        </w:tc>
        <w:tc>
          <w:tcPr>
            <w:tcW w:w="7512" w:type="dxa"/>
          </w:tcPr>
          <w:p w:rsidRPr="00713105" w:rsidR="008413EF" w:rsidP="00BE1F8F" w:rsidRDefault="008413EF" w14:paraId="100C3FF0" w14:textId="4D96929A">
            <w:pPr>
              <w:overflowPunct w:val="0"/>
              <w:autoSpaceDE w:val="0"/>
              <w:autoSpaceDN w:val="0"/>
              <w:adjustRightInd w:val="0"/>
              <w:textAlignment w:val="baseline"/>
              <w:rPr>
                <w:i/>
              </w:rPr>
            </w:pPr>
            <w:r>
              <w:rPr>
                <w:i/>
              </w:rPr>
              <w:t>+32 2 54697432</w:t>
            </w:r>
          </w:p>
        </w:tc>
      </w:tr>
      <w:tr w:rsidRPr="008413EF" w:rsidR="008413EF" w:rsidTr="00713105" w14:paraId="37302371" w14:textId="77777777">
        <w:tc>
          <w:tcPr>
            <w:tcW w:w="1668" w:type="dxa"/>
          </w:tcPr>
          <w:p w:rsidRPr="00713105" w:rsidR="008413EF" w:rsidP="00BE1F8F" w:rsidRDefault="00AD28C9" w14:paraId="5DEDB95D" w14:textId="4025CC54">
            <w:pPr>
              <w:overflowPunct w:val="0"/>
              <w:autoSpaceDE w:val="0"/>
              <w:autoSpaceDN w:val="0"/>
              <w:adjustRightInd w:val="0"/>
              <w:textAlignment w:val="baseline"/>
              <w:rPr>
                <w:i/>
              </w:rPr>
            </w:pPr>
            <w:r>
              <w:rPr>
                <w:i/>
              </w:rPr>
              <w:t>E-Mail</w:t>
            </w:r>
          </w:p>
        </w:tc>
        <w:tc>
          <w:tcPr>
            <w:tcW w:w="7512" w:type="dxa"/>
          </w:tcPr>
          <w:p w:rsidRPr="00713105" w:rsidR="008413EF" w:rsidP="00BE1F8F" w:rsidRDefault="006A4D48" w14:paraId="03ED06F2" w14:textId="4676909C">
            <w:pPr>
              <w:overflowPunct w:val="0"/>
              <w:autoSpaceDE w:val="0"/>
              <w:autoSpaceDN w:val="0"/>
              <w:adjustRightInd w:val="0"/>
              <w:textAlignment w:val="baseline"/>
              <w:rPr>
                <w:i/>
              </w:rPr>
            </w:pPr>
            <w:hyperlink w:history="1" r:id="rId48">
              <w:r w:rsidR="008A2164">
                <w:rPr>
                  <w:rStyle w:val="Hyperlink"/>
                  <w:i/>
                </w:rPr>
                <w:t>Annalisa.Tessarolo@eesc.europa.eu</w:t>
              </w:r>
            </w:hyperlink>
          </w:p>
        </w:tc>
      </w:tr>
    </w:tbl>
    <w:p w:rsidR="008413EF" w:rsidP="00BE1F8F" w:rsidRDefault="008413EF" w14:paraId="617BC9EE" w14:textId="77777777">
      <w:pPr>
        <w:jc w:val="left"/>
        <w:rPr>
          <w:lang w:val="en-GB"/>
        </w:rPr>
      </w:pPr>
    </w:p>
    <w:p w:rsidR="008413EF" w:rsidP="00BE1F8F" w:rsidRDefault="008413EF" w14:paraId="191624E6" w14:textId="77777777">
      <w:pPr>
        <w:jc w:val="left"/>
      </w:pPr>
      <w:r>
        <w:br w:type="page"/>
      </w:r>
    </w:p>
    <w:p w:rsidRPr="00713105" w:rsidR="001C0AB9" w:rsidP="00BE1F8F" w:rsidRDefault="006A4D48" w14:paraId="42F00AC9" w14:textId="3186BBA7">
      <w:pPr>
        <w:widowControl w:val="0"/>
        <w:numPr>
          <w:ilvl w:val="0"/>
          <w:numId w:val="2"/>
        </w:numPr>
        <w:overflowPunct w:val="0"/>
        <w:autoSpaceDE w:val="0"/>
        <w:autoSpaceDN w:val="0"/>
        <w:adjustRightInd w:val="0"/>
        <w:ind w:left="284" w:hanging="284"/>
        <w:textAlignment w:val="baseline"/>
      </w:pPr>
      <w:hyperlink w:tgtFrame="_blank" w:history="1" r:id="rId49">
        <w:r w:rsidR="008A2164">
          <w:rPr>
            <w:b/>
            <w:i/>
            <w:color w:val="0000FF"/>
            <w:sz w:val="28"/>
            <w:u w:val="single"/>
          </w:rPr>
          <w:t>Die Zukunft der Industrie in der Europäischen Union vor dem Hintergrund der hohen Energiepreise und der Transformationskosten</w:t>
        </w:r>
      </w:hyperlink>
    </w:p>
    <w:p w:rsidRPr="001C0AB9" w:rsidR="001C0AB9" w:rsidP="00BE1F8F" w:rsidRDefault="001C0AB9" w14:paraId="0DDA99F6" w14:textId="77777777">
      <w:pPr>
        <w:widowControl w:val="0"/>
        <w:overflowPunct w:val="0"/>
        <w:autoSpaceDE w:val="0"/>
        <w:autoSpaceDN w:val="0"/>
        <w:adjustRightInd w:val="0"/>
        <w:ind w:left="284"/>
        <w:textAlignment w:val="baseline"/>
        <w:rPr>
          <w:b/>
          <w:lang w:val="en-GB"/>
        </w:rPr>
      </w:pPr>
    </w:p>
    <w:tbl>
      <w:tblPr>
        <w:tblW w:w="4942" w:type="pct"/>
        <w:tblLook w:val="04A0" w:firstRow="1" w:lastRow="0" w:firstColumn="1" w:lastColumn="0" w:noHBand="0" w:noVBand="1"/>
      </w:tblPr>
      <w:tblGrid>
        <w:gridCol w:w="2013"/>
        <w:gridCol w:w="7166"/>
      </w:tblGrid>
      <w:tr w:rsidRPr="001C0AB9" w:rsidR="001C0AB9" w:rsidTr="00713105" w14:paraId="302E5F77" w14:textId="77777777">
        <w:tc>
          <w:tcPr>
            <w:tcW w:w="908" w:type="pct"/>
          </w:tcPr>
          <w:p w:rsidRPr="001C0AB9" w:rsidR="001C0AB9" w:rsidP="00BE1F8F" w:rsidRDefault="001C0AB9" w14:paraId="16513D26" w14:textId="77777777">
            <w:pPr>
              <w:tabs>
                <w:tab w:val="center" w:pos="284"/>
              </w:tabs>
              <w:overflowPunct w:val="0"/>
              <w:autoSpaceDE w:val="0"/>
              <w:autoSpaceDN w:val="0"/>
              <w:adjustRightInd w:val="0"/>
              <w:ind w:left="266" w:hanging="266"/>
              <w:textAlignment w:val="baseline"/>
              <w:rPr>
                <w:b/>
              </w:rPr>
            </w:pPr>
            <w:r>
              <w:rPr>
                <w:b/>
              </w:rPr>
              <w:t>Berichterstatter</w:t>
            </w:r>
          </w:p>
        </w:tc>
        <w:tc>
          <w:tcPr>
            <w:tcW w:w="4092" w:type="pct"/>
          </w:tcPr>
          <w:p w:rsidRPr="001C0AB9" w:rsidR="001C0AB9" w:rsidP="00BE1F8F" w:rsidRDefault="001C0AB9" w14:paraId="45A398EC" w14:textId="18D9B476">
            <w:pPr>
              <w:tabs>
                <w:tab w:val="center" w:pos="284"/>
              </w:tabs>
              <w:overflowPunct w:val="0"/>
              <w:autoSpaceDE w:val="0"/>
              <w:autoSpaceDN w:val="0"/>
              <w:adjustRightInd w:val="0"/>
              <w:ind w:left="266" w:hanging="266"/>
              <w:textAlignment w:val="baseline"/>
            </w:pPr>
            <w:r>
              <w:t>Andrea MONE (Gruppe Arbeitnehmer – IT)</w:t>
            </w:r>
          </w:p>
        </w:tc>
      </w:tr>
      <w:tr w:rsidRPr="001C0AB9" w:rsidR="001C0AB9" w:rsidTr="00713105" w14:paraId="49E0B6DD" w14:textId="77777777">
        <w:tc>
          <w:tcPr>
            <w:tcW w:w="908" w:type="pct"/>
            <w:vMerge w:val="restart"/>
          </w:tcPr>
          <w:p w:rsidRPr="001C0AB9" w:rsidR="001C0AB9" w:rsidP="00BE1F8F" w:rsidRDefault="001C0AB9" w14:paraId="2351E607" w14:textId="2483074C">
            <w:pPr>
              <w:tabs>
                <w:tab w:val="center" w:pos="284"/>
              </w:tabs>
              <w:overflowPunct w:val="0"/>
              <w:autoSpaceDE w:val="0"/>
              <w:autoSpaceDN w:val="0"/>
              <w:adjustRightInd w:val="0"/>
              <w:ind w:left="266" w:hanging="266"/>
              <w:textAlignment w:val="baseline"/>
              <w:rPr>
                <w:b/>
              </w:rPr>
            </w:pPr>
            <w:r>
              <w:rPr>
                <w:b/>
              </w:rPr>
              <w:t>Referenzdokument</w:t>
            </w:r>
          </w:p>
        </w:tc>
        <w:tc>
          <w:tcPr>
            <w:tcW w:w="4092" w:type="pct"/>
          </w:tcPr>
          <w:p w:rsidRPr="00C43D3E" w:rsidR="001C0AB9" w:rsidP="00713105" w:rsidRDefault="001C0AB9" w14:paraId="17F26A32" w14:textId="51BBB0EC">
            <w:pPr>
              <w:tabs>
                <w:tab w:val="center" w:pos="284"/>
              </w:tabs>
              <w:overflowPunct w:val="0"/>
              <w:autoSpaceDE w:val="0"/>
              <w:autoSpaceDN w:val="0"/>
              <w:adjustRightInd w:val="0"/>
              <w:ind w:left="266" w:right="-387" w:hanging="266"/>
              <w:textAlignment w:val="baseline"/>
            </w:pPr>
            <w:r>
              <w:t>Sondierungsstellungnahme auf Ersuchen des polnischen EU-Ratsvorsitzes</w:t>
            </w:r>
          </w:p>
        </w:tc>
      </w:tr>
      <w:tr w:rsidRPr="001C0AB9" w:rsidR="001C0AB9" w:rsidTr="00713105" w14:paraId="21E65686" w14:textId="77777777">
        <w:tc>
          <w:tcPr>
            <w:tcW w:w="908" w:type="pct"/>
            <w:vMerge/>
          </w:tcPr>
          <w:p w:rsidRPr="001C0AB9" w:rsidR="001C0AB9" w:rsidP="00BE1F8F" w:rsidRDefault="001C0AB9" w14:paraId="4CD406B0" w14:textId="77777777">
            <w:pPr>
              <w:tabs>
                <w:tab w:val="center" w:pos="284"/>
              </w:tabs>
              <w:overflowPunct w:val="0"/>
              <w:autoSpaceDE w:val="0"/>
              <w:autoSpaceDN w:val="0"/>
              <w:adjustRightInd w:val="0"/>
              <w:ind w:left="266" w:hanging="266"/>
              <w:textAlignment w:val="baseline"/>
              <w:rPr>
                <w:b/>
              </w:rPr>
            </w:pPr>
          </w:p>
        </w:tc>
        <w:tc>
          <w:tcPr>
            <w:tcW w:w="4092" w:type="pct"/>
          </w:tcPr>
          <w:p w:rsidRPr="001C0AB9" w:rsidR="001C0AB9" w:rsidP="00BE1F8F" w:rsidRDefault="001C0AB9" w14:paraId="7D1175EF" w14:textId="77777777">
            <w:pPr>
              <w:tabs>
                <w:tab w:val="center" w:pos="284"/>
              </w:tabs>
              <w:overflowPunct w:val="0"/>
              <w:autoSpaceDE w:val="0"/>
              <w:autoSpaceDN w:val="0"/>
              <w:adjustRightInd w:val="0"/>
              <w:ind w:left="266" w:hanging="266"/>
              <w:textAlignment w:val="baseline"/>
            </w:pPr>
            <w:r>
              <w:t>EESC-2024-03583-00-00-AC</w:t>
            </w:r>
          </w:p>
        </w:tc>
      </w:tr>
    </w:tbl>
    <w:p w:rsidRPr="001C0AB9" w:rsidR="001C0AB9" w:rsidP="00BE1F8F" w:rsidRDefault="001C0AB9" w14:paraId="1C922088" w14:textId="77777777">
      <w:pPr>
        <w:tabs>
          <w:tab w:val="center" w:pos="284"/>
        </w:tabs>
        <w:overflowPunct w:val="0"/>
        <w:autoSpaceDE w:val="0"/>
        <w:autoSpaceDN w:val="0"/>
        <w:adjustRightInd w:val="0"/>
        <w:ind w:left="266" w:hanging="266"/>
        <w:textAlignment w:val="baseline"/>
        <w:rPr>
          <w:lang w:val="en-GB"/>
        </w:rPr>
      </w:pPr>
    </w:p>
    <w:p w:rsidRPr="001C0AB9" w:rsidR="001C0AB9" w:rsidP="00BE1F8F" w:rsidRDefault="001C0AB9" w14:paraId="2CF6D0AF"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1C0AB9" w:rsidR="001C0AB9" w:rsidP="00BE1F8F" w:rsidRDefault="001C0AB9" w14:paraId="13B083CC" w14:textId="77777777">
      <w:pPr>
        <w:keepNext/>
        <w:keepLines/>
        <w:tabs>
          <w:tab w:val="center" w:pos="284"/>
        </w:tabs>
        <w:overflowPunct w:val="0"/>
        <w:autoSpaceDE w:val="0"/>
        <w:autoSpaceDN w:val="0"/>
        <w:adjustRightInd w:val="0"/>
        <w:ind w:left="266" w:hanging="266"/>
        <w:textAlignment w:val="baseline"/>
        <w:rPr>
          <w:b/>
          <w:lang w:val="en-GB"/>
        </w:rPr>
      </w:pPr>
    </w:p>
    <w:p w:rsidRPr="001C0AB9" w:rsidR="00402449" w:rsidP="00BE1F8F" w:rsidRDefault="001C0AB9" w14:paraId="7AD5576E" w14:textId="147901FD">
      <w:pPr>
        <w:overflowPunct w:val="0"/>
        <w:autoSpaceDE w:val="0"/>
        <w:autoSpaceDN w:val="0"/>
        <w:adjustRightInd w:val="0"/>
        <w:textAlignment w:val="baseline"/>
        <w:rPr>
          <w:bCs/>
          <w:iCs/>
        </w:rPr>
      </w:pPr>
      <w:r>
        <w:t>Der EWSA</w:t>
      </w:r>
    </w:p>
    <w:p w:rsidRPr="001C0AB9" w:rsidR="001C0AB9" w:rsidP="00BE1F8F" w:rsidRDefault="001C0AB9" w14:paraId="6A2D8F3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fordert dringende Maßnahmen, um eine </w:t>
      </w:r>
      <w:r>
        <w:rPr>
          <w:b/>
        </w:rPr>
        <w:t>umfassende Industriestrategie der EU</w:t>
      </w:r>
      <w:r>
        <w:t xml:space="preserve"> zu konzipieren, mit der die </w:t>
      </w:r>
      <w:r>
        <w:rPr>
          <w:b/>
        </w:rPr>
        <w:t>Wettbewerbsfähigkeit der Industrie und gute Arbeitsplätze</w:t>
      </w:r>
      <w:r>
        <w:t xml:space="preserve"> gesichert werden. Diese Strategie soll die Ziele des Grünen Deals durch </w:t>
      </w:r>
      <w:r>
        <w:rPr>
          <w:b/>
        </w:rPr>
        <w:t>genaue</w:t>
      </w:r>
      <w:r>
        <w:t xml:space="preserve"> Überwachung und gezielte Anpassungsmaßnahmen ergänzen;</w:t>
      </w:r>
    </w:p>
    <w:p w:rsidRPr="001C0AB9" w:rsidR="001C0AB9" w:rsidP="00BE1F8F" w:rsidRDefault="001C0AB9" w14:paraId="70DD072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fordert ein besseres </w:t>
      </w:r>
      <w:r>
        <w:rPr>
          <w:b/>
        </w:rPr>
        <w:t>wirtschaftliches und regulatorisches Umfeld</w:t>
      </w:r>
      <w:r>
        <w:t xml:space="preserve"> zur Bekämpfung der </w:t>
      </w:r>
      <w:r>
        <w:rPr>
          <w:b/>
        </w:rPr>
        <w:t>strukturellen Wettbewerbsprobleme Europas</w:t>
      </w:r>
      <w:r>
        <w:t>. Dazu gehören hohe Energie- und Rohstoffpreise, Vorabinvestitionen und Befolgungskosten infolge des ökologischen Wandels, eine unzureichende Infrastruktur, ein anhaltender Fachkräftemangel, das Fehlen einer ausreichenden Finanzierung, die schwache Binnennachfrage und der unvollendete Binnenmarkt;</w:t>
      </w:r>
    </w:p>
    <w:p w:rsidRPr="001C0AB9" w:rsidR="001C0AB9" w:rsidP="00BE1F8F" w:rsidRDefault="001C0AB9" w14:paraId="6A693864"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spricht sich für </w:t>
      </w:r>
      <w:r>
        <w:rPr>
          <w:b/>
        </w:rPr>
        <w:t>eine Wettbewerbspolitik</w:t>
      </w:r>
      <w:r>
        <w:t xml:space="preserve"> aus, die </w:t>
      </w:r>
      <w:r>
        <w:rPr>
          <w:b/>
        </w:rPr>
        <w:t>Investitionen und Innovation</w:t>
      </w:r>
      <w:r>
        <w:t xml:space="preserve"> Vorrang einräumt, die </w:t>
      </w:r>
      <w:r>
        <w:rPr>
          <w:b/>
        </w:rPr>
        <w:t>soziale und territoriale Inklusion</w:t>
      </w:r>
      <w:r>
        <w:t xml:space="preserve"> fördert und sicherstellt, dass der </w:t>
      </w:r>
      <w:r>
        <w:rPr>
          <w:b/>
        </w:rPr>
        <w:t>soziale Dialog und Tarifverhandlungen</w:t>
      </w:r>
      <w:r>
        <w:t xml:space="preserve"> den Strukturwandel auf faire und gerechte Weise begleiten;</w:t>
      </w:r>
    </w:p>
    <w:p w:rsidRPr="001C0AB9" w:rsidR="001C0AB9" w:rsidP="00BE1F8F" w:rsidRDefault="001C0AB9" w14:paraId="61A535A9"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fordert eine </w:t>
      </w:r>
      <w:r>
        <w:rPr>
          <w:b/>
        </w:rPr>
        <w:t>branchenübergreifende Industriestrategie</w:t>
      </w:r>
      <w:r>
        <w:t xml:space="preserve">, um die </w:t>
      </w:r>
      <w:r>
        <w:rPr>
          <w:b/>
        </w:rPr>
        <w:t>politische Kohärenz zu verbessern, die Nutzung vorhandener Ressourcen zu optimieren, einen speziellen europäischen Investitionsfonds</w:t>
      </w:r>
      <w:r>
        <w:t xml:space="preserve"> für strategische Prioritäten einzurichten und die </w:t>
      </w:r>
      <w:r>
        <w:rPr>
          <w:b/>
        </w:rPr>
        <w:t>länderübergreifende Dimension</w:t>
      </w:r>
      <w:r>
        <w:t xml:space="preserve"> wichtiger Bereiche wie </w:t>
      </w:r>
      <w:r>
        <w:rPr>
          <w:b/>
        </w:rPr>
        <w:t xml:space="preserve">Energie, </w:t>
      </w:r>
      <w:proofErr w:type="spellStart"/>
      <w:r>
        <w:rPr>
          <w:b/>
        </w:rPr>
        <w:t>FuI</w:t>
      </w:r>
      <w:proofErr w:type="spellEnd"/>
      <w:r>
        <w:rPr>
          <w:b/>
        </w:rPr>
        <w:t>, Qualifikationen</w:t>
      </w:r>
      <w:r>
        <w:t xml:space="preserve"> zu berücksichtigen;</w:t>
      </w:r>
    </w:p>
    <w:p w:rsidRPr="001C0AB9" w:rsidR="001C0AB9" w:rsidP="00BE1F8F" w:rsidRDefault="001C0AB9" w14:paraId="1A086C5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betont, dass eine </w:t>
      </w:r>
      <w:r>
        <w:rPr>
          <w:b/>
        </w:rPr>
        <w:t>robuste EU-Handelspolitik erforderlich</w:t>
      </w:r>
      <w:r>
        <w:t xml:space="preserve"> ist, die die Risiken einer </w:t>
      </w:r>
      <w:r>
        <w:rPr>
          <w:b/>
        </w:rPr>
        <w:t>asymmetrischen Dekarbonisierung, globaler Überkapazitäten und einer Verschärfung der handelspolitischen Spannungen</w:t>
      </w:r>
      <w:r>
        <w:t xml:space="preserve"> abmildert und gleichzeitig zu einer </w:t>
      </w:r>
      <w:r>
        <w:rPr>
          <w:b/>
        </w:rPr>
        <w:t>größeren Autonomie in Bezug auf die kritischen Rohstoffe</w:t>
      </w:r>
      <w:r>
        <w:t xml:space="preserve"> führt, um die industrielle Zukunft Europas zu sichern.</w:t>
      </w:r>
    </w:p>
    <w:p w:rsidRPr="001C0AB9" w:rsidR="001C0AB9" w:rsidP="00BE1F8F" w:rsidRDefault="001C0AB9" w14:paraId="5031E8B4" w14:textId="77777777">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667"/>
        <w:gridCol w:w="7512"/>
      </w:tblGrid>
      <w:tr w:rsidRPr="001C0AB9" w:rsidR="001C0AB9" w:rsidTr="00713105" w14:paraId="255B6976" w14:textId="77777777">
        <w:tc>
          <w:tcPr>
            <w:tcW w:w="908" w:type="pct"/>
          </w:tcPr>
          <w:p w:rsidRPr="001C0AB9" w:rsidR="001C0AB9" w:rsidP="00BE1F8F" w:rsidRDefault="001C0AB9" w14:paraId="25B90EB8" w14:textId="77777777">
            <w:pPr>
              <w:overflowPunct w:val="0"/>
              <w:autoSpaceDE w:val="0"/>
              <w:autoSpaceDN w:val="0"/>
              <w:adjustRightInd w:val="0"/>
              <w:textAlignment w:val="baseline"/>
              <w:rPr>
                <w:i/>
              </w:rPr>
            </w:pPr>
            <w:r>
              <w:rPr>
                <w:b/>
                <w:i/>
              </w:rPr>
              <w:t>Kontakt</w:t>
            </w:r>
          </w:p>
        </w:tc>
        <w:tc>
          <w:tcPr>
            <w:tcW w:w="4092" w:type="pct"/>
          </w:tcPr>
          <w:p w:rsidRPr="001C0AB9" w:rsidR="001C0AB9" w:rsidP="00BE1F8F" w:rsidRDefault="001C0AB9" w14:paraId="47766DB4" w14:textId="77777777">
            <w:pPr>
              <w:overflowPunct w:val="0"/>
              <w:autoSpaceDE w:val="0"/>
              <w:autoSpaceDN w:val="0"/>
              <w:adjustRightInd w:val="0"/>
              <w:textAlignment w:val="baseline"/>
              <w:rPr>
                <w:i/>
              </w:rPr>
            </w:pPr>
            <w:r>
              <w:rPr>
                <w:i/>
              </w:rPr>
              <w:t>Silvia Staffa</w:t>
            </w:r>
          </w:p>
        </w:tc>
      </w:tr>
      <w:tr w:rsidRPr="001C0AB9" w:rsidR="001C0AB9" w:rsidTr="00713105" w14:paraId="7C1DD93F" w14:textId="77777777">
        <w:tc>
          <w:tcPr>
            <w:tcW w:w="908" w:type="pct"/>
          </w:tcPr>
          <w:p w:rsidRPr="001C0AB9" w:rsidR="001C0AB9" w:rsidP="00BE1F8F" w:rsidRDefault="001C0AB9" w14:paraId="3EE989E4" w14:textId="77777777">
            <w:pPr>
              <w:overflowPunct w:val="0"/>
              <w:autoSpaceDE w:val="0"/>
              <w:autoSpaceDN w:val="0"/>
              <w:adjustRightInd w:val="0"/>
              <w:textAlignment w:val="baseline"/>
              <w:rPr>
                <w:i/>
              </w:rPr>
            </w:pPr>
            <w:r>
              <w:rPr>
                <w:i/>
              </w:rPr>
              <w:t>Tel.</w:t>
            </w:r>
          </w:p>
        </w:tc>
        <w:tc>
          <w:tcPr>
            <w:tcW w:w="4092" w:type="pct"/>
          </w:tcPr>
          <w:p w:rsidRPr="001C0AB9" w:rsidR="001C0AB9" w:rsidP="00BE1F8F" w:rsidRDefault="001C0AB9" w14:paraId="205BC83F" w14:textId="77777777">
            <w:pPr>
              <w:overflowPunct w:val="0"/>
              <w:autoSpaceDE w:val="0"/>
              <w:autoSpaceDN w:val="0"/>
              <w:adjustRightInd w:val="0"/>
              <w:textAlignment w:val="baseline"/>
              <w:rPr>
                <w:i/>
              </w:rPr>
            </w:pPr>
            <w:r>
              <w:rPr>
                <w:i/>
              </w:rPr>
              <w:t>+32 25468378</w:t>
            </w:r>
          </w:p>
        </w:tc>
      </w:tr>
      <w:tr w:rsidRPr="001C0AB9" w:rsidR="001C0AB9" w:rsidTr="00713105" w14:paraId="0E5D8409" w14:textId="77777777">
        <w:tc>
          <w:tcPr>
            <w:tcW w:w="908" w:type="pct"/>
          </w:tcPr>
          <w:p w:rsidRPr="001C0AB9" w:rsidR="001C0AB9" w:rsidP="00BE1F8F" w:rsidRDefault="00402449" w14:paraId="20244737" w14:textId="72ECCE95">
            <w:pPr>
              <w:overflowPunct w:val="0"/>
              <w:autoSpaceDE w:val="0"/>
              <w:autoSpaceDN w:val="0"/>
              <w:adjustRightInd w:val="0"/>
              <w:textAlignment w:val="baseline"/>
              <w:rPr>
                <w:i/>
              </w:rPr>
            </w:pPr>
            <w:r>
              <w:rPr>
                <w:i/>
              </w:rPr>
              <w:t>E-Mail</w:t>
            </w:r>
          </w:p>
        </w:tc>
        <w:tc>
          <w:tcPr>
            <w:tcW w:w="4092" w:type="pct"/>
          </w:tcPr>
          <w:p w:rsidRPr="001C0AB9" w:rsidR="001C0AB9" w:rsidP="00BE1F8F" w:rsidRDefault="006A4D48" w14:paraId="2ACCD03D" w14:textId="77777777">
            <w:pPr>
              <w:overflowPunct w:val="0"/>
              <w:autoSpaceDE w:val="0"/>
              <w:autoSpaceDN w:val="0"/>
              <w:adjustRightInd w:val="0"/>
              <w:textAlignment w:val="baseline"/>
              <w:rPr>
                <w:i/>
              </w:rPr>
            </w:pPr>
            <w:hyperlink w:history="1" r:id="rId50">
              <w:r w:rsidR="008A2164">
                <w:rPr>
                  <w:i/>
                  <w:color w:val="0000FF"/>
                  <w:u w:val="single"/>
                </w:rPr>
                <w:t>Silvia.Staffa@eesc.europa.eu</w:t>
              </w:r>
            </w:hyperlink>
          </w:p>
        </w:tc>
      </w:tr>
    </w:tbl>
    <w:p w:rsidR="00A124AE" w:rsidP="00BE1F8F" w:rsidRDefault="00A124AE" w14:paraId="5E11233F" w14:textId="77777777">
      <w:pPr>
        <w:jc w:val="left"/>
      </w:pPr>
    </w:p>
    <w:p w:rsidR="00A124AE" w:rsidP="00BE1F8F" w:rsidRDefault="00A124AE" w14:paraId="64128581" w14:textId="77777777">
      <w:pPr>
        <w:jc w:val="left"/>
      </w:pPr>
      <w:r>
        <w:br w:type="page"/>
      </w:r>
    </w:p>
    <w:p w:rsidRPr="00C43D3E" w:rsidR="00A124AE" w:rsidP="00BE1F8F" w:rsidRDefault="006A4D48" w14:paraId="6CCC3167" w14:textId="151451A1">
      <w:pPr>
        <w:widowControl w:val="0"/>
        <w:numPr>
          <w:ilvl w:val="0"/>
          <w:numId w:val="2"/>
        </w:numPr>
        <w:overflowPunct w:val="0"/>
        <w:autoSpaceDE w:val="0"/>
        <w:autoSpaceDN w:val="0"/>
        <w:adjustRightInd w:val="0"/>
        <w:ind w:hanging="567"/>
        <w:textAlignment w:val="baseline"/>
        <w:rPr>
          <w:b/>
          <w:bCs/>
          <w:i/>
          <w:iCs/>
          <w:sz w:val="28"/>
          <w:szCs w:val="28"/>
          <w:u w:val="single"/>
        </w:rPr>
      </w:pPr>
      <w:hyperlink w:history="1" r:id="rId51">
        <w:r w:rsidR="008A2164">
          <w:rPr>
            <w:b/>
            <w:i/>
            <w:color w:val="0000FF"/>
            <w:sz w:val="28"/>
            <w:u w:val="single"/>
          </w:rPr>
          <w:t>Nachhaltigkeit als Triebkraft für die langfristige Wettbewerbsfähigkeit des Tourismus in der EU</w:t>
        </w:r>
      </w:hyperlink>
    </w:p>
    <w:p w:rsidRPr="00A124AE" w:rsidR="00A124AE" w:rsidP="00BE1F8F" w:rsidRDefault="00A124AE" w14:paraId="70901E4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25"/>
        <w:gridCol w:w="7262"/>
      </w:tblGrid>
      <w:tr w:rsidRPr="00A124AE" w:rsidR="00A124AE" w:rsidTr="00713105" w14:paraId="5244175C" w14:textId="77777777">
        <w:trPr>
          <w:trHeight w:val="322"/>
        </w:trPr>
        <w:tc>
          <w:tcPr>
            <w:tcW w:w="1090" w:type="pct"/>
          </w:tcPr>
          <w:p w:rsidRPr="00A124AE" w:rsidR="00A124AE" w:rsidP="00BE1F8F" w:rsidRDefault="00A124AE" w14:paraId="1416C2D0" w14:textId="3DD291D0">
            <w:pPr>
              <w:tabs>
                <w:tab w:val="center" w:pos="284"/>
              </w:tabs>
              <w:overflowPunct w:val="0"/>
              <w:autoSpaceDE w:val="0"/>
              <w:autoSpaceDN w:val="0"/>
              <w:adjustRightInd w:val="0"/>
              <w:ind w:left="266" w:hanging="266"/>
              <w:textAlignment w:val="baseline"/>
              <w:rPr>
                <w:b/>
              </w:rPr>
            </w:pPr>
            <w:r>
              <w:rPr>
                <w:b/>
              </w:rPr>
              <w:t>Berichterstatterin</w:t>
            </w:r>
          </w:p>
        </w:tc>
        <w:tc>
          <w:tcPr>
            <w:tcW w:w="3910" w:type="pct"/>
          </w:tcPr>
          <w:p w:rsidRPr="00A124AE" w:rsidR="00A124AE" w:rsidP="00BE1F8F" w:rsidRDefault="00A124AE" w14:paraId="483C743D" w14:textId="478C4635">
            <w:pPr>
              <w:tabs>
                <w:tab w:val="center" w:pos="0"/>
              </w:tabs>
              <w:overflowPunct w:val="0"/>
              <w:autoSpaceDE w:val="0"/>
              <w:autoSpaceDN w:val="0"/>
              <w:adjustRightInd w:val="0"/>
              <w:ind w:left="266" w:hanging="266"/>
              <w:textAlignment w:val="baseline"/>
            </w:pPr>
            <w:r>
              <w:t>Isabel YGLESIAS (Gruppe Arbeitgeber – Spanien)</w:t>
            </w:r>
          </w:p>
        </w:tc>
      </w:tr>
      <w:tr w:rsidRPr="00A124AE" w:rsidR="00A124AE" w:rsidTr="00713105" w14:paraId="466A9A73" w14:textId="77777777">
        <w:tc>
          <w:tcPr>
            <w:tcW w:w="1090" w:type="pct"/>
          </w:tcPr>
          <w:p w:rsidRPr="00A124AE" w:rsidR="00A124AE" w:rsidP="00BE1F8F" w:rsidRDefault="00A124AE" w14:paraId="1940FE0A" w14:textId="7BF07B25">
            <w:pPr>
              <w:tabs>
                <w:tab w:val="center" w:pos="284"/>
              </w:tabs>
              <w:overflowPunct w:val="0"/>
              <w:autoSpaceDE w:val="0"/>
              <w:autoSpaceDN w:val="0"/>
              <w:adjustRightInd w:val="0"/>
              <w:ind w:left="266" w:hanging="266"/>
              <w:textAlignment w:val="baseline"/>
              <w:rPr>
                <w:b/>
              </w:rPr>
            </w:pPr>
            <w:r>
              <w:rPr>
                <w:b/>
              </w:rPr>
              <w:t>Referenzdokument</w:t>
            </w:r>
          </w:p>
        </w:tc>
        <w:tc>
          <w:tcPr>
            <w:tcW w:w="3910" w:type="pct"/>
          </w:tcPr>
          <w:p w:rsidRPr="00A124AE" w:rsidR="00A124AE" w:rsidP="00BE1F8F" w:rsidRDefault="00A124AE" w14:paraId="6D5E8266" w14:textId="709DE05D">
            <w:pPr>
              <w:tabs>
                <w:tab w:val="center" w:pos="284"/>
              </w:tabs>
              <w:overflowPunct w:val="0"/>
              <w:autoSpaceDE w:val="0"/>
              <w:autoSpaceDN w:val="0"/>
              <w:adjustRightInd w:val="0"/>
              <w:ind w:left="266" w:hanging="266"/>
              <w:textAlignment w:val="baseline"/>
            </w:pPr>
            <w:r>
              <w:t>Initiativstellungnahme</w:t>
            </w:r>
          </w:p>
          <w:p w:rsidRPr="00A124AE" w:rsidR="00A124AE" w:rsidP="00BE1F8F" w:rsidRDefault="00A124AE" w14:paraId="5DBD68CE" w14:textId="77777777">
            <w:pPr>
              <w:tabs>
                <w:tab w:val="center" w:pos="284"/>
              </w:tabs>
              <w:overflowPunct w:val="0"/>
              <w:autoSpaceDE w:val="0"/>
              <w:autoSpaceDN w:val="0"/>
              <w:adjustRightInd w:val="0"/>
              <w:ind w:left="266" w:hanging="266"/>
              <w:textAlignment w:val="baseline"/>
            </w:pPr>
            <w:r>
              <w:t>EESC-2024-00656-00-00-AC</w:t>
            </w:r>
          </w:p>
        </w:tc>
      </w:tr>
    </w:tbl>
    <w:p w:rsidRPr="00A124AE" w:rsidR="00A124AE" w:rsidP="00BE1F8F" w:rsidRDefault="00A124AE" w14:paraId="02B41209" w14:textId="77777777">
      <w:pPr>
        <w:tabs>
          <w:tab w:val="center" w:pos="284"/>
        </w:tabs>
        <w:overflowPunct w:val="0"/>
        <w:autoSpaceDE w:val="0"/>
        <w:autoSpaceDN w:val="0"/>
        <w:adjustRightInd w:val="0"/>
        <w:ind w:left="266" w:hanging="266"/>
        <w:textAlignment w:val="baseline"/>
        <w:rPr>
          <w:b/>
          <w:lang w:val="en-GB"/>
        </w:rPr>
      </w:pPr>
    </w:p>
    <w:p w:rsidRPr="00A124AE" w:rsidR="00A124AE" w:rsidP="00BE1F8F" w:rsidRDefault="00A124AE" w14:paraId="51249818" w14:textId="77777777">
      <w:pPr>
        <w:tabs>
          <w:tab w:val="center" w:pos="284"/>
        </w:tabs>
        <w:overflowPunct w:val="0"/>
        <w:autoSpaceDE w:val="0"/>
        <w:autoSpaceDN w:val="0"/>
        <w:adjustRightInd w:val="0"/>
        <w:ind w:left="266" w:hanging="266"/>
        <w:textAlignment w:val="baseline"/>
        <w:rPr>
          <w:b/>
        </w:rPr>
      </w:pPr>
      <w:r>
        <w:rPr>
          <w:b/>
        </w:rPr>
        <w:t>Kernaussagen</w:t>
      </w:r>
    </w:p>
    <w:p w:rsidRPr="00A124AE" w:rsidR="00A124AE" w:rsidP="00BE1F8F" w:rsidRDefault="00A124AE" w14:paraId="03EBACBD" w14:textId="77777777">
      <w:pPr>
        <w:tabs>
          <w:tab w:val="center" w:pos="284"/>
        </w:tabs>
        <w:overflowPunct w:val="0"/>
        <w:autoSpaceDE w:val="0"/>
        <w:autoSpaceDN w:val="0"/>
        <w:adjustRightInd w:val="0"/>
        <w:ind w:left="266" w:hanging="266"/>
        <w:textAlignment w:val="baseline"/>
        <w:rPr>
          <w:bCs/>
          <w:lang w:val="en-GB"/>
        </w:rPr>
      </w:pPr>
    </w:p>
    <w:p w:rsidRPr="00A124AE" w:rsidR="00A124AE" w:rsidP="00713105" w:rsidRDefault="00A124AE" w14:paraId="73E68146" w14:textId="372BFA81">
      <w:pPr>
        <w:overflowPunct w:val="0"/>
        <w:autoSpaceDE w:val="0"/>
        <w:autoSpaceDN w:val="0"/>
        <w:adjustRightInd w:val="0"/>
        <w:textAlignment w:val="baseline"/>
        <w:rPr>
          <w:bCs/>
          <w:iCs/>
        </w:rPr>
      </w:pPr>
      <w:r>
        <w:t>Der EWSA</w:t>
      </w:r>
    </w:p>
    <w:p w:rsidRPr="00A124AE" w:rsidR="00A124AE" w:rsidP="00BE1F8F" w:rsidRDefault="00A124AE" w14:paraId="6CFA5AB5" w14:textId="77777777">
      <w:pPr>
        <w:numPr>
          <w:ilvl w:val="0"/>
          <w:numId w:val="34"/>
        </w:numPr>
        <w:overflowPunct w:val="0"/>
        <w:autoSpaceDE w:val="0"/>
        <w:autoSpaceDN w:val="0"/>
        <w:adjustRightInd w:val="0"/>
        <w:ind w:left="284" w:hanging="284"/>
        <w:contextualSpacing/>
        <w:textAlignment w:val="baseline"/>
        <w:rPr>
          <w:bCs/>
          <w:iCs/>
        </w:rPr>
      </w:pPr>
      <w:r>
        <w:t xml:space="preserve">betont, dass die </w:t>
      </w:r>
      <w:r>
        <w:rPr>
          <w:b/>
        </w:rPr>
        <w:t>Umstellung auf einen nachhaltigen Tourismus</w:t>
      </w:r>
      <w:r>
        <w:t xml:space="preserve"> beschleunigt werden muss. Ferner gilt es, </w:t>
      </w:r>
      <w:r>
        <w:rPr>
          <w:b/>
        </w:rPr>
        <w:t>Strategien im Hinblick auf einen regenerativen Tourismus umzusetzen</w:t>
      </w:r>
      <w:r>
        <w:t>, damit schwerpunktmäßig auf den Tourismus ausgerichtete Regionen durch den Tourismus in vollem Umfang zur Stärkung der Wettbewerbsfähigkeit der EU beitragen können. Der regenerative Tourismus geht weiter als der nachhaltige Tourismus: Er ist auf Ansätze ausgerichtet, mit denen das natürliche, soziale und wirtschaftliche Kapital wiederhergestellt und gestärkt wird, sodass langfristig positive Auswirkungen für die Reiseziele und die einheimische Bevölkerung erreicht werden;</w:t>
      </w:r>
    </w:p>
    <w:p w:rsidRPr="00A124AE" w:rsidR="00A124AE" w:rsidP="00BE1F8F" w:rsidRDefault="00A124AE" w14:paraId="5B76C178" w14:textId="77777777">
      <w:pPr>
        <w:numPr>
          <w:ilvl w:val="0"/>
          <w:numId w:val="34"/>
        </w:numPr>
        <w:overflowPunct w:val="0"/>
        <w:autoSpaceDE w:val="0"/>
        <w:autoSpaceDN w:val="0"/>
        <w:adjustRightInd w:val="0"/>
        <w:ind w:left="284" w:hanging="284"/>
        <w:contextualSpacing/>
        <w:textAlignment w:val="baseline"/>
        <w:rPr>
          <w:bCs/>
          <w:iCs/>
        </w:rPr>
      </w:pPr>
      <w:r>
        <w:t xml:space="preserve">empfiehlt, dass </w:t>
      </w:r>
      <w:r>
        <w:rPr>
          <w:b/>
        </w:rPr>
        <w:t>in der neuen Legislaturperiode der EU eine Tourismuspolitik gefördert werden sollte, die Ziele der aktiven Regeneration einbezieht</w:t>
      </w:r>
      <w:r>
        <w:t xml:space="preserve"> und der Wechselwirkung aller Aspekte, die ein Reiseziel ausmachen, Rechnung trägt, namentlich den Ökosystemen, der einheimischen Bevölkerung, der lokalen Wirtschaft und den Touristen;</w:t>
      </w:r>
    </w:p>
    <w:p w:rsidRPr="00A124AE" w:rsidR="00A124AE" w:rsidP="00BE1F8F" w:rsidRDefault="00A124AE" w14:paraId="75E91233" w14:textId="77777777">
      <w:pPr>
        <w:numPr>
          <w:ilvl w:val="0"/>
          <w:numId w:val="34"/>
        </w:numPr>
        <w:overflowPunct w:val="0"/>
        <w:autoSpaceDE w:val="0"/>
        <w:autoSpaceDN w:val="0"/>
        <w:adjustRightInd w:val="0"/>
        <w:ind w:left="284" w:hanging="284"/>
        <w:contextualSpacing/>
        <w:textAlignment w:val="baseline"/>
        <w:rPr>
          <w:bCs/>
          <w:iCs/>
        </w:rPr>
      </w:pPr>
      <w:r>
        <w:t xml:space="preserve">schlägt vor, </w:t>
      </w:r>
      <w:r>
        <w:rPr>
          <w:b/>
        </w:rPr>
        <w:t>zur Beschleunigung der Umstellung</w:t>
      </w:r>
      <w:r>
        <w:t xml:space="preserve"> auf ein Tourismusmodell, bei dem aktive Wiederherstellung und sozialer Wert im Mittelpunkt stehen, im Rahmen der Strategie für nachhaltigen Tourismus </w:t>
      </w:r>
      <w:r>
        <w:rPr>
          <w:b/>
        </w:rPr>
        <w:t>klare Leitlinien und konkrete Maßnahmen</w:t>
      </w:r>
      <w:r>
        <w:t xml:space="preserve"> zu entwickeln. Im Hinblick auf eine wirksame Umsetzung dieser Strategie sollten begleitend geeignete </w:t>
      </w:r>
      <w:r>
        <w:rPr>
          <w:b/>
        </w:rPr>
        <w:t>Förder- und Forschungsprogramme</w:t>
      </w:r>
      <w:r>
        <w:t xml:space="preserve"> sowie </w:t>
      </w:r>
      <w:r>
        <w:rPr>
          <w:b/>
        </w:rPr>
        <w:t>Sozial- und Fortbildungsmaßnahmen</w:t>
      </w:r>
      <w:r>
        <w:t xml:space="preserve"> durchgeführt werden;</w:t>
      </w:r>
    </w:p>
    <w:p w:rsidRPr="00A124AE" w:rsidR="00A124AE" w:rsidP="00BE1F8F" w:rsidRDefault="00A124AE" w14:paraId="096C272A" w14:textId="77777777">
      <w:pPr>
        <w:numPr>
          <w:ilvl w:val="0"/>
          <w:numId w:val="34"/>
        </w:numPr>
        <w:overflowPunct w:val="0"/>
        <w:autoSpaceDE w:val="0"/>
        <w:autoSpaceDN w:val="0"/>
        <w:adjustRightInd w:val="0"/>
        <w:ind w:left="284" w:hanging="284"/>
        <w:contextualSpacing/>
        <w:textAlignment w:val="baseline"/>
        <w:rPr>
          <w:bCs/>
          <w:iCs/>
        </w:rPr>
      </w:pPr>
      <w:r>
        <w:t xml:space="preserve">macht deutlich, dass die </w:t>
      </w:r>
      <w:r>
        <w:rPr>
          <w:b/>
        </w:rPr>
        <w:t>Schulung und Kompetenzentwicklung der Arbeitnehmer in den Bereichen Nachhaltigkeit und Kreislaufwirtschaft</w:t>
      </w:r>
      <w:r>
        <w:t xml:space="preserve"> überaus wichtig ist, um die Beschäftigungsqualität zu verbessern und die für die Umstellung auf einen regenerativen Tourismus erforderlichen Talente zu gewinnen und zu halten. Sollen diese Ziele erreicht werden, muss die Beteiligung der Verbraucher verstärkt und gefestigt werden. Für eine weitergehende und wirksamere Einbeziehung ist das Zusammenspiel aus wirtschaftlichen Anreizen, zugänglichen Modellen und Strategien, mit denen das </w:t>
      </w:r>
      <w:r>
        <w:rPr>
          <w:b/>
        </w:rPr>
        <w:t>Reisen auch außerhalb der Saison</w:t>
      </w:r>
      <w:r>
        <w:t xml:space="preserve"> gefördert wird, ausschlaggebend.</w:t>
      </w:r>
    </w:p>
    <w:p w:rsidRPr="00A124AE" w:rsidR="00A124AE" w:rsidP="00BE1F8F" w:rsidRDefault="00A124AE" w14:paraId="15273AD2" w14:textId="77777777">
      <w:pPr>
        <w:ind w:left="567"/>
        <w:contextualSpacing/>
        <w:rPr>
          <w:bCs/>
          <w:iCs/>
          <w:lang w:val="en-GB"/>
        </w:rPr>
      </w:pPr>
    </w:p>
    <w:tbl>
      <w:tblPr>
        <w:tblW w:w="5000" w:type="pct"/>
        <w:tblLook w:val="04A0" w:firstRow="1" w:lastRow="0" w:firstColumn="1" w:lastColumn="0" w:noHBand="0" w:noVBand="1"/>
      </w:tblPr>
      <w:tblGrid>
        <w:gridCol w:w="1662"/>
        <w:gridCol w:w="7625"/>
      </w:tblGrid>
      <w:tr w:rsidRPr="00A124AE" w:rsidR="00A124AE" w:rsidTr="00713105" w14:paraId="7E775A80" w14:textId="77777777">
        <w:tc>
          <w:tcPr>
            <w:tcW w:w="895" w:type="pct"/>
          </w:tcPr>
          <w:p w:rsidRPr="00A124AE" w:rsidR="00A124AE" w:rsidP="00BE1F8F" w:rsidRDefault="00A124AE" w14:paraId="1D08457C" w14:textId="77777777">
            <w:pPr>
              <w:overflowPunct w:val="0"/>
              <w:autoSpaceDE w:val="0"/>
              <w:autoSpaceDN w:val="0"/>
              <w:adjustRightInd w:val="0"/>
              <w:textAlignment w:val="baseline"/>
              <w:rPr>
                <w:i/>
              </w:rPr>
            </w:pPr>
            <w:r>
              <w:rPr>
                <w:b/>
                <w:i/>
              </w:rPr>
              <w:t>Kontakt</w:t>
            </w:r>
          </w:p>
        </w:tc>
        <w:tc>
          <w:tcPr>
            <w:tcW w:w="4105" w:type="pct"/>
          </w:tcPr>
          <w:p w:rsidRPr="00A124AE" w:rsidR="00A124AE" w:rsidP="00BE1F8F" w:rsidRDefault="00A124AE" w14:paraId="615E6C8D" w14:textId="36E1239F">
            <w:pPr>
              <w:overflowPunct w:val="0"/>
              <w:autoSpaceDE w:val="0"/>
              <w:autoSpaceDN w:val="0"/>
              <w:adjustRightInd w:val="0"/>
              <w:textAlignment w:val="baseline"/>
              <w:rPr>
                <w:i/>
              </w:rPr>
            </w:pPr>
            <w:r>
              <w:rPr>
                <w:i/>
              </w:rPr>
              <w:t>Silvia Staffa</w:t>
            </w:r>
          </w:p>
        </w:tc>
      </w:tr>
      <w:tr w:rsidRPr="00A124AE" w:rsidR="00A124AE" w:rsidTr="00713105" w14:paraId="2BB8DEB2" w14:textId="77777777">
        <w:tc>
          <w:tcPr>
            <w:tcW w:w="895" w:type="pct"/>
          </w:tcPr>
          <w:p w:rsidRPr="00A124AE" w:rsidR="00A124AE" w:rsidP="00BE1F8F" w:rsidRDefault="00A124AE" w14:paraId="43D7D550" w14:textId="77777777">
            <w:pPr>
              <w:overflowPunct w:val="0"/>
              <w:autoSpaceDE w:val="0"/>
              <w:autoSpaceDN w:val="0"/>
              <w:adjustRightInd w:val="0"/>
              <w:textAlignment w:val="baseline"/>
              <w:rPr>
                <w:i/>
              </w:rPr>
            </w:pPr>
            <w:r>
              <w:rPr>
                <w:i/>
              </w:rPr>
              <w:t>Tel.</w:t>
            </w:r>
          </w:p>
        </w:tc>
        <w:tc>
          <w:tcPr>
            <w:tcW w:w="4105" w:type="pct"/>
          </w:tcPr>
          <w:p w:rsidRPr="00A124AE" w:rsidR="00A124AE" w:rsidP="00BE1F8F" w:rsidRDefault="00A124AE" w14:paraId="4A1F3ECB" w14:textId="4482010E">
            <w:pPr>
              <w:overflowPunct w:val="0"/>
              <w:autoSpaceDE w:val="0"/>
              <w:autoSpaceDN w:val="0"/>
              <w:adjustRightInd w:val="0"/>
              <w:textAlignment w:val="baseline"/>
              <w:rPr>
                <w:i/>
              </w:rPr>
            </w:pPr>
            <w:r>
              <w:rPr>
                <w:i/>
              </w:rPr>
              <w:t>+32 25468378</w:t>
            </w:r>
          </w:p>
        </w:tc>
      </w:tr>
      <w:tr w:rsidRPr="00A124AE" w:rsidR="00A124AE" w:rsidTr="00713105" w14:paraId="2D7C493D" w14:textId="77777777">
        <w:tc>
          <w:tcPr>
            <w:tcW w:w="895" w:type="pct"/>
          </w:tcPr>
          <w:p w:rsidRPr="00A124AE" w:rsidR="00A124AE" w:rsidP="00BE1F8F" w:rsidRDefault="00A124AE" w14:paraId="6E440A2F" w14:textId="77777777">
            <w:pPr>
              <w:overflowPunct w:val="0"/>
              <w:autoSpaceDE w:val="0"/>
              <w:autoSpaceDN w:val="0"/>
              <w:adjustRightInd w:val="0"/>
              <w:textAlignment w:val="baseline"/>
              <w:rPr>
                <w:i/>
              </w:rPr>
            </w:pPr>
            <w:r>
              <w:rPr>
                <w:i/>
              </w:rPr>
              <w:t>E-Mail</w:t>
            </w:r>
          </w:p>
        </w:tc>
        <w:tc>
          <w:tcPr>
            <w:tcW w:w="4105" w:type="pct"/>
          </w:tcPr>
          <w:p w:rsidRPr="00A124AE" w:rsidR="00A124AE" w:rsidP="00BE1F8F" w:rsidRDefault="006A4D48" w14:paraId="43479DC4" w14:textId="7E7AB516">
            <w:pPr>
              <w:overflowPunct w:val="0"/>
              <w:autoSpaceDE w:val="0"/>
              <w:autoSpaceDN w:val="0"/>
              <w:adjustRightInd w:val="0"/>
              <w:textAlignment w:val="baseline"/>
              <w:rPr>
                <w:i/>
                <w:iCs/>
              </w:rPr>
            </w:pPr>
            <w:hyperlink w:history="1" r:id="rId52">
              <w:r w:rsidR="008A2164">
                <w:rPr>
                  <w:i/>
                  <w:color w:val="0000FF"/>
                  <w:u w:val="single"/>
                </w:rPr>
                <w:t>Silvia.Staffa@eesc.europa.eu</w:t>
              </w:r>
            </w:hyperlink>
          </w:p>
        </w:tc>
      </w:tr>
    </w:tbl>
    <w:p w:rsidR="00A124AE" w:rsidP="00BE1F8F" w:rsidRDefault="00A124AE" w14:paraId="521215C5" w14:textId="77777777">
      <w:pPr>
        <w:jc w:val="left"/>
        <w:rPr>
          <w:lang w:val="en-GB"/>
        </w:rPr>
      </w:pPr>
    </w:p>
    <w:p w:rsidR="00A124AE" w:rsidP="00BE1F8F" w:rsidRDefault="00A124AE" w14:paraId="3A56B00C" w14:textId="77777777">
      <w:pPr>
        <w:jc w:val="left"/>
      </w:pPr>
      <w:r>
        <w:br w:type="page"/>
      </w:r>
    </w:p>
    <w:p w:rsidR="004D7AC0" w:rsidP="00C77862" w:rsidRDefault="004D7AC0" w14:paraId="4982DE1F" w14:textId="77777777">
      <w:pPr>
        <w:pStyle w:val="Heading1"/>
        <w:keepNext/>
        <w:keepLines/>
        <w:spacing w:line="240" w:lineRule="auto"/>
        <w:rPr>
          <w:b/>
        </w:rPr>
      </w:pPr>
      <w:bookmarkStart w:name="_Toc189059540" w:id="22"/>
      <w:bookmarkStart w:name="_Toc70322234" w:id="23"/>
      <w:bookmarkStart w:name="_Toc75527084" w:id="24"/>
      <w:bookmarkStart w:name="_Toc192845599" w:id="25"/>
      <w:bookmarkEnd w:id="22"/>
      <w:r>
        <w:rPr>
          <w:b/>
        </w:rPr>
        <w:lastRenderedPageBreak/>
        <w:t>LANDWIRTSCHAFT, LÄNDLICHE ENTWICKLUNG, UMWELT</w:t>
      </w:r>
      <w:bookmarkEnd w:id="23"/>
      <w:bookmarkEnd w:id="24"/>
      <w:bookmarkEnd w:id="25"/>
    </w:p>
    <w:p w:rsidRPr="00C77862" w:rsidR="007F5784" w:rsidP="00C77862" w:rsidRDefault="007F5784" w14:paraId="715DB2BD" w14:textId="6CA1C4B2">
      <w:pPr>
        <w:spacing w:line="240" w:lineRule="auto"/>
        <w:jc w:val="left"/>
        <w:rPr>
          <w:sz w:val="16"/>
          <w:szCs w:val="16"/>
        </w:rPr>
      </w:pPr>
    </w:p>
    <w:p w:rsidRPr="00C43D3E" w:rsidR="00DE2D96" w:rsidP="00C77862" w:rsidRDefault="006A4D48" w14:paraId="642C5AC4" w14:textId="7DDD8912">
      <w:pPr>
        <w:widowControl w:val="0"/>
        <w:numPr>
          <w:ilvl w:val="0"/>
          <w:numId w:val="10"/>
        </w:numPr>
        <w:overflowPunct w:val="0"/>
        <w:autoSpaceDE w:val="0"/>
        <w:autoSpaceDN w:val="0"/>
        <w:adjustRightInd w:val="0"/>
        <w:spacing w:line="240" w:lineRule="auto"/>
        <w:ind w:left="567" w:hanging="567"/>
        <w:textAlignment w:val="baseline"/>
        <w:rPr>
          <w:b/>
          <w:bCs/>
          <w:i/>
          <w:iCs/>
          <w:sz w:val="28"/>
          <w:szCs w:val="28"/>
          <w:u w:val="single"/>
        </w:rPr>
      </w:pPr>
      <w:hyperlink w:history="1" r:id="rId53">
        <w:r w:rsidR="008A2164">
          <w:rPr>
            <w:b/>
            <w:i/>
            <w:color w:val="0000FF"/>
            <w:sz w:val="28"/>
            <w:u w:val="single"/>
          </w:rPr>
          <w:t>Sicherung einer nachhaltigen Lebensmittelerzeugung und eines angemessenen Einkommens für die europäischen Landwirte angesichts der Herausforderungen in den Bereichen Markt, Umwelt und Klima</w:t>
        </w:r>
      </w:hyperlink>
    </w:p>
    <w:p w:rsidRPr="0079405E" w:rsidR="00DE2D96" w:rsidP="00BE1F8F" w:rsidRDefault="00DE2D96" w14:paraId="14A2FD1A" w14:textId="77777777">
      <w:pPr>
        <w:tabs>
          <w:tab w:val="center" w:pos="284"/>
        </w:tabs>
        <w:overflowPunct w:val="0"/>
        <w:autoSpaceDE w:val="0"/>
        <w:autoSpaceDN w:val="0"/>
        <w:adjustRightInd w:val="0"/>
        <w:ind w:left="266" w:hanging="266"/>
        <w:textAlignment w:val="baseline"/>
        <w:rPr>
          <w:b/>
          <w:sz w:val="16"/>
          <w:szCs w:val="16"/>
          <w:lang w:val="en-GB"/>
        </w:rPr>
      </w:pPr>
    </w:p>
    <w:tbl>
      <w:tblPr>
        <w:tblW w:w="4845" w:type="pct"/>
        <w:tblLook w:val="04A0" w:firstRow="1" w:lastRow="0" w:firstColumn="1" w:lastColumn="0" w:noHBand="0" w:noVBand="1"/>
      </w:tblPr>
      <w:tblGrid>
        <w:gridCol w:w="2034"/>
        <w:gridCol w:w="6965"/>
      </w:tblGrid>
      <w:tr w:rsidRPr="0079405E" w:rsidR="00DE2D96" w:rsidTr="00A3780E" w14:paraId="518A9EA4" w14:textId="77777777">
        <w:tc>
          <w:tcPr>
            <w:tcW w:w="1130" w:type="pct"/>
          </w:tcPr>
          <w:p w:rsidRPr="0079405E" w:rsidR="00DE2D96" w:rsidP="00BE1F8F" w:rsidRDefault="00DE2D96" w14:paraId="4BD49780" w14:textId="77777777">
            <w:pPr>
              <w:tabs>
                <w:tab w:val="center" w:pos="284"/>
              </w:tabs>
              <w:overflowPunct w:val="0"/>
              <w:autoSpaceDE w:val="0"/>
              <w:autoSpaceDN w:val="0"/>
              <w:adjustRightInd w:val="0"/>
              <w:ind w:left="266" w:hanging="266"/>
              <w:textAlignment w:val="baseline"/>
              <w:rPr>
                <w:b/>
              </w:rPr>
            </w:pPr>
            <w:r>
              <w:rPr>
                <w:b/>
              </w:rPr>
              <w:t>Berichterstatter</w:t>
            </w:r>
          </w:p>
        </w:tc>
        <w:tc>
          <w:tcPr>
            <w:tcW w:w="3870" w:type="pct"/>
          </w:tcPr>
          <w:p w:rsidRPr="0079405E" w:rsidR="00DE2D96" w:rsidP="00BE1F8F" w:rsidRDefault="00366FB1" w14:paraId="35C4E729" w14:textId="0173DE28">
            <w:pPr>
              <w:tabs>
                <w:tab w:val="center" w:pos="284"/>
              </w:tabs>
              <w:overflowPunct w:val="0"/>
              <w:autoSpaceDE w:val="0"/>
              <w:autoSpaceDN w:val="0"/>
              <w:adjustRightInd w:val="0"/>
              <w:ind w:left="266" w:hanging="266"/>
              <w:textAlignment w:val="baseline"/>
            </w:pPr>
            <w:r>
              <w:t>Arnold PUECH D'ALISSAC (Gruppe Arbeitgeber – FR)</w:t>
            </w:r>
          </w:p>
          <w:p w:rsidRPr="0079405E" w:rsidR="00DE2D96" w:rsidP="00BE1F8F" w:rsidRDefault="00DE2D96" w14:paraId="5DE4EBAE" w14:textId="77777777">
            <w:pPr>
              <w:tabs>
                <w:tab w:val="center" w:pos="284"/>
              </w:tabs>
              <w:overflowPunct w:val="0"/>
              <w:autoSpaceDE w:val="0"/>
              <w:autoSpaceDN w:val="0"/>
              <w:adjustRightInd w:val="0"/>
              <w:ind w:left="266" w:hanging="266"/>
              <w:textAlignment w:val="baseline"/>
            </w:pPr>
            <w:r>
              <w:t>Piroska KÁLLAY (Gruppe Arbeitnehmer – HU)</w:t>
            </w:r>
          </w:p>
          <w:p w:rsidRPr="0079405E" w:rsidR="00DE2D96" w:rsidP="00BE1F8F" w:rsidRDefault="00366FB1" w14:paraId="32325F9B" w14:textId="30D7031F">
            <w:pPr>
              <w:tabs>
                <w:tab w:val="center" w:pos="284"/>
              </w:tabs>
              <w:overflowPunct w:val="0"/>
              <w:autoSpaceDE w:val="0"/>
              <w:autoSpaceDN w:val="0"/>
              <w:adjustRightInd w:val="0"/>
              <w:ind w:left="266" w:hanging="266"/>
              <w:textAlignment w:val="baseline"/>
            </w:pPr>
            <w:r>
              <w:t>Joe HEALY (Gruppe Organisationen der Zivilgesellschaft – IE)</w:t>
            </w:r>
          </w:p>
        </w:tc>
      </w:tr>
      <w:tr w:rsidRPr="0079405E" w:rsidR="00DE2D96" w:rsidTr="00A3780E" w14:paraId="4B6FEDD4" w14:textId="77777777">
        <w:tc>
          <w:tcPr>
            <w:tcW w:w="1130" w:type="pct"/>
          </w:tcPr>
          <w:p w:rsidRPr="0079405E" w:rsidR="00DE2D96" w:rsidP="00BE1F8F" w:rsidRDefault="00DE2D96" w14:paraId="5A19339E" w14:textId="439F828B">
            <w:pPr>
              <w:tabs>
                <w:tab w:val="center" w:pos="284"/>
              </w:tabs>
              <w:overflowPunct w:val="0"/>
              <w:autoSpaceDE w:val="0"/>
              <w:autoSpaceDN w:val="0"/>
              <w:adjustRightInd w:val="0"/>
              <w:ind w:left="266" w:hanging="266"/>
              <w:textAlignment w:val="baseline"/>
              <w:rPr>
                <w:b/>
              </w:rPr>
            </w:pPr>
            <w:r>
              <w:rPr>
                <w:b/>
              </w:rPr>
              <w:t>Referenzdokument</w:t>
            </w:r>
          </w:p>
        </w:tc>
        <w:tc>
          <w:tcPr>
            <w:tcW w:w="3870" w:type="pct"/>
          </w:tcPr>
          <w:p w:rsidRPr="00D03AEC" w:rsidR="00366FB1" w:rsidP="00BE1F8F" w:rsidRDefault="00366FB1" w14:paraId="1D8B27BA" w14:textId="77777777">
            <w:pPr>
              <w:tabs>
                <w:tab w:val="center" w:pos="284"/>
              </w:tabs>
              <w:overflowPunct w:val="0"/>
              <w:autoSpaceDE w:val="0"/>
              <w:autoSpaceDN w:val="0"/>
              <w:adjustRightInd w:val="0"/>
              <w:ind w:left="266" w:right="-387" w:hanging="266"/>
              <w:textAlignment w:val="baseline"/>
            </w:pPr>
            <w:r>
              <w:t>Sondierungsstellungnahme auf Ersuchen des polnischen EU-Ratsvorsitzes</w:t>
            </w:r>
          </w:p>
          <w:p w:rsidRPr="0079405E" w:rsidR="00DE2D96" w:rsidP="00BE1F8F" w:rsidRDefault="00DE2D96" w14:paraId="13DE1FA0" w14:textId="22E0B95D">
            <w:pPr>
              <w:tabs>
                <w:tab w:val="center" w:pos="284"/>
              </w:tabs>
              <w:overflowPunct w:val="0"/>
              <w:autoSpaceDE w:val="0"/>
              <w:autoSpaceDN w:val="0"/>
              <w:adjustRightInd w:val="0"/>
              <w:ind w:left="266" w:hanging="266"/>
              <w:textAlignment w:val="baseline"/>
            </w:pPr>
            <w:r>
              <w:t>EESC-2024-03974-00-00-AC</w:t>
            </w:r>
          </w:p>
        </w:tc>
      </w:tr>
    </w:tbl>
    <w:p w:rsidRPr="00C77862" w:rsidR="00713105" w:rsidP="00BE1F8F" w:rsidRDefault="00713105" w14:paraId="518EA3D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405E" w:rsidR="00DE2D96" w:rsidP="00BE1F8F" w:rsidRDefault="00DE2D96" w14:paraId="1B8691C6" w14:textId="595FF6DF">
      <w:pPr>
        <w:keepNext/>
        <w:keepLines/>
        <w:tabs>
          <w:tab w:val="center" w:pos="284"/>
        </w:tabs>
        <w:overflowPunct w:val="0"/>
        <w:autoSpaceDE w:val="0"/>
        <w:autoSpaceDN w:val="0"/>
        <w:adjustRightInd w:val="0"/>
        <w:ind w:left="266" w:hanging="266"/>
        <w:textAlignment w:val="baseline"/>
        <w:rPr>
          <w:b/>
        </w:rPr>
      </w:pPr>
      <w:r>
        <w:rPr>
          <w:b/>
        </w:rPr>
        <w:t>Kernaussagen</w:t>
      </w:r>
    </w:p>
    <w:p w:rsidRPr="0079405E" w:rsidR="00DE2D96" w:rsidP="00BE1F8F" w:rsidRDefault="00DE2D96" w14:paraId="1493200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DE2D96" w:rsidP="00BE1F8F" w:rsidRDefault="00DE2D96" w14:paraId="6B40E191" w14:textId="77777777">
      <w:pPr>
        <w:widowControl w:val="0"/>
        <w:overflowPunct w:val="0"/>
        <w:autoSpaceDE w:val="0"/>
        <w:autoSpaceDN w:val="0"/>
        <w:adjustRightInd w:val="0"/>
        <w:textAlignment w:val="baseline"/>
        <w:rPr>
          <w:bCs/>
          <w:iCs/>
        </w:rPr>
      </w:pPr>
      <w:r>
        <w:t>Der EWSA</w:t>
      </w:r>
    </w:p>
    <w:p w:rsidRPr="0079405E" w:rsidR="00DE2D96" w:rsidP="00BE1F8F" w:rsidRDefault="00DE2D96" w14:paraId="331A71E3" w14:textId="77777777">
      <w:pPr>
        <w:widowControl w:val="0"/>
        <w:numPr>
          <w:ilvl w:val="0"/>
          <w:numId w:val="35"/>
        </w:numPr>
        <w:overflowPunct w:val="0"/>
        <w:autoSpaceDE w:val="0"/>
        <w:autoSpaceDN w:val="0"/>
        <w:adjustRightInd w:val="0"/>
        <w:ind w:left="284" w:hanging="284"/>
        <w:contextualSpacing/>
        <w:textAlignment w:val="baseline"/>
        <w:rPr>
          <w:bCs/>
          <w:iCs/>
        </w:rPr>
      </w:pPr>
      <w:r>
        <w:t>empfiehlt, kurz- und langfristige Instrumente zur Stützung der Einkommen der Landwirte in Krisenzeiten sowohl im Rahmen der GAP als auch darüber hinaus zu entwickeln und umzusetzen, darunter</w:t>
      </w:r>
    </w:p>
    <w:p w:rsidRPr="0079405E" w:rsidR="00DE2D96" w:rsidP="00713105" w:rsidRDefault="00DE2D96" w14:paraId="188FCED5"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Versicherungssysteme zur Absicherung gegen Klima- und Umweltkatastrophen:</w:t>
      </w:r>
      <w:r>
        <w:t xml:space="preserve"> Erarbeitung eines auf öffentlich-privaten Partnerschaften basierendes Versicherungsmodells und Überarbeitung der Berechnung der Referenzerträge; </w:t>
      </w:r>
    </w:p>
    <w:p w:rsidRPr="0079405E" w:rsidR="00DE2D96" w:rsidP="00713105" w:rsidRDefault="00DE2D96" w14:paraId="5FFE9226"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Versicherungssysteme gegen Spannungen auf den Märkten:</w:t>
      </w:r>
      <w:r>
        <w:t xml:space="preserve"> Analyse der Entwicklung innovativer Maßnahmen wie einer parametrischen Versicherung und Aufnahme antizyklischer Elemente in die GAP-Instrumente nach 2027, um auf den Marktdruck zu reagieren;</w:t>
      </w:r>
    </w:p>
    <w:p w:rsidRPr="0079405E" w:rsidR="00DE2D96" w:rsidP="00713105" w:rsidRDefault="00DE2D96" w14:paraId="4439B4AA"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Risiko- und Krisenmanagementinstrumente:</w:t>
      </w:r>
      <w:r>
        <w:t xml:space="preserve"> ein GAP-Haushalt, der im nächsten mehrjährigen Finanzrahmen (MFR) wieder auf 0,5 % des BIP der EU gebracht wird; Verbesserung und Förderung auf Ebene der Mitgliedstaaten der Verwendung der 3 % der Direktzahlungen als Beiträge der Landwirte zum Risikomanagementinstrument; Neukonzipierung und Aufstockung der Reserve für Krisen im Agrarsektor auf EU-Ebene; Entwicklung landwirtschaftlicher Fonds auf Gegenseitigkeit für Gesundheits- und Umweltrisiken;</w:t>
      </w:r>
    </w:p>
    <w:p w:rsidRPr="0079405E" w:rsidR="00DE2D96" w:rsidP="00713105" w:rsidRDefault="00DE2D96" w14:paraId="74D4B712" w14:textId="77777777">
      <w:pPr>
        <w:widowControl w:val="0"/>
        <w:numPr>
          <w:ilvl w:val="1"/>
          <w:numId w:val="36"/>
        </w:numPr>
        <w:overflowPunct w:val="0"/>
        <w:autoSpaceDE w:val="0"/>
        <w:autoSpaceDN w:val="0"/>
        <w:adjustRightInd w:val="0"/>
        <w:ind w:left="567" w:hanging="567"/>
        <w:contextualSpacing/>
        <w:textAlignment w:val="baseline"/>
        <w:rPr>
          <w:b/>
          <w:bCs/>
        </w:rPr>
      </w:pPr>
      <w:r>
        <w:rPr>
          <w:b/>
        </w:rPr>
        <w:t>Von der GAP und von Banken angebotene Finanzinstrumente:</w:t>
      </w:r>
      <w:r>
        <w:t xml:space="preserve"> Unterstützung der Investitionskapazität der Landwirte durch einfache, unbürokratische Finanzinstrumente, darunter auch Finanzprodukte, die von Banken angeboten werden (Pilotdarlehen, zinsfreie Darlehen, Darlehen für landwirtschaftliche Betriebsgründungen);</w:t>
      </w:r>
    </w:p>
    <w:p w:rsidRPr="0079405E" w:rsidR="00DE2D96" w:rsidP="00713105" w:rsidRDefault="00DE2D96" w14:paraId="1F801B29"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Instrumente zur Sicherung des Einkommens der Landwirte und zur Verbesserung ihrer Verhandlungsposition:</w:t>
      </w:r>
      <w:r>
        <w:t xml:space="preserve"> Prüfung einer möglichen Ausweitung der Richtlinie über unlautere Handelspraktiken um ein Verbot des Verkaufs unter dem Selbstkostenpreis nach sorgfältiger Prüfung der Auswirkungen dieses Verbots auf alle Akteure der Lebensmittelkette; Ergreifung neuer Maßnahmen auf europäischer Ebene, damit die Landwirte gemeinsam Preise aushandeln können, und Ausweitung der Unterstützung für Genossenschaften und Erzeugerorganisationen; Beibehaltung, Erhöhung und gezieltere Ausrichtung der Direktzahlungen an aktive Landwirte im Rahmen der nächsten GAP; ein Nachhaltigkeitsbeitrag für den Übergang; Gewährleistung der Gleichwertigkeit der Standards für die Lebensmittelerzeugung in allen Handelsabkommen;</w:t>
      </w:r>
    </w:p>
    <w:p w:rsidRPr="0079405E" w:rsidR="00366FB1" w:rsidP="00713105" w:rsidRDefault="00DE2D96" w14:paraId="496376A0" w14:textId="5E51B798">
      <w:pPr>
        <w:widowControl w:val="0"/>
        <w:numPr>
          <w:ilvl w:val="0"/>
          <w:numId w:val="35"/>
        </w:numPr>
        <w:overflowPunct w:val="0"/>
        <w:autoSpaceDE w:val="0"/>
        <w:autoSpaceDN w:val="0"/>
        <w:adjustRightInd w:val="0"/>
        <w:ind w:left="567" w:hanging="567"/>
        <w:contextualSpacing/>
        <w:textAlignment w:val="baseline"/>
        <w:rPr>
          <w:bCs/>
          <w:iCs/>
        </w:rPr>
      </w:pPr>
      <w:r>
        <w:t xml:space="preserve">empfiehlt, eine sektorspezifische partizipative </w:t>
      </w:r>
      <w:proofErr w:type="spellStart"/>
      <w:r>
        <w:t>Governance</w:t>
      </w:r>
      <w:proofErr w:type="spellEnd"/>
      <w:r>
        <w:t xml:space="preserve"> weiter zu fördern und den sozialen Dialog im Agrar- und Lebensmittelsektor zu stärken;</w:t>
      </w:r>
    </w:p>
    <w:p w:rsidRPr="0079405E" w:rsidR="00DE2D96" w:rsidP="00713105" w:rsidRDefault="00DE2D96" w14:paraId="35CC080A" w14:textId="77777777">
      <w:pPr>
        <w:widowControl w:val="0"/>
        <w:numPr>
          <w:ilvl w:val="0"/>
          <w:numId w:val="35"/>
        </w:numPr>
        <w:overflowPunct w:val="0"/>
        <w:autoSpaceDE w:val="0"/>
        <w:autoSpaceDN w:val="0"/>
        <w:adjustRightInd w:val="0"/>
        <w:ind w:left="567" w:hanging="567"/>
        <w:contextualSpacing/>
        <w:textAlignment w:val="baseline"/>
        <w:rPr>
          <w:bCs/>
          <w:iCs/>
        </w:rPr>
      </w:pPr>
      <w:r>
        <w:t xml:space="preserve">weist darauf hin, dass es einer hochwertigen Agrarforschung und Investitionen in Bildung </w:t>
      </w:r>
      <w:r>
        <w:lastRenderedPageBreak/>
        <w:t>bedarf;</w:t>
      </w:r>
    </w:p>
    <w:p w:rsidRPr="0079405E" w:rsidR="00DE2D96" w:rsidP="00713105" w:rsidRDefault="00DE2D96" w14:paraId="6F5D47EA" w14:textId="77777777">
      <w:pPr>
        <w:widowControl w:val="0"/>
        <w:numPr>
          <w:ilvl w:val="0"/>
          <w:numId w:val="35"/>
        </w:numPr>
        <w:overflowPunct w:val="0"/>
        <w:autoSpaceDE w:val="0"/>
        <w:autoSpaceDN w:val="0"/>
        <w:adjustRightInd w:val="0"/>
        <w:ind w:left="567" w:hanging="567"/>
        <w:contextualSpacing/>
        <w:textAlignment w:val="baseline"/>
        <w:rPr>
          <w:bCs/>
          <w:iCs/>
        </w:rPr>
      </w:pPr>
      <w:r>
        <w:t>betont, wie wichtig es ist, eine dynamische landwirtschaftliche Erzeugung in ganz Europa aufrechtzuerhalten, und weist darauf hin, dass die Entwicklung des ländlichen Raums ein Hauptziel der gemeinsamen Agrarpolitik bleiben und dass hierfür ausreichende Mittel bereitgestellt werden müssen.</w:t>
      </w:r>
    </w:p>
    <w:p w:rsidRPr="0079405E" w:rsidR="002A61F5" w:rsidP="00BE1F8F" w:rsidRDefault="002A61F5" w14:paraId="3C8AA267" w14:textId="77777777">
      <w:pPr>
        <w:widowControl w:val="0"/>
        <w:overflowPunct w:val="0"/>
        <w:autoSpaceDE w:val="0"/>
        <w:autoSpaceDN w:val="0"/>
        <w:adjustRightInd w:val="0"/>
        <w:ind w:left="709" w:hanging="425"/>
        <w:textAlignment w:val="baseline"/>
        <w:rPr>
          <w:sz w:val="16"/>
          <w:szCs w:val="16"/>
          <w:lang w:val="en-GB"/>
        </w:rPr>
      </w:pPr>
    </w:p>
    <w:tbl>
      <w:tblPr>
        <w:tblW w:w="4942" w:type="pct"/>
        <w:tblLook w:val="04A0" w:firstRow="1" w:lastRow="0" w:firstColumn="1" w:lastColumn="0" w:noHBand="0" w:noVBand="1"/>
      </w:tblPr>
      <w:tblGrid>
        <w:gridCol w:w="2032"/>
        <w:gridCol w:w="7147"/>
      </w:tblGrid>
      <w:tr w:rsidRPr="0079405E" w:rsidR="00DE2D96" w:rsidTr="00713105" w14:paraId="0E76CB38" w14:textId="77777777">
        <w:tc>
          <w:tcPr>
            <w:tcW w:w="1107" w:type="pct"/>
          </w:tcPr>
          <w:p w:rsidRPr="0079405E" w:rsidR="00DE2D96" w:rsidP="00BE1F8F" w:rsidRDefault="00DE2D96" w14:paraId="6151DC79" w14:textId="77777777">
            <w:pPr>
              <w:overflowPunct w:val="0"/>
              <w:autoSpaceDE w:val="0"/>
              <w:autoSpaceDN w:val="0"/>
              <w:adjustRightInd w:val="0"/>
              <w:textAlignment w:val="baseline"/>
              <w:rPr>
                <w:i/>
              </w:rPr>
            </w:pPr>
            <w:r>
              <w:rPr>
                <w:b/>
                <w:i/>
              </w:rPr>
              <w:t>Kontakt</w:t>
            </w:r>
          </w:p>
        </w:tc>
        <w:tc>
          <w:tcPr>
            <w:tcW w:w="3893" w:type="pct"/>
          </w:tcPr>
          <w:p w:rsidRPr="0079405E" w:rsidR="00DE2D96" w:rsidP="00BE1F8F" w:rsidRDefault="00DE2D96" w14:paraId="1C83FC67" w14:textId="58C849C6">
            <w:pPr>
              <w:overflowPunct w:val="0"/>
              <w:autoSpaceDE w:val="0"/>
              <w:autoSpaceDN w:val="0"/>
              <w:adjustRightInd w:val="0"/>
              <w:textAlignment w:val="baseline"/>
              <w:rPr>
                <w:i/>
              </w:rPr>
            </w:pPr>
            <w:proofErr w:type="spellStart"/>
            <w:r>
              <w:rPr>
                <w:i/>
              </w:rPr>
              <w:t>Myrto</w:t>
            </w:r>
            <w:proofErr w:type="spellEnd"/>
            <w:r>
              <w:rPr>
                <w:i/>
              </w:rPr>
              <w:t xml:space="preserve"> </w:t>
            </w:r>
            <w:proofErr w:type="spellStart"/>
            <w:r>
              <w:rPr>
                <w:i/>
              </w:rPr>
              <w:t>Kolyva</w:t>
            </w:r>
            <w:proofErr w:type="spellEnd"/>
          </w:p>
        </w:tc>
      </w:tr>
      <w:tr w:rsidRPr="0079405E" w:rsidR="00DE2D96" w:rsidTr="00713105" w14:paraId="188EFACC" w14:textId="77777777">
        <w:tc>
          <w:tcPr>
            <w:tcW w:w="1107" w:type="pct"/>
          </w:tcPr>
          <w:p w:rsidRPr="0079405E" w:rsidR="00DE2D96" w:rsidP="00BE1F8F" w:rsidRDefault="00DE2D96" w14:paraId="7E5EE7F9" w14:textId="77777777">
            <w:pPr>
              <w:overflowPunct w:val="0"/>
              <w:autoSpaceDE w:val="0"/>
              <w:autoSpaceDN w:val="0"/>
              <w:adjustRightInd w:val="0"/>
              <w:textAlignment w:val="baseline"/>
              <w:rPr>
                <w:i/>
              </w:rPr>
            </w:pPr>
            <w:r>
              <w:rPr>
                <w:i/>
              </w:rPr>
              <w:t>Tel.</w:t>
            </w:r>
          </w:p>
        </w:tc>
        <w:tc>
          <w:tcPr>
            <w:tcW w:w="3893" w:type="pct"/>
          </w:tcPr>
          <w:p w:rsidRPr="0079405E" w:rsidR="00DE2D96" w:rsidP="00BE1F8F" w:rsidRDefault="00DE2D96" w14:paraId="19F64A59" w14:textId="77777777">
            <w:pPr>
              <w:overflowPunct w:val="0"/>
              <w:autoSpaceDE w:val="0"/>
              <w:autoSpaceDN w:val="0"/>
              <w:adjustRightInd w:val="0"/>
              <w:textAlignment w:val="baseline"/>
              <w:rPr>
                <w:i/>
              </w:rPr>
            </w:pPr>
            <w:r>
              <w:rPr>
                <w:i/>
              </w:rPr>
              <w:t>+32 25468718</w:t>
            </w:r>
          </w:p>
        </w:tc>
      </w:tr>
      <w:tr w:rsidRPr="0079405E" w:rsidR="00DE2D96" w:rsidTr="00713105" w14:paraId="1C6D3733" w14:textId="77777777">
        <w:tc>
          <w:tcPr>
            <w:tcW w:w="1107" w:type="pct"/>
          </w:tcPr>
          <w:p w:rsidRPr="0079405E" w:rsidR="00DE2D96" w:rsidP="00BE1F8F" w:rsidRDefault="00DE2D96" w14:paraId="40381C02" w14:textId="77777777">
            <w:pPr>
              <w:overflowPunct w:val="0"/>
              <w:autoSpaceDE w:val="0"/>
              <w:autoSpaceDN w:val="0"/>
              <w:adjustRightInd w:val="0"/>
              <w:textAlignment w:val="baseline"/>
              <w:rPr>
                <w:i/>
              </w:rPr>
            </w:pPr>
            <w:r>
              <w:rPr>
                <w:i/>
              </w:rPr>
              <w:t>E-Mail</w:t>
            </w:r>
          </w:p>
        </w:tc>
        <w:tc>
          <w:tcPr>
            <w:tcW w:w="3893" w:type="pct"/>
          </w:tcPr>
          <w:p w:rsidRPr="0079405E" w:rsidR="00DE2D96" w:rsidP="00BE1F8F" w:rsidRDefault="006A4D48" w14:paraId="43973F89" w14:textId="77E8A581">
            <w:pPr>
              <w:overflowPunct w:val="0"/>
              <w:autoSpaceDE w:val="0"/>
              <w:autoSpaceDN w:val="0"/>
              <w:adjustRightInd w:val="0"/>
              <w:textAlignment w:val="baseline"/>
              <w:rPr>
                <w:color w:val="0000FF"/>
                <w:u w:val="single"/>
              </w:rPr>
            </w:pPr>
            <w:hyperlink w:history="1" r:id="rId54">
              <w:r w:rsidR="008A2164">
                <w:rPr>
                  <w:i/>
                  <w:color w:val="0000FF"/>
                  <w:u w:val="single"/>
                </w:rPr>
                <w:t>Myrto.Kolyva@eesc.europa.eu</w:t>
              </w:r>
            </w:hyperlink>
          </w:p>
        </w:tc>
      </w:tr>
    </w:tbl>
    <w:p w:rsidRPr="00C77862" w:rsidR="00366FB1" w:rsidP="00BE1F8F" w:rsidRDefault="00366FB1" w14:paraId="1FDF3A66" w14:textId="77777777">
      <w:pPr>
        <w:jc w:val="left"/>
        <w:rPr>
          <w:sz w:val="12"/>
          <w:szCs w:val="12"/>
        </w:rPr>
      </w:pPr>
      <w:r>
        <w:br w:type="page"/>
      </w:r>
    </w:p>
    <w:p w:rsidR="007F5784" w:rsidP="00C77862" w:rsidRDefault="00EE5F16" w14:paraId="14026A78" w14:textId="0BB4DE42">
      <w:pPr>
        <w:pStyle w:val="Heading1"/>
        <w:keepNext/>
        <w:keepLines/>
        <w:spacing w:line="240" w:lineRule="auto"/>
        <w:rPr>
          <w:b/>
        </w:rPr>
      </w:pPr>
      <w:bookmarkStart w:name="_Toc192845600" w:id="26"/>
      <w:r>
        <w:rPr>
          <w:b/>
        </w:rPr>
        <w:lastRenderedPageBreak/>
        <w:t>BERATENDE KOMMISSION FÜR DEN INDUSTRIELLEN WANDEL</w:t>
      </w:r>
      <w:bookmarkEnd w:id="26"/>
    </w:p>
    <w:p w:rsidR="003F4AD5" w:rsidP="00C77862" w:rsidRDefault="003F4AD5" w14:paraId="7C8ED9AD" w14:textId="77777777">
      <w:pPr>
        <w:spacing w:line="240" w:lineRule="auto"/>
      </w:pPr>
    </w:p>
    <w:p w:rsidRPr="00623E9E" w:rsidR="00623E9E" w:rsidP="00C77862" w:rsidRDefault="006A4D48" w14:paraId="7953BEAF" w14:textId="2D580F8B">
      <w:pPr>
        <w:widowControl w:val="0"/>
        <w:numPr>
          <w:ilvl w:val="0"/>
          <w:numId w:val="2"/>
        </w:numPr>
        <w:overflowPunct w:val="0"/>
        <w:autoSpaceDE w:val="0"/>
        <w:autoSpaceDN w:val="0"/>
        <w:adjustRightInd w:val="0"/>
        <w:spacing w:line="240" w:lineRule="auto"/>
        <w:ind w:hanging="567"/>
        <w:textAlignment w:val="baseline"/>
        <w:rPr>
          <w:b/>
        </w:rPr>
      </w:pPr>
      <w:hyperlink w:history="1" r:id="rId55">
        <w:r w:rsidR="008A2164">
          <w:rPr>
            <w:b/>
            <w:i/>
            <w:color w:val="0000FF"/>
            <w:sz w:val="28"/>
            <w:u w:val="single"/>
            <w:shd w:val="clear" w:color="auto" w:fill="FEFEFE"/>
          </w:rPr>
          <w:t>Robotik im Metaversum – Anwendung in der Medizin</w:t>
        </w:r>
      </w:hyperlink>
    </w:p>
    <w:p w:rsidRPr="00623E9E" w:rsidR="00623E9E" w:rsidP="00C77862" w:rsidRDefault="00623E9E" w14:paraId="1CC73896" w14:textId="77777777">
      <w:pPr>
        <w:widowControl w:val="0"/>
        <w:overflowPunct w:val="0"/>
        <w:autoSpaceDE w:val="0"/>
        <w:autoSpaceDN w:val="0"/>
        <w:adjustRightInd w:val="0"/>
        <w:spacing w:line="240" w:lineRule="auto"/>
        <w:ind w:left="266"/>
        <w:textAlignment w:val="baseline"/>
        <w:rPr>
          <w:b/>
          <w:lang w:val="en-GB"/>
        </w:rPr>
      </w:pPr>
    </w:p>
    <w:tbl>
      <w:tblPr>
        <w:tblW w:w="0" w:type="auto"/>
        <w:tblLook w:val="04A0" w:firstRow="1" w:lastRow="0" w:firstColumn="1" w:lastColumn="0" w:noHBand="0" w:noVBand="1"/>
      </w:tblPr>
      <w:tblGrid>
        <w:gridCol w:w="2376"/>
        <w:gridCol w:w="6911"/>
      </w:tblGrid>
      <w:tr w:rsidRPr="00623E9E" w:rsidR="00623E9E" w:rsidTr="007601EB" w14:paraId="269248EA" w14:textId="77777777">
        <w:tc>
          <w:tcPr>
            <w:tcW w:w="2376" w:type="dxa"/>
          </w:tcPr>
          <w:p w:rsidRPr="00623E9E" w:rsidR="00623E9E" w:rsidP="00BE1F8F" w:rsidRDefault="00623E9E" w14:paraId="21D29375" w14:textId="77777777">
            <w:pPr>
              <w:tabs>
                <w:tab w:val="center" w:pos="284"/>
              </w:tabs>
              <w:overflowPunct w:val="0"/>
              <w:autoSpaceDE w:val="0"/>
              <w:autoSpaceDN w:val="0"/>
              <w:adjustRightInd w:val="0"/>
              <w:ind w:left="266" w:hanging="266"/>
              <w:textAlignment w:val="baseline"/>
              <w:rPr>
                <w:b/>
              </w:rPr>
            </w:pPr>
            <w:r>
              <w:rPr>
                <w:b/>
              </w:rPr>
              <w:t>Berichterstatter</w:t>
            </w:r>
          </w:p>
        </w:tc>
        <w:tc>
          <w:tcPr>
            <w:tcW w:w="6911" w:type="dxa"/>
          </w:tcPr>
          <w:p w:rsidRPr="00623E9E" w:rsidR="00623E9E" w:rsidP="00BE1F8F" w:rsidRDefault="00623E9E" w14:paraId="266FB57D" w14:textId="2659163F">
            <w:pPr>
              <w:tabs>
                <w:tab w:val="center" w:pos="284"/>
              </w:tabs>
              <w:overflowPunct w:val="0"/>
              <w:autoSpaceDE w:val="0"/>
              <w:autoSpaceDN w:val="0"/>
              <w:adjustRightInd w:val="0"/>
              <w:ind w:left="266" w:hanging="266"/>
              <w:textAlignment w:val="baseline"/>
            </w:pPr>
            <w:r>
              <w:t>Martin BÖHME (Gruppe Organisationen der Zivilgesellschaft – DE)</w:t>
            </w:r>
          </w:p>
        </w:tc>
      </w:tr>
      <w:tr w:rsidRPr="00623E9E" w:rsidR="00623E9E" w:rsidTr="007601EB" w14:paraId="361B26C2" w14:textId="77777777">
        <w:tc>
          <w:tcPr>
            <w:tcW w:w="2376" w:type="dxa"/>
          </w:tcPr>
          <w:p w:rsidRPr="00623E9E" w:rsidR="00623E9E" w:rsidP="00BE1F8F" w:rsidRDefault="00623E9E" w14:paraId="5503FDF1" w14:textId="77777777">
            <w:pPr>
              <w:tabs>
                <w:tab w:val="center" w:pos="284"/>
              </w:tabs>
              <w:overflowPunct w:val="0"/>
              <w:autoSpaceDE w:val="0"/>
              <w:autoSpaceDN w:val="0"/>
              <w:adjustRightInd w:val="0"/>
              <w:ind w:left="266" w:hanging="266"/>
              <w:textAlignment w:val="baseline"/>
              <w:rPr>
                <w:b/>
              </w:rPr>
            </w:pPr>
            <w:r>
              <w:rPr>
                <w:b/>
              </w:rPr>
              <w:t>Ko-Berichterstatter</w:t>
            </w:r>
          </w:p>
        </w:tc>
        <w:tc>
          <w:tcPr>
            <w:tcW w:w="6911" w:type="dxa"/>
          </w:tcPr>
          <w:p w:rsidRPr="00623E9E" w:rsidR="00623E9E" w:rsidP="00BE1F8F" w:rsidRDefault="00623E9E" w14:paraId="1531E497" w14:textId="0BE0FF95">
            <w:pPr>
              <w:tabs>
                <w:tab w:val="center" w:pos="284"/>
              </w:tabs>
              <w:overflowPunct w:val="0"/>
              <w:autoSpaceDE w:val="0"/>
              <w:autoSpaceDN w:val="0"/>
              <w:adjustRightInd w:val="0"/>
              <w:ind w:left="266" w:hanging="266"/>
              <w:textAlignment w:val="baseline"/>
            </w:pPr>
            <w:r>
              <w:t>Hervé JEANNIN (Kategorie 2 – FR)</w:t>
            </w:r>
          </w:p>
        </w:tc>
      </w:tr>
      <w:tr w:rsidRPr="00623E9E" w:rsidR="00623E9E" w:rsidTr="007601EB" w14:paraId="74813AA8" w14:textId="77777777">
        <w:tc>
          <w:tcPr>
            <w:tcW w:w="2376" w:type="dxa"/>
          </w:tcPr>
          <w:p w:rsidRPr="00623E9E" w:rsidR="00623E9E" w:rsidP="00BE1F8F" w:rsidRDefault="00623E9E" w14:paraId="1103D901" w14:textId="719ACEE8">
            <w:pPr>
              <w:tabs>
                <w:tab w:val="center" w:pos="284"/>
              </w:tabs>
              <w:overflowPunct w:val="0"/>
              <w:autoSpaceDE w:val="0"/>
              <w:autoSpaceDN w:val="0"/>
              <w:adjustRightInd w:val="0"/>
              <w:ind w:left="266" w:hanging="266"/>
              <w:textAlignment w:val="baseline"/>
              <w:rPr>
                <w:b/>
              </w:rPr>
            </w:pPr>
            <w:r>
              <w:rPr>
                <w:b/>
              </w:rPr>
              <w:t>Referenzdokument</w:t>
            </w:r>
          </w:p>
        </w:tc>
        <w:tc>
          <w:tcPr>
            <w:tcW w:w="6911" w:type="dxa"/>
          </w:tcPr>
          <w:p w:rsidR="004F23ED" w:rsidP="00BE1F8F" w:rsidRDefault="004F23ED" w14:paraId="2AEBD737" w14:textId="4C750945">
            <w:pPr>
              <w:tabs>
                <w:tab w:val="center" w:pos="284"/>
              </w:tabs>
              <w:overflowPunct w:val="0"/>
              <w:autoSpaceDE w:val="0"/>
              <w:autoSpaceDN w:val="0"/>
              <w:adjustRightInd w:val="0"/>
              <w:ind w:left="266" w:hanging="266"/>
              <w:textAlignment w:val="baseline"/>
            </w:pPr>
            <w:r>
              <w:t>Initiativstellungnahme</w:t>
            </w:r>
          </w:p>
          <w:p w:rsidRPr="00623E9E" w:rsidR="00623E9E" w:rsidP="00BE1F8F" w:rsidRDefault="00623E9E" w14:paraId="5BA8C458" w14:textId="5B035BF6">
            <w:pPr>
              <w:tabs>
                <w:tab w:val="center" w:pos="284"/>
              </w:tabs>
              <w:overflowPunct w:val="0"/>
              <w:autoSpaceDE w:val="0"/>
              <w:autoSpaceDN w:val="0"/>
              <w:adjustRightInd w:val="0"/>
              <w:ind w:left="266" w:hanging="266"/>
              <w:textAlignment w:val="baseline"/>
            </w:pPr>
            <w:r>
              <w:t>EESC-2024-02859-00-00-AC-TRA</w:t>
            </w:r>
          </w:p>
        </w:tc>
      </w:tr>
    </w:tbl>
    <w:p w:rsidR="009B596B" w:rsidP="00BE1F8F" w:rsidRDefault="009B596B" w14:paraId="7BB8F2C0" w14:textId="77777777">
      <w:pPr>
        <w:keepNext/>
        <w:keepLines/>
        <w:tabs>
          <w:tab w:val="center" w:pos="284"/>
        </w:tabs>
        <w:overflowPunct w:val="0"/>
        <w:autoSpaceDE w:val="0"/>
        <w:autoSpaceDN w:val="0"/>
        <w:adjustRightInd w:val="0"/>
        <w:ind w:left="266" w:hanging="266"/>
        <w:textAlignment w:val="baseline"/>
        <w:rPr>
          <w:b/>
          <w:szCs w:val="20"/>
          <w:lang w:val="en-GB"/>
        </w:rPr>
      </w:pPr>
    </w:p>
    <w:p w:rsidRPr="00623E9E" w:rsidR="00623E9E" w:rsidP="00BE1F8F" w:rsidRDefault="00623E9E" w14:paraId="30B2B833" w14:textId="33B9D8A5">
      <w:pPr>
        <w:keepNext/>
        <w:keepLines/>
        <w:tabs>
          <w:tab w:val="center" w:pos="284"/>
        </w:tabs>
        <w:overflowPunct w:val="0"/>
        <w:autoSpaceDE w:val="0"/>
        <w:autoSpaceDN w:val="0"/>
        <w:adjustRightInd w:val="0"/>
        <w:ind w:left="266" w:hanging="266"/>
        <w:textAlignment w:val="baseline"/>
        <w:rPr>
          <w:b/>
        </w:rPr>
      </w:pPr>
      <w:r>
        <w:rPr>
          <w:b/>
        </w:rPr>
        <w:t>Kernaussagen</w:t>
      </w:r>
    </w:p>
    <w:p w:rsidRPr="00623E9E" w:rsidR="00623E9E" w:rsidP="00BE1F8F" w:rsidRDefault="00623E9E" w14:paraId="53513792" w14:textId="77777777">
      <w:pPr>
        <w:keepNext/>
        <w:keepLines/>
        <w:tabs>
          <w:tab w:val="center" w:pos="284"/>
        </w:tabs>
        <w:overflowPunct w:val="0"/>
        <w:autoSpaceDE w:val="0"/>
        <w:autoSpaceDN w:val="0"/>
        <w:adjustRightInd w:val="0"/>
        <w:ind w:left="266" w:hanging="266"/>
        <w:textAlignment w:val="baseline"/>
        <w:rPr>
          <w:b/>
          <w:lang w:val="en-GB"/>
        </w:rPr>
      </w:pPr>
    </w:p>
    <w:p w:rsidRPr="00623E9E" w:rsidR="00623E9E" w:rsidP="00BE1F8F" w:rsidRDefault="00623E9E" w14:paraId="6DCDBAF9" w14:textId="77777777">
      <w:pPr>
        <w:overflowPunct w:val="0"/>
        <w:autoSpaceDE w:val="0"/>
        <w:autoSpaceDN w:val="0"/>
        <w:adjustRightInd w:val="0"/>
        <w:textAlignment w:val="baseline"/>
        <w:rPr>
          <w:szCs w:val="20"/>
        </w:rPr>
      </w:pPr>
      <w:r>
        <w:t>Der EWSA</w:t>
      </w:r>
    </w:p>
    <w:p w:rsidRPr="004C2B61" w:rsidR="00623E9E" w:rsidP="00713105" w:rsidRDefault="00623E9E" w14:paraId="4E329840" w14:textId="77777777">
      <w:pPr>
        <w:pStyle w:val="ListParagraph"/>
        <w:numPr>
          <w:ilvl w:val="0"/>
          <w:numId w:val="43"/>
        </w:numPr>
        <w:ind w:left="567" w:hanging="567"/>
      </w:pPr>
      <w:bookmarkStart w:name="_Toc191974019" w:id="27"/>
      <w:r>
        <w:t xml:space="preserve">ist der Ansicht, dass ein </w:t>
      </w:r>
      <w:r>
        <w:rPr>
          <w:b/>
        </w:rPr>
        <w:t>umfassender Rechtsrahmen</w:t>
      </w:r>
      <w:r>
        <w:t xml:space="preserve"> für Robotik und Metaversum in der Gesundheitsversorgung </w:t>
      </w:r>
      <w:r>
        <w:rPr>
          <w:b/>
        </w:rPr>
        <w:t>entwickelt werden sollte</w:t>
      </w:r>
      <w:r>
        <w:t>;</w:t>
      </w:r>
      <w:bookmarkEnd w:id="27"/>
    </w:p>
    <w:p w:rsidRPr="004C2B61" w:rsidR="00623E9E" w:rsidP="00713105" w:rsidRDefault="00623E9E" w14:paraId="06079E87" w14:textId="77777777">
      <w:pPr>
        <w:pStyle w:val="ListParagraph"/>
        <w:numPr>
          <w:ilvl w:val="0"/>
          <w:numId w:val="43"/>
        </w:numPr>
        <w:ind w:left="567" w:hanging="567"/>
      </w:pPr>
      <w:bookmarkStart w:name="_Toc191974020" w:id="28"/>
      <w:r>
        <w:t xml:space="preserve">betont die Bedeutung </w:t>
      </w:r>
      <w:r>
        <w:rPr>
          <w:b/>
        </w:rPr>
        <w:t>der Förderung ethischer Normen und Patienteneinwilligungserklärungen</w:t>
      </w:r>
      <w:r>
        <w:t>;</w:t>
      </w:r>
      <w:bookmarkEnd w:id="28"/>
    </w:p>
    <w:p w:rsidRPr="004C2B61" w:rsidR="00623E9E" w:rsidP="00713105" w:rsidRDefault="00623E9E" w14:paraId="6D595B43" w14:textId="77777777">
      <w:pPr>
        <w:pStyle w:val="ListParagraph"/>
        <w:numPr>
          <w:ilvl w:val="0"/>
          <w:numId w:val="43"/>
        </w:numPr>
        <w:ind w:left="567" w:hanging="567"/>
      </w:pPr>
      <w:bookmarkStart w:name="_Toc191974021" w:id="29"/>
      <w:r>
        <w:t xml:space="preserve">fordert </w:t>
      </w:r>
      <w:r>
        <w:rPr>
          <w:b/>
        </w:rPr>
        <w:t>Investitionen in die digitale Infrastruktur</w:t>
      </w:r>
      <w:r>
        <w:t xml:space="preserve">, um einen </w:t>
      </w:r>
      <w:r>
        <w:rPr>
          <w:b/>
        </w:rPr>
        <w:t>gleichberechtigten Zugang zu gewährleisten</w:t>
      </w:r>
      <w:r>
        <w:t xml:space="preserve">; betont, dass diese Investitionen gerade in </w:t>
      </w:r>
      <w:r>
        <w:rPr>
          <w:b/>
        </w:rPr>
        <w:t>ländlichen und unterversorgten Gebieten</w:t>
      </w:r>
      <w:r>
        <w:t xml:space="preserve"> wichtig sind, um einer digitalen Kluft zu entgegenzuwirken. Die EU sollte den Aufbau von 5G- und 6G-Netzen als Grundlage für den sicheren und zuverlässigen Einsatz von Robotik und </w:t>
      </w:r>
      <w:proofErr w:type="spellStart"/>
      <w:r>
        <w:t>metaversellen</w:t>
      </w:r>
      <w:proofErr w:type="spellEnd"/>
      <w:r>
        <w:t xml:space="preserve"> Technologien vorrangig behandeln. Eine zentrale Priorität besteht darin, in allen Mitgliedstaaten für einen gleichberechtigten Zugang zu diesen Fortschritten in der Gesundheitsversorgung zu sorgen;</w:t>
      </w:r>
      <w:bookmarkEnd w:id="29"/>
    </w:p>
    <w:p w:rsidRPr="004C2B61" w:rsidR="00623E9E" w:rsidP="00713105" w:rsidRDefault="00623E9E" w14:paraId="180EF85A" w14:textId="77777777">
      <w:pPr>
        <w:pStyle w:val="ListParagraph"/>
        <w:numPr>
          <w:ilvl w:val="0"/>
          <w:numId w:val="43"/>
        </w:numPr>
        <w:ind w:left="567" w:hanging="567"/>
      </w:pPr>
      <w:bookmarkStart w:name="_Toc191974022" w:id="30"/>
      <w:r>
        <w:t xml:space="preserve">spricht sich dafür aus, </w:t>
      </w:r>
      <w:r>
        <w:rPr>
          <w:b/>
        </w:rPr>
        <w:t>Angehörige der Gesundheitsberufe besser mit entsprechenden Aus- und Weiterbildungsangeboten zu unterstützen</w:t>
      </w:r>
      <w:r>
        <w:t xml:space="preserve">. Die EU muss Aus- und Weiterbildungsprogramme finanzieren und fördern, in deren Rahmen medizinisches Fachpersonal auf die Integration von Robotik und </w:t>
      </w:r>
      <w:proofErr w:type="spellStart"/>
      <w:r>
        <w:t>metaversellen</w:t>
      </w:r>
      <w:proofErr w:type="spellEnd"/>
      <w:r>
        <w:t xml:space="preserve"> Technologien vorbereitet wird;</w:t>
      </w:r>
      <w:bookmarkEnd w:id="30"/>
    </w:p>
    <w:p w:rsidRPr="004C2B61" w:rsidR="00623E9E" w:rsidP="00713105" w:rsidRDefault="00623E9E" w14:paraId="115A5476" w14:textId="77777777">
      <w:pPr>
        <w:pStyle w:val="ListParagraph"/>
        <w:numPr>
          <w:ilvl w:val="0"/>
          <w:numId w:val="43"/>
        </w:numPr>
        <w:ind w:left="567" w:hanging="567"/>
      </w:pPr>
      <w:bookmarkStart w:name="_Toc191974023" w:id="31"/>
      <w:r>
        <w:t>ist der Auffassung, dass</w:t>
      </w:r>
      <w:r>
        <w:rPr>
          <w:b/>
        </w:rPr>
        <w:t xml:space="preserve"> Innovationen durch eine gezielte EU-Investitionsstrategie gefördert werden sollten</w:t>
      </w:r>
      <w:r>
        <w:t>; spricht sich nachdrücklich dafür aus, dass die EU eine gezielte Investitionsstrategie entwickeln sollte, die insbesondere darauf ausgerichtet ist, dass kleine und mittlere Unternehmen (KMU) aus dem Bereich Robotik- und Metaversum-Lösungen für die Gesundheitsversorgung Unterstützung erhalten;</w:t>
      </w:r>
      <w:bookmarkEnd w:id="31"/>
    </w:p>
    <w:p w:rsidRPr="004C2B61" w:rsidR="00623E9E" w:rsidP="00713105" w:rsidRDefault="00623E9E" w14:paraId="5166FC72" w14:textId="77777777">
      <w:pPr>
        <w:pStyle w:val="ListParagraph"/>
        <w:numPr>
          <w:ilvl w:val="0"/>
          <w:numId w:val="43"/>
        </w:numPr>
        <w:ind w:left="567" w:hanging="567"/>
      </w:pPr>
      <w:bookmarkStart w:name="_Toc191974024" w:id="32"/>
      <w:r>
        <w:t xml:space="preserve">hebt hervor, dass bezüglich </w:t>
      </w:r>
      <w:r>
        <w:rPr>
          <w:b/>
        </w:rPr>
        <w:t>Datenschutz und Cybersicherheit wirksame Vorkehrungen getroffen werden müssen</w:t>
      </w:r>
      <w:r>
        <w:t>; fordert die EU nachdrücklich zur Umsetzung strenger Datenschutz- und Cybersicherheitsvorschriften auf, damit der Schutz sensibler Gesundheitsdaten und die Abwehr von Cyberangriffen gewährleistet sind. Dazu gehört auch die Sicherung der Verbindungen zwischen Robotik, Metaversum und Geräten mit Benutzerschnittstelle; weist ferner darauf hin, dass in den verschiedenen Rechtsordnungen die Frage der Datensouveränität und der Regelkonformität der Daten geregelt werden muss, damit die Patientenrechte gewahrt sind und das Vertrauen in grenzüberschreitende Gesundheitsdienstleistungen gewährleistet ist.</w:t>
      </w:r>
      <w:bookmarkEnd w:id="32"/>
    </w:p>
    <w:p w:rsidRPr="00623E9E" w:rsidR="00623E9E" w:rsidP="00BE1F8F" w:rsidRDefault="00623E9E" w14:paraId="189CE723" w14:textId="77777777">
      <w:pPr>
        <w:rPr>
          <w:lang w:val="en-GB"/>
        </w:rPr>
      </w:pPr>
    </w:p>
    <w:tbl>
      <w:tblPr>
        <w:tblW w:w="0" w:type="auto"/>
        <w:tblLook w:val="04A0" w:firstRow="1" w:lastRow="0" w:firstColumn="1" w:lastColumn="0" w:noHBand="0" w:noVBand="1"/>
      </w:tblPr>
      <w:tblGrid>
        <w:gridCol w:w="1418"/>
        <w:gridCol w:w="5670"/>
      </w:tblGrid>
      <w:tr w:rsidRPr="00623E9E" w:rsidR="00623E9E" w:rsidTr="00A3780E" w14:paraId="5AA87467" w14:textId="77777777">
        <w:tc>
          <w:tcPr>
            <w:tcW w:w="1418" w:type="dxa"/>
          </w:tcPr>
          <w:p w:rsidRPr="00623E9E" w:rsidR="00623E9E" w:rsidP="00BE1F8F" w:rsidRDefault="00623E9E" w14:paraId="565BF265" w14:textId="77777777">
            <w:pPr>
              <w:keepNext/>
              <w:keepLines/>
              <w:overflowPunct w:val="0"/>
              <w:autoSpaceDE w:val="0"/>
              <w:autoSpaceDN w:val="0"/>
              <w:adjustRightInd w:val="0"/>
              <w:textAlignment w:val="baseline"/>
              <w:rPr>
                <w:i/>
              </w:rPr>
            </w:pPr>
            <w:r>
              <w:rPr>
                <w:b/>
                <w:i/>
              </w:rPr>
              <w:t>Kontakt</w:t>
            </w:r>
          </w:p>
        </w:tc>
        <w:tc>
          <w:tcPr>
            <w:tcW w:w="5670" w:type="dxa"/>
          </w:tcPr>
          <w:p w:rsidRPr="00623E9E" w:rsidR="00623E9E" w:rsidP="00BE1F8F" w:rsidRDefault="00623E9E" w14:paraId="206EEDE0" w14:textId="77777777">
            <w:pPr>
              <w:keepNext/>
              <w:keepLines/>
              <w:overflowPunct w:val="0"/>
              <w:autoSpaceDE w:val="0"/>
              <w:autoSpaceDN w:val="0"/>
              <w:adjustRightInd w:val="0"/>
              <w:textAlignment w:val="baseline"/>
              <w:rPr>
                <w:i/>
              </w:rPr>
            </w:pPr>
            <w:r>
              <w:rPr>
                <w:i/>
              </w:rPr>
              <w:t xml:space="preserve">Marie-Laurence </w:t>
            </w:r>
            <w:proofErr w:type="spellStart"/>
            <w:r>
              <w:rPr>
                <w:i/>
              </w:rPr>
              <w:t>Drillon</w:t>
            </w:r>
            <w:proofErr w:type="spellEnd"/>
          </w:p>
        </w:tc>
      </w:tr>
      <w:tr w:rsidRPr="00623E9E" w:rsidR="00623E9E" w:rsidTr="00A3780E" w14:paraId="1831ADE5" w14:textId="77777777">
        <w:tc>
          <w:tcPr>
            <w:tcW w:w="1418" w:type="dxa"/>
          </w:tcPr>
          <w:p w:rsidRPr="00623E9E" w:rsidR="00623E9E" w:rsidP="00BE1F8F" w:rsidRDefault="00623E9E" w14:paraId="0B867EF2" w14:textId="77777777">
            <w:pPr>
              <w:keepNext/>
              <w:keepLines/>
              <w:overflowPunct w:val="0"/>
              <w:autoSpaceDE w:val="0"/>
              <w:autoSpaceDN w:val="0"/>
              <w:adjustRightInd w:val="0"/>
              <w:textAlignment w:val="baseline"/>
              <w:rPr>
                <w:i/>
              </w:rPr>
            </w:pPr>
            <w:r>
              <w:rPr>
                <w:i/>
              </w:rPr>
              <w:t>Tel.</w:t>
            </w:r>
          </w:p>
        </w:tc>
        <w:tc>
          <w:tcPr>
            <w:tcW w:w="5670" w:type="dxa"/>
          </w:tcPr>
          <w:p w:rsidRPr="00623E9E" w:rsidR="00623E9E" w:rsidP="00BE1F8F" w:rsidRDefault="00623E9E" w14:paraId="41C0B021" w14:textId="77777777">
            <w:pPr>
              <w:keepNext/>
              <w:keepLines/>
              <w:overflowPunct w:val="0"/>
              <w:autoSpaceDE w:val="0"/>
              <w:autoSpaceDN w:val="0"/>
              <w:adjustRightInd w:val="0"/>
              <w:textAlignment w:val="baseline"/>
              <w:rPr>
                <w:i/>
              </w:rPr>
            </w:pPr>
            <w:r>
              <w:rPr>
                <w:i/>
              </w:rPr>
              <w:t>+32 2 546 8320</w:t>
            </w:r>
          </w:p>
        </w:tc>
      </w:tr>
      <w:tr w:rsidRPr="00623E9E" w:rsidR="00623E9E" w:rsidTr="00A3780E" w14:paraId="042D4108" w14:textId="77777777">
        <w:tc>
          <w:tcPr>
            <w:tcW w:w="1418" w:type="dxa"/>
          </w:tcPr>
          <w:p w:rsidRPr="00623E9E" w:rsidR="00623E9E" w:rsidP="00BE1F8F" w:rsidRDefault="00752F62" w14:paraId="44E8DDBE" w14:textId="17714177">
            <w:pPr>
              <w:overflowPunct w:val="0"/>
              <w:autoSpaceDE w:val="0"/>
              <w:autoSpaceDN w:val="0"/>
              <w:adjustRightInd w:val="0"/>
              <w:textAlignment w:val="baseline"/>
              <w:rPr>
                <w:i/>
              </w:rPr>
            </w:pPr>
            <w:r>
              <w:rPr>
                <w:i/>
              </w:rPr>
              <w:t>E-Mail</w:t>
            </w:r>
          </w:p>
        </w:tc>
        <w:tc>
          <w:tcPr>
            <w:tcW w:w="5670" w:type="dxa"/>
          </w:tcPr>
          <w:p w:rsidRPr="00623E9E" w:rsidR="00623E9E" w:rsidP="00BE1F8F" w:rsidRDefault="006A4D48" w14:paraId="348F9AAA" w14:textId="77777777">
            <w:pPr>
              <w:overflowPunct w:val="0"/>
              <w:autoSpaceDE w:val="0"/>
              <w:autoSpaceDN w:val="0"/>
              <w:adjustRightInd w:val="0"/>
              <w:textAlignment w:val="baseline"/>
              <w:rPr>
                <w:i/>
              </w:rPr>
            </w:pPr>
            <w:hyperlink w:history="1" r:id="rId56">
              <w:r w:rsidR="008A2164">
                <w:rPr>
                  <w:i/>
                  <w:color w:val="0000FF"/>
                  <w:u w:val="single"/>
                </w:rPr>
                <w:t>Marie-Laurence.Drillon@eesc.europa.eu</w:t>
              </w:r>
            </w:hyperlink>
          </w:p>
        </w:tc>
      </w:tr>
    </w:tbl>
    <w:p w:rsidR="000D394D" w:rsidP="00BE1F8F" w:rsidRDefault="00726351" w14:paraId="2E28EF19" w14:textId="70908071">
      <w:pPr>
        <w:jc w:val="center"/>
      </w:pPr>
      <w:r>
        <w:t>_____________</w:t>
      </w:r>
    </w:p>
    <w:sectPr w:rsidR="000D394D" w:rsidSect="00713105">
      <w:headerReference w:type="even" r:id="rId57"/>
      <w:headerReference w:type="default" r:id="rId58"/>
      <w:footerReference w:type="even" r:id="rId59"/>
      <w:footerReference w:type="default" r:id="rId60"/>
      <w:headerReference w:type="first" r:id="rId61"/>
      <w:footerReference w:type="first" r:id="rId62"/>
      <w:pgSz w:w="11907" w:h="1683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4C4" w14:textId="77777777" w:rsidR="00227559" w:rsidRDefault="00227559" w:rsidP="00B518C9">
      <w:pPr>
        <w:spacing w:line="240" w:lineRule="auto"/>
      </w:pPr>
      <w:r>
        <w:separator/>
      </w:r>
    </w:p>
    <w:p w14:paraId="3A5ED762" w14:textId="77777777" w:rsidR="00227559" w:rsidRDefault="00227559"/>
  </w:endnote>
  <w:endnote w:type="continuationSeparator" w:id="0">
    <w:p w14:paraId="4BCEBE6C" w14:textId="77777777" w:rsidR="00227559" w:rsidRDefault="00227559" w:rsidP="00B518C9">
      <w:pPr>
        <w:spacing w:line="240" w:lineRule="auto"/>
      </w:pPr>
      <w:r>
        <w:continuationSeparator/>
      </w:r>
    </w:p>
    <w:p w14:paraId="556C10CC" w14:textId="77777777" w:rsidR="00227559" w:rsidRDefault="0022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1E2A" w14:textId="77777777" w:rsidR="00F250D5" w:rsidRPr="00BE1F8F" w:rsidRDefault="00F250D5" w:rsidP="00BE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BA8DE2A" w:rsidR="00B518C9"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rsidR="008171FA">
      <w:t>1</w:t>
    </w:r>
    <w:r>
      <w:fldChar w:fldCharType="end"/>
    </w:r>
    <w:r>
      <w:t>/</w:t>
    </w:r>
    <w:fldSimple w:instr=" NUMPAGES ">
      <w:r w:rsidR="008171F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74A4" w14:textId="77777777" w:rsidR="00F250D5" w:rsidRPr="00BE1F8F" w:rsidRDefault="00F250D5" w:rsidP="00BE1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0EDD" w14:textId="77777777" w:rsidR="0067428C" w:rsidRPr="00BE1F8F" w:rsidRDefault="0067428C" w:rsidP="00BE1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1A8F1C6B" w:rsidR="0067428C"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BE1F8F" w:rsidRDefault="00EE160A" w:rsidP="00BE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5884" w14:textId="77777777" w:rsidR="00227559" w:rsidRDefault="00227559" w:rsidP="00B518C9">
      <w:pPr>
        <w:spacing w:line="240" w:lineRule="auto"/>
      </w:pPr>
      <w:r>
        <w:separator/>
      </w:r>
    </w:p>
    <w:p w14:paraId="68988782" w14:textId="77777777" w:rsidR="00227559" w:rsidRDefault="00227559"/>
  </w:footnote>
  <w:footnote w:type="continuationSeparator" w:id="0">
    <w:p w14:paraId="39883EF1" w14:textId="77777777" w:rsidR="00227559" w:rsidRDefault="00227559" w:rsidP="00B518C9">
      <w:pPr>
        <w:spacing w:line="240" w:lineRule="auto"/>
      </w:pPr>
      <w:r>
        <w:continuationSeparator/>
      </w:r>
    </w:p>
    <w:p w14:paraId="3AE36317" w14:textId="77777777" w:rsidR="00227559" w:rsidRDefault="00227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D47C" w14:textId="77777777" w:rsidR="00F250D5" w:rsidRPr="00BE1F8F" w:rsidRDefault="00F250D5" w:rsidP="00BE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8CD0" w14:textId="26DDA75F" w:rsidR="00F250D5" w:rsidRPr="00BE1F8F" w:rsidRDefault="00F250D5" w:rsidP="00BE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6853" w14:textId="77777777" w:rsidR="00F250D5" w:rsidRPr="00BE1F8F" w:rsidRDefault="00F250D5" w:rsidP="00BE1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C30" w14:textId="77777777" w:rsidR="0067428C" w:rsidRPr="00BE1F8F" w:rsidRDefault="0067428C" w:rsidP="00BE1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3724526D" w:rsidR="0067428C" w:rsidRPr="00BE1F8F" w:rsidRDefault="0067428C" w:rsidP="00BE1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BE1F8F" w:rsidRDefault="00EE160A" w:rsidP="00BE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E06ABCBE"/>
    <w:lvl w:ilvl="0">
      <w:numFmt w:val="decimal"/>
      <w:lvlText w:val="*"/>
      <w:lvlJc w:val="left"/>
    </w:lvl>
  </w:abstractNum>
  <w:abstractNum w:abstractNumId="2" w15:restartNumberingAfterBreak="0">
    <w:nsid w:val="003B78BD"/>
    <w:multiLevelType w:val="hybridMultilevel"/>
    <w:tmpl w:val="66DEF13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17F16A7"/>
    <w:multiLevelType w:val="hybridMultilevel"/>
    <w:tmpl w:val="7612248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F1F91"/>
    <w:multiLevelType w:val="hybridMultilevel"/>
    <w:tmpl w:val="991EBB24"/>
    <w:lvl w:ilvl="0" w:tplc="FFFFFFFF">
      <w:start w:val="1"/>
      <w:numFmt w:val="bullet"/>
      <w:lvlText w:val="o"/>
      <w:lvlJc w:val="left"/>
      <w:pPr>
        <w:ind w:left="720" w:hanging="360"/>
      </w:pPr>
      <w:rPr>
        <w:rFonts w:ascii="Courier New" w:hAnsi="Courier New" w:cs="Courier New" w:hint="default"/>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53A5C"/>
    <w:multiLevelType w:val="hybridMultilevel"/>
    <w:tmpl w:val="2CB206D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80A122A"/>
    <w:multiLevelType w:val="hybridMultilevel"/>
    <w:tmpl w:val="0BB8EE18"/>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475CB"/>
    <w:multiLevelType w:val="hybridMultilevel"/>
    <w:tmpl w:val="7BFE4DA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CDE4774"/>
    <w:multiLevelType w:val="hybridMultilevel"/>
    <w:tmpl w:val="37BA4F4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0F77DDB"/>
    <w:multiLevelType w:val="hybridMultilevel"/>
    <w:tmpl w:val="33DC05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4116E1"/>
    <w:multiLevelType w:val="hybridMultilevel"/>
    <w:tmpl w:val="DFE84AE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883396"/>
    <w:multiLevelType w:val="hybridMultilevel"/>
    <w:tmpl w:val="5EC05AF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BBA7630"/>
    <w:multiLevelType w:val="singleLevel"/>
    <w:tmpl w:val="20000001"/>
    <w:lvl w:ilvl="0">
      <w:start w:val="1"/>
      <w:numFmt w:val="bullet"/>
      <w:lvlText w:val=""/>
      <w:lvlJc w:val="left"/>
      <w:pPr>
        <w:ind w:left="720" w:hanging="360"/>
      </w:pPr>
      <w:rPr>
        <w:rFonts w:ascii="Symbol" w:hAnsi="Symbol" w:hint="default"/>
      </w:rPr>
    </w:lvl>
  </w:abstractNum>
  <w:abstractNum w:abstractNumId="13" w15:restartNumberingAfterBreak="0">
    <w:nsid w:val="1C4658E6"/>
    <w:multiLevelType w:val="hybridMultilevel"/>
    <w:tmpl w:val="874629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E5D0EFB"/>
    <w:multiLevelType w:val="hybridMultilevel"/>
    <w:tmpl w:val="FC00356E"/>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FFA70D8"/>
    <w:multiLevelType w:val="hybridMultilevel"/>
    <w:tmpl w:val="81BC6AF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4202159"/>
    <w:multiLevelType w:val="hybridMultilevel"/>
    <w:tmpl w:val="02F2492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158AC"/>
    <w:multiLevelType w:val="multilevel"/>
    <w:tmpl w:val="0BC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0375C3D"/>
    <w:multiLevelType w:val="hybridMultilevel"/>
    <w:tmpl w:val="A06E2070"/>
    <w:lvl w:ilvl="0" w:tplc="8E864B0C">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27B5574"/>
    <w:multiLevelType w:val="hybridMultilevel"/>
    <w:tmpl w:val="1854AB3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35F41A11"/>
    <w:multiLevelType w:val="hybridMultilevel"/>
    <w:tmpl w:val="BF64D86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C60B2F"/>
    <w:multiLevelType w:val="hybridMultilevel"/>
    <w:tmpl w:val="76C615E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418E1E35"/>
    <w:multiLevelType w:val="multilevel"/>
    <w:tmpl w:val="972E55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3467D"/>
    <w:multiLevelType w:val="hybridMultilevel"/>
    <w:tmpl w:val="A724B3C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12C5B"/>
    <w:multiLevelType w:val="hybridMultilevel"/>
    <w:tmpl w:val="A59A9AF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52CA61C9"/>
    <w:multiLevelType w:val="hybridMultilevel"/>
    <w:tmpl w:val="6F5442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4382302"/>
    <w:multiLevelType w:val="hybridMultilevel"/>
    <w:tmpl w:val="13C23AD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F92C6D"/>
    <w:multiLevelType w:val="hybridMultilevel"/>
    <w:tmpl w:val="246A71BC"/>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5928275E"/>
    <w:multiLevelType w:val="hybridMultilevel"/>
    <w:tmpl w:val="F3E2DFF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9CD5CD1"/>
    <w:multiLevelType w:val="hybridMultilevel"/>
    <w:tmpl w:val="EA264F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5D195562"/>
    <w:multiLevelType w:val="hybridMultilevel"/>
    <w:tmpl w:val="916C50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F522C"/>
    <w:multiLevelType w:val="hybridMultilevel"/>
    <w:tmpl w:val="FAC885D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7D1E3D"/>
    <w:multiLevelType w:val="hybridMultilevel"/>
    <w:tmpl w:val="8BEA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D11A3"/>
    <w:multiLevelType w:val="singleLevel"/>
    <w:tmpl w:val="C97AF652"/>
    <w:lvl w:ilvl="0">
      <w:numFmt w:val="decimal"/>
      <w:lvlText w:val="*"/>
      <w:lvlJc w:val="left"/>
    </w:lvl>
  </w:abstractNum>
  <w:abstractNum w:abstractNumId="38" w15:restartNumberingAfterBreak="0">
    <w:nsid w:val="6C3C7753"/>
    <w:multiLevelType w:val="hybridMultilevel"/>
    <w:tmpl w:val="F4C60320"/>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F781A53"/>
    <w:multiLevelType w:val="hybridMultilevel"/>
    <w:tmpl w:val="20F6F7E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2EB051D"/>
    <w:multiLevelType w:val="hybridMultilevel"/>
    <w:tmpl w:val="D5B6578A"/>
    <w:lvl w:ilvl="0" w:tplc="8E864B0C">
      <w:start w:val="1"/>
      <w:numFmt w:val="bullet"/>
      <w:lvlText w:val=""/>
      <w:lvlJc w:val="left"/>
      <w:pPr>
        <w:ind w:left="567" w:hanging="283"/>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E085AB1"/>
    <w:multiLevelType w:val="hybridMultilevel"/>
    <w:tmpl w:val="06FC5AF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7E1A7F53"/>
    <w:multiLevelType w:val="hybridMultilevel"/>
    <w:tmpl w:val="B080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
    <w:lvlOverride w:ilvl="0">
      <w:lvl w:ilvl="0">
        <w:start w:val="1"/>
        <w:numFmt w:val="bullet"/>
        <w:lvlText w:val=""/>
        <w:lvlJc w:val="left"/>
        <w:pPr>
          <w:ind w:left="720" w:hanging="360"/>
        </w:pPr>
        <w:rPr>
          <w:rFonts w:ascii="Symbol" w:hAnsi="Symbol" w:hint="default"/>
          <w:color w:val="auto"/>
        </w:rPr>
      </w:lvl>
    </w:lvlOverride>
  </w:num>
  <w:num w:numId="4">
    <w:abstractNumId w:val="17"/>
  </w:num>
  <w:num w:numId="5">
    <w:abstractNumId w:val="30"/>
  </w:num>
  <w:num w:numId="6">
    <w:abstractNumId w:val="20"/>
  </w:num>
  <w:num w:numId="7">
    <w:abstractNumId w:val="18"/>
  </w:num>
  <w:num w:numId="8">
    <w:abstractNumId w:val="28"/>
  </w:num>
  <w:num w:numId="9">
    <w:abstractNumId w:val="34"/>
  </w:num>
  <w:num w:numId="10">
    <w:abstractNumId w:val="12"/>
  </w:num>
  <w:num w:numId="11">
    <w:abstractNumId w:val="37"/>
  </w:num>
  <w:num w:numId="12">
    <w:abstractNumId w:val="35"/>
  </w:num>
  <w:num w:numId="13">
    <w:abstractNumId w:val="9"/>
  </w:num>
  <w:num w:numId="14">
    <w:abstractNumId w:val="19"/>
  </w:num>
  <w:num w:numId="15">
    <w:abstractNumId w:val="2"/>
  </w:num>
  <w:num w:numId="16">
    <w:abstractNumId w:val="42"/>
  </w:num>
  <w:num w:numId="17">
    <w:abstractNumId w:val="36"/>
  </w:num>
  <w:num w:numId="18">
    <w:abstractNumId w:val="40"/>
  </w:num>
  <w:num w:numId="19">
    <w:abstractNumId w:val="27"/>
  </w:num>
  <w:num w:numId="20">
    <w:abstractNumId w:val="15"/>
  </w:num>
  <w:num w:numId="21">
    <w:abstractNumId w:val="29"/>
  </w:num>
  <w:num w:numId="22">
    <w:abstractNumId w:val="16"/>
  </w:num>
  <w:num w:numId="23">
    <w:abstractNumId w:val="7"/>
  </w:num>
  <w:num w:numId="24">
    <w:abstractNumId w:val="6"/>
  </w:num>
  <w:num w:numId="25">
    <w:abstractNumId w:val="8"/>
  </w:num>
  <w:num w:numId="26">
    <w:abstractNumId w:val="26"/>
  </w:num>
  <w:num w:numId="27">
    <w:abstractNumId w:val="10"/>
  </w:num>
  <w:num w:numId="28">
    <w:abstractNumId w:val="22"/>
  </w:num>
  <w:num w:numId="29">
    <w:abstractNumId w:val="41"/>
  </w:num>
  <w:num w:numId="30">
    <w:abstractNumId w:val="11"/>
  </w:num>
  <w:num w:numId="31">
    <w:abstractNumId w:val="13"/>
  </w:num>
  <w:num w:numId="32">
    <w:abstractNumId w:val="33"/>
  </w:num>
  <w:num w:numId="33">
    <w:abstractNumId w:val="25"/>
  </w:num>
  <w:num w:numId="34">
    <w:abstractNumId w:val="24"/>
  </w:num>
  <w:num w:numId="35">
    <w:abstractNumId w:val="23"/>
  </w:num>
  <w:num w:numId="36">
    <w:abstractNumId w:val="4"/>
  </w:num>
  <w:num w:numId="37">
    <w:abstractNumId w:val="21"/>
  </w:num>
  <w:num w:numId="38">
    <w:abstractNumId w:val="32"/>
  </w:num>
  <w:num w:numId="39">
    <w:abstractNumId w:val="39"/>
  </w:num>
  <w:num w:numId="40">
    <w:abstractNumId w:val="38"/>
  </w:num>
  <w:num w:numId="41">
    <w:abstractNumId w:val="31"/>
  </w:num>
  <w:num w:numId="42">
    <w:abstractNumId w:val="14"/>
  </w:num>
  <w:num w:numId="43">
    <w:abstractNumId w:val="5"/>
  </w:num>
  <w:num w:numId="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62A"/>
    <w:rsid w:val="00010A4D"/>
    <w:rsid w:val="00032230"/>
    <w:rsid w:val="0005257A"/>
    <w:rsid w:val="00063DFF"/>
    <w:rsid w:val="00077D3D"/>
    <w:rsid w:val="00083115"/>
    <w:rsid w:val="000857F2"/>
    <w:rsid w:val="00093B0F"/>
    <w:rsid w:val="000A2214"/>
    <w:rsid w:val="000A6A5A"/>
    <w:rsid w:val="000B40B4"/>
    <w:rsid w:val="000D394D"/>
    <w:rsid w:val="000D43E1"/>
    <w:rsid w:val="000D533F"/>
    <w:rsid w:val="000E4936"/>
    <w:rsid w:val="00107677"/>
    <w:rsid w:val="001131B6"/>
    <w:rsid w:val="00114665"/>
    <w:rsid w:val="00114D45"/>
    <w:rsid w:val="00116EE0"/>
    <w:rsid w:val="001208E1"/>
    <w:rsid w:val="00126764"/>
    <w:rsid w:val="0015044C"/>
    <w:rsid w:val="0015267F"/>
    <w:rsid w:val="00154A6C"/>
    <w:rsid w:val="00157297"/>
    <w:rsid w:val="001638E9"/>
    <w:rsid w:val="00175F5A"/>
    <w:rsid w:val="001826A4"/>
    <w:rsid w:val="0018354A"/>
    <w:rsid w:val="001900C9"/>
    <w:rsid w:val="00195DF6"/>
    <w:rsid w:val="001C0AB9"/>
    <w:rsid w:val="001C4BA5"/>
    <w:rsid w:val="001C5762"/>
    <w:rsid w:val="001E391D"/>
    <w:rsid w:val="0020320E"/>
    <w:rsid w:val="00204020"/>
    <w:rsid w:val="00217685"/>
    <w:rsid w:val="00225BB6"/>
    <w:rsid w:val="00227559"/>
    <w:rsid w:val="00232656"/>
    <w:rsid w:val="00247F8B"/>
    <w:rsid w:val="002538AC"/>
    <w:rsid w:val="00264FC2"/>
    <w:rsid w:val="0027707F"/>
    <w:rsid w:val="00293191"/>
    <w:rsid w:val="002A5636"/>
    <w:rsid w:val="002A61F5"/>
    <w:rsid w:val="002B7981"/>
    <w:rsid w:val="002E05A2"/>
    <w:rsid w:val="00302537"/>
    <w:rsid w:val="003066BE"/>
    <w:rsid w:val="00321FDD"/>
    <w:rsid w:val="003227CC"/>
    <w:rsid w:val="003232BE"/>
    <w:rsid w:val="00343F74"/>
    <w:rsid w:val="003442FB"/>
    <w:rsid w:val="00366FB1"/>
    <w:rsid w:val="00382A22"/>
    <w:rsid w:val="00392B2D"/>
    <w:rsid w:val="003A4752"/>
    <w:rsid w:val="003B3B1A"/>
    <w:rsid w:val="003C2964"/>
    <w:rsid w:val="003F326D"/>
    <w:rsid w:val="003F4AD5"/>
    <w:rsid w:val="003F79EF"/>
    <w:rsid w:val="00402449"/>
    <w:rsid w:val="0041135D"/>
    <w:rsid w:val="00421AAB"/>
    <w:rsid w:val="004229C4"/>
    <w:rsid w:val="004255DD"/>
    <w:rsid w:val="0043191A"/>
    <w:rsid w:val="00435AEF"/>
    <w:rsid w:val="00444504"/>
    <w:rsid w:val="00465FCD"/>
    <w:rsid w:val="00486DAE"/>
    <w:rsid w:val="004A5CD7"/>
    <w:rsid w:val="004C2B61"/>
    <w:rsid w:val="004D0539"/>
    <w:rsid w:val="004D7AC0"/>
    <w:rsid w:val="004E3508"/>
    <w:rsid w:val="004E411F"/>
    <w:rsid w:val="004F23ED"/>
    <w:rsid w:val="004F2989"/>
    <w:rsid w:val="0052107B"/>
    <w:rsid w:val="005234CD"/>
    <w:rsid w:val="00532089"/>
    <w:rsid w:val="005404CB"/>
    <w:rsid w:val="005820A0"/>
    <w:rsid w:val="00586B4B"/>
    <w:rsid w:val="005873B0"/>
    <w:rsid w:val="005904B2"/>
    <w:rsid w:val="00592F07"/>
    <w:rsid w:val="00593C9F"/>
    <w:rsid w:val="005A0BDA"/>
    <w:rsid w:val="005A3D14"/>
    <w:rsid w:val="005A4C58"/>
    <w:rsid w:val="005B5258"/>
    <w:rsid w:val="005C66E1"/>
    <w:rsid w:val="005E43B3"/>
    <w:rsid w:val="005E7651"/>
    <w:rsid w:val="005F41D0"/>
    <w:rsid w:val="005F55DC"/>
    <w:rsid w:val="00623E9E"/>
    <w:rsid w:val="00625CA3"/>
    <w:rsid w:val="00627052"/>
    <w:rsid w:val="00630D51"/>
    <w:rsid w:val="00641262"/>
    <w:rsid w:val="00652335"/>
    <w:rsid w:val="0067428C"/>
    <w:rsid w:val="006825FC"/>
    <w:rsid w:val="00691BA5"/>
    <w:rsid w:val="006A4D48"/>
    <w:rsid w:val="006B21A0"/>
    <w:rsid w:val="006C0A65"/>
    <w:rsid w:val="006C533B"/>
    <w:rsid w:val="006C6ECE"/>
    <w:rsid w:val="006D16C7"/>
    <w:rsid w:val="006D1DFA"/>
    <w:rsid w:val="006D2C8A"/>
    <w:rsid w:val="006D2D64"/>
    <w:rsid w:val="006E2EF5"/>
    <w:rsid w:val="006E62F7"/>
    <w:rsid w:val="006F1989"/>
    <w:rsid w:val="00713105"/>
    <w:rsid w:val="00720580"/>
    <w:rsid w:val="00726351"/>
    <w:rsid w:val="00740BE9"/>
    <w:rsid w:val="007448E4"/>
    <w:rsid w:val="00752F62"/>
    <w:rsid w:val="00754027"/>
    <w:rsid w:val="007554BE"/>
    <w:rsid w:val="007601EB"/>
    <w:rsid w:val="00766B1A"/>
    <w:rsid w:val="00770B4A"/>
    <w:rsid w:val="00773E8D"/>
    <w:rsid w:val="00777195"/>
    <w:rsid w:val="0079405E"/>
    <w:rsid w:val="00795836"/>
    <w:rsid w:val="007A0964"/>
    <w:rsid w:val="007A0BE6"/>
    <w:rsid w:val="007B1DCA"/>
    <w:rsid w:val="007C1ABC"/>
    <w:rsid w:val="007D30C1"/>
    <w:rsid w:val="007F5784"/>
    <w:rsid w:val="00812095"/>
    <w:rsid w:val="008171FA"/>
    <w:rsid w:val="0083181F"/>
    <w:rsid w:val="00832938"/>
    <w:rsid w:val="00840FC8"/>
    <w:rsid w:val="008413EF"/>
    <w:rsid w:val="0084417F"/>
    <w:rsid w:val="008452C8"/>
    <w:rsid w:val="00845F24"/>
    <w:rsid w:val="00850929"/>
    <w:rsid w:val="00860DE0"/>
    <w:rsid w:val="00864670"/>
    <w:rsid w:val="00865A78"/>
    <w:rsid w:val="00866666"/>
    <w:rsid w:val="0086679E"/>
    <w:rsid w:val="00871DCF"/>
    <w:rsid w:val="008752F5"/>
    <w:rsid w:val="008761FA"/>
    <w:rsid w:val="0088219D"/>
    <w:rsid w:val="00892F37"/>
    <w:rsid w:val="008A2164"/>
    <w:rsid w:val="008B5FC5"/>
    <w:rsid w:val="008B7F9B"/>
    <w:rsid w:val="008C5361"/>
    <w:rsid w:val="008C7452"/>
    <w:rsid w:val="008D0303"/>
    <w:rsid w:val="008D05C8"/>
    <w:rsid w:val="008D44E2"/>
    <w:rsid w:val="0090254F"/>
    <w:rsid w:val="00904A22"/>
    <w:rsid w:val="00910C90"/>
    <w:rsid w:val="009144BA"/>
    <w:rsid w:val="00941874"/>
    <w:rsid w:val="0094356F"/>
    <w:rsid w:val="00945147"/>
    <w:rsid w:val="00980902"/>
    <w:rsid w:val="0098098F"/>
    <w:rsid w:val="00981AAC"/>
    <w:rsid w:val="00996457"/>
    <w:rsid w:val="009A2569"/>
    <w:rsid w:val="009B04E2"/>
    <w:rsid w:val="009B199C"/>
    <w:rsid w:val="009B596B"/>
    <w:rsid w:val="009C3A5E"/>
    <w:rsid w:val="009D7E2D"/>
    <w:rsid w:val="009E747C"/>
    <w:rsid w:val="00A02A59"/>
    <w:rsid w:val="00A073FB"/>
    <w:rsid w:val="00A124AE"/>
    <w:rsid w:val="00A20E9D"/>
    <w:rsid w:val="00A230A4"/>
    <w:rsid w:val="00A26A65"/>
    <w:rsid w:val="00A272B2"/>
    <w:rsid w:val="00A30FAD"/>
    <w:rsid w:val="00A33529"/>
    <w:rsid w:val="00A50553"/>
    <w:rsid w:val="00A5081E"/>
    <w:rsid w:val="00A512D0"/>
    <w:rsid w:val="00A71030"/>
    <w:rsid w:val="00A81F18"/>
    <w:rsid w:val="00A832E6"/>
    <w:rsid w:val="00A94349"/>
    <w:rsid w:val="00AC7540"/>
    <w:rsid w:val="00AD28C9"/>
    <w:rsid w:val="00AE5791"/>
    <w:rsid w:val="00AF6DC1"/>
    <w:rsid w:val="00AF7CA7"/>
    <w:rsid w:val="00B11B7E"/>
    <w:rsid w:val="00B16AE4"/>
    <w:rsid w:val="00B203DA"/>
    <w:rsid w:val="00B21DC6"/>
    <w:rsid w:val="00B227BF"/>
    <w:rsid w:val="00B47C02"/>
    <w:rsid w:val="00B518C9"/>
    <w:rsid w:val="00B51A72"/>
    <w:rsid w:val="00B73BE7"/>
    <w:rsid w:val="00B80EC0"/>
    <w:rsid w:val="00B83272"/>
    <w:rsid w:val="00B8503F"/>
    <w:rsid w:val="00B87220"/>
    <w:rsid w:val="00B95DFE"/>
    <w:rsid w:val="00B97319"/>
    <w:rsid w:val="00BA081D"/>
    <w:rsid w:val="00BA2F3D"/>
    <w:rsid w:val="00BA71AC"/>
    <w:rsid w:val="00BB020C"/>
    <w:rsid w:val="00BB1131"/>
    <w:rsid w:val="00BB118B"/>
    <w:rsid w:val="00BB17B1"/>
    <w:rsid w:val="00BB7501"/>
    <w:rsid w:val="00BC003D"/>
    <w:rsid w:val="00BC15D3"/>
    <w:rsid w:val="00BC1D26"/>
    <w:rsid w:val="00BC5818"/>
    <w:rsid w:val="00BC6AA1"/>
    <w:rsid w:val="00BD3C24"/>
    <w:rsid w:val="00BD6AD8"/>
    <w:rsid w:val="00BE1F8F"/>
    <w:rsid w:val="00BE37B5"/>
    <w:rsid w:val="00BE54B3"/>
    <w:rsid w:val="00C008B4"/>
    <w:rsid w:val="00C05074"/>
    <w:rsid w:val="00C17ABD"/>
    <w:rsid w:val="00C26C67"/>
    <w:rsid w:val="00C3059A"/>
    <w:rsid w:val="00C4084F"/>
    <w:rsid w:val="00C417FE"/>
    <w:rsid w:val="00C43D3E"/>
    <w:rsid w:val="00C52092"/>
    <w:rsid w:val="00C63C88"/>
    <w:rsid w:val="00C65E51"/>
    <w:rsid w:val="00C65EA7"/>
    <w:rsid w:val="00C67580"/>
    <w:rsid w:val="00C67D5A"/>
    <w:rsid w:val="00C77862"/>
    <w:rsid w:val="00C804F4"/>
    <w:rsid w:val="00C8173B"/>
    <w:rsid w:val="00C821A5"/>
    <w:rsid w:val="00C87D91"/>
    <w:rsid w:val="00C94866"/>
    <w:rsid w:val="00CC44CF"/>
    <w:rsid w:val="00CF233F"/>
    <w:rsid w:val="00D03AEC"/>
    <w:rsid w:val="00D1047D"/>
    <w:rsid w:val="00D24919"/>
    <w:rsid w:val="00D26CB8"/>
    <w:rsid w:val="00D43613"/>
    <w:rsid w:val="00D5795F"/>
    <w:rsid w:val="00D615E8"/>
    <w:rsid w:val="00D63232"/>
    <w:rsid w:val="00D6450A"/>
    <w:rsid w:val="00D66820"/>
    <w:rsid w:val="00D7076A"/>
    <w:rsid w:val="00D7172A"/>
    <w:rsid w:val="00D81F5E"/>
    <w:rsid w:val="00D92269"/>
    <w:rsid w:val="00D92715"/>
    <w:rsid w:val="00DC329C"/>
    <w:rsid w:val="00DC348C"/>
    <w:rsid w:val="00DC45BC"/>
    <w:rsid w:val="00DE176A"/>
    <w:rsid w:val="00DE2D96"/>
    <w:rsid w:val="00DE7710"/>
    <w:rsid w:val="00DF0344"/>
    <w:rsid w:val="00DF3CEF"/>
    <w:rsid w:val="00E00A6B"/>
    <w:rsid w:val="00E13806"/>
    <w:rsid w:val="00E14D8E"/>
    <w:rsid w:val="00E16E3C"/>
    <w:rsid w:val="00E348EA"/>
    <w:rsid w:val="00E44ADA"/>
    <w:rsid w:val="00E55DDF"/>
    <w:rsid w:val="00E57BB9"/>
    <w:rsid w:val="00E624FB"/>
    <w:rsid w:val="00E77899"/>
    <w:rsid w:val="00E83667"/>
    <w:rsid w:val="00E9219E"/>
    <w:rsid w:val="00EA3596"/>
    <w:rsid w:val="00EB5E2E"/>
    <w:rsid w:val="00EB629E"/>
    <w:rsid w:val="00EC0F9A"/>
    <w:rsid w:val="00EC5572"/>
    <w:rsid w:val="00ED1DE3"/>
    <w:rsid w:val="00EE160A"/>
    <w:rsid w:val="00EE5F16"/>
    <w:rsid w:val="00EF40DB"/>
    <w:rsid w:val="00F02BB5"/>
    <w:rsid w:val="00F23122"/>
    <w:rsid w:val="00F250D5"/>
    <w:rsid w:val="00F54496"/>
    <w:rsid w:val="00F54B68"/>
    <w:rsid w:val="00F60997"/>
    <w:rsid w:val="00F617CE"/>
    <w:rsid w:val="00F70422"/>
    <w:rsid w:val="00F83C17"/>
    <w:rsid w:val="00F84774"/>
    <w:rsid w:val="00F93648"/>
    <w:rsid w:val="00F96D7F"/>
    <w:rsid w:val="00FA33C4"/>
    <w:rsid w:val="00FA4B28"/>
    <w:rsid w:val="00FA7642"/>
    <w:rsid w:val="00FA7854"/>
    <w:rsid w:val="00FC456F"/>
    <w:rsid w:val="00FD106B"/>
    <w:rsid w:val="00FD5458"/>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131B6"/>
    <w:rPr>
      <w:color w:val="605E5C"/>
      <w:shd w:val="clear" w:color="auto" w:fill="E1DFDD"/>
    </w:rPr>
  </w:style>
  <w:style w:type="paragraph" w:styleId="ListParagraph">
    <w:name w:val="List Paragraph"/>
    <w:basedOn w:val="Normal"/>
    <w:uiPriority w:val="34"/>
    <w:qFormat/>
    <w:rsid w:val="00652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de/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rald.Klec@eesc.europa.eu" TargetMode="External"/><Relationship Id="rId39" Type="http://schemas.openxmlformats.org/officeDocument/2006/relationships/hyperlink" Target="https://www.eesc.europa.eu/de/initiatives/eu-youth-test-eesc" TargetMode="External"/><Relationship Id="rId21" Type="http://schemas.openxmlformats.org/officeDocument/2006/relationships/hyperlink" Target="https://www.eesc.europa.eu/de/our-work/opinions-information-reports/opinions/2025-european-semester-autumn-package" TargetMode="External"/><Relationship Id="rId34" Type="http://schemas.openxmlformats.org/officeDocument/2006/relationships/hyperlink" Target="mailto:Gabriela.Grasu@eesc.europa.eu" TargetMode="External"/><Relationship Id="rId42" Type="http://schemas.openxmlformats.org/officeDocument/2006/relationships/hyperlink" Target="https://www.eesc.europa.eu/de/our-work/opinions-information-reports/opinions/assessment-letta-and-draghi-reports-functioning-and-competitiveness-eus-single-market" TargetMode="External"/><Relationship Id="rId47" Type="http://schemas.openxmlformats.org/officeDocument/2006/relationships/hyperlink" Target="https://www.eesc.europa.eu/de/our-work/opinions-information-reports/opinions/services-sector-european-union"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de/our-work/opinions-information-reports/opinions/contribution-robotics-metaverse-medical-sector"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de/our-work/opinions-information-reports/opinions/addressing-loneliness-cementing-measures-demographic-cohesion"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Grasu.Gabriela@eesc.europa.eu" TargetMode="External"/><Relationship Id="rId37" Type="http://schemas.openxmlformats.org/officeDocument/2006/relationships/hyperlink" Target="mailto:Albert.Precup@eesc.europa.eu"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de/our-work/opinions-information-reports/opinions/competitiveness-eus-small-and-medium-sized-enterprises-light-new-administrative-burdensobligations" TargetMode="External"/><Relationship Id="rId53" Type="http://schemas.openxmlformats.org/officeDocument/2006/relationships/hyperlink" Target="https://www.eesc.europa.eu/de/our-work/opinions-information-reports/opinions/ensuring-sustainable-food-production-and-fair-income-european-farmers-face-market-environmental-and-climate-challenges" TargetMode="External"/><Relationship Id="rId58" Type="http://schemas.openxmlformats.org/officeDocument/2006/relationships/header" Target="header5.xml"/><Relationship Id="rId66" Type="http://schemas.openxmlformats.org/officeDocument/2006/relationships/customXml" Target="../customXml/item2.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Anna.Pantazi@eesc.europa.eu" TargetMode="External"/><Relationship Id="rId27" Type="http://schemas.openxmlformats.org/officeDocument/2006/relationships/hyperlink" Target="https://www.eesc.europa.eu/de/our-work/opinions-information-reports/opinions/strengthening-results-orientation-post-2027-cohesion-policy-challenges-risks-and-opportunities" TargetMode="External"/><Relationship Id="rId30" Type="http://schemas.openxmlformats.org/officeDocument/2006/relationships/hyperlink" Target="mailto:Valeria.Atzori@eesc.europa.eu" TargetMode="External"/><Relationship Id="rId35" Type="http://schemas.openxmlformats.org/officeDocument/2006/relationships/hyperlink" Target="mailto:Triin.AasmaaGomes@eesc.europa.eu" TargetMode="External"/><Relationship Id="rId43" Type="http://schemas.openxmlformats.org/officeDocument/2006/relationships/hyperlink" Target="mailto:Annalisa.Tessarolo@eesc.europa.eu" TargetMode="External"/><Relationship Id="rId48" Type="http://schemas.openxmlformats.org/officeDocument/2006/relationships/hyperlink" Target="mailto:Annalisa.Tessarolo@eesc.europa.eu" TargetMode="External"/><Relationship Id="rId56" Type="http://schemas.openxmlformats.org/officeDocument/2006/relationships/hyperlink" Target="mailto:Marie-Laurence.Drillon@eesc.europa.eu"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de/our-work/opinions-information-reports/opinions/tourism-eu-social-sustainability-driver-long-term-competitiveness-sector"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de/our-work/opinions-information-reports/opinions/defence-funding-eu" TargetMode="External"/><Relationship Id="rId33" Type="http://schemas.openxmlformats.org/officeDocument/2006/relationships/hyperlink" Target="https://www.eesc.europa.eu/de/our-work/opinions-information-reports/opinions/eesc-contribution-eus-priorities-uncsw69" TargetMode="External"/><Relationship Id="rId38" Type="http://schemas.openxmlformats.org/officeDocument/2006/relationships/hyperlink" Target="https://www.eesc.europa.eu/de/our-work/opinions-information-reports/opinions/consumer-protection-and-impact-digital-and-green-transitions-consumers" TargetMode="External"/><Relationship Id="rId46" Type="http://schemas.openxmlformats.org/officeDocument/2006/relationships/hyperlink" Target="mailto:Marco.Manfroni@eesc.europa.eu" TargetMode="External"/><Relationship Id="rId59" Type="http://schemas.openxmlformats.org/officeDocument/2006/relationships/footer" Target="footer4.xml"/><Relationship Id="rId67" Type="http://schemas.openxmlformats.org/officeDocument/2006/relationships/customXml" Target="../customXml/item3.xml"/><Relationship Id="rId20" Type="http://schemas.openxmlformats.org/officeDocument/2006/relationships/footer" Target="footer3.xml"/><Relationship Id="rId41" Type="http://schemas.openxmlformats.org/officeDocument/2006/relationships/hyperlink" Target="mailto:Yousra.Asbounielouahabi@eesc.europa.eu" TargetMode="External"/><Relationship Id="rId54" Type="http://schemas.openxmlformats.org/officeDocument/2006/relationships/hyperlink" Target="mailto:Myrto.Kolyva@eesc.europa.eu" TargetMode="External"/><Relationship Id="rId62" Type="http://schemas.openxmlformats.org/officeDocument/2006/relationships/footer" Target="foot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de/our-work/opinions-information-reports/opinions/administrative-cooperation-field-taxation-dac9" TargetMode="External"/><Relationship Id="rId28" Type="http://schemas.openxmlformats.org/officeDocument/2006/relationships/hyperlink" Target="mailto:Georgios.Meleas@eesc.europa.eu" TargetMode="External"/><Relationship Id="rId36" Type="http://schemas.openxmlformats.org/officeDocument/2006/relationships/hyperlink" Target="https://www.eesc.europa.eu/de/our-work/opinions-information-reports/opinions/physical-completion-eus-internal-market-new-geopolitical-situation" TargetMode="External"/><Relationship Id="rId49" Type="http://schemas.openxmlformats.org/officeDocument/2006/relationships/hyperlink" Target="https://www.eesc.europa.eu/de/our-work/opinions-information-reports/opinions/future-eu-industry-face-high-energy-prices-and-transition-costs"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www.eesc.europa.eu/de/our-work/opinions-information-reports/opinions/violence-against-women-human-rights-issue-state-play-measures-across-eu"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footer" Target="footer5.xml"/><Relationship Id="rId65" Type="http://schemas.openxmlformats.org/officeDocument/2006/relationships/customXml" Target="../customXml/item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A6WAAD5KZT2Q-604569563-4847</_dlc_DocId>
    <_dlc_DocIdUrl xmlns="1a33af13-4045-4f88-9d7b-618e30f79918">
      <Url>http://dm/eesc/2025/_layouts/15/DocIdRedir.aspx?ID=A6WAAD5KZT2Q-604569563-4847</Url>
      <Description>A6WAAD5KZT2Q-604569563-4847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2025-03-14T12:00:00+00:00</ProductionDate>
    <DocumentNumber xmlns="be3ca9a7-9286-4008-99ec-aebc20da9dc2">345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2534</FicheNumber>
    <OriginalSender xmlns="1a33af13-4045-4f88-9d7b-618e30f79918">
      <UserInfo>
        <DisplayName>Deichsel Josefine</DisplayName>
        <AccountId>1470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0B7A5E2B-D8B5-4500-909B-3B4294B527DD}"/>
</file>

<file path=customXml/itemProps2.xml><?xml version="1.0" encoding="utf-8"?>
<ds:datastoreItem xmlns:ds="http://schemas.openxmlformats.org/officeDocument/2006/customXml" ds:itemID="{CA873D6D-CBF3-43B3-90A7-247B8C8D0AC4}"/>
</file>

<file path=customXml/itemProps3.xml><?xml version="1.0" encoding="utf-8"?>
<ds:datastoreItem xmlns:ds="http://schemas.openxmlformats.org/officeDocument/2006/customXml" ds:itemID="{357ACD23-AC70-40C5-BF2F-9C688E01328D}"/>
</file>

<file path=customXml/itemProps4.xml><?xml version="1.0" encoding="utf-8"?>
<ds:datastoreItem xmlns:ds="http://schemas.openxmlformats.org/officeDocument/2006/customXml" ds:itemID="{532087C3-528A-42CA-B8AE-0D8B74A19F3C}"/>
</file>

<file path=docProps/app.xml><?xml version="1.0" encoding="utf-8"?>
<Properties xmlns="http://schemas.openxmlformats.org/officeDocument/2006/extended-properties" xmlns:vt="http://schemas.openxmlformats.org/officeDocument/2006/docPropsVTypes">
  <Template>Normal.dotm</Template>
  <TotalTime>0</TotalTime>
  <Pages>27</Pages>
  <Words>7651</Words>
  <Characters>43615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Summary of opinions - 593rd plenary session - January 2025</vt:lpstr>
    </vt:vector>
  </TitlesOfParts>
  <Company>CESE-CdR</Company>
  <LinksUpToDate>false</LinksUpToDate>
  <CharactersWithSpaces>51164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Stellungnahmen - 594. Plenartagung - Februar 2025 </dc:title>
  <dc:subject>TCD</dc:subject>
  <dc:creator>Nieddu Emma</dc:creator>
  <cp:keywords>EESC-2025-00345-00-01-TCD-TRA-EN</cp:keywords>
  <dc:description>Rapporteur:  - Original language: EN - Date of document: 14/03/2025 - Date of meeting: 30/26/2025 14:30 - External documents:  - Administrator: MME TAMASAUSKIENE Julija</dc:description>
  <cp:lastModifiedBy>Deichsel Josefine</cp:lastModifiedBy>
  <cp:revision>11</cp:revision>
  <dcterms:created xsi:type="dcterms:W3CDTF">2025-03-12T09:56:00Z</dcterms:created>
  <dcterms:modified xsi:type="dcterms:W3CDTF">2025-03-14T10:53:00Z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05/03/2025, 29/01/2025, 02/05/2022, 02/05/2022, 28/06/2021</vt:lpwstr>
  </property>
  <property fmtid="{D5CDD505-2E9C-101B-9397-08002B2CF9AE}" pid="4" name="Pref_Time">
    <vt:lpwstr>10:27:20, 09:28:12, 15:29:38, 12:28:29, 12:25:37, 08:41:48</vt:lpwstr>
  </property>
  <property fmtid="{D5CDD505-2E9C-101B-9397-08002B2CF9AE}" pid="5" name="Pref_User">
    <vt:lpwstr>amett, enied, amett, enied, enied, enied</vt:lpwstr>
  </property>
  <property fmtid="{D5CDD505-2E9C-101B-9397-08002B2CF9AE}" pid="6" name="Pref_FileName">
    <vt:lpwstr>EESC-2025-00345-00-01-TCD-ORI.docx, EESC-2025-00345-00-00-TCD-ORI.docx, EESC-2024-04576-00-00-TCD-ORI.docx,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805db330-982c-4afe-8aa3-2c0a7858c718</vt:lpwstr>
  </property>
  <property fmtid="{D5CDD505-2E9C-101B-9397-08002B2CF9AE}" pid="9" name="AvailableTranslations">
    <vt:lpwstr>34;#IT|0774613c-01ed-4e5d-a25d-11d2388de825;#30;#LT|a7ff5ce7-6123-4f68-865a-a57c31810414;#23;#DE|f6b31e5a-26fa-4935-b661-318e46daf27e;#50;#HR|2f555653-ed1a-4fe6-8362-9082d95989e5;#16;#ES|e7a6b05b-ae16-40c8-add9-68b64b03aeba;#40;#DA|5d49c027-8956-412b-aa16-e85a0f96ad0e;#42;#EL|6d4f4d51-af9b-4650-94b4-4276bee85c91;#24;#PL|1e03da61-4678-4e07-b136-b5024ca9197b;#46;#SK|46d9fce0-ef79-4f71-b89b-cd6aa82426b8;#27;#NL|55c6556c-b4f4-441d-9acf-c498d4f838bd;#33;#PT|50ccc04a-eadd-42ae-a0cb-acaf45f812ba;#5;#EN|f2175f21-25d7-44a3-96da-d6a61b075e1b;#39;#LV|46f7e311-5d9f-4663-b433-18aeccb7ace7;#37;#HU|6b229040-c589-4408-b4c1-4285663d20a8;#36;#RO|feb747a2-64cd-4299-af12-4833ddc30497;#29;#CS|72f9705b-0217-4fd3-bea2-cbc7ed80e26e;#12;#FR|d2afafd3-4c81-4f60-8f52-ee33f2f54ff3;#35;#FI|87606a43-d45f-42d6-b8c9-e1a3457db5b7;#31;#SL|98a412ae-eb01-49e9-ae3d-585a81724cfc;#41;#ET|ff6c3f4c-b02c-4c3c-ab07-2c37995a7a0a;#28;#SV|c2ed69e7-a339-43d7-8f22-d93680a92aa0;#47;#BG|1a1b3951-7821-4e6a-85f5-5673fc08bd2c</vt:lpwstr>
  </property>
  <property fmtid="{D5CDD505-2E9C-101B-9397-08002B2CF9AE}" pid="10" name="DocumentType_0">
    <vt:lpwstr>TCD|cd9d6eb6-3f4f-424a-b2d1-57c9d450eaaf</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2025-03-26T12:00:00Z</vt:filetime>
  </property>
  <property fmtid="{D5CDD505-2E9C-101B-9397-08002B2CF9AE}" pid="29" name="AvailableTranslations_0">
    <vt:lpwstr>IT|0774613c-01ed-4e5d-a25d-11d2388de825;LT|a7ff5ce7-6123-4f68-865a-a57c31810414;HR|2f555653-ed1a-4fe6-8362-9082d95989e5;ES|e7a6b05b-ae16-40c8-add9-68b64b03aeba;DA|5d49c027-8956-412b-aa16-e85a0f96ad0e;PL|1e03da61-4678-4e07-b136-b5024ca9197b;SK|46d9fce0-ef79-4f71-b89b-cd6aa82426b8;NL|55c6556c-b4f4-441d-9acf-c498d4f838bd;PT|50ccc04a-eadd-42ae-a0cb-acaf45f812ba;EN|f2175f21-25d7-44a3-96da-d6a61b075e1b;LV|46f7e311-5d9f-4663-b433-18aeccb7ace7;HU|6b229040-c589-4408-b4c1-4285663d20a8;CS|72f9705b-0217-4fd3-bea2-cbc7ed80e26e;FR|d2afafd3-4c81-4f60-8f52-ee33f2f54ff3;FI|87606a43-d45f-42d6-b8c9-e1a3457db5b7;SL|98a412ae-eb01-49e9-ae3d-585a81724cfc;ET|ff6c3f4c-b02c-4c3c-ab07-2c37995a7a0a;SV|c2ed69e7-a339-43d7-8f22-d93680a92aa0;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IT|0774613c-01ed-4e5d-a25d-11d2388de825;#33;#PT|50ccc04a-eadd-42ae-a0cb-acaf45f812ba;#13;#TRA|150d2a88-1431-44e6-a8ca-0bb753ab8672;#30;#LT|a7ff5ce7-6123-4f68-865a-a57c31810414;#67;#SPL-CES|32d8cb1f-c9ec-4365-95c7-8385a18618ac;#31;#SL|98a412ae-eb01-49e9-ae3d-585a81724cfc;#27;#NL|55c6556c-b4f4-441d-9acf-c498d4f838bd;#24;#PL|1e03da61-4678-4e07-b136-b5024ca9197b;#19;#TCD|cd9d6eb6-3f4f-424a-b2d1-57c9d450eaaf;#28;#SV|c2ed69e7-a339-43d7-8f22-d93680a92aa0;#16;#ES|e7a6b05b-ae16-40c8-add9-68b64b03aeba;#15;#Unrestricted|826e22d7-d029-4ec0-a450-0c28ff673572;#50;#HR|2f555653-ed1a-4fe6-8362-9082d95989e5;#12;#FR|d2afafd3-4c81-4f60-8f52-ee33f2f54ff3;#47;#BG|1a1b3951-7821-4e6a-85f5-5673fc08bd2c;#46;#SK|46d9fce0-ef79-4f71-b89b-cd6aa82426b8;#8;#Final|ea5e6674-7b27-4bac-b091-73adbb394efe;#29;#CS|72f9705b-0217-4fd3-bea2-cbc7ed80e26e;#5;#EN|f2175f21-25d7-44a3-96da-d6a61b075e1b;#41;#ET|ff6c3f4c-b02c-4c3c-ab07-2c37995a7a0a;#40;#DA|5d49c027-8956-412b-aa16-e85a0f96ad0e;#39;#LV|46f7e311-5d9f-4663-b433-18aeccb7ace7;#1;#EESC|422833ec-8d7e-4e65-8e4e-8bed07ffb729;#37;#HU|6b229040-c589-4408-b4c1-4285663d20a8</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2534</vt:i4>
  </property>
  <property fmtid="{D5CDD505-2E9C-101B-9397-08002B2CF9AE}" pid="37" name="DocumentLanguage">
    <vt:lpwstr>23;#DE|f6b31e5a-26fa-4935-b661-318e46daf27e</vt:lpwstr>
  </property>
</Properties>
</file>