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B30936" w14:paraId="4982DD4D" w14:textId="54C3233F">
      <w:pPr>
        <w:jc w:val="center"/>
      </w:pPr>
      <w:r>
        <w:rPr>
          <w:noProof/>
        </w:rPr>
        <w:drawing>
          <wp:inline distT="0" distB="0" distL="0" distR="0" wp14:anchorId="7E15F41D" wp14:editId="5A60F5D0">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5D2C1D4C"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Брюксел, 14 март 2025 г.</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594-та ПЛЕНАРНА СЕСИЯ</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26 и 27 февруари 2025 г.</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Настоящият документ е достъпен на всички официални езици на Европейския съюз:</w:t>
            </w:r>
            <w:r>
              <w:br/>
              <w:t>уебсайта на ЕИСК на следния адрес:</w:t>
            </w:r>
          </w:p>
          <w:p w:rsidR="00726351" w:rsidP="00BE1F8F" w:rsidRDefault="00726351" w14:paraId="65F2BC50" w14:textId="77777777">
            <w:pPr>
              <w:snapToGrid w:val="0"/>
              <w:jc w:val="center"/>
            </w:pPr>
          </w:p>
          <w:p w:rsidRPr="0081153B" w:rsidR="004D7AC0" w:rsidP="00BE1F8F" w:rsidRDefault="004474A5" w14:paraId="4982DD5A" w14:textId="4DF10D40">
            <w:pPr>
              <w:snapToGrid w:val="0"/>
              <w:jc w:val="center"/>
            </w:pPr>
            <w:hyperlink w:history="1" r:id="rId13">
              <w:r w:rsidR="00B30936">
                <w:rPr>
                  <w:rStyle w:val="Hyperlink"/>
                </w:rPr>
                <w:t>https://www.eesc.europa.eu/bg/our-work/opinions-information-reports/plenary-session-summarie</w:t>
              </w:r>
            </w:hyperlink>
            <w:r w:rsidR="00B30936">
              <w:t>s</w:t>
            </w:r>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Изброените становища могат да бъдат намерени онлайн чрез търсачката на ЕИСК:</w:t>
            </w:r>
          </w:p>
          <w:p w:rsidR="00726351" w:rsidP="00BE1F8F" w:rsidRDefault="00726351" w14:paraId="0E196128" w14:textId="77777777">
            <w:pPr>
              <w:snapToGrid w:val="0"/>
              <w:jc w:val="center"/>
            </w:pPr>
          </w:p>
          <w:p w:rsidRPr="00044561" w:rsidR="004D7AC0" w:rsidP="00BE1F8F" w:rsidRDefault="004474A5" w14:paraId="4982DD5D" w14:textId="339632B5">
            <w:pPr>
              <w:snapToGrid w:val="0"/>
              <w:jc w:val="center"/>
            </w:pPr>
            <w:hyperlink w:history="1" r:id="rId14">
              <w:r w:rsidR="00B30936">
                <w:rPr>
                  <w:rStyle w:val="Hyperlink"/>
                </w:rPr>
                <w:t>https://dmsearch.eesc.europa.eu/search/opinion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Съдържание:</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F3754F" w:rsidP="00F3754F" w:rsidRDefault="004D7AC0" w14:paraId="09C3A3A4" w14:textId="62EA8711">
          <w:pPr>
            <w:pStyle w:val="TOC1"/>
            <w:tabs>
              <w:tab w:val="left" w:pos="440"/>
              <w:tab w:val="right" w:leader="dot" w:pos="9061"/>
            </w:tabs>
            <w:ind w:left="440" w:hanging="440"/>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2685943">
            <w:r w:rsidRPr="009C6596" w:rsidR="00F3754F">
              <w:rPr>
                <w:rStyle w:val="Hyperlink"/>
                <w:bCs/>
                <w:noProof/>
              </w:rPr>
              <w:t>1.</w:t>
            </w:r>
            <w:r w:rsidR="00F3754F">
              <w:rPr>
                <w:rFonts w:asciiTheme="minorHAnsi" w:hAnsiTheme="minorHAnsi" w:eastAsiaTheme="minorEastAsia" w:cstheme="minorBidi"/>
                <w:noProof/>
                <w:lang w:val="en-US"/>
              </w:rPr>
              <w:tab/>
            </w:r>
            <w:r w:rsidRPr="009C6596" w:rsidR="00F3754F">
              <w:rPr>
                <w:rStyle w:val="Hyperlink"/>
                <w:b/>
                <w:noProof/>
              </w:rPr>
              <w:t>ИКОНОМИЧЕСКИ И ПАРИЧЕН СЪЮЗ, ИКОНОМИЧЕСКО И СОЦИАЛНО СБЛИЖАВАНЕ</w:t>
            </w:r>
            <w:r w:rsidR="00F3754F">
              <w:rPr>
                <w:noProof/>
                <w:webHidden/>
              </w:rPr>
              <w:tab/>
            </w:r>
            <w:r w:rsidR="00F3754F">
              <w:rPr>
                <w:noProof/>
                <w:webHidden/>
              </w:rPr>
              <w:fldChar w:fldCharType="begin"/>
            </w:r>
            <w:r w:rsidR="00F3754F">
              <w:rPr>
                <w:noProof/>
                <w:webHidden/>
              </w:rPr>
              <w:instrText xml:space="preserve"> PAGEREF _Toc192685943 \h </w:instrText>
            </w:r>
            <w:r w:rsidR="00F3754F">
              <w:rPr>
                <w:noProof/>
                <w:webHidden/>
              </w:rPr>
            </w:r>
            <w:r w:rsidR="00F3754F">
              <w:rPr>
                <w:noProof/>
                <w:webHidden/>
              </w:rPr>
              <w:fldChar w:fldCharType="separate"/>
            </w:r>
            <w:r w:rsidR="00076809">
              <w:rPr>
                <w:noProof/>
                <w:webHidden/>
              </w:rPr>
              <w:t>3</w:t>
            </w:r>
            <w:r w:rsidR="00F3754F">
              <w:rPr>
                <w:noProof/>
                <w:webHidden/>
              </w:rPr>
              <w:fldChar w:fldCharType="end"/>
            </w:r>
          </w:hyperlink>
        </w:p>
        <w:p w:rsidR="00F3754F" w:rsidRDefault="004474A5" w14:paraId="31698194" w14:textId="4839C64D">
          <w:pPr>
            <w:pStyle w:val="TOC1"/>
            <w:tabs>
              <w:tab w:val="left" w:pos="440"/>
              <w:tab w:val="right" w:leader="dot" w:pos="9061"/>
            </w:tabs>
            <w:rPr>
              <w:rFonts w:asciiTheme="minorHAnsi" w:hAnsiTheme="minorHAnsi" w:eastAsiaTheme="minorEastAsia" w:cstheme="minorBidi"/>
              <w:noProof/>
              <w:lang w:val="en-US"/>
            </w:rPr>
          </w:pPr>
          <w:hyperlink w:history="1" w:anchor="_Toc192685944">
            <w:r w:rsidRPr="009C6596" w:rsidR="00F3754F">
              <w:rPr>
                <w:rStyle w:val="Hyperlink"/>
                <w:bCs/>
                <w:noProof/>
              </w:rPr>
              <w:t>2.</w:t>
            </w:r>
            <w:r w:rsidR="00F3754F">
              <w:rPr>
                <w:rFonts w:asciiTheme="minorHAnsi" w:hAnsiTheme="minorHAnsi" w:eastAsiaTheme="minorEastAsia" w:cstheme="minorBidi"/>
                <w:noProof/>
                <w:lang w:val="en-US"/>
              </w:rPr>
              <w:tab/>
            </w:r>
            <w:r w:rsidRPr="009C6596" w:rsidR="00F3754F">
              <w:rPr>
                <w:rStyle w:val="Hyperlink"/>
                <w:b/>
                <w:noProof/>
              </w:rPr>
              <w:t>ЗАЕТОСТ, СОЦИАЛНИ ВЪПРОСИ И ГРАЖДАНСТВО</w:t>
            </w:r>
            <w:r w:rsidR="00F3754F">
              <w:rPr>
                <w:noProof/>
                <w:webHidden/>
              </w:rPr>
              <w:tab/>
            </w:r>
            <w:r w:rsidR="00F3754F">
              <w:rPr>
                <w:noProof/>
                <w:webHidden/>
              </w:rPr>
              <w:fldChar w:fldCharType="begin"/>
            </w:r>
            <w:r w:rsidR="00F3754F">
              <w:rPr>
                <w:noProof/>
                <w:webHidden/>
              </w:rPr>
              <w:instrText xml:space="preserve"> PAGEREF _Toc192685944 \h </w:instrText>
            </w:r>
            <w:r w:rsidR="00F3754F">
              <w:rPr>
                <w:noProof/>
                <w:webHidden/>
              </w:rPr>
            </w:r>
            <w:r w:rsidR="00F3754F">
              <w:rPr>
                <w:noProof/>
                <w:webHidden/>
              </w:rPr>
              <w:fldChar w:fldCharType="separate"/>
            </w:r>
            <w:r w:rsidR="00076809">
              <w:rPr>
                <w:noProof/>
                <w:webHidden/>
              </w:rPr>
              <w:t>10</w:t>
            </w:r>
            <w:r w:rsidR="00F3754F">
              <w:rPr>
                <w:noProof/>
                <w:webHidden/>
              </w:rPr>
              <w:fldChar w:fldCharType="end"/>
            </w:r>
          </w:hyperlink>
        </w:p>
        <w:p w:rsidR="00F3754F" w:rsidP="00F3754F" w:rsidRDefault="004474A5" w14:paraId="379CCAAE" w14:textId="24FD229E">
          <w:pPr>
            <w:pStyle w:val="TOC1"/>
            <w:tabs>
              <w:tab w:val="left" w:pos="440"/>
              <w:tab w:val="right" w:leader="dot" w:pos="9061"/>
            </w:tabs>
            <w:ind w:left="440" w:hanging="440"/>
            <w:rPr>
              <w:rFonts w:asciiTheme="minorHAnsi" w:hAnsiTheme="minorHAnsi" w:eastAsiaTheme="minorEastAsia" w:cstheme="minorBidi"/>
              <w:noProof/>
              <w:lang w:val="en-US"/>
            </w:rPr>
          </w:pPr>
          <w:hyperlink w:history="1" w:anchor="_Toc192685945">
            <w:r w:rsidRPr="009C6596" w:rsidR="00F3754F">
              <w:rPr>
                <w:rStyle w:val="Hyperlink"/>
                <w:bCs/>
                <w:noProof/>
              </w:rPr>
              <w:t>3.</w:t>
            </w:r>
            <w:r w:rsidR="00F3754F">
              <w:rPr>
                <w:rFonts w:asciiTheme="minorHAnsi" w:hAnsiTheme="minorHAnsi" w:eastAsiaTheme="minorEastAsia" w:cstheme="minorBidi"/>
                <w:noProof/>
                <w:lang w:val="en-US"/>
              </w:rPr>
              <w:tab/>
            </w:r>
            <w:r w:rsidRPr="009C6596" w:rsidR="00F3754F">
              <w:rPr>
                <w:rStyle w:val="Hyperlink"/>
                <w:b/>
                <w:noProof/>
              </w:rPr>
              <w:t>ТРАНСПОРТ, ЕНЕРГЕТИКА, ИНФРАСТРУКТУРИ, ИНФОРМАЦИОННО ОБЩЕСТВО</w:t>
            </w:r>
            <w:r w:rsidR="00F3754F">
              <w:rPr>
                <w:noProof/>
                <w:webHidden/>
              </w:rPr>
              <w:tab/>
            </w:r>
            <w:r w:rsidR="00F3754F">
              <w:rPr>
                <w:noProof/>
                <w:webHidden/>
              </w:rPr>
              <w:fldChar w:fldCharType="begin"/>
            </w:r>
            <w:r w:rsidR="00F3754F">
              <w:rPr>
                <w:noProof/>
                <w:webHidden/>
              </w:rPr>
              <w:instrText xml:space="preserve"> PAGEREF _Toc192685945 \h </w:instrText>
            </w:r>
            <w:r w:rsidR="00F3754F">
              <w:rPr>
                <w:noProof/>
                <w:webHidden/>
              </w:rPr>
            </w:r>
            <w:r w:rsidR="00F3754F">
              <w:rPr>
                <w:noProof/>
                <w:webHidden/>
              </w:rPr>
              <w:fldChar w:fldCharType="separate"/>
            </w:r>
            <w:r w:rsidR="00076809">
              <w:rPr>
                <w:noProof/>
                <w:webHidden/>
              </w:rPr>
              <w:t>17</w:t>
            </w:r>
            <w:r w:rsidR="00F3754F">
              <w:rPr>
                <w:noProof/>
                <w:webHidden/>
              </w:rPr>
              <w:fldChar w:fldCharType="end"/>
            </w:r>
          </w:hyperlink>
        </w:p>
        <w:p w:rsidR="00F3754F" w:rsidRDefault="004474A5" w14:paraId="15184CBB" w14:textId="54B98054">
          <w:pPr>
            <w:pStyle w:val="TOC1"/>
            <w:tabs>
              <w:tab w:val="left" w:pos="440"/>
              <w:tab w:val="right" w:leader="dot" w:pos="9061"/>
            </w:tabs>
            <w:rPr>
              <w:rFonts w:asciiTheme="minorHAnsi" w:hAnsiTheme="minorHAnsi" w:eastAsiaTheme="minorEastAsia" w:cstheme="minorBidi"/>
              <w:noProof/>
              <w:lang w:val="en-US"/>
            </w:rPr>
          </w:pPr>
          <w:hyperlink w:history="1" w:anchor="_Toc192685946">
            <w:r w:rsidRPr="009C6596" w:rsidR="00F3754F">
              <w:rPr>
                <w:rStyle w:val="Hyperlink"/>
                <w:bCs/>
                <w:noProof/>
              </w:rPr>
              <w:t>4.</w:t>
            </w:r>
            <w:r w:rsidR="00F3754F">
              <w:rPr>
                <w:rFonts w:asciiTheme="minorHAnsi" w:hAnsiTheme="minorHAnsi" w:eastAsiaTheme="minorEastAsia" w:cstheme="minorBidi"/>
                <w:noProof/>
                <w:lang w:val="en-US"/>
              </w:rPr>
              <w:tab/>
            </w:r>
            <w:r w:rsidRPr="009C6596" w:rsidR="00F3754F">
              <w:rPr>
                <w:rStyle w:val="Hyperlink"/>
                <w:b/>
                <w:noProof/>
              </w:rPr>
              <w:t>ЕДИНЕН ПАЗАР, ПРОИЗВОДСТВО И ПОТРЕБЛЕНИЕ</w:t>
            </w:r>
            <w:r w:rsidR="00F3754F">
              <w:rPr>
                <w:noProof/>
                <w:webHidden/>
              </w:rPr>
              <w:tab/>
            </w:r>
            <w:r w:rsidR="00F3754F">
              <w:rPr>
                <w:noProof/>
                <w:webHidden/>
              </w:rPr>
              <w:fldChar w:fldCharType="begin"/>
            </w:r>
            <w:r w:rsidR="00F3754F">
              <w:rPr>
                <w:noProof/>
                <w:webHidden/>
              </w:rPr>
              <w:instrText xml:space="preserve"> PAGEREF _Toc192685946 \h </w:instrText>
            </w:r>
            <w:r w:rsidR="00F3754F">
              <w:rPr>
                <w:noProof/>
                <w:webHidden/>
              </w:rPr>
            </w:r>
            <w:r w:rsidR="00F3754F">
              <w:rPr>
                <w:noProof/>
                <w:webHidden/>
              </w:rPr>
              <w:fldChar w:fldCharType="separate"/>
            </w:r>
            <w:r w:rsidR="00076809">
              <w:rPr>
                <w:noProof/>
                <w:webHidden/>
              </w:rPr>
              <w:t>18</w:t>
            </w:r>
            <w:r w:rsidR="00F3754F">
              <w:rPr>
                <w:noProof/>
                <w:webHidden/>
              </w:rPr>
              <w:fldChar w:fldCharType="end"/>
            </w:r>
          </w:hyperlink>
        </w:p>
        <w:p w:rsidR="00F3754F" w:rsidRDefault="004474A5" w14:paraId="60445B67" w14:textId="2688962D">
          <w:pPr>
            <w:pStyle w:val="TOC1"/>
            <w:tabs>
              <w:tab w:val="left" w:pos="440"/>
              <w:tab w:val="right" w:leader="dot" w:pos="9061"/>
            </w:tabs>
            <w:rPr>
              <w:rFonts w:asciiTheme="minorHAnsi" w:hAnsiTheme="minorHAnsi" w:eastAsiaTheme="minorEastAsia" w:cstheme="minorBidi"/>
              <w:noProof/>
              <w:lang w:val="en-US"/>
            </w:rPr>
          </w:pPr>
          <w:hyperlink w:history="1" w:anchor="_Toc192685947">
            <w:r w:rsidRPr="009C6596" w:rsidR="00F3754F">
              <w:rPr>
                <w:rStyle w:val="Hyperlink"/>
                <w:bCs/>
                <w:noProof/>
              </w:rPr>
              <w:t>5.</w:t>
            </w:r>
            <w:r w:rsidR="00F3754F">
              <w:rPr>
                <w:rFonts w:asciiTheme="minorHAnsi" w:hAnsiTheme="minorHAnsi" w:eastAsiaTheme="minorEastAsia" w:cstheme="minorBidi"/>
                <w:noProof/>
                <w:lang w:val="en-US"/>
              </w:rPr>
              <w:tab/>
            </w:r>
            <w:r w:rsidRPr="009C6596" w:rsidR="00F3754F">
              <w:rPr>
                <w:rStyle w:val="Hyperlink"/>
                <w:b/>
                <w:noProof/>
              </w:rPr>
              <w:t>ЗЕМЕДЕЛИЕ, РАЗВИТИЕ НА СЕЛСКИТЕ РАЙОНИ, ОКОЛНА СРЕДА</w:t>
            </w:r>
            <w:r w:rsidR="00F3754F">
              <w:rPr>
                <w:noProof/>
                <w:webHidden/>
              </w:rPr>
              <w:tab/>
            </w:r>
            <w:r w:rsidR="00F3754F">
              <w:rPr>
                <w:noProof/>
                <w:webHidden/>
              </w:rPr>
              <w:fldChar w:fldCharType="begin"/>
            </w:r>
            <w:r w:rsidR="00F3754F">
              <w:rPr>
                <w:noProof/>
                <w:webHidden/>
              </w:rPr>
              <w:instrText xml:space="preserve"> PAGEREF _Toc192685947 \h </w:instrText>
            </w:r>
            <w:r w:rsidR="00F3754F">
              <w:rPr>
                <w:noProof/>
                <w:webHidden/>
              </w:rPr>
            </w:r>
            <w:r w:rsidR="00F3754F">
              <w:rPr>
                <w:noProof/>
                <w:webHidden/>
              </w:rPr>
              <w:fldChar w:fldCharType="separate"/>
            </w:r>
            <w:r w:rsidR="00076809">
              <w:rPr>
                <w:noProof/>
                <w:webHidden/>
              </w:rPr>
              <w:t>25</w:t>
            </w:r>
            <w:r w:rsidR="00F3754F">
              <w:rPr>
                <w:noProof/>
                <w:webHidden/>
              </w:rPr>
              <w:fldChar w:fldCharType="end"/>
            </w:r>
          </w:hyperlink>
        </w:p>
        <w:p w:rsidR="00F3754F" w:rsidRDefault="004474A5" w14:paraId="39736479" w14:textId="254369BC">
          <w:pPr>
            <w:pStyle w:val="TOC1"/>
            <w:tabs>
              <w:tab w:val="left" w:pos="440"/>
              <w:tab w:val="right" w:leader="dot" w:pos="9061"/>
            </w:tabs>
            <w:rPr>
              <w:rFonts w:asciiTheme="minorHAnsi" w:hAnsiTheme="minorHAnsi" w:eastAsiaTheme="minorEastAsia" w:cstheme="minorBidi"/>
              <w:noProof/>
              <w:lang w:val="en-US"/>
            </w:rPr>
          </w:pPr>
          <w:hyperlink w:history="1" w:anchor="_Toc192685948">
            <w:r w:rsidRPr="009C6596" w:rsidR="00F3754F">
              <w:rPr>
                <w:rStyle w:val="Hyperlink"/>
                <w:bCs/>
                <w:noProof/>
              </w:rPr>
              <w:t>6.</w:t>
            </w:r>
            <w:r w:rsidR="00F3754F">
              <w:rPr>
                <w:rFonts w:asciiTheme="minorHAnsi" w:hAnsiTheme="minorHAnsi" w:eastAsiaTheme="minorEastAsia" w:cstheme="minorBidi"/>
                <w:noProof/>
                <w:lang w:val="en-US"/>
              </w:rPr>
              <w:tab/>
            </w:r>
            <w:r w:rsidRPr="009C6596" w:rsidR="00F3754F">
              <w:rPr>
                <w:rStyle w:val="Hyperlink"/>
                <w:b/>
                <w:noProof/>
              </w:rPr>
              <w:t>КОНСУЛТАТИВНА КОМИСИЯ ПО ИНДУСТРИАЛНИ ПРОМЕНИ</w:t>
            </w:r>
            <w:r w:rsidR="00F3754F">
              <w:rPr>
                <w:noProof/>
                <w:webHidden/>
              </w:rPr>
              <w:tab/>
            </w:r>
            <w:r w:rsidR="00F3754F">
              <w:rPr>
                <w:noProof/>
                <w:webHidden/>
              </w:rPr>
              <w:fldChar w:fldCharType="begin"/>
            </w:r>
            <w:r w:rsidR="00F3754F">
              <w:rPr>
                <w:noProof/>
                <w:webHidden/>
              </w:rPr>
              <w:instrText xml:space="preserve"> PAGEREF _Toc192685948 \h </w:instrText>
            </w:r>
            <w:r w:rsidR="00F3754F">
              <w:rPr>
                <w:noProof/>
                <w:webHidden/>
              </w:rPr>
            </w:r>
            <w:r w:rsidR="00F3754F">
              <w:rPr>
                <w:noProof/>
                <w:webHidden/>
              </w:rPr>
              <w:fldChar w:fldCharType="separate"/>
            </w:r>
            <w:r w:rsidR="00076809">
              <w:rPr>
                <w:noProof/>
                <w:webHidden/>
              </w:rPr>
              <w:t>27</w:t>
            </w:r>
            <w:r w:rsidR="00F3754F">
              <w:rPr>
                <w:noProof/>
                <w:webHidden/>
              </w:rPr>
              <w:fldChar w:fldCharType="end"/>
            </w:r>
          </w:hyperlink>
        </w:p>
        <w:p w:rsidR="004D7AC0" w:rsidP="00BE1F8F" w:rsidRDefault="004D7AC0" w14:paraId="4982DD6A" w14:textId="1AE23892">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BE1F8F" w:rsidRDefault="004D7AC0" w14:paraId="4982DD6D" w14:textId="77777777">
      <w:pPr>
        <w:pStyle w:val="Heading1"/>
        <w:rPr>
          <w:b/>
        </w:rPr>
      </w:pPr>
      <w:bookmarkStart w:name="_Toc192685943" w:id="0"/>
      <w:r>
        <w:rPr>
          <w:b/>
        </w:rPr>
        <w:lastRenderedPageBreak/>
        <w:t>ИКОНОМИЧЕСКИ И ПАРИЧЕН СЪЮЗ, ИКОНОМИЧЕСКО И СОЦИАЛНО СБЛИЖАВАНЕ</w:t>
      </w:r>
      <w:bookmarkEnd w:id="0"/>
    </w:p>
    <w:p w:rsidR="004D7AC0" w:rsidP="00BE1F8F" w:rsidRDefault="004D7AC0" w14:paraId="4982DD6E" w14:textId="77777777"/>
    <w:p w:rsidRPr="00BE1F8F" w:rsidR="00BE1F8F" w:rsidP="00BE1F8F" w:rsidRDefault="004474A5" w14:paraId="1ECDFE60" w14:textId="77777777">
      <w:pPr>
        <w:widowControl w:val="0"/>
        <w:numPr>
          <w:ilvl w:val="0"/>
          <w:numId w:val="20"/>
        </w:numPr>
        <w:ind w:left="567" w:hanging="567"/>
        <w:jc w:val="left"/>
        <w:rPr>
          <w:bCs/>
          <w:iCs/>
        </w:rPr>
      </w:pPr>
      <w:hyperlink w:history="1" r:id="rId21">
        <w:r w:rsidR="00B30936">
          <w:rPr>
            <w:b/>
            <w:i/>
            <w:color w:val="0000FF"/>
            <w:sz w:val="28"/>
            <w:u w:val="single"/>
          </w:rPr>
          <w:t>Европейски семестър за 2025 г. — есенен пакет</w:t>
        </w:r>
      </w:hyperlink>
    </w:p>
    <w:p w:rsidRPr="00795836" w:rsidR="009B199C" w:rsidP="00BE1F8F" w:rsidRDefault="009B199C" w14:paraId="475281DB" w14:textId="0688FCBB">
      <w:pPr>
        <w:widowControl w:val="0"/>
        <w:ind w:left="567"/>
        <w:jc w:val="left"/>
        <w:rPr>
          <w:bCs/>
          <w:iCs/>
        </w:rPr>
      </w:pPr>
    </w:p>
    <w:tbl>
      <w:tblPr>
        <w:tblW w:w="5000" w:type="pct"/>
        <w:tblLook w:val="04A0" w:firstRow="1" w:lastRow="0" w:firstColumn="1" w:lastColumn="0" w:noHBand="0" w:noVBand="1"/>
      </w:tblPr>
      <w:tblGrid>
        <w:gridCol w:w="2519"/>
        <w:gridCol w:w="6768"/>
      </w:tblGrid>
      <w:tr w:rsidRPr="005C4571" w:rsidR="009B199C" w:rsidTr="001707F5" w14:paraId="7E2330F9" w14:textId="77777777">
        <w:trPr>
          <w:trHeight w:val="269"/>
        </w:trPr>
        <w:tc>
          <w:tcPr>
            <w:tcW w:w="1356" w:type="pct"/>
          </w:tcPr>
          <w:p w:rsidRPr="005C4571" w:rsidR="009B199C" w:rsidP="00BE1F8F" w:rsidRDefault="009B199C" w14:paraId="11357475" w14:textId="5FA4627E">
            <w:pPr>
              <w:tabs>
                <w:tab w:val="center" w:pos="284"/>
              </w:tabs>
              <w:ind w:left="266" w:hanging="266"/>
              <w:rPr>
                <w:b/>
              </w:rPr>
            </w:pPr>
            <w:r>
              <w:rPr>
                <w:b/>
              </w:rPr>
              <w:t>Докладчик</w:t>
            </w:r>
          </w:p>
        </w:tc>
        <w:tc>
          <w:tcPr>
            <w:tcW w:w="3644" w:type="pct"/>
          </w:tcPr>
          <w:p w:rsidRPr="00BE1F8F" w:rsidR="009B199C" w:rsidP="00BE1F8F" w:rsidRDefault="009B199C" w14:paraId="7707B7CD" w14:textId="40636FC3">
            <w:pPr>
              <w:tabs>
                <w:tab w:val="center" w:pos="284"/>
              </w:tabs>
              <w:ind w:left="266" w:hanging="266"/>
              <w:rPr>
                <w:bCs/>
              </w:rPr>
            </w:pPr>
            <w:r>
              <w:t>Petru Sorin DANDEA (група „Работници“ — RO)</w:t>
            </w:r>
          </w:p>
        </w:tc>
      </w:tr>
      <w:tr w:rsidRPr="005C4571" w:rsidR="009B199C" w:rsidTr="001707F5" w14:paraId="78616870" w14:textId="77777777">
        <w:trPr>
          <w:trHeight w:val="484"/>
        </w:trPr>
        <w:tc>
          <w:tcPr>
            <w:tcW w:w="1356" w:type="pct"/>
          </w:tcPr>
          <w:p w:rsidRPr="005C4571" w:rsidR="009B199C" w:rsidP="00BE1F8F" w:rsidRDefault="009B199C" w14:paraId="271ACA41" w14:textId="77777777">
            <w:pPr>
              <w:tabs>
                <w:tab w:val="center" w:pos="284"/>
              </w:tabs>
              <w:ind w:left="266" w:hanging="266"/>
              <w:rPr>
                <w:b/>
              </w:rPr>
            </w:pPr>
            <w:r>
              <w:rPr>
                <w:b/>
              </w:rPr>
              <w:t>Отправни документи</w:t>
            </w:r>
          </w:p>
        </w:tc>
        <w:tc>
          <w:tcPr>
            <w:tcW w:w="3644" w:type="pct"/>
          </w:tcPr>
          <w:p w:rsidR="00FA7642" w:rsidP="00BE1F8F" w:rsidRDefault="009B199C" w14:paraId="3B2FCABD" w14:textId="77777777">
            <w:pPr>
              <w:tabs>
                <w:tab w:val="center" w:pos="284"/>
              </w:tabs>
              <w:ind w:left="266" w:hanging="266"/>
            </w:pPr>
            <w:r>
              <w:t>COM(2024) 700 final</w:t>
            </w:r>
          </w:p>
          <w:p w:rsidRPr="005C4571" w:rsidR="009B199C" w:rsidP="00BE1F8F" w:rsidRDefault="009B199C" w14:paraId="49CDD496" w14:textId="3FA98205">
            <w:pPr>
              <w:tabs>
                <w:tab w:val="center" w:pos="284"/>
              </w:tabs>
              <w:ind w:left="266" w:hanging="266"/>
            </w:pPr>
            <w:r>
              <w:t>EESC-2024-04138-00-00-AC</w:t>
            </w:r>
          </w:p>
        </w:tc>
      </w:tr>
    </w:tbl>
    <w:p w:rsidR="00BE1F8F" w:rsidP="00BE1F8F" w:rsidRDefault="00BE1F8F" w14:paraId="012909FD" w14:textId="77777777">
      <w:pPr>
        <w:keepNext/>
        <w:keepLines/>
        <w:tabs>
          <w:tab w:val="center" w:pos="284"/>
        </w:tabs>
        <w:ind w:left="266" w:hanging="266"/>
        <w:rPr>
          <w:b/>
        </w:rPr>
      </w:pPr>
    </w:p>
    <w:p w:rsidRPr="005C4571" w:rsidR="009B199C" w:rsidP="00BE1F8F" w:rsidRDefault="009B199C" w14:paraId="4BF08ABF" w14:textId="41C36C93">
      <w:pPr>
        <w:keepNext/>
        <w:keepLines/>
        <w:tabs>
          <w:tab w:val="center" w:pos="284"/>
        </w:tabs>
        <w:ind w:left="266" w:hanging="266"/>
        <w:rPr>
          <w:b/>
        </w:rPr>
      </w:pPr>
      <w:r>
        <w:rPr>
          <w:b/>
        </w:rPr>
        <w:t>Основни аспекти</w:t>
      </w:r>
    </w:p>
    <w:p w:rsidRPr="005C4571" w:rsidR="009B199C" w:rsidP="00BE1F8F" w:rsidRDefault="009B199C" w14:paraId="6607972D" w14:textId="77777777">
      <w:pPr>
        <w:keepNext/>
        <w:keepLines/>
        <w:tabs>
          <w:tab w:val="center" w:pos="284"/>
        </w:tabs>
        <w:ind w:left="266" w:hanging="266"/>
        <w:rPr>
          <w:b/>
        </w:rPr>
      </w:pPr>
    </w:p>
    <w:p w:rsidR="009B199C" w:rsidP="00BE1F8F" w:rsidRDefault="009B199C" w14:paraId="4C3F98BA" w14:textId="77777777">
      <w:pPr>
        <w:rPr>
          <w:bCs/>
          <w:iCs/>
        </w:rPr>
      </w:pPr>
      <w:r>
        <w:t>ЕИСК:</w:t>
      </w:r>
    </w:p>
    <w:p w:rsidRPr="005C4571" w:rsidR="009B199C" w:rsidP="00BE1F8F" w:rsidRDefault="009B199C" w14:paraId="3ED2E951" w14:textId="77777777">
      <w:pPr>
        <w:numPr>
          <w:ilvl w:val="0"/>
          <w:numId w:val="19"/>
        </w:numPr>
        <w:ind w:left="284" w:hanging="284"/>
        <w:contextualSpacing/>
      </w:pPr>
      <w:r>
        <w:t>изразява дълбоко съжаление и недоумение, че в бурния политически, социален и икономически глобален контекст Европейската комисия реши да не публикува годишния обзор на устойчивия растеж;</w:t>
      </w:r>
    </w:p>
    <w:p w:rsidRPr="005C4571" w:rsidR="009B199C" w:rsidP="00BE1F8F" w:rsidRDefault="009B199C" w14:paraId="3C4DA8C9" w14:textId="77777777">
      <w:pPr>
        <w:numPr>
          <w:ilvl w:val="0"/>
          <w:numId w:val="19"/>
        </w:numPr>
        <w:ind w:left="284" w:hanging="284"/>
        <w:contextualSpacing/>
      </w:pPr>
      <w:r>
        <w:t>счита, че сериозните и нарастващи геополитически рискове и влошаването на състоянието на многостранните институции в крайна сметка могат да окажат сериозно въздействие върху европейските икономики, търговията, инфлацията и растежа;</w:t>
      </w:r>
    </w:p>
    <w:p w:rsidRPr="005C4571" w:rsidR="009B199C" w:rsidP="00BE1F8F" w:rsidRDefault="009B199C" w14:paraId="0A50F121" w14:textId="77777777">
      <w:pPr>
        <w:numPr>
          <w:ilvl w:val="0"/>
          <w:numId w:val="19"/>
        </w:numPr>
        <w:ind w:left="284" w:hanging="284"/>
        <w:contextualSpacing/>
      </w:pPr>
      <w:r>
        <w:t>приветства усилията на Комисията да стартира цикъла на прилагане на новата европейска рамка за управление и насърчава Комисията да финализира този процес възможно най-скоро;</w:t>
      </w:r>
    </w:p>
    <w:p w:rsidRPr="005C4571" w:rsidR="009B199C" w:rsidP="00BE1F8F" w:rsidRDefault="009B199C" w14:paraId="5E3F24C0" w14:textId="77777777">
      <w:pPr>
        <w:numPr>
          <w:ilvl w:val="0"/>
          <w:numId w:val="19"/>
        </w:numPr>
        <w:ind w:left="284" w:hanging="284"/>
        <w:contextualSpacing/>
      </w:pPr>
      <w:r>
        <w:t>подчертава позицията на гражданското общество, че макар в есенния пакет да се подчертава значението на участието на заинтересованите страни, се усеща липса на конкретни механизми за адекватно и ефективно участие на социалните партньори и организациите на гражданското общество на национално равнище;</w:t>
      </w:r>
    </w:p>
    <w:p w:rsidRPr="005C4571" w:rsidR="009B199C" w:rsidP="00BE1F8F" w:rsidRDefault="009B199C" w14:paraId="3771C892" w14:textId="77777777">
      <w:pPr>
        <w:numPr>
          <w:ilvl w:val="0"/>
          <w:numId w:val="19"/>
        </w:numPr>
        <w:ind w:left="284" w:hanging="284"/>
        <w:contextualSpacing/>
      </w:pPr>
      <w:r>
        <w:t>изразява съгласие с предложението на Комисията за стартиране на Компаса за конкурентоспособност;</w:t>
      </w:r>
    </w:p>
    <w:p w:rsidRPr="005C4571" w:rsidR="009B199C" w:rsidP="00BE1F8F" w:rsidRDefault="009B199C" w14:paraId="23285551" w14:textId="77777777">
      <w:pPr>
        <w:numPr>
          <w:ilvl w:val="0"/>
          <w:numId w:val="19"/>
        </w:numPr>
        <w:ind w:left="284" w:hanging="284"/>
        <w:contextualSpacing/>
      </w:pPr>
      <w:r>
        <w:t>изразява съгласие със заключението в доклада на Марио Драги, че основният фактор за отрицателните разлики в производителността и конкурентоспособността на икономиката на ЕС в сравнение със САЩ и Китай е големият инвестиционен дефицит, натрупан през последните две десетилетия;</w:t>
      </w:r>
    </w:p>
    <w:p w:rsidRPr="005C4571" w:rsidR="009B199C" w:rsidP="00BE1F8F" w:rsidRDefault="009B199C" w14:paraId="5D5DDAD1" w14:textId="77777777">
      <w:pPr>
        <w:numPr>
          <w:ilvl w:val="0"/>
          <w:numId w:val="19"/>
        </w:numPr>
        <w:ind w:left="284" w:hanging="284"/>
        <w:contextualSpacing/>
      </w:pPr>
      <w:r>
        <w:t>счита, че инвестициите трябва да се финансират от публичен и частен, национален и европейски капитал;</w:t>
      </w:r>
    </w:p>
    <w:p w:rsidRPr="005C4571" w:rsidR="009B199C" w:rsidP="00BE1F8F" w:rsidRDefault="009B199C" w14:paraId="74A06E52" w14:textId="77777777">
      <w:pPr>
        <w:numPr>
          <w:ilvl w:val="0"/>
          <w:numId w:val="19"/>
        </w:numPr>
        <w:ind w:left="284" w:hanging="284"/>
        <w:contextualSpacing/>
      </w:pPr>
      <w:r>
        <w:t>отбелязва предложението на Комисията специфичните за всяка държава препоръки да бъдат насочени към по-добро изпълнение на реформите и инвестициите, включени в Механизма за възстановяване и устойчивост (МВУ) и МФР, тъй като наближават последните години, определени съответно на 2026 г. и 2027 г., и за двата инструмента;</w:t>
      </w:r>
    </w:p>
    <w:p w:rsidRPr="005C4571" w:rsidR="009B199C" w:rsidP="00BE1F8F" w:rsidRDefault="009B199C" w14:paraId="49B53D4B" w14:textId="77777777">
      <w:pPr>
        <w:numPr>
          <w:ilvl w:val="0"/>
          <w:numId w:val="19"/>
        </w:numPr>
        <w:ind w:left="284" w:hanging="284"/>
        <w:contextualSpacing/>
      </w:pPr>
      <w:r>
        <w:t>счита, че в трудния политически и икономически контекст, в който се намира ЕС, по-доброто сътрудничество между държавите членки е от съществено значение за преодоляването на тези пречки;</w:t>
      </w:r>
    </w:p>
    <w:p w:rsidRPr="005C4571" w:rsidR="009B199C" w:rsidP="00BE1F8F" w:rsidRDefault="009B199C" w14:paraId="48FD49AD" w14:textId="77777777">
      <w:pPr>
        <w:numPr>
          <w:ilvl w:val="0"/>
          <w:numId w:val="19"/>
        </w:numPr>
        <w:ind w:left="284" w:hanging="284"/>
        <w:contextualSpacing/>
      </w:pPr>
      <w:r>
        <w:t>счита, че анализите и заключенията на Комисията в съвместния доклад за заетостта са точни и подходящи за преобразуване, с необходимото внимание, в специфични за всяка държава препоръки;</w:t>
      </w:r>
    </w:p>
    <w:p w:rsidRPr="005C4571" w:rsidR="009B199C" w:rsidP="00BE1F8F" w:rsidRDefault="009B199C" w14:paraId="38004D1C" w14:textId="77777777">
      <w:pPr>
        <w:numPr>
          <w:ilvl w:val="0"/>
          <w:numId w:val="19"/>
        </w:numPr>
        <w:ind w:left="284" w:hanging="284"/>
        <w:contextualSpacing/>
      </w:pPr>
      <w:r>
        <w:lastRenderedPageBreak/>
        <w:t xml:space="preserve">насърчава Комисията да продължи програмата за намаляване на тежестта, която прекомерното регулиране налага на европейските дружества и която тежест от своя страна снижава способността им да се конкурират в световен мащаб; </w:t>
      </w:r>
    </w:p>
    <w:p w:rsidRPr="005C4571" w:rsidR="009B199C" w:rsidP="00BE1F8F" w:rsidRDefault="009B199C" w14:paraId="7E9B0E26" w14:textId="77777777">
      <w:pPr>
        <w:widowControl w:val="0"/>
        <w:numPr>
          <w:ilvl w:val="0"/>
          <w:numId w:val="19"/>
        </w:numPr>
        <w:ind w:left="284" w:hanging="284"/>
        <w:rPr>
          <w:bCs/>
          <w:iCs/>
        </w:rPr>
      </w:pPr>
      <w:r>
        <w:t>счита, че в специфичните за всяка държава препоръки предложенията за инвестиции и реформи следва да дадат приоритет на справянето със сериозния жилищен проблем.</w:t>
      </w:r>
    </w:p>
    <w:p w:rsidRPr="005C4571" w:rsidR="009B199C" w:rsidP="00BE1F8F" w:rsidRDefault="009B199C" w14:paraId="1D7AC5FD" w14:textId="77777777">
      <w:pPr>
        <w:widowControl w:val="0"/>
        <w:ind w:left="709"/>
      </w:pPr>
    </w:p>
    <w:tbl>
      <w:tblPr>
        <w:tblW w:w="4942" w:type="pct"/>
        <w:tblLook w:val="04A0" w:firstRow="1" w:lastRow="0" w:firstColumn="1" w:lastColumn="0" w:noHBand="0" w:noVBand="1"/>
      </w:tblPr>
      <w:tblGrid>
        <w:gridCol w:w="2234"/>
        <w:gridCol w:w="6945"/>
      </w:tblGrid>
      <w:tr w:rsidRPr="005C4571" w:rsidR="009B199C" w:rsidTr="001707F5" w14:paraId="6E6E3E29" w14:textId="77777777">
        <w:tc>
          <w:tcPr>
            <w:tcW w:w="1217" w:type="pct"/>
          </w:tcPr>
          <w:p w:rsidRPr="001707F5" w:rsidR="009B199C" w:rsidP="00BE1F8F" w:rsidRDefault="009B199C" w14:paraId="0A0A29E5" w14:textId="5721AE95">
            <w:pPr>
              <w:rPr>
                <w:b/>
                <w:i/>
                <w:lang w:val="en-GB"/>
              </w:rPr>
            </w:pPr>
            <w:r>
              <w:rPr>
                <w:b/>
                <w:i/>
              </w:rPr>
              <w:t>За контакт</w:t>
            </w:r>
            <w:r w:rsidR="001707F5">
              <w:rPr>
                <w:b/>
                <w:i/>
                <w:lang w:val="en-GB"/>
              </w:rPr>
              <w:t>:</w:t>
            </w:r>
          </w:p>
        </w:tc>
        <w:tc>
          <w:tcPr>
            <w:tcW w:w="3783" w:type="pct"/>
          </w:tcPr>
          <w:p w:rsidRPr="005C4571" w:rsidR="009B199C" w:rsidP="00BE1F8F" w:rsidRDefault="009B199C" w14:paraId="42F5E565" w14:textId="370BC39C">
            <w:pPr>
              <w:rPr>
                <w:b/>
                <w:i/>
              </w:rPr>
            </w:pPr>
            <w:r>
              <w:rPr>
                <w:i/>
              </w:rPr>
              <w:t>Anna Pantazi</w:t>
            </w:r>
          </w:p>
        </w:tc>
      </w:tr>
      <w:tr w:rsidRPr="005C4571" w:rsidR="009B199C" w:rsidTr="001707F5" w14:paraId="552BEC45" w14:textId="77777777">
        <w:tc>
          <w:tcPr>
            <w:tcW w:w="1217" w:type="pct"/>
          </w:tcPr>
          <w:p w:rsidRPr="005C4571" w:rsidR="009B199C" w:rsidP="00BE1F8F" w:rsidRDefault="009B199C" w14:paraId="1653AF5F" w14:textId="77777777">
            <w:pPr>
              <w:rPr>
                <w:i/>
              </w:rPr>
            </w:pPr>
            <w:r>
              <w:rPr>
                <w:i/>
              </w:rPr>
              <w:t>Тел.:</w:t>
            </w:r>
          </w:p>
        </w:tc>
        <w:tc>
          <w:tcPr>
            <w:tcW w:w="3783" w:type="pct"/>
          </w:tcPr>
          <w:p w:rsidRPr="005C4571" w:rsidR="009B199C" w:rsidP="00BE1F8F" w:rsidRDefault="009B199C" w14:paraId="237B8862" w14:textId="77777777">
            <w:pPr>
              <w:rPr>
                <w:i/>
              </w:rPr>
            </w:pPr>
            <w:r>
              <w:rPr>
                <w:i/>
              </w:rPr>
              <w:t>+32 25469231</w:t>
            </w:r>
          </w:p>
        </w:tc>
      </w:tr>
      <w:tr w:rsidRPr="005C4571" w:rsidR="009B199C" w:rsidTr="001707F5" w14:paraId="3D3A9CD1" w14:textId="77777777">
        <w:tc>
          <w:tcPr>
            <w:tcW w:w="1217" w:type="pct"/>
          </w:tcPr>
          <w:p w:rsidRPr="005C4571" w:rsidR="009B199C" w:rsidP="00BE1F8F" w:rsidRDefault="009B199C" w14:paraId="1113F6A6" w14:textId="77777777">
            <w:pPr>
              <w:rPr>
                <w:i/>
              </w:rPr>
            </w:pPr>
            <w:r>
              <w:rPr>
                <w:i/>
              </w:rPr>
              <w:t>Електронен адрес:</w:t>
            </w:r>
          </w:p>
        </w:tc>
        <w:tc>
          <w:tcPr>
            <w:tcW w:w="3783" w:type="pct"/>
          </w:tcPr>
          <w:p w:rsidRPr="005C4571" w:rsidR="009B199C" w:rsidP="00BE1F8F" w:rsidRDefault="004474A5" w14:paraId="45EA0124" w14:textId="77777777">
            <w:pPr>
              <w:rPr>
                <w:i/>
              </w:rPr>
            </w:pPr>
            <w:hyperlink w:history="1" r:id="rId22">
              <w:r w:rsidR="00B30936">
                <w:rPr>
                  <w:i/>
                  <w:color w:val="0000FF"/>
                  <w:u w:val="single"/>
                </w:rPr>
                <w:t>Anna.Pantazi@eesc.europa.eu</w:t>
              </w:r>
            </w:hyperlink>
          </w:p>
        </w:tc>
      </w:tr>
    </w:tbl>
    <w:p w:rsidR="009B199C" w:rsidP="00BE1F8F" w:rsidRDefault="009B199C" w14:paraId="44976E13" w14:textId="77777777">
      <w:pPr>
        <w:jc w:val="left"/>
      </w:pPr>
      <w:r>
        <w:br w:type="page"/>
      </w:r>
    </w:p>
    <w:p w:rsidRPr="003442FB" w:rsidR="009B199C" w:rsidP="00BE1F8F" w:rsidRDefault="004474A5"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B30936">
          <w:rPr>
            <w:b/>
            <w:i/>
            <w:color w:val="0000FF"/>
            <w:sz w:val="28"/>
            <w:u w:val="single"/>
          </w:rPr>
          <w:t>Административно сътрудничество в областта на данъчното облагане (DAC9)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518"/>
        <w:gridCol w:w="6659"/>
      </w:tblGrid>
      <w:tr w:rsidRPr="00EF5B43" w:rsidR="009B199C" w:rsidTr="001707F5" w14:paraId="15407EEF" w14:textId="77777777">
        <w:tc>
          <w:tcPr>
            <w:tcW w:w="1372"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628"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(група „Работодатели“ — SE)</w:t>
            </w:r>
          </w:p>
        </w:tc>
      </w:tr>
      <w:tr w:rsidRPr="00EF5B43" w:rsidR="009B199C" w:rsidTr="001707F5" w14:paraId="721BA5E2" w14:textId="77777777">
        <w:tc>
          <w:tcPr>
            <w:tcW w:w="1372"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628"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r>
              <w:t xml:space="preserve">COM(2024) 497 final </w:t>
            </w:r>
          </w:p>
        </w:tc>
      </w:tr>
      <w:tr w:rsidRPr="00EF5B43" w:rsidR="009B199C" w:rsidTr="001707F5" w14:paraId="0644B2C3" w14:textId="77777777">
        <w:tc>
          <w:tcPr>
            <w:tcW w:w="1372"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3628"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ЕИСК:</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приветства предложението за директива на Съвета за изменение на Директива 2011/16/ЕС относно административното сътрудничество в областта на данъчното облагане (DAC9);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отбелязва, че става въпрос за транспониране на Приобщаващата рамка на ОИСР/Г-20, която вече е договорена;</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посочва, че правната сигурност и яснота за многонационалните предприятия и данъчните администрации могат да бъдат гарантирани само чрез създаване на единен набор от единни правила, приложими за всички държави членки;</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счита, че е от решаващо значение събраната в рамките на DAC9 информация да се използва единствено и изключително по смисъла на предложението на Комисията, а не за други цели, които могат да позволят на дружества от трети държави достъп до чувствителна информация, като по този начин се навреди на конкурентната позиция на европейските дружества;</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изразява съжаление, че за настоящото предложение не е извършена оценка на въздействието или проверка на конкурентоспособността. Би било интересно да се установи дали предложението ни доближава до общата цел на Комисията за намаляване на административната тежест с 25 %;</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подчертава необходимостта правилата да се поддържат в пълно съответствие с текущата работа на ОИСР.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2236"/>
        <w:gridCol w:w="6941"/>
      </w:tblGrid>
      <w:tr w:rsidRPr="00EF5B43" w:rsidR="009B199C" w:rsidTr="001707F5" w14:paraId="51274BC3" w14:textId="77777777">
        <w:tc>
          <w:tcPr>
            <w:tcW w:w="1218" w:type="pct"/>
          </w:tcPr>
          <w:p w:rsidRPr="001707F5" w:rsidR="009B199C" w:rsidP="00BE1F8F" w:rsidRDefault="009B199C" w14:paraId="36A23BA9" w14:textId="627CE331">
            <w:pPr>
              <w:overflowPunct w:val="0"/>
              <w:autoSpaceDE w:val="0"/>
              <w:autoSpaceDN w:val="0"/>
              <w:adjustRightInd w:val="0"/>
              <w:textAlignment w:val="baseline"/>
              <w:rPr>
                <w:i/>
                <w:lang w:val="en-GB"/>
              </w:rPr>
            </w:pPr>
            <w:r>
              <w:rPr>
                <w:b/>
                <w:i/>
              </w:rPr>
              <w:t>За контакт</w:t>
            </w:r>
            <w:r w:rsidR="001707F5">
              <w:rPr>
                <w:b/>
                <w:i/>
                <w:lang w:val="en-GB"/>
              </w:rPr>
              <w:t>:</w:t>
            </w:r>
          </w:p>
        </w:tc>
        <w:tc>
          <w:tcPr>
            <w:tcW w:w="3782" w:type="pct"/>
          </w:tcPr>
          <w:p w:rsidRPr="00EF5B43" w:rsidR="009B199C" w:rsidP="00BE1F8F" w:rsidRDefault="009B199C" w14:paraId="08D792CC" w14:textId="77777777">
            <w:pPr>
              <w:overflowPunct w:val="0"/>
              <w:autoSpaceDE w:val="0"/>
              <w:autoSpaceDN w:val="0"/>
              <w:adjustRightInd w:val="0"/>
              <w:textAlignment w:val="baseline"/>
              <w:rPr>
                <w:i/>
              </w:rPr>
            </w:pPr>
            <w:r>
              <w:rPr>
                <w:i/>
              </w:rPr>
              <w:t>Jüri Soosaar</w:t>
            </w:r>
          </w:p>
        </w:tc>
      </w:tr>
      <w:tr w:rsidRPr="00EF5B43" w:rsidR="009B199C" w:rsidTr="001707F5" w14:paraId="1A8CFF57" w14:textId="77777777">
        <w:tc>
          <w:tcPr>
            <w:tcW w:w="1218" w:type="pct"/>
          </w:tcPr>
          <w:p w:rsidRPr="00EF5B43" w:rsidR="009B199C" w:rsidP="00BE1F8F" w:rsidRDefault="009B199C" w14:paraId="6B9265C2" w14:textId="77777777">
            <w:pPr>
              <w:overflowPunct w:val="0"/>
              <w:autoSpaceDE w:val="0"/>
              <w:autoSpaceDN w:val="0"/>
              <w:adjustRightInd w:val="0"/>
              <w:textAlignment w:val="baseline"/>
              <w:rPr>
                <w:i/>
              </w:rPr>
            </w:pPr>
            <w:r>
              <w:rPr>
                <w:i/>
              </w:rPr>
              <w:t>Тел.:</w:t>
            </w:r>
          </w:p>
        </w:tc>
        <w:tc>
          <w:tcPr>
            <w:tcW w:w="3782" w:type="pct"/>
          </w:tcPr>
          <w:p w:rsidRPr="00EF5B43" w:rsidR="009B199C" w:rsidP="00BE1F8F" w:rsidRDefault="009B199C" w14:paraId="6A56AF39" w14:textId="77777777">
            <w:pPr>
              <w:overflowPunct w:val="0"/>
              <w:autoSpaceDE w:val="0"/>
              <w:autoSpaceDN w:val="0"/>
              <w:adjustRightInd w:val="0"/>
              <w:textAlignment w:val="baseline"/>
              <w:rPr>
                <w:i/>
              </w:rPr>
            </w:pPr>
            <w:r>
              <w:rPr>
                <w:i/>
              </w:rPr>
              <w:t>+32 2</w:t>
            </w:r>
            <w:r>
              <w:t xml:space="preserve"> </w:t>
            </w:r>
            <w:r>
              <w:rPr>
                <w:i/>
              </w:rPr>
              <w:t>5469628</w:t>
            </w:r>
          </w:p>
        </w:tc>
      </w:tr>
      <w:tr w:rsidRPr="00EF5B43" w:rsidR="009B199C" w:rsidTr="001707F5" w14:paraId="6BB8066B" w14:textId="77777777">
        <w:tc>
          <w:tcPr>
            <w:tcW w:w="1218" w:type="pct"/>
          </w:tcPr>
          <w:p w:rsidRPr="00EF5B43" w:rsidR="009B199C" w:rsidP="00BE1F8F" w:rsidRDefault="007A0964" w14:paraId="2E2C7A15" w14:textId="4BB9F468">
            <w:pPr>
              <w:overflowPunct w:val="0"/>
              <w:autoSpaceDE w:val="0"/>
              <w:autoSpaceDN w:val="0"/>
              <w:adjustRightInd w:val="0"/>
              <w:textAlignment w:val="baseline"/>
              <w:rPr>
                <w:i/>
              </w:rPr>
            </w:pPr>
            <w:r>
              <w:rPr>
                <w:i/>
              </w:rPr>
              <w:t>Електронен адрес:</w:t>
            </w:r>
          </w:p>
        </w:tc>
        <w:tc>
          <w:tcPr>
            <w:tcW w:w="3782" w:type="pct"/>
          </w:tcPr>
          <w:p w:rsidRPr="00EF5B43" w:rsidR="009B199C" w:rsidP="00BE1F8F" w:rsidRDefault="004474A5" w14:paraId="7B544A6C" w14:textId="195BC3BF">
            <w:pPr>
              <w:overflowPunct w:val="0"/>
              <w:autoSpaceDE w:val="0"/>
              <w:autoSpaceDN w:val="0"/>
              <w:adjustRightInd w:val="0"/>
              <w:textAlignment w:val="baseline"/>
              <w:rPr>
                <w:i/>
              </w:rPr>
            </w:pPr>
            <w:hyperlink w:history="1" r:id="rId24">
              <w:r w:rsidR="00B30936">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4474A5"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Финансиране на отбраната в ЕС</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2376"/>
        <w:gridCol w:w="6413"/>
      </w:tblGrid>
      <w:tr w:rsidRPr="00773E8D" w:rsidR="00773E8D" w:rsidTr="001707F5" w14:paraId="7736047E" w14:textId="77777777">
        <w:tc>
          <w:tcPr>
            <w:tcW w:w="2376"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Докладчик</w:t>
            </w:r>
          </w:p>
        </w:tc>
        <w:tc>
          <w:tcPr>
            <w:tcW w:w="6413"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r>
              <w:t>Marcin NOWACKI (група „Работодатели“ — PL)</w:t>
            </w:r>
          </w:p>
        </w:tc>
      </w:tr>
      <w:tr w:rsidRPr="00773E8D" w:rsidR="00773E8D" w:rsidTr="001707F5" w14:paraId="1DEF454E" w14:textId="77777777">
        <w:tc>
          <w:tcPr>
            <w:tcW w:w="2376"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Отправен документ</w:t>
            </w:r>
          </w:p>
        </w:tc>
        <w:tc>
          <w:tcPr>
            <w:tcW w:w="6413"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Проучвателно становище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ЕИСК:</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подчертава спешната необходимост на променящата се ситуация със сигурността в Европа да се отговори чрез солидни и единни механизми за финансиране на отбраната. Геополитическите предизвикателства, по-специално руската агресия срещу Украйна, налагат незабавни и стратегически инвестиции в отбранителни способности, както във военната, така и в гражданската готовност, за да се защитят фундаменталните ценности, сигурността и икономическите интереси на ЕС;</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подчертава, че ЕС трябва ясно да определи целите на своята отбранителна политика и да укрепи европейския стълб на отбраната, чиито ресурси и оперативни способности трябва да се обвържат с НАТО. Отбранителната политика е част от външната политика и политиката на сигурност на ЕС, която трябва да насърчава мира, демокрацията и правата на човека на нашия континент, в съседните области и по света, както и да защитава многостранните институции от системата на ООН;</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подчертава необходимостта от намиране на начини за укрепване на отбранителните способности на ЕС в съответствие с Договора;</w:t>
      </w:r>
    </w:p>
    <w:p w:rsidRPr="00773E8D" w:rsidR="00773E8D" w:rsidP="008171FA" w:rsidRDefault="00773E8D" w14:paraId="1C22811F" w14:textId="77777777">
      <w:pPr>
        <w:numPr>
          <w:ilvl w:val="0"/>
          <w:numId w:val="44"/>
        </w:numPr>
        <w:overflowPunct w:val="0"/>
        <w:autoSpaceDE w:val="0"/>
        <w:autoSpaceDN w:val="0"/>
        <w:adjustRightInd w:val="0"/>
        <w:ind w:left="284" w:hanging="284"/>
        <w:contextualSpacing/>
        <w:textAlignment w:val="baseline"/>
      </w:pPr>
      <w:r>
        <w:t>подчертава важното значение на задълбочаването на сътрудничеството между ЕС и НАТО, за да се гарантира единен подход към отбраната;</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подчертава, че е важно европейските членове на НАТО да се ангажират да изразходват най-малко 2,5 % от своя БВП за отбрана;</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подчертава, че сред непосредствените приоритети за финансиране следва да се включат разработването и производството на съвременни отбранителни системи. Увеличаването на инвестициите в такива технологии следва да започне незабавно, дори още в рамките на настоящия бюджетен период на МФР;</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подчертава, че укрепването на европейската отбранителна технологична и индустриална база (ЕОТИБ) е жизненоважно, за да се намали зависимостта от външни доставчици и да се насърчат иновациите в ЕС;</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се застъпва за разширяване на механизмите за съвместно възлагане на обществени поръчки, включително Европейския механизъм за подкрепа на мира (ЕМПМ), за да се постигне максимално ефективно използване на ресурсите и да се укрепи стратегическото партньорство. Следва да се разширят инициативи като Акта в подкрепа на производството на боеприпаси (ASAP) и инструмента за укрепване на европейската отбранителна промишленост чрез съвместни поръчки (EDIRPA), за да се пристъпи към решаването на въпроса с проблемните точки в производството и оперативната готовност;</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подчертава, че следва да продължат партньорствата с трети държави, за да се постигне напредък в съвместните усилия в областта на инфраструктурата за сигурност и технологичните иновации;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lastRenderedPageBreak/>
        <w:t>подчертава значението на публично-частните партньорства като допълващ инструмент за привличане на експертен опит и ресурси, ускоряване на иновациите и внедряването в критични области;</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t>подчертава, че при финансирането на отбраната приоритет следва да се дава на подкрепата за държавите от ЕС, разположени по неговите външни граници, които са най-пряко засегнати от регионални конфликти, при условие че следват стриктно колективните цели и принципи на ЕС и НАТО;</w:t>
      </w:r>
    </w:p>
    <w:p w:rsidRPr="00773E8D" w:rsidR="00773E8D" w:rsidP="008171FA" w:rsidRDefault="00773E8D" w14:paraId="6AF1CE95" w14:textId="77777777">
      <w:pPr>
        <w:numPr>
          <w:ilvl w:val="0"/>
          <w:numId w:val="44"/>
        </w:numPr>
        <w:overflowPunct w:val="0"/>
        <w:autoSpaceDE w:val="0"/>
        <w:autoSpaceDN w:val="0"/>
        <w:adjustRightInd w:val="0"/>
        <w:ind w:left="284" w:hanging="284"/>
        <w:contextualSpacing/>
        <w:textAlignment w:val="baseline"/>
      </w:pPr>
      <w:r>
        <w:t>подчертава значението на интегрирането на финансирането в областта на отбраната в по-широките финансови механизми на ЕС, включително следващата многогодишна финансова рамка (МФР), без да се застрашават други приоритети на ЕС от критично значение като политиката на сближаване, екологичния преход и Европейския стълб на социалните права;</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подчертава, че следва да се проведат кампании за повишаване на обществената осведоменост, за да се подчертае жизненоважната роля на финансирането на отбраната за гарантиране на мира и сигурността в Европа, както и на демократичния начин на живот и социалното сближаване в Европа;</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смята, че ЕС трябва да установи обща отбранителна политика в рамките на обща външна политика и политика на сигурност, да изгради силен европейски стълб на отбраната и да предприеме необходимите законодателни и финансови мерки за тази цел;</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смята също така, че ЕС трябва да играе активна дипломатическа роля за постигането на справедлив мир в Украйна.</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2376"/>
        <w:gridCol w:w="6804"/>
      </w:tblGrid>
      <w:tr w:rsidRPr="00773E8D" w:rsidR="00773E8D" w:rsidTr="001707F5" w14:paraId="72A4C0C1" w14:textId="77777777">
        <w:tc>
          <w:tcPr>
            <w:tcW w:w="2376" w:type="dxa"/>
          </w:tcPr>
          <w:p w:rsidRPr="00672FB1" w:rsidR="00773E8D" w:rsidP="00BE1F8F" w:rsidRDefault="00773E8D" w14:paraId="6CF8EC77" w14:textId="06469DDE">
            <w:pPr>
              <w:overflowPunct w:val="0"/>
              <w:autoSpaceDE w:val="0"/>
              <w:autoSpaceDN w:val="0"/>
              <w:adjustRightInd w:val="0"/>
              <w:textAlignment w:val="baseline"/>
              <w:rPr>
                <w:b/>
                <w:bCs/>
                <w:i/>
                <w:lang w:val="en-GB"/>
              </w:rPr>
            </w:pPr>
            <w:r w:rsidRPr="00672FB1">
              <w:rPr>
                <w:b/>
                <w:bCs/>
                <w:i/>
              </w:rPr>
              <w:t>За контакт</w:t>
            </w:r>
            <w:r w:rsidRPr="00672FB1" w:rsidR="001707F5">
              <w:rPr>
                <w:b/>
                <w:bCs/>
                <w:i/>
                <w:lang w:val="en-GB"/>
              </w:rPr>
              <w:t>:</w:t>
            </w:r>
          </w:p>
        </w:tc>
        <w:tc>
          <w:tcPr>
            <w:tcW w:w="6804"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Gerald Klec</w:t>
            </w:r>
          </w:p>
        </w:tc>
      </w:tr>
      <w:tr w:rsidRPr="00773E8D" w:rsidR="00773E8D" w:rsidTr="001707F5" w14:paraId="2C039993" w14:textId="77777777">
        <w:tc>
          <w:tcPr>
            <w:tcW w:w="2376" w:type="dxa"/>
          </w:tcPr>
          <w:p w:rsidRPr="00773E8D" w:rsidR="00773E8D" w:rsidP="00BE1F8F" w:rsidRDefault="00773E8D" w14:paraId="3583AD71" w14:textId="77777777">
            <w:pPr>
              <w:overflowPunct w:val="0"/>
              <w:autoSpaceDE w:val="0"/>
              <w:autoSpaceDN w:val="0"/>
              <w:adjustRightInd w:val="0"/>
              <w:textAlignment w:val="baseline"/>
              <w:rPr>
                <w:i/>
              </w:rPr>
            </w:pPr>
            <w:r>
              <w:rPr>
                <w:i/>
              </w:rPr>
              <w:t>Тел.:</w:t>
            </w:r>
          </w:p>
        </w:tc>
        <w:tc>
          <w:tcPr>
            <w:tcW w:w="6804"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+32 25469909</w:t>
            </w:r>
          </w:p>
        </w:tc>
      </w:tr>
      <w:tr w:rsidRPr="00773E8D" w:rsidR="00773E8D" w:rsidTr="001707F5" w14:paraId="161B9255" w14:textId="77777777">
        <w:tc>
          <w:tcPr>
            <w:tcW w:w="2376" w:type="dxa"/>
          </w:tcPr>
          <w:p w:rsidRPr="00773E8D" w:rsidR="00773E8D" w:rsidP="00BE1F8F" w:rsidRDefault="00773E8D" w14:paraId="21276802" w14:textId="77777777">
            <w:pPr>
              <w:overflowPunct w:val="0"/>
              <w:autoSpaceDE w:val="0"/>
              <w:autoSpaceDN w:val="0"/>
              <w:adjustRightInd w:val="0"/>
              <w:textAlignment w:val="baseline"/>
              <w:rPr>
                <w:i/>
              </w:rPr>
            </w:pPr>
            <w:r>
              <w:rPr>
                <w:i/>
              </w:rPr>
              <w:t>Електронен адрес:</w:t>
            </w:r>
          </w:p>
        </w:tc>
        <w:tc>
          <w:tcPr>
            <w:tcW w:w="6804" w:type="dxa"/>
          </w:tcPr>
          <w:p w:rsidRPr="00C77862" w:rsidR="00773E8D" w:rsidP="00BE1F8F" w:rsidRDefault="004474A5" w14:paraId="7FCDD2C3" w14:textId="2AECDE8E">
            <w:pPr>
              <w:overflowPunct w:val="0"/>
              <w:autoSpaceDE w:val="0"/>
              <w:autoSpaceDN w:val="0"/>
              <w:adjustRightInd w:val="0"/>
              <w:textAlignment w:val="baseline"/>
              <w:rPr>
                <w:i/>
                <w:iCs/>
              </w:rPr>
            </w:pPr>
            <w:hyperlink w:history="1" r:id="rId26">
              <w:r w:rsidR="00773E8D">
                <w:rPr>
                  <w:i/>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4474A5" w14:paraId="510F45CA" w14:textId="58C2B1AF">
      <w:pPr>
        <w:widowControl w:val="0"/>
        <w:numPr>
          <w:ilvl w:val="0"/>
          <w:numId w:val="2"/>
        </w:numPr>
        <w:overflowPunct w:val="0"/>
        <w:autoSpaceDE w:val="0"/>
        <w:autoSpaceDN w:val="0"/>
        <w:adjustRightInd w:val="0"/>
        <w:ind w:hanging="567"/>
        <w:textAlignment w:val="baseline"/>
      </w:pPr>
      <w:hyperlink w:history="1" r:id="rId27">
        <w:r w:rsidR="00B30936">
          <w:rPr>
            <w:b/>
            <w:i/>
            <w:color w:val="0000FF"/>
            <w:sz w:val="28"/>
            <w:u w:val="single"/>
          </w:rPr>
          <w:t>Укрепване на ориентираността към резултати на политиката на сближаване след 2027 г. — предизвикателства, рискове и възможности</w:t>
        </w:r>
      </w:hyperlink>
    </w:p>
    <w:p w:rsidRPr="00BE1F8F" w:rsidR="009B199C" w:rsidP="00BE1F8F" w:rsidRDefault="009B199C" w14:paraId="51F52A14" w14:textId="77777777">
      <w:pPr>
        <w:widowControl w:val="0"/>
        <w:overflowPunct w:val="0"/>
        <w:autoSpaceDE w:val="0"/>
        <w:autoSpaceDN w:val="0"/>
        <w:adjustRightInd w:val="0"/>
        <w:ind w:left="283"/>
        <w:textAlignment w:val="baseline"/>
        <w:rPr>
          <w:b/>
          <w:i/>
          <w:iCs/>
          <w:sz w:val="12"/>
          <w:szCs w:val="12"/>
          <w:lang w:val="en-GB"/>
        </w:rPr>
      </w:pPr>
    </w:p>
    <w:tbl>
      <w:tblPr>
        <w:tblW w:w="0" w:type="auto"/>
        <w:tblLook w:val="04A0" w:firstRow="1" w:lastRow="0" w:firstColumn="1" w:lastColumn="0" w:noHBand="0" w:noVBand="1"/>
      </w:tblPr>
      <w:tblGrid>
        <w:gridCol w:w="2376"/>
        <w:gridCol w:w="6804"/>
      </w:tblGrid>
      <w:tr w:rsidRPr="00792ABA" w:rsidR="009B199C" w:rsidTr="001707F5" w14:paraId="5BC5C730" w14:textId="77777777">
        <w:tc>
          <w:tcPr>
            <w:tcW w:w="2376"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Докладчик</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6804"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David SVENTEK (група „Работодатели“ — CZ)</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(група „Работници“ — RO)</w:t>
            </w:r>
          </w:p>
        </w:tc>
      </w:tr>
      <w:tr w:rsidRPr="00792ABA" w:rsidR="009B199C" w:rsidTr="001707F5" w14:paraId="4A10BF69" w14:textId="77777777">
        <w:tc>
          <w:tcPr>
            <w:tcW w:w="2376" w:type="dxa"/>
          </w:tcPr>
          <w:p w:rsidRPr="00792ABA" w:rsidR="009B199C" w:rsidP="00BE1F8F" w:rsidRDefault="009B199C" w14:paraId="4D7754ED" w14:textId="396C246D">
            <w:pPr>
              <w:tabs>
                <w:tab w:val="center" w:pos="284"/>
              </w:tabs>
              <w:overflowPunct w:val="0"/>
              <w:autoSpaceDE w:val="0"/>
              <w:autoSpaceDN w:val="0"/>
              <w:adjustRightInd w:val="0"/>
              <w:ind w:left="266" w:hanging="266"/>
              <w:textAlignment w:val="baseline"/>
              <w:rPr>
                <w:b/>
              </w:rPr>
            </w:pPr>
            <w:r>
              <w:rPr>
                <w:b/>
              </w:rPr>
              <w:t>Отправен документ</w:t>
            </w:r>
          </w:p>
        </w:tc>
        <w:tc>
          <w:tcPr>
            <w:tcW w:w="6804" w:type="dxa"/>
          </w:tcPr>
          <w:p w:rsidRPr="00792ABA" w:rsidR="009B199C" w:rsidP="001707F5" w:rsidRDefault="009B199C" w14:paraId="7601F5CA" w14:textId="00E8D08D">
            <w:pPr>
              <w:overflowPunct w:val="0"/>
              <w:autoSpaceDE w:val="0"/>
              <w:autoSpaceDN w:val="0"/>
              <w:adjustRightInd w:val="0"/>
              <w:textAlignment w:val="baseline"/>
            </w:pPr>
            <w:r>
              <w:t>Проучвателно становище по искане на полското председателство на Съвета на ЕС</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C43D3E"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C43D3E"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ЕИСК:</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категорично подкрепя продължаването на политиката на сближаване на ЕС, като счита, че основанията за това са ясни, рационални и легитимни. От друга страна, признава, че политиката на сближаване трябва да бъде модернизирана и адаптирана, за да се отчетат тенденциите и нуждите на развитието;</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счита, че настоящият дял от бюджета на ЕС за политиката на сближаване не следва да бъде намаляван в следващата МФР, а вместо това следва да бъде увеличен.</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препоръчва политиката на сближаване в бъдеще да се управлява в съответствие със следните принципи: партньорство (включително активен принос на организираното гражданско общество); споделено управление (балансирано участие на ЕС, националните и регионалните власти); многостепенно управление (включващо регионите, градовете, местните власти и заинтересованите страни); ориентиран към местните условия подход (прилагане на подход „от долу нагоре“); тематична концентрация (която е взаимносвързана чрез процеса на европейския семестър); териториална насоченост (основана също на регионалните особености); ориентираност към резултати (само в случай на реални и количествено изразени ползи); опростяване (на правилата и процедурите) и социални условия за финансираните инвестиции;</w:t>
      </w:r>
    </w:p>
    <w:p w:rsidRPr="00792ABA" w:rsidR="009B199C" w:rsidP="00BE1F8F" w:rsidRDefault="009B199C" w14:paraId="384FD159" w14:textId="77777777">
      <w:pPr>
        <w:numPr>
          <w:ilvl w:val="0"/>
          <w:numId w:val="22"/>
        </w:numPr>
        <w:overflowPunct w:val="0"/>
        <w:autoSpaceDE w:val="0"/>
        <w:autoSpaceDN w:val="0"/>
        <w:adjustRightInd w:val="0"/>
        <w:ind w:left="284" w:hanging="284"/>
        <w:contextualSpacing/>
        <w:textAlignment w:val="baseline"/>
        <w:rPr>
          <w:bCs/>
          <w:iCs/>
        </w:rPr>
      </w:pPr>
      <w:r>
        <w:t>счита, че в една бъдеща, ориентирана към резултатите политика на сближаване следва ясно да се вземат предвид геополитическите предизвикателства, необходими са инвестиции в изграждането на капацитет и се консолидира принципът на партньорство;</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изтъква, че превръщането на ориентирания към резултати подход в основен принцип ще допринесе за по-ефективно разпределение на ограничените ресурси на политиката на сближаване и ще донесе видими и прозрачни ползи;</w:t>
      </w:r>
    </w:p>
    <w:p w:rsidRPr="00792ABA" w:rsidR="009B199C" w:rsidP="00BE1F8F" w:rsidRDefault="009B199C" w14:paraId="69027A6A" w14:textId="77777777">
      <w:pPr>
        <w:numPr>
          <w:ilvl w:val="0"/>
          <w:numId w:val="22"/>
        </w:numPr>
        <w:overflowPunct w:val="0"/>
        <w:autoSpaceDE w:val="0"/>
        <w:autoSpaceDN w:val="0"/>
        <w:adjustRightInd w:val="0"/>
        <w:ind w:left="284" w:hanging="284"/>
        <w:contextualSpacing/>
        <w:textAlignment w:val="baseline"/>
        <w:rPr>
          <w:bCs/>
          <w:iCs/>
        </w:rPr>
      </w:pPr>
      <w:r>
        <w:t>счита, че задълженията, произтичащи от въвеждането на ориентиран към резултати подход, не следва да се добавят към съществуващите процеси на контрол и одит за проверка на ефективността, ефикасността и икономичността на разходите по проекти, финансирани със средствата за сближаване;</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изразява дълбокото си убеждение, че въпреки всички необходими промени в съдържанието и насочеността на политиката на сближаване, регионите и техните специфични нужди от развитие и стабилност трябва да останат в основата ѝ, като същевременно се търси намаляване на неравенствата;</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lastRenderedPageBreak/>
        <w:t xml:space="preserve">счита, че следва да се обърне по-голямо внимание на социалните инвестиции, включително жилищното настаняване, като структурни елементи на териториалното развитие, на достъпа до качествени обществени услуги и на демографските предизвикателства;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t>препоръчва да се създаде прозрачна политическа среда с ясно определена позиция на конкретните заинтересовани страни, включително на представителите на организираното гражданско общество;</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t>е наясно със сложността на системата, която трябва да бъде значително опростена и да стане по-прозрачна;</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t>подчертава, че особено в настоящия и предстоящия период на икономическо и социално развитие в ЕС сближаването и устойчивата конкурентоспособност не си противоречат.</w:t>
      </w:r>
    </w:p>
    <w:p w:rsidR="009B199C" w:rsidP="00BE1F8F" w:rsidRDefault="009B199C" w14:paraId="1DD19EA2" w14:textId="66A2333D">
      <w:pPr>
        <w:ind w:left="360"/>
        <w:contextualSpacing/>
        <w:rPr>
          <w:rFonts w:ascii="Calibri" w:hAnsi="Calibri"/>
          <w:bCs/>
          <w:iCs/>
          <w:sz w:val="16"/>
          <w:szCs w:val="16"/>
          <w:lang w:val="en-GB" w:eastAsia="zh-CN"/>
        </w:rPr>
      </w:pPr>
    </w:p>
    <w:tbl>
      <w:tblPr>
        <w:tblW w:w="9322" w:type="dxa"/>
        <w:tblLook w:val="04A0" w:firstRow="1" w:lastRow="0" w:firstColumn="1" w:lastColumn="0" w:noHBand="0" w:noVBand="1"/>
      </w:tblPr>
      <w:tblGrid>
        <w:gridCol w:w="2376"/>
        <w:gridCol w:w="6946"/>
      </w:tblGrid>
      <w:tr w:rsidRPr="00792ABA" w:rsidR="00E14D8E" w:rsidTr="001707F5" w14:paraId="6547EFA9" w14:textId="77777777">
        <w:tc>
          <w:tcPr>
            <w:tcW w:w="2376" w:type="dxa"/>
          </w:tcPr>
          <w:p w:rsidRPr="001707F5" w:rsidR="00E14D8E" w:rsidP="00BE1F8F" w:rsidRDefault="00E14D8E" w14:paraId="4258610F" w14:textId="069A5600">
            <w:pPr>
              <w:overflowPunct w:val="0"/>
              <w:autoSpaceDE w:val="0"/>
              <w:autoSpaceDN w:val="0"/>
              <w:adjustRightInd w:val="0"/>
              <w:textAlignment w:val="baseline"/>
              <w:rPr>
                <w:i/>
                <w:lang w:val="en-GB"/>
              </w:rPr>
            </w:pPr>
            <w:r>
              <w:rPr>
                <w:b/>
                <w:i/>
              </w:rPr>
              <w:t>За контакт</w:t>
            </w:r>
            <w:r w:rsidR="001707F5">
              <w:rPr>
                <w:b/>
                <w:i/>
                <w:lang w:val="en-GB"/>
              </w:rPr>
              <w:t>:</w:t>
            </w:r>
          </w:p>
        </w:tc>
        <w:tc>
          <w:tcPr>
            <w:tcW w:w="6946" w:type="dxa"/>
          </w:tcPr>
          <w:p w:rsidRPr="00792ABA" w:rsidR="00E14D8E" w:rsidP="00BE1F8F" w:rsidRDefault="00E14D8E" w14:paraId="5390638D" w14:textId="77777777">
            <w:pPr>
              <w:overflowPunct w:val="0"/>
              <w:autoSpaceDE w:val="0"/>
              <w:autoSpaceDN w:val="0"/>
              <w:adjustRightInd w:val="0"/>
              <w:textAlignment w:val="baseline"/>
              <w:rPr>
                <w:i/>
              </w:rPr>
            </w:pPr>
            <w:r>
              <w:rPr>
                <w:i/>
              </w:rPr>
              <w:t>Georgios Meleas</w:t>
            </w:r>
          </w:p>
        </w:tc>
      </w:tr>
      <w:tr w:rsidRPr="00792ABA" w:rsidR="00E14D8E" w:rsidTr="001707F5" w14:paraId="5F576F6C" w14:textId="77777777">
        <w:tc>
          <w:tcPr>
            <w:tcW w:w="2376" w:type="dxa"/>
          </w:tcPr>
          <w:p w:rsidRPr="00792ABA" w:rsidR="00E14D8E" w:rsidP="00BE1F8F" w:rsidRDefault="00E14D8E" w14:paraId="13C225A0" w14:textId="77777777">
            <w:pPr>
              <w:overflowPunct w:val="0"/>
              <w:autoSpaceDE w:val="0"/>
              <w:autoSpaceDN w:val="0"/>
              <w:adjustRightInd w:val="0"/>
              <w:textAlignment w:val="baseline"/>
              <w:rPr>
                <w:i/>
              </w:rPr>
            </w:pPr>
            <w:r>
              <w:rPr>
                <w:i/>
              </w:rPr>
              <w:t>Тел.:</w:t>
            </w:r>
          </w:p>
        </w:tc>
        <w:tc>
          <w:tcPr>
            <w:tcW w:w="6946" w:type="dxa"/>
          </w:tcPr>
          <w:p w:rsidRPr="00792ABA" w:rsidR="00E14D8E" w:rsidP="00BE1F8F" w:rsidRDefault="00E14D8E" w14:paraId="1A2A2EF0" w14:textId="77777777">
            <w:pPr>
              <w:overflowPunct w:val="0"/>
              <w:autoSpaceDE w:val="0"/>
              <w:autoSpaceDN w:val="0"/>
              <w:adjustRightInd w:val="0"/>
              <w:textAlignment w:val="baseline"/>
              <w:rPr>
                <w:i/>
              </w:rPr>
            </w:pPr>
            <w:r>
              <w:rPr>
                <w:i/>
              </w:rPr>
              <w:t>+32 2 5469795</w:t>
            </w:r>
          </w:p>
        </w:tc>
      </w:tr>
      <w:tr w:rsidRPr="00792ABA" w:rsidR="00E14D8E" w:rsidTr="001707F5" w14:paraId="243EA6DE" w14:textId="77777777">
        <w:tc>
          <w:tcPr>
            <w:tcW w:w="2376" w:type="dxa"/>
          </w:tcPr>
          <w:p w:rsidRPr="00792ABA" w:rsidR="00E14D8E" w:rsidP="00BE1F8F" w:rsidRDefault="00E14D8E" w14:paraId="385A71F4" w14:textId="77777777">
            <w:pPr>
              <w:overflowPunct w:val="0"/>
              <w:autoSpaceDE w:val="0"/>
              <w:autoSpaceDN w:val="0"/>
              <w:adjustRightInd w:val="0"/>
              <w:textAlignment w:val="baseline"/>
              <w:rPr>
                <w:i/>
              </w:rPr>
            </w:pPr>
            <w:r>
              <w:rPr>
                <w:i/>
              </w:rPr>
              <w:t>Електронен адрес:</w:t>
            </w:r>
          </w:p>
        </w:tc>
        <w:tc>
          <w:tcPr>
            <w:tcW w:w="6946" w:type="dxa"/>
          </w:tcPr>
          <w:p w:rsidRPr="00792ABA" w:rsidR="00E14D8E" w:rsidP="00BE1F8F" w:rsidRDefault="004474A5" w14:paraId="00D270D1" w14:textId="77777777">
            <w:pPr>
              <w:overflowPunct w:val="0"/>
              <w:autoSpaceDE w:val="0"/>
              <w:autoSpaceDN w:val="0"/>
              <w:adjustRightInd w:val="0"/>
              <w:textAlignment w:val="baseline"/>
              <w:rPr>
                <w:i/>
                <w:iCs/>
              </w:rPr>
            </w:pPr>
            <w:hyperlink w:history="1" r:id="rId28">
              <w:r w:rsidR="00B30936">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685944" w:id="10"/>
      <w:bookmarkEnd w:id="1"/>
      <w:bookmarkEnd w:id="2"/>
      <w:bookmarkEnd w:id="3"/>
      <w:bookmarkEnd w:id="4"/>
      <w:bookmarkEnd w:id="5"/>
      <w:bookmarkEnd w:id="6"/>
      <w:bookmarkEnd w:id="7"/>
      <w:bookmarkEnd w:id="8"/>
      <w:r>
        <w:rPr>
          <w:b/>
        </w:rPr>
        <w:lastRenderedPageBreak/>
        <w:t>ЗАЕТОСТ, СОЦИАЛНИ ВЪПРОСИ И ГРАЖДАНСТВО</w:t>
      </w:r>
      <w:bookmarkEnd w:id="9"/>
      <w:bookmarkEnd w:id="10"/>
    </w:p>
    <w:p w:rsidR="004D7AC0" w:rsidP="00BE1F8F" w:rsidRDefault="004D7AC0" w14:paraId="4982DD9A" w14:textId="77777777">
      <w:pPr>
        <w:keepNext/>
        <w:keepLines/>
      </w:pPr>
    </w:p>
    <w:p w:rsidRPr="00B4456F" w:rsidR="005820A0" w:rsidP="00BE1F8F" w:rsidRDefault="004474A5"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B30936">
          <w:rPr>
            <w:rStyle w:val="Hyperlink"/>
            <w:b/>
            <w:i/>
            <w:sz w:val="28"/>
          </w:rPr>
          <w:t>Борба със самотата: укрепване на мерките за демографско сближаване</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945"/>
      </w:tblGrid>
      <w:tr w:rsidRPr="001707F5" w:rsidR="005820A0" w:rsidTr="001707F5" w14:paraId="67BD490D" w14:textId="77777777">
        <w:tc>
          <w:tcPr>
            <w:tcW w:w="2235" w:type="dxa"/>
          </w:tcPr>
          <w:p w:rsidRPr="001707F5" w:rsidR="005820A0" w:rsidP="00BE1F8F" w:rsidRDefault="005820A0" w14:paraId="42367F1A" w14:textId="701C1F82">
            <w:pPr>
              <w:tabs>
                <w:tab w:val="center" w:pos="284"/>
              </w:tabs>
              <w:ind w:left="266" w:hanging="266"/>
              <w:rPr>
                <w:b/>
              </w:rPr>
            </w:pPr>
            <w:r w:rsidRPr="001707F5">
              <w:rPr>
                <w:b/>
              </w:rPr>
              <w:t>Докладчик</w:t>
            </w:r>
          </w:p>
        </w:tc>
        <w:tc>
          <w:tcPr>
            <w:tcW w:w="6945" w:type="dxa"/>
          </w:tcPr>
          <w:p w:rsidRPr="001707F5" w:rsidR="005820A0" w:rsidP="00672FB1" w:rsidRDefault="005820A0" w14:paraId="3FB6ED60" w14:textId="3DA0CD80">
            <w:pPr>
              <w:ind w:left="33"/>
            </w:pPr>
            <w:r w:rsidRPr="001707F5">
              <w:t>Miguel Ángel CABRA DE LUNA (група „Организации на гражданското общество“ — ES)</w:t>
            </w:r>
          </w:p>
        </w:tc>
      </w:tr>
      <w:tr w:rsidRPr="001707F5" w:rsidR="005820A0" w:rsidTr="001707F5" w14:paraId="6076883C" w14:textId="77777777">
        <w:tc>
          <w:tcPr>
            <w:tcW w:w="2235" w:type="dxa"/>
            <w:vMerge w:val="restart"/>
          </w:tcPr>
          <w:p w:rsidRPr="001707F5" w:rsidR="005820A0" w:rsidP="00BE1F8F" w:rsidRDefault="005820A0" w14:paraId="544AEDE8" w14:textId="4C4437C3">
            <w:pPr>
              <w:tabs>
                <w:tab w:val="center" w:pos="284"/>
              </w:tabs>
              <w:ind w:left="266" w:hanging="266"/>
              <w:rPr>
                <w:b/>
              </w:rPr>
            </w:pPr>
            <w:r w:rsidRPr="001707F5">
              <w:rPr>
                <w:b/>
              </w:rPr>
              <w:t>Отправен документ</w:t>
            </w:r>
          </w:p>
        </w:tc>
        <w:tc>
          <w:tcPr>
            <w:tcW w:w="6945" w:type="dxa"/>
          </w:tcPr>
          <w:p w:rsidRPr="001707F5" w:rsidR="005820A0" w:rsidP="00BE1F8F" w:rsidRDefault="005820A0" w14:paraId="5995BCBD" w14:textId="77777777">
            <w:pPr>
              <w:tabs>
                <w:tab w:val="center" w:pos="284"/>
              </w:tabs>
              <w:ind w:left="266" w:hanging="266"/>
            </w:pPr>
            <w:r w:rsidRPr="001707F5">
              <w:t>Становище по собствена инициатива</w:t>
            </w:r>
          </w:p>
        </w:tc>
      </w:tr>
      <w:tr w:rsidRPr="001707F5" w:rsidR="005820A0" w:rsidTr="001707F5" w14:paraId="4CBB60AE" w14:textId="77777777">
        <w:tc>
          <w:tcPr>
            <w:tcW w:w="2235" w:type="dxa"/>
            <w:vMerge/>
          </w:tcPr>
          <w:p w:rsidRPr="001707F5" w:rsidR="005820A0" w:rsidP="00BE1F8F" w:rsidRDefault="005820A0" w14:paraId="3E553D04" w14:textId="77777777">
            <w:pPr>
              <w:tabs>
                <w:tab w:val="center" w:pos="284"/>
              </w:tabs>
              <w:ind w:left="266" w:hanging="266"/>
              <w:rPr>
                <w:b/>
              </w:rPr>
            </w:pPr>
          </w:p>
        </w:tc>
        <w:tc>
          <w:tcPr>
            <w:tcW w:w="6945" w:type="dxa"/>
          </w:tcPr>
          <w:p w:rsidRPr="001707F5" w:rsidR="005820A0" w:rsidP="00BE1F8F" w:rsidRDefault="005820A0" w14:paraId="67128669" w14:textId="77777777">
            <w:pPr>
              <w:tabs>
                <w:tab w:val="center" w:pos="284"/>
              </w:tabs>
              <w:ind w:left="266" w:hanging="266"/>
            </w:pPr>
            <w:r w:rsidRPr="001707F5">
              <w:t>EESC-2024-03264-00-00-AC</w:t>
            </w:r>
          </w:p>
        </w:tc>
      </w:tr>
    </w:tbl>
    <w:p w:rsidRPr="00B4456F"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Основни аспекти</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5820A0" w14:paraId="25B369D6" w14:textId="77777777">
      <w:pPr>
        <w:rPr>
          <w:bCs/>
          <w:iCs/>
        </w:rPr>
      </w:pPr>
      <w:r>
        <w:t>ЕИСК:</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призовава Комисията да приеме европейска стратегия за справяне със самотата по време на своя мандат 2025—2029 г., която да консолидира знанията относно самотата, да анализира и оцени съществуващите мерки, да включи междусекторен подход, да се справи с първопричините за самотата чрез превантивен подход, да повиши осведомеността и да премахне стигматизирането, да облекчи натиска върху здравните системи и да мобилизира финансова подкрепа;</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изтъква основната роля, която играят организациите на гражданското общество в борбата срещу самотата, и счита, че социалните партньори също могат да допринесат в това отношение;</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призовава за разработване на конкретни мерки срещу самотата на равнище ЕС като част от европейската стратегия за възрастните хора (становище SOC/757) и бъдещата европейска стратегия за равнопоставеност между поколенията (становище SOC/800), включително национални планове;</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счита, че стратегиите следва да разглеждат самотата на всички етапи от живота, като се съсредоточат върху основните преходни периоди. Освен това те изискват лидерство на високо равнище и включване на всички заинтересовани страни, в т.ч. публичните администрации (по-специално местните власти), организираното гражданско общество, социалните партньори, социалната икономика и медиите;</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призовава Европейската комисия да продължи пилотния проект във връзка с нежеланата самота, стартиран през 2022 г. по искане на Европейския парламент;</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призовава измерението на самотата да бъде включено в бъдещата инициатива за проверка във връзка с младежта;</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насърчава Европейския комитет на регионите да се включи в предложената стратегия.</w:t>
      </w:r>
    </w:p>
    <w:p w:rsidRPr="00B4456F"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87"/>
      </w:tblGrid>
      <w:tr w:rsidRPr="00672FB1" w:rsidR="005820A0" w:rsidTr="001707F5" w14:paraId="7592C7BE" w14:textId="77777777">
        <w:tc>
          <w:tcPr>
            <w:tcW w:w="2093" w:type="dxa"/>
          </w:tcPr>
          <w:p w:rsidRPr="00672FB1" w:rsidR="005820A0" w:rsidP="00BE1F8F" w:rsidRDefault="005820A0" w14:paraId="208016A2" w14:textId="69324C81">
            <w:pPr>
              <w:rPr>
                <w:i/>
                <w:lang w:val="en-GB"/>
              </w:rPr>
            </w:pPr>
            <w:r w:rsidRPr="00672FB1">
              <w:rPr>
                <w:b/>
                <w:i/>
              </w:rPr>
              <w:t>За контакт</w:t>
            </w:r>
            <w:r w:rsidRPr="00672FB1" w:rsidR="001707F5">
              <w:rPr>
                <w:b/>
                <w:i/>
                <w:lang w:val="en-GB"/>
              </w:rPr>
              <w:t>:</w:t>
            </w:r>
          </w:p>
        </w:tc>
        <w:tc>
          <w:tcPr>
            <w:tcW w:w="7087" w:type="dxa"/>
          </w:tcPr>
          <w:p w:rsidRPr="00672FB1" w:rsidR="005820A0" w:rsidP="00BE1F8F" w:rsidRDefault="005820A0" w14:paraId="6CF1067D" w14:textId="712D966F">
            <w:pPr>
              <w:rPr>
                <w:i/>
              </w:rPr>
            </w:pPr>
            <w:r w:rsidRPr="00672FB1">
              <w:rPr>
                <w:i/>
              </w:rPr>
              <w:t>Valeria Atzori</w:t>
            </w:r>
          </w:p>
        </w:tc>
      </w:tr>
      <w:tr w:rsidRPr="00672FB1" w:rsidR="005820A0" w:rsidTr="001707F5" w14:paraId="6C8121C6" w14:textId="77777777">
        <w:tc>
          <w:tcPr>
            <w:tcW w:w="2093" w:type="dxa"/>
          </w:tcPr>
          <w:p w:rsidRPr="00672FB1" w:rsidR="005820A0" w:rsidP="00BE1F8F" w:rsidRDefault="005820A0" w14:paraId="1B05B83D" w14:textId="43B7C197">
            <w:pPr>
              <w:rPr>
                <w:i/>
              </w:rPr>
            </w:pPr>
            <w:r w:rsidRPr="00672FB1">
              <w:rPr>
                <w:i/>
              </w:rPr>
              <w:t>Тел.:</w:t>
            </w:r>
          </w:p>
        </w:tc>
        <w:tc>
          <w:tcPr>
            <w:tcW w:w="7087" w:type="dxa"/>
          </w:tcPr>
          <w:p w:rsidRPr="00672FB1" w:rsidR="005820A0" w:rsidP="00BE1F8F" w:rsidRDefault="005820A0" w14:paraId="4579CB82" w14:textId="77777777">
            <w:pPr>
              <w:rPr>
                <w:i/>
              </w:rPr>
            </w:pPr>
            <w:r w:rsidRPr="00672FB1">
              <w:rPr>
                <w:i/>
              </w:rPr>
              <w:t>+32 25468774</w:t>
            </w:r>
          </w:p>
        </w:tc>
      </w:tr>
      <w:tr w:rsidRPr="00672FB1" w:rsidR="005820A0" w:rsidTr="001707F5" w14:paraId="7DF31CE8" w14:textId="77777777">
        <w:trPr>
          <w:trHeight w:val="285"/>
        </w:trPr>
        <w:tc>
          <w:tcPr>
            <w:tcW w:w="2093" w:type="dxa"/>
          </w:tcPr>
          <w:p w:rsidRPr="00672FB1" w:rsidR="005820A0" w:rsidP="00BE1F8F" w:rsidRDefault="005820A0" w14:paraId="30F9AA2F" w14:textId="7B8A8D0D">
            <w:pPr>
              <w:rPr>
                <w:i/>
              </w:rPr>
            </w:pPr>
            <w:r w:rsidRPr="00672FB1">
              <w:rPr>
                <w:i/>
              </w:rPr>
              <w:t>Електронен адрес:</w:t>
            </w:r>
          </w:p>
        </w:tc>
        <w:tc>
          <w:tcPr>
            <w:tcW w:w="7087" w:type="dxa"/>
          </w:tcPr>
          <w:p w:rsidRPr="00672FB1" w:rsidR="005820A0" w:rsidP="00BE1F8F" w:rsidRDefault="004474A5" w14:paraId="75028D49" w14:textId="77777777">
            <w:pPr>
              <w:rPr>
                <w:i/>
                <w:iCs/>
              </w:rPr>
            </w:pPr>
            <w:hyperlink w:history="1" r:id="rId30">
              <w:r w:rsidRPr="00672FB1" w:rsidR="00B30936">
                <w:rPr>
                  <w:rStyle w:val="Hyperlink"/>
                  <w:i/>
                </w:rPr>
                <w:t>Valeria.Atzori@eesc.europa.eu</w:t>
              </w:r>
            </w:hyperlink>
          </w:p>
        </w:tc>
      </w:tr>
    </w:tbl>
    <w:p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4474A5"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B30936">
          <w:rPr>
            <w:b/>
            <w:i/>
            <w:color w:val="0000FF"/>
            <w:sz w:val="28"/>
            <w:u w:val="single"/>
          </w:rPr>
          <w:t>Насилието срещу жени като въпрос, свързан с правата на човека</w:t>
        </w:r>
      </w:hyperlink>
      <w:r w:rsidR="00B30936">
        <w:rPr>
          <w:b/>
          <w:i/>
          <w:color w:val="0000FF"/>
          <w:sz w:val="28"/>
          <w:u w:val="single"/>
        </w:rPr>
        <w:t>: преглед на действащите мерки в целия ЕС</w:t>
      </w:r>
    </w:p>
    <w:p w:rsidRPr="006D1DFA" w:rsidR="006D1DFA" w:rsidP="00BE1F8F" w:rsidRDefault="006D1DFA" w14:paraId="0322A41C" w14:textId="77777777">
      <w:pPr>
        <w:tabs>
          <w:tab w:val="center" w:pos="284"/>
        </w:tabs>
        <w:overflowPunct w:val="0"/>
        <w:autoSpaceDE w:val="0"/>
        <w:autoSpaceDN w:val="0"/>
        <w:adjustRightInd w:val="0"/>
        <w:ind w:left="567" w:hanging="567"/>
        <w:textAlignment w:val="baseline"/>
        <w:rPr>
          <w:sz w:val="16"/>
          <w:szCs w:val="16"/>
          <w:lang w:val="en-GB"/>
        </w:rPr>
      </w:pPr>
    </w:p>
    <w:tbl>
      <w:tblPr>
        <w:tblW w:w="9322" w:type="dxa"/>
        <w:tblLook w:val="04A0" w:firstRow="1" w:lastRow="0" w:firstColumn="1" w:lastColumn="0" w:noHBand="0" w:noVBand="1"/>
      </w:tblPr>
      <w:tblGrid>
        <w:gridCol w:w="2376"/>
        <w:gridCol w:w="6946"/>
      </w:tblGrid>
      <w:tr w:rsidRPr="00BA71AC" w:rsidR="006D1DFA" w:rsidTr="001707F5" w14:paraId="4E8132D8" w14:textId="77777777">
        <w:tc>
          <w:tcPr>
            <w:tcW w:w="2376"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Докладчик</w:t>
            </w:r>
          </w:p>
        </w:tc>
        <w:tc>
          <w:tcPr>
            <w:tcW w:w="6946" w:type="dxa"/>
          </w:tcPr>
          <w:p w:rsidRPr="006D1DFA" w:rsidR="006D1DFA" w:rsidP="00BE1F8F" w:rsidRDefault="006D1DFA" w14:paraId="59709140" w14:textId="77777777">
            <w:pPr>
              <w:overflowPunct w:val="0"/>
              <w:autoSpaceDE w:val="0"/>
              <w:autoSpaceDN w:val="0"/>
              <w:adjustRightInd w:val="0"/>
              <w:textAlignment w:val="baseline"/>
            </w:pPr>
            <w:r>
              <w:t>José Antonio MORENO DÍAZ (група „Работници“ — ES)</w:t>
            </w:r>
          </w:p>
        </w:tc>
      </w:tr>
      <w:tr w:rsidRPr="006D1DFA" w:rsidR="006D1DFA" w:rsidTr="001707F5" w14:paraId="30BC9238" w14:textId="77777777">
        <w:tc>
          <w:tcPr>
            <w:tcW w:w="2376"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Съдокладчик</w:t>
            </w:r>
          </w:p>
        </w:tc>
        <w:tc>
          <w:tcPr>
            <w:tcW w:w="6946" w:type="dxa"/>
          </w:tcPr>
          <w:p w:rsidRPr="006D1DFA" w:rsidR="006D1DFA" w:rsidP="00BE1F8F" w:rsidRDefault="006D1DFA" w14:paraId="04C5BBA6" w14:textId="2DB89C9A">
            <w:pPr>
              <w:overflowPunct w:val="0"/>
              <w:autoSpaceDE w:val="0"/>
              <w:autoSpaceDN w:val="0"/>
              <w:adjustRightInd w:val="0"/>
              <w:textAlignment w:val="baseline"/>
            </w:pPr>
            <w:r>
              <w:t>Dovilė JUODKAITĖ (група „Организации на гражданското общество“</w:t>
            </w:r>
            <w:r w:rsidR="00DF5AE9">
              <w:t> </w:t>
            </w:r>
            <w:r>
              <w:t>— LT)</w:t>
            </w:r>
          </w:p>
        </w:tc>
      </w:tr>
      <w:tr w:rsidRPr="006D1DFA" w:rsidR="006D1DFA" w:rsidTr="001707F5" w14:paraId="51A5C160" w14:textId="77777777">
        <w:tc>
          <w:tcPr>
            <w:tcW w:w="2376" w:type="dxa"/>
          </w:tcPr>
          <w:p w:rsidRPr="006D1DFA" w:rsidR="006D1DFA" w:rsidP="00BE1F8F" w:rsidRDefault="006D1DFA" w14:paraId="1546DA25" w14:textId="112DF30C">
            <w:pPr>
              <w:tabs>
                <w:tab w:val="center" w:pos="284"/>
              </w:tabs>
              <w:overflowPunct w:val="0"/>
              <w:autoSpaceDE w:val="0"/>
              <w:autoSpaceDN w:val="0"/>
              <w:adjustRightInd w:val="0"/>
              <w:ind w:left="567" w:hanging="567"/>
              <w:textAlignment w:val="baseline"/>
              <w:rPr>
                <w:b/>
              </w:rPr>
            </w:pPr>
            <w:r>
              <w:rPr>
                <w:b/>
              </w:rPr>
              <w:t>Отправен документ</w:t>
            </w:r>
          </w:p>
        </w:tc>
        <w:tc>
          <w:tcPr>
            <w:tcW w:w="6946"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Становище по собствена инициатива</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BE1F8F"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BE1F8F" w:rsidR="006D1DFA" w:rsidP="00BE1F8F" w:rsidRDefault="006D1DFA" w14:paraId="7A7C5D4B" w14:textId="77777777">
      <w:pPr>
        <w:overflowPunct w:val="0"/>
        <w:autoSpaceDE w:val="0"/>
        <w:autoSpaceDN w:val="0"/>
        <w:adjustRightInd w:val="0"/>
        <w:textAlignment w:val="baseline"/>
        <w:rPr>
          <w:sz w:val="16"/>
          <w:szCs w:val="16"/>
          <w:lang w:val="en-GB"/>
        </w:rPr>
      </w:pPr>
    </w:p>
    <w:p w:rsidR="006D1DFA" w:rsidP="00BE1F8F" w:rsidRDefault="006D1DFA" w14:paraId="10140015" w14:textId="77777777">
      <w:pPr>
        <w:overflowPunct w:val="0"/>
        <w:autoSpaceDE w:val="0"/>
        <w:autoSpaceDN w:val="0"/>
        <w:adjustRightInd w:val="0"/>
        <w:textAlignment w:val="baseline"/>
        <w:rPr>
          <w:szCs w:val="20"/>
        </w:rPr>
      </w:pPr>
      <w:r>
        <w:t>ЕИСК:</w:t>
      </w:r>
    </w:p>
    <w:p w:rsidRPr="006D1DFA" w:rsidR="006D1DFA" w:rsidP="00BE1F8F" w:rsidRDefault="006D1DFA" w14:paraId="6A53E697" w14:textId="77777777">
      <w:pPr>
        <w:numPr>
          <w:ilvl w:val="0"/>
          <w:numId w:val="24"/>
        </w:numPr>
        <w:overflowPunct w:val="0"/>
        <w:autoSpaceDE w:val="0"/>
        <w:autoSpaceDN w:val="0"/>
        <w:adjustRightInd w:val="0"/>
        <w:ind w:left="284" w:hanging="284"/>
        <w:contextualSpacing/>
        <w:textAlignment w:val="baseline"/>
      </w:pPr>
      <w:r>
        <w:t>припомня, че насилието над жени и момичета представлява нарушение на правата на човека и е една от най-трайните форми на дискриминация, основана на пола. Призовава за ратифициране и прилагане на Конвенцията на Съвета на Европа за превенция и борба с насилието над жени и домашното насилие (Истанбулската конвенция) и на Конвенция № 190 на Международната организация на труда относно насилието и тормоза (по-специално нейната препоръка 206) и за популяризиране на двете конвенции във всички държави членки и от самия ЕС;</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изразява убеждението си, че Директива 2024/1385/ЕС за борбата с насилието над жени и домашното насилие би трябвало да обхваща всички форми на насилие над жени, включително институционално насилие, проституция, порнография с търговска цел или с цел експлоатация, порнография, репродуктивна експлоатация, косвено насилие, химическо подчинение и уличен тормоз, както и сексуален и основан на пола тормоз, и принудителната стерилизация на жени с увреждания;</w:t>
      </w:r>
    </w:p>
    <w:p w:rsidRPr="006D1DFA" w:rsidR="006D1DFA" w:rsidP="00BE1F8F" w:rsidRDefault="006D1DFA" w14:paraId="449A6664" w14:textId="77777777">
      <w:pPr>
        <w:numPr>
          <w:ilvl w:val="0"/>
          <w:numId w:val="24"/>
        </w:numPr>
        <w:overflowPunct w:val="0"/>
        <w:autoSpaceDE w:val="0"/>
        <w:autoSpaceDN w:val="0"/>
        <w:adjustRightInd w:val="0"/>
        <w:ind w:left="284" w:hanging="284"/>
        <w:contextualSpacing/>
        <w:textAlignment w:val="baseline"/>
      </w:pPr>
      <w:r>
        <w:t>призовава сексуалното насилие и изнасилването да бъдат включени в директивата като форма на насилие, и да бъдат криминализирани въз основа на липсата на съгласие. Необходимо е определение за „съгласие“ във връзка със сексуалното насилие. Насилието, основано на пола, включително изнасилването, следва да се добави към списъка на престъпленията, установени на равнището на ЕС, упоменати в член 83, параграф 1 от ДФЕС;</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изразява загриженост, че физическото, психологическото и сексуалното насилие, които са съставни елементи на проституцията, не са включени като форма на насилие срещу жените, както и ограниченията върху свободното и безопасно доброволно прекъсване на бременността;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като подчертава, че всеки вид насилие срещу жени представлява съществен проблем за общественото и клиничното здраве, подчертава множествената и комбинирана дискриминация, на която са подложени жените с увреждания, и по-специално жените с психични заболявания и психосоциални и/или интелектуални увреждания, като призовава този вид насилие да се разглежда като проблем на общественото здраве с дългосрочни последици. Призовава също така за събиране на дезагрегирани данни по увреждания;</w:t>
      </w:r>
    </w:p>
    <w:p w:rsidRPr="006D1DFA" w:rsidR="006D1DFA" w:rsidP="00BE1F8F" w:rsidRDefault="006D1DFA" w14:paraId="33ACD23C" w14:textId="77777777">
      <w:pPr>
        <w:numPr>
          <w:ilvl w:val="0"/>
          <w:numId w:val="24"/>
        </w:numPr>
        <w:overflowPunct w:val="0"/>
        <w:autoSpaceDE w:val="0"/>
        <w:autoSpaceDN w:val="0"/>
        <w:adjustRightInd w:val="0"/>
        <w:ind w:left="284" w:hanging="284"/>
        <w:contextualSpacing/>
        <w:textAlignment w:val="baseline"/>
      </w:pPr>
      <w:r>
        <w:t xml:space="preserve">изразява дълбока загриженост относно възгледите, които отричат насилието срещу жените като специфична форма на насилие, произтичаща от самия статут на жените, като по този начин се атакуват ценностите и принципите на член 2 от ДФЕС. Счита, че образованието, включително сексуалното образование, е от ключово значение за оформянето на ролите и стереотипите, свързани с пола, и призовава за включването на образователната общност, </w:t>
      </w:r>
      <w:r>
        <w:lastRenderedPageBreak/>
        <w:t>организациите на гражданското общество и социалните партньори в институционалното сътрудничество с цел предотвратяване на насилието, основано на пола, и борба с него;</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t>призовава за включване на конкретни мерки в сферата на социалния диалог, колективното договаряне и необходимите преговори със социалните партньори, за да се даде тласък на заетостта и да се насърчи пригодността за заетост на жертвите на основано на пола насилие.</w:t>
      </w:r>
    </w:p>
    <w:p w:rsidRPr="00BE1F8F" w:rsidR="0083181F" w:rsidP="00BE1F8F" w:rsidRDefault="0083181F" w14:paraId="1D0159F4" w14:textId="77777777">
      <w:pPr>
        <w:overflowPunct w:val="0"/>
        <w:autoSpaceDE w:val="0"/>
        <w:autoSpaceDN w:val="0"/>
        <w:adjustRightInd w:val="0"/>
        <w:ind w:left="360"/>
        <w:contextualSpacing/>
        <w:textAlignment w:val="baseline"/>
        <w:rPr>
          <w:rFonts w:ascii="Calibri" w:hAnsi="Calibri"/>
          <w:sz w:val="16"/>
          <w:szCs w:val="16"/>
          <w:lang w:val="en-GB" w:eastAsia="zh-CN"/>
        </w:rPr>
      </w:pPr>
    </w:p>
    <w:tbl>
      <w:tblPr>
        <w:tblW w:w="5000" w:type="pct"/>
        <w:tblLook w:val="04A0" w:firstRow="1" w:lastRow="0" w:firstColumn="1" w:lastColumn="0" w:noHBand="0" w:noVBand="1"/>
      </w:tblPr>
      <w:tblGrid>
        <w:gridCol w:w="2093"/>
        <w:gridCol w:w="7194"/>
      </w:tblGrid>
      <w:tr w:rsidRPr="006D1DFA" w:rsidR="006D1DFA" w:rsidTr="001707F5" w14:paraId="4A8CFBCD" w14:textId="77777777">
        <w:trPr>
          <w:trHeight w:val="60"/>
        </w:trPr>
        <w:tc>
          <w:tcPr>
            <w:tcW w:w="1127" w:type="pct"/>
            <w:hideMark/>
          </w:tcPr>
          <w:p w:rsidRPr="001707F5" w:rsidR="006D1DFA" w:rsidP="00BE1F8F" w:rsidRDefault="006D1DFA" w14:paraId="089C51AC" w14:textId="5647B6BD">
            <w:pPr>
              <w:overflowPunct w:val="0"/>
              <w:autoSpaceDE w:val="0"/>
              <w:autoSpaceDN w:val="0"/>
              <w:adjustRightInd w:val="0"/>
              <w:textAlignment w:val="baseline"/>
              <w:rPr>
                <w:i/>
                <w:lang w:val="en-GB"/>
              </w:rPr>
            </w:pPr>
            <w:r>
              <w:rPr>
                <w:b/>
                <w:i/>
              </w:rPr>
              <w:t>За контакт</w:t>
            </w:r>
            <w:r w:rsidR="001707F5">
              <w:rPr>
                <w:b/>
                <w:i/>
                <w:lang w:val="en-GB"/>
              </w:rPr>
              <w:t>:</w:t>
            </w:r>
          </w:p>
        </w:tc>
        <w:tc>
          <w:tcPr>
            <w:tcW w:w="3873"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Gabriela Grasu</w:t>
            </w:r>
          </w:p>
        </w:tc>
      </w:tr>
      <w:tr w:rsidRPr="006D1DFA" w:rsidR="006D1DFA" w:rsidTr="001707F5" w14:paraId="77817741" w14:textId="77777777">
        <w:tc>
          <w:tcPr>
            <w:tcW w:w="1127"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t>Тел.:</w:t>
            </w:r>
          </w:p>
        </w:tc>
        <w:tc>
          <w:tcPr>
            <w:tcW w:w="3873"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+32 25469162</w:t>
            </w:r>
          </w:p>
        </w:tc>
      </w:tr>
      <w:tr w:rsidRPr="006D1DFA" w:rsidR="006D1DFA" w:rsidTr="001707F5" w14:paraId="6F84E5BA" w14:textId="77777777">
        <w:tc>
          <w:tcPr>
            <w:tcW w:w="1127"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Електронен адрес:</w:t>
            </w:r>
          </w:p>
        </w:tc>
        <w:tc>
          <w:tcPr>
            <w:tcW w:w="3873" w:type="pct"/>
            <w:hideMark/>
          </w:tcPr>
          <w:p w:rsidRPr="006D1DFA" w:rsidR="006D1DFA" w:rsidP="00BE1F8F" w:rsidRDefault="004474A5" w14:paraId="02C23556" w14:textId="4AC0EB0F">
            <w:pPr>
              <w:overflowPunct w:val="0"/>
              <w:autoSpaceDE w:val="0"/>
              <w:autoSpaceDN w:val="0"/>
              <w:adjustRightInd w:val="0"/>
              <w:textAlignment w:val="baseline"/>
              <w:rPr>
                <w:i/>
              </w:rPr>
            </w:pPr>
            <w:hyperlink w:history="1" r:id="rId32">
              <w:r w:rsidR="00B30936">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4474A5"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r w:rsidR="00B30936">
          <w:rPr>
            <w:b/>
            <w:i/>
            <w:color w:val="0000FF"/>
            <w:sz w:val="28"/>
            <w:u w:val="single"/>
          </w:rPr>
          <w:t>Принос на ЕИСК към приоритетите на ЕС на 69-ото заседание на Комисията на ООН за положението на жените (UNCSW69)</w:t>
        </w:r>
      </w:hyperlink>
    </w:p>
    <w:p w:rsidRPr="00910C90" w:rsidR="00910C90" w:rsidP="00BE1F8F" w:rsidRDefault="00910C90" w14:paraId="59A5F3E8"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76"/>
        <w:gridCol w:w="6804"/>
      </w:tblGrid>
      <w:tr w:rsidRPr="00910C90" w:rsidR="00910C90" w:rsidTr="001707F5" w14:paraId="465F2FF7" w14:textId="77777777">
        <w:tc>
          <w:tcPr>
            <w:tcW w:w="2376"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804"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Maria NIKOLOPOULOU (група „Работници“ — ES)</w:t>
            </w:r>
          </w:p>
        </w:tc>
      </w:tr>
      <w:tr w:rsidRPr="00910C90" w:rsidR="00910C90" w:rsidTr="001707F5" w14:paraId="417FB600" w14:textId="77777777">
        <w:tc>
          <w:tcPr>
            <w:tcW w:w="2376" w:type="dxa"/>
            <w:vMerge w:val="restart"/>
          </w:tcPr>
          <w:p w:rsidRPr="00910C90" w:rsidR="00910C90" w:rsidP="00BE1F8F" w:rsidRDefault="00910C90" w14:paraId="41736237" w14:textId="3B749ABF">
            <w:pPr>
              <w:tabs>
                <w:tab w:val="center" w:pos="284"/>
              </w:tabs>
              <w:overflowPunct w:val="0"/>
              <w:autoSpaceDE w:val="0"/>
              <w:autoSpaceDN w:val="0"/>
              <w:adjustRightInd w:val="0"/>
              <w:ind w:left="266" w:hanging="266"/>
              <w:textAlignment w:val="baseline"/>
              <w:rPr>
                <w:b/>
              </w:rPr>
            </w:pPr>
            <w:r>
              <w:rPr>
                <w:b/>
              </w:rPr>
              <w:t>Отправен документ</w:t>
            </w:r>
          </w:p>
        </w:tc>
        <w:tc>
          <w:tcPr>
            <w:tcW w:w="6804"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910C90" w:rsidR="00910C90" w:rsidTr="001707F5" w14:paraId="08D488E3" w14:textId="77777777">
        <w:tc>
          <w:tcPr>
            <w:tcW w:w="2376"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6804"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BE1F8F" w:rsidRDefault="00910C90" w14:paraId="5C940F4E" w14:textId="77777777">
      <w:pPr>
        <w:keepNext/>
        <w:keepLines/>
        <w:tabs>
          <w:tab w:val="center" w:pos="284"/>
        </w:tabs>
        <w:overflowPunct w:val="0"/>
        <w:autoSpaceDE w:val="0"/>
        <w:autoSpaceDN w:val="0"/>
        <w:adjustRightInd w:val="0"/>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10C90" w:rsidR="00910C90" w:rsidP="00BE1F8F" w:rsidRDefault="00910C90" w14:paraId="4A75BA5E" w14:textId="77777777">
      <w:pPr>
        <w:keepNext/>
        <w:keepLines/>
        <w:tabs>
          <w:tab w:val="center" w:pos="284"/>
        </w:tabs>
        <w:overflowPunct w:val="0"/>
        <w:autoSpaceDE w:val="0"/>
        <w:autoSpaceDN w:val="0"/>
        <w:adjustRightInd w:val="0"/>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ЕИСК:</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настоятелно призовава ЕС и държавите членки да увеличат темпа на напредък по отношение на равенството между половете, да бъдат по-амбициозни и да изразяват мнение относно свиващото се пространство за гражданското общество и да блокират всяко отстъпление по отношение на правата на жените, които са обект на атаки, по-специално от страна на крайнодесни политически партии;</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предлага ЕС, държавите членки и политическите партии да се ангажират с привличането на жени в политиката, включително като предвидят мерки за насърчаване на избирането и назначаването на жени на ключови постове, като например квоти, списъци с редуващи се по полов признак кандидати, съпредседателство, разделяне на мандати и предлагане за всеки пост на кандидати мъже и жени;</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настоятелно призовава държавите членки да разпределят достатъчно ресурси в националните си планове за действие за прекратяване на насилието над жени, както и да ги разработят в консултация с организациите на гражданското общество; призовава за повече действия за борба с онлайн и икономическото насилие, за полагане на грижи за физическото и психичното здраве на жените, както и за гарантиране на спазването на сексуалното и репродуктивното здраве и права на жените;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счита, че една рамка на ЕС за справедлив преход би трябвало да включва стратегия за умения, насочена към вече съществуващите неравенства между половете, като се имат предвид жените и момичетата в Глобалния юг и в селските райони, които са непропорционално засегнати от тройната планетарна криза;</w:t>
      </w:r>
    </w:p>
    <w:p w:rsidRPr="00910C90" w:rsidR="00910C90" w:rsidP="00BE1F8F" w:rsidRDefault="00910C90" w14:paraId="4B62CBD1" w14:textId="77777777">
      <w:pPr>
        <w:widowControl w:val="0"/>
        <w:numPr>
          <w:ilvl w:val="0"/>
          <w:numId w:val="26"/>
        </w:numPr>
        <w:overflowPunct w:val="0"/>
        <w:autoSpaceDE w:val="0"/>
        <w:autoSpaceDN w:val="0"/>
        <w:adjustRightInd w:val="0"/>
        <w:ind w:left="284" w:hanging="284"/>
        <w:contextualSpacing/>
        <w:textAlignment w:val="baseline"/>
      </w:pPr>
      <w:r>
        <w:t>призовава за преодоляване на неравенството между половете в областта на цифровите технологии и за включване на перспективи за участието на жени в проектирането, разработването и внедряването на изкуствен интелект (ИИ) и алгоритми;</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призовава за мерки, за да се преодолее разликата в отговорностите за полагане на неплатени грижи и да се помогне на жените да останат на пазара на труда, включително чрез предоставяне на финансово и физически достъпни и качествени здравни услуги и услуги за полагане на грижи, както и защитни мрежи, в съответствие с националните правила;</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призовава за силна и амбициозна дългосрочна стратегия на ЕС за приобщаваща външна политика, в която равенството между половете, правата на човека, феминистката дипломация и социалната справедливост да заемат централно място;</w:t>
      </w:r>
    </w:p>
    <w:p w:rsidR="00910C90" w:rsidP="00BE1F8F" w:rsidRDefault="00910C90" w14:paraId="5A9E6752" w14:textId="77777777">
      <w:pPr>
        <w:widowControl w:val="0"/>
        <w:numPr>
          <w:ilvl w:val="0"/>
          <w:numId w:val="26"/>
        </w:numPr>
        <w:overflowPunct w:val="0"/>
        <w:autoSpaceDE w:val="0"/>
        <w:autoSpaceDN w:val="0"/>
        <w:adjustRightInd w:val="0"/>
        <w:ind w:left="284" w:hanging="284"/>
        <w:contextualSpacing/>
        <w:textAlignment w:val="baseline"/>
      </w:pPr>
      <w:r>
        <w:t>подчертава необходимостта от повече междусекторни данни с разбивка по пол, така че да се оформят и проследяват стратегиите, от използване на инструменти за бюджетиране, съобразено с равенството между половете, и от възприемане на перспектива на равенство между половете във фискалната политика.</w:t>
      </w:r>
    </w:p>
    <w:p w:rsidRPr="00910C90" w:rsidR="008B7F9B" w:rsidP="00BE1F8F" w:rsidRDefault="008B7F9B" w14:paraId="0A0E47B6" w14:textId="77777777">
      <w:pPr>
        <w:widowControl w:val="0"/>
        <w:overflowPunct w:val="0"/>
        <w:autoSpaceDE w:val="0"/>
        <w:autoSpaceDN w:val="0"/>
        <w:adjustRightInd w:val="0"/>
        <w:contextualSpacing/>
        <w:textAlignment w:val="baseline"/>
        <w:rPr>
          <w:lang w:val="en-GB" w:eastAsia="zh-CN"/>
        </w:rPr>
      </w:pPr>
    </w:p>
    <w:tbl>
      <w:tblPr>
        <w:tblW w:w="0" w:type="auto"/>
        <w:tblLook w:val="04A0" w:firstRow="1" w:lastRow="0" w:firstColumn="1" w:lastColumn="0" w:noHBand="0" w:noVBand="1"/>
      </w:tblPr>
      <w:tblGrid>
        <w:gridCol w:w="2235"/>
        <w:gridCol w:w="6945"/>
      </w:tblGrid>
      <w:tr w:rsidRPr="00910C90" w:rsidR="00910C90" w:rsidTr="001707F5" w14:paraId="0D75D5FA" w14:textId="77777777">
        <w:tc>
          <w:tcPr>
            <w:tcW w:w="2235" w:type="dxa"/>
          </w:tcPr>
          <w:p w:rsidRPr="001707F5" w:rsidR="00910C90" w:rsidP="00BE1F8F" w:rsidRDefault="00910C90" w14:paraId="09EE9454" w14:textId="6A3D0B34">
            <w:pPr>
              <w:overflowPunct w:val="0"/>
              <w:autoSpaceDE w:val="0"/>
              <w:autoSpaceDN w:val="0"/>
              <w:adjustRightInd w:val="0"/>
              <w:textAlignment w:val="baseline"/>
              <w:rPr>
                <w:i/>
                <w:lang w:val="en-GB"/>
              </w:rPr>
            </w:pPr>
            <w:r>
              <w:rPr>
                <w:b/>
                <w:i/>
              </w:rPr>
              <w:lastRenderedPageBreak/>
              <w:t>За контакт</w:t>
            </w:r>
            <w:r w:rsidR="001707F5">
              <w:rPr>
                <w:b/>
                <w:i/>
                <w:lang w:val="en-GB"/>
              </w:rPr>
              <w:t>:</w:t>
            </w:r>
          </w:p>
        </w:tc>
        <w:tc>
          <w:tcPr>
            <w:tcW w:w="6945" w:type="dxa"/>
          </w:tcPr>
          <w:p w:rsidRPr="00910C90" w:rsidR="00910C90" w:rsidP="00BE1F8F" w:rsidRDefault="00910C90" w14:paraId="20BCFE55" w14:textId="48EB87B0">
            <w:pPr>
              <w:overflowPunct w:val="0"/>
              <w:autoSpaceDE w:val="0"/>
              <w:autoSpaceDN w:val="0"/>
              <w:adjustRightInd w:val="0"/>
              <w:textAlignment w:val="baseline"/>
              <w:rPr>
                <w:i/>
              </w:rPr>
            </w:pPr>
            <w:r>
              <w:rPr>
                <w:i/>
              </w:rPr>
              <w:t>Gabriela Grasu</w:t>
            </w:r>
          </w:p>
        </w:tc>
      </w:tr>
      <w:tr w:rsidRPr="00910C90" w:rsidR="00910C90" w:rsidTr="001707F5" w14:paraId="10BE1906" w14:textId="77777777">
        <w:tc>
          <w:tcPr>
            <w:tcW w:w="2235" w:type="dxa"/>
          </w:tcPr>
          <w:p w:rsidRPr="00910C90" w:rsidR="00910C90" w:rsidP="00BE1F8F" w:rsidRDefault="00910C90" w14:paraId="7C9E9C27" w14:textId="578CE414">
            <w:pPr>
              <w:overflowPunct w:val="0"/>
              <w:autoSpaceDE w:val="0"/>
              <w:autoSpaceDN w:val="0"/>
              <w:adjustRightInd w:val="0"/>
              <w:textAlignment w:val="baseline"/>
              <w:rPr>
                <w:i/>
              </w:rPr>
            </w:pPr>
            <w:r>
              <w:rPr>
                <w:i/>
              </w:rPr>
              <w:t>Тел.:</w:t>
            </w:r>
          </w:p>
        </w:tc>
        <w:tc>
          <w:tcPr>
            <w:tcW w:w="6945" w:type="dxa"/>
          </w:tcPr>
          <w:p w:rsidRPr="00910C90" w:rsidR="00910C90" w:rsidP="00BE1F8F" w:rsidRDefault="00910C90" w14:paraId="6BD9772E" w14:textId="77777777">
            <w:pPr>
              <w:overflowPunct w:val="0"/>
              <w:autoSpaceDE w:val="0"/>
              <w:autoSpaceDN w:val="0"/>
              <w:adjustRightInd w:val="0"/>
              <w:textAlignment w:val="baseline"/>
              <w:rPr>
                <w:i/>
              </w:rPr>
            </w:pPr>
            <w:r>
              <w:rPr>
                <w:i/>
              </w:rPr>
              <w:t>+32 25469162</w:t>
            </w:r>
          </w:p>
        </w:tc>
      </w:tr>
      <w:tr w:rsidRPr="00910C90" w:rsidR="00910C90" w:rsidTr="001707F5" w14:paraId="378A4268" w14:textId="77777777">
        <w:tc>
          <w:tcPr>
            <w:tcW w:w="2235" w:type="dxa"/>
          </w:tcPr>
          <w:p w:rsidRPr="00910C90" w:rsidR="00910C90" w:rsidP="00BE1F8F" w:rsidRDefault="00910C90" w14:paraId="67D2B1A7" w14:textId="5316AB28">
            <w:pPr>
              <w:overflowPunct w:val="0"/>
              <w:autoSpaceDE w:val="0"/>
              <w:autoSpaceDN w:val="0"/>
              <w:adjustRightInd w:val="0"/>
              <w:textAlignment w:val="baseline"/>
              <w:rPr>
                <w:i/>
              </w:rPr>
            </w:pPr>
            <w:r>
              <w:rPr>
                <w:i/>
              </w:rPr>
              <w:t>Електронен адрес:</w:t>
            </w:r>
          </w:p>
        </w:tc>
        <w:tc>
          <w:tcPr>
            <w:tcW w:w="6945" w:type="dxa"/>
          </w:tcPr>
          <w:p w:rsidRPr="00910C90" w:rsidR="00910C90" w:rsidP="00BE1F8F" w:rsidRDefault="004474A5" w14:paraId="18F62F88" w14:textId="03616BAE">
            <w:pPr>
              <w:overflowPunct w:val="0"/>
              <w:autoSpaceDE w:val="0"/>
              <w:autoSpaceDN w:val="0"/>
              <w:adjustRightInd w:val="0"/>
              <w:textAlignment w:val="baseline"/>
              <w:rPr>
                <w:i/>
                <w:iCs/>
              </w:rPr>
            </w:pPr>
            <w:hyperlink w:history="1" r:id="rId34">
              <w:r w:rsidR="00B30936">
                <w:rPr>
                  <w:i/>
                  <w:color w:val="0000FF"/>
                  <w:u w:val="single"/>
                </w:rPr>
                <w:t>Gabriela.Grasu@eesc.europa.eu</w:t>
              </w:r>
            </w:hyperlink>
          </w:p>
        </w:tc>
      </w:tr>
    </w:tbl>
    <w:p w:rsidR="00D5795F" w:rsidP="00BE1F8F" w:rsidRDefault="00D5795F" w14:paraId="0F5B3C36" w14:textId="77777777">
      <w:pPr>
        <w:jc w:val="left"/>
      </w:pPr>
      <w:r>
        <w:br w:type="page"/>
      </w: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lastRenderedPageBreak/>
        <w:fldChar w:fldCharType="begin"/>
      </w:r>
      <w:r w:rsidRPr="00981AAC">
        <w:rPr>
          <w:b/>
          <w:i/>
          <w:sz w:val="28"/>
        </w:rPr>
        <w:instrText>HYPERLINK "https://www.eesc.europa.eu/bg/our-work/opinions-information-reports/opinions/older-people-employment-systemic-factors-choosing-work-longer"</w:instrText>
      </w:r>
      <w:r w:rsidRPr="00981AAC">
        <w:rPr>
          <w:b/>
          <w:i/>
          <w:sz w:val="28"/>
        </w:rPr>
        <w:fldChar w:fldCharType="separate"/>
      </w:r>
      <w:r>
        <w:rPr>
          <w:b/>
          <w:i/>
          <w:color w:val="0000FF"/>
          <w:sz w:val="28"/>
          <w:u w:val="single"/>
        </w:rPr>
        <w:t>Заетост на възрастните хора — системни фактори за доброволен избор на удължена трудова активност</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ayout w:type="fixed"/>
        <w:tblLook w:val="04A0" w:firstRow="1" w:lastRow="0" w:firstColumn="1" w:lastColumn="0" w:noHBand="0" w:noVBand="1"/>
      </w:tblPr>
      <w:tblGrid>
        <w:gridCol w:w="2192"/>
        <w:gridCol w:w="7095"/>
      </w:tblGrid>
      <w:tr w:rsidRPr="00652335" w:rsidR="00981AAC" w:rsidTr="001707F5" w14:paraId="564BEBA9" w14:textId="77777777">
        <w:tc>
          <w:tcPr>
            <w:tcW w:w="1180"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Докладчик</w:t>
            </w:r>
          </w:p>
        </w:tc>
        <w:tc>
          <w:tcPr>
            <w:tcW w:w="3820"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Krzysztof BALON (група „Организации на гражданското общество“ — PL)</w:t>
            </w:r>
          </w:p>
        </w:tc>
      </w:tr>
      <w:tr w:rsidRPr="00652335" w:rsidR="00981AAC" w:rsidTr="001707F5" w14:paraId="3AF74D98" w14:textId="77777777">
        <w:tc>
          <w:tcPr>
            <w:tcW w:w="1180" w:type="pct"/>
          </w:tcPr>
          <w:p w:rsidRPr="00C43D3E" w:rsidR="00981AAC" w:rsidP="00BE1F8F" w:rsidRDefault="00981AAC" w14:paraId="399C89C3" w14:textId="7F5F6409">
            <w:pPr>
              <w:overflowPunct w:val="0"/>
              <w:autoSpaceDE w:val="0"/>
              <w:autoSpaceDN w:val="0"/>
              <w:adjustRightInd w:val="0"/>
              <w:ind w:left="-113"/>
              <w:textAlignment w:val="baseline"/>
              <w:rPr>
                <w:b/>
              </w:rPr>
            </w:pPr>
            <w:r>
              <w:rPr>
                <w:b/>
              </w:rPr>
              <w:t>Отправен документ</w:t>
            </w:r>
          </w:p>
        </w:tc>
        <w:tc>
          <w:tcPr>
            <w:tcW w:w="3820" w:type="pct"/>
            <w:noWrap/>
          </w:tcPr>
          <w:p w:rsidRPr="00C43D3E" w:rsidR="00382A22" w:rsidP="001707F5" w:rsidRDefault="00382A22" w14:paraId="15365992" w14:textId="46A5AD4F">
            <w:pPr>
              <w:tabs>
                <w:tab w:val="left" w:pos="4430"/>
              </w:tabs>
              <w:overflowPunct w:val="0"/>
              <w:autoSpaceDE w:val="0"/>
              <w:autoSpaceDN w:val="0"/>
              <w:adjustRightInd w:val="0"/>
              <w:ind w:left="-113" w:right="29"/>
              <w:textAlignment w:val="baseline"/>
            </w:pPr>
            <w:r>
              <w:t>Проучвателно становище по искане на полското председателство на Съвета на ЕС</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BE1F8F" w:rsidRDefault="00652335" w14:paraId="789D81F8"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81AAC" w:rsidR="00981AAC" w:rsidP="00BE1F8F" w:rsidRDefault="00981AAC" w14:paraId="7008E7DD"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ЕИСК:</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споделя виждането на полското председателство на Съвета на Европейския съюз, че </w:t>
      </w:r>
      <w:r>
        <w:rPr>
          <w:b/>
        </w:rPr>
        <w:t>активизирането на възрастните хора на пазара на труда</w:t>
      </w:r>
      <w:r>
        <w:t xml:space="preserve"> се превърна в едно от </w:t>
      </w:r>
      <w:r>
        <w:rPr>
          <w:b/>
        </w:rPr>
        <w:t>основните предизвикателства за публичната политика</w:t>
      </w:r>
      <w:r>
        <w:t>. Тъй като средната продължителност на живота в добро здраве се увеличава в ЕС,</w:t>
      </w:r>
      <w:r>
        <w:rPr>
          <w:b/>
        </w:rPr>
        <w:t xml:space="preserve"> трудовата активност на възрастните хора</w:t>
      </w:r>
      <w:r>
        <w:t xml:space="preserve"> има потенциала да </w:t>
      </w:r>
      <w:r>
        <w:rPr>
          <w:b/>
        </w:rPr>
        <w:t>окаже положително въздействие</w:t>
      </w:r>
      <w:r>
        <w:t xml:space="preserve"> не само върху </w:t>
      </w:r>
      <w:r>
        <w:rPr>
          <w:b/>
        </w:rPr>
        <w:t>икономическото развитие</w:t>
      </w:r>
      <w:r>
        <w:t xml:space="preserve">, но и върху </w:t>
      </w:r>
      <w:r>
        <w:rPr>
          <w:b/>
        </w:rPr>
        <w:t>тяхното благосъстояние</w:t>
      </w:r>
      <w:r>
        <w:t xml:space="preserve"> чрез по-добри</w:t>
      </w:r>
      <w:r>
        <w:rPr>
          <w:b/>
        </w:rPr>
        <w:t xml:space="preserve"> финансови, социални</w:t>
      </w:r>
      <w:r>
        <w:t xml:space="preserve"> и здравни </w:t>
      </w:r>
      <w:r>
        <w:rPr>
          <w:b/>
        </w:rPr>
        <w:t>условия</w:t>
      </w:r>
      <w:r>
        <w:t>, както и върху солидарността между поколенията в обществото;</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отбелязва, че </w:t>
      </w:r>
      <w:r>
        <w:rPr>
          <w:b/>
        </w:rPr>
        <w:t>15-ият принцип на Европейския стълб на социалните права</w:t>
      </w:r>
      <w:r>
        <w:t xml:space="preserve"> (правото на пенсия, съизмерима с техните вноски и гарантирането на адекватен доход за достоен живот в напреднала възраст) </w:t>
      </w:r>
      <w:r>
        <w:rPr>
          <w:b/>
        </w:rPr>
        <w:t>следва да бъде изцяло приложен</w:t>
      </w:r>
      <w:r>
        <w:t>;</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посочва, че важен аспект е </w:t>
      </w:r>
      <w:r>
        <w:rPr>
          <w:b/>
        </w:rPr>
        <w:t>създаването на качествени работни места</w:t>
      </w:r>
      <w:r>
        <w:t xml:space="preserve"> и </w:t>
      </w:r>
      <w:r>
        <w:rPr>
          <w:b/>
        </w:rPr>
        <w:t>работна среда</w:t>
      </w:r>
      <w:r>
        <w:t xml:space="preserve">, която насърчава всички възрастови групи </w:t>
      </w:r>
      <w:r>
        <w:rPr>
          <w:b/>
        </w:rPr>
        <w:t>да навлязат и да останат на пазара на труда</w:t>
      </w:r>
      <w:r>
        <w:t>;</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отбелязва, че друг фактор за увеличаване на заетостта на възрастните хора е </w:t>
      </w:r>
      <w:r>
        <w:rPr>
          <w:b/>
        </w:rPr>
        <w:t>създаването на работни екипи от няколко поколения</w:t>
      </w:r>
      <w:r>
        <w:t xml:space="preserve">, и </w:t>
      </w:r>
      <w:r>
        <w:rPr>
          <w:b/>
        </w:rPr>
        <w:t>отправя отново</w:t>
      </w:r>
      <w:r>
        <w:t xml:space="preserve"> искането си към </w:t>
      </w:r>
      <w:r>
        <w:rPr>
          <w:b/>
        </w:rPr>
        <w:t>Европейската комисия</w:t>
      </w:r>
      <w:r>
        <w:t xml:space="preserve"> да приеме </w:t>
      </w:r>
      <w:r>
        <w:rPr>
          <w:b/>
        </w:rPr>
        <w:t>препоръка</w:t>
      </w:r>
      <w:r>
        <w:t xml:space="preserve">, с която да призове държавите членки </w:t>
      </w:r>
      <w:r>
        <w:rPr>
          <w:b/>
        </w:rPr>
        <w:t>да гарантират участието на работници от различни поколения и тяхното сътрудничество на работното място</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посочва, че инструментите, които подкрепят заетостта на възрастните хора, включват: а) </w:t>
      </w:r>
      <w:r>
        <w:rPr>
          <w:b/>
        </w:rPr>
        <w:t>създаване на подходяща работна среда</w:t>
      </w:r>
      <w:r>
        <w:t xml:space="preserve">, която насърчава възрастните хора да останат по-дълго на пазара на труда, когато те желаят това б) </w:t>
      </w:r>
      <w:r>
        <w:rPr>
          <w:b/>
        </w:rPr>
        <w:t>поддържане и повишаване на квалификацията</w:t>
      </w:r>
      <w:r>
        <w:t xml:space="preserve"> в рамките на </w:t>
      </w:r>
      <w:r>
        <w:rPr>
          <w:b/>
        </w:rPr>
        <w:t>политики за учене през целия живот</w:t>
      </w:r>
      <w:r>
        <w:t xml:space="preserve">, в) решения, позволяващи </w:t>
      </w:r>
      <w:r>
        <w:rPr>
          <w:b/>
        </w:rPr>
        <w:t>съчетаване на работа и отговорности, свързани с полагане на грижи</w:t>
      </w:r>
      <w:r>
        <w:t xml:space="preserve"> за възрастни роднини, г)</w:t>
      </w:r>
      <w:r>
        <w:rPr>
          <w:b/>
        </w:rPr>
        <w:t xml:space="preserve"> насърчаване на по-дълъг трудов живот </w:t>
      </w:r>
      <w:r>
        <w:t>и д)</w:t>
      </w:r>
      <w:r>
        <w:rPr>
          <w:b/>
        </w:rPr>
        <w:t xml:space="preserve"> борба с основаната на възраст дискриминация </w:t>
      </w:r>
      <w:r>
        <w:t>и други фактори, които възпрепятстват по-възрастните работници да останат на пазара на труда. Във всички тези области субектите на социалната икономика, организациите на гражданското общество и социалните партньори играят ключова роля;</w:t>
      </w:r>
      <w:bookmarkEnd w:id="15"/>
    </w:p>
    <w:p w:rsidRPr="00652335" w:rsidR="00981AAC" w:rsidP="00713105" w:rsidRDefault="00981AAC" w14:paraId="08AC24E2" w14:textId="77777777">
      <w:pPr>
        <w:pStyle w:val="ListParagraph"/>
        <w:numPr>
          <w:ilvl w:val="0"/>
          <w:numId w:val="39"/>
        </w:numPr>
        <w:ind w:left="567" w:hanging="567"/>
      </w:pPr>
      <w:bookmarkStart w:name="_Toc191974014" w:id="16"/>
      <w:r>
        <w:t xml:space="preserve">предлага </w:t>
      </w:r>
      <w:r>
        <w:rPr>
          <w:b/>
        </w:rPr>
        <w:t>Европейската комисия</w:t>
      </w:r>
      <w:r>
        <w:t xml:space="preserve">, в сътрудничество с ЕИСК, социалните партньори и други организации на гражданското общество, </w:t>
      </w:r>
      <w:r>
        <w:rPr>
          <w:b/>
        </w:rPr>
        <w:t>да създаде форум за обмен на добри практики</w:t>
      </w:r>
      <w:r>
        <w:t xml:space="preserve"> между държавите членки и след това, като вземе предвид резултатите от дискусиите на форума, да публикува набор от най-добри практики.</w:t>
      </w:r>
      <w:bookmarkEnd w:id="16"/>
    </w:p>
    <w:p w:rsidRPr="00981AAC" w:rsidR="00981AAC" w:rsidP="00BE1F8F" w:rsidRDefault="00981AAC" w14:paraId="4F0FB5FC" w14:textId="77777777">
      <w:pPr>
        <w:overflowPunct w:val="0"/>
        <w:autoSpaceDE w:val="0"/>
        <w:autoSpaceDN w:val="0"/>
        <w:adjustRightInd w:val="0"/>
        <w:textAlignment w:val="baseline"/>
        <w:rPr>
          <w:szCs w:val="20"/>
          <w:lang w:val="en-GB"/>
        </w:rPr>
      </w:pPr>
    </w:p>
    <w:tbl>
      <w:tblPr>
        <w:tblW w:w="4941" w:type="pct"/>
        <w:tblLook w:val="04A0" w:firstRow="1" w:lastRow="0" w:firstColumn="1" w:lastColumn="0" w:noHBand="0" w:noVBand="1"/>
      </w:tblPr>
      <w:tblGrid>
        <w:gridCol w:w="2236"/>
        <w:gridCol w:w="6941"/>
      </w:tblGrid>
      <w:tr w:rsidRPr="00981AAC" w:rsidR="00981AAC" w:rsidTr="001707F5" w14:paraId="561BB3E5" w14:textId="77777777">
        <w:tc>
          <w:tcPr>
            <w:tcW w:w="1218" w:type="pct"/>
          </w:tcPr>
          <w:p w:rsidRPr="001707F5" w:rsidR="00981AAC" w:rsidP="001707F5" w:rsidRDefault="00981AAC" w14:paraId="28C5741E" w14:textId="6381385E">
            <w:pPr>
              <w:keepNext/>
              <w:overflowPunct w:val="0"/>
              <w:autoSpaceDE w:val="0"/>
              <w:autoSpaceDN w:val="0"/>
              <w:adjustRightInd w:val="0"/>
              <w:textAlignment w:val="baseline"/>
              <w:rPr>
                <w:i/>
                <w:lang w:val="en-GB"/>
              </w:rPr>
            </w:pPr>
            <w:r>
              <w:rPr>
                <w:b/>
                <w:i/>
              </w:rPr>
              <w:lastRenderedPageBreak/>
              <w:t>За контакт</w:t>
            </w:r>
            <w:r w:rsidR="001707F5">
              <w:rPr>
                <w:b/>
                <w:i/>
                <w:lang w:val="en-GB"/>
              </w:rPr>
              <w:t>:</w:t>
            </w:r>
          </w:p>
        </w:tc>
        <w:tc>
          <w:tcPr>
            <w:tcW w:w="3782" w:type="pct"/>
          </w:tcPr>
          <w:p w:rsidRPr="00981AAC" w:rsidR="00981AAC" w:rsidP="001707F5" w:rsidRDefault="00981AAC" w14:paraId="3A046822" w14:textId="6C427D2F">
            <w:pPr>
              <w:keepNext/>
              <w:overflowPunct w:val="0"/>
              <w:autoSpaceDE w:val="0"/>
              <w:autoSpaceDN w:val="0"/>
              <w:adjustRightInd w:val="0"/>
              <w:textAlignment w:val="baseline"/>
              <w:rPr>
                <w:i/>
              </w:rPr>
            </w:pPr>
            <w:r>
              <w:rPr>
                <w:i/>
              </w:rPr>
              <w:t>Triin Aasmaa Gomes</w:t>
            </w:r>
          </w:p>
        </w:tc>
      </w:tr>
      <w:tr w:rsidRPr="00981AAC" w:rsidR="00981AAC" w:rsidTr="001707F5" w14:paraId="5B86D599" w14:textId="77777777">
        <w:tc>
          <w:tcPr>
            <w:tcW w:w="1218" w:type="pct"/>
          </w:tcPr>
          <w:p w:rsidRPr="00981AAC" w:rsidR="00981AAC" w:rsidP="00BE1F8F" w:rsidRDefault="00981AAC" w14:paraId="7FD14655" w14:textId="77777777">
            <w:pPr>
              <w:overflowPunct w:val="0"/>
              <w:autoSpaceDE w:val="0"/>
              <w:autoSpaceDN w:val="0"/>
              <w:adjustRightInd w:val="0"/>
              <w:textAlignment w:val="baseline"/>
              <w:rPr>
                <w:i/>
              </w:rPr>
            </w:pPr>
            <w:r>
              <w:rPr>
                <w:i/>
              </w:rPr>
              <w:t>Тел.:</w:t>
            </w:r>
          </w:p>
        </w:tc>
        <w:tc>
          <w:tcPr>
            <w:tcW w:w="3782" w:type="pct"/>
          </w:tcPr>
          <w:p w:rsidRPr="00981AAC" w:rsidR="00981AAC" w:rsidP="00BE1F8F" w:rsidRDefault="00981AAC" w14:paraId="1A842B89" w14:textId="77777777">
            <w:pPr>
              <w:overflowPunct w:val="0"/>
              <w:autoSpaceDE w:val="0"/>
              <w:autoSpaceDN w:val="0"/>
              <w:adjustRightInd w:val="0"/>
              <w:textAlignment w:val="baseline"/>
              <w:rPr>
                <w:i/>
              </w:rPr>
            </w:pPr>
            <w:r>
              <w:rPr>
                <w:i/>
              </w:rPr>
              <w:t>+32 25469524</w:t>
            </w:r>
          </w:p>
        </w:tc>
      </w:tr>
      <w:tr w:rsidRPr="00981AAC" w:rsidR="00981AAC" w:rsidTr="001707F5" w14:paraId="4FA7AC41" w14:textId="77777777">
        <w:tc>
          <w:tcPr>
            <w:tcW w:w="1218" w:type="pct"/>
          </w:tcPr>
          <w:p w:rsidRPr="00981AAC" w:rsidR="00981AAC" w:rsidP="00BE1F8F" w:rsidRDefault="00981AAC" w14:paraId="5EBD3C93" w14:textId="77777777">
            <w:pPr>
              <w:overflowPunct w:val="0"/>
              <w:autoSpaceDE w:val="0"/>
              <w:autoSpaceDN w:val="0"/>
              <w:adjustRightInd w:val="0"/>
              <w:textAlignment w:val="baseline"/>
              <w:rPr>
                <w:i/>
              </w:rPr>
            </w:pPr>
            <w:r>
              <w:rPr>
                <w:i/>
              </w:rPr>
              <w:t>Електронен адрес:</w:t>
            </w:r>
          </w:p>
        </w:tc>
        <w:tc>
          <w:tcPr>
            <w:tcW w:w="3782" w:type="pct"/>
          </w:tcPr>
          <w:p w:rsidRPr="00713105" w:rsidR="00981AAC" w:rsidP="00BE1F8F" w:rsidRDefault="004474A5" w14:paraId="03C24A43" w14:textId="0AF7A5D3">
            <w:pPr>
              <w:overflowPunct w:val="0"/>
              <w:autoSpaceDE w:val="0"/>
              <w:autoSpaceDN w:val="0"/>
              <w:adjustRightInd w:val="0"/>
              <w:textAlignment w:val="baseline"/>
            </w:pPr>
            <w:hyperlink w:history="1" r:id="rId35">
              <w:r w:rsidR="00B30936">
                <w:rPr>
                  <w:i/>
                  <w:color w:val="0000FF"/>
                  <w:u w:val="single"/>
                </w:rPr>
                <w:t>Triin.AasmaaGomes@eesc.europa.eu</w:t>
              </w:r>
            </w:hyperlink>
          </w:p>
        </w:tc>
      </w:tr>
    </w:tbl>
    <w:p w:rsidRPr="00713105" w:rsidR="000D43E1" w:rsidP="00BE1F8F" w:rsidRDefault="000D43E1" w14:paraId="4982DDC2" w14:textId="686E2E23">
      <w:pPr>
        <w:jc w:val="left"/>
      </w:pPr>
      <w:r>
        <w:br w:type="page"/>
      </w:r>
    </w:p>
    <w:p w:rsidRPr="00DC45BC" w:rsidR="004D7AC0" w:rsidP="00BE1F8F" w:rsidRDefault="004D7AC0" w14:paraId="4982DDC5" w14:textId="3495F80F">
      <w:pPr>
        <w:jc w:val="left"/>
        <w:rPr>
          <w:sz w:val="8"/>
          <w:szCs w:val="8"/>
        </w:rPr>
      </w:pPr>
    </w:p>
    <w:p w:rsidR="004D7AC0" w:rsidP="00BE1F8F" w:rsidRDefault="004D7AC0" w14:paraId="4982DDC6" w14:textId="77777777">
      <w:pPr>
        <w:pStyle w:val="Heading1"/>
        <w:keepNext/>
        <w:keepLines/>
        <w:rPr>
          <w:b/>
        </w:rPr>
      </w:pPr>
      <w:bookmarkStart w:name="_Toc24617160" w:id="17"/>
      <w:bookmarkStart w:name="_Toc75527082" w:id="18"/>
      <w:bookmarkStart w:name="_Toc192685945" w:id="19"/>
      <w:r>
        <w:rPr>
          <w:b/>
        </w:rPr>
        <w:t>ТРАНСПОРТ, ЕНЕРГЕТИКА, ИНФРАСТРУКТУРИ, ИНФОРМАЦИОННО ОБЩЕСТВО</w:t>
      </w:r>
      <w:bookmarkEnd w:id="17"/>
      <w:bookmarkEnd w:id="18"/>
      <w:bookmarkEnd w:id="19"/>
    </w:p>
    <w:p w:rsidR="004D7AC0" w:rsidP="00BE1F8F" w:rsidRDefault="004D7AC0" w14:paraId="4982DDF1" w14:textId="77777777"/>
    <w:p w:rsidRPr="00A230A4" w:rsidR="00A230A4" w:rsidP="00BE1F8F" w:rsidRDefault="004474A5"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B30936">
          <w:rPr>
            <w:b/>
            <w:i/>
            <w:color w:val="0000FF"/>
            <w:sz w:val="28"/>
            <w:u w:val="single"/>
          </w:rPr>
          <w:t>Физическото завършване на вътрешния пазар на ЕС в новата геополитическа ситуация</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518"/>
        <w:gridCol w:w="6662"/>
      </w:tblGrid>
      <w:tr w:rsidRPr="00A230A4" w:rsidR="00A230A4" w:rsidTr="001707F5" w14:paraId="6D4A0388" w14:textId="77777777">
        <w:tc>
          <w:tcPr>
            <w:tcW w:w="2518"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662"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(група „Работодатели“ — FI)</w:t>
            </w:r>
          </w:p>
        </w:tc>
      </w:tr>
      <w:tr w:rsidRPr="00A230A4" w:rsidR="00A230A4" w:rsidTr="001707F5" w14:paraId="19E7978D" w14:textId="77777777">
        <w:tc>
          <w:tcPr>
            <w:tcW w:w="2518" w:type="dxa"/>
          </w:tcPr>
          <w:p w:rsidRPr="00A230A4" w:rsidR="00A230A4" w:rsidP="00BE1F8F" w:rsidRDefault="00A230A4" w14:paraId="21EBC6AF" w14:textId="1650C1F5">
            <w:pPr>
              <w:tabs>
                <w:tab w:val="center" w:pos="284"/>
              </w:tabs>
              <w:overflowPunct w:val="0"/>
              <w:autoSpaceDE w:val="0"/>
              <w:autoSpaceDN w:val="0"/>
              <w:adjustRightInd w:val="0"/>
              <w:ind w:left="266" w:hanging="266"/>
              <w:textAlignment w:val="baseline"/>
              <w:rPr>
                <w:b/>
              </w:rPr>
            </w:pPr>
            <w:r>
              <w:rPr>
                <w:b/>
              </w:rPr>
              <w:t>Отправен документ</w:t>
            </w:r>
          </w:p>
        </w:tc>
        <w:tc>
          <w:tcPr>
            <w:tcW w:w="6662"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ЕИСК:</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счита, че е от решаващо значение да се положат повече усилия за подобряване на устойчивостта и надеждността на транспортните системи; изтъква необходимостта от подходящ анализ на последиците от кризите за всички видове транспорт и възможните нови пречки пред свързаността на различните райони в рамките на ЕС;</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счита, че е наложително в следващата МФР целенасочено да се разпредели подходящо равнище на финансиране за инвестиции в развитието и поддръжката на транспортната инфраструктура, като се започне с целта за завършване на основната мрежа на TEN-T до 2030 г.;</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призовава да се постави по-голям акцент върху двойната употреба на инфраструктурата и военната мобилност, като същевременно се работи съвместно с НАТО;</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подчертава, че от гледна точка на цялостната сигурност е важно да се подобрят жизнеспособността и връзките на единния пазар на граничните региони на ЕС;</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призовава за стъпки за улесняване на трудовата мобилност, повишаване на компетентностите и уменията и увеличаване на привлекателността на транспортния сектор.</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2235"/>
        <w:gridCol w:w="7087"/>
      </w:tblGrid>
      <w:tr w:rsidRPr="00A230A4" w:rsidR="00A230A4" w:rsidTr="00672FB1" w14:paraId="4840AB28" w14:textId="77777777">
        <w:tc>
          <w:tcPr>
            <w:tcW w:w="2235" w:type="dxa"/>
          </w:tcPr>
          <w:p w:rsidRPr="001707F5" w:rsidR="00A230A4" w:rsidP="00BE1F8F" w:rsidRDefault="00A230A4" w14:paraId="152A2305" w14:textId="7BFF88CB">
            <w:pPr>
              <w:overflowPunct w:val="0"/>
              <w:autoSpaceDE w:val="0"/>
              <w:autoSpaceDN w:val="0"/>
              <w:adjustRightInd w:val="0"/>
              <w:textAlignment w:val="baseline"/>
              <w:rPr>
                <w:i/>
                <w:lang w:val="en-GB"/>
              </w:rPr>
            </w:pPr>
            <w:r>
              <w:rPr>
                <w:b/>
                <w:i/>
              </w:rPr>
              <w:t>За контакт</w:t>
            </w:r>
            <w:r w:rsidR="001707F5">
              <w:rPr>
                <w:b/>
                <w:i/>
                <w:lang w:val="en-GB"/>
              </w:rPr>
              <w:t>:</w:t>
            </w:r>
          </w:p>
        </w:tc>
        <w:tc>
          <w:tcPr>
            <w:tcW w:w="7087" w:type="dxa"/>
          </w:tcPr>
          <w:p w:rsidRPr="00A230A4" w:rsidR="00A230A4" w:rsidP="00BE1F8F" w:rsidRDefault="00A230A4" w14:paraId="0C8E402D" w14:textId="2EF89DD1">
            <w:pPr>
              <w:overflowPunct w:val="0"/>
              <w:autoSpaceDE w:val="0"/>
              <w:autoSpaceDN w:val="0"/>
              <w:adjustRightInd w:val="0"/>
              <w:textAlignment w:val="baseline"/>
              <w:rPr>
                <w:i/>
              </w:rPr>
            </w:pPr>
            <w:r>
              <w:rPr>
                <w:i/>
              </w:rPr>
              <w:t>Albert Precup</w:t>
            </w:r>
          </w:p>
        </w:tc>
      </w:tr>
      <w:tr w:rsidRPr="00A230A4" w:rsidR="00A230A4" w:rsidTr="00672FB1" w14:paraId="19BEAAAD" w14:textId="77777777">
        <w:tc>
          <w:tcPr>
            <w:tcW w:w="2235" w:type="dxa"/>
          </w:tcPr>
          <w:p w:rsidRPr="00A230A4" w:rsidR="00A230A4" w:rsidP="00BE1F8F" w:rsidRDefault="00A230A4" w14:paraId="73F2E8D5" w14:textId="77777777">
            <w:pPr>
              <w:overflowPunct w:val="0"/>
              <w:autoSpaceDE w:val="0"/>
              <w:autoSpaceDN w:val="0"/>
              <w:adjustRightInd w:val="0"/>
              <w:textAlignment w:val="baseline"/>
              <w:rPr>
                <w:i/>
              </w:rPr>
            </w:pPr>
            <w:r>
              <w:rPr>
                <w:i/>
              </w:rPr>
              <w:t>Тел.:</w:t>
            </w:r>
          </w:p>
        </w:tc>
        <w:tc>
          <w:tcPr>
            <w:tcW w:w="7087" w:type="dxa"/>
          </w:tcPr>
          <w:p w:rsidRPr="00A230A4" w:rsidR="00A230A4" w:rsidP="00BE1F8F" w:rsidRDefault="00A230A4" w14:paraId="48DB2246" w14:textId="44656696">
            <w:pPr>
              <w:overflowPunct w:val="0"/>
              <w:autoSpaceDE w:val="0"/>
              <w:autoSpaceDN w:val="0"/>
              <w:adjustRightInd w:val="0"/>
              <w:textAlignment w:val="baseline"/>
              <w:rPr>
                <w:i/>
              </w:rPr>
            </w:pPr>
            <w:r>
              <w:rPr>
                <w:i/>
              </w:rPr>
              <w:t>+32 25469326</w:t>
            </w:r>
          </w:p>
        </w:tc>
      </w:tr>
      <w:tr w:rsidRPr="00A230A4" w:rsidR="00A230A4" w:rsidTr="00672FB1" w14:paraId="0708081C" w14:textId="77777777">
        <w:tc>
          <w:tcPr>
            <w:tcW w:w="2235" w:type="dxa"/>
          </w:tcPr>
          <w:p w:rsidRPr="00A230A4" w:rsidR="00A230A4" w:rsidP="00BE1F8F" w:rsidRDefault="0005257A" w14:paraId="42A6811E" w14:textId="3D597CE0">
            <w:pPr>
              <w:overflowPunct w:val="0"/>
              <w:autoSpaceDE w:val="0"/>
              <w:autoSpaceDN w:val="0"/>
              <w:adjustRightInd w:val="0"/>
              <w:textAlignment w:val="baseline"/>
              <w:rPr>
                <w:i/>
              </w:rPr>
            </w:pPr>
            <w:r>
              <w:rPr>
                <w:i/>
              </w:rPr>
              <w:t>Електронен адрес:</w:t>
            </w:r>
          </w:p>
        </w:tc>
        <w:tc>
          <w:tcPr>
            <w:tcW w:w="7087" w:type="dxa"/>
          </w:tcPr>
          <w:p w:rsidRPr="00A230A4" w:rsidR="00A230A4" w:rsidP="00BE1F8F" w:rsidRDefault="004474A5" w14:paraId="08B446AD" w14:textId="03934908">
            <w:pPr>
              <w:overflowPunct w:val="0"/>
              <w:autoSpaceDE w:val="0"/>
              <w:autoSpaceDN w:val="0"/>
              <w:adjustRightInd w:val="0"/>
              <w:textAlignment w:val="baseline"/>
              <w:rPr>
                <w:i/>
              </w:rPr>
            </w:pPr>
            <w:hyperlink w:history="1" r:id="rId37">
              <w:r w:rsidR="00B30936">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685946" w:id="21"/>
      <w:r>
        <w:rPr>
          <w:b/>
        </w:rPr>
        <w:lastRenderedPageBreak/>
        <w:t>ЕДИНЕН ПАЗАР, ПРОИЗВОДСТВО И ПОТРЕБЛЕНИЕ</w:t>
      </w:r>
      <w:bookmarkEnd w:id="20"/>
      <w:bookmarkEnd w:id="21"/>
    </w:p>
    <w:p w:rsidR="004D7AC0" w:rsidP="00BE1F8F" w:rsidRDefault="004D7AC0" w14:paraId="4982DDF4" w14:textId="77777777"/>
    <w:p w:rsidRPr="001131B6" w:rsidR="009D7E2D" w:rsidP="001131B6" w:rsidRDefault="004474A5"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B30936">
          <w:rPr>
            <w:rStyle w:val="Hyperlink"/>
            <w:b/>
            <w:i/>
            <w:sz w:val="28"/>
          </w:rPr>
          <w:t>Защитата на потребителите и въздействието на цифровия и екологичния преход върху потребителите</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2377"/>
        <w:gridCol w:w="6800"/>
      </w:tblGrid>
      <w:tr w:rsidRPr="009D7E2D" w:rsidR="009D7E2D" w:rsidTr="001707F5" w14:paraId="436EE5FD" w14:textId="77777777">
        <w:tc>
          <w:tcPr>
            <w:tcW w:w="1295"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705" w:type="pct"/>
          </w:tcPr>
          <w:p w:rsidRPr="009D7E2D" w:rsidR="009D7E2D" w:rsidP="00BE1F8F" w:rsidRDefault="009D7E2D" w14:paraId="061A8BB9" w14:textId="77777777">
            <w:pPr>
              <w:overflowPunct w:val="0"/>
              <w:autoSpaceDE w:val="0"/>
              <w:autoSpaceDN w:val="0"/>
              <w:adjustRightInd w:val="0"/>
              <w:textAlignment w:val="baseline"/>
            </w:pPr>
            <w:r>
              <w:t>Ileana IZVERNICEANU DE LA IGLESIA (група „Организации на гражданското общество“ — ES)</w:t>
            </w:r>
          </w:p>
        </w:tc>
      </w:tr>
      <w:tr w:rsidRPr="009D7E2D" w:rsidR="009D7E2D" w:rsidTr="001707F5" w14:paraId="61B6CD20" w14:textId="77777777">
        <w:tc>
          <w:tcPr>
            <w:tcW w:w="1295" w:type="pct"/>
            <w:vMerge w:val="restart"/>
          </w:tcPr>
          <w:p w:rsidRPr="009D7E2D" w:rsidR="009D7E2D" w:rsidP="00BE1F8F" w:rsidRDefault="009D7E2D" w14:paraId="4A0DBE9C" w14:textId="011D688E">
            <w:pPr>
              <w:tabs>
                <w:tab w:val="center" w:pos="284"/>
              </w:tabs>
              <w:overflowPunct w:val="0"/>
              <w:autoSpaceDE w:val="0"/>
              <w:autoSpaceDN w:val="0"/>
              <w:adjustRightInd w:val="0"/>
              <w:ind w:left="266" w:hanging="266"/>
              <w:textAlignment w:val="baseline"/>
              <w:rPr>
                <w:b/>
              </w:rPr>
            </w:pPr>
            <w:r>
              <w:rPr>
                <w:b/>
              </w:rPr>
              <w:t>Отправен документ</w:t>
            </w:r>
          </w:p>
        </w:tc>
        <w:tc>
          <w:tcPr>
            <w:tcW w:w="3705" w:type="pct"/>
          </w:tcPr>
          <w:p w:rsidRPr="009D7E2D" w:rsidR="009D7E2D" w:rsidP="00B51A72" w:rsidRDefault="009D7E2D" w14:paraId="0C563187" w14:textId="052EB171">
            <w:pPr>
              <w:overflowPunct w:val="0"/>
              <w:autoSpaceDE w:val="0"/>
              <w:autoSpaceDN w:val="0"/>
              <w:adjustRightInd w:val="0"/>
              <w:textAlignment w:val="baseline"/>
            </w:pPr>
            <w:r>
              <w:t>Проучвателно становище по искане на полското председателство на Съвета на ЕС</w:t>
            </w:r>
          </w:p>
        </w:tc>
      </w:tr>
      <w:tr w:rsidRPr="009D7E2D" w:rsidR="009D7E2D" w:rsidTr="001707F5" w14:paraId="52EB6CD9" w14:textId="77777777">
        <w:tc>
          <w:tcPr>
            <w:tcW w:w="1295"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3705"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9D7E2D" w14:paraId="38AF573F" w14:textId="77777777">
      <w:pPr>
        <w:overflowPunct w:val="0"/>
        <w:autoSpaceDE w:val="0"/>
        <w:autoSpaceDN w:val="0"/>
        <w:adjustRightInd w:val="0"/>
        <w:textAlignment w:val="baseline"/>
        <w:rPr>
          <w:i/>
          <w:iCs/>
          <w:sz w:val="24"/>
          <w:szCs w:val="24"/>
        </w:rPr>
      </w:pPr>
      <w:r>
        <w:rPr>
          <w:i/>
        </w:rPr>
        <w:t>При изготвянето на настоящото становище беше приложена процедурата на ЕИСК за</w:t>
      </w:r>
      <w:r>
        <w:t xml:space="preserve"> </w:t>
      </w:r>
      <w:hyperlink w:history="1" r:id="rId39">
        <w:r>
          <w:rPr>
            <w:i/>
            <w:color w:val="0000FF"/>
            <w:u w:val="single"/>
          </w:rPr>
          <w:t>оценка на въздействието на ЕС от гледна точка на младежта</w:t>
        </w:r>
      </w:hyperlink>
      <w:r>
        <w:rPr>
          <w:i/>
        </w:rPr>
        <w:t>. Европейската младежка енергийна мрежа беше избрана от група заинтересовани младежки организации да ги представлява колективно в процеса на изготвяне на становището.</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r>
        <w:t>ЕИСК:</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счита, че е необходимо да се хармонизират на европейско равнище изискванията за задължителната и незадължителната информация за продуктите, да се избягва информационното претоварване и да се гарантира истинността на етикетите, така че потребителите да могат да възприемат по-устойчиви модели на потребление;</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посочва, че е от решаващо значение етикетирането на продуктите да се извършва по начин, който да улеснява информираното решение за покупка, като се предоставя информация по отношение на разходите за целия жизнен цикъл, енергийната ефективност, дълготрайността и ремонтопригодността на продуктите;</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призовава Комисията и националните органи трябва да разработят подходяща рамка за осигуряване на достъп до устойчиви продукти посредством данъчни стимули, а в някои случаи и чрез преки субсидии, за да се намали разликата в цените;</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призовава за въвеждане на ефективни политики, за да се гарантира достъпът до цифровия пазар, особено в селските и по-слабо населените райони и за приобщаване на потребителите с по-ограничени цифрови умения;</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отново подчертава, че е важно потребителите да бъдат възпитавани да вземат информирани решения;</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подчертава важната роля на организациите на потребителите в цифровия и екологичния преход, изтъквайки необходимостта от осигуряването на финансиране;</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призовава за гарантиране на достъп до устойчиви продукти на достъпни цени и за уязвимите потребители, като се има предвид, че уязвимостта може да бъде от различно естество и да се променя с течение на времето;</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счита, че ЕС трябва да се справи с отрицателните последици от действията на платформите на трети държави, които предлагат продукти на ниски цени, и да установи по-строго регулиране, в т.ч. ефективни мита.</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376"/>
        <w:gridCol w:w="6911"/>
      </w:tblGrid>
      <w:tr w:rsidRPr="009D7E2D" w:rsidR="009D7E2D" w:rsidTr="00C60E4E" w14:paraId="5FEB6264" w14:textId="77777777">
        <w:tc>
          <w:tcPr>
            <w:tcW w:w="1279" w:type="pct"/>
          </w:tcPr>
          <w:p w:rsidRPr="001707F5" w:rsidR="009D7E2D" w:rsidP="001707F5" w:rsidRDefault="009D7E2D" w14:paraId="1891296F" w14:textId="152FC2B8">
            <w:pPr>
              <w:keepNext/>
              <w:overflowPunct w:val="0"/>
              <w:autoSpaceDE w:val="0"/>
              <w:autoSpaceDN w:val="0"/>
              <w:adjustRightInd w:val="0"/>
              <w:textAlignment w:val="baseline"/>
              <w:rPr>
                <w:i/>
                <w:lang w:val="en-GB"/>
              </w:rPr>
            </w:pPr>
            <w:r>
              <w:rPr>
                <w:b/>
                <w:i/>
              </w:rPr>
              <w:lastRenderedPageBreak/>
              <w:t>За контакт</w:t>
            </w:r>
            <w:r w:rsidR="001707F5">
              <w:rPr>
                <w:b/>
                <w:i/>
                <w:lang w:val="en-GB"/>
              </w:rPr>
              <w:t>:</w:t>
            </w:r>
          </w:p>
        </w:tc>
        <w:tc>
          <w:tcPr>
            <w:tcW w:w="3721" w:type="pct"/>
          </w:tcPr>
          <w:p w:rsidR="00713105" w:rsidP="001707F5" w:rsidRDefault="009D7E2D" w14:paraId="2EBED78A" w14:textId="77777777">
            <w:pPr>
              <w:keepNext/>
              <w:overflowPunct w:val="0"/>
              <w:autoSpaceDE w:val="0"/>
              <w:autoSpaceDN w:val="0"/>
              <w:adjustRightInd w:val="0"/>
              <w:textAlignment w:val="baseline"/>
              <w:rPr>
                <w:bCs/>
                <w:i/>
              </w:rPr>
            </w:pPr>
            <w:r>
              <w:rPr>
                <w:i/>
              </w:rPr>
              <w:t>Radoslava Stefankova</w:t>
            </w:r>
          </w:p>
          <w:p w:rsidRPr="009D7E2D" w:rsidR="009D7E2D" w:rsidP="001707F5" w:rsidRDefault="009D7E2D" w14:paraId="13EF570E" w14:textId="166D0132">
            <w:pPr>
              <w:keepNext/>
              <w:overflowPunct w:val="0"/>
              <w:autoSpaceDE w:val="0"/>
              <w:autoSpaceDN w:val="0"/>
              <w:adjustRightInd w:val="0"/>
              <w:textAlignment w:val="baseline"/>
              <w:rPr>
                <w:bCs/>
                <w:i/>
              </w:rPr>
            </w:pPr>
            <w:r>
              <w:rPr>
                <w:i/>
              </w:rPr>
              <w:t>Yousra Asbouni El Ouahabi</w:t>
            </w:r>
          </w:p>
        </w:tc>
      </w:tr>
      <w:tr w:rsidRPr="009D7E2D" w:rsidR="009D7E2D" w:rsidTr="00C60E4E" w14:paraId="56CD236C" w14:textId="77777777">
        <w:tc>
          <w:tcPr>
            <w:tcW w:w="1279" w:type="pct"/>
          </w:tcPr>
          <w:p w:rsidRPr="009D7E2D" w:rsidR="009D7E2D" w:rsidP="00BE1F8F" w:rsidRDefault="009D7E2D" w14:paraId="642A79E8" w14:textId="77777777">
            <w:pPr>
              <w:overflowPunct w:val="0"/>
              <w:autoSpaceDE w:val="0"/>
              <w:autoSpaceDN w:val="0"/>
              <w:adjustRightInd w:val="0"/>
              <w:textAlignment w:val="baseline"/>
              <w:rPr>
                <w:i/>
              </w:rPr>
            </w:pPr>
            <w:r>
              <w:rPr>
                <w:i/>
              </w:rPr>
              <w:t>Тел.:</w:t>
            </w:r>
          </w:p>
        </w:tc>
        <w:tc>
          <w:tcPr>
            <w:tcW w:w="3721" w:type="pct"/>
          </w:tcPr>
          <w:p w:rsidR="00866666" w:rsidP="00BE1F8F" w:rsidRDefault="009D7E2D" w14:paraId="6BF80798" w14:textId="77777777">
            <w:pPr>
              <w:overflowPunct w:val="0"/>
              <w:autoSpaceDE w:val="0"/>
              <w:autoSpaceDN w:val="0"/>
              <w:adjustRightInd w:val="0"/>
              <w:textAlignment w:val="baseline"/>
              <w:rPr>
                <w:i/>
              </w:rPr>
            </w:pPr>
            <w:r>
              <w:rPr>
                <w:i/>
              </w:rPr>
              <w:t>+32 25468188</w:t>
            </w:r>
          </w:p>
          <w:p w:rsidRPr="009D7E2D" w:rsidR="009D7E2D" w:rsidP="00BE1F8F" w:rsidRDefault="009D7E2D" w14:paraId="4C93A27B" w14:textId="441660D1">
            <w:pPr>
              <w:overflowPunct w:val="0"/>
              <w:autoSpaceDE w:val="0"/>
              <w:autoSpaceDN w:val="0"/>
              <w:adjustRightInd w:val="0"/>
              <w:textAlignment w:val="baseline"/>
              <w:rPr>
                <w:i/>
              </w:rPr>
            </w:pPr>
            <w:r>
              <w:rPr>
                <w:i/>
              </w:rPr>
              <w:t>+32 25468485</w:t>
            </w:r>
          </w:p>
        </w:tc>
      </w:tr>
      <w:tr w:rsidRPr="009D7E2D" w:rsidR="009D7E2D" w:rsidTr="00C60E4E" w14:paraId="79FB8085" w14:textId="77777777">
        <w:tc>
          <w:tcPr>
            <w:tcW w:w="1279" w:type="pct"/>
          </w:tcPr>
          <w:p w:rsidRPr="00C60E4E" w:rsidR="009D7E2D" w:rsidP="00BE1F8F" w:rsidRDefault="009D7E2D" w14:paraId="16D4BECD" w14:textId="7D319AFB">
            <w:pPr>
              <w:overflowPunct w:val="0"/>
              <w:autoSpaceDE w:val="0"/>
              <w:autoSpaceDN w:val="0"/>
              <w:adjustRightInd w:val="0"/>
              <w:textAlignment w:val="baseline"/>
              <w:rPr>
                <w:i/>
                <w:lang w:val="en-GB"/>
              </w:rPr>
            </w:pPr>
            <w:r>
              <w:rPr>
                <w:i/>
              </w:rPr>
              <w:t>Електронен адрес</w:t>
            </w:r>
            <w:r w:rsidR="00C60E4E">
              <w:rPr>
                <w:i/>
                <w:lang w:val="en-GB"/>
              </w:rPr>
              <w:t>:</w:t>
            </w:r>
          </w:p>
        </w:tc>
        <w:tc>
          <w:tcPr>
            <w:tcW w:w="3721" w:type="pct"/>
          </w:tcPr>
          <w:p w:rsidRPr="009D7E2D" w:rsidR="009D7E2D" w:rsidP="00BE1F8F" w:rsidRDefault="004474A5" w14:paraId="7AA88CC5" w14:textId="77777777">
            <w:pPr>
              <w:overflowPunct w:val="0"/>
              <w:autoSpaceDE w:val="0"/>
              <w:autoSpaceDN w:val="0"/>
              <w:adjustRightInd w:val="0"/>
              <w:textAlignment w:val="baseline"/>
            </w:pPr>
            <w:hyperlink w:history="1" r:id="rId40">
              <w:r w:rsidR="00B30936">
                <w:rPr>
                  <w:i/>
                  <w:color w:val="0000FF"/>
                  <w:u w:val="single"/>
                </w:rPr>
                <w:t>Radoslava.Stefankova@eesc.europa.eu</w:t>
              </w:r>
            </w:hyperlink>
          </w:p>
          <w:p w:rsidRPr="009D7E2D" w:rsidR="009D7E2D" w:rsidP="00BE1F8F" w:rsidRDefault="004474A5" w14:paraId="2F2D5AA7" w14:textId="77777777">
            <w:pPr>
              <w:overflowPunct w:val="0"/>
              <w:autoSpaceDE w:val="0"/>
              <w:autoSpaceDN w:val="0"/>
              <w:adjustRightInd w:val="0"/>
              <w:textAlignment w:val="baseline"/>
              <w:rPr>
                <w:i/>
              </w:rPr>
            </w:pPr>
            <w:hyperlink w:history="1" r:id="rId41">
              <w:r w:rsidR="00B30936">
                <w:rPr>
                  <w:i/>
                  <w:color w:val="0000FF"/>
                  <w:u w:val="single"/>
                </w:rPr>
                <w:t>Yousra.Asbounielouahabi@eesc.europa.eu</w:t>
              </w:r>
            </w:hyperlink>
          </w:p>
        </w:tc>
      </w:tr>
    </w:tbl>
    <w:p w:rsidR="009D7E2D" w:rsidP="00BE1F8F" w:rsidRDefault="009D7E2D" w14:paraId="1988C04D" w14:textId="77777777">
      <w:pPr>
        <w:jc w:val="left"/>
      </w:pPr>
      <w:r>
        <w:br w:type="page"/>
      </w:r>
    </w:p>
    <w:p w:rsidRPr="00C43D3E" w:rsidR="00FD106B" w:rsidP="00C77862" w:rsidRDefault="004474A5"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B30936">
          <w:rPr>
            <w:b/>
            <w:i/>
            <w:color w:val="0000FF"/>
            <w:sz w:val="28"/>
            <w:u w:val="single"/>
          </w:rPr>
          <w:t>Оценка на докладите на Лета и Драги относно функционирането и конкурентоспособността на единния пазар на ЕС</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377"/>
        <w:gridCol w:w="6800"/>
      </w:tblGrid>
      <w:tr w:rsidRPr="00FD106B" w:rsidR="00FD106B" w:rsidTr="00C60E4E" w14:paraId="6CE7B306" w14:textId="77777777">
        <w:tc>
          <w:tcPr>
            <w:tcW w:w="1295"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Докладчици</w:t>
            </w:r>
          </w:p>
        </w:tc>
        <w:tc>
          <w:tcPr>
            <w:tcW w:w="3705"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Matteo Carlo BORSANI (група „Работодатели“ — IT)</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(група „Работници“ — IT)</w:t>
            </w:r>
          </w:p>
          <w:p w:rsidRPr="00FD106B" w:rsidR="00FD106B" w:rsidP="00C60E4E" w:rsidRDefault="00FD106B" w14:paraId="291D8799" w14:textId="45975F82">
            <w:pPr>
              <w:overflowPunct w:val="0"/>
              <w:autoSpaceDE w:val="0"/>
              <w:autoSpaceDN w:val="0"/>
              <w:adjustRightInd w:val="0"/>
              <w:textAlignment w:val="baseline"/>
            </w:pPr>
            <w:r>
              <w:t>Giuseppe GUERINI (група „Организации на гражданското общество“</w:t>
            </w:r>
            <w:r w:rsidR="00C60E4E">
              <w:rPr>
                <w:lang w:val="en-GB"/>
              </w:rPr>
              <w:t> </w:t>
            </w:r>
            <w:r>
              <w:t>— IT)</w:t>
            </w:r>
          </w:p>
        </w:tc>
      </w:tr>
      <w:tr w:rsidRPr="00FD106B" w:rsidR="00FD106B" w:rsidTr="00C60E4E" w14:paraId="63D5E164" w14:textId="77777777">
        <w:tc>
          <w:tcPr>
            <w:tcW w:w="1295" w:type="pct"/>
            <w:vMerge w:val="restart"/>
          </w:tcPr>
          <w:p w:rsidRPr="00FD106B" w:rsidR="00FD106B" w:rsidP="00BE1F8F" w:rsidRDefault="00FD106B" w14:paraId="2C38529F" w14:textId="7DEB39C5">
            <w:pPr>
              <w:tabs>
                <w:tab w:val="center" w:pos="284"/>
              </w:tabs>
              <w:overflowPunct w:val="0"/>
              <w:autoSpaceDE w:val="0"/>
              <w:autoSpaceDN w:val="0"/>
              <w:adjustRightInd w:val="0"/>
              <w:ind w:left="266" w:hanging="266"/>
              <w:textAlignment w:val="baseline"/>
              <w:rPr>
                <w:b/>
              </w:rPr>
            </w:pPr>
            <w:r>
              <w:rPr>
                <w:b/>
              </w:rPr>
              <w:t>Отправен документ</w:t>
            </w:r>
          </w:p>
        </w:tc>
        <w:tc>
          <w:tcPr>
            <w:tcW w:w="3705"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FD106B" w:rsidR="00FD106B" w:rsidTr="00C60E4E" w14:paraId="5BF5DD36" w14:textId="77777777">
        <w:tc>
          <w:tcPr>
            <w:tcW w:w="1295"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705"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ЕИСК:</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подчертава спешната необходимост от </w:t>
      </w:r>
      <w:r>
        <w:rPr>
          <w:b/>
        </w:rPr>
        <w:t>повишаване на европейската конкурентоспособност, като същевременно се гарантира устойчивост и социално сближаване</w:t>
      </w:r>
      <w:r>
        <w:t>. ЕС е изправен пред нарастваща конкуренция в световен мащаб и трябва да предприеме решителни действия за укрепване на икономическата си позиция. Това обаче не следва да бъде за сметка на екологичната устойчивост, правата на работниците или регионалния баланс. ЕИСК призовава за подход, който интегрира икономическия растеж с принципите на социално и териториално сближаване;</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призовава за </w:t>
      </w:r>
      <w:r>
        <w:rPr>
          <w:b/>
        </w:rPr>
        <w:t>увеличаване на инвестициите в ключови области като социалната инфраструктура, цифровата трансформация и енергийния преход</w:t>
      </w:r>
      <w:r>
        <w:t>. Като признава, че конкурентоспособността разчита на солидни основи, ЕИСК подчертава необходимостта от значителни инвестиции в модерна инфраструктура, включително образование, научни изследвания, цифровизация и енергия от възобновяеми източници. Тези инвестиции са от съществено значение за запазване на икономическата мощ на Европа, като същевременно се преодоляват демографските промени, технологичният напредък и предизвикателствата, свързани с климата;</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 xml:space="preserve">подчертава, че ЕС трябва активно да определя глобалната икономическа трансформация, а не просто да запазва предишните постижения. ЕИСК подчертава, че Европа се намира на кръстопът: тя може или да играе проактивна роля в глобалната икономическа трансформация, или да рискува да изостане. Това означава </w:t>
      </w:r>
      <w:r>
        <w:rPr>
          <w:b/>
        </w:rPr>
        <w:t>адаптиране на единния пазар към новите геополитически реалности</w:t>
      </w:r>
      <w:r>
        <w:t xml:space="preserve">, намаляване на стратегическата зависимост от вериги на доставки извън ЕС и засилване на ролята на Европа в стратегическите отрасли.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25"/>
        <w:gridCol w:w="7262"/>
      </w:tblGrid>
      <w:tr w:rsidRPr="00FD106B" w:rsidR="00FD106B" w:rsidTr="00A3780E" w14:paraId="221C8BB2" w14:textId="77777777">
        <w:tc>
          <w:tcPr>
            <w:tcW w:w="1090" w:type="pct"/>
          </w:tcPr>
          <w:p w:rsidRPr="00C60E4E" w:rsidR="00FD106B" w:rsidP="00BE1F8F" w:rsidRDefault="00FD106B" w14:paraId="740E10D6" w14:textId="018BE283">
            <w:pPr>
              <w:overflowPunct w:val="0"/>
              <w:autoSpaceDE w:val="0"/>
              <w:autoSpaceDN w:val="0"/>
              <w:adjustRightInd w:val="0"/>
              <w:textAlignment w:val="baseline"/>
              <w:rPr>
                <w:i/>
                <w:lang w:val="en-GB"/>
              </w:rPr>
            </w:pPr>
            <w:r>
              <w:rPr>
                <w:b/>
                <w:i/>
              </w:rPr>
              <w:t>За контакт</w:t>
            </w:r>
            <w:r w:rsidR="00C60E4E">
              <w:rPr>
                <w:b/>
                <w:i/>
                <w:lang w:val="en-GB"/>
              </w:rPr>
              <w:t>:</w:t>
            </w:r>
          </w:p>
        </w:tc>
        <w:tc>
          <w:tcPr>
            <w:tcW w:w="3910" w:type="pct"/>
          </w:tcPr>
          <w:p w:rsidRPr="00FD106B" w:rsidR="00FD106B" w:rsidP="00BE1F8F" w:rsidRDefault="00FD106B" w14:paraId="5AA8E8D6" w14:textId="77777777">
            <w:pPr>
              <w:overflowPunct w:val="0"/>
              <w:autoSpaceDE w:val="0"/>
              <w:autoSpaceDN w:val="0"/>
              <w:adjustRightInd w:val="0"/>
              <w:textAlignment w:val="baseline"/>
              <w:rPr>
                <w:i/>
              </w:rPr>
            </w:pPr>
            <w:r>
              <w:rPr>
                <w:i/>
              </w:rPr>
              <w:t>Annalisa Tessarolo</w:t>
            </w:r>
          </w:p>
          <w:p w:rsidRPr="00FD106B" w:rsidR="00FD106B" w:rsidP="00BE1F8F" w:rsidRDefault="00FD106B" w14:paraId="1CF946C4" w14:textId="77777777">
            <w:pPr>
              <w:overflowPunct w:val="0"/>
              <w:autoSpaceDE w:val="0"/>
              <w:autoSpaceDN w:val="0"/>
              <w:adjustRightInd w:val="0"/>
              <w:textAlignment w:val="baseline"/>
              <w:rPr>
                <w:i/>
              </w:rPr>
            </w:pPr>
            <w:r>
              <w:rPr>
                <w:i/>
              </w:rPr>
              <w:t>Silvia Staffa</w:t>
            </w:r>
          </w:p>
        </w:tc>
      </w:tr>
      <w:tr w:rsidRPr="00FD106B" w:rsidR="00FD106B" w:rsidTr="00A3780E" w14:paraId="7C7B09FE" w14:textId="77777777">
        <w:tc>
          <w:tcPr>
            <w:tcW w:w="1090" w:type="pct"/>
          </w:tcPr>
          <w:p w:rsidRPr="00FD106B" w:rsidR="00FD106B" w:rsidP="00BE1F8F" w:rsidRDefault="00FD106B" w14:paraId="3C27F1DF" w14:textId="77777777">
            <w:pPr>
              <w:overflowPunct w:val="0"/>
              <w:autoSpaceDE w:val="0"/>
              <w:autoSpaceDN w:val="0"/>
              <w:adjustRightInd w:val="0"/>
              <w:textAlignment w:val="baseline"/>
              <w:rPr>
                <w:i/>
              </w:rPr>
            </w:pPr>
            <w:r>
              <w:rPr>
                <w:i/>
              </w:rPr>
              <w:t>Тел.:</w:t>
            </w:r>
          </w:p>
        </w:tc>
        <w:tc>
          <w:tcPr>
            <w:tcW w:w="3910" w:type="pct"/>
          </w:tcPr>
          <w:p w:rsidRPr="00FD106B" w:rsidR="00FD106B" w:rsidP="00BE1F8F" w:rsidRDefault="00FD106B" w14:paraId="6376D96B" w14:textId="77777777">
            <w:pPr>
              <w:overflowPunct w:val="0"/>
              <w:autoSpaceDE w:val="0"/>
              <w:autoSpaceDN w:val="0"/>
              <w:adjustRightInd w:val="0"/>
              <w:textAlignment w:val="baseline"/>
              <w:rPr>
                <w:i/>
              </w:rPr>
            </w:pPr>
            <w:r>
              <w:rPr>
                <w:i/>
              </w:rPr>
              <w:t>+32 25469732</w:t>
            </w:r>
          </w:p>
          <w:p w:rsidRPr="00FD106B" w:rsidR="00FD106B" w:rsidP="00BE1F8F" w:rsidRDefault="00FD106B" w14:paraId="617FBCCE" w14:textId="77777777">
            <w:pPr>
              <w:overflowPunct w:val="0"/>
              <w:autoSpaceDE w:val="0"/>
              <w:autoSpaceDN w:val="0"/>
              <w:adjustRightInd w:val="0"/>
              <w:textAlignment w:val="baseline"/>
              <w:rPr>
                <w:i/>
              </w:rPr>
            </w:pPr>
            <w:r>
              <w:rPr>
                <w:i/>
              </w:rPr>
              <w:t>+32 25468378</w:t>
            </w:r>
          </w:p>
        </w:tc>
      </w:tr>
      <w:tr w:rsidRPr="00FD106B" w:rsidR="00FD106B" w:rsidTr="00A3780E" w14:paraId="28A6E007" w14:textId="77777777">
        <w:tc>
          <w:tcPr>
            <w:tcW w:w="1090" w:type="pct"/>
          </w:tcPr>
          <w:p w:rsidRPr="00FD106B" w:rsidR="00FD106B" w:rsidP="00BE1F8F" w:rsidRDefault="00FD106B" w14:paraId="173B4957" w14:textId="77777777">
            <w:pPr>
              <w:overflowPunct w:val="0"/>
              <w:autoSpaceDE w:val="0"/>
              <w:autoSpaceDN w:val="0"/>
              <w:adjustRightInd w:val="0"/>
              <w:textAlignment w:val="baseline"/>
              <w:rPr>
                <w:i/>
              </w:rPr>
            </w:pPr>
            <w:r>
              <w:rPr>
                <w:i/>
              </w:rPr>
              <w:t>Електронен адрес:</w:t>
            </w:r>
          </w:p>
        </w:tc>
        <w:tc>
          <w:tcPr>
            <w:tcW w:w="3910" w:type="pct"/>
          </w:tcPr>
          <w:p w:rsidRPr="00FD106B" w:rsidR="00FD106B" w:rsidP="00BE1F8F" w:rsidRDefault="004474A5" w14:paraId="58795004" w14:textId="77777777">
            <w:pPr>
              <w:overflowPunct w:val="0"/>
              <w:autoSpaceDE w:val="0"/>
              <w:autoSpaceDN w:val="0"/>
              <w:adjustRightInd w:val="0"/>
              <w:textAlignment w:val="baseline"/>
              <w:rPr>
                <w:i/>
                <w:iCs/>
              </w:rPr>
            </w:pPr>
            <w:hyperlink w:history="1" r:id="rId43">
              <w:r w:rsidR="00B30936">
                <w:rPr>
                  <w:i/>
                  <w:color w:val="0000FF"/>
                  <w:u w:val="single"/>
                </w:rPr>
                <w:t>Annalisa.Tessarolo@eesc.europa.eu</w:t>
              </w:r>
            </w:hyperlink>
          </w:p>
          <w:p w:rsidRPr="00FD106B" w:rsidR="00FD106B" w:rsidP="00BE1F8F" w:rsidRDefault="004474A5" w14:paraId="40FF993F" w14:textId="77777777">
            <w:pPr>
              <w:overflowPunct w:val="0"/>
              <w:autoSpaceDE w:val="0"/>
              <w:autoSpaceDN w:val="0"/>
              <w:adjustRightInd w:val="0"/>
              <w:textAlignment w:val="baseline"/>
              <w:rPr>
                <w:i/>
              </w:rPr>
            </w:pPr>
            <w:hyperlink w:history="1" r:id="rId44">
              <w:r w:rsidR="00B30936">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4474A5"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B30936">
          <w:rPr>
            <w:b/>
            <w:i/>
            <w:color w:val="0000FF"/>
            <w:sz w:val="28"/>
            <w:u w:val="single"/>
          </w:rPr>
          <w:t>Конкурентоспособността на малките и средните предприятия в ЕС с оглед на новите административни тежести</w:t>
        </w:r>
      </w:hyperlink>
      <w:r w:rsidR="00B30936">
        <w:rPr>
          <w:b/>
          <w:i/>
          <w:color w:val="0000FF"/>
          <w:sz w:val="28"/>
          <w:u w:val="single"/>
        </w:rPr>
        <w:t>/задължения</w:t>
      </w:r>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377"/>
        <w:gridCol w:w="6800"/>
      </w:tblGrid>
      <w:tr w:rsidRPr="00D03AEC" w:rsidR="00D03AEC" w:rsidTr="00C60E4E" w14:paraId="385F137A" w14:textId="77777777">
        <w:trPr>
          <w:trHeight w:val="323"/>
        </w:trPr>
        <w:tc>
          <w:tcPr>
            <w:tcW w:w="1295"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Докладчик</w:t>
            </w:r>
          </w:p>
        </w:tc>
        <w:tc>
          <w:tcPr>
            <w:tcW w:w="3705"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Paul RÜBIG (група „Работодатели“ — AT)</w:t>
            </w:r>
          </w:p>
        </w:tc>
      </w:tr>
      <w:tr w:rsidRPr="00D03AEC" w:rsidR="00D03AEC" w:rsidTr="00C60E4E" w14:paraId="2544DD25" w14:textId="77777777">
        <w:tc>
          <w:tcPr>
            <w:tcW w:w="1295" w:type="pct"/>
          </w:tcPr>
          <w:p w:rsidRPr="00D03AEC" w:rsidR="00D03AEC" w:rsidP="00BE1F8F" w:rsidRDefault="00D03AEC" w14:paraId="327B0796" w14:textId="569A93C2">
            <w:pPr>
              <w:tabs>
                <w:tab w:val="center" w:pos="284"/>
              </w:tabs>
              <w:overflowPunct w:val="0"/>
              <w:autoSpaceDE w:val="0"/>
              <w:autoSpaceDN w:val="0"/>
              <w:adjustRightInd w:val="0"/>
              <w:ind w:left="266" w:hanging="266"/>
              <w:textAlignment w:val="baseline"/>
              <w:rPr>
                <w:b/>
              </w:rPr>
            </w:pPr>
            <w:r>
              <w:rPr>
                <w:b/>
              </w:rPr>
              <w:t>Отправен документ</w:t>
            </w:r>
          </w:p>
        </w:tc>
        <w:tc>
          <w:tcPr>
            <w:tcW w:w="3705" w:type="pct"/>
          </w:tcPr>
          <w:p w:rsidRPr="00D03AEC" w:rsidR="00D03AEC" w:rsidP="00C60E4E" w:rsidRDefault="00D03AEC" w14:paraId="34DEDE49" w14:textId="588F8405">
            <w:pPr>
              <w:overflowPunct w:val="0"/>
              <w:autoSpaceDE w:val="0"/>
              <w:autoSpaceDN w:val="0"/>
              <w:adjustRightInd w:val="0"/>
              <w:ind w:left="36" w:right="29"/>
              <w:textAlignment w:val="baseline"/>
            </w:pPr>
            <w:r>
              <w:t>Проучвателно становище по искане на полското председателство на Съвета на ЕС</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Основни аспекти</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ЕИСК:</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счита, че въпреки различните инициативи на ЕС, стартирали в миналото, все още са необходими допълнителни подобрения по отношение на намаляването на регулаторната тежест, като се има предвид, че МСП са изправени пред двойни и тройни законодателни изисквания в резултат на допълнителната вълна от регулации и съществуващите изисквания, включително и във връзка със Зеления пакт;</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същевременно счита, че намаляването на регулаторната тежест не трябва да застрашава спазването на социалните и екологичните права и стандарти, както и на правата и стандартите за безопасност на потребителите, установени на международно равнище и на равнище ЕС, принципа на прозрачност и върховенството на закона в ЕС;</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препоръчва Комитетът за регулаторен контрол (КРК) да бъде укрепен съществено и да стане по-независим, като извършва „проверка за съгласуваност и субсидиарност“ в началото на всеки законодателен процес и получи подходящи права за преразглеждане и консултативни права;</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препоръчва тестът за МСП и проверката на въздействията да се слеят в една процедура;</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препоръчва да се използват изкуствен интелект и инструменти за машинно самообучение, за да бъде създаден лесен за използване „единен инструмент за докладване“, с който на МСП, предприятията със средна пазарна капитализация и други дружества да може да се предоставя информация за всички свързани с ЕС задължения за докладване, както и за всички срокове и санкции;</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обръща внимание на необходимостта Европейският парламент и Съветът на ЕС да разработят ускорена процедура за оценките на въздействието и рисковете, които собствените им политически отдели изготвят в случай на изменения, които биха променили съществено приетите от Европейската комисия предложения;</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счита, че Съветът на ЕС и националните власти би трябвало също да използват повече възможностите за преглед на отговорностите (субсидиарност), по-специално по отношение на въздействието върху МСП, потребителите, администрацията и правосъдието.</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2376"/>
        <w:gridCol w:w="6911"/>
      </w:tblGrid>
      <w:tr w:rsidRPr="00D03AEC" w:rsidR="00D03AEC" w:rsidTr="00C60E4E" w14:paraId="5FB02248" w14:textId="77777777">
        <w:tc>
          <w:tcPr>
            <w:tcW w:w="1279" w:type="pct"/>
          </w:tcPr>
          <w:p w:rsidRPr="00C60E4E" w:rsidR="00D03AEC" w:rsidP="00BE1F8F" w:rsidRDefault="00D03AEC" w14:paraId="74072B9E" w14:textId="0AB6C39E">
            <w:pPr>
              <w:overflowPunct w:val="0"/>
              <w:autoSpaceDE w:val="0"/>
              <w:autoSpaceDN w:val="0"/>
              <w:adjustRightInd w:val="0"/>
              <w:textAlignment w:val="baseline"/>
              <w:rPr>
                <w:i/>
                <w:lang w:val="en-GB"/>
              </w:rPr>
            </w:pPr>
            <w:r>
              <w:rPr>
                <w:b/>
                <w:i/>
              </w:rPr>
              <w:t>За контакт</w:t>
            </w:r>
            <w:r w:rsidR="00C60E4E">
              <w:rPr>
                <w:b/>
                <w:i/>
                <w:lang w:val="en-GB"/>
              </w:rPr>
              <w:t>:</w:t>
            </w:r>
          </w:p>
        </w:tc>
        <w:tc>
          <w:tcPr>
            <w:tcW w:w="3721" w:type="pct"/>
          </w:tcPr>
          <w:p w:rsidRPr="00D03AEC" w:rsidR="00D03AEC" w:rsidP="00BE1F8F" w:rsidRDefault="00D03AEC" w14:paraId="522139B8" w14:textId="781982F3">
            <w:pPr>
              <w:overflowPunct w:val="0"/>
              <w:autoSpaceDE w:val="0"/>
              <w:autoSpaceDN w:val="0"/>
              <w:adjustRightInd w:val="0"/>
              <w:textAlignment w:val="baseline"/>
              <w:rPr>
                <w:i/>
              </w:rPr>
            </w:pPr>
            <w:r>
              <w:rPr>
                <w:i/>
              </w:rPr>
              <w:t>Marco Manfroni</w:t>
            </w:r>
          </w:p>
        </w:tc>
      </w:tr>
      <w:tr w:rsidRPr="00D03AEC" w:rsidR="00D03AEC" w:rsidTr="00C60E4E" w14:paraId="608E1DA4" w14:textId="77777777">
        <w:tc>
          <w:tcPr>
            <w:tcW w:w="1279" w:type="pct"/>
          </w:tcPr>
          <w:p w:rsidRPr="00D03AEC" w:rsidR="00D03AEC" w:rsidP="00BE1F8F" w:rsidRDefault="00D03AEC" w14:paraId="03200737" w14:textId="77777777">
            <w:pPr>
              <w:overflowPunct w:val="0"/>
              <w:autoSpaceDE w:val="0"/>
              <w:autoSpaceDN w:val="0"/>
              <w:adjustRightInd w:val="0"/>
              <w:textAlignment w:val="baseline"/>
              <w:rPr>
                <w:i/>
              </w:rPr>
            </w:pPr>
            <w:r>
              <w:rPr>
                <w:i/>
              </w:rPr>
              <w:t>Тел.:</w:t>
            </w:r>
          </w:p>
        </w:tc>
        <w:tc>
          <w:tcPr>
            <w:tcW w:w="3721" w:type="pct"/>
          </w:tcPr>
          <w:p w:rsidRPr="00D03AEC" w:rsidR="00D03AEC" w:rsidP="00BE1F8F" w:rsidRDefault="00D03AEC" w14:paraId="7EC18166" w14:textId="03235857">
            <w:pPr>
              <w:overflowPunct w:val="0"/>
              <w:autoSpaceDE w:val="0"/>
              <w:autoSpaceDN w:val="0"/>
              <w:adjustRightInd w:val="0"/>
              <w:textAlignment w:val="baseline"/>
              <w:rPr>
                <w:i/>
              </w:rPr>
            </w:pPr>
            <w:r>
              <w:rPr>
                <w:i/>
              </w:rPr>
              <w:t>+32 25469140</w:t>
            </w:r>
          </w:p>
        </w:tc>
      </w:tr>
      <w:tr w:rsidRPr="00D03AEC" w:rsidR="00D03AEC" w:rsidTr="00C60E4E" w14:paraId="18ACE9E6" w14:textId="77777777">
        <w:tc>
          <w:tcPr>
            <w:tcW w:w="1279" w:type="pct"/>
          </w:tcPr>
          <w:p w:rsidRPr="00D03AEC" w:rsidR="00D03AEC" w:rsidP="00BE1F8F" w:rsidRDefault="00D03AEC" w14:paraId="47140999" w14:textId="77777777">
            <w:pPr>
              <w:overflowPunct w:val="0"/>
              <w:autoSpaceDE w:val="0"/>
              <w:autoSpaceDN w:val="0"/>
              <w:adjustRightInd w:val="0"/>
              <w:textAlignment w:val="baseline"/>
              <w:rPr>
                <w:i/>
              </w:rPr>
            </w:pPr>
            <w:r>
              <w:rPr>
                <w:i/>
              </w:rPr>
              <w:t>Електронен адрес:</w:t>
            </w:r>
          </w:p>
        </w:tc>
        <w:tc>
          <w:tcPr>
            <w:tcW w:w="3721" w:type="pct"/>
          </w:tcPr>
          <w:p w:rsidRPr="00D03AEC" w:rsidR="00D03AEC" w:rsidP="00BE1F8F" w:rsidRDefault="004474A5" w14:paraId="66C1176F" w14:textId="6F5AA9D0">
            <w:pPr>
              <w:overflowPunct w:val="0"/>
              <w:autoSpaceDE w:val="0"/>
              <w:autoSpaceDN w:val="0"/>
              <w:adjustRightInd w:val="0"/>
              <w:textAlignment w:val="baseline"/>
              <w:rPr>
                <w:i/>
                <w:iCs/>
              </w:rPr>
            </w:pPr>
            <w:hyperlink w:history="1" r:id="rId46">
              <w:r w:rsidR="00B30936">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4474A5"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B30936">
          <w:rPr>
            <w:b/>
            <w:i/>
            <w:color w:val="0000FF"/>
            <w:sz w:val="28"/>
            <w:u w:val="single"/>
          </w:rPr>
          <w:t>Секторът на услугите в Европейския съюз</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2376"/>
        <w:gridCol w:w="6804"/>
      </w:tblGrid>
      <w:tr w:rsidRPr="008413EF" w:rsidR="008413EF" w:rsidTr="00C60E4E" w14:paraId="7A748E72" w14:textId="77777777">
        <w:tc>
          <w:tcPr>
            <w:tcW w:w="2376"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804"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r>
              <w:t>Marcin NOWACKI (група „Работодатели“ — PL)</w:t>
            </w:r>
          </w:p>
        </w:tc>
      </w:tr>
      <w:tr w:rsidRPr="008413EF" w:rsidR="008413EF" w:rsidTr="00C60E4E" w14:paraId="6A5323D9" w14:textId="77777777">
        <w:tc>
          <w:tcPr>
            <w:tcW w:w="2376" w:type="dxa"/>
            <w:vMerge w:val="restart"/>
          </w:tcPr>
          <w:p w:rsidRPr="008413EF" w:rsidR="008413EF" w:rsidP="00BE1F8F" w:rsidRDefault="008413EF" w14:paraId="037595AE" w14:textId="7E00B36E">
            <w:pPr>
              <w:tabs>
                <w:tab w:val="center" w:pos="284"/>
              </w:tabs>
              <w:overflowPunct w:val="0"/>
              <w:autoSpaceDE w:val="0"/>
              <w:autoSpaceDN w:val="0"/>
              <w:adjustRightInd w:val="0"/>
              <w:ind w:left="266" w:hanging="266"/>
              <w:textAlignment w:val="baseline"/>
              <w:rPr>
                <w:b/>
              </w:rPr>
            </w:pPr>
            <w:r>
              <w:rPr>
                <w:b/>
              </w:rPr>
              <w:t>Отправен документ</w:t>
            </w:r>
          </w:p>
        </w:tc>
        <w:tc>
          <w:tcPr>
            <w:tcW w:w="6804" w:type="dxa"/>
          </w:tcPr>
          <w:p w:rsidRPr="008413EF" w:rsidR="008413EF" w:rsidP="00713105" w:rsidRDefault="008413EF" w14:paraId="50FBE37D" w14:textId="5D117B4A">
            <w:pPr>
              <w:overflowPunct w:val="0"/>
              <w:autoSpaceDE w:val="0"/>
              <w:autoSpaceDN w:val="0"/>
              <w:adjustRightInd w:val="0"/>
              <w:textAlignment w:val="baseline"/>
            </w:pPr>
            <w:r>
              <w:t>Проучвателно становище по искане на полското председателство на Съвета на ЕС</w:t>
            </w:r>
          </w:p>
        </w:tc>
      </w:tr>
      <w:tr w:rsidRPr="008413EF" w:rsidR="008413EF" w:rsidTr="00C60E4E" w14:paraId="730528B8" w14:textId="77777777">
        <w:tc>
          <w:tcPr>
            <w:tcW w:w="2376"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6804"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ЕИСК:</w:t>
      </w:r>
    </w:p>
    <w:p w:rsidRPr="008413EF" w:rsidR="008413EF" w:rsidP="00BE1F8F" w:rsidRDefault="008413EF" w14:paraId="67F46C33" w14:textId="77777777">
      <w:pPr>
        <w:numPr>
          <w:ilvl w:val="0"/>
          <w:numId w:val="32"/>
        </w:numPr>
        <w:overflowPunct w:val="0"/>
        <w:autoSpaceDE w:val="0"/>
        <w:autoSpaceDN w:val="0"/>
        <w:adjustRightInd w:val="0"/>
        <w:ind w:left="284" w:hanging="284"/>
        <w:contextualSpacing/>
        <w:textAlignment w:val="baseline"/>
        <w:rPr>
          <w:bCs/>
          <w:iCs/>
        </w:rPr>
      </w:pPr>
      <w:r>
        <w:t>подчертава необходимостта от хармонизиране на Директивата за услугите и Директивата относно признаването на професионалните квалификации, за да се преодолее фрагментацията в сектора на услугите в ЕС;</w:t>
      </w:r>
    </w:p>
    <w:p w:rsidRPr="008413EF" w:rsidR="008413EF" w:rsidP="00BE1F8F" w:rsidRDefault="008413EF" w14:paraId="232D5697" w14:textId="77777777">
      <w:pPr>
        <w:numPr>
          <w:ilvl w:val="0"/>
          <w:numId w:val="32"/>
        </w:numPr>
        <w:overflowPunct w:val="0"/>
        <w:autoSpaceDE w:val="0"/>
        <w:autoSpaceDN w:val="0"/>
        <w:adjustRightInd w:val="0"/>
        <w:ind w:left="284" w:hanging="284"/>
        <w:contextualSpacing/>
        <w:textAlignment w:val="baseline"/>
        <w:rPr>
          <w:bCs/>
          <w:iCs/>
        </w:rPr>
      </w:pPr>
      <w:r>
        <w:t>смята, че следва да се въведе „Пакет 100 професии“, за да се преодолеят най-значимите регулаторни пречки в държавите членки;</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счита, че цифровизацията следва да играе централна роля в модернизирането на административните процеси. Порталът за единната цифрова декларация и цифровизацията на формулярите А1 не само ще намалят административната тежест за МСП, но и ще рационализират трансграничните услуги, като осигурят по-бързи и по-достъпни услуги както за предприятията, така и за потребителите;</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смята, че са необходими са целенасочени, специфични за секторите реформи, за да се преодолеят пречките в отрасли като строителството, търговията на дребно и финансовите услуги;</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подчертава, че защитата на труда, колективното договаряне и колективните трудови договори не трябва да се разглеждат като неоправдана тежест;</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подчертава необходимостта от събиране на данни за сектора на услугите, по-специално по отношение на МСП, за да се подкрепи изготвянето на политики и да се премахнат пречките пред единния пазар;</w:t>
      </w:r>
    </w:p>
    <w:p w:rsidRPr="008413EF" w:rsidR="008413EF" w:rsidP="00BE1F8F" w:rsidRDefault="008413EF" w14:paraId="74735E25" w14:textId="77777777">
      <w:pPr>
        <w:numPr>
          <w:ilvl w:val="0"/>
          <w:numId w:val="32"/>
        </w:numPr>
        <w:overflowPunct w:val="0"/>
        <w:autoSpaceDE w:val="0"/>
        <w:autoSpaceDN w:val="0"/>
        <w:adjustRightInd w:val="0"/>
        <w:ind w:left="284" w:hanging="284"/>
        <w:contextualSpacing/>
        <w:textAlignment w:val="baseline"/>
        <w:rPr>
          <w:bCs/>
          <w:iCs/>
        </w:rPr>
      </w:pPr>
      <w:r>
        <w:t xml:space="preserve">смята, че в актуализираната стратегия за единния пазар следва да бъде включен всеобхватен специфичен за сектора план за действие за интегрирането на пазара на услуги.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2093"/>
        <w:gridCol w:w="7087"/>
      </w:tblGrid>
      <w:tr w:rsidRPr="008413EF" w:rsidR="008413EF" w:rsidTr="00C60E4E" w14:paraId="33B11F7A" w14:textId="77777777">
        <w:tc>
          <w:tcPr>
            <w:tcW w:w="2093" w:type="dxa"/>
          </w:tcPr>
          <w:p w:rsidRPr="00C60E4E" w:rsidR="008413EF" w:rsidP="00BE1F8F" w:rsidRDefault="008413EF" w14:paraId="6AEFA1C2" w14:textId="2859CDDD">
            <w:pPr>
              <w:overflowPunct w:val="0"/>
              <w:autoSpaceDE w:val="0"/>
              <w:autoSpaceDN w:val="0"/>
              <w:adjustRightInd w:val="0"/>
              <w:textAlignment w:val="baseline"/>
              <w:rPr>
                <w:i/>
                <w:lang w:val="en-GB"/>
              </w:rPr>
            </w:pPr>
            <w:r>
              <w:rPr>
                <w:b/>
                <w:i/>
              </w:rPr>
              <w:t>За контакт</w:t>
            </w:r>
            <w:r w:rsidR="00C60E4E">
              <w:rPr>
                <w:b/>
                <w:i/>
                <w:lang w:val="en-GB"/>
              </w:rPr>
              <w:t>:</w:t>
            </w:r>
          </w:p>
        </w:tc>
        <w:tc>
          <w:tcPr>
            <w:tcW w:w="7087" w:type="dxa"/>
          </w:tcPr>
          <w:p w:rsidRPr="00713105" w:rsidR="008413EF" w:rsidP="00BE1F8F" w:rsidRDefault="008413EF" w14:paraId="061D78D4" w14:textId="77777777">
            <w:pPr>
              <w:overflowPunct w:val="0"/>
              <w:autoSpaceDE w:val="0"/>
              <w:autoSpaceDN w:val="0"/>
              <w:adjustRightInd w:val="0"/>
              <w:textAlignment w:val="baseline"/>
              <w:rPr>
                <w:i/>
              </w:rPr>
            </w:pPr>
            <w:r>
              <w:rPr>
                <w:i/>
              </w:rPr>
              <w:t>Annalisa Tessarolo</w:t>
            </w:r>
          </w:p>
        </w:tc>
      </w:tr>
      <w:tr w:rsidRPr="008413EF" w:rsidR="008413EF" w:rsidTr="00C60E4E" w14:paraId="40FDA69D" w14:textId="77777777">
        <w:tc>
          <w:tcPr>
            <w:tcW w:w="2093" w:type="dxa"/>
          </w:tcPr>
          <w:p w:rsidRPr="00713105" w:rsidR="008413EF" w:rsidP="00BE1F8F" w:rsidRDefault="008413EF" w14:paraId="2D116995" w14:textId="77777777">
            <w:pPr>
              <w:overflowPunct w:val="0"/>
              <w:autoSpaceDE w:val="0"/>
              <w:autoSpaceDN w:val="0"/>
              <w:adjustRightInd w:val="0"/>
              <w:textAlignment w:val="baseline"/>
              <w:rPr>
                <w:i/>
              </w:rPr>
            </w:pPr>
            <w:r>
              <w:rPr>
                <w:i/>
              </w:rPr>
              <w:t>Тел.:</w:t>
            </w:r>
          </w:p>
        </w:tc>
        <w:tc>
          <w:tcPr>
            <w:tcW w:w="7087" w:type="dxa"/>
          </w:tcPr>
          <w:p w:rsidRPr="00713105" w:rsidR="008413EF" w:rsidP="00BE1F8F" w:rsidRDefault="008413EF" w14:paraId="100C3FF0" w14:textId="4D96929A">
            <w:pPr>
              <w:overflowPunct w:val="0"/>
              <w:autoSpaceDE w:val="0"/>
              <w:autoSpaceDN w:val="0"/>
              <w:adjustRightInd w:val="0"/>
              <w:textAlignment w:val="baseline"/>
              <w:rPr>
                <w:i/>
              </w:rPr>
            </w:pPr>
            <w:r>
              <w:rPr>
                <w:i/>
              </w:rPr>
              <w:t>+32 2 54697432</w:t>
            </w:r>
          </w:p>
        </w:tc>
      </w:tr>
      <w:tr w:rsidRPr="008413EF" w:rsidR="008413EF" w:rsidTr="00C60E4E" w14:paraId="37302371" w14:textId="77777777">
        <w:tc>
          <w:tcPr>
            <w:tcW w:w="2093" w:type="dxa"/>
          </w:tcPr>
          <w:p w:rsidRPr="00C60E4E" w:rsidR="008413EF" w:rsidP="00BE1F8F" w:rsidRDefault="00AD28C9" w14:paraId="5DEDB95D" w14:textId="183B6FC7">
            <w:pPr>
              <w:overflowPunct w:val="0"/>
              <w:autoSpaceDE w:val="0"/>
              <w:autoSpaceDN w:val="0"/>
              <w:adjustRightInd w:val="0"/>
              <w:textAlignment w:val="baseline"/>
              <w:rPr>
                <w:i/>
                <w:lang w:val="en-GB"/>
              </w:rPr>
            </w:pPr>
            <w:r>
              <w:rPr>
                <w:i/>
              </w:rPr>
              <w:t>Електронен адрес</w:t>
            </w:r>
            <w:r w:rsidR="00C60E4E">
              <w:rPr>
                <w:i/>
                <w:lang w:val="en-GB"/>
              </w:rPr>
              <w:t>:</w:t>
            </w:r>
          </w:p>
        </w:tc>
        <w:tc>
          <w:tcPr>
            <w:tcW w:w="7087" w:type="dxa"/>
          </w:tcPr>
          <w:p w:rsidRPr="00713105" w:rsidR="008413EF" w:rsidP="00BE1F8F" w:rsidRDefault="004474A5" w14:paraId="03ED06F2" w14:textId="4676909C">
            <w:pPr>
              <w:overflowPunct w:val="0"/>
              <w:autoSpaceDE w:val="0"/>
              <w:autoSpaceDN w:val="0"/>
              <w:adjustRightInd w:val="0"/>
              <w:textAlignment w:val="baseline"/>
              <w:rPr>
                <w:i/>
              </w:rPr>
            </w:pPr>
            <w:hyperlink w:history="1" r:id="rId48">
              <w:r w:rsidR="00B30936">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BE1F8F" w:rsidRDefault="004474A5" w14:paraId="42F00AC9" w14:textId="3186BBA7">
      <w:pPr>
        <w:widowControl w:val="0"/>
        <w:numPr>
          <w:ilvl w:val="0"/>
          <w:numId w:val="2"/>
        </w:numPr>
        <w:overflowPunct w:val="0"/>
        <w:autoSpaceDE w:val="0"/>
        <w:autoSpaceDN w:val="0"/>
        <w:adjustRightInd w:val="0"/>
        <w:ind w:left="284" w:hanging="284"/>
        <w:textAlignment w:val="baseline"/>
      </w:pPr>
      <w:hyperlink w:tgtFrame="_blank" w:history="1" r:id="rId49">
        <w:r w:rsidR="00B30936">
          <w:rPr>
            <w:b/>
            <w:i/>
            <w:color w:val="0000FF"/>
            <w:sz w:val="28"/>
            <w:u w:val="single"/>
          </w:rPr>
          <w:t>Бъдещето на промишлеността на ЕС предвид високите цени на енергията и разходите за прехода</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2376"/>
        <w:gridCol w:w="6803"/>
      </w:tblGrid>
      <w:tr w:rsidRPr="001C0AB9" w:rsidR="001C0AB9" w:rsidTr="00C60E4E" w14:paraId="302E5F77" w14:textId="77777777">
        <w:tc>
          <w:tcPr>
            <w:tcW w:w="1294"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706"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Andrea MONE (група „Работници“ — IT)</w:t>
            </w:r>
          </w:p>
        </w:tc>
      </w:tr>
      <w:tr w:rsidRPr="001C0AB9" w:rsidR="001C0AB9" w:rsidTr="00C60E4E" w14:paraId="49E0B6DD" w14:textId="77777777">
        <w:tc>
          <w:tcPr>
            <w:tcW w:w="1294" w:type="pct"/>
            <w:vMerge w:val="restart"/>
          </w:tcPr>
          <w:p w:rsidRPr="001C0AB9" w:rsidR="001C0AB9" w:rsidP="00BE1F8F" w:rsidRDefault="001C0AB9" w14:paraId="2351E607" w14:textId="2483074C">
            <w:pPr>
              <w:tabs>
                <w:tab w:val="center" w:pos="284"/>
              </w:tabs>
              <w:overflowPunct w:val="0"/>
              <w:autoSpaceDE w:val="0"/>
              <w:autoSpaceDN w:val="0"/>
              <w:adjustRightInd w:val="0"/>
              <w:ind w:left="266" w:hanging="266"/>
              <w:textAlignment w:val="baseline"/>
              <w:rPr>
                <w:b/>
              </w:rPr>
            </w:pPr>
            <w:r>
              <w:rPr>
                <w:b/>
              </w:rPr>
              <w:t>Отправен документ</w:t>
            </w:r>
          </w:p>
        </w:tc>
        <w:tc>
          <w:tcPr>
            <w:tcW w:w="3706" w:type="pct"/>
          </w:tcPr>
          <w:p w:rsidRPr="00C43D3E" w:rsidR="001C0AB9" w:rsidP="00672FB1" w:rsidRDefault="001C0AB9" w14:paraId="17F26A32" w14:textId="51BBB0EC">
            <w:pPr>
              <w:overflowPunct w:val="0"/>
              <w:autoSpaceDE w:val="0"/>
              <w:autoSpaceDN w:val="0"/>
              <w:adjustRightInd w:val="0"/>
              <w:textAlignment w:val="baseline"/>
            </w:pPr>
            <w:r>
              <w:t>Проучвателно становище по искане на полското председателство на Съвета на ЕС</w:t>
            </w:r>
          </w:p>
        </w:tc>
      </w:tr>
      <w:tr w:rsidRPr="001C0AB9" w:rsidR="001C0AB9" w:rsidTr="00C60E4E" w14:paraId="21E65686" w14:textId="77777777">
        <w:tc>
          <w:tcPr>
            <w:tcW w:w="1294"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3706"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ЕИСК:</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призовава за спешни действия за разработване на </w:t>
      </w:r>
      <w:r>
        <w:rPr>
          <w:b/>
        </w:rPr>
        <w:t>всеобхватна промишлена стратегия на ЕС</w:t>
      </w:r>
      <w:r>
        <w:t xml:space="preserve">, която да гарантира </w:t>
      </w:r>
      <w:r>
        <w:rPr>
          <w:b/>
        </w:rPr>
        <w:t>конкурентоспособни промишлени отрасли и качествени работни места</w:t>
      </w:r>
      <w:r>
        <w:t xml:space="preserve"> и да е съобразена с целите на Зеления пакт посредством </w:t>
      </w:r>
      <w:r>
        <w:rPr>
          <w:b/>
        </w:rPr>
        <w:t>внимателен</w:t>
      </w:r>
      <w:r>
        <w:t xml:space="preserve"> мониторинг и целенасочени коригиращи мерки;</w:t>
      </w:r>
    </w:p>
    <w:p w:rsidRPr="001C0AB9" w:rsidR="001C0AB9" w:rsidP="00BE1F8F" w:rsidRDefault="001C0AB9" w14:paraId="70DD072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настоятелно призовава за подобрения в </w:t>
      </w:r>
      <w:r>
        <w:rPr>
          <w:b/>
        </w:rPr>
        <w:t>икономическата и регулаторната среда</w:t>
      </w:r>
      <w:r>
        <w:t xml:space="preserve"> с цел справяне със </w:t>
      </w:r>
      <w:r>
        <w:rPr>
          <w:b/>
        </w:rPr>
        <w:t>структурните предизвикателства пред конкурентоспособността на Европа</w:t>
      </w:r>
      <w:r>
        <w:t>, включително високите разходи за енергия и суровини, първоначалните инвестиции и тежестите, свързани със спазването на изискванията на екологичния преход, неподходящата инфраструктура, трайния недостиг на умения, ограниченото финансиране и вътрешното търсене, както и незавършения единен пазар;</w:t>
      </w:r>
    </w:p>
    <w:p w:rsidRPr="001C0AB9" w:rsidR="001C0AB9" w:rsidP="00BE1F8F" w:rsidRDefault="001C0AB9" w14:paraId="6A693864"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се застъпва за политика на конкурентоспособност, която дава приоритет на </w:t>
      </w:r>
      <w:r>
        <w:rPr>
          <w:b/>
        </w:rPr>
        <w:t>инвестициите и иновациите</w:t>
      </w:r>
      <w:r>
        <w:t xml:space="preserve">, като същевременно насърчава </w:t>
      </w:r>
      <w:r>
        <w:rPr>
          <w:b/>
        </w:rPr>
        <w:t>социалното и териториалното приобщаване</w:t>
      </w:r>
      <w:r>
        <w:t xml:space="preserve"> и гарантира, че </w:t>
      </w:r>
      <w:r>
        <w:rPr>
          <w:b/>
        </w:rPr>
        <w:t>социалният диалог и колективното договаряне</w:t>
      </w:r>
      <w:r>
        <w:t xml:space="preserve"> насочват структурните промени по справедлив и равнопоставен начин;</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призовава за </w:t>
      </w:r>
      <w:r>
        <w:rPr>
          <w:b/>
        </w:rPr>
        <w:t>промишлена стратегия, адаптирана към всички сектори</w:t>
      </w:r>
      <w:r>
        <w:t xml:space="preserve">, която да подобрява </w:t>
      </w:r>
      <w:r>
        <w:rPr>
          <w:b/>
        </w:rPr>
        <w:t>съгласуваността на политиките</w:t>
      </w:r>
      <w:r>
        <w:t xml:space="preserve">, да </w:t>
      </w:r>
      <w:r>
        <w:rPr>
          <w:b/>
        </w:rPr>
        <w:t>оптимизира разпределението на ресурсите</w:t>
      </w:r>
      <w:r>
        <w:t xml:space="preserve">, да </w:t>
      </w:r>
      <w:r>
        <w:rPr>
          <w:b/>
        </w:rPr>
        <w:t>създаде специален европейски инвестиционен фонд</w:t>
      </w:r>
      <w:r>
        <w:t xml:space="preserve"> за стратегически приоритети и да отчита </w:t>
      </w:r>
      <w:r>
        <w:rPr>
          <w:b/>
        </w:rPr>
        <w:t>транснационалното измерение</w:t>
      </w:r>
      <w:r>
        <w:t xml:space="preserve"> на ключови области като </w:t>
      </w:r>
      <w:r>
        <w:rPr>
          <w:b/>
        </w:rPr>
        <w:t>енергетиката, научните изследвания и иновациите и уменията</w:t>
      </w:r>
      <w:r>
        <w:t>;</w:t>
      </w:r>
    </w:p>
    <w:p w:rsidRPr="001C0AB9" w:rsidR="001C0AB9" w:rsidP="00BE1F8F" w:rsidRDefault="001C0AB9" w14:paraId="1A086C5D" w14:textId="77777777">
      <w:pPr>
        <w:numPr>
          <w:ilvl w:val="0"/>
          <w:numId w:val="33"/>
        </w:numPr>
        <w:tabs>
          <w:tab w:val="clear" w:pos="720"/>
          <w:tab w:val="num" w:pos="567"/>
        </w:tabs>
        <w:overflowPunct w:val="0"/>
        <w:autoSpaceDE w:val="0"/>
        <w:autoSpaceDN w:val="0"/>
        <w:adjustRightInd w:val="0"/>
        <w:ind w:left="284" w:hanging="284"/>
        <w:textAlignment w:val="baseline"/>
      </w:pPr>
      <w:r>
        <w:rPr>
          <w:b/>
        </w:rPr>
        <w:t>подчертава необходимостта от устойчива търговска политика на ЕС</w:t>
      </w:r>
      <w:r>
        <w:t>, която да смекчава рисковете от</w:t>
      </w:r>
      <w:r>
        <w:rPr>
          <w:b/>
        </w:rPr>
        <w:t xml:space="preserve"> асиметрична декарбонизация, световен свръхкапацитет и засилване на напреженията в търговията</w:t>
      </w:r>
      <w:r>
        <w:t>, като същевременно укрепва</w:t>
      </w:r>
      <w:r>
        <w:rPr>
          <w:b/>
        </w:rPr>
        <w:t xml:space="preserve"> автономността по отношение на суровините от критично значение</w:t>
      </w:r>
      <w:r>
        <w:t xml:space="preserve"> с цел осигуряване на промишлено бъдеще на Европа.</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2234"/>
        <w:gridCol w:w="6945"/>
      </w:tblGrid>
      <w:tr w:rsidRPr="001C0AB9" w:rsidR="001C0AB9" w:rsidTr="00C60E4E" w14:paraId="255B6976" w14:textId="77777777">
        <w:tc>
          <w:tcPr>
            <w:tcW w:w="1217" w:type="pct"/>
          </w:tcPr>
          <w:p w:rsidRPr="00C60E4E" w:rsidR="001C0AB9" w:rsidP="00BE1F8F" w:rsidRDefault="001C0AB9" w14:paraId="25B90EB8" w14:textId="2E4AA962">
            <w:pPr>
              <w:overflowPunct w:val="0"/>
              <w:autoSpaceDE w:val="0"/>
              <w:autoSpaceDN w:val="0"/>
              <w:adjustRightInd w:val="0"/>
              <w:textAlignment w:val="baseline"/>
              <w:rPr>
                <w:i/>
                <w:lang w:val="en-GB"/>
              </w:rPr>
            </w:pPr>
            <w:r>
              <w:rPr>
                <w:b/>
                <w:i/>
              </w:rPr>
              <w:t>За контакт</w:t>
            </w:r>
            <w:r w:rsidR="00C60E4E">
              <w:rPr>
                <w:b/>
                <w:i/>
                <w:lang w:val="en-GB"/>
              </w:rPr>
              <w:t>:</w:t>
            </w:r>
          </w:p>
        </w:tc>
        <w:tc>
          <w:tcPr>
            <w:tcW w:w="3783" w:type="pct"/>
          </w:tcPr>
          <w:p w:rsidRPr="001C0AB9" w:rsidR="001C0AB9" w:rsidP="00BE1F8F" w:rsidRDefault="001C0AB9" w14:paraId="47766DB4" w14:textId="77777777">
            <w:pPr>
              <w:overflowPunct w:val="0"/>
              <w:autoSpaceDE w:val="0"/>
              <w:autoSpaceDN w:val="0"/>
              <w:adjustRightInd w:val="0"/>
              <w:textAlignment w:val="baseline"/>
              <w:rPr>
                <w:i/>
              </w:rPr>
            </w:pPr>
            <w:r>
              <w:rPr>
                <w:i/>
              </w:rPr>
              <w:t>Silvia Staffa</w:t>
            </w:r>
          </w:p>
        </w:tc>
      </w:tr>
      <w:tr w:rsidRPr="001C0AB9" w:rsidR="001C0AB9" w:rsidTr="00C60E4E" w14:paraId="7C1DD93F" w14:textId="77777777">
        <w:tc>
          <w:tcPr>
            <w:tcW w:w="1217" w:type="pct"/>
          </w:tcPr>
          <w:p w:rsidRPr="001C0AB9" w:rsidR="001C0AB9" w:rsidP="00BE1F8F" w:rsidRDefault="001C0AB9" w14:paraId="3EE989E4" w14:textId="77777777">
            <w:pPr>
              <w:overflowPunct w:val="0"/>
              <w:autoSpaceDE w:val="0"/>
              <w:autoSpaceDN w:val="0"/>
              <w:adjustRightInd w:val="0"/>
              <w:textAlignment w:val="baseline"/>
              <w:rPr>
                <w:i/>
              </w:rPr>
            </w:pPr>
            <w:r>
              <w:rPr>
                <w:i/>
              </w:rPr>
              <w:t>Тел.:</w:t>
            </w:r>
          </w:p>
        </w:tc>
        <w:tc>
          <w:tcPr>
            <w:tcW w:w="3783" w:type="pct"/>
          </w:tcPr>
          <w:p w:rsidRPr="001C0AB9" w:rsidR="001C0AB9" w:rsidP="00BE1F8F" w:rsidRDefault="001C0AB9" w14:paraId="205BC83F" w14:textId="77777777">
            <w:pPr>
              <w:overflowPunct w:val="0"/>
              <w:autoSpaceDE w:val="0"/>
              <w:autoSpaceDN w:val="0"/>
              <w:adjustRightInd w:val="0"/>
              <w:textAlignment w:val="baseline"/>
              <w:rPr>
                <w:i/>
              </w:rPr>
            </w:pPr>
            <w:r>
              <w:rPr>
                <w:i/>
              </w:rPr>
              <w:t>+32 25468378</w:t>
            </w:r>
          </w:p>
        </w:tc>
      </w:tr>
      <w:tr w:rsidRPr="001C0AB9" w:rsidR="001C0AB9" w:rsidTr="00C60E4E" w14:paraId="0E5D8409" w14:textId="77777777">
        <w:tc>
          <w:tcPr>
            <w:tcW w:w="1217" w:type="pct"/>
          </w:tcPr>
          <w:p w:rsidRPr="001C0AB9" w:rsidR="001C0AB9" w:rsidP="00BE1F8F" w:rsidRDefault="00402449" w14:paraId="20244737" w14:textId="72ECCE95">
            <w:pPr>
              <w:overflowPunct w:val="0"/>
              <w:autoSpaceDE w:val="0"/>
              <w:autoSpaceDN w:val="0"/>
              <w:adjustRightInd w:val="0"/>
              <w:textAlignment w:val="baseline"/>
              <w:rPr>
                <w:i/>
              </w:rPr>
            </w:pPr>
            <w:r>
              <w:rPr>
                <w:i/>
              </w:rPr>
              <w:t>Електронен адрес:</w:t>
            </w:r>
          </w:p>
        </w:tc>
        <w:tc>
          <w:tcPr>
            <w:tcW w:w="3783" w:type="pct"/>
          </w:tcPr>
          <w:p w:rsidRPr="001C0AB9" w:rsidR="001C0AB9" w:rsidP="00BE1F8F" w:rsidRDefault="004474A5" w14:paraId="2ACCD03D" w14:textId="77777777">
            <w:pPr>
              <w:overflowPunct w:val="0"/>
              <w:autoSpaceDE w:val="0"/>
              <w:autoSpaceDN w:val="0"/>
              <w:adjustRightInd w:val="0"/>
              <w:textAlignment w:val="baseline"/>
              <w:rPr>
                <w:i/>
              </w:rPr>
            </w:pPr>
            <w:hyperlink w:history="1" r:id="rId50">
              <w:r w:rsidR="00B30936">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4474A5"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B30936">
          <w:rPr>
            <w:b/>
            <w:i/>
            <w:color w:val="0000FF"/>
            <w:sz w:val="28"/>
            <w:u w:val="single"/>
          </w:rPr>
          <w:t xml:space="preserve">Туризмът в ЕС: устойчивостта </w:t>
        </w:r>
      </w:hyperlink>
      <w:r w:rsidR="00B30936">
        <w:rPr>
          <w:b/>
          <w:i/>
          <w:color w:val="0000FF"/>
          <w:sz w:val="28"/>
          <w:u w:val="single"/>
        </w:rPr>
        <w:t xml:space="preserve"> aкато движеща сила за дългосрочната конкурентоспособност</w:t>
      </w:r>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519"/>
        <w:gridCol w:w="6768"/>
      </w:tblGrid>
      <w:tr w:rsidRPr="00A124AE" w:rsidR="00A124AE" w:rsidTr="00C60E4E" w14:paraId="5244175C" w14:textId="77777777">
        <w:trPr>
          <w:trHeight w:val="322"/>
        </w:trPr>
        <w:tc>
          <w:tcPr>
            <w:tcW w:w="1356"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Докладчик</w:t>
            </w:r>
          </w:p>
        </w:tc>
        <w:tc>
          <w:tcPr>
            <w:tcW w:w="3644"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Isabel YGLESIAS (група „Работодатели“ — Испания)</w:t>
            </w:r>
          </w:p>
        </w:tc>
      </w:tr>
      <w:tr w:rsidRPr="00A124AE" w:rsidR="00A124AE" w:rsidTr="00C60E4E" w14:paraId="466A9A73" w14:textId="77777777">
        <w:tc>
          <w:tcPr>
            <w:tcW w:w="1356" w:type="pct"/>
          </w:tcPr>
          <w:p w:rsidRPr="00A124AE" w:rsidR="00A124AE" w:rsidP="00BE1F8F" w:rsidRDefault="00A124AE" w14:paraId="1940FE0A" w14:textId="7BF07B25">
            <w:pPr>
              <w:tabs>
                <w:tab w:val="center" w:pos="284"/>
              </w:tabs>
              <w:overflowPunct w:val="0"/>
              <w:autoSpaceDE w:val="0"/>
              <w:autoSpaceDN w:val="0"/>
              <w:adjustRightInd w:val="0"/>
              <w:ind w:left="266" w:hanging="266"/>
              <w:textAlignment w:val="baseline"/>
              <w:rPr>
                <w:b/>
              </w:rPr>
            </w:pPr>
            <w:r>
              <w:rPr>
                <w:b/>
              </w:rPr>
              <w:t>Отправен документ</w:t>
            </w:r>
          </w:p>
        </w:tc>
        <w:tc>
          <w:tcPr>
            <w:tcW w:w="3644"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Становище по собствена инициатива</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Основни аспекти</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ЕИСК:</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t xml:space="preserve">подчертава, че </w:t>
      </w:r>
      <w:r>
        <w:rPr>
          <w:b/>
        </w:rPr>
        <w:t>преходът към устойчив туризъм</w:t>
      </w:r>
      <w:r>
        <w:t xml:space="preserve"> следва да бъде ускорен и че </w:t>
      </w:r>
      <w:r>
        <w:rPr>
          <w:b/>
        </w:rPr>
        <w:t>трябва да се прилагат стратегии за регенеративен туризъм</w:t>
      </w:r>
      <w:r>
        <w:t>, за да се гарантира, че регионите, които са силно специализирани в туризма, могат да допринесат в пълна степен за повишаване на конкурентоспособността на ЕС чрез туризма. Регенеративният туризъм има по-големи амбиции от устойчивия туризъм: той използва практики, насочени към възстановяване и укрепване на природния, социалния и икономическия капитал, като генерира положително и трайно въздействие върху дестинациите и техните общности;</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t xml:space="preserve">препоръчва през </w:t>
      </w:r>
      <w:r>
        <w:rPr>
          <w:b/>
        </w:rPr>
        <w:t>новия европейски законодателен цикъл да се насърчават политики в областта на туризма, които включват цели за активно възстановяване</w:t>
      </w:r>
      <w:r>
        <w:t xml:space="preserve"> и отговарят на взаимовръзката между всички съставни елементи на туристическата дестинация: екосистеми, общности, местна икономика и посетители;</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t xml:space="preserve">предлага да се разработят </w:t>
      </w:r>
      <w:r>
        <w:rPr>
          <w:b/>
        </w:rPr>
        <w:t>ясни насоки и конкретни действия за ускоряване на прехода</w:t>
      </w:r>
      <w:r>
        <w:t xml:space="preserve"> към модел на туризъм, основан на активно възстановяване и социална стойност, в рамките на Стратегията за устойчив туризъм. Тази стратегия следва да бъде придружена от подходящи </w:t>
      </w:r>
      <w:r>
        <w:rPr>
          <w:b/>
        </w:rPr>
        <w:t>програми за финансиране и научни изследвания</w:t>
      </w:r>
      <w:r>
        <w:t xml:space="preserve">, както и от </w:t>
      </w:r>
      <w:r>
        <w:rPr>
          <w:b/>
        </w:rPr>
        <w:t>социални политики и политики за обучение</w:t>
      </w:r>
      <w:r>
        <w:t>, които да гарантират ефективното ѝ осъществяване;</w:t>
      </w:r>
    </w:p>
    <w:p w:rsidRPr="00A124AE" w:rsidR="00A124AE" w:rsidP="00BE1F8F" w:rsidRDefault="00A124AE" w14:paraId="096C272A" w14:textId="77777777">
      <w:pPr>
        <w:numPr>
          <w:ilvl w:val="0"/>
          <w:numId w:val="34"/>
        </w:numPr>
        <w:overflowPunct w:val="0"/>
        <w:autoSpaceDE w:val="0"/>
        <w:autoSpaceDN w:val="0"/>
        <w:adjustRightInd w:val="0"/>
        <w:ind w:left="284" w:hanging="284"/>
        <w:contextualSpacing/>
        <w:textAlignment w:val="baseline"/>
        <w:rPr>
          <w:bCs/>
          <w:iCs/>
        </w:rPr>
      </w:pPr>
      <w:r>
        <w:t xml:space="preserve">подчертава, че </w:t>
      </w:r>
      <w:r>
        <w:rPr>
          <w:b/>
        </w:rPr>
        <w:t>обучението и повишаването на квалификацията на служителите в областта на устойчивостта и кръговата икономика</w:t>
      </w:r>
      <w:r>
        <w:t xml:space="preserve"> е от ключово значение за повишаване на качеството на работните места и за привличане и задържане на талантите, необходими, за да се осъществи и да процъфтява преходът към регенеративен туризъм. За да се постигнат тези цели, трябва да се положат усилия за укрепване и засилване на сътрудничеството на потребителите. Съчетаването на икономически стимули, достъпни модели и стратегии за </w:t>
      </w:r>
      <w:r>
        <w:rPr>
          <w:b/>
        </w:rPr>
        <w:t>намаляване на сезонния характер на туризма</w:t>
      </w:r>
      <w:r>
        <w:t xml:space="preserve"> е от ключово значение за постигането на по-широка и по-ефективна ангажираност.</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2234"/>
        <w:gridCol w:w="7053"/>
      </w:tblGrid>
      <w:tr w:rsidRPr="00A124AE" w:rsidR="00A124AE" w:rsidTr="00C60E4E" w14:paraId="7E775A80" w14:textId="77777777">
        <w:tc>
          <w:tcPr>
            <w:tcW w:w="1203" w:type="pct"/>
          </w:tcPr>
          <w:p w:rsidRPr="00C60E4E" w:rsidR="00A124AE" w:rsidP="00BE1F8F" w:rsidRDefault="00A124AE" w14:paraId="1D08457C" w14:textId="032991C2">
            <w:pPr>
              <w:overflowPunct w:val="0"/>
              <w:autoSpaceDE w:val="0"/>
              <w:autoSpaceDN w:val="0"/>
              <w:adjustRightInd w:val="0"/>
              <w:textAlignment w:val="baseline"/>
              <w:rPr>
                <w:i/>
                <w:lang w:val="en-GB"/>
              </w:rPr>
            </w:pPr>
            <w:r>
              <w:rPr>
                <w:b/>
                <w:i/>
              </w:rPr>
              <w:t>За контакт</w:t>
            </w:r>
            <w:r w:rsidR="00C60E4E">
              <w:rPr>
                <w:b/>
                <w:i/>
                <w:lang w:val="en-GB"/>
              </w:rPr>
              <w:t>:</w:t>
            </w:r>
          </w:p>
        </w:tc>
        <w:tc>
          <w:tcPr>
            <w:tcW w:w="3797" w:type="pct"/>
          </w:tcPr>
          <w:p w:rsidRPr="00A124AE" w:rsidR="00A124AE" w:rsidP="00BE1F8F" w:rsidRDefault="00A124AE" w14:paraId="615E6C8D" w14:textId="36E1239F">
            <w:pPr>
              <w:overflowPunct w:val="0"/>
              <w:autoSpaceDE w:val="0"/>
              <w:autoSpaceDN w:val="0"/>
              <w:adjustRightInd w:val="0"/>
              <w:textAlignment w:val="baseline"/>
              <w:rPr>
                <w:i/>
              </w:rPr>
            </w:pPr>
            <w:r>
              <w:rPr>
                <w:i/>
              </w:rPr>
              <w:t>Silvia Staffa</w:t>
            </w:r>
          </w:p>
        </w:tc>
      </w:tr>
      <w:tr w:rsidRPr="00A124AE" w:rsidR="00A124AE" w:rsidTr="00C60E4E" w14:paraId="2BB8DEB2" w14:textId="77777777">
        <w:tc>
          <w:tcPr>
            <w:tcW w:w="1203" w:type="pct"/>
          </w:tcPr>
          <w:p w:rsidRPr="00A124AE" w:rsidR="00A124AE" w:rsidP="00BE1F8F" w:rsidRDefault="00A124AE" w14:paraId="43D7D550" w14:textId="77777777">
            <w:pPr>
              <w:overflowPunct w:val="0"/>
              <w:autoSpaceDE w:val="0"/>
              <w:autoSpaceDN w:val="0"/>
              <w:adjustRightInd w:val="0"/>
              <w:textAlignment w:val="baseline"/>
              <w:rPr>
                <w:i/>
              </w:rPr>
            </w:pPr>
            <w:r>
              <w:rPr>
                <w:i/>
              </w:rPr>
              <w:t>Тел.:</w:t>
            </w:r>
          </w:p>
        </w:tc>
        <w:tc>
          <w:tcPr>
            <w:tcW w:w="3797" w:type="pct"/>
          </w:tcPr>
          <w:p w:rsidRPr="00A124AE" w:rsidR="00A124AE" w:rsidP="00BE1F8F" w:rsidRDefault="00A124AE" w14:paraId="4A1F3ECB" w14:textId="4482010E">
            <w:pPr>
              <w:overflowPunct w:val="0"/>
              <w:autoSpaceDE w:val="0"/>
              <w:autoSpaceDN w:val="0"/>
              <w:adjustRightInd w:val="0"/>
              <w:textAlignment w:val="baseline"/>
              <w:rPr>
                <w:i/>
              </w:rPr>
            </w:pPr>
            <w:r>
              <w:rPr>
                <w:i/>
              </w:rPr>
              <w:t>+32 25468378</w:t>
            </w:r>
          </w:p>
        </w:tc>
      </w:tr>
      <w:tr w:rsidRPr="00A124AE" w:rsidR="00A124AE" w:rsidTr="00C60E4E" w14:paraId="2D7C493D" w14:textId="77777777">
        <w:tc>
          <w:tcPr>
            <w:tcW w:w="1203" w:type="pct"/>
          </w:tcPr>
          <w:p w:rsidRPr="00A124AE" w:rsidR="00A124AE" w:rsidP="00BE1F8F" w:rsidRDefault="00A124AE" w14:paraId="6E440A2F" w14:textId="77777777">
            <w:pPr>
              <w:overflowPunct w:val="0"/>
              <w:autoSpaceDE w:val="0"/>
              <w:autoSpaceDN w:val="0"/>
              <w:adjustRightInd w:val="0"/>
              <w:textAlignment w:val="baseline"/>
              <w:rPr>
                <w:i/>
              </w:rPr>
            </w:pPr>
            <w:r>
              <w:rPr>
                <w:i/>
              </w:rPr>
              <w:t>Електронен адрес:</w:t>
            </w:r>
          </w:p>
        </w:tc>
        <w:tc>
          <w:tcPr>
            <w:tcW w:w="3797" w:type="pct"/>
          </w:tcPr>
          <w:p w:rsidRPr="00A124AE" w:rsidR="00A124AE" w:rsidP="00BE1F8F" w:rsidRDefault="004474A5" w14:paraId="43479DC4" w14:textId="7E7AB516">
            <w:pPr>
              <w:overflowPunct w:val="0"/>
              <w:autoSpaceDE w:val="0"/>
              <w:autoSpaceDN w:val="0"/>
              <w:adjustRightInd w:val="0"/>
              <w:textAlignment w:val="baseline"/>
              <w:rPr>
                <w:i/>
                <w:iCs/>
              </w:rPr>
            </w:pPr>
            <w:hyperlink w:history="1" r:id="rId52">
              <w:r w:rsidR="00B30936">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685947" w:id="25"/>
      <w:bookmarkEnd w:id="22"/>
      <w:r>
        <w:rPr>
          <w:b/>
        </w:rPr>
        <w:lastRenderedPageBreak/>
        <w:t>ЗЕМЕДЕЛИЕ, РАЗВИТИЕ НА СЕЛСКИТЕ РАЙОНИ, ОКОЛНА СРЕДА</w:t>
      </w:r>
      <w:bookmarkEnd w:id="23"/>
      <w:bookmarkEnd w:id="24"/>
      <w:bookmarkEnd w:id="25"/>
    </w:p>
    <w:p w:rsidRPr="00672FB1" w:rsidR="007F5784" w:rsidP="00C77862" w:rsidRDefault="007F5784" w14:paraId="715DB2BD" w14:textId="6CA1C4B2">
      <w:pPr>
        <w:spacing w:line="240" w:lineRule="auto"/>
        <w:jc w:val="left"/>
      </w:pPr>
    </w:p>
    <w:p w:rsidRPr="00C43D3E" w:rsidR="00DE2D96" w:rsidP="00C77862" w:rsidRDefault="004474A5"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B30936">
          <w:rPr>
            <w:b/>
            <w:i/>
            <w:color w:val="0000FF"/>
            <w:sz w:val="28"/>
            <w:u w:val="single"/>
          </w:rPr>
          <w:t>Осигуряване на устойчиво производство на храни и справедливи доходи за европейските земеделски стопани</w:t>
        </w:r>
      </w:hyperlink>
      <w:r w:rsidR="00B30936">
        <w:rPr>
          <w:b/>
          <w:i/>
          <w:color w:val="0000FF"/>
          <w:sz w:val="28"/>
          <w:u w:val="single"/>
        </w:rPr>
        <w:t>, изправени пред пазарни, екологични и климатични предизвикателства</w:t>
      </w:r>
    </w:p>
    <w:p w:rsidRPr="00672FB1" w:rsidR="00DE2D96" w:rsidP="00BE1F8F" w:rsidRDefault="00DE2D96" w14:paraId="14A2FD1A" w14:textId="77777777">
      <w:pPr>
        <w:tabs>
          <w:tab w:val="center" w:pos="284"/>
        </w:tabs>
        <w:overflowPunct w:val="0"/>
        <w:autoSpaceDE w:val="0"/>
        <w:autoSpaceDN w:val="0"/>
        <w:adjustRightInd w:val="0"/>
        <w:ind w:left="266" w:hanging="266"/>
        <w:textAlignment w:val="baseline"/>
      </w:pPr>
    </w:p>
    <w:tbl>
      <w:tblPr>
        <w:tblW w:w="4845" w:type="pct"/>
        <w:tblLook w:val="04A0" w:firstRow="1" w:lastRow="0" w:firstColumn="1" w:lastColumn="0" w:noHBand="0" w:noVBand="1"/>
      </w:tblPr>
      <w:tblGrid>
        <w:gridCol w:w="2518"/>
        <w:gridCol w:w="6481"/>
      </w:tblGrid>
      <w:tr w:rsidRPr="0079405E" w:rsidR="00DE2D96" w:rsidTr="00C60E4E" w14:paraId="518A9EA4" w14:textId="77777777">
        <w:tc>
          <w:tcPr>
            <w:tcW w:w="1399" w:type="pct"/>
          </w:tcPr>
          <w:p w:rsidRPr="0079405E" w:rsidR="00DE2D96" w:rsidP="00BE1F8F" w:rsidRDefault="00DE2D96" w14:paraId="4BD49780"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601"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Arnold PUECH d’ALISSAC (група „Работодатели“ — FR)</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r>
              <w:t>Piroska KÁLLAY (група „Работници“ — HU)</w:t>
            </w:r>
          </w:p>
          <w:p w:rsidR="00672FB1" w:rsidP="00C60E4E" w:rsidRDefault="00366FB1" w14:paraId="37D9A78F" w14:textId="77777777">
            <w:pPr>
              <w:overflowPunct w:val="0"/>
              <w:autoSpaceDE w:val="0"/>
              <w:autoSpaceDN w:val="0"/>
              <w:adjustRightInd w:val="0"/>
              <w:ind w:left="32"/>
              <w:textAlignment w:val="baseline"/>
            </w:pPr>
            <w:r>
              <w:t>Joe HEALY</w:t>
            </w:r>
          </w:p>
          <w:p w:rsidRPr="0079405E" w:rsidR="00DE2D96" w:rsidP="00C60E4E" w:rsidRDefault="00366FB1" w14:paraId="32325F9B" w14:textId="33FDE9F3">
            <w:pPr>
              <w:overflowPunct w:val="0"/>
              <w:autoSpaceDE w:val="0"/>
              <w:autoSpaceDN w:val="0"/>
              <w:adjustRightInd w:val="0"/>
              <w:ind w:left="32"/>
              <w:textAlignment w:val="baseline"/>
            </w:pPr>
            <w:r>
              <w:t>(група „Организации на гражданското общество“ — IE)</w:t>
            </w:r>
          </w:p>
        </w:tc>
      </w:tr>
      <w:tr w:rsidRPr="0079405E" w:rsidR="00DE2D96" w:rsidTr="00C60E4E" w14:paraId="4B6FEDD4" w14:textId="77777777">
        <w:tc>
          <w:tcPr>
            <w:tcW w:w="1399" w:type="pct"/>
          </w:tcPr>
          <w:p w:rsidRPr="0079405E" w:rsidR="00DE2D96" w:rsidP="00BE1F8F" w:rsidRDefault="00DE2D96" w14:paraId="5A19339E" w14:textId="439F828B">
            <w:pPr>
              <w:tabs>
                <w:tab w:val="center" w:pos="284"/>
              </w:tabs>
              <w:overflowPunct w:val="0"/>
              <w:autoSpaceDE w:val="0"/>
              <w:autoSpaceDN w:val="0"/>
              <w:adjustRightInd w:val="0"/>
              <w:ind w:left="266" w:hanging="266"/>
              <w:textAlignment w:val="baseline"/>
              <w:rPr>
                <w:b/>
              </w:rPr>
            </w:pPr>
            <w:r>
              <w:rPr>
                <w:b/>
              </w:rPr>
              <w:t>Отправен документ</w:t>
            </w:r>
          </w:p>
        </w:tc>
        <w:tc>
          <w:tcPr>
            <w:tcW w:w="3601" w:type="pct"/>
          </w:tcPr>
          <w:p w:rsidRPr="00D03AEC" w:rsidR="00366FB1" w:rsidP="00672FB1" w:rsidRDefault="00366FB1" w14:paraId="1D8B27BA" w14:textId="77777777">
            <w:pPr>
              <w:overflowPunct w:val="0"/>
              <w:autoSpaceDE w:val="0"/>
              <w:autoSpaceDN w:val="0"/>
              <w:adjustRightInd w:val="0"/>
              <w:textAlignment w:val="baseline"/>
            </w:pPr>
            <w:r>
              <w:t>Проучвателно становище по искане на полското председателство на Съвета на ЕС</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672FB1"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672FB1"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pPr>
    </w:p>
    <w:p w:rsidR="00DE2D96" w:rsidP="00BE1F8F" w:rsidRDefault="00DE2D96" w14:paraId="6B40E191" w14:textId="77777777">
      <w:pPr>
        <w:widowControl w:val="0"/>
        <w:overflowPunct w:val="0"/>
        <w:autoSpaceDE w:val="0"/>
        <w:autoSpaceDN w:val="0"/>
        <w:adjustRightInd w:val="0"/>
        <w:textAlignment w:val="baseline"/>
        <w:rPr>
          <w:bCs/>
          <w:iCs/>
        </w:rPr>
      </w:pPr>
      <w:r>
        <w:t>ЕИСК:</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предлага да се разработят и прилагат краткосрочни и дългосрочни инструменти за подпомагане на доходите на земеделските стопани, в периоди на криза в рамките на ОСП и извън нея, като:</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застрахователни схеми срещу климатични и екологични бедствия:</w:t>
      </w:r>
      <w:r>
        <w:t xml:space="preserve"> работа по модел за публично-частно партньорство за гаранции и преглед на изчисляването на референтните стойности за добива;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застрахователни схеми срещу напрежение на пазара:</w:t>
      </w:r>
      <w:r>
        <w:t xml:space="preserve"> проучване на разработването на иновативни лостове, например параметрично застраховане, и включване на антициклични елементи в инструментите на ОСП след 2027 г., за да се реагира на натиска от страна на пазарите;</w:t>
      </w:r>
    </w:p>
    <w:p w:rsidRPr="0079405E" w:rsidR="00DE2D96" w:rsidP="00713105" w:rsidRDefault="00DE2D96" w14:paraId="4439B4AA"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инструменти за управление на риска и кризи:</w:t>
      </w:r>
      <w:r>
        <w:t xml:space="preserve"> възстановяване на бюджета на ОСП до равнище от 0,5 % от БВП на ЕС в следващата многогодишна финансова рамка (МФР); подобряване и насърчаване на равнището на държавите членки на използването на 3 % от директните плащания като принос на земеделските стопани към инструмента за управление на риска; преработване и значително увеличаване на резерва за кризи в селското стопанство на равнището на ЕС; разработване на взаимоспомагателни фондове на равнището на държавите членки за рисковете за здравето и околната среда;</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финансови инструменти, предоставени от ОСП и банките:</w:t>
      </w:r>
      <w:r>
        <w:t xml:space="preserve"> подкрепа за инвестиционния капацитет на земеделските стопани, особено на младите земеделски стопани, с прости, небюрократични финансови инструменти като финансовите продукти, предлагани от банките (пилотни заеми, заеми с нулева лихва, заеми за селскостопански инсталации), но и от други;</w:t>
      </w:r>
    </w:p>
    <w:p w:rsidRPr="0079405E" w:rsidR="00DE2D96" w:rsidP="00713105" w:rsidRDefault="00DE2D96" w14:paraId="1F801B29"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инструменти за гарантиране на доходите на земеделските стопани и подобряване на техните възможности за договаряне</w:t>
      </w:r>
      <w:r>
        <w:t xml:space="preserve">: да се обмисли възможността за разширяване на обхвата на Директивата относно нелоялните търговски практики (НТП), за да се забрани продажбата на стоки под себестойността от страна на купувачите, след като внимателно се проучи въздействието върху всички оператори в хранителната верига; да се осигури нова политика на ЕС, която да даде възможност на земеделските стопани да договарят колективно цените и да увеличат подкрепата за кооперациите и организациите на </w:t>
      </w:r>
      <w:r>
        <w:lastRenderedPageBreak/>
        <w:t>производители; да се защитава, увеличава и подобрява насочването на директните плащания към активните земеделски стопани в следващата ОСП; да се допринесе към устойчивостта за прехода; да се осигурят ефективни от гледна точка на въглеродните емисии системи за производство на храни; да се гарантира равностойността на стандартите във всички търговски споразумения;</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препоръчва допълнително да се насърчава специфичното за сектора управление, основано на участието, и да се засили социалният диалог в хранително-вкусовия сектор;</w:t>
      </w:r>
    </w:p>
    <w:p w:rsidRPr="0079405E" w:rsidR="00DE2D96" w:rsidP="00713105" w:rsidRDefault="00DE2D96" w14:paraId="35CC080A" w14:textId="77777777">
      <w:pPr>
        <w:widowControl w:val="0"/>
        <w:numPr>
          <w:ilvl w:val="0"/>
          <w:numId w:val="35"/>
        </w:numPr>
        <w:overflowPunct w:val="0"/>
        <w:autoSpaceDE w:val="0"/>
        <w:autoSpaceDN w:val="0"/>
        <w:adjustRightInd w:val="0"/>
        <w:ind w:left="567" w:hanging="567"/>
        <w:contextualSpacing/>
        <w:textAlignment w:val="baseline"/>
        <w:rPr>
          <w:bCs/>
          <w:iCs/>
        </w:rPr>
      </w:pPr>
      <w:r>
        <w:t>посочва необходимостта от висококачествени научни изследвания в областта на селското стопанство и инвестиции в образованието;</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t>подчертава значението на поддържането на динамично селскостопанско производство в цяла Европа и посочва, че е важно развитието на селските райони да остане силна цел на общата селскостопанска политика и за нея да се отпусне достатъчно финансиране.</w:t>
      </w:r>
    </w:p>
    <w:p w:rsidRPr="00672FB1" w:rsidR="002A61F5" w:rsidP="00BE1F8F" w:rsidRDefault="002A61F5" w14:paraId="3C8AA267" w14:textId="77777777">
      <w:pPr>
        <w:widowControl w:val="0"/>
        <w:overflowPunct w:val="0"/>
        <w:autoSpaceDE w:val="0"/>
        <w:autoSpaceDN w:val="0"/>
        <w:adjustRightInd w:val="0"/>
        <w:ind w:left="709" w:hanging="425"/>
        <w:textAlignment w:val="baseline"/>
      </w:pPr>
    </w:p>
    <w:tbl>
      <w:tblPr>
        <w:tblW w:w="4942" w:type="pct"/>
        <w:tblLook w:val="04A0" w:firstRow="1" w:lastRow="0" w:firstColumn="1" w:lastColumn="0" w:noHBand="0" w:noVBand="1"/>
      </w:tblPr>
      <w:tblGrid>
        <w:gridCol w:w="2032"/>
        <w:gridCol w:w="7147"/>
      </w:tblGrid>
      <w:tr w:rsidRPr="0079405E" w:rsidR="00DE2D96" w:rsidTr="00713105" w14:paraId="0E76CB38" w14:textId="77777777">
        <w:tc>
          <w:tcPr>
            <w:tcW w:w="1107" w:type="pct"/>
          </w:tcPr>
          <w:p w:rsidRPr="00C60E4E" w:rsidR="00DE2D96" w:rsidP="00BE1F8F" w:rsidRDefault="00DE2D96" w14:paraId="6151DC79" w14:textId="66EB9023">
            <w:pPr>
              <w:overflowPunct w:val="0"/>
              <w:autoSpaceDE w:val="0"/>
              <w:autoSpaceDN w:val="0"/>
              <w:adjustRightInd w:val="0"/>
              <w:textAlignment w:val="baseline"/>
              <w:rPr>
                <w:i/>
                <w:lang w:val="en-GB"/>
              </w:rPr>
            </w:pPr>
            <w:r>
              <w:rPr>
                <w:b/>
                <w:i/>
              </w:rPr>
              <w:t>За контакт</w:t>
            </w:r>
            <w:r w:rsidR="00C60E4E">
              <w:rPr>
                <w:b/>
                <w:i/>
                <w:lang w:val="en-GB"/>
              </w:rPr>
              <w:t>:</w:t>
            </w:r>
          </w:p>
        </w:tc>
        <w:tc>
          <w:tcPr>
            <w:tcW w:w="3893" w:type="pct"/>
          </w:tcPr>
          <w:p w:rsidRPr="0079405E" w:rsidR="00DE2D96" w:rsidP="00BE1F8F" w:rsidRDefault="00DE2D96" w14:paraId="1C83FC67" w14:textId="58C849C6">
            <w:pPr>
              <w:overflowPunct w:val="0"/>
              <w:autoSpaceDE w:val="0"/>
              <w:autoSpaceDN w:val="0"/>
              <w:adjustRightInd w:val="0"/>
              <w:textAlignment w:val="baseline"/>
              <w:rPr>
                <w:i/>
              </w:rPr>
            </w:pPr>
            <w:r>
              <w:rPr>
                <w:i/>
              </w:rPr>
              <w:t>Myrto Kolyva</w:t>
            </w:r>
          </w:p>
        </w:tc>
      </w:tr>
      <w:tr w:rsidRPr="0079405E" w:rsidR="00DE2D96" w:rsidTr="00713105" w14:paraId="188EFACC" w14:textId="77777777">
        <w:tc>
          <w:tcPr>
            <w:tcW w:w="1107" w:type="pct"/>
          </w:tcPr>
          <w:p w:rsidRPr="0079405E" w:rsidR="00DE2D96" w:rsidP="00BE1F8F" w:rsidRDefault="00DE2D96" w14:paraId="7E5EE7F9" w14:textId="77777777">
            <w:pPr>
              <w:overflowPunct w:val="0"/>
              <w:autoSpaceDE w:val="0"/>
              <w:autoSpaceDN w:val="0"/>
              <w:adjustRightInd w:val="0"/>
              <w:textAlignment w:val="baseline"/>
              <w:rPr>
                <w:i/>
              </w:rPr>
            </w:pPr>
            <w:r>
              <w:rPr>
                <w:i/>
              </w:rPr>
              <w:t>Тел.:</w:t>
            </w:r>
          </w:p>
        </w:tc>
        <w:tc>
          <w:tcPr>
            <w:tcW w:w="3893" w:type="pct"/>
          </w:tcPr>
          <w:p w:rsidRPr="0079405E" w:rsidR="00DE2D96" w:rsidP="00BE1F8F" w:rsidRDefault="00DE2D96" w14:paraId="19F64A59" w14:textId="77777777">
            <w:pPr>
              <w:overflowPunct w:val="0"/>
              <w:autoSpaceDE w:val="0"/>
              <w:autoSpaceDN w:val="0"/>
              <w:adjustRightInd w:val="0"/>
              <w:textAlignment w:val="baseline"/>
              <w:rPr>
                <w:i/>
              </w:rPr>
            </w:pPr>
            <w:r>
              <w:rPr>
                <w:i/>
              </w:rPr>
              <w:t>+32 25468718</w:t>
            </w:r>
          </w:p>
        </w:tc>
      </w:tr>
      <w:tr w:rsidRPr="0079405E" w:rsidR="00DE2D96" w:rsidTr="00713105" w14:paraId="1C6D3733" w14:textId="77777777">
        <w:tc>
          <w:tcPr>
            <w:tcW w:w="1107" w:type="pct"/>
          </w:tcPr>
          <w:p w:rsidRPr="0079405E" w:rsidR="00DE2D96" w:rsidP="00BE1F8F" w:rsidRDefault="00DE2D96" w14:paraId="40381C02" w14:textId="77777777">
            <w:pPr>
              <w:overflowPunct w:val="0"/>
              <w:autoSpaceDE w:val="0"/>
              <w:autoSpaceDN w:val="0"/>
              <w:adjustRightInd w:val="0"/>
              <w:textAlignment w:val="baseline"/>
              <w:rPr>
                <w:i/>
              </w:rPr>
            </w:pPr>
            <w:r>
              <w:rPr>
                <w:i/>
              </w:rPr>
              <w:t>Електронен адрес:</w:t>
            </w:r>
          </w:p>
        </w:tc>
        <w:tc>
          <w:tcPr>
            <w:tcW w:w="3893" w:type="pct"/>
          </w:tcPr>
          <w:p w:rsidRPr="0079405E" w:rsidR="00DE2D96" w:rsidP="00BE1F8F" w:rsidRDefault="004474A5" w14:paraId="43973F89" w14:textId="77E8A581">
            <w:pPr>
              <w:overflowPunct w:val="0"/>
              <w:autoSpaceDE w:val="0"/>
              <w:autoSpaceDN w:val="0"/>
              <w:adjustRightInd w:val="0"/>
              <w:textAlignment w:val="baseline"/>
              <w:rPr>
                <w:color w:val="0000FF"/>
                <w:u w:val="single"/>
              </w:rPr>
            </w:pPr>
            <w:hyperlink w:history="1" r:id="rId54">
              <w:r w:rsidR="00B30936">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685948" w:id="26"/>
      <w:r>
        <w:rPr>
          <w:b/>
        </w:rPr>
        <w:lastRenderedPageBreak/>
        <w:t>КОНСУЛТАТИВНА КОМИСИЯ ПО ИНДУСТРИАЛНИ ПРОМЕНИ</w:t>
      </w:r>
      <w:bookmarkEnd w:id="26"/>
    </w:p>
    <w:p w:rsidR="003F4AD5" w:rsidP="00C77862" w:rsidRDefault="003F4AD5" w14:paraId="7C8ED9AD" w14:textId="77777777">
      <w:pPr>
        <w:spacing w:line="240" w:lineRule="auto"/>
      </w:pPr>
    </w:p>
    <w:p w:rsidRPr="00623E9E" w:rsidR="00623E9E" w:rsidP="00C77862" w:rsidRDefault="004474A5"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B30936">
          <w:rPr>
            <w:b/>
            <w:i/>
            <w:color w:val="0000FF"/>
            <w:sz w:val="28"/>
            <w:u w:val="single"/>
            <w:shd w:val="clear" w:color="auto" w:fill="FEFEFE"/>
          </w:rPr>
          <w:t>Приносът на метавселената на роботиката в медицинския сектор</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2376"/>
        <w:gridCol w:w="6804"/>
      </w:tblGrid>
      <w:tr w:rsidRPr="00623E9E" w:rsidR="00623E9E" w:rsidTr="00C60E4E" w14:paraId="269248EA" w14:textId="77777777">
        <w:tc>
          <w:tcPr>
            <w:tcW w:w="2376"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804" w:type="dxa"/>
          </w:tcPr>
          <w:p w:rsidR="00C60E4E" w:rsidP="00C60E4E" w:rsidRDefault="00623E9E" w14:paraId="6354BF01" w14:textId="77777777">
            <w:pPr>
              <w:overflowPunct w:val="0"/>
              <w:autoSpaceDE w:val="0"/>
              <w:autoSpaceDN w:val="0"/>
              <w:adjustRightInd w:val="0"/>
              <w:ind w:firstLine="36"/>
              <w:textAlignment w:val="baseline"/>
            </w:pPr>
            <w:r>
              <w:t>Martin BÖHME</w:t>
            </w:r>
          </w:p>
          <w:p w:rsidRPr="00623E9E" w:rsidR="00623E9E" w:rsidP="00C60E4E" w:rsidRDefault="00623E9E" w14:paraId="266FB57D" w14:textId="6DCA8302">
            <w:pPr>
              <w:overflowPunct w:val="0"/>
              <w:autoSpaceDE w:val="0"/>
              <w:autoSpaceDN w:val="0"/>
              <w:adjustRightInd w:val="0"/>
              <w:ind w:firstLine="36"/>
              <w:textAlignment w:val="baseline"/>
            </w:pPr>
            <w:r>
              <w:t>(група „Организации на гражданското общество“ —</w:t>
            </w:r>
            <w:r w:rsidR="00C60E4E">
              <w:rPr>
                <w:lang w:val="en-GB"/>
              </w:rPr>
              <w:t> </w:t>
            </w:r>
            <w:r>
              <w:t>DE)</w:t>
            </w:r>
          </w:p>
        </w:tc>
      </w:tr>
      <w:tr w:rsidRPr="00623E9E" w:rsidR="00623E9E" w:rsidTr="00C60E4E" w14:paraId="361B26C2" w14:textId="77777777">
        <w:tc>
          <w:tcPr>
            <w:tcW w:w="2376"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6804"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Hervé JEANNIN (кат. 2 — FR)</w:t>
            </w:r>
          </w:p>
        </w:tc>
      </w:tr>
      <w:tr w:rsidRPr="00623E9E" w:rsidR="00623E9E" w:rsidTr="00C60E4E" w14:paraId="74813AA8" w14:textId="77777777">
        <w:tc>
          <w:tcPr>
            <w:tcW w:w="2376" w:type="dxa"/>
          </w:tcPr>
          <w:p w:rsidRPr="00623E9E" w:rsidR="00623E9E" w:rsidP="00BE1F8F" w:rsidRDefault="00623E9E" w14:paraId="1103D901" w14:textId="719ACEE8">
            <w:pPr>
              <w:tabs>
                <w:tab w:val="center" w:pos="284"/>
              </w:tabs>
              <w:overflowPunct w:val="0"/>
              <w:autoSpaceDE w:val="0"/>
              <w:autoSpaceDN w:val="0"/>
              <w:adjustRightInd w:val="0"/>
              <w:ind w:left="266" w:hanging="266"/>
              <w:textAlignment w:val="baseline"/>
              <w:rPr>
                <w:b/>
              </w:rPr>
            </w:pPr>
            <w:r>
              <w:rPr>
                <w:b/>
              </w:rPr>
              <w:t>Отправен документ</w:t>
            </w:r>
          </w:p>
        </w:tc>
        <w:tc>
          <w:tcPr>
            <w:tcW w:w="6804"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Становище по собствена инициатива</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ЕИСК:</w:t>
      </w:r>
    </w:p>
    <w:p w:rsidRPr="004C2B61" w:rsidR="00623E9E" w:rsidP="00713105" w:rsidRDefault="00623E9E" w14:paraId="4E329840" w14:textId="77777777">
      <w:pPr>
        <w:pStyle w:val="ListParagraph"/>
        <w:numPr>
          <w:ilvl w:val="0"/>
          <w:numId w:val="43"/>
        </w:numPr>
        <w:ind w:left="567" w:hanging="567"/>
      </w:pPr>
      <w:bookmarkStart w:name="_Toc191974019" w:id="27"/>
      <w:r>
        <w:t xml:space="preserve">препоръчва </w:t>
      </w:r>
      <w:r>
        <w:rPr>
          <w:b/>
        </w:rPr>
        <w:t>да се разработи цялостна регулаторна рамка</w:t>
      </w:r>
      <w:r>
        <w:t xml:space="preserve"> за роботиката и метавселената в здравеопазването;</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 xml:space="preserve">подчертава значението на </w:t>
      </w:r>
      <w:r>
        <w:rPr>
          <w:b/>
        </w:rPr>
        <w:t>насърчаването на етичните стандарти и протоколите за съгласие на пациентите</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призовава за </w:t>
      </w:r>
      <w:r>
        <w:rPr>
          <w:b/>
        </w:rPr>
        <w:t>инвестиции в цифрова инфраструктура, за да се осигури равен достъп</w:t>
      </w:r>
      <w:r>
        <w:t xml:space="preserve">, и подчертава значението на инвестициите в цифрова инфраструктура, особено в </w:t>
      </w:r>
      <w:r>
        <w:rPr>
          <w:b/>
        </w:rPr>
        <w:t>селските райони и районите с недостатъчно обслужване</w:t>
      </w:r>
      <w:r>
        <w:t>, за да се предотврати цифровото разделение. В ЕС следва да се даде приоритет на разгръщането на мрежи 5G и 6G, за да се подкрепи сигурната и надеждна работа на роботиката и технологиите на метавселената. Равният достъп до тези постижения в областта на здравеопазването във всички държави членки е ключов приоритет;</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се застъпва за </w:t>
      </w:r>
      <w:r>
        <w:rPr>
          <w:b/>
        </w:rPr>
        <w:t>увеличаване на подкрепата за образованието и обучението на здравните специалисти</w:t>
      </w:r>
      <w:r>
        <w:t>. Комитетът счита, че ЕС трябва да финансира и насърчава програми за образование и обучение, които да подготвят медицинските специалисти за внедряването на роботиката и технологиите на метавселената;</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 xml:space="preserve">насърчава </w:t>
      </w:r>
      <w:r>
        <w:rPr>
          <w:b/>
        </w:rPr>
        <w:t>стимулирането на иновациите чрез целенасочена инвестиционна стратегия на ЕС</w:t>
      </w:r>
      <w:r>
        <w:t>. Комитетът настоятелно препоръчва Съюзът да разработи целенасочена инвестиционна стратегия, ориентирана по-специално към подпомагане на малките и средните предприятия (МСП), работещи върху решения в областта на роботиката и метавселената в здравеопазването;</w:t>
      </w:r>
      <w:bookmarkEnd w:id="31"/>
    </w:p>
    <w:p w:rsidRPr="004C2B61" w:rsidR="00623E9E" w:rsidP="00713105" w:rsidRDefault="00623E9E" w14:paraId="5166FC72" w14:textId="77777777">
      <w:pPr>
        <w:pStyle w:val="ListParagraph"/>
        <w:numPr>
          <w:ilvl w:val="0"/>
          <w:numId w:val="43"/>
        </w:numPr>
        <w:ind w:left="567" w:hanging="567"/>
      </w:pPr>
      <w:bookmarkStart w:name="_Toc191974024" w:id="32"/>
      <w:r>
        <w:t xml:space="preserve">подчертава </w:t>
      </w:r>
      <w:r>
        <w:rPr>
          <w:b/>
        </w:rPr>
        <w:t>необходимостта от силна защита на личните данни и киберсигурността</w:t>
      </w:r>
      <w:r>
        <w:t>. Комитетът настоятелно призовава ЕС за въвеждане на строги правила в тази връзка, за да се защитят чувствителните здравни данни и да се предотвратят кибератаките. Това включва обезопасяване на връзките между роботиката, метавселената и устройствата за човешки интерфейс. ЕИСК също така посочва, че суверенитетът на данните и спазването на изискванията трябва да бъдат разгледани в различните юрисдикции, за да се защитят правата на пациентите и да се гарантира доверието в трансграничните здравни услуги.</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2376"/>
        <w:gridCol w:w="4712"/>
      </w:tblGrid>
      <w:tr w:rsidRPr="00623E9E" w:rsidR="00623E9E" w:rsidTr="00C60E4E" w14:paraId="5AA87467" w14:textId="77777777">
        <w:tc>
          <w:tcPr>
            <w:tcW w:w="2376" w:type="dxa"/>
          </w:tcPr>
          <w:p w:rsidRPr="00C60E4E" w:rsidR="00623E9E" w:rsidP="00BE1F8F" w:rsidRDefault="00623E9E" w14:paraId="565BF265" w14:textId="0D10C6B6">
            <w:pPr>
              <w:keepNext/>
              <w:keepLines/>
              <w:overflowPunct w:val="0"/>
              <w:autoSpaceDE w:val="0"/>
              <w:autoSpaceDN w:val="0"/>
              <w:adjustRightInd w:val="0"/>
              <w:textAlignment w:val="baseline"/>
              <w:rPr>
                <w:i/>
                <w:lang w:val="en-GB"/>
              </w:rPr>
            </w:pPr>
            <w:r>
              <w:rPr>
                <w:b/>
                <w:i/>
              </w:rPr>
              <w:t>За контакт</w:t>
            </w:r>
            <w:r w:rsidR="00C60E4E">
              <w:rPr>
                <w:b/>
                <w:i/>
                <w:lang w:val="en-GB"/>
              </w:rPr>
              <w:t>:</w:t>
            </w:r>
          </w:p>
        </w:tc>
        <w:tc>
          <w:tcPr>
            <w:tcW w:w="4712"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Marie-Laurence Drillon</w:t>
            </w:r>
          </w:p>
        </w:tc>
      </w:tr>
      <w:tr w:rsidRPr="00623E9E" w:rsidR="00623E9E" w:rsidTr="00C60E4E" w14:paraId="1831ADE5" w14:textId="77777777">
        <w:tc>
          <w:tcPr>
            <w:tcW w:w="2376" w:type="dxa"/>
          </w:tcPr>
          <w:p w:rsidRPr="00623E9E" w:rsidR="00623E9E" w:rsidP="00BE1F8F" w:rsidRDefault="00623E9E" w14:paraId="0B867EF2" w14:textId="77777777">
            <w:pPr>
              <w:keepNext/>
              <w:keepLines/>
              <w:overflowPunct w:val="0"/>
              <w:autoSpaceDE w:val="0"/>
              <w:autoSpaceDN w:val="0"/>
              <w:adjustRightInd w:val="0"/>
              <w:textAlignment w:val="baseline"/>
              <w:rPr>
                <w:i/>
              </w:rPr>
            </w:pPr>
            <w:r>
              <w:rPr>
                <w:i/>
              </w:rPr>
              <w:t>Тел.:</w:t>
            </w:r>
          </w:p>
        </w:tc>
        <w:tc>
          <w:tcPr>
            <w:tcW w:w="4712"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+32 2 546 8320</w:t>
            </w:r>
          </w:p>
        </w:tc>
      </w:tr>
      <w:tr w:rsidRPr="00623E9E" w:rsidR="00623E9E" w:rsidTr="00C60E4E" w14:paraId="042D4108" w14:textId="77777777">
        <w:tc>
          <w:tcPr>
            <w:tcW w:w="2376" w:type="dxa"/>
          </w:tcPr>
          <w:p w:rsidRPr="00623E9E" w:rsidR="00623E9E" w:rsidP="00BE1F8F" w:rsidRDefault="00752F62" w14:paraId="44E8DDBE" w14:textId="17714177">
            <w:pPr>
              <w:overflowPunct w:val="0"/>
              <w:autoSpaceDE w:val="0"/>
              <w:autoSpaceDN w:val="0"/>
              <w:adjustRightInd w:val="0"/>
              <w:textAlignment w:val="baseline"/>
              <w:rPr>
                <w:i/>
              </w:rPr>
            </w:pPr>
            <w:r>
              <w:rPr>
                <w:i/>
              </w:rPr>
              <w:t>Електронен адрес:</w:t>
            </w:r>
          </w:p>
        </w:tc>
        <w:tc>
          <w:tcPr>
            <w:tcW w:w="4712" w:type="dxa"/>
          </w:tcPr>
          <w:p w:rsidRPr="00623E9E" w:rsidR="00623E9E" w:rsidP="00BE1F8F" w:rsidRDefault="004474A5" w14:paraId="348F9AAA" w14:textId="77777777">
            <w:pPr>
              <w:overflowPunct w:val="0"/>
              <w:autoSpaceDE w:val="0"/>
              <w:autoSpaceDN w:val="0"/>
              <w:adjustRightInd w:val="0"/>
              <w:textAlignment w:val="baseline"/>
              <w:rPr>
                <w:i/>
              </w:rPr>
            </w:pPr>
            <w:hyperlink w:history="1" r:id="rId56">
              <w:r w:rsidR="00B30936">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E1F8F" w:rsidRDefault="00F250D5" w:rsidP="00B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rsidR="008171FA">
      <w:t>1</w:t>
    </w:r>
    <w:r>
      <w:fldChar w:fldCharType="end"/>
    </w:r>
    <w:r>
      <w:t>/</w:t>
    </w:r>
    <w:r w:rsidR="004474A5">
      <w:fldChar w:fldCharType="begin"/>
    </w:r>
    <w:r w:rsidR="004474A5">
      <w:instrText xml:space="preserve"> NUMPAGES </w:instrText>
    </w:r>
    <w:r w:rsidR="004474A5">
      <w:fldChar w:fldCharType="separate"/>
    </w:r>
    <w:r w:rsidR="008171FA">
      <w:t>1</w:t>
    </w:r>
    <w:r w:rsidR="004474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E1F8F" w:rsidRDefault="00F250D5" w:rsidP="00BE1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t>2</w:t>
    </w:r>
    <w:r>
      <w:fldChar w:fldCharType="end"/>
    </w:r>
    <w:r>
      <w:t>/</w:t>
    </w:r>
    <w:r w:rsidR="004474A5">
      <w:fldChar w:fldCharType="begin"/>
    </w:r>
    <w:r w:rsidR="004474A5">
      <w:instrText xml:space="preserve"> NUMPAGES </w:instrText>
    </w:r>
    <w:r w:rsidR="004474A5">
      <w:fldChar w:fldCharType="separate"/>
    </w:r>
    <w:r>
      <w:t>9</w:t>
    </w:r>
    <w:r w:rsidR="004474A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E1F8F" w:rsidRDefault="00F250D5" w:rsidP="00BE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E1F8F" w:rsidRDefault="00F250D5" w:rsidP="00BE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E1F8F" w:rsidRDefault="00F250D5" w:rsidP="00BE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6809"/>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07F5"/>
    <w:rsid w:val="00175F5A"/>
    <w:rsid w:val="001826A4"/>
    <w:rsid w:val="0018354A"/>
    <w:rsid w:val="001900C9"/>
    <w:rsid w:val="00195DF6"/>
    <w:rsid w:val="001C0AB9"/>
    <w:rsid w:val="001C4BA5"/>
    <w:rsid w:val="001C5762"/>
    <w:rsid w:val="001E391D"/>
    <w:rsid w:val="0020320E"/>
    <w:rsid w:val="00204020"/>
    <w:rsid w:val="00217685"/>
    <w:rsid w:val="00225BB6"/>
    <w:rsid w:val="00227559"/>
    <w:rsid w:val="00232656"/>
    <w:rsid w:val="00247F8B"/>
    <w:rsid w:val="002538AC"/>
    <w:rsid w:val="00264FC2"/>
    <w:rsid w:val="0027707F"/>
    <w:rsid w:val="00293191"/>
    <w:rsid w:val="002A5636"/>
    <w:rsid w:val="002A61F5"/>
    <w:rsid w:val="002B7981"/>
    <w:rsid w:val="002E05A2"/>
    <w:rsid w:val="00302537"/>
    <w:rsid w:val="003066BE"/>
    <w:rsid w:val="00321FDD"/>
    <w:rsid w:val="003227CC"/>
    <w:rsid w:val="003232BE"/>
    <w:rsid w:val="00343F74"/>
    <w:rsid w:val="003442FB"/>
    <w:rsid w:val="0036375D"/>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3508"/>
    <w:rsid w:val="004E411F"/>
    <w:rsid w:val="004F23ED"/>
    <w:rsid w:val="004F2989"/>
    <w:rsid w:val="0052107B"/>
    <w:rsid w:val="005234CD"/>
    <w:rsid w:val="00532089"/>
    <w:rsid w:val="005404CB"/>
    <w:rsid w:val="005820A0"/>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41262"/>
    <w:rsid w:val="00652335"/>
    <w:rsid w:val="00672FB1"/>
    <w:rsid w:val="0067428C"/>
    <w:rsid w:val="006825FC"/>
    <w:rsid w:val="00691BA5"/>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48E4"/>
    <w:rsid w:val="00752F62"/>
    <w:rsid w:val="00754027"/>
    <w:rsid w:val="007554BE"/>
    <w:rsid w:val="00766B1A"/>
    <w:rsid w:val="00770B4A"/>
    <w:rsid w:val="00772685"/>
    <w:rsid w:val="00773E8D"/>
    <w:rsid w:val="00777195"/>
    <w:rsid w:val="0079405E"/>
    <w:rsid w:val="00795836"/>
    <w:rsid w:val="007A0964"/>
    <w:rsid w:val="007A0BE6"/>
    <w:rsid w:val="007B1DCA"/>
    <w:rsid w:val="007C1ABC"/>
    <w:rsid w:val="007D30C1"/>
    <w:rsid w:val="007F5784"/>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B5FC5"/>
    <w:rsid w:val="008B7F9B"/>
    <w:rsid w:val="008C5361"/>
    <w:rsid w:val="008C7452"/>
    <w:rsid w:val="008D0303"/>
    <w:rsid w:val="008D05C8"/>
    <w:rsid w:val="008D44E2"/>
    <w:rsid w:val="0090254F"/>
    <w:rsid w:val="00904A22"/>
    <w:rsid w:val="00910C90"/>
    <w:rsid w:val="009144BA"/>
    <w:rsid w:val="00941874"/>
    <w:rsid w:val="0094356F"/>
    <w:rsid w:val="00945147"/>
    <w:rsid w:val="00980902"/>
    <w:rsid w:val="0098098F"/>
    <w:rsid w:val="00981AAC"/>
    <w:rsid w:val="00996457"/>
    <w:rsid w:val="009A2569"/>
    <w:rsid w:val="009B04E2"/>
    <w:rsid w:val="009B199C"/>
    <w:rsid w:val="009B596B"/>
    <w:rsid w:val="009C3A5E"/>
    <w:rsid w:val="009D7E2D"/>
    <w:rsid w:val="009E747C"/>
    <w:rsid w:val="009F3296"/>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C7540"/>
    <w:rsid w:val="00AD28C9"/>
    <w:rsid w:val="00AE5791"/>
    <w:rsid w:val="00AF6DC1"/>
    <w:rsid w:val="00AF7CA7"/>
    <w:rsid w:val="00B11B7E"/>
    <w:rsid w:val="00B16AE4"/>
    <w:rsid w:val="00B203DA"/>
    <w:rsid w:val="00B21DC6"/>
    <w:rsid w:val="00B227BF"/>
    <w:rsid w:val="00B30936"/>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7ABD"/>
    <w:rsid w:val="00C26C67"/>
    <w:rsid w:val="00C3059A"/>
    <w:rsid w:val="00C4084F"/>
    <w:rsid w:val="00C417FE"/>
    <w:rsid w:val="00C43D3E"/>
    <w:rsid w:val="00C52092"/>
    <w:rsid w:val="00C60E4E"/>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E176A"/>
    <w:rsid w:val="00DE2D96"/>
    <w:rsid w:val="00DE7710"/>
    <w:rsid w:val="00DF0344"/>
    <w:rsid w:val="00DF3CEF"/>
    <w:rsid w:val="00DF5AE9"/>
    <w:rsid w:val="00E00A6B"/>
    <w:rsid w:val="00E13806"/>
    <w:rsid w:val="00E14D8E"/>
    <w:rsid w:val="00E16E3C"/>
    <w:rsid w:val="00E348EA"/>
    <w:rsid w:val="00E44ADA"/>
    <w:rsid w:val="00E55DDF"/>
    <w:rsid w:val="00E57BB9"/>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3754F"/>
    <w:rsid w:val="00F54496"/>
    <w:rsid w:val="00F54B68"/>
    <w:rsid w:val="00F60997"/>
    <w:rsid w:val="00F617CE"/>
    <w:rsid w:val="00F70422"/>
    <w:rsid w:val="00F83C17"/>
    <w:rsid w:val="00F84774"/>
    <w:rsid w:val="00F93648"/>
    <w:rsid w:val="00F96D7F"/>
    <w:rsid w:val="00FA33C4"/>
    <w:rsid w:val="00FA4B28"/>
    <w:rsid w:val="00FA7642"/>
    <w:rsid w:val="00FA7854"/>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bg/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bg/initiatives/eu-youth-test-eesc" TargetMode="External"/><Relationship Id="rId21" Type="http://schemas.openxmlformats.org/officeDocument/2006/relationships/hyperlink" Target="https://www.eesc.europa.eu/bg/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bg/our-work/opinions-information-reports/opinions/assessment-letta-and-draghi-reports-functioning-and-competitiveness-eus-single-market" TargetMode="External"/><Relationship Id="rId47" Type="http://schemas.openxmlformats.org/officeDocument/2006/relationships/hyperlink" Target="https://www.eesc.europa.eu/bg/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bg/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bg/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bg/our-work/opinions-information-reports/opinions/competitiveness-eus-small-and-medium-sized-enterprises-light-new-administrative-burdensobligations-eg-relating-non" TargetMode="External"/><Relationship Id="rId53" Type="http://schemas.openxmlformats.org/officeDocument/2006/relationships/hyperlink" Target="https://www.eesc.europa.eu/bg/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bg/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bg/our-work/opinions-information-reports/opinions/tourism-eu-social-sustainability-driver-long-term-competitiveness-sector"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bg/our-work/opinions-information-reports/opinions/defence-funding-eu" TargetMode="External"/><Relationship Id="rId33" Type="http://schemas.openxmlformats.org/officeDocument/2006/relationships/hyperlink" Target="https://www.eesc.europa.eu/bg/our-work/opinions-information-reports/opinions/eesc-contribution-eus-priorities-uncsw69" TargetMode="External"/><Relationship Id="rId38" Type="http://schemas.openxmlformats.org/officeDocument/2006/relationships/hyperlink" Target="https://www.eesc.europa.eu/bg/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bg/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bg/our-work/opinions-information-reports/opinions/physical-completion-eus-internal-market-new-geopolitical-situation" TargetMode="External"/><Relationship Id="rId49" Type="http://schemas.openxmlformats.org/officeDocument/2006/relationships/hyperlink" Target="https://www.eesc.europa.eu/bg/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bg/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A6WAAD5KZT2Q-604569563-4834</_dlc_DocId>
    <_dlc_DocIdUrl xmlns="1a33af13-4045-4f88-9d7b-618e30f79918">
      <Url>http://dm/eesc/2025/_layouts/15/DocIdRedir.aspx?ID=A6WAAD5KZT2Q-604569563-4834</Url>
      <Description>A6WAAD5KZT2Q-604569563-4834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2025-03-14T12:00:00+00:00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Ilieva Albena</DisplayName>
        <AccountId>1595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24C759B2-2CBC-4AA0-86FD-6277FF42C11A}"/>
</file>

<file path=customXml/itemProps2.xml><?xml version="1.0" encoding="utf-8"?>
<ds:datastoreItem xmlns:ds="http://schemas.openxmlformats.org/officeDocument/2006/customXml" ds:itemID="{0E808211-4346-424E-8D0A-3360E8731C66}"/>
</file>

<file path=customXml/itemProps3.xml><?xml version="1.0" encoding="utf-8"?>
<ds:datastoreItem xmlns:ds="http://schemas.openxmlformats.org/officeDocument/2006/customXml" ds:itemID="{7615B7C8-D77D-43D3-B1EE-1288B337AAEC}"/>
</file>

<file path=customXml/itemProps4.xml><?xml version="1.0" encoding="utf-8"?>
<ds:datastoreItem xmlns:ds="http://schemas.openxmlformats.org/officeDocument/2006/customXml" ds:itemID="{4D811B40-FB2F-4516-B567-3970B711B1E7}"/>
</file>

<file path=docProps/app.xml><?xml version="1.0" encoding="utf-8"?>
<Properties xmlns="http://schemas.openxmlformats.org/officeDocument/2006/extended-properties" xmlns:vt="http://schemas.openxmlformats.org/officeDocument/2006/docPropsVTypes">
  <Template>Normal.dotm</Template>
  <TotalTime>0</TotalTime>
  <Pages>27</Pages>
  <Words>7337</Words>
  <Characters>41822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- 594-та пленарна сесия - февруари 2025 г.</dc:title>
  <dc:subject>TCD</dc:subject>
  <dc:creator>Nieddu Emma</dc:creator>
  <cp:keywords>EESC-2025-00345-00-01-TCD-TRA-EN</cp:keywords>
  <dc:description>Rapporteur:  - Original language: EN - Date of document: 14/03/2025 - Date of meeting: 30/26/2025 14:30 - External documents:  - Administrator: MME TAMASAUSKIENE Julija</dc:description>
  <cp:lastModifiedBy>Ilieva Albena</cp:lastModifiedBy>
  <cp:revision>10</cp:revision>
  <dcterms:created xsi:type="dcterms:W3CDTF">2025-03-12T13:29:00Z</dcterms:created>
  <dcterms:modified xsi:type="dcterms:W3CDTF">2025-03-14T10:04:00Z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ed440fb4-932a-460f-bd2b-fd6aed11af98</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IT|0774613c-01ed-4e5d-a25d-11d2388de825;LT|a7ff5ce7-6123-4f68-865a-a57c31810414;HR|2f555653-ed1a-4fe6-8362-9082d95989e5;ES|e7a6b05b-ae16-40c8-add9-68b64b03aeba;DA|5d49c027-8956-412b-aa16-e85a0f96ad0e;PL|1e03da61-4678-4e07-b136-b5024ca9197b;SK|46d9fce0-ef79-4f71-b89b-cd6aa82426b8;NL|55c6556c-b4f4-441d-9acf-c498d4f838bd;PT|50ccc04a-eadd-42ae-a0cb-acaf45f812ba;EN|f2175f21-25d7-44a3-96da-d6a61b075e1b;LV|46f7e311-5d9f-4663-b433-18aeccb7ace7;CS|72f9705b-0217-4fd3-bea2-cbc7ed80e26e;FR|d2afafd3-4c81-4f60-8f52-ee33f2f54ff3;FI|87606a43-d45f-42d6-b8c9-e1a3457db5b7;SL|98a412ae-eb01-49e9-ae3d-585a81724cfc;ET|ff6c3f4c-b02c-4c3c-ab07-2c37995a7a0a;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13;#TRA|150d2a88-1431-44e6-a8ca-0bb753ab8672;#30;#LT|a7ff5ce7-6123-4f68-865a-a57c31810414;#67;#SPL-CES|32d8cb1f-c9ec-4365-95c7-8385a18618ac;#31;#SL|98a412ae-eb01-49e9-ae3d-585a81724cfc;#27;#NL|55c6556c-b4f4-441d-9acf-c498d4f838bd;#24;#PL|1e03da61-4678-4e07-b136-b5024ca9197b;#19;#TCD|cd9d6eb6-3f4f-424a-b2d1-57c9d450eaaf;#28;#SV|c2ed69e7-a339-43d7-8f22-d93680a92aa0;#16;#ES|e7a6b05b-ae16-40c8-add9-68b64b03aeba;#15;#Unrestricted|826e22d7-d029-4ec0-a450-0c28ff673572;#50;#HR|2f555653-ed1a-4fe6-8362-9082d95989e5;#12;#FR|d2afafd3-4c81-4f60-8f52-ee33f2f54ff3;#46;#SK|46d9fce0-ef79-4f71-b89b-cd6aa82426b8;#8;#Final|ea5e6674-7b27-4bac-b091-73adbb394efe;#29;#CS|72f9705b-0217-4fd3-bea2-cbc7ed80e26e;#5;#EN|f2175f21-25d7-44a3-96da-d6a61b075e1b;#41;#ET|ff6c3f4c-b02c-4c3c-ab07-2c37995a7a0a;#40;#DA|5d49c027-8956-412b-aa16-e85a0f96ad0e;#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47;#BG|1a1b3951-7821-4e6a-85f5-5673fc08bd2c</vt:lpwstr>
  </property>
</Properties>
</file>