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Pr="0082636E" w:rsidR="0015330A" w:rsidP="0015330A" w:rsidRDefault="00630C9B" w14:paraId="02555730" w14:textId="4DB1B318">
      <w:pPr>
        <w:jc w:val="right"/>
      </w:pPr>
      <w:r>
        <w:rPr>
          <w:b/>
        </w:rPr>
        <w:t>SOC/</w:t>
      </w:r>
      <w:r w:rsidR="00593911">
        <w:rPr>
          <w:b/>
        </w:rPr>
        <w:t>819</w:t>
      </w:r>
    </w:p>
    <w:p w:rsidRPr="00A67235" w:rsidR="000E4B6B" w:rsidP="0015330A" w:rsidRDefault="00593911" w14:paraId="1EFE7F2B" w14:textId="002FDC11">
      <w:pPr>
        <w:jc w:val="right"/>
      </w:pPr>
      <w:r w:rsidRPr="00593911">
        <w:rPr>
          <w:b/>
          <w:bCs/>
        </w:rPr>
        <w:t>Working time, efficiency of the economy and well-being of workers</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4EA3E248">
      <w:pPr>
        <w:jc w:val="right"/>
      </w:pPr>
      <w:r w:rsidRPr="00A67235">
        <w:t>Brussels,</w:t>
      </w:r>
      <w:r w:rsidR="00630C9B">
        <w:t xml:space="preserve"> 26 March 2025</w:t>
      </w:r>
      <w:r w:rsidRPr="00A67235">
        <w:t xml:space="preserve"> </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A67235" w:rsidR="00964A13" w:rsidP="00EC0F0F" w:rsidRDefault="00964A13" w14:paraId="1CA7DBC6" w14:textId="6F068EBA">
      <w:pPr>
        <w:jc w:val="cente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Pr="00593911" w:rsidR="00593911">
        <w:rPr>
          <w:b/>
          <w:bCs/>
        </w:rPr>
        <w:t>Working time, the efficiency of the economy and the well-being of workers (including in the context of digital change and work automation): a legal and comparative analysis of the situation in EU Member States</w:t>
      </w:r>
      <w:r w:rsidRPr="00A67235">
        <w:rPr>
          <w:b/>
          <w:bCs/>
        </w:rPr>
        <w:br/>
      </w:r>
    </w:p>
    <w:p w:rsidRPr="00A67235" w:rsidR="00964A13" w:rsidP="00EC0F0F" w:rsidRDefault="00964A13" w14:paraId="6EA6F05A" w14:textId="77777777">
      <w:pPr>
        <w:jc w:val="center"/>
      </w:pPr>
      <w:r w:rsidRPr="00A67235">
        <w:t>_____________</w:t>
      </w:r>
    </w:p>
    <w:p w:rsidRPr="00A67235" w:rsidR="00964A13" w:rsidP="00EC0F0F" w:rsidRDefault="00964A13" w14:paraId="155F9A18" w14:textId="77777777">
      <w:pPr>
        <w:jc w:val="center"/>
      </w:pPr>
    </w:p>
    <w:p w:rsidRPr="00A67235" w:rsidR="00964A13" w:rsidP="00EC0F0F" w:rsidRDefault="00630C9B" w14:paraId="0FA745B1" w14:textId="2B1A1989">
      <w:pPr>
        <w:jc w:val="center"/>
        <w:rPr>
          <w:bCs/>
        </w:rPr>
      </w:pPr>
      <w:r>
        <w:t>595</w:t>
      </w:r>
      <w:r w:rsidRPr="008725AD" w:rsidR="008725AD">
        <w:rPr>
          <w:vertAlign w:val="superscript"/>
        </w:rPr>
        <w:t>th</w:t>
      </w:r>
      <w:r w:rsidR="008725AD">
        <w:t xml:space="preserve"> </w:t>
      </w:r>
      <w:r w:rsidR="0015330A">
        <w:t>plenary session</w:t>
      </w:r>
      <w:r w:rsidR="009E138D">
        <w:br/>
      </w:r>
      <w:r w:rsidR="009E138D">
        <w:rPr>
          <w:bCs/>
        </w:rPr>
        <w:br/>
      </w:r>
      <w:r w:rsidRPr="00A67235" w:rsidR="00964A13">
        <w:rPr>
          <w:bCs/>
        </w:rPr>
        <w:t>Brussels</w:t>
      </w:r>
      <w:r w:rsidR="009E138D">
        <w:rPr>
          <w:bCs/>
        </w:rPr>
        <w:br/>
      </w:r>
      <w:r>
        <w:rPr>
          <w:bCs/>
        </w:rPr>
        <w:t>26</w:t>
      </w:r>
      <w:r w:rsidR="0015330A">
        <w:rPr>
          <w:bCs/>
        </w:rPr>
        <w:t>-</w:t>
      </w:r>
      <w:r>
        <w:rPr>
          <w:bCs/>
        </w:rPr>
        <w:t>27 March 2025</w:t>
      </w:r>
    </w:p>
    <w:p w:rsidRPr="00A67235" w:rsidR="00964A13" w:rsidP="00EC0F0F" w:rsidRDefault="00964A13" w14:paraId="1F2948E8" w14:textId="77777777">
      <w:pPr>
        <w:jc w:val="center"/>
      </w:pPr>
      <w:r w:rsidRPr="00A67235">
        <w:t>_____________</w:t>
      </w:r>
    </w:p>
    <w:p w:rsidRPr="00A67235" w:rsidR="00964A13" w:rsidP="00EC0F0F" w:rsidRDefault="00964A13" w14:paraId="0DDEA934" w14:textId="77777777">
      <w:pPr>
        <w:jc w:val="center"/>
      </w:pPr>
    </w:p>
    <w:p w:rsidRPr="00A67235" w:rsidR="00964A13" w:rsidP="00EC0F0F" w:rsidRDefault="00964A13" w14:paraId="320DD6DB" w14:textId="18FD4A47">
      <w:pPr>
        <w:jc w:val="center"/>
      </w:pPr>
      <w:r w:rsidRPr="00A67235">
        <w:t>Meeting of</w:t>
      </w:r>
      <w:r w:rsidR="00630C9B">
        <w:t xml:space="preserve"> 26 March 2025</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16D84A88">
      <w:pPr>
        <w:pStyle w:val="Footer"/>
        <w:jc w:val="center"/>
      </w:pPr>
      <w:r w:rsidRPr="00A67235">
        <w:t>Agenda item</w:t>
      </w:r>
      <w:r w:rsidR="00177DAC">
        <w:t xml:space="preserve"> </w:t>
      </w:r>
      <w:r w:rsidR="00593911">
        <w:t>8</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0E4B6B" w:rsidP="00EC0F0F" w:rsidRDefault="00964A13" w14:paraId="037DAC87" w14:textId="3B7F5897">
      <w:r w:rsidRPr="00A67235">
        <w:rPr>
          <w:b/>
          <w:bCs/>
        </w:rPr>
        <w:br w:type="page"/>
      </w:r>
      <w:r w:rsidRPr="00A67235" w:rsidR="000E4B6B">
        <w:rPr>
          <w:b/>
          <w:bCs/>
        </w:rPr>
        <w:lastRenderedPageBreak/>
        <w:t xml:space="preserve">The president </w:t>
      </w:r>
      <w:r w:rsidRPr="00A67235" w:rsidR="000E4B6B">
        <w:t xml:space="preserve">moved that the Committee turn to agenda item </w:t>
      </w:r>
      <w:r w:rsidR="00593911">
        <w:t>8</w:t>
      </w:r>
      <w:r w:rsidRPr="00A67235" w:rsidR="000E4B6B">
        <w:t xml:space="preserve"> - adoption of an </w:t>
      </w:r>
      <w:r w:rsidR="00511BED">
        <w:t xml:space="preserve">opinion </w:t>
      </w:r>
      <w:r w:rsidRPr="00A67235" w:rsidR="000E4B6B">
        <w:t>on the</w:t>
      </w:r>
    </w:p>
    <w:p w:rsidRPr="00A67235" w:rsidR="000E4B6B" w:rsidP="00EC0F0F" w:rsidRDefault="00593911" w14:paraId="0750582A" w14:textId="580D0847">
      <w:pPr>
        <w:ind w:left="1430"/>
        <w:rPr>
          <w:i/>
          <w:iCs/>
        </w:rPr>
      </w:pPr>
      <w:r w:rsidRPr="00593911">
        <w:rPr>
          <w:i/>
          <w:iCs/>
        </w:rPr>
        <w:t>Working time, the efficiency of the economy and the well-being of workers (including in the context of digital change and work automation): a legal and comparative analysis of the situation in EU Member States</w:t>
      </w:r>
    </w:p>
    <w:p w:rsidRPr="00A67235" w:rsidR="000E4B6B" w:rsidP="00EC0F0F" w:rsidRDefault="00593911" w14:paraId="305301AD" w14:textId="56DB838A">
      <w:pPr>
        <w:ind w:left="1430"/>
      </w:pPr>
      <w:r>
        <w:t>E</w:t>
      </w:r>
      <w:r w:rsidRPr="00593911">
        <w:t>xploratory opinion at the request of the Polish presidency</w:t>
      </w:r>
      <w:r w:rsidRPr="00A67235" w:rsidR="000E4B6B">
        <w:t>.</w:t>
      </w:r>
    </w:p>
    <w:p w:rsidRPr="00A67235" w:rsidR="000E4B6B" w:rsidP="00EC0F0F" w:rsidRDefault="000E4B6B" w14:paraId="7B740915" w14:textId="77777777"/>
    <w:p w:rsidRPr="00A67235" w:rsidR="000E4B6B" w:rsidP="00796D69" w:rsidRDefault="000E4B6B" w14:paraId="2D8D7685" w14:textId="10114531">
      <w:pPr>
        <w:spacing w:line="276" w:lineRule="auto"/>
      </w:pPr>
      <w:r w:rsidRPr="00A67235">
        <w:t xml:space="preserve">The preliminary work had been carried out by the Section for </w:t>
      </w:r>
      <w:r w:rsidRPr="008725AD" w:rsidR="008725AD">
        <w:t>Employment, Social Affairs and Citizenship</w:t>
      </w:r>
      <w:r w:rsidRPr="00A67235">
        <w:t xml:space="preserve"> (president:</w:t>
      </w:r>
      <w:r w:rsidR="00177DAC">
        <w:t xml:space="preserve"> </w:t>
      </w:r>
      <w:r w:rsidRPr="008725AD" w:rsidR="008725AD">
        <w:rPr>
          <w:b/>
          <w:bCs/>
        </w:rPr>
        <w:t xml:space="preserve">Cinzia </w:t>
      </w:r>
      <w:r w:rsidRPr="008725AD" w:rsidR="00505DD6">
        <w:rPr>
          <w:b/>
          <w:bCs/>
        </w:rPr>
        <w:t>Del Rio</w:t>
      </w:r>
      <w:r w:rsidRPr="00A67235">
        <w:t>). The rapporteur was</w:t>
      </w:r>
      <w:r w:rsidRPr="00A67235">
        <w:rPr>
          <w:b/>
          <w:bCs/>
        </w:rPr>
        <w:t xml:space="preserve"> </w:t>
      </w:r>
      <w:r w:rsidRPr="00593911" w:rsidR="00593911">
        <w:rPr>
          <w:b/>
          <w:bCs/>
        </w:rPr>
        <w:t>Maria del Carmen Barrera Chamorro</w:t>
      </w:r>
      <w:r w:rsidRPr="00A67235" w:rsidR="00593911">
        <w:t>.</w:t>
      </w:r>
    </w:p>
    <w:p w:rsidR="000E4B6B" w:rsidP="00796D69" w:rsidRDefault="000E4B6B" w14:paraId="2708AAF4" w14:textId="6F3E27CE">
      <w:pPr>
        <w:spacing w:line="276" w:lineRule="auto"/>
      </w:pPr>
    </w:p>
    <w:p w:rsidR="00796D69" w:rsidP="00796D69" w:rsidRDefault="00796D69" w14:paraId="5A2E9F2B" w14:textId="554DC97F">
      <w:pPr>
        <w:spacing w:line="276" w:lineRule="auto"/>
        <w:rPr>
          <w:lang w:eastAsia="fr-BE"/>
        </w:rPr>
      </w:pPr>
      <w:r w:rsidRPr="00C27BBF">
        <w:rPr>
          <w:lang w:eastAsia="fr-BE"/>
        </w:rPr>
        <w:t>The rapporteur presented the draft opinion, emphasizing the benefits of reducing working time, particularly in lowering workers' stress levels, promoting gender equality, and extending individuals' working lives. Social partners play a key role in implementing working time reductions, and many projects have demonstrated the feasibility of such measures. However, the strength of social dialogue varies across the European Union.</w:t>
      </w:r>
    </w:p>
    <w:p w:rsidRPr="00C27BBF" w:rsidR="00796D69" w:rsidP="00796D69" w:rsidRDefault="00796D69" w14:paraId="2437EF4B" w14:textId="77777777">
      <w:pPr>
        <w:spacing w:line="276" w:lineRule="auto"/>
        <w:rPr>
          <w:lang w:eastAsia="fr-BE"/>
        </w:rPr>
      </w:pPr>
    </w:p>
    <w:p w:rsidR="00796D69" w:rsidP="00796D69" w:rsidRDefault="00796D69" w14:paraId="499D22FD" w14:textId="60789554">
      <w:pPr>
        <w:spacing w:line="276" w:lineRule="auto"/>
        <w:rPr>
          <w:lang w:eastAsia="fr-BE"/>
        </w:rPr>
      </w:pPr>
      <w:r w:rsidRPr="00C27BBF">
        <w:rPr>
          <w:lang w:eastAsia="fr-BE"/>
        </w:rPr>
        <w:t>In the draft opinion, the EESC recommends that as many companies as possible adopt working time reduction measures, especially for vulnerable workers.</w:t>
      </w:r>
    </w:p>
    <w:p w:rsidRPr="00C27BBF" w:rsidR="00796D69" w:rsidP="00796D69" w:rsidRDefault="00796D69" w14:paraId="0D0591CF" w14:textId="77777777">
      <w:pPr>
        <w:spacing w:line="276" w:lineRule="auto"/>
        <w:rPr>
          <w:lang w:eastAsia="fr-BE"/>
        </w:rPr>
      </w:pPr>
    </w:p>
    <w:p w:rsidRPr="00C27BBF" w:rsidR="00796D69" w:rsidP="00796D69" w:rsidRDefault="00796D69" w14:paraId="2C54331B" w14:textId="77777777">
      <w:pPr>
        <w:spacing w:line="276" w:lineRule="auto"/>
        <w:rPr>
          <w:lang w:eastAsia="fr-BE"/>
        </w:rPr>
      </w:pPr>
      <w:r w:rsidRPr="00C27BBF">
        <w:rPr>
          <w:lang w:eastAsia="fr-BE"/>
        </w:rPr>
        <w:t>Finally, the rapporteur underlined the importance of recognizing the right to digital disconnection</w:t>
      </w:r>
      <w:r w:rsidRPr="00796D69">
        <w:rPr>
          <w:lang w:eastAsia="fr-BE"/>
        </w:rPr>
        <w:t>.</w:t>
      </w:r>
    </w:p>
    <w:p w:rsidR="00796D69" w:rsidP="00796D69" w:rsidRDefault="00796D69" w14:paraId="7AB3FC64" w14:textId="77777777">
      <w:pPr>
        <w:spacing w:line="276" w:lineRule="auto"/>
        <w:rPr>
          <w:lang w:eastAsia="fr-BE"/>
        </w:rPr>
      </w:pPr>
    </w:p>
    <w:p w:rsidR="00505DD6" w:rsidP="00796D69" w:rsidRDefault="00796D69" w14:paraId="3E8A01B9" w14:textId="5D21F4AA">
      <w:pPr>
        <w:spacing w:line="276" w:lineRule="auto"/>
      </w:pPr>
      <w:r w:rsidRPr="00C27BBF">
        <w:rPr>
          <w:b/>
          <w:bCs/>
          <w:lang w:eastAsia="fr-BE"/>
        </w:rPr>
        <w:t>Claude ROLIN, Cinzia DEL RIO, Christa SCHWENG, Anica MILIĆEVIĆ-PEZELJ</w:t>
      </w:r>
      <w:r w:rsidRPr="00C27BBF">
        <w:rPr>
          <w:lang w:eastAsia="fr-BE"/>
        </w:rPr>
        <w:t xml:space="preserve">, and </w:t>
      </w:r>
      <w:r w:rsidRPr="00C27BBF">
        <w:rPr>
          <w:b/>
          <w:bCs/>
          <w:lang w:eastAsia="fr-BE"/>
        </w:rPr>
        <w:t>Kinga JOO</w:t>
      </w:r>
      <w:r w:rsidRPr="00C27BBF">
        <w:rPr>
          <w:lang w:eastAsia="fr-BE"/>
        </w:rPr>
        <w:t xml:space="preserve"> participated in the debate. Topics discussed included the need to reframe the working environment, the productivity gains associated with shorter working hours without salary reductions, and the importance of considering the specific needs of vulnerable workers who require greater flexibility in their working time.</w:t>
      </w:r>
    </w:p>
    <w:p w:rsidR="00593911" w:rsidP="00EC0F0F" w:rsidRDefault="00593911" w14:paraId="73A12B1A" w14:textId="77777777"/>
    <w:p w:rsidR="00593911" w:rsidP="00EC0F0F" w:rsidRDefault="00593911" w14:paraId="2CB8B7BC" w14:textId="3E36DC97">
      <w:r>
        <w:t>The following amendment</w:t>
      </w:r>
      <w:r w:rsidR="00892C86">
        <w:t>s</w:t>
      </w:r>
      <w:r>
        <w:t xml:space="preserve"> had been tabled to opinion</w:t>
      </w:r>
      <w:r w:rsidR="001C4789">
        <w:t xml:space="preserve"> SOC/819</w:t>
      </w:r>
      <w:r>
        <w:t>:</w:t>
      </w:r>
    </w:p>
    <w:p w:rsidR="00593911" w:rsidP="00EC0F0F" w:rsidRDefault="00593911" w14:paraId="44BED497" w14:textId="77777777">
      <w:r>
        <w:t xml:space="preserve"> </w:t>
      </w:r>
    </w:p>
    <w:tbl>
      <w:tblPr>
        <w:tblW w:w="7096" w:type="pct"/>
        <w:tblBorders>
          <w:insideH w:val="nil"/>
          <w:insideV w:val="nil"/>
        </w:tblBorders>
        <w:tblLook w:val="01E0" w:firstRow="1" w:lastRow="1" w:firstColumn="1" w:lastColumn="1" w:noHBand="0" w:noVBand="0"/>
      </w:tblPr>
      <w:tblGrid>
        <w:gridCol w:w="8931"/>
        <w:gridCol w:w="3945"/>
      </w:tblGrid>
      <w:tr w:rsidR="00593911" w:rsidTr="00593911" w14:paraId="4DD36D17" w14:textId="77777777">
        <w:tc>
          <w:tcPr>
            <w:tcW w:w="3468" w:type="pct"/>
          </w:tcPr>
          <w:p w:rsidRPr="001C4789" w:rsidR="00593911" w:rsidP="00593911" w:rsidRDefault="00593911" w14:paraId="67EE8463" w14:textId="5501F776">
            <w:pPr>
              <w:rPr>
                <w:bCs/>
              </w:rPr>
            </w:pPr>
            <w:r w:rsidRPr="001C4789">
              <w:rPr>
                <w:b/>
                <w:bCs/>
              </w:rPr>
              <w:t>Amendment 1</w:t>
            </w:r>
            <w:r>
              <w:rPr>
                <w:b/>
                <w:bCs/>
                <w:sz w:val="32"/>
                <w:szCs w:val="32"/>
              </w:rPr>
              <w:t xml:space="preserve"> </w:t>
            </w:r>
            <w:r>
              <w:rPr>
                <w:bCs/>
              </w:rPr>
              <w:t>(tabled by C</w:t>
            </w:r>
            <w:r w:rsidRPr="00593911">
              <w:rPr>
                <w:bCs/>
              </w:rPr>
              <w:t>hristian</w:t>
            </w:r>
            <w:r>
              <w:rPr>
                <w:bCs/>
              </w:rPr>
              <w:t xml:space="preserve"> A</w:t>
            </w:r>
            <w:r w:rsidRPr="00593911">
              <w:rPr>
                <w:bCs/>
              </w:rPr>
              <w:t>rdhe</w:t>
            </w:r>
            <w:r>
              <w:rPr>
                <w:bCs/>
              </w:rPr>
              <w:t>, R</w:t>
            </w:r>
            <w:r w:rsidRPr="00593911">
              <w:rPr>
                <w:bCs/>
              </w:rPr>
              <w:t>ené Blijlevens</w:t>
            </w:r>
            <w:r>
              <w:rPr>
                <w:bCs/>
              </w:rPr>
              <w:t>, M</w:t>
            </w:r>
            <w:r w:rsidRPr="00593911">
              <w:rPr>
                <w:bCs/>
              </w:rPr>
              <w:t>ira-</w:t>
            </w:r>
            <w:r>
              <w:rPr>
                <w:bCs/>
              </w:rPr>
              <w:t>M</w:t>
            </w:r>
            <w:r w:rsidRPr="00593911">
              <w:rPr>
                <w:bCs/>
              </w:rPr>
              <w:t>aria Danisman</w:t>
            </w:r>
            <w:r>
              <w:rPr>
                <w:bCs/>
              </w:rPr>
              <w:t xml:space="preserve">, </w:t>
            </w:r>
            <w:r w:rsidR="001C4789">
              <w:rPr>
                <w:bCs/>
              </w:rPr>
              <w:t>M</w:t>
            </w:r>
            <w:r w:rsidRPr="00593911" w:rsidR="001C4789">
              <w:rPr>
                <w:bCs/>
              </w:rPr>
              <w:t>arie-</w:t>
            </w:r>
            <w:r w:rsidR="001C4789">
              <w:rPr>
                <w:bCs/>
              </w:rPr>
              <w:t>P</w:t>
            </w:r>
            <w:r w:rsidRPr="00593911" w:rsidR="001C4789">
              <w:rPr>
                <w:bCs/>
              </w:rPr>
              <w:t xml:space="preserve">ierre </w:t>
            </w:r>
            <w:r w:rsidRPr="00593911">
              <w:rPr>
                <w:bCs/>
              </w:rPr>
              <w:t>Le breton</w:t>
            </w:r>
            <w:r w:rsidR="001C4789">
              <w:rPr>
                <w:bCs/>
              </w:rPr>
              <w:t>, M</w:t>
            </w:r>
            <w:r w:rsidRPr="00593911" w:rsidR="001C4789">
              <w:rPr>
                <w:bCs/>
              </w:rPr>
              <w:t xml:space="preserve">ariya </w:t>
            </w:r>
            <w:r w:rsidRPr="00593911">
              <w:rPr>
                <w:bCs/>
              </w:rPr>
              <w:t>Mincheva</w:t>
            </w:r>
            <w:r w:rsidR="001C4789">
              <w:rPr>
                <w:bCs/>
              </w:rPr>
              <w:t xml:space="preserve">, </w:t>
            </w:r>
            <w:r w:rsidRPr="00593911" w:rsidR="001C4789">
              <w:rPr>
                <w:bCs/>
              </w:rPr>
              <w:t xml:space="preserve">Jean-Michel </w:t>
            </w:r>
            <w:r w:rsidRPr="00593911">
              <w:rPr>
                <w:bCs/>
              </w:rPr>
              <w:t>Pottier</w:t>
            </w:r>
            <w:r w:rsidR="001C4789">
              <w:rPr>
                <w:bCs/>
              </w:rPr>
              <w:t xml:space="preserve">, </w:t>
            </w:r>
            <w:r w:rsidRPr="00593911" w:rsidR="001C4789">
              <w:rPr>
                <w:bCs/>
              </w:rPr>
              <w:t xml:space="preserve">Christa </w:t>
            </w:r>
            <w:r w:rsidRPr="00593911">
              <w:rPr>
                <w:bCs/>
              </w:rPr>
              <w:t>Schweng</w:t>
            </w:r>
            <w:r w:rsidR="001C4789">
              <w:rPr>
                <w:bCs/>
              </w:rPr>
              <w:t>, Isabel</w:t>
            </w:r>
            <w:r w:rsidRPr="00593911" w:rsidR="001C4789">
              <w:rPr>
                <w:bCs/>
              </w:rPr>
              <w:t xml:space="preserve"> </w:t>
            </w:r>
            <w:r w:rsidRPr="00593911">
              <w:rPr>
                <w:bCs/>
              </w:rPr>
              <w:t>Yglesias</w:t>
            </w:r>
            <w:r w:rsidR="001C4789">
              <w:rPr>
                <w:bCs/>
              </w:rPr>
              <w:t>)</w:t>
            </w:r>
          </w:p>
          <w:p w:rsidR="00593911" w:rsidRDefault="00593911" w14:paraId="46034C10" w14:textId="77777777">
            <w:pPr>
              <w:rPr>
                <w:b/>
                <w:bCs/>
              </w:rPr>
            </w:pPr>
          </w:p>
          <w:p w:rsidR="00593911" w:rsidRDefault="00593911" w14:paraId="0789D4C3" w14:textId="77777777">
            <w:pPr>
              <w:rPr>
                <w:b/>
                <w:bCs/>
              </w:rPr>
            </w:pPr>
            <w:r>
              <w:rPr>
                <w:b/>
                <w:bCs/>
              </w:rPr>
              <w:t>Point 3.5</w:t>
            </w:r>
          </w:p>
          <w:p w:rsidR="00593911" w:rsidRDefault="00593911" w14:paraId="4DB3F33D" w14:textId="77777777">
            <w:pPr>
              <w:rPr>
                <w:b/>
                <w:bCs/>
              </w:rPr>
            </w:pPr>
          </w:p>
          <w:p w:rsidR="00593911" w:rsidRDefault="00593911" w14:paraId="0B87400F" w14:textId="77777777">
            <w:pPr>
              <w:rPr>
                <w:b/>
                <w:bCs/>
              </w:rPr>
            </w:pPr>
            <w:r>
              <w:rPr>
                <w:b/>
                <w:bCs/>
              </w:rPr>
              <w:t>Amend as follows</w:t>
            </w:r>
          </w:p>
        </w:tc>
        <w:tc>
          <w:tcPr>
            <w:tcW w:w="1532" w:type="pct"/>
          </w:tcPr>
          <w:p w:rsidR="00593911" w:rsidRDefault="00593911" w14:paraId="5EB12B35" w14:textId="77777777">
            <w:pPr>
              <w:jc w:val="left"/>
            </w:pPr>
          </w:p>
        </w:tc>
      </w:tr>
    </w:tbl>
    <w:p w:rsidR="00593911" w:rsidP="00593911" w:rsidRDefault="00593911" w14:paraId="430CE738"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593911" w:rsidTr="00593911" w14:paraId="51BF3B0D"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610F1D58" w14:textId="77777777">
            <w:pPr>
              <w:jc w:val="center"/>
              <w:rPr>
                <w:b/>
                <w:bCs/>
                <w:i/>
                <w:sz w:val="20"/>
                <w:szCs w:val="20"/>
              </w:rPr>
            </w:pPr>
            <w:r>
              <w:rPr>
                <w:b/>
                <w:bCs/>
                <w:i/>
                <w:sz w:val="20"/>
                <w:szCs w:val="20"/>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1BE5962F" w14:textId="77777777">
            <w:pPr>
              <w:jc w:val="center"/>
              <w:rPr>
                <w:b/>
                <w:bCs/>
                <w:i/>
                <w:sz w:val="20"/>
                <w:szCs w:val="20"/>
              </w:rPr>
            </w:pPr>
            <w:r>
              <w:rPr>
                <w:b/>
                <w:bCs/>
                <w:i/>
                <w:sz w:val="20"/>
                <w:szCs w:val="20"/>
              </w:rPr>
              <w:t>Amendment</w:t>
            </w:r>
          </w:p>
        </w:tc>
      </w:tr>
      <w:tr w:rsidR="00593911" w:rsidTr="00593911" w14:paraId="10962583"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3049417B" w14:textId="77777777">
            <w:pPr>
              <w:spacing w:before="80" w:after="40"/>
              <w:ind w:left="80" w:right="80"/>
              <w:rPr>
                <w:sz w:val="20"/>
                <w:szCs w:val="20"/>
              </w:rPr>
            </w:pPr>
            <w:r>
              <w:rPr>
                <w:sz w:val="20"/>
                <w:szCs w:val="20"/>
              </w:rPr>
              <w:t xml:space="preserve">Even more recently, the effects of anthropogenic climate change have highlighted new challenges for the organisation of working time, including the need to ensure the health and safety of workers and that work is able to be organised in a safe and healthy way. The great Dana tragedy in Spain and the Spanish government’s regulations highlight this impact. Although it is true that other countries have experienced tragic events linked to climate emergencies (droughts, floods), the Spanish case is particularly significant both because of the number of victims (226 people killed, thousands affected) and the solution adopted, based on major legislative changes (e.g. Royal Decree-Law 7/2024 of 11 November[1]). In addition, increasing heatwaves caused 47 000 deaths in Europe in 2023 (the hottest year on record worldwide, and the second hottest in Europe) </w:t>
            </w:r>
            <w:r>
              <w:rPr>
                <w:b/>
                <w:bCs/>
                <w:i/>
                <w:iCs/>
                <w:sz w:val="20"/>
                <w:szCs w:val="20"/>
              </w:rPr>
              <w:t>according to a study published in Nature Medicine</w:t>
            </w:r>
            <w:r>
              <w:rPr>
                <w:sz w:val="20"/>
                <w:szCs w:val="20"/>
              </w:rPr>
              <w:t>[2].</w:t>
            </w:r>
          </w:p>
          <w:p w:rsidR="00593911" w:rsidRDefault="00593911" w14:paraId="0561EAC6" w14:textId="77777777">
            <w:pPr>
              <w:spacing w:before="40" w:after="40"/>
              <w:ind w:left="80" w:right="80"/>
              <w:rPr>
                <w:sz w:val="20"/>
                <w:szCs w:val="20"/>
              </w:rPr>
            </w:pPr>
            <w:r>
              <w:rPr>
                <w:sz w:val="20"/>
                <w:szCs w:val="20"/>
              </w:rPr>
              <w:t>[1] See link.</w:t>
            </w:r>
          </w:p>
          <w:p w:rsidR="00593911" w:rsidRDefault="00593911" w14:paraId="18784E4D" w14:textId="77777777">
            <w:pPr>
              <w:spacing w:before="40" w:after="80"/>
              <w:ind w:left="80" w:right="80"/>
              <w:rPr>
                <w:sz w:val="20"/>
                <w:szCs w:val="20"/>
              </w:rPr>
            </w:pPr>
            <w:r>
              <w:rPr>
                <w:sz w:val="20"/>
                <w:szCs w:val="20"/>
              </w:rPr>
              <w:t>[2] Nature Medicine, ‘Heat-related mortality in Europe during 2023 and the role of adaptation in protecting health’, 2024.</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5A60A56E" w14:textId="77777777">
            <w:pPr>
              <w:spacing w:before="80" w:after="40"/>
              <w:ind w:left="80" w:right="80"/>
              <w:rPr>
                <w:sz w:val="20"/>
                <w:szCs w:val="20"/>
              </w:rPr>
            </w:pPr>
            <w:r>
              <w:rPr>
                <w:sz w:val="20"/>
                <w:szCs w:val="20"/>
              </w:rPr>
              <w:t>Even more recently, the effects of anthropogenic climate change have highlighted new challenges for the organisation of working time, including the need to ensure the health and safety of workers and that work is able to be organised in a safe and healthy way. The great Dana tragedy in Spain and the Spanish government’s regulations highlight this impact. Although it is true that other countries have experienced tragic events linked to climate emergencies (droughts, floods), the Spanish case is particularly significant both because of the number of victims (226 people killed, thousands affected) and the solution adopted, based on major legislative changes (e.g. Royal Decree-Law 7/2024 of 11 November[1]). In addition,</w:t>
            </w:r>
            <w:r>
              <w:rPr>
                <w:b/>
                <w:bCs/>
                <w:i/>
                <w:sz w:val="20"/>
                <w:szCs w:val="20"/>
              </w:rPr>
              <w:t xml:space="preserve"> although this is not related to working time, the EESC notes that according to a study </w:t>
            </w:r>
            <w:r>
              <w:rPr>
                <w:sz w:val="20"/>
                <w:szCs w:val="20"/>
              </w:rPr>
              <w:t>–</w:t>
            </w:r>
            <w:r>
              <w:rPr>
                <w:b/>
                <w:bCs/>
                <w:i/>
                <w:sz w:val="20"/>
                <w:szCs w:val="20"/>
              </w:rPr>
              <w:t xml:space="preserve"> which applied epidemiological models to temperature and mortality records in 823 contiguous regions from 35 countries to estimate sex- and age-specific heat-related mortality in Europe in 2023, and to quantify the mortality burden avoided by societal adaptation to rising temperatures since the year 2000 –</w:t>
            </w:r>
            <w:r>
              <w:rPr>
                <w:sz w:val="20"/>
                <w:szCs w:val="20"/>
              </w:rPr>
              <w:t xml:space="preserve"> increasing heatwaves caused 47 000 deaths in Europe in 2023 (the hottest year on record worldwide, and the second hottest in Europe) [2].</w:t>
            </w:r>
          </w:p>
          <w:p w:rsidR="00593911" w:rsidRDefault="00593911" w14:paraId="48B75569" w14:textId="77777777">
            <w:pPr>
              <w:spacing w:before="40" w:after="40"/>
              <w:ind w:left="80" w:right="80"/>
              <w:rPr>
                <w:sz w:val="20"/>
                <w:szCs w:val="20"/>
              </w:rPr>
            </w:pPr>
            <w:r>
              <w:rPr>
                <w:sz w:val="20"/>
                <w:szCs w:val="20"/>
              </w:rPr>
              <w:t>[1] See link.</w:t>
            </w:r>
          </w:p>
          <w:p w:rsidR="00593911" w:rsidRDefault="00593911" w14:paraId="3C547EED" w14:textId="77777777">
            <w:pPr>
              <w:spacing w:before="40" w:after="80"/>
              <w:ind w:left="80" w:right="80"/>
              <w:rPr>
                <w:sz w:val="20"/>
                <w:szCs w:val="20"/>
              </w:rPr>
            </w:pPr>
            <w:r>
              <w:rPr>
                <w:sz w:val="20"/>
                <w:szCs w:val="20"/>
              </w:rPr>
              <w:t xml:space="preserve">[2] Nature Medicine, ‘Heat-related mortality in Europe during 2023 and the role of adaptation in protecting health’, 2024. </w:t>
            </w:r>
          </w:p>
        </w:tc>
      </w:tr>
    </w:tbl>
    <w:p w:rsidR="00593911" w:rsidP="00593911" w:rsidRDefault="00593911" w14:paraId="6B29DD24" w14:textId="77777777">
      <w:pPr>
        <w:jc w:val="center"/>
      </w:pPr>
    </w:p>
    <w:p w:rsidR="00593911" w:rsidP="00593911" w:rsidRDefault="00593911" w14:paraId="52ABEE55" w14:textId="17EEFBDE">
      <w:pPr>
        <w:rPr>
          <w:b/>
          <w:bCs/>
        </w:rPr>
      </w:pPr>
      <w:r>
        <w:t xml:space="preserve">The amendment was rejected by 132 votes to 77, with </w:t>
      </w:r>
      <w:r w:rsidR="001C4789">
        <w:t>six</w:t>
      </w:r>
      <w:r>
        <w:t xml:space="preserve"> abstentions</w:t>
      </w:r>
      <w:r w:rsidR="001C4789">
        <w:t>.</w:t>
      </w:r>
    </w:p>
    <w:tbl>
      <w:tblPr>
        <w:tblW w:w="7096" w:type="pct"/>
        <w:tblBorders>
          <w:insideH w:val="nil"/>
          <w:insideV w:val="nil"/>
        </w:tblBorders>
        <w:tblLook w:val="01E0" w:firstRow="1" w:lastRow="1" w:firstColumn="1" w:lastColumn="1" w:noHBand="0" w:noVBand="0"/>
      </w:tblPr>
      <w:tblGrid>
        <w:gridCol w:w="8931"/>
        <w:gridCol w:w="3945"/>
      </w:tblGrid>
      <w:tr w:rsidR="00593911" w:rsidTr="001C4789" w14:paraId="0022A92F" w14:textId="77777777">
        <w:tc>
          <w:tcPr>
            <w:tcW w:w="3468" w:type="pct"/>
          </w:tcPr>
          <w:p w:rsidR="00593911" w:rsidRDefault="00593911" w14:paraId="76B68309" w14:textId="77777777">
            <w:pPr>
              <w:rPr>
                <w:b/>
                <w:bCs/>
                <w:sz w:val="32"/>
                <w:szCs w:val="32"/>
              </w:rPr>
            </w:pPr>
          </w:p>
          <w:p w:rsidR="00593911" w:rsidRDefault="001C4789" w14:paraId="52CDD80B" w14:textId="1B5B399F">
            <w:pPr>
              <w:rPr>
                <w:b/>
                <w:bCs/>
                <w:sz w:val="32"/>
                <w:szCs w:val="32"/>
              </w:rPr>
            </w:pPr>
            <w:r w:rsidRPr="001C4789">
              <w:rPr>
                <w:b/>
                <w:bCs/>
              </w:rPr>
              <w:t>Amendment 2</w:t>
            </w:r>
            <w:r>
              <w:rPr>
                <w:b/>
                <w:bCs/>
                <w:sz w:val="32"/>
                <w:szCs w:val="32"/>
              </w:rPr>
              <w:t xml:space="preserve"> </w:t>
            </w:r>
            <w:r>
              <w:rPr>
                <w:bCs/>
              </w:rPr>
              <w:t>(tabled by C</w:t>
            </w:r>
            <w:r w:rsidRPr="00593911">
              <w:rPr>
                <w:bCs/>
              </w:rPr>
              <w:t>hristian</w:t>
            </w:r>
            <w:r>
              <w:rPr>
                <w:bCs/>
              </w:rPr>
              <w:t xml:space="preserve"> A</w:t>
            </w:r>
            <w:r w:rsidRPr="00593911">
              <w:rPr>
                <w:bCs/>
              </w:rPr>
              <w:t>rdhe</w:t>
            </w:r>
            <w:r>
              <w:rPr>
                <w:bCs/>
              </w:rPr>
              <w:t>, R</w:t>
            </w:r>
            <w:r w:rsidRPr="00593911">
              <w:rPr>
                <w:bCs/>
              </w:rPr>
              <w:t>ené Blijlevens</w:t>
            </w:r>
            <w:r>
              <w:rPr>
                <w:bCs/>
              </w:rPr>
              <w:t>, M</w:t>
            </w:r>
            <w:r w:rsidRPr="00593911">
              <w:rPr>
                <w:bCs/>
              </w:rPr>
              <w:t>ira-</w:t>
            </w:r>
            <w:r>
              <w:rPr>
                <w:bCs/>
              </w:rPr>
              <w:t>M</w:t>
            </w:r>
            <w:r w:rsidRPr="00593911">
              <w:rPr>
                <w:bCs/>
              </w:rPr>
              <w:t>aria Danisman</w:t>
            </w:r>
            <w:r>
              <w:rPr>
                <w:bCs/>
              </w:rPr>
              <w:t>, M</w:t>
            </w:r>
            <w:r w:rsidRPr="00593911">
              <w:rPr>
                <w:bCs/>
              </w:rPr>
              <w:t>arie-</w:t>
            </w:r>
            <w:r>
              <w:rPr>
                <w:bCs/>
              </w:rPr>
              <w:t>P</w:t>
            </w:r>
            <w:r w:rsidRPr="00593911">
              <w:rPr>
                <w:bCs/>
              </w:rPr>
              <w:t>ierre Le breton</w:t>
            </w:r>
            <w:r>
              <w:rPr>
                <w:bCs/>
              </w:rPr>
              <w:t>, M</w:t>
            </w:r>
            <w:r w:rsidRPr="00593911">
              <w:rPr>
                <w:bCs/>
              </w:rPr>
              <w:t>ariya Mincheva</w:t>
            </w:r>
            <w:r>
              <w:rPr>
                <w:bCs/>
              </w:rPr>
              <w:t xml:space="preserve">, </w:t>
            </w:r>
            <w:r w:rsidRPr="00593911">
              <w:rPr>
                <w:bCs/>
              </w:rPr>
              <w:t>Jean-Michel Pottier</w:t>
            </w:r>
            <w:r>
              <w:rPr>
                <w:bCs/>
              </w:rPr>
              <w:t xml:space="preserve">, </w:t>
            </w:r>
            <w:r w:rsidRPr="00593911">
              <w:rPr>
                <w:bCs/>
              </w:rPr>
              <w:t>Christa Schweng</w:t>
            </w:r>
            <w:r>
              <w:rPr>
                <w:bCs/>
              </w:rPr>
              <w:t>, Isabel</w:t>
            </w:r>
            <w:r w:rsidRPr="00593911">
              <w:rPr>
                <w:bCs/>
              </w:rPr>
              <w:t xml:space="preserve"> Yglesias</w:t>
            </w:r>
            <w:r>
              <w:rPr>
                <w:bCs/>
              </w:rPr>
              <w:t>)</w:t>
            </w:r>
          </w:p>
          <w:p w:rsidR="001C4789" w:rsidRDefault="001C4789" w14:paraId="5F715F10" w14:textId="77777777">
            <w:pPr>
              <w:rPr>
                <w:b/>
                <w:bCs/>
              </w:rPr>
            </w:pPr>
          </w:p>
          <w:p w:rsidR="00593911" w:rsidRDefault="00593911" w14:paraId="4242150B" w14:textId="6275E224">
            <w:pPr>
              <w:rPr>
                <w:b/>
                <w:bCs/>
              </w:rPr>
            </w:pPr>
            <w:r>
              <w:rPr>
                <w:b/>
                <w:bCs/>
              </w:rPr>
              <w:t>Point 3.11</w:t>
            </w:r>
          </w:p>
          <w:p w:rsidR="00593911" w:rsidRDefault="00593911" w14:paraId="7C2E245A" w14:textId="77777777">
            <w:pPr>
              <w:rPr>
                <w:b/>
                <w:bCs/>
              </w:rPr>
            </w:pPr>
          </w:p>
          <w:p w:rsidR="00593911" w:rsidRDefault="00593911" w14:paraId="11359D57" w14:textId="77777777">
            <w:pPr>
              <w:rPr>
                <w:b/>
                <w:bCs/>
              </w:rPr>
            </w:pPr>
            <w:r>
              <w:rPr>
                <w:b/>
                <w:bCs/>
              </w:rPr>
              <w:t>Amend as follows</w:t>
            </w:r>
          </w:p>
        </w:tc>
        <w:tc>
          <w:tcPr>
            <w:tcW w:w="1532" w:type="pct"/>
            <w:hideMark/>
          </w:tcPr>
          <w:p w:rsidR="00593911" w:rsidRDefault="00593911" w14:paraId="50E1C3D5" w14:textId="77777777">
            <w:pPr>
              <w:rPr>
                <w:b/>
                <w:bCs/>
              </w:rPr>
            </w:pPr>
          </w:p>
        </w:tc>
      </w:tr>
    </w:tbl>
    <w:p w:rsidR="00593911" w:rsidP="00593911" w:rsidRDefault="00593911" w14:paraId="4CC12BA4"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593911" w:rsidTr="00593911" w14:paraId="0949D26D"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29B41BEE" w14:textId="77777777">
            <w:pPr>
              <w:jc w:val="center"/>
              <w:rPr>
                <w:b/>
                <w:bCs/>
                <w:i/>
                <w:sz w:val="20"/>
                <w:szCs w:val="20"/>
              </w:rPr>
            </w:pPr>
            <w:r>
              <w:rPr>
                <w:b/>
                <w:bCs/>
                <w:i/>
                <w:sz w:val="20"/>
                <w:szCs w:val="20"/>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DA04A28" w14:textId="77777777">
            <w:pPr>
              <w:jc w:val="center"/>
              <w:rPr>
                <w:b/>
                <w:bCs/>
                <w:i/>
                <w:sz w:val="20"/>
                <w:szCs w:val="20"/>
              </w:rPr>
            </w:pPr>
            <w:r>
              <w:rPr>
                <w:b/>
                <w:bCs/>
                <w:i/>
                <w:sz w:val="20"/>
                <w:szCs w:val="20"/>
              </w:rPr>
              <w:t>Amendment</w:t>
            </w:r>
          </w:p>
        </w:tc>
      </w:tr>
      <w:tr w:rsidR="00593911" w:rsidTr="00593911" w14:paraId="12957C73"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01A56AB" w14:textId="77777777">
            <w:pPr>
              <w:spacing w:before="80" w:after="80"/>
              <w:ind w:left="80" w:right="80"/>
              <w:rPr>
                <w:sz w:val="20"/>
                <w:szCs w:val="20"/>
              </w:rPr>
            </w:pPr>
            <w:r>
              <w:rPr>
                <w:sz w:val="20"/>
                <w:szCs w:val="20"/>
              </w:rPr>
              <w:t>The EESC also notes that in Greece the possibility of working a sixth day a week has been introduced by law, effective from 1 July 2024 (Law 5053/2023, Articles 25 and 26). This rule was introduced to combat undeclared work, as well as to increase the employees’ salaries (on the 6th day, salaries are increased by 40%). This mainly concerns companies that operate five days a week, 24 hours a day, with a rotating shift system. This regulation is favoured by employers and opposed by trade unions.</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3D7BCB5E" w14:textId="77777777">
            <w:pPr>
              <w:spacing w:before="80" w:after="40"/>
              <w:ind w:left="80" w:right="80"/>
              <w:rPr>
                <w:sz w:val="20"/>
                <w:szCs w:val="20"/>
              </w:rPr>
            </w:pPr>
            <w:r>
              <w:rPr>
                <w:sz w:val="20"/>
                <w:szCs w:val="20"/>
              </w:rPr>
              <w:t>The EESC also notes that in Greece the possibility of working a sixth day a week has been introduced by law, effective from 1 July 2024 (Law 5053/2023, Articles 25 and 26). This rule was introduced to combat undeclared work, as well as to increase the employees’ salaries (on the 6th day, salaries are increased by 40%). This mainly concerns companies that operate five days a week, 24 hours a day, with a rotating shift system. This regulation is favoured by employers and opposed by trade unions.</w:t>
            </w:r>
            <w:r>
              <w:rPr>
                <w:b/>
                <w:bCs/>
                <w:i/>
                <w:sz w:val="20"/>
                <w:szCs w:val="20"/>
              </w:rPr>
              <w:t xml:space="preserve"> It should be mentioned that when employees make use of this voluntary option, it allows them to increase their income[1].</w:t>
            </w:r>
          </w:p>
          <w:p w:rsidR="00593911" w:rsidRDefault="00593911" w14:paraId="5135A8B1" w14:textId="77777777">
            <w:pPr>
              <w:spacing w:before="40" w:after="80"/>
              <w:ind w:left="80" w:right="80"/>
              <w:rPr>
                <w:sz w:val="20"/>
                <w:szCs w:val="20"/>
              </w:rPr>
            </w:pPr>
            <w:r>
              <w:rPr>
                <w:b/>
                <w:bCs/>
                <w:i/>
                <w:sz w:val="20"/>
                <w:szCs w:val="20"/>
              </w:rPr>
              <w:t xml:space="preserve">[1] See BBC News, </w:t>
            </w:r>
            <w:hyperlink w:history="1" r:id="rId12">
              <w:r>
                <w:rPr>
                  <w:rStyle w:val="Hyperlink"/>
                  <w:b/>
                  <w:bCs/>
                  <w:i/>
                  <w:sz w:val="20"/>
                  <w:szCs w:val="20"/>
                </w:rPr>
                <w:t>Greece starts six-day working week</w:t>
              </w:r>
            </w:hyperlink>
            <w:r>
              <w:rPr>
                <w:b/>
                <w:bCs/>
                <w:i/>
                <w:sz w:val="20"/>
                <w:szCs w:val="20"/>
              </w:rPr>
              <w:t>, July 2024. The legislation applies to certain industries only, and clearly indicates that the possibility to work up to 48 hours is optional for workers, who get paid an extra 40% for the overtime they do.</w:t>
            </w:r>
          </w:p>
        </w:tc>
      </w:tr>
    </w:tbl>
    <w:p w:rsidR="00593911" w:rsidP="00593911" w:rsidRDefault="00593911" w14:paraId="0BD3FBB5" w14:textId="77777777">
      <w:pPr>
        <w:jc w:val="center"/>
      </w:pPr>
    </w:p>
    <w:p w:rsidR="00593911" w:rsidP="00593911" w:rsidRDefault="001C4789" w14:paraId="76B89D5B" w14:textId="66CF6A9A">
      <w:pPr>
        <w:rPr>
          <w:b/>
          <w:bCs/>
        </w:rPr>
      </w:pPr>
      <w:r>
        <w:t>The amendment was rejected by 128 votes to 86, with seven abstentions.</w:t>
      </w:r>
    </w:p>
    <w:p w:rsidR="00593911" w:rsidP="00593911" w:rsidRDefault="00593911" w14:paraId="16BD2278" w14:textId="77777777">
      <w:pPr>
        <w:rPr>
          <w:b/>
          <w:bCs/>
        </w:rPr>
      </w:pPr>
    </w:p>
    <w:tbl>
      <w:tblPr>
        <w:tblW w:w="7096" w:type="pct"/>
        <w:tblBorders>
          <w:insideH w:val="nil"/>
          <w:insideV w:val="nil"/>
        </w:tblBorders>
        <w:tblLook w:val="01E0" w:firstRow="1" w:lastRow="1" w:firstColumn="1" w:lastColumn="1" w:noHBand="0" w:noVBand="0"/>
      </w:tblPr>
      <w:tblGrid>
        <w:gridCol w:w="8931"/>
        <w:gridCol w:w="3945"/>
      </w:tblGrid>
      <w:tr w:rsidR="00593911" w:rsidTr="001C4789" w14:paraId="78AA8A7C" w14:textId="77777777">
        <w:tc>
          <w:tcPr>
            <w:tcW w:w="3468" w:type="pct"/>
          </w:tcPr>
          <w:p w:rsidRPr="001C4789" w:rsidR="00593911" w:rsidRDefault="001C4789" w14:paraId="70E01F9F" w14:textId="38F27999">
            <w:pPr>
              <w:rPr>
                <w:b/>
                <w:bCs/>
              </w:rPr>
            </w:pPr>
            <w:r w:rsidRPr="001C4789">
              <w:rPr>
                <w:b/>
                <w:bCs/>
              </w:rPr>
              <w:t>Amendment 3</w:t>
            </w:r>
            <w:r>
              <w:rPr>
                <w:b/>
                <w:bCs/>
              </w:rPr>
              <w:t xml:space="preserve"> </w:t>
            </w:r>
            <w:r>
              <w:rPr>
                <w:bCs/>
              </w:rPr>
              <w:t>(tabled by C</w:t>
            </w:r>
            <w:r w:rsidRPr="00593911">
              <w:rPr>
                <w:bCs/>
              </w:rPr>
              <w:t>hristian</w:t>
            </w:r>
            <w:r>
              <w:rPr>
                <w:bCs/>
              </w:rPr>
              <w:t xml:space="preserve"> A</w:t>
            </w:r>
            <w:r w:rsidRPr="00593911">
              <w:rPr>
                <w:bCs/>
              </w:rPr>
              <w:t>rdhe</w:t>
            </w:r>
            <w:r>
              <w:rPr>
                <w:bCs/>
              </w:rPr>
              <w:t>, R</w:t>
            </w:r>
            <w:r w:rsidRPr="00593911">
              <w:rPr>
                <w:bCs/>
              </w:rPr>
              <w:t>ené Blijlevens</w:t>
            </w:r>
            <w:r>
              <w:rPr>
                <w:bCs/>
              </w:rPr>
              <w:t>, M</w:t>
            </w:r>
            <w:r w:rsidRPr="00593911">
              <w:rPr>
                <w:bCs/>
              </w:rPr>
              <w:t>ira-</w:t>
            </w:r>
            <w:r>
              <w:rPr>
                <w:bCs/>
              </w:rPr>
              <w:t>M</w:t>
            </w:r>
            <w:r w:rsidRPr="00593911">
              <w:rPr>
                <w:bCs/>
              </w:rPr>
              <w:t>aria Danisman</w:t>
            </w:r>
            <w:r>
              <w:rPr>
                <w:bCs/>
              </w:rPr>
              <w:t>, M</w:t>
            </w:r>
            <w:r w:rsidRPr="00593911">
              <w:rPr>
                <w:bCs/>
              </w:rPr>
              <w:t>arie-</w:t>
            </w:r>
            <w:r>
              <w:rPr>
                <w:bCs/>
              </w:rPr>
              <w:t>P</w:t>
            </w:r>
            <w:r w:rsidRPr="00593911">
              <w:rPr>
                <w:bCs/>
              </w:rPr>
              <w:t>ierre Le breton</w:t>
            </w:r>
            <w:r>
              <w:rPr>
                <w:bCs/>
              </w:rPr>
              <w:t>, M</w:t>
            </w:r>
            <w:r w:rsidRPr="00593911">
              <w:rPr>
                <w:bCs/>
              </w:rPr>
              <w:t>ariya Mincheva</w:t>
            </w:r>
            <w:r>
              <w:rPr>
                <w:bCs/>
              </w:rPr>
              <w:t xml:space="preserve">, </w:t>
            </w:r>
            <w:r w:rsidRPr="00593911">
              <w:rPr>
                <w:bCs/>
              </w:rPr>
              <w:t>Jean-Michel Pottier</w:t>
            </w:r>
            <w:r>
              <w:rPr>
                <w:bCs/>
              </w:rPr>
              <w:t xml:space="preserve">, </w:t>
            </w:r>
            <w:r w:rsidRPr="00593911">
              <w:rPr>
                <w:bCs/>
              </w:rPr>
              <w:t>Christa Schweng</w:t>
            </w:r>
            <w:r>
              <w:rPr>
                <w:bCs/>
              </w:rPr>
              <w:t>, Isabel</w:t>
            </w:r>
            <w:r w:rsidRPr="00593911">
              <w:rPr>
                <w:bCs/>
              </w:rPr>
              <w:t xml:space="preserve"> Yglesias</w:t>
            </w:r>
            <w:r>
              <w:rPr>
                <w:bCs/>
              </w:rPr>
              <w:t>)</w:t>
            </w:r>
          </w:p>
          <w:p w:rsidR="00593911" w:rsidRDefault="00593911" w14:paraId="7F859859" w14:textId="77777777">
            <w:pPr>
              <w:rPr>
                <w:b/>
                <w:bCs/>
              </w:rPr>
            </w:pPr>
          </w:p>
          <w:p w:rsidR="00593911" w:rsidRDefault="00593911" w14:paraId="43328DB6" w14:textId="77777777">
            <w:pPr>
              <w:rPr>
                <w:b/>
                <w:bCs/>
              </w:rPr>
            </w:pPr>
            <w:r>
              <w:rPr>
                <w:b/>
                <w:bCs/>
              </w:rPr>
              <w:t>Point 1.1</w:t>
            </w:r>
          </w:p>
          <w:p w:rsidR="00593911" w:rsidRDefault="00593911" w14:paraId="057350DE" w14:textId="77777777">
            <w:pPr>
              <w:rPr>
                <w:b/>
                <w:bCs/>
              </w:rPr>
            </w:pPr>
          </w:p>
          <w:p w:rsidR="00593911" w:rsidRDefault="00593911" w14:paraId="33F20EA5" w14:textId="77777777">
            <w:pPr>
              <w:rPr>
                <w:b/>
                <w:bCs/>
              </w:rPr>
            </w:pPr>
            <w:r>
              <w:rPr>
                <w:b/>
                <w:bCs/>
              </w:rPr>
              <w:t>Amend as follows</w:t>
            </w:r>
          </w:p>
        </w:tc>
        <w:tc>
          <w:tcPr>
            <w:tcW w:w="1532" w:type="pct"/>
            <w:hideMark/>
          </w:tcPr>
          <w:p w:rsidR="00593911" w:rsidRDefault="00593911" w14:paraId="68289A0B" w14:textId="77777777">
            <w:pPr>
              <w:rPr>
                <w:b/>
                <w:bCs/>
              </w:rPr>
            </w:pPr>
          </w:p>
        </w:tc>
      </w:tr>
    </w:tbl>
    <w:p w:rsidR="00593911" w:rsidP="00593911" w:rsidRDefault="00593911" w14:paraId="418FA5DE"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593911" w:rsidTr="00593911" w14:paraId="60038AB3"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3EDB0200" w14:textId="77777777">
            <w:pPr>
              <w:jc w:val="center"/>
              <w:rPr>
                <w:b/>
                <w:bCs/>
                <w:i/>
                <w:sz w:val="20"/>
                <w:szCs w:val="20"/>
              </w:rPr>
            </w:pPr>
            <w:r>
              <w:rPr>
                <w:b/>
                <w:bCs/>
                <w:i/>
                <w:sz w:val="20"/>
                <w:szCs w:val="20"/>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2E8975C" w14:textId="77777777">
            <w:pPr>
              <w:jc w:val="center"/>
              <w:rPr>
                <w:b/>
                <w:bCs/>
                <w:i/>
                <w:sz w:val="20"/>
                <w:szCs w:val="20"/>
              </w:rPr>
            </w:pPr>
            <w:r>
              <w:rPr>
                <w:b/>
                <w:bCs/>
                <w:i/>
                <w:sz w:val="20"/>
                <w:szCs w:val="20"/>
              </w:rPr>
              <w:t>Amendment</w:t>
            </w:r>
          </w:p>
        </w:tc>
      </w:tr>
      <w:tr w:rsidR="00593911" w:rsidTr="00593911" w14:paraId="37DE7676"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02ECCC9F" w14:textId="77777777">
            <w:pPr>
              <w:spacing w:before="80" w:after="80"/>
              <w:ind w:left="80" w:right="80"/>
              <w:rPr>
                <w:sz w:val="20"/>
                <w:szCs w:val="20"/>
              </w:rPr>
            </w:pPr>
            <w:r>
              <w:rPr>
                <w:sz w:val="20"/>
                <w:szCs w:val="20"/>
              </w:rPr>
              <w:t xml:space="preserve">The EESC considers that working time is one of the aspects of work with the greatest impact on people’s quality of life (well-being) and is key to the efficient organisation of economic activity in companies. Appropriate working-time arrangements can make enterprises more sustainable and improve their productivity. This view is shared by the social partners. The EESC considers the definition of working time reduction as working fewer hours per reference period </w:t>
            </w:r>
            <w:r>
              <w:rPr>
                <w:b/>
                <w:bCs/>
                <w:i/>
                <w:sz w:val="20"/>
                <w:szCs w:val="20"/>
              </w:rPr>
              <w:t>with the same salary levels</w:t>
            </w:r>
            <w:r>
              <w:rPr>
                <w:sz w:val="20"/>
                <w:szCs w:val="20"/>
              </w:rPr>
              <w:t>, to clearly differentiate between shorter working days in the form of part-time work and compressed working days (that is, the same number of hours worked in fewer days, for example, 4 days of 10 hours).</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5172B033" w14:textId="77777777">
            <w:pPr>
              <w:spacing w:before="80" w:after="80"/>
              <w:ind w:left="80" w:right="80"/>
              <w:rPr>
                <w:sz w:val="20"/>
                <w:szCs w:val="20"/>
              </w:rPr>
            </w:pPr>
            <w:r>
              <w:rPr>
                <w:sz w:val="20"/>
                <w:szCs w:val="20"/>
              </w:rPr>
              <w:t>The EESC considers that working time is one of the aspects of work with the greatest impact on people’s quality of life (well-being) and is key to the efficient organisation of economic activity in companies. Appropriate working-time arrangements can make enterprises more sustainable and improve their productivity. This view is shared by the social partners. The EESC considers the definition of working time reduction as working fewer hours per reference period, to clearly differentiate between shorter working days in the form of part-time work and compressed working days (that is, the same number of hours worked in fewer days, for example, 4 days of 10 hours).</w:t>
            </w:r>
          </w:p>
        </w:tc>
      </w:tr>
    </w:tbl>
    <w:p w:rsidR="00593911" w:rsidP="00593911" w:rsidRDefault="00593911" w14:paraId="6C7366DB" w14:textId="77777777">
      <w:pPr>
        <w:jc w:val="center"/>
      </w:pPr>
    </w:p>
    <w:p w:rsidR="00593911" w:rsidP="00593911" w:rsidRDefault="001C4789" w14:paraId="58717C62" w14:textId="27716AA7">
      <w:pPr>
        <w:rPr>
          <w:b/>
          <w:bCs/>
        </w:rPr>
      </w:pPr>
      <w:r>
        <w:t>The amendment was rejected by 131 votes to 92, with three abstentions.</w:t>
      </w:r>
    </w:p>
    <w:tbl>
      <w:tblPr>
        <w:tblW w:w="7096" w:type="pct"/>
        <w:tblBorders>
          <w:insideH w:val="nil"/>
          <w:insideV w:val="nil"/>
        </w:tblBorders>
        <w:tblLook w:val="01E0" w:firstRow="1" w:lastRow="1" w:firstColumn="1" w:lastColumn="1" w:noHBand="0" w:noVBand="0"/>
      </w:tblPr>
      <w:tblGrid>
        <w:gridCol w:w="8931"/>
        <w:gridCol w:w="3945"/>
      </w:tblGrid>
      <w:tr w:rsidR="00593911" w:rsidTr="001C4789" w14:paraId="65E38CE9" w14:textId="77777777">
        <w:tc>
          <w:tcPr>
            <w:tcW w:w="3468" w:type="pct"/>
          </w:tcPr>
          <w:p w:rsidR="00593911" w:rsidRDefault="00593911" w14:paraId="27238686" w14:textId="77777777">
            <w:pPr>
              <w:rPr>
                <w:b/>
                <w:bCs/>
                <w:sz w:val="32"/>
                <w:szCs w:val="32"/>
              </w:rPr>
            </w:pPr>
          </w:p>
          <w:p w:rsidRPr="001C4789" w:rsidR="001C4789" w:rsidP="001C4789" w:rsidRDefault="001C4789" w14:paraId="1E2336E8" w14:textId="77777777">
            <w:pPr>
              <w:rPr>
                <w:b/>
                <w:bCs/>
              </w:rPr>
            </w:pPr>
            <w:r w:rsidRPr="001C4789">
              <w:rPr>
                <w:b/>
                <w:bCs/>
              </w:rPr>
              <w:t>Amendment 4</w:t>
            </w:r>
            <w:r>
              <w:rPr>
                <w:b/>
                <w:bCs/>
              </w:rPr>
              <w:t xml:space="preserve"> </w:t>
            </w:r>
            <w:r>
              <w:rPr>
                <w:bCs/>
              </w:rPr>
              <w:t>(tabled by C</w:t>
            </w:r>
            <w:r w:rsidRPr="00593911">
              <w:rPr>
                <w:bCs/>
              </w:rPr>
              <w:t>hristian</w:t>
            </w:r>
            <w:r>
              <w:rPr>
                <w:bCs/>
              </w:rPr>
              <w:t xml:space="preserve"> A</w:t>
            </w:r>
            <w:r w:rsidRPr="00593911">
              <w:rPr>
                <w:bCs/>
              </w:rPr>
              <w:t>rdhe</w:t>
            </w:r>
            <w:r>
              <w:rPr>
                <w:bCs/>
              </w:rPr>
              <w:t>, R</w:t>
            </w:r>
            <w:r w:rsidRPr="00593911">
              <w:rPr>
                <w:bCs/>
              </w:rPr>
              <w:t>ené Blijlevens</w:t>
            </w:r>
            <w:r>
              <w:rPr>
                <w:bCs/>
              </w:rPr>
              <w:t>, M</w:t>
            </w:r>
            <w:r w:rsidRPr="00593911">
              <w:rPr>
                <w:bCs/>
              </w:rPr>
              <w:t>ira-</w:t>
            </w:r>
            <w:r>
              <w:rPr>
                <w:bCs/>
              </w:rPr>
              <w:t>M</w:t>
            </w:r>
            <w:r w:rsidRPr="00593911">
              <w:rPr>
                <w:bCs/>
              </w:rPr>
              <w:t>aria Danisman</w:t>
            </w:r>
            <w:r>
              <w:rPr>
                <w:bCs/>
              </w:rPr>
              <w:t>, M</w:t>
            </w:r>
            <w:r w:rsidRPr="00593911">
              <w:rPr>
                <w:bCs/>
              </w:rPr>
              <w:t>arie-</w:t>
            </w:r>
            <w:r>
              <w:rPr>
                <w:bCs/>
              </w:rPr>
              <w:t>P</w:t>
            </w:r>
            <w:r w:rsidRPr="00593911">
              <w:rPr>
                <w:bCs/>
              </w:rPr>
              <w:t>ierre Le breton</w:t>
            </w:r>
            <w:r>
              <w:rPr>
                <w:bCs/>
              </w:rPr>
              <w:t>, M</w:t>
            </w:r>
            <w:r w:rsidRPr="00593911">
              <w:rPr>
                <w:bCs/>
              </w:rPr>
              <w:t>ariya Mincheva</w:t>
            </w:r>
            <w:r>
              <w:rPr>
                <w:bCs/>
              </w:rPr>
              <w:t xml:space="preserve">, </w:t>
            </w:r>
            <w:r w:rsidRPr="00593911">
              <w:rPr>
                <w:bCs/>
              </w:rPr>
              <w:t>Jean-Michel Pottier</w:t>
            </w:r>
            <w:r>
              <w:rPr>
                <w:bCs/>
              </w:rPr>
              <w:t xml:space="preserve">, </w:t>
            </w:r>
            <w:r w:rsidRPr="00593911">
              <w:rPr>
                <w:bCs/>
              </w:rPr>
              <w:t>Christa Schweng</w:t>
            </w:r>
            <w:r>
              <w:rPr>
                <w:bCs/>
              </w:rPr>
              <w:t>, Isabel</w:t>
            </w:r>
            <w:r w:rsidRPr="00593911">
              <w:rPr>
                <w:bCs/>
              </w:rPr>
              <w:t xml:space="preserve"> Yglesias</w:t>
            </w:r>
            <w:r>
              <w:rPr>
                <w:bCs/>
              </w:rPr>
              <w:t>)</w:t>
            </w:r>
          </w:p>
          <w:p w:rsidR="00593911" w:rsidRDefault="00593911" w14:paraId="62D57D5E" w14:textId="77777777">
            <w:pPr>
              <w:rPr>
                <w:b/>
                <w:bCs/>
              </w:rPr>
            </w:pPr>
          </w:p>
          <w:p w:rsidR="00593911" w:rsidRDefault="00593911" w14:paraId="33376E45" w14:textId="77777777">
            <w:pPr>
              <w:rPr>
                <w:b/>
                <w:bCs/>
              </w:rPr>
            </w:pPr>
            <w:r>
              <w:rPr>
                <w:b/>
                <w:bCs/>
              </w:rPr>
              <w:t>Point 1.9</w:t>
            </w:r>
          </w:p>
          <w:p w:rsidR="00593911" w:rsidRDefault="00593911" w14:paraId="708E0EDA" w14:textId="77777777">
            <w:pPr>
              <w:rPr>
                <w:b/>
                <w:bCs/>
              </w:rPr>
            </w:pPr>
          </w:p>
          <w:p w:rsidR="00593911" w:rsidRDefault="00593911" w14:paraId="14DCAD78" w14:textId="77777777">
            <w:pPr>
              <w:rPr>
                <w:b/>
                <w:bCs/>
              </w:rPr>
            </w:pPr>
            <w:r>
              <w:rPr>
                <w:b/>
                <w:bCs/>
              </w:rPr>
              <w:t>Amend as follows</w:t>
            </w:r>
          </w:p>
        </w:tc>
        <w:tc>
          <w:tcPr>
            <w:tcW w:w="1532" w:type="pct"/>
            <w:hideMark/>
          </w:tcPr>
          <w:p w:rsidR="00593911" w:rsidRDefault="00593911" w14:paraId="70F79A33" w14:textId="77777777">
            <w:pPr>
              <w:rPr>
                <w:b/>
                <w:bCs/>
              </w:rPr>
            </w:pPr>
          </w:p>
        </w:tc>
      </w:tr>
    </w:tbl>
    <w:p w:rsidR="00593911" w:rsidP="00593911" w:rsidRDefault="00593911" w14:paraId="65A1C68C"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593911" w:rsidTr="00593911" w14:paraId="39596507"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0A4AC506" w14:textId="77777777">
            <w:pPr>
              <w:jc w:val="center"/>
              <w:rPr>
                <w:b/>
                <w:bCs/>
                <w:i/>
                <w:sz w:val="20"/>
                <w:szCs w:val="20"/>
              </w:rPr>
            </w:pPr>
            <w:r>
              <w:rPr>
                <w:b/>
                <w:bCs/>
                <w:i/>
                <w:sz w:val="20"/>
                <w:szCs w:val="20"/>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1753AB0" w14:textId="77777777">
            <w:pPr>
              <w:jc w:val="center"/>
              <w:rPr>
                <w:b/>
                <w:bCs/>
                <w:i/>
                <w:sz w:val="20"/>
                <w:szCs w:val="20"/>
              </w:rPr>
            </w:pPr>
            <w:r>
              <w:rPr>
                <w:b/>
                <w:bCs/>
                <w:i/>
                <w:sz w:val="20"/>
                <w:szCs w:val="20"/>
              </w:rPr>
              <w:t>Amendment</w:t>
            </w:r>
          </w:p>
        </w:tc>
      </w:tr>
      <w:tr w:rsidR="00593911" w:rsidTr="00593911" w14:paraId="1DD3C084"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35859762" w14:textId="77777777">
            <w:pPr>
              <w:spacing w:before="40" w:after="40"/>
              <w:ind w:left="40" w:right="40"/>
              <w:rPr>
                <w:sz w:val="20"/>
                <w:szCs w:val="20"/>
              </w:rPr>
            </w:pPr>
            <w:r>
              <w:rPr>
                <w:sz w:val="20"/>
                <w:szCs w:val="20"/>
              </w:rPr>
              <w:t xml:space="preserve">The EESC </w:t>
            </w:r>
            <w:r>
              <w:rPr>
                <w:b/>
                <w:bCs/>
                <w:i/>
                <w:sz w:val="20"/>
                <w:szCs w:val="20"/>
              </w:rPr>
              <w:t>highlights among the pilot projects on working-time reduction</w:t>
            </w:r>
            <w:r>
              <w:rPr>
                <w:sz w:val="20"/>
                <w:szCs w:val="20"/>
              </w:rPr>
              <w:t xml:space="preserve"> </w:t>
            </w:r>
            <w:r>
              <w:rPr>
                <w:b/>
                <w:bCs/>
                <w:i/>
                <w:iCs/>
                <w:sz w:val="20"/>
                <w:szCs w:val="20"/>
              </w:rPr>
              <w:t>the</w:t>
            </w:r>
            <w:r>
              <w:rPr>
                <w:sz w:val="20"/>
                <w:szCs w:val="20"/>
              </w:rPr>
              <w:t xml:space="preserve"> Eurofound </w:t>
            </w:r>
            <w:r>
              <w:rPr>
                <w:b/>
                <w:bCs/>
                <w:i/>
                <w:sz w:val="20"/>
                <w:szCs w:val="20"/>
              </w:rPr>
              <w:t>one</w:t>
            </w:r>
            <w:r>
              <w:rPr>
                <w:sz w:val="20"/>
                <w:szCs w:val="20"/>
              </w:rPr>
              <w:t>: ‘Working-time reduction with a focus on the four-day week</w:t>
            </w:r>
            <w:r>
              <w:rPr>
                <w:b/>
                <w:bCs/>
                <w:i/>
                <w:iCs/>
                <w:sz w:val="20"/>
                <w:szCs w:val="20"/>
              </w:rPr>
              <w:t>’</w:t>
            </w:r>
            <w:r>
              <w:rPr>
                <w:b/>
                <w:bCs/>
                <w:i/>
                <w:sz w:val="20"/>
                <w:szCs w:val="20"/>
              </w:rPr>
              <w:t>,</w:t>
            </w:r>
            <w:r>
              <w:rPr>
                <w:sz w:val="20"/>
                <w:szCs w:val="20"/>
              </w:rPr>
              <w:t xml:space="preserve"> which </w:t>
            </w:r>
            <w:r>
              <w:rPr>
                <w:b/>
                <w:bCs/>
                <w:i/>
                <w:sz w:val="20"/>
                <w:szCs w:val="20"/>
              </w:rPr>
              <w:t>states in its first conclusions: ‘Reduced working time improves productivity, enhances mental health and reduces stress, and is key to a sustainable balance in the current context of digital transformation. It also contributes to preventing work-related illnesses and strengthening the general well-being of</w:t>
            </w:r>
            <w:r>
              <w:rPr>
                <w:sz w:val="20"/>
                <w:szCs w:val="20"/>
              </w:rPr>
              <w:t xml:space="preserve"> working </w:t>
            </w:r>
            <w:r>
              <w:rPr>
                <w:b/>
                <w:bCs/>
                <w:i/>
                <w:sz w:val="20"/>
                <w:szCs w:val="20"/>
              </w:rPr>
              <w:t>people’</w:t>
            </w:r>
            <w:r>
              <w:rPr>
                <w:sz w:val="20"/>
                <w:szCs w:val="20"/>
              </w:rPr>
              <w:t>. In this regard,</w:t>
            </w:r>
            <w:r>
              <w:rPr>
                <w:b/>
                <w:bCs/>
                <w:i/>
                <w:sz w:val="20"/>
                <w:szCs w:val="20"/>
              </w:rPr>
              <w:t xml:space="preserve"> </w:t>
            </w:r>
            <w:r>
              <w:rPr>
                <w:iCs/>
                <w:sz w:val="20"/>
                <w:szCs w:val="20"/>
              </w:rPr>
              <w:t>the</w:t>
            </w:r>
            <w:r>
              <w:rPr>
                <w:sz w:val="20"/>
                <w:szCs w:val="20"/>
              </w:rPr>
              <w:t xml:space="preserve"> EESC highlights </w:t>
            </w:r>
            <w:r>
              <w:rPr>
                <w:b/>
                <w:bCs/>
                <w:i/>
                <w:sz w:val="20"/>
                <w:szCs w:val="20"/>
              </w:rPr>
              <w:t>the</w:t>
            </w:r>
            <w:r>
              <w:rPr>
                <w:sz w:val="20"/>
                <w:szCs w:val="20"/>
              </w:rPr>
              <w:t xml:space="preserve"> positive effects </w:t>
            </w:r>
            <w:r>
              <w:rPr>
                <w:b/>
                <w:bCs/>
                <w:i/>
                <w:sz w:val="20"/>
                <w:szCs w:val="20"/>
              </w:rPr>
              <w:t>of reduced working time</w:t>
            </w:r>
            <w:r>
              <w:rPr>
                <w:sz w:val="20"/>
                <w:szCs w:val="20"/>
              </w:rPr>
              <w:t xml:space="preserve"> on society, such as demographic renewal, gender equality, a reduced burden on the healthcare system and potentially keeping workers in the world of work for longer, thus creating a positive environment conducive of creativity and innovation. A good social environment not only benefits the state but also companies and workers.</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610D5C46" w14:textId="77777777">
            <w:pPr>
              <w:spacing w:before="80" w:after="40"/>
              <w:ind w:left="80" w:right="80"/>
              <w:rPr>
                <w:sz w:val="20"/>
                <w:szCs w:val="20"/>
              </w:rPr>
            </w:pPr>
            <w:r>
              <w:rPr>
                <w:sz w:val="20"/>
                <w:szCs w:val="20"/>
              </w:rPr>
              <w:t xml:space="preserve">The EESC </w:t>
            </w:r>
            <w:r>
              <w:rPr>
                <w:b/>
                <w:bCs/>
                <w:i/>
                <w:sz w:val="20"/>
                <w:szCs w:val="20"/>
              </w:rPr>
              <w:t>notes that</w:t>
            </w:r>
            <w:r>
              <w:rPr>
                <w:sz w:val="20"/>
                <w:szCs w:val="20"/>
              </w:rPr>
              <w:t xml:space="preserve"> Eurofound </w:t>
            </w:r>
            <w:r>
              <w:rPr>
                <w:b/>
                <w:bCs/>
                <w:i/>
                <w:sz w:val="20"/>
                <w:szCs w:val="20"/>
              </w:rPr>
              <w:t>has published a working paper</w:t>
            </w:r>
            <w:r>
              <w:rPr>
                <w:sz w:val="20"/>
                <w:szCs w:val="20"/>
              </w:rPr>
              <w:t>: ‘Working-time reduction with a focus on the four-day week</w:t>
            </w:r>
            <w:r>
              <w:rPr>
                <w:b/>
                <w:bCs/>
                <w:i/>
                <w:iCs/>
                <w:sz w:val="20"/>
                <w:szCs w:val="20"/>
              </w:rPr>
              <w:t>:</w:t>
            </w:r>
            <w:r>
              <w:rPr>
                <w:sz w:val="20"/>
                <w:szCs w:val="20"/>
              </w:rPr>
              <w:t xml:space="preserve"> </w:t>
            </w:r>
            <w:r>
              <w:rPr>
                <w:b/>
                <w:bCs/>
                <w:i/>
                <w:sz w:val="20"/>
                <w:szCs w:val="20"/>
              </w:rPr>
              <w:t>Literature review</w:t>
            </w:r>
            <w:r>
              <w:rPr>
                <w:sz w:val="20"/>
                <w:szCs w:val="20"/>
              </w:rPr>
              <w:t>’</w:t>
            </w:r>
            <w:r>
              <w:rPr>
                <w:b/>
                <w:bCs/>
                <w:i/>
                <w:sz w:val="20"/>
                <w:szCs w:val="20"/>
              </w:rPr>
              <w:t xml:space="preserve"> [1]</w:t>
            </w:r>
            <w:r>
              <w:rPr>
                <w:sz w:val="20"/>
                <w:szCs w:val="20"/>
              </w:rPr>
              <w:t xml:space="preserve"> which </w:t>
            </w:r>
            <w:r>
              <w:rPr>
                <w:b/>
                <w:bCs/>
                <w:i/>
                <w:sz w:val="20"/>
                <w:szCs w:val="20"/>
              </w:rPr>
              <w:t>presents some experiments in reducing</w:t>
            </w:r>
            <w:r>
              <w:rPr>
                <w:sz w:val="20"/>
                <w:szCs w:val="20"/>
              </w:rPr>
              <w:t xml:space="preserve"> working </w:t>
            </w:r>
            <w:r>
              <w:rPr>
                <w:b/>
                <w:bCs/>
                <w:i/>
                <w:sz w:val="20"/>
                <w:szCs w:val="20"/>
              </w:rPr>
              <w:t>hours</w:t>
            </w:r>
            <w:r>
              <w:rPr>
                <w:sz w:val="20"/>
                <w:szCs w:val="20"/>
              </w:rPr>
              <w:t>. In this regard,</w:t>
            </w:r>
            <w:r>
              <w:rPr>
                <w:b/>
                <w:bCs/>
                <w:i/>
                <w:sz w:val="20"/>
                <w:szCs w:val="20"/>
              </w:rPr>
              <w:t xml:space="preserve"> </w:t>
            </w:r>
            <w:r>
              <w:rPr>
                <w:iCs/>
                <w:sz w:val="20"/>
                <w:szCs w:val="20"/>
              </w:rPr>
              <w:t>the</w:t>
            </w:r>
            <w:r>
              <w:rPr>
                <w:sz w:val="20"/>
                <w:szCs w:val="20"/>
              </w:rPr>
              <w:t xml:space="preserve"> EESC highlights </w:t>
            </w:r>
            <w:r>
              <w:rPr>
                <w:b/>
                <w:bCs/>
                <w:i/>
                <w:sz w:val="20"/>
                <w:szCs w:val="20"/>
              </w:rPr>
              <w:t>that a shortened working week, if agreed by social partners at company level, may have</w:t>
            </w:r>
            <w:r>
              <w:rPr>
                <w:sz w:val="20"/>
                <w:szCs w:val="20"/>
              </w:rPr>
              <w:t xml:space="preserve"> positive effects on society, such as demographic renewal, gender equality, a reduced burden on the healthcare system and potentially keeping workers in the world of work for longer, thus creating a positive environment conducive of creativity and innovation. A good social environment not only benefits the state but also companies and workers</w:t>
            </w:r>
            <w:r>
              <w:rPr>
                <w:b/>
                <w:bCs/>
                <w:i/>
                <w:sz w:val="20"/>
                <w:szCs w:val="20"/>
              </w:rPr>
              <w:t>.</w:t>
            </w:r>
          </w:p>
          <w:p w:rsidR="00593911" w:rsidRDefault="00593911" w14:paraId="5899C2D1" w14:textId="77777777">
            <w:pPr>
              <w:spacing w:before="40" w:after="80"/>
              <w:ind w:left="80" w:right="80"/>
              <w:rPr>
                <w:sz w:val="20"/>
                <w:szCs w:val="20"/>
              </w:rPr>
            </w:pPr>
            <w:r>
              <w:rPr>
                <w:b/>
                <w:bCs/>
                <w:i/>
                <w:sz w:val="20"/>
                <w:szCs w:val="20"/>
              </w:rPr>
              <w:t>[1] Eurofound, '</w:t>
            </w:r>
            <w:hyperlink w:history="1" r:id="rId13">
              <w:r>
                <w:rPr>
                  <w:rStyle w:val="Hyperlink"/>
                  <w:b/>
                  <w:bCs/>
                  <w:i/>
                  <w:sz w:val="20"/>
                  <w:szCs w:val="20"/>
                </w:rPr>
                <w:t>Working time reduction with a focus on the four-day week: Literature review'</w:t>
              </w:r>
            </w:hyperlink>
            <w:r>
              <w:rPr>
                <w:b/>
                <w:bCs/>
                <w:i/>
                <w:sz w:val="20"/>
                <w:szCs w:val="20"/>
              </w:rPr>
              <w:t>, 2024 (the literature review has the disclaimer: This working paper has not been subject to the full Eurofound evaluation, editorial and publication process)</w:t>
            </w:r>
            <w:r>
              <w:rPr>
                <w:sz w:val="20"/>
                <w:szCs w:val="20"/>
              </w:rPr>
              <w:t>.</w:t>
            </w:r>
          </w:p>
        </w:tc>
      </w:tr>
    </w:tbl>
    <w:p w:rsidR="00593911" w:rsidP="00593911" w:rsidRDefault="00593911" w14:paraId="7EF16F86" w14:textId="210F2E2A">
      <w:pPr>
        <w:jc w:val="left"/>
        <w:rPr>
          <w:b/>
          <w:bCs/>
        </w:rPr>
      </w:pPr>
    </w:p>
    <w:p w:rsidR="001C4789" w:rsidP="00593911" w:rsidRDefault="001C4789" w14:paraId="5E6ABA81" w14:textId="3909800A">
      <w:pPr>
        <w:jc w:val="left"/>
        <w:rPr>
          <w:b/>
          <w:bCs/>
        </w:rPr>
      </w:pPr>
      <w:r>
        <w:t>The amendment was rejected by 126 votes to 97, with seven abstentions.</w:t>
      </w:r>
    </w:p>
    <w:tbl>
      <w:tblPr>
        <w:tblW w:w="7096" w:type="pct"/>
        <w:tblBorders>
          <w:insideH w:val="nil"/>
          <w:insideV w:val="nil"/>
        </w:tblBorders>
        <w:tblLook w:val="01E0" w:firstRow="1" w:lastRow="1" w:firstColumn="1" w:lastColumn="1" w:noHBand="0" w:noVBand="0"/>
      </w:tblPr>
      <w:tblGrid>
        <w:gridCol w:w="8931"/>
        <w:gridCol w:w="3945"/>
      </w:tblGrid>
      <w:tr w:rsidR="00593911" w:rsidTr="001C4789" w14:paraId="6CBD9DA2" w14:textId="77777777">
        <w:tc>
          <w:tcPr>
            <w:tcW w:w="3468" w:type="pct"/>
          </w:tcPr>
          <w:p w:rsidR="00593911" w:rsidRDefault="00593911" w14:paraId="4FC7CCAE" w14:textId="77777777">
            <w:pPr>
              <w:rPr>
                <w:b/>
                <w:bCs/>
                <w:sz w:val="32"/>
                <w:szCs w:val="32"/>
              </w:rPr>
            </w:pPr>
          </w:p>
          <w:p w:rsidRPr="001C4789" w:rsidR="00593911" w:rsidRDefault="001C4789" w14:paraId="3F04092A" w14:textId="62D71574">
            <w:pPr>
              <w:rPr>
                <w:b/>
                <w:bCs/>
              </w:rPr>
            </w:pPr>
            <w:r w:rsidRPr="001C4789">
              <w:rPr>
                <w:b/>
                <w:bCs/>
              </w:rPr>
              <w:t>Amendment 5</w:t>
            </w:r>
            <w:r>
              <w:rPr>
                <w:b/>
                <w:bCs/>
              </w:rPr>
              <w:t xml:space="preserve"> </w:t>
            </w:r>
            <w:r>
              <w:rPr>
                <w:bCs/>
              </w:rPr>
              <w:t>(tabled by C</w:t>
            </w:r>
            <w:r w:rsidRPr="00593911">
              <w:rPr>
                <w:bCs/>
              </w:rPr>
              <w:t>hristian</w:t>
            </w:r>
            <w:r>
              <w:rPr>
                <w:bCs/>
              </w:rPr>
              <w:t xml:space="preserve"> A</w:t>
            </w:r>
            <w:r w:rsidRPr="00593911">
              <w:rPr>
                <w:bCs/>
              </w:rPr>
              <w:t>rdhe</w:t>
            </w:r>
            <w:r>
              <w:rPr>
                <w:bCs/>
              </w:rPr>
              <w:t>, R</w:t>
            </w:r>
            <w:r w:rsidRPr="00593911">
              <w:rPr>
                <w:bCs/>
              </w:rPr>
              <w:t>ené Blijlevens</w:t>
            </w:r>
            <w:r>
              <w:rPr>
                <w:bCs/>
              </w:rPr>
              <w:t>, M</w:t>
            </w:r>
            <w:r w:rsidRPr="00593911">
              <w:rPr>
                <w:bCs/>
              </w:rPr>
              <w:t>ira-</w:t>
            </w:r>
            <w:r>
              <w:rPr>
                <w:bCs/>
              </w:rPr>
              <w:t>M</w:t>
            </w:r>
            <w:r w:rsidRPr="00593911">
              <w:rPr>
                <w:bCs/>
              </w:rPr>
              <w:t>aria Danisman</w:t>
            </w:r>
            <w:r>
              <w:rPr>
                <w:bCs/>
              </w:rPr>
              <w:t>, M</w:t>
            </w:r>
            <w:r w:rsidRPr="00593911">
              <w:rPr>
                <w:bCs/>
              </w:rPr>
              <w:t>arie-</w:t>
            </w:r>
            <w:r>
              <w:rPr>
                <w:bCs/>
              </w:rPr>
              <w:t>P</w:t>
            </w:r>
            <w:r w:rsidRPr="00593911">
              <w:rPr>
                <w:bCs/>
              </w:rPr>
              <w:t>ierre Le breton</w:t>
            </w:r>
            <w:r>
              <w:rPr>
                <w:bCs/>
              </w:rPr>
              <w:t>, M</w:t>
            </w:r>
            <w:r w:rsidRPr="00593911">
              <w:rPr>
                <w:bCs/>
              </w:rPr>
              <w:t>ariya Mincheva</w:t>
            </w:r>
            <w:r>
              <w:rPr>
                <w:bCs/>
              </w:rPr>
              <w:t xml:space="preserve">, </w:t>
            </w:r>
            <w:r w:rsidRPr="00593911">
              <w:rPr>
                <w:bCs/>
              </w:rPr>
              <w:t>Jean-Michel Pottier</w:t>
            </w:r>
            <w:r>
              <w:rPr>
                <w:bCs/>
              </w:rPr>
              <w:t xml:space="preserve">, </w:t>
            </w:r>
            <w:r w:rsidRPr="00593911">
              <w:rPr>
                <w:bCs/>
              </w:rPr>
              <w:t>Christa Schweng</w:t>
            </w:r>
            <w:r>
              <w:rPr>
                <w:bCs/>
              </w:rPr>
              <w:t>, Isabel</w:t>
            </w:r>
            <w:r w:rsidRPr="00593911">
              <w:rPr>
                <w:bCs/>
              </w:rPr>
              <w:t xml:space="preserve"> Yglesias</w:t>
            </w:r>
            <w:r>
              <w:rPr>
                <w:bCs/>
              </w:rPr>
              <w:t>)</w:t>
            </w:r>
          </w:p>
          <w:p w:rsidR="00593911" w:rsidRDefault="00593911" w14:paraId="5DFB5877" w14:textId="77777777">
            <w:pPr>
              <w:rPr>
                <w:b/>
                <w:bCs/>
              </w:rPr>
            </w:pPr>
          </w:p>
          <w:p w:rsidR="00593911" w:rsidRDefault="00593911" w14:paraId="0E7DB216" w14:textId="77777777">
            <w:pPr>
              <w:rPr>
                <w:b/>
                <w:bCs/>
              </w:rPr>
            </w:pPr>
            <w:r>
              <w:rPr>
                <w:b/>
                <w:bCs/>
              </w:rPr>
              <w:t>Point 1.10</w:t>
            </w:r>
          </w:p>
          <w:p w:rsidR="00593911" w:rsidRDefault="00593911" w14:paraId="0725BC34" w14:textId="77777777">
            <w:pPr>
              <w:rPr>
                <w:b/>
                <w:bCs/>
              </w:rPr>
            </w:pPr>
          </w:p>
          <w:p w:rsidR="00593911" w:rsidRDefault="00593911" w14:paraId="4DB1D1EF" w14:textId="77777777">
            <w:pPr>
              <w:rPr>
                <w:b/>
                <w:bCs/>
              </w:rPr>
            </w:pPr>
            <w:r>
              <w:rPr>
                <w:b/>
                <w:bCs/>
              </w:rPr>
              <w:t>Amend as follows</w:t>
            </w:r>
          </w:p>
        </w:tc>
        <w:tc>
          <w:tcPr>
            <w:tcW w:w="1532" w:type="pct"/>
            <w:hideMark/>
          </w:tcPr>
          <w:p w:rsidR="00593911" w:rsidRDefault="00593911" w14:paraId="39CF9CC2" w14:textId="77777777">
            <w:pPr>
              <w:rPr>
                <w:b/>
                <w:bCs/>
              </w:rPr>
            </w:pPr>
          </w:p>
        </w:tc>
      </w:tr>
    </w:tbl>
    <w:p w:rsidR="00593911" w:rsidP="00593911" w:rsidRDefault="00593911" w14:paraId="415543EA"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593911" w:rsidTr="00593911" w14:paraId="3EE864EB"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F1B4FC8" w14:textId="77777777">
            <w:pPr>
              <w:jc w:val="center"/>
              <w:rPr>
                <w:b/>
                <w:bCs/>
                <w:i/>
                <w:sz w:val="20"/>
                <w:szCs w:val="20"/>
              </w:rPr>
            </w:pPr>
            <w:r>
              <w:rPr>
                <w:b/>
                <w:bCs/>
                <w:i/>
                <w:sz w:val="20"/>
                <w:szCs w:val="20"/>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55D09B73" w14:textId="77777777">
            <w:pPr>
              <w:jc w:val="center"/>
              <w:rPr>
                <w:b/>
                <w:bCs/>
                <w:i/>
                <w:sz w:val="20"/>
                <w:szCs w:val="20"/>
              </w:rPr>
            </w:pPr>
            <w:r>
              <w:rPr>
                <w:b/>
                <w:bCs/>
                <w:i/>
                <w:sz w:val="20"/>
                <w:szCs w:val="20"/>
              </w:rPr>
              <w:t>Amendment</w:t>
            </w:r>
          </w:p>
        </w:tc>
      </w:tr>
      <w:tr w:rsidR="00593911" w:rsidTr="00593911" w14:paraId="49D04309"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474528D" w14:textId="77777777">
            <w:pPr>
              <w:spacing w:before="120" w:after="40"/>
              <w:ind w:left="120" w:right="120"/>
              <w:rPr>
                <w:sz w:val="20"/>
                <w:szCs w:val="20"/>
              </w:rPr>
            </w:pPr>
            <w:r>
              <w:rPr>
                <w:sz w:val="20"/>
                <w:szCs w:val="20"/>
              </w:rPr>
              <w:t xml:space="preserve">The EESC encourages the </w:t>
            </w:r>
            <w:r>
              <w:rPr>
                <w:b/>
                <w:bCs/>
                <w:i/>
                <w:sz w:val="20"/>
                <w:szCs w:val="20"/>
              </w:rPr>
              <w:t>EU institutions,</w:t>
            </w:r>
            <w:r>
              <w:rPr>
                <w:sz w:val="20"/>
                <w:szCs w:val="20"/>
              </w:rPr>
              <w:t xml:space="preserve"> national governments and social partners to </w:t>
            </w:r>
            <w:r>
              <w:rPr>
                <w:b/>
                <w:bCs/>
                <w:i/>
                <w:sz w:val="20"/>
                <w:szCs w:val="20"/>
              </w:rPr>
              <w:t>accelerate the recognition of digital disconnection as a</w:t>
            </w:r>
            <w:r>
              <w:rPr>
                <w:sz w:val="20"/>
                <w:szCs w:val="20"/>
              </w:rPr>
              <w:t xml:space="preserve"> right </w:t>
            </w:r>
            <w:r>
              <w:rPr>
                <w:b/>
                <w:bCs/>
                <w:i/>
                <w:sz w:val="20"/>
                <w:szCs w:val="20"/>
              </w:rPr>
              <w:t>for all EU workers. According</w:t>
            </w:r>
            <w:r>
              <w:rPr>
                <w:sz w:val="20"/>
                <w:szCs w:val="20"/>
              </w:rPr>
              <w:t xml:space="preserve"> to case </w:t>
            </w:r>
            <w:r>
              <w:rPr>
                <w:b/>
                <w:bCs/>
                <w:i/>
                <w:sz w:val="20"/>
                <w:szCs w:val="20"/>
              </w:rPr>
              <w:t>law of the Court</w:t>
            </w:r>
            <w:r>
              <w:rPr>
                <w:sz w:val="20"/>
                <w:szCs w:val="20"/>
              </w:rPr>
              <w:t xml:space="preserve"> of </w:t>
            </w:r>
            <w:r>
              <w:rPr>
                <w:b/>
                <w:bCs/>
                <w:i/>
                <w:sz w:val="20"/>
                <w:szCs w:val="20"/>
              </w:rPr>
              <w:t>Justice</w:t>
            </w:r>
            <w:r>
              <w:rPr>
                <w:sz w:val="20"/>
                <w:szCs w:val="20"/>
              </w:rPr>
              <w:t xml:space="preserve"> of </w:t>
            </w:r>
            <w:r>
              <w:rPr>
                <w:b/>
                <w:bCs/>
                <w:i/>
                <w:sz w:val="20"/>
                <w:szCs w:val="20"/>
              </w:rPr>
              <w:t>the European Union of 19 December 2024, C-531/23, Loredas[1])</w:t>
            </w:r>
            <w:r>
              <w:rPr>
                <w:sz w:val="20"/>
                <w:szCs w:val="20"/>
              </w:rPr>
              <w:t>,</w:t>
            </w:r>
            <w:r>
              <w:rPr>
                <w:b/>
                <w:bCs/>
                <w:i/>
                <w:sz w:val="20"/>
                <w:szCs w:val="20"/>
              </w:rPr>
              <w:t xml:space="preserve"> digital disconnection policies</w:t>
            </w:r>
            <w:r>
              <w:rPr>
                <w:sz w:val="20"/>
                <w:szCs w:val="20"/>
              </w:rPr>
              <w:t xml:space="preserve"> and time </w:t>
            </w:r>
            <w:r>
              <w:rPr>
                <w:b/>
                <w:bCs/>
                <w:i/>
                <w:sz w:val="20"/>
                <w:szCs w:val="20"/>
              </w:rPr>
              <w:t>recording systems in organisations are essential safeguards</w:t>
            </w:r>
            <w:r>
              <w:rPr>
                <w:sz w:val="20"/>
                <w:szCs w:val="20"/>
              </w:rPr>
              <w:t xml:space="preserve"> to </w:t>
            </w:r>
            <w:r>
              <w:rPr>
                <w:b/>
                <w:bCs/>
                <w:i/>
                <w:sz w:val="20"/>
                <w:szCs w:val="20"/>
              </w:rPr>
              <w:t>ensure</w:t>
            </w:r>
            <w:r>
              <w:rPr>
                <w:sz w:val="20"/>
                <w:szCs w:val="20"/>
              </w:rPr>
              <w:t xml:space="preserve"> the </w:t>
            </w:r>
            <w:r>
              <w:rPr>
                <w:b/>
                <w:bCs/>
                <w:i/>
                <w:sz w:val="20"/>
                <w:szCs w:val="20"/>
              </w:rPr>
              <w:t>effectiveness</w:t>
            </w:r>
            <w:r>
              <w:rPr>
                <w:sz w:val="20"/>
                <w:szCs w:val="20"/>
              </w:rPr>
              <w:t xml:space="preserve"> of </w:t>
            </w:r>
            <w:r>
              <w:rPr>
                <w:b/>
                <w:bCs/>
                <w:i/>
                <w:sz w:val="20"/>
                <w:szCs w:val="20"/>
              </w:rPr>
              <w:t>working</w:t>
            </w:r>
            <w:r>
              <w:rPr>
                <w:sz w:val="20"/>
                <w:szCs w:val="20"/>
              </w:rPr>
              <w:t xml:space="preserve">- </w:t>
            </w:r>
            <w:r>
              <w:rPr>
                <w:b/>
                <w:bCs/>
                <w:i/>
                <w:sz w:val="20"/>
                <w:szCs w:val="20"/>
              </w:rPr>
              <w:t>time rules, including, where appropriate, rules on the reduction</w:t>
            </w:r>
            <w:r>
              <w:rPr>
                <w:sz w:val="20"/>
                <w:szCs w:val="20"/>
              </w:rPr>
              <w:t xml:space="preserve"> of </w:t>
            </w:r>
            <w:r>
              <w:rPr>
                <w:b/>
                <w:bCs/>
                <w:i/>
                <w:sz w:val="20"/>
                <w:szCs w:val="20"/>
              </w:rPr>
              <w:t>working time.</w:t>
            </w:r>
          </w:p>
          <w:p w:rsidR="00593911" w:rsidRDefault="00593911" w14:paraId="2D8FDA7E" w14:textId="77777777">
            <w:pPr>
              <w:spacing w:before="40" w:after="40"/>
              <w:ind w:left="120" w:right="120"/>
              <w:rPr>
                <w:b/>
                <w:bCs/>
                <w:i/>
                <w:sz w:val="20"/>
                <w:szCs w:val="20"/>
              </w:rPr>
            </w:pPr>
            <w:r>
              <w:rPr>
                <w:b/>
                <w:bCs/>
                <w:i/>
                <w:sz w:val="20"/>
                <w:szCs w:val="20"/>
              </w:rPr>
              <w:t>[1] See link</w:t>
            </w:r>
            <w:r>
              <w:rPr>
                <w:sz w:val="20"/>
                <w:szCs w:val="20"/>
              </w:rPr>
              <w:t>.</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02BDE393" w14:textId="77777777">
            <w:pPr>
              <w:spacing w:before="80" w:after="80"/>
              <w:ind w:left="80" w:right="80"/>
              <w:rPr>
                <w:sz w:val="20"/>
                <w:szCs w:val="20"/>
              </w:rPr>
            </w:pPr>
            <w:r>
              <w:rPr>
                <w:sz w:val="20"/>
                <w:szCs w:val="20"/>
              </w:rPr>
              <w:t>The EESC encourages the national governments and social partners</w:t>
            </w:r>
            <w:r>
              <w:rPr>
                <w:b/>
                <w:bCs/>
                <w:i/>
                <w:iCs/>
                <w:sz w:val="20"/>
                <w:szCs w:val="20"/>
              </w:rPr>
              <w:t>,</w:t>
            </w:r>
            <w:r>
              <w:rPr>
                <w:sz w:val="20"/>
                <w:szCs w:val="20"/>
              </w:rPr>
              <w:t xml:space="preserve"> </w:t>
            </w:r>
            <w:r>
              <w:rPr>
                <w:b/>
                <w:bCs/>
                <w:i/>
                <w:sz w:val="20"/>
                <w:szCs w:val="20"/>
              </w:rPr>
              <w:t>especially at company level,</w:t>
            </w:r>
            <w:r>
              <w:rPr>
                <w:sz w:val="20"/>
                <w:szCs w:val="20"/>
              </w:rPr>
              <w:t xml:space="preserve"> to </w:t>
            </w:r>
            <w:r>
              <w:rPr>
                <w:b/>
                <w:bCs/>
                <w:i/>
                <w:sz w:val="20"/>
                <w:szCs w:val="20"/>
              </w:rPr>
              <w:t xml:space="preserve">continue discussions on how to promote the </w:t>
            </w:r>
            <w:r>
              <w:rPr>
                <w:sz w:val="20"/>
                <w:szCs w:val="20"/>
              </w:rPr>
              <w:t xml:space="preserve">right to </w:t>
            </w:r>
            <w:r>
              <w:rPr>
                <w:b/>
                <w:bCs/>
                <w:i/>
                <w:sz w:val="20"/>
                <w:szCs w:val="20"/>
              </w:rPr>
              <w:t>disconnect, which, in</w:t>
            </w:r>
            <w:r>
              <w:rPr>
                <w:sz w:val="20"/>
                <w:szCs w:val="20"/>
              </w:rPr>
              <w:t xml:space="preserve"> </w:t>
            </w:r>
            <w:r>
              <w:rPr>
                <w:b/>
                <w:bCs/>
                <w:i/>
                <w:iCs/>
                <w:sz w:val="20"/>
                <w:szCs w:val="20"/>
              </w:rPr>
              <w:t>the</w:t>
            </w:r>
            <w:r>
              <w:rPr>
                <w:sz w:val="20"/>
                <w:szCs w:val="20"/>
              </w:rPr>
              <w:t xml:space="preserve"> case of </w:t>
            </w:r>
            <w:r>
              <w:rPr>
                <w:b/>
                <w:bCs/>
                <w:i/>
                <w:sz w:val="20"/>
                <w:szCs w:val="20"/>
              </w:rPr>
              <w:t>some types</w:t>
            </w:r>
            <w:r>
              <w:rPr>
                <w:sz w:val="20"/>
                <w:szCs w:val="20"/>
              </w:rPr>
              <w:t xml:space="preserve"> of </w:t>
            </w:r>
            <w:r>
              <w:rPr>
                <w:b/>
                <w:bCs/>
                <w:i/>
                <w:sz w:val="20"/>
                <w:szCs w:val="20"/>
              </w:rPr>
              <w:t>jobs</w:t>
            </w:r>
            <w:r>
              <w:rPr>
                <w:sz w:val="20"/>
                <w:szCs w:val="20"/>
              </w:rPr>
              <w:t>,</w:t>
            </w:r>
            <w:r>
              <w:rPr>
                <w:b/>
                <w:bCs/>
                <w:i/>
                <w:sz w:val="20"/>
                <w:szCs w:val="20"/>
              </w:rPr>
              <w:t xml:space="preserve"> can help to better manage working time both for workers</w:t>
            </w:r>
            <w:r>
              <w:rPr>
                <w:sz w:val="20"/>
                <w:szCs w:val="20"/>
              </w:rPr>
              <w:t xml:space="preserve"> and </w:t>
            </w:r>
            <w:r>
              <w:rPr>
                <w:b/>
                <w:bCs/>
                <w:i/>
                <w:sz w:val="20"/>
                <w:szCs w:val="20"/>
              </w:rPr>
              <w:t>employers. At the same</w:t>
            </w:r>
            <w:r>
              <w:rPr>
                <w:sz w:val="20"/>
                <w:szCs w:val="20"/>
              </w:rPr>
              <w:t xml:space="preserve"> time</w:t>
            </w:r>
            <w:r>
              <w:rPr>
                <w:b/>
                <w:bCs/>
                <w:i/>
                <w:iCs/>
                <w:sz w:val="20"/>
                <w:szCs w:val="20"/>
              </w:rPr>
              <w:t>,</w:t>
            </w:r>
            <w:r>
              <w:rPr>
                <w:sz w:val="20"/>
                <w:szCs w:val="20"/>
              </w:rPr>
              <w:t xml:space="preserve"> </w:t>
            </w:r>
            <w:r>
              <w:rPr>
                <w:b/>
                <w:bCs/>
                <w:i/>
                <w:sz w:val="20"/>
                <w:szCs w:val="20"/>
              </w:rPr>
              <w:t>the EESC acknowledges that the right</w:t>
            </w:r>
            <w:r>
              <w:rPr>
                <w:sz w:val="20"/>
                <w:szCs w:val="20"/>
              </w:rPr>
              <w:t xml:space="preserve"> to </w:t>
            </w:r>
            <w:r>
              <w:rPr>
                <w:b/>
                <w:bCs/>
                <w:i/>
                <w:sz w:val="20"/>
                <w:szCs w:val="20"/>
              </w:rPr>
              <w:t>disconnect will not solve</w:t>
            </w:r>
            <w:r>
              <w:rPr>
                <w:sz w:val="20"/>
                <w:szCs w:val="20"/>
              </w:rPr>
              <w:t xml:space="preserve"> the </w:t>
            </w:r>
            <w:r>
              <w:rPr>
                <w:b/>
                <w:bCs/>
                <w:i/>
                <w:sz w:val="20"/>
                <w:szCs w:val="20"/>
              </w:rPr>
              <w:t>challenge</w:t>
            </w:r>
            <w:r>
              <w:rPr>
                <w:sz w:val="20"/>
                <w:szCs w:val="20"/>
              </w:rPr>
              <w:t xml:space="preserve"> of </w:t>
            </w:r>
            <w:r>
              <w:rPr>
                <w:b/>
                <w:bCs/>
                <w:i/>
                <w:sz w:val="20"/>
                <w:szCs w:val="20"/>
              </w:rPr>
              <w:t>over</w:t>
            </w:r>
            <w:r>
              <w:rPr>
                <w:sz w:val="20"/>
                <w:szCs w:val="20"/>
              </w:rPr>
              <w:t>-</w:t>
            </w:r>
            <w:r>
              <w:rPr>
                <w:b/>
                <w:bCs/>
                <w:i/>
                <w:sz w:val="20"/>
                <w:szCs w:val="20"/>
              </w:rPr>
              <w:t>use</w:t>
            </w:r>
            <w:r>
              <w:rPr>
                <w:sz w:val="20"/>
                <w:szCs w:val="20"/>
              </w:rPr>
              <w:t xml:space="preserve"> of </w:t>
            </w:r>
            <w:r>
              <w:rPr>
                <w:b/>
                <w:bCs/>
                <w:i/>
                <w:sz w:val="20"/>
                <w:szCs w:val="20"/>
              </w:rPr>
              <w:t>digital tools for private purposes</w:t>
            </w:r>
            <w:r>
              <w:rPr>
                <w:sz w:val="20"/>
                <w:szCs w:val="20"/>
              </w:rPr>
              <w:t>.</w:t>
            </w:r>
          </w:p>
        </w:tc>
      </w:tr>
    </w:tbl>
    <w:p w:rsidR="001C4789" w:rsidP="00593911" w:rsidRDefault="001C4789" w14:paraId="4226114C" w14:textId="77777777">
      <w:pPr>
        <w:jc w:val="center"/>
      </w:pPr>
    </w:p>
    <w:p w:rsidR="00593911" w:rsidP="001C4789" w:rsidRDefault="001C4789" w14:paraId="55A898CC" w14:textId="315BCF1A">
      <w:pPr>
        <w:jc w:val="left"/>
      </w:pPr>
      <w:r>
        <w:t>The amendment was rejected by 126 votes to 90, with four abstentions.</w:t>
      </w:r>
    </w:p>
    <w:p w:rsidR="00593911" w:rsidP="00593911" w:rsidRDefault="00593911" w14:paraId="1A7FC855" w14:textId="77777777">
      <w:pPr>
        <w:rPr>
          <w:b/>
          <w:bCs/>
        </w:rPr>
      </w:pPr>
    </w:p>
    <w:tbl>
      <w:tblPr>
        <w:tblW w:w="7096" w:type="pct"/>
        <w:tblBorders>
          <w:insideH w:val="nil"/>
          <w:insideV w:val="nil"/>
        </w:tblBorders>
        <w:tblLook w:val="01E0" w:firstRow="1" w:lastRow="1" w:firstColumn="1" w:lastColumn="1" w:noHBand="0" w:noVBand="0"/>
      </w:tblPr>
      <w:tblGrid>
        <w:gridCol w:w="8931"/>
        <w:gridCol w:w="3945"/>
      </w:tblGrid>
      <w:tr w:rsidR="00593911" w:rsidTr="001C4789" w14:paraId="44EC1761" w14:textId="77777777">
        <w:tc>
          <w:tcPr>
            <w:tcW w:w="3468" w:type="pct"/>
          </w:tcPr>
          <w:p w:rsidR="00B14E27" w:rsidRDefault="00B14E27" w14:paraId="7840D9B7" w14:textId="77777777">
            <w:pPr>
              <w:rPr>
                <w:b/>
                <w:bCs/>
              </w:rPr>
            </w:pPr>
          </w:p>
          <w:p w:rsidRPr="001C4789" w:rsidR="00593911" w:rsidRDefault="001C4789" w14:paraId="33351BCD" w14:textId="605000F0">
            <w:pPr>
              <w:rPr>
                <w:b/>
                <w:bCs/>
              </w:rPr>
            </w:pPr>
            <w:r w:rsidRPr="001C4789">
              <w:rPr>
                <w:b/>
                <w:bCs/>
              </w:rPr>
              <w:t>Amendment 6</w:t>
            </w:r>
            <w:r>
              <w:rPr>
                <w:b/>
                <w:bCs/>
              </w:rPr>
              <w:t xml:space="preserve"> </w:t>
            </w:r>
            <w:r>
              <w:rPr>
                <w:bCs/>
              </w:rPr>
              <w:t>(tabled by C</w:t>
            </w:r>
            <w:r w:rsidRPr="00593911">
              <w:rPr>
                <w:bCs/>
              </w:rPr>
              <w:t>hristian</w:t>
            </w:r>
            <w:r>
              <w:rPr>
                <w:bCs/>
              </w:rPr>
              <w:t xml:space="preserve"> A</w:t>
            </w:r>
            <w:r w:rsidRPr="00593911">
              <w:rPr>
                <w:bCs/>
              </w:rPr>
              <w:t>rdhe</w:t>
            </w:r>
            <w:r>
              <w:rPr>
                <w:bCs/>
              </w:rPr>
              <w:t>, R</w:t>
            </w:r>
            <w:r w:rsidRPr="00593911">
              <w:rPr>
                <w:bCs/>
              </w:rPr>
              <w:t>ené Blijlevens</w:t>
            </w:r>
            <w:r>
              <w:rPr>
                <w:bCs/>
              </w:rPr>
              <w:t>, M</w:t>
            </w:r>
            <w:r w:rsidRPr="00593911">
              <w:rPr>
                <w:bCs/>
              </w:rPr>
              <w:t>ira-</w:t>
            </w:r>
            <w:r>
              <w:rPr>
                <w:bCs/>
              </w:rPr>
              <w:t>M</w:t>
            </w:r>
            <w:r w:rsidRPr="00593911">
              <w:rPr>
                <w:bCs/>
              </w:rPr>
              <w:t>aria Danisman</w:t>
            </w:r>
            <w:r>
              <w:rPr>
                <w:bCs/>
              </w:rPr>
              <w:t>, M</w:t>
            </w:r>
            <w:r w:rsidRPr="00593911">
              <w:rPr>
                <w:bCs/>
              </w:rPr>
              <w:t>arie-</w:t>
            </w:r>
            <w:r>
              <w:rPr>
                <w:bCs/>
              </w:rPr>
              <w:t>P</w:t>
            </w:r>
            <w:r w:rsidRPr="00593911">
              <w:rPr>
                <w:bCs/>
              </w:rPr>
              <w:t>ierre Le breton</w:t>
            </w:r>
            <w:r>
              <w:rPr>
                <w:bCs/>
              </w:rPr>
              <w:t>, M</w:t>
            </w:r>
            <w:r w:rsidRPr="00593911">
              <w:rPr>
                <w:bCs/>
              </w:rPr>
              <w:t>ariya Mincheva</w:t>
            </w:r>
            <w:r>
              <w:rPr>
                <w:bCs/>
              </w:rPr>
              <w:t xml:space="preserve">, </w:t>
            </w:r>
            <w:r w:rsidRPr="00593911">
              <w:rPr>
                <w:bCs/>
              </w:rPr>
              <w:t>Jean-Michel Pottier</w:t>
            </w:r>
            <w:r>
              <w:rPr>
                <w:bCs/>
              </w:rPr>
              <w:t xml:space="preserve">, </w:t>
            </w:r>
            <w:r w:rsidRPr="00593911">
              <w:rPr>
                <w:bCs/>
              </w:rPr>
              <w:t>Christa Schweng</w:t>
            </w:r>
            <w:r>
              <w:rPr>
                <w:bCs/>
              </w:rPr>
              <w:t>, Isabel</w:t>
            </w:r>
            <w:r w:rsidRPr="00593911">
              <w:rPr>
                <w:bCs/>
              </w:rPr>
              <w:t xml:space="preserve"> Yglesias</w:t>
            </w:r>
            <w:r>
              <w:rPr>
                <w:bCs/>
              </w:rPr>
              <w:t>)</w:t>
            </w:r>
          </w:p>
          <w:p w:rsidR="001C4789" w:rsidRDefault="001C4789" w14:paraId="7BD82593" w14:textId="77777777">
            <w:pPr>
              <w:rPr>
                <w:b/>
                <w:bCs/>
              </w:rPr>
            </w:pPr>
          </w:p>
          <w:p w:rsidR="00593911" w:rsidRDefault="00593911" w14:paraId="3D4080F7" w14:textId="3E4F1B53">
            <w:pPr>
              <w:rPr>
                <w:b/>
                <w:bCs/>
              </w:rPr>
            </w:pPr>
            <w:r>
              <w:rPr>
                <w:b/>
                <w:bCs/>
              </w:rPr>
              <w:t>Annex I</w:t>
            </w:r>
          </w:p>
          <w:p w:rsidR="00593911" w:rsidRDefault="00593911" w14:paraId="6EA06669" w14:textId="77777777">
            <w:pPr>
              <w:rPr>
                <w:b/>
                <w:bCs/>
              </w:rPr>
            </w:pPr>
          </w:p>
          <w:p w:rsidR="00593911" w:rsidRDefault="00593911" w14:paraId="1A85AC74" w14:textId="77777777">
            <w:pPr>
              <w:rPr>
                <w:b/>
                <w:bCs/>
              </w:rPr>
            </w:pPr>
            <w:r>
              <w:rPr>
                <w:b/>
                <w:bCs/>
              </w:rPr>
              <w:t>Delete the whole of annex I</w:t>
            </w:r>
          </w:p>
        </w:tc>
        <w:tc>
          <w:tcPr>
            <w:tcW w:w="1532" w:type="pct"/>
            <w:hideMark/>
          </w:tcPr>
          <w:p w:rsidR="00593911" w:rsidRDefault="00593911" w14:paraId="15359D9C" w14:textId="77777777">
            <w:pPr>
              <w:rPr>
                <w:b/>
                <w:bCs/>
              </w:rPr>
            </w:pPr>
          </w:p>
        </w:tc>
      </w:tr>
    </w:tbl>
    <w:p w:rsidR="00593911" w:rsidP="00593911" w:rsidRDefault="00593911" w14:paraId="3049B670" w14:textId="77777777">
      <w:pPr>
        <w:jc w:val="center"/>
      </w:pPr>
    </w:p>
    <w:tbl>
      <w:tblPr>
        <w:tblStyle w:val="TableGrid1"/>
        <w:tblW w:w="5000" w:type="pct"/>
        <w:tblInd w:w="0" w:type="dxa"/>
        <w:tblCellMar>
          <w:left w:w="115" w:type="dxa"/>
          <w:right w:w="115" w:type="dxa"/>
        </w:tblCellMar>
        <w:tblLook w:val="01E0" w:firstRow="1" w:lastRow="1" w:firstColumn="1" w:lastColumn="1" w:noHBand="0" w:noVBand="0"/>
      </w:tblPr>
      <w:tblGrid>
        <w:gridCol w:w="4531"/>
        <w:gridCol w:w="4532"/>
      </w:tblGrid>
      <w:tr w:rsidR="00593911" w:rsidTr="00593911" w14:paraId="2E319D4F"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16E8A422" w14:textId="77777777">
            <w:pPr>
              <w:jc w:val="center"/>
              <w:rPr>
                <w:b/>
                <w:bCs/>
                <w:i/>
                <w:sz w:val="20"/>
                <w:szCs w:val="20"/>
              </w:rPr>
            </w:pPr>
            <w:r>
              <w:rPr>
                <w:b/>
                <w:bCs/>
                <w:i/>
                <w:sz w:val="20"/>
                <w:szCs w:val="20"/>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75ED5DBA" w14:textId="77777777">
            <w:pPr>
              <w:jc w:val="center"/>
              <w:rPr>
                <w:b/>
                <w:bCs/>
                <w:i/>
                <w:sz w:val="20"/>
                <w:szCs w:val="20"/>
              </w:rPr>
            </w:pPr>
            <w:r>
              <w:rPr>
                <w:b/>
                <w:bCs/>
                <w:i/>
                <w:sz w:val="20"/>
                <w:szCs w:val="20"/>
              </w:rPr>
              <w:t>Amendment</w:t>
            </w:r>
          </w:p>
        </w:tc>
      </w:tr>
      <w:tr w:rsidR="00593911" w:rsidTr="00593911" w14:paraId="5DFE4E5C" w14:textId="77777777">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406CB98A" w14:textId="77777777">
            <w:pPr>
              <w:spacing w:before="80" w:after="40"/>
              <w:ind w:left="80" w:right="80"/>
              <w:rPr>
                <w:b/>
                <w:bCs/>
                <w:i/>
                <w:sz w:val="20"/>
                <w:szCs w:val="20"/>
                <w:u w:val="single"/>
              </w:rPr>
            </w:pPr>
            <w:r>
              <w:rPr>
                <w:b/>
                <w:bCs/>
                <w:i/>
                <w:sz w:val="20"/>
                <w:szCs w:val="20"/>
              </w:rPr>
              <w:t xml:space="preserve">ANNEX I: </w:t>
            </w:r>
            <w:r>
              <w:rPr>
                <w:b/>
                <w:bCs/>
                <w:i/>
                <w:sz w:val="20"/>
                <w:szCs w:val="20"/>
                <w:u w:val="single"/>
              </w:rPr>
              <w:t>PILOT PROJECTS FOR THE REDUCTION OF WORKING TIME: STATE OF PLAY</w:t>
            </w:r>
          </w:p>
          <w:p w:rsidR="00593911" w:rsidRDefault="00593911" w14:paraId="2616B4CE" w14:textId="77777777">
            <w:pPr>
              <w:spacing w:before="40" w:after="40"/>
              <w:ind w:left="80" w:right="80"/>
              <w:rPr>
                <w:b/>
                <w:bCs/>
                <w:i/>
                <w:sz w:val="20"/>
                <w:szCs w:val="20"/>
              </w:rPr>
            </w:pPr>
            <w:r>
              <w:rPr>
                <w:b/>
                <w:bCs/>
                <w:i/>
                <w:sz w:val="20"/>
                <w:szCs w:val="20"/>
              </w:rPr>
              <w:t>[...]</w:t>
            </w:r>
          </w:p>
          <w:p w:rsidR="00593911" w:rsidRDefault="00593911" w14:paraId="50231C3A" w14:textId="77777777">
            <w:pPr>
              <w:spacing w:before="40" w:after="80"/>
              <w:ind w:left="80" w:right="80"/>
              <w:rPr>
                <w:b/>
                <w:bCs/>
                <w:i/>
                <w:sz w:val="20"/>
                <w:szCs w:val="20"/>
              </w:rPr>
            </w:pPr>
            <w:r>
              <w:rPr>
                <w:b/>
                <w:bCs/>
                <w:i/>
                <w:sz w:val="20"/>
                <w:szCs w:val="20"/>
              </w:rPr>
              <w:t>This initiative reflects Lithuania’s commitment to advance progressive labour policies adapted to the needs of today’s society.</w:t>
            </w:r>
          </w:p>
        </w:tc>
        <w:tc>
          <w:tcPr>
            <w:tcW w:w="2500" w:type="pct"/>
            <w:tcBorders>
              <w:top w:val="single" w:color="auto" w:sz="4" w:space="0"/>
              <w:left w:val="single" w:color="auto" w:sz="4" w:space="0"/>
              <w:bottom w:val="single" w:color="auto" w:sz="4" w:space="0"/>
              <w:right w:val="single" w:color="auto" w:sz="4" w:space="0"/>
            </w:tcBorders>
            <w:hideMark/>
          </w:tcPr>
          <w:p w:rsidR="00593911" w:rsidRDefault="00593911" w14:paraId="6DFEAB4B" w14:textId="77777777">
            <w:pPr>
              <w:rPr>
                <w:b/>
                <w:bCs/>
                <w:i/>
                <w:sz w:val="20"/>
                <w:szCs w:val="20"/>
              </w:rPr>
            </w:pPr>
          </w:p>
        </w:tc>
      </w:tr>
    </w:tbl>
    <w:p w:rsidR="00593911" w:rsidP="00593911" w:rsidRDefault="00593911" w14:paraId="001111D7" w14:textId="77777777">
      <w:pPr>
        <w:jc w:val="center"/>
      </w:pPr>
    </w:p>
    <w:tbl>
      <w:tblPr>
        <w:tblStyle w:val="TableGrid"/>
        <w:tblW w:w="5000" w:type="pct"/>
        <w:tblInd w:w="0" w:type="dxa"/>
        <w:tblLook w:val="01E0" w:firstRow="1" w:lastRow="1" w:firstColumn="1" w:lastColumn="1" w:noHBand="0" w:noVBand="0"/>
      </w:tblPr>
      <w:tblGrid>
        <w:gridCol w:w="9063"/>
      </w:tblGrid>
      <w:tr w:rsidR="00593911" w:rsidTr="00593911" w14:paraId="7D63659D" w14:textId="77777777">
        <w:tc>
          <w:tcPr>
            <w:tcW w:w="5000" w:type="pct"/>
            <w:tcBorders>
              <w:top w:val="single" w:color="auto" w:sz="4" w:space="0"/>
              <w:left w:val="single" w:color="auto" w:sz="4" w:space="0"/>
              <w:bottom w:val="single" w:color="auto" w:sz="4" w:space="0"/>
              <w:right w:val="single" w:color="auto" w:sz="4" w:space="0"/>
            </w:tcBorders>
            <w:hideMark/>
          </w:tcPr>
          <w:p w:rsidR="00593911" w:rsidRDefault="00593911" w14:paraId="29E62698" w14:textId="77777777">
            <w:pPr>
              <w:jc w:val="center"/>
            </w:pPr>
            <w:r>
              <w:rPr>
                <w:b/>
                <w:bCs/>
              </w:rPr>
              <w:t>Reason</w:t>
            </w:r>
          </w:p>
        </w:tc>
      </w:tr>
      <w:tr w:rsidRPr="00796D69" w:rsidR="00593911" w:rsidTr="00593911" w14:paraId="7560EAD8" w14:textId="77777777">
        <w:tc>
          <w:tcPr>
            <w:tcW w:w="5000" w:type="pct"/>
            <w:tcBorders>
              <w:top w:val="single" w:color="auto" w:sz="4" w:space="0"/>
              <w:left w:val="single" w:color="auto" w:sz="4" w:space="0"/>
              <w:bottom w:val="single" w:color="auto" w:sz="4" w:space="0"/>
              <w:right w:val="single" w:color="auto" w:sz="4" w:space="0"/>
            </w:tcBorders>
            <w:hideMark/>
          </w:tcPr>
          <w:p w:rsidRPr="00796D69" w:rsidR="00593911" w:rsidRDefault="00593911" w14:paraId="693E420D" w14:textId="77777777">
            <w:pPr>
              <w:rPr>
                <w:rFonts w:ascii="Times New Roman" w:hAnsi="Times New Roman" w:cs="Times New Roman"/>
                <w:sz w:val="20"/>
                <w:szCs w:val="20"/>
              </w:rPr>
            </w:pPr>
            <w:r w:rsidRPr="00796D69">
              <w:rPr>
                <w:rFonts w:ascii="Times New Roman" w:hAnsi="Times New Roman" w:cs="Times New Roman"/>
                <w:sz w:val="20"/>
                <w:szCs w:val="20"/>
              </w:rPr>
              <w:t xml:space="preserve">It is proposed that the entire annex be deleted. </w:t>
            </w:r>
          </w:p>
          <w:p w:rsidRPr="00796D69" w:rsidR="00593911" w:rsidRDefault="00593911" w14:paraId="1478DD0B" w14:textId="77777777">
            <w:pPr>
              <w:rPr>
                <w:rFonts w:ascii="Times New Roman" w:hAnsi="Times New Roman" w:cs="Times New Roman"/>
                <w:sz w:val="20"/>
                <w:szCs w:val="20"/>
              </w:rPr>
            </w:pPr>
            <w:r w:rsidRPr="00796D69">
              <w:rPr>
                <w:rFonts w:ascii="Times New Roman" w:hAnsi="Times New Roman" w:cs="Times New Roman"/>
                <w:sz w:val="20"/>
                <w:szCs w:val="20"/>
              </w:rPr>
              <w:t xml:space="preserve">Firstly, the annex was added to the text after the first study group (without any discussions in the study group on adding such an annex). </w:t>
            </w:r>
          </w:p>
          <w:p w:rsidRPr="00796D69" w:rsidR="00593911" w:rsidRDefault="00593911" w14:paraId="7BC4AD2F" w14:textId="77777777">
            <w:pPr>
              <w:rPr>
                <w:rFonts w:ascii="Times New Roman" w:hAnsi="Times New Roman" w:cs="Times New Roman"/>
                <w:sz w:val="20"/>
                <w:szCs w:val="20"/>
              </w:rPr>
            </w:pPr>
            <w:r w:rsidRPr="00796D69">
              <w:rPr>
                <w:rFonts w:ascii="Times New Roman" w:hAnsi="Times New Roman" w:cs="Times New Roman"/>
                <w:sz w:val="20"/>
                <w:szCs w:val="20"/>
              </w:rPr>
              <w:t xml:space="preserve">The content of the annex was not discussed in the second study group meeting (due to lack of time). </w:t>
            </w:r>
          </w:p>
          <w:p w:rsidRPr="00796D69" w:rsidR="00593911" w:rsidRDefault="00593911" w14:paraId="4334DB23" w14:textId="77777777">
            <w:pPr>
              <w:rPr>
                <w:rFonts w:ascii="Times New Roman" w:hAnsi="Times New Roman" w:cs="Times New Roman"/>
                <w:sz w:val="20"/>
                <w:szCs w:val="20"/>
              </w:rPr>
            </w:pPr>
            <w:r w:rsidRPr="00796D69">
              <w:rPr>
                <w:rFonts w:ascii="Times New Roman" w:hAnsi="Times New Roman" w:cs="Times New Roman"/>
                <w:sz w:val="20"/>
                <w:szCs w:val="20"/>
              </w:rPr>
              <w:t>The written proposals put forward by Group I study group members following the second study group were mostly discarded. The amendments proposed by Group I members in the SOC section meeting were presented and voted on in one go, and therefore there was no in-depth discussion of the content of the annex in the section either.</w:t>
            </w:r>
          </w:p>
          <w:p w:rsidRPr="00796D69" w:rsidR="00593911" w:rsidRDefault="00593911" w14:paraId="5DC79951" w14:textId="77777777">
            <w:pPr>
              <w:rPr>
                <w:rFonts w:ascii="Times New Roman" w:hAnsi="Times New Roman" w:cs="Times New Roman"/>
                <w:sz w:val="20"/>
                <w:szCs w:val="20"/>
              </w:rPr>
            </w:pPr>
            <w:r w:rsidRPr="00796D69">
              <w:rPr>
                <w:rFonts w:ascii="Times New Roman" w:hAnsi="Times New Roman" w:cs="Times New Roman"/>
                <w:sz w:val="20"/>
                <w:szCs w:val="20"/>
              </w:rPr>
              <w:t>Although it was argued at the SOC section meeting that the text of the annex is factual and neutral, the annex in fact includes text that either gives a positive assessment or indicates ‘faults’. For example, in the case of the Belgian reform (that allows workers to work four days while maintaining the same weekly working hours), the annex mentions as one of the challenges the ‘lack of real reduction of hours’.</w:t>
            </w:r>
          </w:p>
          <w:p w:rsidRPr="00796D69" w:rsidR="00593911" w:rsidRDefault="00593911" w14:paraId="4D519CD4" w14:textId="77777777">
            <w:pPr>
              <w:rPr>
                <w:rFonts w:ascii="Times New Roman" w:hAnsi="Times New Roman" w:cs="Times New Roman"/>
                <w:sz w:val="20"/>
                <w:szCs w:val="20"/>
              </w:rPr>
            </w:pPr>
            <w:r w:rsidRPr="00796D69">
              <w:rPr>
                <w:rFonts w:ascii="Times New Roman" w:hAnsi="Times New Roman" w:cs="Times New Roman"/>
                <w:sz w:val="20"/>
                <w:szCs w:val="20"/>
              </w:rPr>
              <w:t xml:space="preserve">All of the section amendments from Group I members, including those aimed purely at making the text more neutral or clarifying the text, or those proposing additional text with the sources indicated (just to mention two examples: the proposed addition from the 4 Day Week Global Website – also referred to by the rapporteur – in the German example, as well as the proposed addition from discussions in the 2023 National Labour Council in France), were rejected by the rapporteur and not adopted in the section vote.  </w:t>
            </w:r>
          </w:p>
          <w:p w:rsidRPr="00796D69" w:rsidR="00593911" w:rsidRDefault="00593911" w14:paraId="4EFA5A24" w14:textId="77777777">
            <w:pPr>
              <w:rPr>
                <w:rFonts w:ascii="Times New Roman" w:hAnsi="Times New Roman" w:cs="Times New Roman"/>
                <w:sz w:val="20"/>
                <w:szCs w:val="20"/>
              </w:rPr>
            </w:pPr>
            <w:r w:rsidRPr="00796D69">
              <w:rPr>
                <w:rFonts w:ascii="Times New Roman" w:hAnsi="Times New Roman" w:cs="Times New Roman"/>
                <w:sz w:val="20"/>
                <w:szCs w:val="20"/>
              </w:rPr>
              <w:t xml:space="preserve">In these circumstances, and especially given that the content of the annex was not discussed in any of the study group meetings, it is proposed that the entire annex be deleted. </w:t>
            </w:r>
          </w:p>
        </w:tc>
      </w:tr>
    </w:tbl>
    <w:p w:rsidR="00593911" w:rsidP="00EC0F0F" w:rsidRDefault="00593911" w14:paraId="7B8510C3" w14:textId="524EABF6"/>
    <w:p w:rsidR="001C4789" w:rsidP="00EC0F0F" w:rsidRDefault="001C4789" w14:paraId="2F27DA1B" w14:textId="1B04F8EA">
      <w:r>
        <w:t>The amendment was rejected by 129 votes to 93, with three abstentions.</w:t>
      </w:r>
    </w:p>
    <w:p w:rsidR="001C4789" w:rsidP="00EC0F0F" w:rsidRDefault="001C4789" w14:paraId="0D3489E6" w14:textId="77777777"/>
    <w:p w:rsidRPr="00A67235" w:rsidR="000E4B6B" w:rsidP="00EC0F0F" w:rsidRDefault="00B14E27" w14:paraId="0133C75D" w14:textId="5DAF8223">
      <w:r>
        <w:t>The opinion was adopted by 146 votes to 89, with four abstentions.</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4"/>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75D4" w14:textId="77777777" w:rsidR="000D6AA3" w:rsidRDefault="000D6AA3">
      <w:r>
        <w:separator/>
      </w:r>
    </w:p>
  </w:endnote>
  <w:endnote w:type="continuationSeparator" w:id="0">
    <w:p w14:paraId="6DA1D292" w14:textId="77777777" w:rsidR="000D6AA3" w:rsidRDefault="000D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6005C8B0" w:rsidR="00964A13" w:rsidRPr="00964A13" w:rsidRDefault="00964A13" w:rsidP="00964A13">
    <w:pPr>
      <w:pStyle w:val="Footer"/>
    </w:pPr>
    <w:r>
      <w:t>EESC-</w:t>
    </w:r>
    <w:r w:rsidR="00630C9B">
      <w:t>2024</w:t>
    </w:r>
    <w:r>
      <w:t>-</w:t>
    </w:r>
    <w:r w:rsidR="00630C9B">
      <w:t>0</w:t>
    </w:r>
    <w:r w:rsidR="00593911">
      <w:t>3947</w:t>
    </w:r>
    <w:r>
      <w:t>-</w:t>
    </w:r>
    <w:r w:rsidR="00630C9B">
      <w:t>00</w:t>
    </w:r>
    <w:r>
      <w:t>-</w:t>
    </w:r>
    <w:r w:rsidR="00630C9B">
      <w:t>00</w:t>
    </w:r>
    <w:r>
      <w:t>-CR-REF (</w:t>
    </w:r>
    <w:r w:rsidR="00630C9B">
      <w:t>EN</w:t>
    </w:r>
    <w:r>
      <w:t xml:space="preserve">) </w:t>
    </w:r>
    <w:r>
      <w:fldChar w:fldCharType="begin"/>
    </w:r>
    <w:r>
      <w:instrText xml:space="preserve"> PAGE  \* Arabic  \* MERGEFORMAT </w:instrText>
    </w:r>
    <w:r>
      <w:fldChar w:fldCharType="separate"/>
    </w:r>
    <w:r w:rsidR="0098333A">
      <w:rPr>
        <w:noProof/>
      </w:rPr>
      <w:t>1</w:t>
    </w:r>
    <w:r>
      <w:fldChar w:fldCharType="end"/>
    </w:r>
    <w:r>
      <w:t>/</w:t>
    </w:r>
    <w:r>
      <w:fldChar w:fldCharType="begin"/>
    </w:r>
    <w:r>
      <w:instrText xml:space="preserve"> = </w:instrText>
    </w:r>
    <w:r>
      <w:fldChar w:fldCharType="begin"/>
    </w:r>
    <w:r>
      <w:instrText xml:space="preserve"> NUMPAGES </w:instrText>
    </w:r>
    <w:r>
      <w:fldChar w:fldCharType="separate"/>
    </w:r>
    <w:r w:rsidR="0098333A">
      <w:rPr>
        <w:noProof/>
      </w:rPr>
      <w:instrText>1</w:instrText>
    </w:r>
    <w:r>
      <w:fldChar w:fldCharType="end"/>
    </w:r>
    <w:r>
      <w:instrText xml:space="preserve"> -0 </w:instrText>
    </w:r>
    <w:r>
      <w:fldChar w:fldCharType="separate"/>
    </w:r>
    <w:r w:rsidR="009833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299F0" w14:textId="77777777" w:rsidR="000D6AA3" w:rsidRDefault="000D6AA3">
      <w:r>
        <w:separator/>
      </w:r>
    </w:p>
  </w:footnote>
  <w:footnote w:type="continuationSeparator" w:id="0">
    <w:p w14:paraId="36EE9532" w14:textId="77777777" w:rsidR="000D6AA3" w:rsidRDefault="000D6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B3441"/>
    <w:rsid w:val="000D6AA3"/>
    <w:rsid w:val="000E4B6B"/>
    <w:rsid w:val="000F03D6"/>
    <w:rsid w:val="00143A71"/>
    <w:rsid w:val="0015330A"/>
    <w:rsid w:val="00165632"/>
    <w:rsid w:val="001766AB"/>
    <w:rsid w:val="00177DAC"/>
    <w:rsid w:val="001C4789"/>
    <w:rsid w:val="001C7254"/>
    <w:rsid w:val="001F7CAD"/>
    <w:rsid w:val="002346F9"/>
    <w:rsid w:val="002601CF"/>
    <w:rsid w:val="00273FDB"/>
    <w:rsid w:val="002925F3"/>
    <w:rsid w:val="00297572"/>
    <w:rsid w:val="00320C0B"/>
    <w:rsid w:val="003439B0"/>
    <w:rsid w:val="003876B5"/>
    <w:rsid w:val="00392924"/>
    <w:rsid w:val="003C15D7"/>
    <w:rsid w:val="003C2604"/>
    <w:rsid w:val="003E1619"/>
    <w:rsid w:val="00423299"/>
    <w:rsid w:val="00460CC5"/>
    <w:rsid w:val="0046522D"/>
    <w:rsid w:val="004A0843"/>
    <w:rsid w:val="00505DD6"/>
    <w:rsid w:val="00511BED"/>
    <w:rsid w:val="00564B0D"/>
    <w:rsid w:val="00590C1E"/>
    <w:rsid w:val="00593911"/>
    <w:rsid w:val="005E1A79"/>
    <w:rsid w:val="00630C9B"/>
    <w:rsid w:val="00646E27"/>
    <w:rsid w:val="0073571F"/>
    <w:rsid w:val="00796D69"/>
    <w:rsid w:val="007B7503"/>
    <w:rsid w:val="007C6A55"/>
    <w:rsid w:val="00815851"/>
    <w:rsid w:val="00826375"/>
    <w:rsid w:val="00862EFF"/>
    <w:rsid w:val="008725AD"/>
    <w:rsid w:val="00892C86"/>
    <w:rsid w:val="008A371F"/>
    <w:rsid w:val="008E0097"/>
    <w:rsid w:val="008F2211"/>
    <w:rsid w:val="00911202"/>
    <w:rsid w:val="009326E3"/>
    <w:rsid w:val="00961F04"/>
    <w:rsid w:val="00964A13"/>
    <w:rsid w:val="0098333A"/>
    <w:rsid w:val="009E138D"/>
    <w:rsid w:val="00A14D3A"/>
    <w:rsid w:val="00A53158"/>
    <w:rsid w:val="00A64D59"/>
    <w:rsid w:val="00A67235"/>
    <w:rsid w:val="00AF2EE9"/>
    <w:rsid w:val="00B14E27"/>
    <w:rsid w:val="00BE7410"/>
    <w:rsid w:val="00C05B64"/>
    <w:rsid w:val="00C4683E"/>
    <w:rsid w:val="00C87758"/>
    <w:rsid w:val="00D54F5F"/>
    <w:rsid w:val="00D806A2"/>
    <w:rsid w:val="00DD05A8"/>
    <w:rsid w:val="00E24886"/>
    <w:rsid w:val="00E55BBF"/>
    <w:rsid w:val="00E70261"/>
    <w:rsid w:val="00EC0F0F"/>
    <w:rsid w:val="00ED6BB4"/>
    <w:rsid w:val="00F01EB5"/>
  </w:rsids>
  <m:mathPr>
    <m:mathFont m:val="Cambria Math"/>
    <m:brkBin m:val="before"/>
    <m:brkBinSub m:val="--"/>
    <m:smallFrac m:val="0"/>
    <m:dispDef/>
    <m:lMargin m:val="0"/>
    <m:rMargin m:val="0"/>
    <m:defJc m:val="centerGroup"/>
    <m:wrapIndent m:val="1440"/>
    <m:intLim m:val="subSup"/>
    <m:naryLim m:val="undOvr"/>
  </m:mathPr>
  <w:themeFontLang w:val="fr-BE"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789"/>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table" w:styleId="TableGrid">
    <w:name w:val="Table Grid"/>
    <w:basedOn w:val="TableNormal"/>
    <w:rsid w:val="00593911"/>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593911"/>
    <w:pPr>
      <w:spacing w:line="288" w:lineRule="auto"/>
      <w:jc w:val="both"/>
    </w:pPr>
    <w:rPr>
      <w:lang w:val="en-GB" w:eastAsia="en-GB"/>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ofound.europa.eu/en/publications/eurofound-paper/2024/working-time-reduction-focus-four-day-week-literature-review" TargetMode="External"/><Relationship Id="rId18"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s://www.bbc.com/news/articles/czd9g7yzn4jo" TargetMode="External"/><Relationship Id="rId17" Type="http://schemas.openxmlformats.org/officeDocument/2006/relationships/customXml" Target="../customXml/item1.xml"/><Relationship Id="rId16" Type="http://schemas.openxmlformats.org/officeDocument/2006/relationships/theme" Target="theme/theme1.xml"/><Relationship Id="rId20"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F7M6YNZUATRX-2090047846-10275</_dlc_DocId>
    <_dlc_DocIdUrl xmlns="59ace41b-6786-4ce3-be71-52c27066c6ef">
      <Url>http://dm/eesc/2024/_layouts/15/DocIdRedir.aspx?ID=F7M6YNZUATRX-2090047846-10275</Url>
      <Description>F7M6YNZUATRX-2090047846-10275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2025-03-27T12:00:00+00:00</ProductionDate>
    <FicheYear xmlns="59ace41b-6786-4ce3-be71-52c27066c6ef">2024</FicheYear>
    <DocumentNumber xmlns="699f5230-8002-47b7-b3bd-c7b6c8cbc844">3947</DocumentNumber>
    <DossierNumber xmlns="59ace41b-6786-4ce3-be71-52c27066c6ef">819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49</Value>
      <Value>8</Value>
      <Value>6</Value>
      <Value>5</Value>
      <Value>38</Value>
      <Value>71</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BARRERA CHAMORRO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3249</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2025-03-26T12:00:00+00:00</AdoptionDate>
    <RequestingService xmlns="59ace41b-6786-4ce3-be71-52c27066c6ef">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Version xmlns="59ace41b-6786-4ce3-be71-52c27066c6ef">0</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48AD0-00C0-45D1-8D65-FE74D87BBB55}"/>
</file>

<file path=customXml/itemProps2.xml><?xml version="1.0" encoding="utf-8"?>
<ds:datastoreItem xmlns:ds="http://schemas.openxmlformats.org/officeDocument/2006/customXml" ds:itemID="{83F3A08C-3F2C-476A-B71D-F52240652057}"/>
</file>

<file path=customXml/itemProps3.xml><?xml version="1.0" encoding="utf-8"?>
<ds:datastoreItem xmlns:ds="http://schemas.openxmlformats.org/officeDocument/2006/customXml" ds:itemID="{10DD9584-E725-4436-B65C-D0E7335BAF27}"/>
</file>

<file path=customXml/itemProps4.xml><?xml version="1.0" encoding="utf-8"?>
<ds:datastoreItem xmlns:ds="http://schemas.openxmlformats.org/officeDocument/2006/customXml" ds:itemID="{A7BCBC5F-4D50-4FDF-BBED-A9C2ED7A9A21}"/>
</file>

<file path=docProps/app.xml><?xml version="1.0" encoding="utf-8"?>
<Properties xmlns="http://schemas.openxmlformats.org/officeDocument/2006/extended-properties" xmlns:vt="http://schemas.openxmlformats.org/officeDocument/2006/docPropsVTypes">
  <Template>Normal</Template>
  <TotalTime>0</TotalTime>
  <Pages>2</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CR - EESC revised template</vt:lpstr>
    </vt:vector>
  </TitlesOfParts>
  <Company>CESE-CdR</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time, efficiency of the economy and well-being of workers </dc:title>
  <dc:subject>Record of proceedings</dc:subject>
  <dc:creator>Hilary Morris</dc:creator>
  <cp:keywords>EESC-2024-03947-00-00-CR-TRA-EN</cp:keywords>
  <dc:description>Rapporteur: - BARRERA CHAMORRO Original language: - EN Date of document: - 27/03/2025 Date of meeting: -  External documents: -  Administrator responsible: - MME DUMITRACHE Ana</dc:description>
  <cp:lastModifiedBy>TDriveSVCUserProd</cp:lastModifiedBy>
  <cp:revision>4</cp:revision>
  <cp:lastPrinted>2004-02-16T15:16:00Z</cp:lastPrinted>
  <dcterms:created xsi:type="dcterms:W3CDTF">2025-03-27T12:15:00Z</dcterms:created>
  <dcterms:modified xsi:type="dcterms:W3CDTF">2025-03-27T13:16:00Z</dcterms:modified>
  <cp:category>SOC/819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20eeffdf-93c6-4acd-a476-9a90340d3f7c</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3947</vt:i4>
  </property>
  <property fmtid="{D5CDD505-2E9C-101B-9397-08002B2CF9AE}" pid="14" name="FicheYear">
    <vt:i4>2024</vt:i4>
  </property>
  <property fmtid="{D5CDD505-2E9C-101B-9397-08002B2CF9AE}" pid="15" name="DocumentVersion">
    <vt:i4>0</vt:i4>
  </property>
  <property fmtid="{D5CDD505-2E9C-101B-9397-08002B2CF9AE}" pid="16" name="DossierNumber">
    <vt:i4>819</vt:i4>
  </property>
  <property fmtid="{D5CDD505-2E9C-101B-9397-08002B2CF9AE}" pid="17" name="DocumentStatus">
    <vt:lpwstr>38;#REF|722611fd-7eaf-44e3-8780-a3226646f5f0</vt:lpwstr>
  </property>
  <property fmtid="{D5CDD505-2E9C-101B-9397-08002B2CF9AE}" pid="18" name="DossierName">
    <vt:lpwstr>49;#SOC|13795804-ecbd-4ce5-9693-9b8be1981b20</vt:lpwstr>
  </property>
  <property fmtid="{D5CDD505-2E9C-101B-9397-08002B2CF9AE}" pid="19" name="RequestingService">
    <vt:lpwstr>Emploi, affaires sociales, citoyenneté</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49;#SOC|13795804-ecbd-4ce5-9693-9b8be1981b20;#8;#Final|ea5e6674-7b27-4bac-b091-73adbb394efe;#6;#Unrestricted|826e22d7-d029-4ec0-a450-0c28ff673572;#5;#EN|f2175f21-25d7-44a3-96da-d6a61b075e1b;#38;#REF|722611fd-7eaf-44e3-8780-a3226646f5f0;#71;#CR|3d8a0a7b-557a-49c4-997f-22056dbd9ff4;#1;#EESC|422833ec-8d7e-4e65-8e4e-8bed07ffb729</vt:lpwstr>
  </property>
  <property fmtid="{D5CDD505-2E9C-101B-9397-08002B2CF9AE}" pid="30" name="Rapporteur">
    <vt:lpwstr>BARRERA CHAMORRO</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3249</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2025-03-26T12:00:00Z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