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12BD9" w:rsidR="00731B50" w:rsidP="001F6F3D" w:rsidRDefault="00914FC5" w14:paraId="12680858" w14:textId="77777777">
      <w:pPr>
        <w:jc w:val="center"/>
        <w:rPr>
          <w:szCs w:val="22"/>
          <w:lang w:val="sl-SI"/>
        </w:rPr>
      </w:pPr>
      <w:r w:rsidRPr="00112BD9">
        <w:rPr>
          <w:noProof/>
          <w:szCs w:val="22"/>
          <w:lang w:val="sl-SI" w:eastAsia="en-GB"/>
        </w:rPr>
        <w:drawing>
          <wp:inline distT="0" distB="0" distL="0" distR="0" wp14:anchorId="2A56629F" wp14:editId="4F1238EA">
            <wp:extent cx="1792800" cy="1242000"/>
            <wp:effectExtent l="0" t="0" r="0" b="0"/>
            <wp:docPr id="1" name="Picture 1" title="EESCLogo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sl-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Pr="00112BD9" w:rsidR="001B7143">
        <w:rPr>
          <w:noProof/>
          <w:szCs w:val="22"/>
          <w:lang w:val="sl-SI" w:eastAsia="en-GB"/>
        </w:rPr>
        <mc:AlternateContent>
          <mc:Choice Requires="wps">
            <w:drawing>
              <wp:anchor distT="0" distB="0" distL="114300" distR="114300" simplePos="0" relativeHeight="251659264" behindDoc="1" locked="0" layoutInCell="0" allowOverlap="1" wp14:editId="6A086437" wp14:anchorId="091E49F8">
                <wp:simplePos x="0" y="0"/>
                <wp:positionH relativeFrom="page">
                  <wp:posOffset>6769100</wp:posOffset>
                </wp:positionH>
                <wp:positionV relativeFrom="page">
                  <wp:posOffset>10081260</wp:posOffset>
                </wp:positionV>
                <wp:extent cx="647700" cy="3962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B50" w:rsidRDefault="00731B50" w14:paraId="0FE69935" w14:textId="77777777">
                            <w:pPr>
                              <w:jc w:val="center"/>
                              <w:rPr>
                                <w:rFonts w:ascii="Arial" w:hAnsi="Arial" w:cs="Arial"/>
                                <w:b/>
                                <w:bCs/>
                                <w:sz w:val="48"/>
                                <w:lang w:val="sl-SI"/>
                              </w:rPr>
                            </w:pPr>
                            <w:r>
                              <w:rPr>
                                <w:rFonts w:ascii="Arial" w:hAnsi="Arial" w:cs="Arial"/>
                                <w:b/>
                                <w:bCs/>
                                <w:sz w:val="48"/>
                                <w:lang w:val="sl-SI"/>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91E49F8">
                <v:stroke joinstyle="miter"/>
                <v:path gradientshapeok="t" o:connecttype="rect"/>
              </v:shapetype>
              <v:shape id="Text Box 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4HeUV8gEAAMUDAAAOAAAAAAAAAAAAAAAAAC4CAABkcnMv&#10;ZTJvRG9jLnhtbFBLAQItABQABgAIAAAAIQDrVDFa3gAAAA8BAAAPAAAAAAAAAAAAAAAAAEwEAABk&#10;cnMvZG93bnJldi54bWxQSwUGAAAAAAQABADzAAAAVwUAAAAA&#10;">
                <v:textbox>
                  <w:txbxContent>
                    <w:p w:rsidR="00731B50" w:rsidRDefault="00731B50" w14:paraId="0FE69935" w14:textId="77777777">
                      <w:pPr>
                        <w:jc w:val="center"/>
                        <w:rPr>
                          <w:rFonts w:ascii="Arial" w:hAnsi="Arial" w:cs="Arial"/>
                          <w:b/>
                          <w:bCs/>
                          <w:sz w:val="48"/>
                          <w:lang w:val="sl-SI"/>
                        </w:rPr>
                      </w:pPr>
                      <w:r>
                        <w:rPr>
                          <w:rFonts w:ascii="Arial" w:hAnsi="Arial" w:cs="Arial"/>
                          <w:b/>
                          <w:bCs/>
                          <w:sz w:val="48"/>
                          <w:lang w:val="sl-SI"/>
                        </w:rPr>
                        <w:t>SL</w:t>
                      </w:r>
                    </w:p>
                  </w:txbxContent>
                </v:textbox>
                <w10:wrap anchorx="page" anchory="page"/>
              </v:shape>
            </w:pict>
          </mc:Fallback>
        </mc:AlternateContent>
      </w:r>
    </w:p>
    <w:p w:rsidRPr="00112BD9" w:rsidR="00731B50" w:rsidP="001F6F3D" w:rsidRDefault="00731B50" w14:paraId="3C14D99B" w14:textId="77777777">
      <w:pPr>
        <w:rPr>
          <w:szCs w:val="22"/>
          <w:lang w:val="sl-SI"/>
        </w:rPr>
      </w:pPr>
    </w:p>
    <w:p w:rsidRPr="00112BD9" w:rsidR="00437105" w:rsidP="001F6F3D" w:rsidRDefault="00437105" w14:paraId="06ECEDA6" w14:textId="77777777">
      <w:pPr>
        <w:rPr>
          <w:szCs w:val="22"/>
          <w:lang w:val="sl-SI"/>
        </w:rPr>
      </w:pPr>
    </w:p>
    <w:p w:rsidRPr="00112BD9" w:rsidR="00437105" w:rsidP="001F6F3D" w:rsidRDefault="00437105" w14:paraId="4A65A0B7" w14:textId="0DAACC2A">
      <w:pPr>
        <w:jc w:val="right"/>
        <w:rPr>
          <w:szCs w:val="22"/>
          <w:lang w:val="sl-SI"/>
        </w:rPr>
      </w:pPr>
      <w:r w:rsidRPr="00112BD9">
        <w:rPr>
          <w:szCs w:val="22"/>
          <w:lang w:val="sl-SI"/>
        </w:rPr>
        <w:t xml:space="preserve">Bruselj, </w:t>
      </w:r>
      <w:r w:rsidRPr="00112BD9" w:rsidR="00601B9D">
        <w:rPr>
          <w:szCs w:val="22"/>
          <w:lang w:val="sl-SI"/>
        </w:rPr>
        <w:t>4</w:t>
      </w:r>
      <w:r w:rsidRPr="00112BD9" w:rsidR="008B7764">
        <w:rPr>
          <w:szCs w:val="22"/>
          <w:lang w:val="sl-SI"/>
        </w:rPr>
        <w:t xml:space="preserve">. </w:t>
      </w:r>
      <w:r w:rsidRPr="00112BD9" w:rsidR="00601B9D">
        <w:rPr>
          <w:szCs w:val="22"/>
          <w:lang w:val="sl-SI"/>
        </w:rPr>
        <w:t xml:space="preserve">februar </w:t>
      </w:r>
      <w:r w:rsidRPr="00112BD9" w:rsidR="008B7764">
        <w:rPr>
          <w:szCs w:val="22"/>
          <w:lang w:val="sl-SI"/>
        </w:rPr>
        <w:t>202</w:t>
      </w:r>
      <w:r w:rsidRPr="00112BD9" w:rsidR="00601B9D">
        <w:rPr>
          <w:szCs w:val="22"/>
          <w:lang w:val="sl-SI"/>
        </w:rPr>
        <w:t>5</w:t>
      </w:r>
    </w:p>
    <w:p w:rsidRPr="00112BD9" w:rsidR="00437105" w:rsidP="001F6F3D" w:rsidRDefault="00437105" w14:paraId="37D37B26" w14:textId="77777777">
      <w:pPr>
        <w:rPr>
          <w:szCs w:val="22"/>
          <w:lang w:val="sl-SI"/>
        </w:rPr>
      </w:pPr>
    </w:p>
    <w:p w:rsidRPr="00112BD9" w:rsidR="00437105" w:rsidP="001F6F3D" w:rsidRDefault="00437105" w14:paraId="47284582" w14:textId="1F01DEC0">
      <w:pPr>
        <w:rPr>
          <w:szCs w:val="22"/>
          <w:lang w:val="sl-SI"/>
        </w:rPr>
      </w:pPr>
    </w:p>
    <w:p w:rsidRPr="00112BD9" w:rsidR="00437105" w:rsidP="001F6F3D" w:rsidRDefault="00437105" w14:paraId="6EFF6ADC" w14:textId="77777777">
      <w:pPr>
        <w:rPr>
          <w:szCs w:val="22"/>
          <w:lang w:val="sl-SI"/>
        </w:rPr>
      </w:pPr>
    </w:p>
    <w:p w:rsidRPr="00112BD9" w:rsidR="00437105" w:rsidP="001F6F3D" w:rsidRDefault="00437105" w14:paraId="57B36392" w14:textId="77777777">
      <w:pPr>
        <w:rPr>
          <w:lang w:val="sl-SI"/>
        </w:rPr>
      </w:pPr>
    </w:p>
    <w:tbl>
      <w:tblPr>
        <w:tblW w:w="5000" w:type="pct"/>
        <w:tblLook w:val="0000" w:firstRow="0" w:lastRow="0" w:firstColumn="0" w:lastColumn="0" w:noHBand="0" w:noVBand="0"/>
      </w:tblPr>
      <w:tblGrid>
        <w:gridCol w:w="9071"/>
      </w:tblGrid>
      <w:tr w:rsidRPr="00112BD9" w:rsidR="00437105" w:rsidTr="00437105" w14:paraId="48044EA7" w14:textId="77777777">
        <w:tc>
          <w:tcPr>
            <w:tcW w:w="5000" w:type="pct"/>
            <w:tcBorders>
              <w:bottom w:val="double" w:color="auto" w:sz="4" w:space="0"/>
            </w:tcBorders>
          </w:tcPr>
          <w:p w:rsidRPr="00112BD9" w:rsidR="00437105" w:rsidP="001F6F3D" w:rsidRDefault="008B7764" w14:paraId="17FFB660" w14:textId="3F02EE6E">
            <w:pPr>
              <w:jc w:val="center"/>
              <w:rPr>
                <w:lang w:val="sl-SI"/>
              </w:rPr>
            </w:pPr>
            <w:r w:rsidRPr="00112BD9">
              <w:rPr>
                <w:b/>
                <w:sz w:val="32"/>
                <w:lang w:val="sl-SI"/>
              </w:rPr>
              <w:t>59</w:t>
            </w:r>
            <w:r w:rsidRPr="00112BD9" w:rsidR="005C5C12">
              <w:rPr>
                <w:b/>
                <w:sz w:val="32"/>
                <w:lang w:val="sl-SI"/>
              </w:rPr>
              <w:t>3</w:t>
            </w:r>
            <w:r w:rsidRPr="00112BD9">
              <w:rPr>
                <w:b/>
                <w:sz w:val="32"/>
                <w:lang w:val="sl-SI"/>
              </w:rPr>
              <w:t>.</w:t>
            </w:r>
            <w:r w:rsidRPr="00112BD9" w:rsidR="00437105">
              <w:rPr>
                <w:b/>
                <w:sz w:val="32"/>
                <w:lang w:val="sl-SI"/>
              </w:rPr>
              <w:t> PLENARNO ZASEDANJE</w:t>
            </w:r>
            <w:r w:rsidRPr="00112BD9" w:rsidR="00437105">
              <w:rPr>
                <w:b/>
                <w:sz w:val="32"/>
                <w:lang w:val="sl-SI"/>
              </w:rPr>
              <w:br/>
            </w:r>
            <w:r w:rsidRPr="00112BD9" w:rsidR="00437105">
              <w:rPr>
                <w:b/>
                <w:sz w:val="32"/>
                <w:lang w:val="sl-SI"/>
              </w:rPr>
              <w:br/>
            </w:r>
            <w:r w:rsidRPr="00112BD9" w:rsidR="005C5C12">
              <w:rPr>
                <w:b/>
                <w:sz w:val="32"/>
                <w:lang w:val="sl-SI"/>
              </w:rPr>
              <w:t>22</w:t>
            </w:r>
            <w:r w:rsidRPr="00112BD9">
              <w:rPr>
                <w:b/>
                <w:sz w:val="32"/>
                <w:lang w:val="sl-SI"/>
              </w:rPr>
              <w:t xml:space="preserve">. </w:t>
            </w:r>
            <w:r w:rsidRPr="00112BD9" w:rsidR="00394C1F">
              <w:rPr>
                <w:b/>
                <w:sz w:val="32"/>
                <w:lang w:val="sl-SI"/>
              </w:rPr>
              <w:t xml:space="preserve">IN </w:t>
            </w:r>
            <w:r w:rsidRPr="00112BD9" w:rsidR="005C5C12">
              <w:rPr>
                <w:b/>
                <w:sz w:val="32"/>
                <w:lang w:val="sl-SI"/>
              </w:rPr>
              <w:t>23</w:t>
            </w:r>
            <w:r w:rsidRPr="00112BD9">
              <w:rPr>
                <w:b/>
                <w:sz w:val="32"/>
                <w:lang w:val="sl-SI"/>
              </w:rPr>
              <w:t xml:space="preserve">. </w:t>
            </w:r>
            <w:r w:rsidRPr="00112BD9" w:rsidR="005C5C12">
              <w:rPr>
                <w:b/>
                <w:sz w:val="32"/>
                <w:lang w:val="sl-SI"/>
              </w:rPr>
              <w:t>JANUA</w:t>
            </w:r>
            <w:r w:rsidRPr="00112BD9">
              <w:rPr>
                <w:b/>
                <w:sz w:val="32"/>
                <w:lang w:val="sl-SI"/>
              </w:rPr>
              <w:t>R 202</w:t>
            </w:r>
            <w:r w:rsidRPr="00112BD9" w:rsidR="005C5C12">
              <w:rPr>
                <w:b/>
                <w:sz w:val="32"/>
                <w:lang w:val="sl-SI"/>
              </w:rPr>
              <w:t>5</w:t>
            </w:r>
            <w:r w:rsidRPr="00112BD9" w:rsidR="00437105">
              <w:rPr>
                <w:b/>
                <w:sz w:val="32"/>
                <w:lang w:val="sl-SI"/>
              </w:rPr>
              <w:br/>
            </w:r>
            <w:r w:rsidRPr="00112BD9" w:rsidR="00437105">
              <w:rPr>
                <w:b/>
                <w:sz w:val="32"/>
                <w:lang w:val="sl-SI"/>
              </w:rPr>
              <w:br/>
              <w:t>POVZETEK SPREJETIH MNENJ</w:t>
            </w:r>
            <w:r w:rsidRPr="00112BD9" w:rsidR="00302C4A">
              <w:rPr>
                <w:b/>
                <w:sz w:val="32"/>
                <w:lang w:val="sl-SI"/>
              </w:rPr>
              <w:t>, RESOLUCIJ IN INFORMATIVNIH POROČIL TER POROČIL O OCENI</w:t>
            </w:r>
            <w:r w:rsidRPr="00112BD9" w:rsidR="00437105">
              <w:rPr>
                <w:b/>
                <w:sz w:val="32"/>
                <w:lang w:val="sl-SI"/>
              </w:rPr>
              <w:br/>
            </w:r>
            <w:r w:rsidRPr="00112BD9" w:rsidR="00437105">
              <w:rPr>
                <w:b/>
                <w:sz w:val="32"/>
                <w:lang w:val="sl-SI"/>
              </w:rPr>
              <w:br/>
            </w:r>
          </w:p>
        </w:tc>
      </w:tr>
      <w:tr w:rsidRPr="00112BD9" w:rsidR="00437105" w:rsidTr="00437105" w14:paraId="018110E5" w14:textId="77777777">
        <w:tc>
          <w:tcPr>
            <w:tcW w:w="5000" w:type="pct"/>
            <w:tcBorders>
              <w:top w:val="double" w:color="auto" w:sz="4" w:space="0"/>
              <w:left w:val="double" w:color="auto" w:sz="4" w:space="0"/>
              <w:bottom w:val="double" w:color="auto" w:sz="4" w:space="0"/>
              <w:right w:val="double" w:color="auto" w:sz="4" w:space="0"/>
            </w:tcBorders>
          </w:tcPr>
          <w:p w:rsidRPr="00112BD9" w:rsidR="00437105" w:rsidP="001F6F3D" w:rsidRDefault="00437105" w14:paraId="684A24F9" w14:textId="77777777">
            <w:pPr>
              <w:jc w:val="center"/>
              <w:rPr>
                <w:lang w:val="sl-SI"/>
              </w:rPr>
            </w:pPr>
          </w:p>
          <w:p w:rsidRPr="00112BD9" w:rsidR="00437105" w:rsidP="001F6F3D" w:rsidRDefault="00437105" w14:paraId="7F794928" w14:textId="77777777">
            <w:pPr>
              <w:jc w:val="center"/>
              <w:rPr>
                <w:spacing w:val="-2"/>
                <w:lang w:val="sl-SI"/>
              </w:rPr>
            </w:pPr>
            <w:r w:rsidRPr="00112BD9">
              <w:rPr>
                <w:lang w:val="sl-SI"/>
              </w:rPr>
              <w:t xml:space="preserve">Dokument je v </w:t>
            </w:r>
            <w:r w:rsidRPr="00112BD9" w:rsidR="00EA31FC">
              <w:rPr>
                <w:lang w:val="sl-SI"/>
              </w:rPr>
              <w:t xml:space="preserve">vseh </w:t>
            </w:r>
            <w:r w:rsidRPr="00112BD9">
              <w:rPr>
                <w:lang w:val="sl-SI"/>
              </w:rPr>
              <w:t>uradnih jezikih Evropske unije na voljo na spletni strani EESO:</w:t>
            </w:r>
            <w:r w:rsidRPr="00112BD9">
              <w:rPr>
                <w:lang w:val="sl-SI"/>
              </w:rPr>
              <w:br/>
            </w:r>
            <w:r w:rsidRPr="00112BD9">
              <w:rPr>
                <w:lang w:val="sl-SI"/>
              </w:rPr>
              <w:br/>
            </w:r>
            <w:hyperlink w:history="1" r:id="rId12">
              <w:r w:rsidRPr="00112BD9">
                <w:rPr>
                  <w:rStyle w:val="Hyperlink"/>
                  <w:rFonts w:eastAsiaTheme="majorEastAsia"/>
                  <w:spacing w:val="-2"/>
                  <w:lang w:val="sl-SI"/>
                </w:rPr>
                <w:t>https://www.eesc.europa.eu/sl/our-work/opinions-information-reports/plenary-session-summaries</w:t>
              </w:r>
            </w:hyperlink>
          </w:p>
          <w:p w:rsidRPr="00112BD9" w:rsidR="00437105" w:rsidP="001F6F3D" w:rsidRDefault="00437105" w14:paraId="6AF88887" w14:textId="77777777">
            <w:pPr>
              <w:jc w:val="center"/>
              <w:rPr>
                <w:lang w:val="sl-SI"/>
              </w:rPr>
            </w:pPr>
          </w:p>
          <w:p w:rsidRPr="00112BD9" w:rsidR="00437105" w:rsidP="001F6F3D" w:rsidRDefault="00437105" w14:paraId="5B9A8CC4" w14:textId="77777777">
            <w:pPr>
              <w:jc w:val="center"/>
              <w:rPr>
                <w:lang w:val="sl-SI"/>
              </w:rPr>
            </w:pPr>
          </w:p>
          <w:p w:rsidRPr="00112BD9" w:rsidR="00437105" w:rsidP="001F6F3D" w:rsidRDefault="00437105" w14:paraId="5317206E" w14:textId="70B22630">
            <w:pPr>
              <w:jc w:val="center"/>
              <w:rPr>
                <w:lang w:val="sl-SI"/>
              </w:rPr>
            </w:pPr>
            <w:r w:rsidRPr="00112BD9">
              <w:rPr>
                <w:lang w:val="sl-SI"/>
              </w:rPr>
              <w:t xml:space="preserve">Navedena mnenja so na spletu dostopna prek iskalnika </w:t>
            </w:r>
            <w:r w:rsidRPr="00112BD9" w:rsidR="00082A32">
              <w:rPr>
                <w:lang w:val="sl-SI"/>
              </w:rPr>
              <w:t>Odbora</w:t>
            </w:r>
            <w:r w:rsidRPr="00112BD9">
              <w:rPr>
                <w:lang w:val="sl-SI"/>
              </w:rPr>
              <w:t>:</w:t>
            </w:r>
            <w:r w:rsidRPr="00112BD9">
              <w:rPr>
                <w:lang w:val="sl-SI"/>
              </w:rPr>
              <w:br/>
            </w:r>
            <w:r w:rsidRPr="00112BD9">
              <w:rPr>
                <w:lang w:val="sl-SI"/>
              </w:rPr>
              <w:br/>
            </w:r>
            <w:hyperlink w:history="1" r:id="rId13">
              <w:r w:rsidRPr="00112BD9">
                <w:rPr>
                  <w:rStyle w:val="Hyperlink"/>
                  <w:rFonts w:eastAsiaTheme="majorEastAsia"/>
                  <w:lang w:val="sl-SI"/>
                </w:rPr>
                <w:t>https://dmsearch.eesc.europa.eu/search/opinion</w:t>
              </w:r>
            </w:hyperlink>
          </w:p>
          <w:p w:rsidRPr="00112BD9" w:rsidR="00437105" w:rsidP="001F6F3D" w:rsidRDefault="00437105" w14:paraId="39440503" w14:textId="77777777">
            <w:pPr>
              <w:jc w:val="center"/>
              <w:rPr>
                <w:lang w:val="sl-SI"/>
              </w:rPr>
            </w:pPr>
          </w:p>
        </w:tc>
      </w:tr>
    </w:tbl>
    <w:p w:rsidRPr="00112BD9" w:rsidR="00437105" w:rsidP="001F6F3D" w:rsidRDefault="00437105" w14:paraId="4F71DBA3" w14:textId="77777777">
      <w:pPr>
        <w:rPr>
          <w:lang w:val="sl-SI"/>
        </w:rPr>
      </w:pPr>
    </w:p>
    <w:p w:rsidRPr="00112BD9" w:rsidR="00437105" w:rsidP="001F6F3D" w:rsidRDefault="00437105" w14:paraId="5E03C9C4" w14:textId="77777777">
      <w:pPr>
        <w:rPr>
          <w:szCs w:val="22"/>
          <w:lang w:val="sl-SI"/>
        </w:rPr>
      </w:pPr>
    </w:p>
    <w:p w:rsidRPr="00112BD9" w:rsidR="00437105" w:rsidP="001F6F3D" w:rsidRDefault="00437105" w14:paraId="5260496E" w14:textId="77777777">
      <w:pPr>
        <w:rPr>
          <w:szCs w:val="22"/>
          <w:lang w:val="sl-SI"/>
        </w:rPr>
        <w:sectPr w:rsidRPr="00112BD9" w:rsidR="00437105" w:rsidSect="00601B9D">
          <w:headerReference w:type="even" r:id="rId14"/>
          <w:headerReference w:type="default" r:id="rId15"/>
          <w:footerReference w:type="even" r:id="rId16"/>
          <w:footerReference w:type="default" r:id="rId17"/>
          <w:headerReference w:type="first" r:id="rId18"/>
          <w:footerReference w:type="first" r:id="rId19"/>
          <w:pgSz w:w="11907" w:h="16839" w:code="9"/>
          <w:pgMar w:top="1418" w:right="1418" w:bottom="1418" w:left="1418" w:header="709" w:footer="709" w:gutter="0"/>
          <w:pgNumType w:start="1"/>
          <w:cols w:space="720"/>
          <w:docGrid w:linePitch="299"/>
        </w:sectPr>
      </w:pPr>
    </w:p>
    <w:p w:rsidRPr="00112BD9" w:rsidR="00437105" w:rsidP="001F6F3D" w:rsidRDefault="00AC1FA9" w14:paraId="52EDEA02" w14:textId="77777777">
      <w:pPr>
        <w:rPr>
          <w:szCs w:val="22"/>
          <w:lang w:val="sl-SI"/>
        </w:rPr>
      </w:pPr>
      <w:r w:rsidRPr="00112BD9">
        <w:rPr>
          <w:b/>
          <w:szCs w:val="22"/>
          <w:lang w:val="sl-SI"/>
        </w:rPr>
        <w:lastRenderedPageBreak/>
        <w:t>Vsebina</w:t>
      </w:r>
    </w:p>
    <w:p w:rsidRPr="00112BD9" w:rsidR="00AC7C4F" w:rsidP="001F6F3D" w:rsidRDefault="00AC7C4F" w14:paraId="3EE7A8A3" w14:textId="59C411AF">
      <w:pPr>
        <w:rPr>
          <w:szCs w:val="22"/>
          <w:lang w:val="sl-SI"/>
        </w:rPr>
      </w:pPr>
    </w:p>
    <w:p w:rsidRPr="00112BD9" w:rsidR="00EF0D92" w:rsidP="001F6F3D" w:rsidRDefault="00EF0D92" w14:paraId="51E75FA8" w14:textId="77777777">
      <w:pPr>
        <w:rPr>
          <w:szCs w:val="22"/>
          <w:lang w:val="sl-SI"/>
        </w:rPr>
      </w:pPr>
    </w:p>
    <w:p w:rsidR="000D627B" w:rsidRDefault="00AC7C4F" w14:paraId="3EE5CA5F" w14:textId="1E2DFF28">
      <w:pPr>
        <w:pStyle w:val="TOC1"/>
        <w:rPr>
          <w:rFonts w:asciiTheme="minorHAnsi" w:hAnsiTheme="minorHAnsi" w:cstheme="minorBidi"/>
          <w:noProof/>
        </w:rPr>
      </w:pPr>
      <w:r w:rsidRPr="00112BD9">
        <w:rPr>
          <w:lang w:val="sl-SI"/>
        </w:rPr>
        <w:fldChar w:fldCharType="begin"/>
      </w:r>
      <w:r w:rsidRPr="00112BD9">
        <w:rPr>
          <w:lang w:val="sl-SI"/>
        </w:rPr>
        <w:instrText xml:space="preserve"> TOC \o "1-1" \h \z \u </w:instrText>
      </w:r>
      <w:r w:rsidRPr="00112BD9">
        <w:rPr>
          <w:lang w:val="sl-SI"/>
        </w:rPr>
        <w:fldChar w:fldCharType="separate"/>
      </w:r>
      <w:hyperlink w:history="1" w:anchor="_Toc189238816">
        <w:r w:rsidRPr="00FC7FF9" w:rsidR="000D627B">
          <w:rPr>
            <w:rStyle w:val="Hyperlink"/>
            <w:noProof/>
            <w:lang w:val="sl-SI"/>
          </w:rPr>
          <w:t>1.</w:t>
        </w:r>
        <w:r w:rsidR="000D627B">
          <w:rPr>
            <w:rFonts w:asciiTheme="minorHAnsi" w:hAnsiTheme="minorHAnsi" w:cstheme="minorBidi"/>
            <w:noProof/>
          </w:rPr>
          <w:tab/>
        </w:r>
        <w:r w:rsidRPr="00FC7FF9" w:rsidR="000D627B">
          <w:rPr>
            <w:rStyle w:val="Hyperlink"/>
            <w:b/>
            <w:noProof/>
            <w:lang w:val="sl-SI"/>
          </w:rPr>
          <w:t>EKONOMSKA IN MONETARNA UNIJA TER EKONOMSKA IN SOCIALNA KOHEZIJA</w:t>
        </w:r>
        <w:r w:rsidR="000D627B">
          <w:rPr>
            <w:noProof/>
            <w:webHidden/>
          </w:rPr>
          <w:tab/>
        </w:r>
        <w:r w:rsidR="000D627B">
          <w:rPr>
            <w:noProof/>
            <w:webHidden/>
          </w:rPr>
          <w:fldChar w:fldCharType="begin"/>
        </w:r>
        <w:r w:rsidR="000D627B">
          <w:rPr>
            <w:noProof/>
            <w:webHidden/>
          </w:rPr>
          <w:instrText xml:space="preserve"> PAGEREF _Toc189238816 \h </w:instrText>
        </w:r>
        <w:r w:rsidR="000D627B">
          <w:rPr>
            <w:noProof/>
            <w:webHidden/>
          </w:rPr>
        </w:r>
        <w:r w:rsidR="000D627B">
          <w:rPr>
            <w:noProof/>
            <w:webHidden/>
          </w:rPr>
          <w:fldChar w:fldCharType="separate"/>
        </w:r>
        <w:r w:rsidR="00F258A8">
          <w:rPr>
            <w:noProof/>
            <w:webHidden/>
          </w:rPr>
          <w:t>3</w:t>
        </w:r>
        <w:r w:rsidR="000D627B">
          <w:rPr>
            <w:noProof/>
            <w:webHidden/>
          </w:rPr>
          <w:fldChar w:fldCharType="end"/>
        </w:r>
      </w:hyperlink>
    </w:p>
    <w:p w:rsidR="000D627B" w:rsidRDefault="000D627B" w14:paraId="10918158" w14:textId="4B88A534">
      <w:pPr>
        <w:pStyle w:val="TOC1"/>
        <w:rPr>
          <w:rFonts w:asciiTheme="minorHAnsi" w:hAnsiTheme="minorHAnsi" w:cstheme="minorBidi"/>
          <w:noProof/>
        </w:rPr>
      </w:pPr>
      <w:hyperlink w:history="1" w:anchor="_Toc189238817">
        <w:r w:rsidRPr="00FC7FF9">
          <w:rPr>
            <w:rStyle w:val="Hyperlink"/>
            <w:noProof/>
            <w:lang w:val="sl-SI"/>
          </w:rPr>
          <w:t>2.</w:t>
        </w:r>
        <w:r>
          <w:rPr>
            <w:rFonts w:asciiTheme="minorHAnsi" w:hAnsiTheme="minorHAnsi" w:cstheme="minorBidi"/>
            <w:noProof/>
          </w:rPr>
          <w:tab/>
        </w:r>
        <w:r w:rsidRPr="00FC7FF9">
          <w:rPr>
            <w:rStyle w:val="Hyperlink"/>
            <w:b/>
            <w:noProof/>
            <w:lang w:val="sl-SI"/>
          </w:rPr>
          <w:t>ZAPOSLOVANJE, SOCIALNE ZADEVE IN DRŽAVLJANSTVO</w:t>
        </w:r>
        <w:r>
          <w:rPr>
            <w:noProof/>
            <w:webHidden/>
          </w:rPr>
          <w:tab/>
        </w:r>
        <w:r>
          <w:rPr>
            <w:noProof/>
            <w:webHidden/>
          </w:rPr>
          <w:fldChar w:fldCharType="begin"/>
        </w:r>
        <w:r>
          <w:rPr>
            <w:noProof/>
            <w:webHidden/>
          </w:rPr>
          <w:instrText xml:space="preserve"> PAGEREF _Toc189238817 \h </w:instrText>
        </w:r>
        <w:r>
          <w:rPr>
            <w:noProof/>
            <w:webHidden/>
          </w:rPr>
        </w:r>
        <w:r>
          <w:rPr>
            <w:noProof/>
            <w:webHidden/>
          </w:rPr>
          <w:fldChar w:fldCharType="separate"/>
        </w:r>
        <w:r w:rsidR="00F258A8">
          <w:rPr>
            <w:noProof/>
            <w:webHidden/>
          </w:rPr>
          <w:t>4</w:t>
        </w:r>
        <w:r>
          <w:rPr>
            <w:noProof/>
            <w:webHidden/>
          </w:rPr>
          <w:fldChar w:fldCharType="end"/>
        </w:r>
      </w:hyperlink>
    </w:p>
    <w:p w:rsidR="000D627B" w:rsidRDefault="000D627B" w14:paraId="391BD6D9" w14:textId="4C6300E2">
      <w:pPr>
        <w:pStyle w:val="TOC1"/>
        <w:rPr>
          <w:rFonts w:asciiTheme="minorHAnsi" w:hAnsiTheme="minorHAnsi" w:cstheme="minorBidi"/>
          <w:noProof/>
        </w:rPr>
      </w:pPr>
      <w:hyperlink w:history="1" w:anchor="_Toc189238818">
        <w:r w:rsidRPr="00FC7FF9">
          <w:rPr>
            <w:rStyle w:val="Hyperlink"/>
            <w:noProof/>
            <w:lang w:val="sl-SI"/>
          </w:rPr>
          <w:t>3.</w:t>
        </w:r>
        <w:r>
          <w:rPr>
            <w:rFonts w:asciiTheme="minorHAnsi" w:hAnsiTheme="minorHAnsi" w:cstheme="minorBidi"/>
            <w:noProof/>
          </w:rPr>
          <w:tab/>
        </w:r>
        <w:r w:rsidRPr="00FC7FF9">
          <w:rPr>
            <w:rStyle w:val="Hyperlink"/>
            <w:b/>
            <w:noProof/>
            <w:lang w:val="sl-SI"/>
          </w:rPr>
          <w:t>PROMET, ENERGIJA, INFRASTRUKTURA IN INFORMACIJSKA DRUŽBA</w:t>
        </w:r>
        <w:r>
          <w:rPr>
            <w:noProof/>
            <w:webHidden/>
          </w:rPr>
          <w:tab/>
        </w:r>
        <w:r>
          <w:rPr>
            <w:noProof/>
            <w:webHidden/>
          </w:rPr>
          <w:fldChar w:fldCharType="begin"/>
        </w:r>
        <w:r>
          <w:rPr>
            <w:noProof/>
            <w:webHidden/>
          </w:rPr>
          <w:instrText xml:space="preserve"> PAGEREF _Toc189238818 \h </w:instrText>
        </w:r>
        <w:r>
          <w:rPr>
            <w:noProof/>
            <w:webHidden/>
          </w:rPr>
        </w:r>
        <w:r>
          <w:rPr>
            <w:noProof/>
            <w:webHidden/>
          </w:rPr>
          <w:fldChar w:fldCharType="separate"/>
        </w:r>
        <w:r w:rsidR="00F258A8">
          <w:rPr>
            <w:noProof/>
            <w:webHidden/>
          </w:rPr>
          <w:t>6</w:t>
        </w:r>
        <w:r>
          <w:rPr>
            <w:noProof/>
            <w:webHidden/>
          </w:rPr>
          <w:fldChar w:fldCharType="end"/>
        </w:r>
      </w:hyperlink>
    </w:p>
    <w:p w:rsidR="000D627B" w:rsidRDefault="000D627B" w14:paraId="7C0E206A" w14:textId="7A453346">
      <w:pPr>
        <w:pStyle w:val="TOC1"/>
        <w:rPr>
          <w:rFonts w:asciiTheme="minorHAnsi" w:hAnsiTheme="minorHAnsi" w:cstheme="minorBidi"/>
          <w:noProof/>
        </w:rPr>
      </w:pPr>
      <w:hyperlink w:history="1" w:anchor="_Toc189238819">
        <w:r w:rsidRPr="00FC7FF9">
          <w:rPr>
            <w:rStyle w:val="Hyperlink"/>
            <w:noProof/>
            <w:lang w:val="sl-SI"/>
          </w:rPr>
          <w:t>4.</w:t>
        </w:r>
        <w:r>
          <w:rPr>
            <w:rFonts w:asciiTheme="minorHAnsi" w:hAnsiTheme="minorHAnsi" w:cstheme="minorBidi"/>
            <w:noProof/>
          </w:rPr>
          <w:tab/>
        </w:r>
        <w:r w:rsidRPr="00FC7FF9">
          <w:rPr>
            <w:rStyle w:val="Hyperlink"/>
            <w:b/>
            <w:noProof/>
            <w:lang w:val="sl-SI"/>
          </w:rPr>
          <w:t>ENOTNI TRG, PROIZVODNJA IN POTROŠNJA</w:t>
        </w:r>
        <w:r>
          <w:rPr>
            <w:noProof/>
            <w:webHidden/>
          </w:rPr>
          <w:tab/>
        </w:r>
        <w:r>
          <w:rPr>
            <w:noProof/>
            <w:webHidden/>
          </w:rPr>
          <w:fldChar w:fldCharType="begin"/>
        </w:r>
        <w:r>
          <w:rPr>
            <w:noProof/>
            <w:webHidden/>
          </w:rPr>
          <w:instrText xml:space="preserve"> PAGEREF _Toc189238819 \h </w:instrText>
        </w:r>
        <w:r>
          <w:rPr>
            <w:noProof/>
            <w:webHidden/>
          </w:rPr>
        </w:r>
        <w:r>
          <w:rPr>
            <w:noProof/>
            <w:webHidden/>
          </w:rPr>
          <w:fldChar w:fldCharType="separate"/>
        </w:r>
        <w:r w:rsidR="00F258A8">
          <w:rPr>
            <w:noProof/>
            <w:webHidden/>
          </w:rPr>
          <w:t>8</w:t>
        </w:r>
        <w:r>
          <w:rPr>
            <w:noProof/>
            <w:webHidden/>
          </w:rPr>
          <w:fldChar w:fldCharType="end"/>
        </w:r>
      </w:hyperlink>
    </w:p>
    <w:p w:rsidR="000D627B" w:rsidRDefault="000D627B" w14:paraId="44FE7DB1" w14:textId="10632D31">
      <w:pPr>
        <w:pStyle w:val="TOC1"/>
        <w:rPr>
          <w:rFonts w:asciiTheme="minorHAnsi" w:hAnsiTheme="minorHAnsi" w:cstheme="minorBidi"/>
          <w:noProof/>
        </w:rPr>
      </w:pPr>
      <w:hyperlink w:history="1" w:anchor="_Toc189238820">
        <w:r w:rsidRPr="00FC7FF9">
          <w:rPr>
            <w:rStyle w:val="Hyperlink"/>
            <w:noProof/>
            <w:lang w:val="sl-SI"/>
          </w:rPr>
          <w:t>5.</w:t>
        </w:r>
        <w:r>
          <w:rPr>
            <w:rFonts w:asciiTheme="minorHAnsi" w:hAnsiTheme="minorHAnsi" w:cstheme="minorBidi"/>
            <w:noProof/>
          </w:rPr>
          <w:tab/>
        </w:r>
        <w:r w:rsidRPr="00FC7FF9">
          <w:rPr>
            <w:rStyle w:val="Hyperlink"/>
            <w:b/>
            <w:noProof/>
            <w:lang w:val="sl-SI"/>
          </w:rPr>
          <w:t>KMETIJSTVO, RAZVOJ PODEŽELJA IN OKOLJE</w:t>
        </w:r>
        <w:r>
          <w:rPr>
            <w:noProof/>
            <w:webHidden/>
          </w:rPr>
          <w:tab/>
        </w:r>
        <w:r>
          <w:rPr>
            <w:noProof/>
            <w:webHidden/>
          </w:rPr>
          <w:fldChar w:fldCharType="begin"/>
        </w:r>
        <w:r>
          <w:rPr>
            <w:noProof/>
            <w:webHidden/>
          </w:rPr>
          <w:instrText xml:space="preserve"> PAGEREF _Toc189238820 \h </w:instrText>
        </w:r>
        <w:r>
          <w:rPr>
            <w:noProof/>
            <w:webHidden/>
          </w:rPr>
        </w:r>
        <w:r>
          <w:rPr>
            <w:noProof/>
            <w:webHidden/>
          </w:rPr>
          <w:fldChar w:fldCharType="separate"/>
        </w:r>
        <w:r w:rsidR="00F258A8">
          <w:rPr>
            <w:noProof/>
            <w:webHidden/>
          </w:rPr>
          <w:t>11</w:t>
        </w:r>
        <w:r>
          <w:rPr>
            <w:noProof/>
            <w:webHidden/>
          </w:rPr>
          <w:fldChar w:fldCharType="end"/>
        </w:r>
      </w:hyperlink>
    </w:p>
    <w:p w:rsidR="000D627B" w:rsidRDefault="000D627B" w14:paraId="7228BA73" w14:textId="157A5990">
      <w:pPr>
        <w:pStyle w:val="TOC1"/>
        <w:rPr>
          <w:rFonts w:asciiTheme="minorHAnsi" w:hAnsiTheme="minorHAnsi" w:cstheme="minorBidi"/>
          <w:noProof/>
        </w:rPr>
      </w:pPr>
      <w:hyperlink w:history="1" w:anchor="_Toc189238821">
        <w:r w:rsidRPr="00FC7FF9">
          <w:rPr>
            <w:rStyle w:val="Hyperlink"/>
            <w:noProof/>
            <w:lang w:val="sl-SI"/>
          </w:rPr>
          <w:t>6.</w:t>
        </w:r>
        <w:r>
          <w:rPr>
            <w:rFonts w:asciiTheme="minorHAnsi" w:hAnsiTheme="minorHAnsi" w:cstheme="minorBidi"/>
            <w:noProof/>
          </w:rPr>
          <w:tab/>
        </w:r>
        <w:r w:rsidRPr="00FC7FF9">
          <w:rPr>
            <w:rStyle w:val="Hyperlink"/>
            <w:b/>
            <w:noProof/>
            <w:lang w:val="sl-SI"/>
          </w:rPr>
          <w:t>ZUNANJI ODNOSI</w:t>
        </w:r>
        <w:r>
          <w:rPr>
            <w:noProof/>
            <w:webHidden/>
          </w:rPr>
          <w:tab/>
        </w:r>
        <w:r>
          <w:rPr>
            <w:noProof/>
            <w:webHidden/>
          </w:rPr>
          <w:fldChar w:fldCharType="begin"/>
        </w:r>
        <w:r>
          <w:rPr>
            <w:noProof/>
            <w:webHidden/>
          </w:rPr>
          <w:instrText xml:space="preserve"> PAGEREF _Toc189238821 \h </w:instrText>
        </w:r>
        <w:r>
          <w:rPr>
            <w:noProof/>
            <w:webHidden/>
          </w:rPr>
        </w:r>
        <w:r>
          <w:rPr>
            <w:noProof/>
            <w:webHidden/>
          </w:rPr>
          <w:fldChar w:fldCharType="separate"/>
        </w:r>
        <w:r w:rsidR="00F258A8">
          <w:rPr>
            <w:noProof/>
            <w:webHidden/>
          </w:rPr>
          <w:t>12</w:t>
        </w:r>
        <w:r>
          <w:rPr>
            <w:noProof/>
            <w:webHidden/>
          </w:rPr>
          <w:fldChar w:fldCharType="end"/>
        </w:r>
      </w:hyperlink>
    </w:p>
    <w:p w:rsidRPr="00112BD9" w:rsidR="00437105" w:rsidP="001F6F3D" w:rsidRDefault="00AC7C4F" w14:paraId="3152343E" w14:textId="1F85D51A">
      <w:pPr>
        <w:tabs>
          <w:tab w:val="left" w:pos="567"/>
        </w:tabs>
        <w:spacing w:line="360" w:lineRule="auto"/>
        <w:rPr>
          <w:szCs w:val="22"/>
          <w:lang w:val="sl-SI"/>
        </w:rPr>
      </w:pPr>
      <w:r w:rsidRPr="00112BD9">
        <w:rPr>
          <w:szCs w:val="22"/>
          <w:lang w:val="sl-SI"/>
        </w:rPr>
        <w:fldChar w:fldCharType="end"/>
      </w:r>
    </w:p>
    <w:p w:rsidRPr="00112BD9" w:rsidR="00A11773" w:rsidP="00C447A6" w:rsidRDefault="00A11773" w14:paraId="470D5ABC" w14:textId="77777777">
      <w:pPr>
        <w:pStyle w:val="Heading1"/>
        <w:pageBreakBefore/>
        <w:overflowPunct/>
        <w:autoSpaceDE/>
        <w:autoSpaceDN/>
        <w:adjustRightInd/>
        <w:spacing w:line="264" w:lineRule="auto"/>
        <w:ind w:left="567" w:hanging="567"/>
        <w:textAlignment w:val="auto"/>
        <w:rPr>
          <w:lang w:val="sl-SI"/>
        </w:rPr>
      </w:pPr>
      <w:bookmarkStart w:name="_Toc189238816" w:id="0"/>
      <w:r w:rsidRPr="00112BD9">
        <w:rPr>
          <w:b/>
          <w:lang w:val="sl-SI"/>
        </w:rPr>
        <w:lastRenderedPageBreak/>
        <w:t>EKONOMSKA IN MONETARNA UNIJA TER EKONOMSKA IN SOCIALNA KOHEZIJA</w:t>
      </w:r>
      <w:bookmarkEnd w:id="0"/>
    </w:p>
    <w:p w:rsidRPr="00112BD9" w:rsidR="00F95E9B" w:rsidP="005D58C5" w:rsidRDefault="00F95E9B" w14:paraId="6923AA80" w14:textId="77777777">
      <w:pPr>
        <w:rPr>
          <w:lang w:val="sl-SI"/>
        </w:rPr>
      </w:pPr>
    </w:p>
    <w:p w:rsidRPr="00112BD9" w:rsidR="005D58C5" w:rsidP="005D58C5" w:rsidRDefault="005D58C5" w14:paraId="4D1FEE7D" w14:textId="6AD43DB2">
      <w:pPr>
        <w:widowControl w:val="0"/>
        <w:numPr>
          <w:ilvl w:val="0"/>
          <w:numId w:val="8"/>
        </w:numPr>
        <w:ind w:hanging="567"/>
        <w:rPr>
          <w:b/>
          <w:i/>
          <w:iCs/>
          <w:sz w:val="28"/>
          <w:szCs w:val="28"/>
          <w:lang w:val="sl-SI"/>
        </w:rPr>
      </w:pPr>
      <w:hyperlink w:history="1" r:id="rId20">
        <w:r w:rsidRPr="00112BD9">
          <w:rPr>
            <w:rStyle w:val="Hyperlink"/>
            <w:rFonts w:eastAsiaTheme="majorEastAsia"/>
            <w:b/>
            <w:i/>
            <w:sz w:val="28"/>
            <w:lang w:val="sl-SI"/>
          </w:rPr>
          <w:t>Ekonomska politika euroobmočja 2025</w:t>
        </w:r>
      </w:hyperlink>
    </w:p>
    <w:p w:rsidRPr="00112BD9" w:rsidR="005D58C5" w:rsidP="005D58C5" w:rsidRDefault="005D58C5" w14:paraId="5D0CFCB6" w14:textId="77777777">
      <w:pPr>
        <w:widowControl w:val="0"/>
        <w:ind w:left="284"/>
        <w:rPr>
          <w:bCs/>
          <w:szCs w:val="22"/>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5987"/>
      </w:tblGrid>
      <w:tr w:rsidRPr="00112BD9" w:rsidR="005D58C5" w:rsidTr="005540B3" w14:paraId="1E23AC84" w14:textId="77777777">
        <w:tc>
          <w:tcPr>
            <w:tcW w:w="2518" w:type="dxa"/>
          </w:tcPr>
          <w:p w:rsidRPr="00112BD9" w:rsidR="005D58C5" w:rsidP="005D58C5" w:rsidRDefault="005D58C5" w14:paraId="5647C103" w14:textId="77777777">
            <w:pPr>
              <w:tabs>
                <w:tab w:val="center" w:pos="284"/>
              </w:tabs>
              <w:ind w:left="266" w:hanging="266"/>
              <w:rPr>
                <w:b/>
                <w:szCs w:val="22"/>
                <w:lang w:val="sl-SI"/>
              </w:rPr>
            </w:pPr>
            <w:r w:rsidRPr="00112BD9">
              <w:rPr>
                <w:b/>
                <w:bCs/>
                <w:lang w:val="sl-SI"/>
              </w:rPr>
              <w:t>Poročevalec</w:t>
            </w:r>
          </w:p>
        </w:tc>
        <w:tc>
          <w:tcPr>
            <w:tcW w:w="5987" w:type="dxa"/>
          </w:tcPr>
          <w:p w:rsidRPr="00112BD9" w:rsidR="005D58C5" w:rsidP="005D58C5" w:rsidRDefault="005D58C5" w14:paraId="19C46356" w14:textId="77777777">
            <w:pPr>
              <w:tabs>
                <w:tab w:val="center" w:pos="284"/>
              </w:tabs>
              <w:ind w:left="266" w:hanging="266"/>
              <w:rPr>
                <w:bCs/>
                <w:szCs w:val="22"/>
                <w:lang w:val="sl-SI"/>
              </w:rPr>
            </w:pPr>
            <w:r w:rsidRPr="00112BD9">
              <w:rPr>
                <w:lang w:val="sl-SI"/>
              </w:rPr>
              <w:t>Juraj SIPKO (skupina organizacij civilne družbe – SK)</w:t>
            </w:r>
          </w:p>
        </w:tc>
      </w:tr>
      <w:tr w:rsidRPr="00112BD9" w:rsidR="005D58C5" w:rsidTr="005540B3" w14:paraId="1EB3AB68" w14:textId="77777777">
        <w:tc>
          <w:tcPr>
            <w:tcW w:w="8505" w:type="dxa"/>
            <w:gridSpan w:val="2"/>
          </w:tcPr>
          <w:p w:rsidRPr="00112BD9" w:rsidR="005D58C5" w:rsidP="005D58C5" w:rsidRDefault="005D58C5" w14:paraId="599E085D" w14:textId="77777777">
            <w:pPr>
              <w:tabs>
                <w:tab w:val="center" w:pos="284"/>
              </w:tabs>
              <w:ind w:left="266" w:hanging="266"/>
              <w:rPr>
                <w:szCs w:val="22"/>
                <w:lang w:val="sl-SI"/>
              </w:rPr>
            </w:pPr>
          </w:p>
        </w:tc>
      </w:tr>
      <w:tr w:rsidRPr="00112BD9" w:rsidR="005D58C5" w:rsidTr="005540B3" w14:paraId="5B5F9E70" w14:textId="77777777">
        <w:tc>
          <w:tcPr>
            <w:tcW w:w="2518" w:type="dxa"/>
          </w:tcPr>
          <w:p w:rsidRPr="00112BD9" w:rsidR="005D58C5" w:rsidP="005D58C5" w:rsidRDefault="005D58C5" w14:paraId="6DC38387" w14:textId="77777777">
            <w:pPr>
              <w:tabs>
                <w:tab w:val="center" w:pos="284"/>
              </w:tabs>
              <w:ind w:left="266" w:hanging="266"/>
              <w:rPr>
                <w:b/>
                <w:szCs w:val="22"/>
                <w:lang w:val="sl-SI"/>
              </w:rPr>
            </w:pPr>
            <w:r w:rsidRPr="00112BD9">
              <w:rPr>
                <w:b/>
                <w:lang w:val="sl-SI"/>
              </w:rPr>
              <w:t>Referenčna dokumenta</w:t>
            </w:r>
          </w:p>
        </w:tc>
        <w:tc>
          <w:tcPr>
            <w:tcW w:w="5987" w:type="dxa"/>
          </w:tcPr>
          <w:p w:rsidRPr="00112BD9" w:rsidR="005D58C5" w:rsidP="005D58C5" w:rsidRDefault="005D58C5" w14:paraId="0099CE94" w14:textId="77777777">
            <w:pPr>
              <w:tabs>
                <w:tab w:val="center" w:pos="284"/>
              </w:tabs>
              <w:ind w:left="266" w:hanging="266"/>
              <w:rPr>
                <w:lang w:val="sl-SI"/>
              </w:rPr>
            </w:pPr>
            <w:r w:rsidRPr="00112BD9">
              <w:rPr>
                <w:lang w:val="sl-SI"/>
              </w:rPr>
              <w:t>COM(2024) 704 final</w:t>
            </w:r>
          </w:p>
          <w:p w:rsidRPr="00112BD9" w:rsidR="005D58C5" w:rsidP="005D58C5" w:rsidRDefault="005D58C5" w14:paraId="2796B30C" w14:textId="1D512A61">
            <w:pPr>
              <w:tabs>
                <w:tab w:val="center" w:pos="284"/>
              </w:tabs>
              <w:ind w:left="266" w:hanging="266"/>
              <w:rPr>
                <w:szCs w:val="22"/>
                <w:lang w:val="sl-SI"/>
              </w:rPr>
            </w:pPr>
            <w:r w:rsidRPr="00112BD9">
              <w:rPr>
                <w:lang w:val="sl-SI"/>
              </w:rPr>
              <w:t>EESC-2024-03910-00-00-AC</w:t>
            </w:r>
          </w:p>
        </w:tc>
      </w:tr>
    </w:tbl>
    <w:p w:rsidRPr="00112BD9" w:rsidR="005D58C5" w:rsidP="005D58C5" w:rsidRDefault="005D58C5" w14:paraId="7E4E142D" w14:textId="77777777">
      <w:pPr>
        <w:keepNext/>
        <w:keepLines/>
        <w:tabs>
          <w:tab w:val="center" w:pos="284"/>
        </w:tabs>
        <w:ind w:left="266" w:hanging="266"/>
        <w:rPr>
          <w:b/>
          <w:lang w:val="sl-SI"/>
        </w:rPr>
      </w:pPr>
    </w:p>
    <w:p w:rsidRPr="00112BD9" w:rsidR="005D58C5" w:rsidP="005D58C5" w:rsidRDefault="005D58C5" w14:paraId="1468F0A5" w14:textId="77777777">
      <w:pPr>
        <w:keepNext/>
        <w:keepLines/>
        <w:tabs>
          <w:tab w:val="center" w:pos="284"/>
        </w:tabs>
        <w:ind w:left="266" w:hanging="266"/>
        <w:rPr>
          <w:b/>
          <w:lang w:val="sl-SI"/>
        </w:rPr>
      </w:pPr>
      <w:r w:rsidRPr="00112BD9">
        <w:rPr>
          <w:b/>
          <w:lang w:val="sl-SI"/>
        </w:rPr>
        <w:t>Glavne točke</w:t>
      </w:r>
    </w:p>
    <w:p w:rsidRPr="00112BD9" w:rsidR="005D58C5" w:rsidP="005D58C5" w:rsidRDefault="005D58C5" w14:paraId="18E4ABCE" w14:textId="77777777">
      <w:pPr>
        <w:keepNext/>
        <w:keepLines/>
        <w:tabs>
          <w:tab w:val="center" w:pos="284"/>
        </w:tabs>
        <w:ind w:left="266" w:hanging="266"/>
        <w:rPr>
          <w:b/>
          <w:szCs w:val="22"/>
          <w:lang w:val="sl-SI"/>
        </w:rPr>
      </w:pPr>
    </w:p>
    <w:p w:rsidRPr="00112BD9" w:rsidR="005D58C5" w:rsidP="005D58C5" w:rsidRDefault="005D58C5" w14:paraId="179FCAB7" w14:textId="77777777">
      <w:pPr>
        <w:rPr>
          <w:lang w:val="sl-SI"/>
        </w:rPr>
      </w:pPr>
      <w:r w:rsidRPr="00112BD9">
        <w:rPr>
          <w:lang w:val="sl-SI"/>
        </w:rPr>
        <w:t>EESO:</w:t>
      </w:r>
    </w:p>
    <w:p w:rsidRPr="00112BD9" w:rsidR="005D58C5" w:rsidP="005D58C5" w:rsidRDefault="005D58C5" w14:paraId="68308FE4" w14:textId="77777777">
      <w:pPr>
        <w:rPr>
          <w:lang w:val="sl-SI"/>
        </w:rPr>
      </w:pPr>
    </w:p>
    <w:p w:rsidRPr="00112BD9" w:rsidR="005D58C5" w:rsidP="007226E8" w:rsidRDefault="005D58C5" w14:paraId="2A0D0D9F" w14:textId="77777777">
      <w:pPr>
        <w:pStyle w:val="Heading2"/>
        <w:numPr>
          <w:ilvl w:val="0"/>
          <w:numId w:val="11"/>
        </w:numPr>
        <w:tabs>
          <w:tab w:val="num" w:pos="567"/>
        </w:tabs>
        <w:ind w:left="567" w:hanging="567"/>
        <w:rPr>
          <w:lang w:val="sl-SI"/>
        </w:rPr>
      </w:pPr>
      <w:r w:rsidRPr="00112BD9">
        <w:rPr>
          <w:lang w:val="sl-SI"/>
        </w:rPr>
        <w:t>poziva k nujnim ukrepom gospodarske politike za dosego gospodarske in sistemske odpornosti ter k ukrepom za trajnostno in odporno gospodarsko rast v euroobmočju, zlasti v primerjavi z največjimi konkurenti v svetovnem gospodarstvu;</w:t>
      </w:r>
    </w:p>
    <w:p w:rsidRPr="00112BD9" w:rsidR="005D58C5" w:rsidP="007226E8" w:rsidRDefault="005D58C5" w14:paraId="51D066E6" w14:textId="77777777">
      <w:pPr>
        <w:pStyle w:val="Heading2"/>
        <w:numPr>
          <w:ilvl w:val="0"/>
          <w:numId w:val="11"/>
        </w:numPr>
        <w:tabs>
          <w:tab w:val="num" w:pos="567"/>
        </w:tabs>
        <w:ind w:left="567" w:hanging="567"/>
        <w:rPr>
          <w:lang w:val="sl-SI"/>
        </w:rPr>
      </w:pPr>
      <w:r w:rsidRPr="00112BD9">
        <w:rPr>
          <w:lang w:val="sl-SI"/>
        </w:rPr>
        <w:t>priporoča poglabljanje notranjega trga, čimprejšnje sprejetje in uvedbo ukrepov za skupno usklajeno industrijsko politiko ter nacionalnih strukturnih reform. Odpraviti je treba pretirane upravne in regulativne ukrepe;</w:t>
      </w:r>
    </w:p>
    <w:p w:rsidRPr="00112BD9" w:rsidR="005D58C5" w:rsidP="007226E8" w:rsidRDefault="005D58C5" w14:paraId="4308731A" w14:textId="77777777">
      <w:pPr>
        <w:pStyle w:val="Heading2"/>
        <w:numPr>
          <w:ilvl w:val="0"/>
          <w:numId w:val="11"/>
        </w:numPr>
        <w:tabs>
          <w:tab w:val="num" w:pos="567"/>
        </w:tabs>
        <w:ind w:left="567" w:hanging="567"/>
        <w:rPr>
          <w:lang w:val="sl-SI"/>
        </w:rPr>
      </w:pPr>
      <w:r w:rsidRPr="00112BD9">
        <w:rPr>
          <w:lang w:val="sl-SI"/>
        </w:rPr>
        <w:t>poudarja, da je treba fiskalno vzdržnost povezati s potrebo po sprostitvi sredstev, ne le, da bi ponovno vzpostavili gospodarsko blaginjo, temveč tudi zato, ker je to v javnem interesu;</w:t>
      </w:r>
    </w:p>
    <w:p w:rsidRPr="00112BD9" w:rsidR="005D58C5" w:rsidP="007226E8" w:rsidRDefault="005D58C5" w14:paraId="3634755A" w14:textId="77777777">
      <w:pPr>
        <w:pStyle w:val="Heading2"/>
        <w:numPr>
          <w:ilvl w:val="0"/>
          <w:numId w:val="11"/>
        </w:numPr>
        <w:tabs>
          <w:tab w:val="num" w:pos="567"/>
        </w:tabs>
        <w:ind w:left="567" w:hanging="567"/>
        <w:rPr>
          <w:lang w:val="sl-SI"/>
        </w:rPr>
      </w:pPr>
      <w:r w:rsidRPr="00112BD9">
        <w:rPr>
          <w:lang w:val="sl-SI"/>
        </w:rPr>
        <w:t>podpira osredotočenost na povečanje konkurenčnosti, zlasti z zmanjšanjem naložbene vrzeli v primerjavi z ZDA in drugimi velikimi tekmeci v svetovnem gospodarstvu ter uvedbo pogojev za tvegani kapital, zlasti za podporo novoustanovljenim podjetjem ter širitev podjetij in družb;</w:t>
      </w:r>
    </w:p>
    <w:p w:rsidRPr="00112BD9" w:rsidR="005D58C5" w:rsidP="007226E8" w:rsidRDefault="005D58C5" w14:paraId="1586CD6C" w14:textId="77777777">
      <w:pPr>
        <w:pStyle w:val="Heading2"/>
        <w:numPr>
          <w:ilvl w:val="0"/>
          <w:numId w:val="11"/>
        </w:numPr>
        <w:tabs>
          <w:tab w:val="num" w:pos="567"/>
        </w:tabs>
        <w:ind w:left="567" w:hanging="567"/>
        <w:rPr>
          <w:lang w:val="sl-SI"/>
        </w:rPr>
      </w:pPr>
      <w:r w:rsidRPr="00112BD9">
        <w:rPr>
          <w:lang w:val="sl-SI"/>
        </w:rPr>
        <w:t>meni, da gospodarska politika držav članic euroobmočja ne zadeva le stabilnosti, vzdržnosti in izpopolnjevanja ključnih makroekonomskih kazalnikov, temveč tudi in predvsem korenite strukturne in institucionalne reforme;</w:t>
      </w:r>
    </w:p>
    <w:p w:rsidRPr="00112BD9" w:rsidR="005D58C5" w:rsidP="007226E8" w:rsidRDefault="005D58C5" w14:paraId="6F8365E6" w14:textId="77777777">
      <w:pPr>
        <w:pStyle w:val="Heading2"/>
        <w:numPr>
          <w:ilvl w:val="0"/>
          <w:numId w:val="11"/>
        </w:numPr>
        <w:tabs>
          <w:tab w:val="num" w:pos="567"/>
        </w:tabs>
        <w:ind w:left="567" w:hanging="567"/>
        <w:rPr>
          <w:lang w:val="sl-SI"/>
        </w:rPr>
      </w:pPr>
      <w:r w:rsidRPr="00112BD9">
        <w:rPr>
          <w:lang w:val="sl-SI"/>
        </w:rPr>
        <w:t>poudarja, da je zato treba spremeniti institucionalne in zakonodajne ukrepe za prožnost trga dela, realno rast plač in produktivnost dela ter okrepiti socialno varnost s podporo vključevanju in dostopu do stanovanj;</w:t>
      </w:r>
    </w:p>
    <w:p w:rsidRPr="00112BD9" w:rsidR="005D58C5" w:rsidP="007226E8" w:rsidRDefault="005D58C5" w14:paraId="1EE91534" w14:textId="77777777">
      <w:pPr>
        <w:pStyle w:val="Heading2"/>
        <w:numPr>
          <w:ilvl w:val="0"/>
          <w:numId w:val="11"/>
        </w:numPr>
        <w:tabs>
          <w:tab w:val="num" w:pos="567"/>
        </w:tabs>
        <w:ind w:left="567" w:hanging="567"/>
        <w:rPr>
          <w:lang w:val="sl-SI"/>
        </w:rPr>
      </w:pPr>
      <w:r w:rsidRPr="00112BD9">
        <w:rPr>
          <w:lang w:val="sl-SI"/>
        </w:rPr>
        <w:t>ugotavlja, da je zaradi večjih izdatkov za financiranje prehoda, obrambe in staranja prebivalstva ter večjih izdatkov za kritje stroškov izposojanja in servisiranje dolga pomembno imeti verodostojen srednjeročni fiskalni okvir;</w:t>
      </w:r>
    </w:p>
    <w:p w:rsidRPr="00112BD9" w:rsidR="005D58C5" w:rsidP="007226E8" w:rsidRDefault="005D58C5" w14:paraId="6EDF2E0D" w14:textId="77777777">
      <w:pPr>
        <w:pStyle w:val="Heading2"/>
        <w:numPr>
          <w:ilvl w:val="0"/>
          <w:numId w:val="11"/>
        </w:numPr>
        <w:tabs>
          <w:tab w:val="num" w:pos="567"/>
        </w:tabs>
        <w:ind w:left="567" w:hanging="567"/>
        <w:rPr>
          <w:color w:val="000000" w:themeColor="text1"/>
          <w:lang w:val="sl-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2BD9">
        <w:rPr>
          <w:lang w:val="sl-SI"/>
        </w:rPr>
        <w:t>podpira prizadevanja Komisije za splošno večjo učinkovitost javnih financ in zmanjšanje količine denarja, ki se hrani v davčnih oazah. Podpira tudi načrte skupine G20 glede obdavčitve pravnih oseb;</w:t>
      </w:r>
    </w:p>
    <w:p w:rsidRPr="00112BD9" w:rsidR="005D58C5" w:rsidP="007226E8" w:rsidRDefault="005D58C5" w14:paraId="02F6917A" w14:textId="77777777">
      <w:pPr>
        <w:pStyle w:val="Heading2"/>
        <w:numPr>
          <w:ilvl w:val="0"/>
          <w:numId w:val="11"/>
        </w:numPr>
        <w:tabs>
          <w:tab w:val="num" w:pos="567"/>
        </w:tabs>
        <w:ind w:left="567" w:hanging="567"/>
        <w:rPr>
          <w:lang w:val="sl-SI"/>
        </w:rPr>
      </w:pPr>
      <w:r w:rsidRPr="00112BD9">
        <w:rPr>
          <w:lang w:val="sl-SI"/>
        </w:rPr>
        <w:t>poudarja potrebo po dodatni odgovornosti in zavezanosti pri sprejemanju in izvajanju posameznih ukrepov. Da bi se soočili z izjemnimi izzivi, ki so pred nami, bodo morale vse pristojne in odgovorne strani bolj kot kdaj koli prej sodelovati v dialogu in si skupaj prizadevati, da bi gospodarstva euroobmočja usmerili na trajnostno in odporno pot.</w:t>
      </w:r>
    </w:p>
    <w:p w:rsidRPr="00112BD9" w:rsidR="005D58C5" w:rsidP="005D58C5" w:rsidRDefault="005D58C5" w14:paraId="4837A666" w14:textId="77777777">
      <w:pPr>
        <w:rPr>
          <w:bCs/>
          <w:iCs/>
          <w:szCs w:val="22"/>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137"/>
      </w:tblGrid>
      <w:tr w:rsidRPr="00112BD9" w:rsidR="005D58C5" w:rsidTr="005540B3" w14:paraId="052F5966" w14:textId="77777777">
        <w:tc>
          <w:tcPr>
            <w:tcW w:w="1951" w:type="dxa"/>
          </w:tcPr>
          <w:p w:rsidRPr="00112BD9" w:rsidR="005D58C5" w:rsidP="005D58C5" w:rsidRDefault="005D58C5" w14:paraId="19F76FED" w14:textId="77777777">
            <w:pPr>
              <w:rPr>
                <w:i/>
                <w:szCs w:val="22"/>
                <w:lang w:val="sl-SI"/>
              </w:rPr>
            </w:pPr>
            <w:r w:rsidRPr="00112BD9">
              <w:rPr>
                <w:b/>
                <w:i/>
                <w:lang w:val="sl-SI"/>
              </w:rPr>
              <w:t>Kontaktna oseba</w:t>
            </w:r>
          </w:p>
        </w:tc>
        <w:tc>
          <w:tcPr>
            <w:tcW w:w="5137" w:type="dxa"/>
          </w:tcPr>
          <w:p w:rsidRPr="00112BD9" w:rsidR="005D58C5" w:rsidP="005D58C5" w:rsidRDefault="005D58C5" w14:paraId="448D8B8C" w14:textId="77777777">
            <w:pPr>
              <w:rPr>
                <w:i/>
                <w:szCs w:val="22"/>
                <w:lang w:val="sl-SI"/>
              </w:rPr>
            </w:pPr>
            <w:r w:rsidRPr="00112BD9">
              <w:rPr>
                <w:i/>
                <w:lang w:val="sl-SI"/>
              </w:rPr>
              <w:t xml:space="preserve">Krisztina PERLAKY-TÓTH </w:t>
            </w:r>
          </w:p>
        </w:tc>
      </w:tr>
      <w:tr w:rsidRPr="00112BD9" w:rsidR="005D58C5" w:rsidTr="005540B3" w14:paraId="44AE8582" w14:textId="77777777">
        <w:tc>
          <w:tcPr>
            <w:tcW w:w="1951" w:type="dxa"/>
          </w:tcPr>
          <w:p w:rsidRPr="00112BD9" w:rsidR="005D58C5" w:rsidP="005D58C5" w:rsidRDefault="005D58C5" w14:paraId="048541E0" w14:textId="77777777">
            <w:pPr>
              <w:rPr>
                <w:i/>
                <w:szCs w:val="22"/>
                <w:lang w:val="sl-SI"/>
              </w:rPr>
            </w:pPr>
            <w:r w:rsidRPr="00112BD9">
              <w:rPr>
                <w:i/>
                <w:lang w:val="sl-SI"/>
              </w:rPr>
              <w:t>Telefon</w:t>
            </w:r>
          </w:p>
        </w:tc>
        <w:tc>
          <w:tcPr>
            <w:tcW w:w="5137" w:type="dxa"/>
          </w:tcPr>
          <w:p w:rsidRPr="00112BD9" w:rsidR="005D58C5" w:rsidP="005D58C5" w:rsidRDefault="005D58C5" w14:paraId="073CDB1C" w14:textId="77777777">
            <w:pPr>
              <w:rPr>
                <w:i/>
                <w:szCs w:val="22"/>
                <w:lang w:val="sl-SI"/>
              </w:rPr>
            </w:pPr>
            <w:r w:rsidRPr="00112BD9">
              <w:rPr>
                <w:i/>
                <w:lang w:val="sl-SI"/>
              </w:rPr>
              <w:t>+32 2</w:t>
            </w:r>
            <w:r w:rsidRPr="00112BD9">
              <w:rPr>
                <w:lang w:val="sl-SI"/>
              </w:rPr>
              <w:t xml:space="preserve"> </w:t>
            </w:r>
            <w:r w:rsidRPr="00112BD9">
              <w:rPr>
                <w:i/>
                <w:lang w:val="sl-SI"/>
              </w:rPr>
              <w:t>5469740</w:t>
            </w:r>
          </w:p>
        </w:tc>
      </w:tr>
      <w:tr w:rsidRPr="00112BD9" w:rsidR="005D58C5" w:rsidTr="005540B3" w14:paraId="4B9BB09D" w14:textId="77777777">
        <w:tc>
          <w:tcPr>
            <w:tcW w:w="1951" w:type="dxa"/>
          </w:tcPr>
          <w:p w:rsidRPr="00112BD9" w:rsidR="005D58C5" w:rsidP="005D58C5" w:rsidRDefault="005D58C5" w14:paraId="764498E0" w14:textId="77777777">
            <w:pPr>
              <w:rPr>
                <w:i/>
                <w:szCs w:val="22"/>
                <w:lang w:val="sl-SI"/>
              </w:rPr>
            </w:pPr>
            <w:r w:rsidRPr="00112BD9">
              <w:rPr>
                <w:i/>
                <w:lang w:val="sl-SI"/>
              </w:rPr>
              <w:t>E-naslov</w:t>
            </w:r>
          </w:p>
        </w:tc>
        <w:tc>
          <w:tcPr>
            <w:tcW w:w="5137" w:type="dxa"/>
          </w:tcPr>
          <w:p w:rsidRPr="00112BD9" w:rsidR="005D58C5" w:rsidP="005D58C5" w:rsidRDefault="005D58C5" w14:paraId="40A9C29C" w14:textId="77777777">
            <w:pPr>
              <w:rPr>
                <w:i/>
                <w:szCs w:val="22"/>
                <w:lang w:val="sl-SI"/>
              </w:rPr>
            </w:pPr>
            <w:hyperlink w:history="1" r:id="rId21">
              <w:r w:rsidRPr="00112BD9">
                <w:rPr>
                  <w:rStyle w:val="Hyperlink"/>
                  <w:rFonts w:eastAsiaTheme="majorEastAsia"/>
                  <w:i/>
                  <w:lang w:val="sl-SI"/>
                </w:rPr>
                <w:t>Krisztina.PerlakyToth@eesc.europa.eu</w:t>
              </w:r>
            </w:hyperlink>
            <w:r w:rsidRPr="00112BD9">
              <w:rPr>
                <w:i/>
                <w:lang w:val="sl-SI"/>
              </w:rPr>
              <w:t xml:space="preserve"> </w:t>
            </w:r>
          </w:p>
        </w:tc>
      </w:tr>
    </w:tbl>
    <w:p w:rsidRPr="00112BD9" w:rsidR="00437105" w:rsidP="00C447A6" w:rsidRDefault="00437105" w14:paraId="1786FC85" w14:textId="77777777">
      <w:pPr>
        <w:pStyle w:val="Heading1"/>
        <w:pageBreakBefore/>
        <w:overflowPunct/>
        <w:autoSpaceDE/>
        <w:autoSpaceDN/>
        <w:adjustRightInd/>
        <w:ind w:left="567" w:hanging="567"/>
        <w:textAlignment w:val="auto"/>
        <w:rPr>
          <w:lang w:val="sl-SI"/>
        </w:rPr>
      </w:pPr>
      <w:bookmarkStart w:name="_Toc103071392" w:id="1"/>
      <w:bookmarkStart w:name="_Toc189238817" w:id="2"/>
      <w:r w:rsidRPr="00112BD9">
        <w:rPr>
          <w:b/>
          <w:lang w:val="sl-SI"/>
        </w:rPr>
        <w:lastRenderedPageBreak/>
        <w:t>ZAPOSLOVANJE, SOCIALNE ZADEVE IN DRŽAVLJANSTVO</w:t>
      </w:r>
      <w:bookmarkEnd w:id="1"/>
      <w:bookmarkEnd w:id="2"/>
    </w:p>
    <w:p w:rsidRPr="00112BD9" w:rsidR="00437105" w:rsidP="001F6F3D" w:rsidRDefault="00437105" w14:paraId="30923A4E" w14:textId="5EC4EFE0">
      <w:pPr>
        <w:rPr>
          <w:lang w:val="sl-SI"/>
        </w:rPr>
      </w:pPr>
    </w:p>
    <w:bookmarkStart w:name="_Toc103071393" w:id="3"/>
    <w:p w:rsidRPr="00112BD9" w:rsidR="007226E8" w:rsidP="007226E8" w:rsidRDefault="007226E8" w14:paraId="59159897" w14:textId="1331E3B6">
      <w:pPr>
        <w:numPr>
          <w:ilvl w:val="0"/>
          <w:numId w:val="12"/>
        </w:numPr>
        <w:suppressAutoHyphens/>
        <w:ind w:left="567" w:hanging="567"/>
        <w:rPr>
          <w:rStyle w:val="Hyperlink"/>
          <w:rFonts w:eastAsiaTheme="majorEastAsia"/>
          <w:b/>
          <w:color w:val="auto"/>
          <w:szCs w:val="22"/>
          <w:lang w:val="sl-SI"/>
        </w:rPr>
      </w:pPr>
      <w:r w:rsidRPr="00112BD9">
        <w:rPr>
          <w:lang w:val="sl-SI"/>
        </w:rPr>
        <w:fldChar w:fldCharType="begin"/>
      </w:r>
      <w:r w:rsidRPr="00112BD9">
        <w:rPr>
          <w:lang w:val="sl-SI"/>
        </w:rPr>
        <w:instrText xml:space="preserve"> HYPERLINK "https://www.eesc.europa.eu/sl/our-work/opinions-information-reports/opinions/evaluation-european-commissions-annual-reports-rule-law-european-union" </w:instrText>
      </w:r>
      <w:r w:rsidRPr="00112BD9">
        <w:rPr>
          <w:lang w:val="sl-SI"/>
        </w:rPr>
        <w:fldChar w:fldCharType="separate"/>
      </w:r>
      <w:r w:rsidRPr="00112BD9">
        <w:rPr>
          <w:rStyle w:val="Hyperlink"/>
          <w:rFonts w:eastAsiaTheme="majorEastAsia"/>
          <w:b/>
          <w:i/>
          <w:sz w:val="28"/>
          <w:lang w:val="sl-SI"/>
        </w:rPr>
        <w:t>Letna poročila o stanju pravne države v EU</w:t>
      </w:r>
      <w:r w:rsidRPr="00112BD9">
        <w:rPr>
          <w:rStyle w:val="Hyperlink"/>
          <w:rFonts w:eastAsiaTheme="majorEastAsia"/>
          <w:b/>
          <w:i/>
          <w:sz w:val="28"/>
          <w:lang w:val="sl-SI"/>
        </w:rPr>
        <w:fldChar w:fldCharType="end"/>
      </w:r>
    </w:p>
    <w:p w:rsidRPr="00112BD9" w:rsidR="007226E8" w:rsidP="007226E8" w:rsidRDefault="007226E8" w14:paraId="2C8BB432" w14:textId="77777777">
      <w:pPr>
        <w:tabs>
          <w:tab w:val="center" w:pos="284"/>
        </w:tabs>
        <w:suppressAutoHyphens/>
        <w:spacing w:line="240" w:lineRule="auto"/>
        <w:ind w:left="567" w:hanging="567"/>
        <w:rPr>
          <w:szCs w:val="22"/>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38"/>
        <w:gridCol w:w="6633"/>
      </w:tblGrid>
      <w:tr w:rsidRPr="00112BD9" w:rsidR="007226E8" w:rsidTr="005540B3" w14:paraId="3B2F0D22" w14:textId="77777777">
        <w:tc>
          <w:tcPr>
            <w:tcW w:w="2518" w:type="dxa"/>
          </w:tcPr>
          <w:p w:rsidRPr="00112BD9" w:rsidR="007226E8" w:rsidP="005540B3" w:rsidRDefault="007226E8" w14:paraId="068CA5C1" w14:textId="77777777">
            <w:pPr>
              <w:tabs>
                <w:tab w:val="center" w:pos="284"/>
              </w:tabs>
              <w:suppressAutoHyphens/>
              <w:ind w:left="567" w:hanging="567"/>
              <w:rPr>
                <w:b/>
                <w:szCs w:val="22"/>
                <w:lang w:val="sl-SI"/>
              </w:rPr>
            </w:pPr>
            <w:r w:rsidRPr="00112BD9">
              <w:rPr>
                <w:b/>
                <w:szCs w:val="22"/>
                <w:lang w:val="sl-SI"/>
              </w:rPr>
              <w:t>Poročevalka</w:t>
            </w:r>
          </w:p>
        </w:tc>
        <w:tc>
          <w:tcPr>
            <w:tcW w:w="7229" w:type="dxa"/>
          </w:tcPr>
          <w:p w:rsidRPr="00112BD9" w:rsidR="007226E8" w:rsidP="005540B3" w:rsidRDefault="007226E8" w14:paraId="5CBF8A72" w14:textId="77777777">
            <w:pPr>
              <w:suppressAutoHyphens/>
              <w:rPr>
                <w:szCs w:val="22"/>
                <w:lang w:val="sl-SI"/>
              </w:rPr>
            </w:pPr>
            <w:r w:rsidRPr="00112BD9">
              <w:rPr>
                <w:szCs w:val="22"/>
                <w:lang w:val="sl-SI"/>
              </w:rPr>
              <w:t>Ozlem YILDIRIM (skupina delojemalcev – FR)</w:t>
            </w:r>
          </w:p>
        </w:tc>
      </w:tr>
      <w:tr w:rsidRPr="00112BD9" w:rsidR="007226E8" w:rsidTr="005540B3" w14:paraId="52C11EB7" w14:textId="77777777">
        <w:tc>
          <w:tcPr>
            <w:tcW w:w="2518" w:type="dxa"/>
          </w:tcPr>
          <w:p w:rsidRPr="00112BD9" w:rsidR="007226E8" w:rsidP="005540B3" w:rsidRDefault="007226E8" w14:paraId="1717A367" w14:textId="77777777">
            <w:pPr>
              <w:tabs>
                <w:tab w:val="center" w:pos="284"/>
              </w:tabs>
              <w:suppressAutoHyphens/>
              <w:ind w:left="567" w:hanging="567"/>
              <w:rPr>
                <w:b/>
                <w:szCs w:val="22"/>
                <w:lang w:val="sl-SI"/>
              </w:rPr>
            </w:pPr>
            <w:r w:rsidRPr="00112BD9">
              <w:rPr>
                <w:b/>
                <w:szCs w:val="22"/>
                <w:lang w:val="sl-SI"/>
              </w:rPr>
              <w:t>Soporočevalec</w:t>
            </w:r>
          </w:p>
        </w:tc>
        <w:tc>
          <w:tcPr>
            <w:tcW w:w="7229" w:type="dxa"/>
          </w:tcPr>
          <w:p w:rsidRPr="00112BD9" w:rsidR="007226E8" w:rsidP="005540B3" w:rsidRDefault="007226E8" w14:paraId="00E455ED" w14:textId="77777777">
            <w:pPr>
              <w:suppressAutoHyphens/>
              <w:rPr>
                <w:szCs w:val="22"/>
                <w:lang w:val="sl-SI"/>
              </w:rPr>
            </w:pPr>
            <w:r w:rsidRPr="00112BD9">
              <w:rPr>
                <w:szCs w:val="22"/>
                <w:lang w:val="sl-SI"/>
              </w:rPr>
              <w:t>Christian MOOS (skupina organizacij civilne družbe – DE)</w:t>
            </w:r>
          </w:p>
        </w:tc>
      </w:tr>
      <w:tr w:rsidRPr="00112BD9" w:rsidR="007226E8" w:rsidTr="005540B3" w14:paraId="65D055CA" w14:textId="77777777">
        <w:tc>
          <w:tcPr>
            <w:tcW w:w="9747" w:type="dxa"/>
            <w:gridSpan w:val="2"/>
          </w:tcPr>
          <w:p w:rsidRPr="00112BD9" w:rsidR="007226E8" w:rsidP="005540B3" w:rsidRDefault="007226E8" w14:paraId="55C44678" w14:textId="77777777">
            <w:pPr>
              <w:suppressAutoHyphens/>
              <w:spacing w:line="240" w:lineRule="auto"/>
              <w:rPr>
                <w:sz w:val="16"/>
                <w:szCs w:val="16"/>
                <w:lang w:val="sl-SI"/>
              </w:rPr>
            </w:pPr>
          </w:p>
        </w:tc>
      </w:tr>
      <w:tr w:rsidRPr="00112BD9" w:rsidR="007226E8" w:rsidTr="005540B3" w14:paraId="78730671" w14:textId="77777777">
        <w:tc>
          <w:tcPr>
            <w:tcW w:w="2518" w:type="dxa"/>
          </w:tcPr>
          <w:p w:rsidRPr="00112BD9" w:rsidR="007226E8" w:rsidP="005540B3" w:rsidRDefault="007226E8" w14:paraId="04780B51" w14:textId="77777777">
            <w:pPr>
              <w:tabs>
                <w:tab w:val="center" w:pos="284"/>
              </w:tabs>
              <w:suppressAutoHyphens/>
              <w:ind w:left="567" w:hanging="567"/>
              <w:rPr>
                <w:b/>
                <w:szCs w:val="22"/>
                <w:lang w:val="sl-SI"/>
              </w:rPr>
            </w:pPr>
            <w:r w:rsidRPr="00112BD9">
              <w:rPr>
                <w:b/>
                <w:szCs w:val="22"/>
                <w:lang w:val="sl-SI"/>
              </w:rPr>
              <w:t>Referenčni dokument</w:t>
            </w:r>
          </w:p>
        </w:tc>
        <w:tc>
          <w:tcPr>
            <w:tcW w:w="7229" w:type="dxa"/>
          </w:tcPr>
          <w:p w:rsidRPr="00112BD9" w:rsidR="007226E8" w:rsidP="005540B3" w:rsidRDefault="007226E8" w14:paraId="260AFC56" w14:textId="6726C07E">
            <w:pPr>
              <w:tabs>
                <w:tab w:val="center" w:pos="284"/>
              </w:tabs>
              <w:suppressAutoHyphens/>
              <w:ind w:left="567" w:hanging="567"/>
              <w:rPr>
                <w:szCs w:val="22"/>
                <w:lang w:val="sl-SI"/>
              </w:rPr>
            </w:pPr>
            <w:r w:rsidRPr="00112BD9">
              <w:rPr>
                <w:szCs w:val="22"/>
                <w:lang w:val="sl-SI"/>
              </w:rPr>
              <w:t>mnenje na lastno pobudo</w:t>
            </w:r>
          </w:p>
          <w:p w:rsidRPr="00112BD9" w:rsidR="007226E8" w:rsidP="005540B3" w:rsidRDefault="007226E8" w14:paraId="0C56C93E" w14:textId="14D0B70C">
            <w:pPr>
              <w:tabs>
                <w:tab w:val="center" w:pos="284"/>
              </w:tabs>
              <w:suppressAutoHyphens/>
              <w:ind w:left="567" w:hanging="567"/>
              <w:rPr>
                <w:szCs w:val="22"/>
                <w:lang w:val="sl-SI"/>
              </w:rPr>
            </w:pPr>
            <w:r w:rsidRPr="00112BD9">
              <w:rPr>
                <w:szCs w:val="22"/>
                <w:lang w:val="sl-SI"/>
              </w:rPr>
              <w:t>EESC-2024-01961-00-00-AC</w:t>
            </w:r>
          </w:p>
        </w:tc>
      </w:tr>
    </w:tbl>
    <w:p w:rsidRPr="00112BD9" w:rsidR="007226E8" w:rsidP="007226E8" w:rsidRDefault="007226E8" w14:paraId="6FCB22B8" w14:textId="77777777">
      <w:pPr>
        <w:tabs>
          <w:tab w:val="center" w:pos="284"/>
        </w:tabs>
        <w:suppressAutoHyphens/>
        <w:spacing w:line="240" w:lineRule="auto"/>
        <w:ind w:left="266" w:hanging="266"/>
        <w:rPr>
          <w:bCs/>
          <w:szCs w:val="22"/>
          <w:lang w:val="sl-SI"/>
        </w:rPr>
      </w:pPr>
    </w:p>
    <w:p w:rsidRPr="00112BD9" w:rsidR="007226E8" w:rsidP="007226E8" w:rsidRDefault="007226E8" w14:paraId="5EFFEED8" w14:textId="77777777">
      <w:pPr>
        <w:tabs>
          <w:tab w:val="center" w:pos="284"/>
        </w:tabs>
        <w:suppressAutoHyphens/>
        <w:ind w:left="266" w:hanging="266"/>
        <w:rPr>
          <w:b/>
          <w:szCs w:val="22"/>
          <w:lang w:val="sl-SI"/>
        </w:rPr>
      </w:pPr>
      <w:r w:rsidRPr="00112BD9">
        <w:rPr>
          <w:b/>
          <w:szCs w:val="22"/>
          <w:lang w:val="sl-SI"/>
        </w:rPr>
        <w:t>Glavne točke</w:t>
      </w:r>
    </w:p>
    <w:p w:rsidRPr="00112BD9" w:rsidR="007226E8" w:rsidP="007226E8" w:rsidRDefault="007226E8" w14:paraId="1B7AB401" w14:textId="77777777">
      <w:pPr>
        <w:suppressAutoHyphens/>
        <w:spacing w:line="240" w:lineRule="auto"/>
        <w:rPr>
          <w:szCs w:val="22"/>
          <w:lang w:val="sl-SI"/>
        </w:rPr>
      </w:pPr>
    </w:p>
    <w:p w:rsidRPr="00112BD9" w:rsidR="007226E8" w:rsidP="007226E8" w:rsidRDefault="007226E8" w14:paraId="4D58548B" w14:textId="22D818D8">
      <w:pPr>
        <w:suppressAutoHyphens/>
        <w:rPr>
          <w:szCs w:val="22"/>
          <w:lang w:val="sl-SI"/>
        </w:rPr>
      </w:pPr>
      <w:r w:rsidRPr="00112BD9">
        <w:rPr>
          <w:szCs w:val="22"/>
          <w:lang w:val="sl-SI"/>
        </w:rPr>
        <w:t>EESO:</w:t>
      </w:r>
    </w:p>
    <w:p w:rsidRPr="00112BD9" w:rsidR="009C626C" w:rsidP="007226E8" w:rsidRDefault="009C626C" w14:paraId="573DE152" w14:textId="77777777">
      <w:pPr>
        <w:suppressAutoHyphens/>
        <w:rPr>
          <w:szCs w:val="22"/>
          <w:lang w:val="sl-SI"/>
        </w:rPr>
      </w:pPr>
    </w:p>
    <w:p w:rsidRPr="00112BD9" w:rsidR="007226E8" w:rsidP="009C626C" w:rsidRDefault="007226E8" w14:paraId="50B02B97" w14:textId="77777777">
      <w:pPr>
        <w:numPr>
          <w:ilvl w:val="0"/>
          <w:numId w:val="13"/>
        </w:numPr>
        <w:suppressAutoHyphens/>
        <w:ind w:left="567" w:hanging="567"/>
        <w:rPr>
          <w:szCs w:val="22"/>
          <w:lang w:val="sl-SI"/>
        </w:rPr>
      </w:pPr>
      <w:r w:rsidRPr="00112BD9">
        <w:rPr>
          <w:szCs w:val="22"/>
          <w:lang w:val="sl-SI"/>
        </w:rPr>
        <w:t>obsoja poslabšanje razmer na področju človekovih pravic, pravne države in demokracije. Evropski komisiji izreka pohvalo za zbirko orodij za krepitev pravne države. Letna poročila o stanju pravne države predstavljajo napredek, vendar EESO ugotavlja, da še vedno obstajajo nekatere pomanjkljivosti, in se zavzema za nadaljnje izboljšave;</w:t>
      </w:r>
    </w:p>
    <w:p w:rsidRPr="00112BD9" w:rsidR="007226E8" w:rsidP="009C626C" w:rsidRDefault="007226E8" w14:paraId="11852A8E" w14:textId="77777777">
      <w:pPr>
        <w:numPr>
          <w:ilvl w:val="0"/>
          <w:numId w:val="13"/>
        </w:numPr>
        <w:suppressAutoHyphens/>
        <w:ind w:left="567" w:hanging="567"/>
        <w:rPr>
          <w:szCs w:val="22"/>
          <w:lang w:val="sl-SI"/>
        </w:rPr>
      </w:pPr>
      <w:r w:rsidRPr="00112BD9">
        <w:rPr>
          <w:szCs w:val="22"/>
          <w:lang w:val="sl-SI"/>
        </w:rPr>
        <w:t>priporoča, naj Komisija poskrbi za vsebinsko vključitev civilne družbe tako v pripravo poročila kot tudi v nadaljnje ukrepe na nacionalni ravni, da se zagotovita dejavna udeležba in odgovornost deležnikov, tudi s pomočjo EESO;</w:t>
      </w:r>
    </w:p>
    <w:p w:rsidRPr="00112BD9" w:rsidR="007226E8" w:rsidP="009C626C" w:rsidRDefault="007226E8" w14:paraId="3CBE563D" w14:textId="77777777">
      <w:pPr>
        <w:numPr>
          <w:ilvl w:val="0"/>
          <w:numId w:val="13"/>
        </w:numPr>
        <w:suppressAutoHyphens/>
        <w:ind w:left="567" w:hanging="567"/>
        <w:rPr>
          <w:szCs w:val="22"/>
          <w:lang w:val="sl-SI"/>
        </w:rPr>
      </w:pPr>
      <w:r w:rsidRPr="00112BD9">
        <w:rPr>
          <w:szCs w:val="22"/>
          <w:lang w:val="sl-SI"/>
        </w:rPr>
        <w:t>priporoča, naj Komisija uvede bolj razdelan analitičen pristop, ki bo vključeval neodvisne strokovnjake, obiske na terenu in bolj neposreden jezik pri ocenjevanju;</w:t>
      </w:r>
    </w:p>
    <w:p w:rsidRPr="00112BD9" w:rsidR="007226E8" w:rsidP="009C626C" w:rsidRDefault="007226E8" w14:paraId="6CFF3507" w14:textId="77777777">
      <w:pPr>
        <w:numPr>
          <w:ilvl w:val="0"/>
          <w:numId w:val="13"/>
        </w:numPr>
        <w:suppressAutoHyphens/>
        <w:ind w:left="567" w:hanging="567"/>
        <w:rPr>
          <w:szCs w:val="22"/>
          <w:lang w:val="sl-SI"/>
        </w:rPr>
      </w:pPr>
      <w:r w:rsidRPr="00112BD9">
        <w:rPr>
          <w:szCs w:val="22"/>
          <w:lang w:val="sl-SI"/>
        </w:rPr>
        <w:t>priporoča, da se v letnem poročilu o stanju pravne države razširi razdelek o organizacijah civilne družbe ter poda ocena na podlagi objektivnih meril in preglednega dialoga z organizacijami civilne družbe;</w:t>
      </w:r>
    </w:p>
    <w:p w:rsidRPr="00112BD9" w:rsidR="007226E8" w:rsidP="009C626C" w:rsidRDefault="007226E8" w14:paraId="15A249B4" w14:textId="77777777">
      <w:pPr>
        <w:numPr>
          <w:ilvl w:val="0"/>
          <w:numId w:val="13"/>
        </w:numPr>
        <w:suppressAutoHyphens/>
        <w:ind w:left="567" w:hanging="567"/>
        <w:rPr>
          <w:szCs w:val="22"/>
          <w:lang w:val="sl-SI"/>
        </w:rPr>
      </w:pPr>
      <w:r w:rsidRPr="00112BD9">
        <w:rPr>
          <w:szCs w:val="22"/>
          <w:lang w:val="sl-SI"/>
        </w:rPr>
        <w:t>svetuje Komisiji, naj pripravi natančnejša in merljiva priporočila za posamezne države z jasnimi merili, kazalniki in roki. Zavzema se za temeljitejšo naknadno oceno izvajanja teh priporočil s pregledno predstavitvijo, v kateri bi bilo tudi navedeno, katere države članice niso izpolnile meril ali spoštovale rokov, ter poziva Komisijo, naj letnemu poročilu o stanju pravne države da večjo težo pri sprožitvi drugih mehanizmov pravne države, kadar države ne izvajajo specifičnih priporočil;</w:t>
      </w:r>
    </w:p>
    <w:p w:rsidRPr="00112BD9" w:rsidR="007226E8" w:rsidP="009C626C" w:rsidRDefault="007226E8" w14:paraId="0DF2311F" w14:textId="77777777">
      <w:pPr>
        <w:numPr>
          <w:ilvl w:val="0"/>
          <w:numId w:val="13"/>
        </w:numPr>
        <w:suppressAutoHyphens/>
        <w:ind w:left="567" w:hanging="567"/>
        <w:rPr>
          <w:szCs w:val="22"/>
          <w:lang w:val="sl-SI"/>
        </w:rPr>
      </w:pPr>
      <w:r w:rsidRPr="00112BD9">
        <w:rPr>
          <w:szCs w:val="22"/>
          <w:lang w:val="sl-SI"/>
        </w:rPr>
        <w:t>priporoča, naj Komisija z uporabo enostavnejšega jezika poročila približa splošni javnosti in novinarjem ter predlaga celovito komunikacijsko strategijo za ozaveščanje o temeljnih pravicah in pravni državi;</w:t>
      </w:r>
    </w:p>
    <w:p w:rsidRPr="00112BD9" w:rsidR="007226E8" w:rsidP="009C626C" w:rsidRDefault="007226E8" w14:paraId="1F53249E" w14:textId="77777777">
      <w:pPr>
        <w:numPr>
          <w:ilvl w:val="0"/>
          <w:numId w:val="13"/>
        </w:numPr>
        <w:suppressAutoHyphens/>
        <w:ind w:left="567" w:hanging="567"/>
        <w:rPr>
          <w:szCs w:val="22"/>
          <w:lang w:val="sl-SI"/>
        </w:rPr>
      </w:pPr>
      <w:r w:rsidRPr="00112BD9">
        <w:rPr>
          <w:szCs w:val="22"/>
          <w:lang w:val="sl-SI"/>
        </w:rPr>
        <w:t>z zanimanjem spremlja namero predsednice Komisije za ustanovitev platforme civilne družbe in ponavlja, da je kakovosten dialog več kot zgolj posvetovanje. EESO mora sodelovati pri upravljanju in biti ključni akter vseh tovrstnih platform, saj je v skladu s Pogodbo posvetovalni organ, ki zastopa stališča poslovnih združenj, sindikatov in organizirane civilne družbe.</w:t>
      </w:r>
    </w:p>
    <w:p w:rsidRPr="00112BD9" w:rsidR="007226E8" w:rsidP="007226E8" w:rsidRDefault="007226E8" w14:paraId="53B07745" w14:textId="77777777">
      <w:pPr>
        <w:suppressAutoHyphens/>
        <w:spacing w:line="240"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5"/>
        <w:gridCol w:w="7536"/>
      </w:tblGrid>
      <w:tr w:rsidRPr="00112BD9" w:rsidR="007226E8" w:rsidTr="005540B3" w14:paraId="12188A77" w14:textId="77777777">
        <w:trPr>
          <w:trHeight w:val="60"/>
        </w:trPr>
        <w:tc>
          <w:tcPr>
            <w:tcW w:w="846" w:type="pct"/>
            <w:hideMark/>
          </w:tcPr>
          <w:p w:rsidRPr="00112BD9" w:rsidR="007226E8" w:rsidP="005540B3" w:rsidRDefault="007226E8" w14:paraId="33DC82E9" w14:textId="77777777">
            <w:pPr>
              <w:suppressAutoHyphens/>
              <w:rPr>
                <w:i/>
                <w:szCs w:val="22"/>
                <w:lang w:val="sl-SI"/>
              </w:rPr>
            </w:pPr>
            <w:r w:rsidRPr="00112BD9">
              <w:rPr>
                <w:b/>
                <w:i/>
                <w:szCs w:val="22"/>
                <w:lang w:val="sl-SI"/>
              </w:rPr>
              <w:t>Kontakt</w:t>
            </w:r>
          </w:p>
        </w:tc>
        <w:tc>
          <w:tcPr>
            <w:tcW w:w="4154" w:type="pct"/>
            <w:hideMark/>
          </w:tcPr>
          <w:p w:rsidRPr="00112BD9" w:rsidR="007226E8" w:rsidP="005540B3" w:rsidRDefault="007226E8" w14:paraId="2D96ED40" w14:textId="77777777">
            <w:pPr>
              <w:suppressAutoHyphens/>
              <w:rPr>
                <w:i/>
                <w:szCs w:val="22"/>
                <w:lang w:val="sl-SI"/>
              </w:rPr>
            </w:pPr>
            <w:r w:rsidRPr="00112BD9">
              <w:rPr>
                <w:i/>
                <w:szCs w:val="22"/>
                <w:lang w:val="sl-SI"/>
              </w:rPr>
              <w:t>June BEDATON</w:t>
            </w:r>
          </w:p>
        </w:tc>
      </w:tr>
      <w:tr w:rsidRPr="00112BD9" w:rsidR="007226E8" w:rsidTr="005540B3" w14:paraId="51FC7710" w14:textId="77777777">
        <w:tc>
          <w:tcPr>
            <w:tcW w:w="846" w:type="pct"/>
            <w:hideMark/>
          </w:tcPr>
          <w:p w:rsidRPr="00112BD9" w:rsidR="007226E8" w:rsidP="005540B3" w:rsidRDefault="007226E8" w14:paraId="5284C561" w14:textId="77777777">
            <w:pPr>
              <w:suppressAutoHyphens/>
              <w:rPr>
                <w:i/>
                <w:szCs w:val="22"/>
                <w:lang w:val="sl-SI"/>
              </w:rPr>
            </w:pPr>
            <w:r w:rsidRPr="00112BD9">
              <w:rPr>
                <w:i/>
                <w:szCs w:val="22"/>
                <w:lang w:val="sl-SI"/>
              </w:rPr>
              <w:t>Telefon</w:t>
            </w:r>
          </w:p>
        </w:tc>
        <w:tc>
          <w:tcPr>
            <w:tcW w:w="4154" w:type="pct"/>
            <w:hideMark/>
          </w:tcPr>
          <w:p w:rsidRPr="00112BD9" w:rsidR="007226E8" w:rsidP="005540B3" w:rsidRDefault="007226E8" w14:paraId="4A950563" w14:textId="77777777">
            <w:pPr>
              <w:suppressAutoHyphens/>
              <w:rPr>
                <w:i/>
                <w:szCs w:val="22"/>
                <w:lang w:val="sl-SI"/>
              </w:rPr>
            </w:pPr>
            <w:r w:rsidRPr="00112BD9">
              <w:rPr>
                <w:i/>
                <w:szCs w:val="22"/>
                <w:lang w:val="sl-SI"/>
              </w:rPr>
              <w:t>+32 25468134</w:t>
            </w:r>
          </w:p>
        </w:tc>
      </w:tr>
      <w:tr w:rsidRPr="00112BD9" w:rsidR="007226E8" w:rsidTr="005540B3" w14:paraId="59C5F543" w14:textId="77777777">
        <w:tc>
          <w:tcPr>
            <w:tcW w:w="846" w:type="pct"/>
            <w:hideMark/>
          </w:tcPr>
          <w:p w:rsidRPr="00112BD9" w:rsidR="007226E8" w:rsidP="005540B3" w:rsidRDefault="007226E8" w14:paraId="5D708152" w14:textId="77777777">
            <w:pPr>
              <w:suppressAutoHyphens/>
              <w:rPr>
                <w:i/>
                <w:szCs w:val="22"/>
                <w:lang w:val="sl-SI"/>
              </w:rPr>
            </w:pPr>
            <w:r w:rsidRPr="00112BD9">
              <w:rPr>
                <w:i/>
                <w:szCs w:val="22"/>
                <w:lang w:val="sl-SI"/>
              </w:rPr>
              <w:t>E-naslov</w:t>
            </w:r>
          </w:p>
        </w:tc>
        <w:tc>
          <w:tcPr>
            <w:tcW w:w="4154" w:type="pct"/>
            <w:hideMark/>
          </w:tcPr>
          <w:p w:rsidRPr="00112BD9" w:rsidR="007226E8" w:rsidP="005540B3" w:rsidRDefault="007226E8" w14:paraId="401DFED5" w14:textId="77777777">
            <w:pPr>
              <w:suppressAutoHyphens/>
              <w:rPr>
                <w:i/>
                <w:szCs w:val="22"/>
                <w:lang w:val="sl-SI"/>
              </w:rPr>
            </w:pPr>
            <w:hyperlink w:history="1" r:id="rId22">
              <w:r w:rsidRPr="00112BD9">
                <w:rPr>
                  <w:rStyle w:val="Hyperlink"/>
                  <w:rFonts w:eastAsiaTheme="majorEastAsia"/>
                  <w:i/>
                  <w:szCs w:val="22"/>
                  <w:lang w:val="sl-SI"/>
                </w:rPr>
                <w:t>June.Bedaton@eesc.europa.eu</w:t>
              </w:r>
            </w:hyperlink>
          </w:p>
        </w:tc>
      </w:tr>
    </w:tbl>
    <w:p w:rsidRPr="00112BD9" w:rsidR="007226E8" w:rsidP="007226E8" w:rsidRDefault="007226E8" w14:paraId="1A5EFAE9" w14:textId="41A88E8D">
      <w:pPr>
        <w:spacing w:line="240" w:lineRule="auto"/>
        <w:rPr>
          <w:szCs w:val="22"/>
          <w:lang w:val="sl-SI"/>
        </w:rPr>
      </w:pPr>
    </w:p>
    <w:p w:rsidRPr="00112BD9" w:rsidR="009C626C" w:rsidP="007226E8" w:rsidRDefault="009C626C" w14:paraId="4EF46EFB" w14:textId="77777777">
      <w:pPr>
        <w:spacing w:line="240" w:lineRule="auto"/>
        <w:rPr>
          <w:szCs w:val="22"/>
          <w:lang w:val="sl-SI"/>
        </w:rPr>
        <w:sectPr w:rsidRPr="00112BD9" w:rsidR="009C626C" w:rsidSect="00601B9D">
          <w:headerReference w:type="even" r:id="rId23"/>
          <w:headerReference w:type="default" r:id="rId24"/>
          <w:footerReference w:type="even" r:id="rId25"/>
          <w:footerReference w:type="default" r:id="rId26"/>
          <w:headerReference w:type="first" r:id="rId27"/>
          <w:footerReference w:type="first" r:id="rId28"/>
          <w:pgSz w:w="11907" w:h="16839" w:code="9"/>
          <w:pgMar w:top="1418" w:right="1418" w:bottom="1418" w:left="1418" w:header="709" w:footer="709" w:gutter="0"/>
          <w:cols w:space="720"/>
          <w:docGrid w:linePitch="299"/>
        </w:sectPr>
      </w:pPr>
    </w:p>
    <w:p w:rsidRPr="00112BD9" w:rsidR="009C626C" w:rsidP="009C626C" w:rsidRDefault="009C626C" w14:paraId="2CDDFDD0" w14:textId="77777777">
      <w:pPr>
        <w:widowControl w:val="0"/>
        <w:numPr>
          <w:ilvl w:val="0"/>
          <w:numId w:val="12"/>
        </w:numPr>
        <w:ind w:left="567" w:hanging="567"/>
        <w:rPr>
          <w:rStyle w:val="Hyperlink"/>
          <w:rFonts w:eastAsiaTheme="majorEastAsia"/>
          <w:b/>
          <w:color w:val="auto"/>
          <w:szCs w:val="22"/>
          <w:lang w:val="sl-SI"/>
        </w:rPr>
      </w:pPr>
      <w:hyperlink w:history="1" r:id="rId29">
        <w:r w:rsidRPr="00112BD9">
          <w:rPr>
            <w:rStyle w:val="Hyperlink"/>
            <w:rFonts w:eastAsiaTheme="majorEastAsia"/>
            <w:b/>
            <w:i/>
            <w:sz w:val="28"/>
            <w:lang w:val="sl-SI"/>
          </w:rPr>
          <w:t>Delavcem prijazna umetna inteligenca: možnosti za izkoriščanje potenciala in zmanjšanje tveganj umetne inteligence v povezavi s politikami zaposlovanja in trga dela</w:t>
        </w:r>
      </w:hyperlink>
    </w:p>
    <w:p w:rsidRPr="00112BD9" w:rsidR="009C626C" w:rsidP="009C626C" w:rsidRDefault="009C626C" w14:paraId="5B5EEA6E" w14:textId="77777777">
      <w:pPr>
        <w:tabs>
          <w:tab w:val="center" w:pos="284"/>
        </w:tabs>
        <w:ind w:left="567" w:hanging="567"/>
        <w:rPr>
          <w:szCs w:val="22"/>
          <w:lang w:val="sl-SI"/>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02"/>
        <w:gridCol w:w="6661"/>
      </w:tblGrid>
      <w:tr w:rsidRPr="00112BD9" w:rsidR="009C626C" w:rsidTr="005540B3" w14:paraId="6D60C0DD" w14:textId="77777777">
        <w:tc>
          <w:tcPr>
            <w:tcW w:w="2302" w:type="dxa"/>
          </w:tcPr>
          <w:p w:rsidRPr="00112BD9" w:rsidR="009C626C" w:rsidP="005540B3" w:rsidRDefault="009C626C" w14:paraId="63545DF1" w14:textId="77777777">
            <w:pPr>
              <w:tabs>
                <w:tab w:val="center" w:pos="284"/>
              </w:tabs>
              <w:ind w:left="-109"/>
              <w:rPr>
                <w:b/>
                <w:szCs w:val="22"/>
                <w:lang w:val="sl-SI"/>
              </w:rPr>
            </w:pPr>
            <w:r w:rsidRPr="00112BD9">
              <w:rPr>
                <w:b/>
                <w:lang w:val="sl-SI"/>
              </w:rPr>
              <w:t>Poročevalka</w:t>
            </w:r>
          </w:p>
        </w:tc>
        <w:tc>
          <w:tcPr>
            <w:tcW w:w="6663" w:type="dxa"/>
          </w:tcPr>
          <w:p w:rsidRPr="00112BD9" w:rsidR="009C626C" w:rsidP="005540B3" w:rsidRDefault="009C626C" w14:paraId="36A4DA8A" w14:textId="77777777">
            <w:pPr>
              <w:rPr>
                <w:szCs w:val="22"/>
                <w:lang w:val="sl-SI"/>
              </w:rPr>
            </w:pPr>
            <w:r w:rsidRPr="00112BD9">
              <w:rPr>
                <w:lang w:val="sl-SI"/>
              </w:rPr>
              <w:t>Franca SALIS-MADINIER (skupina delojemalcev – FR)</w:t>
            </w:r>
          </w:p>
        </w:tc>
      </w:tr>
      <w:tr w:rsidRPr="00112BD9" w:rsidR="00AC002B" w:rsidTr="005540B3" w14:paraId="30B1D66F" w14:textId="77777777">
        <w:tc>
          <w:tcPr>
            <w:tcW w:w="2302" w:type="dxa"/>
          </w:tcPr>
          <w:p w:rsidRPr="00112BD9" w:rsidR="00AC002B" w:rsidP="005540B3" w:rsidRDefault="00AC002B" w14:paraId="5CEDA646" w14:textId="77777777">
            <w:pPr>
              <w:tabs>
                <w:tab w:val="center" w:pos="284"/>
              </w:tabs>
              <w:ind w:left="-109"/>
              <w:rPr>
                <w:b/>
                <w:lang w:val="sl-SI"/>
              </w:rPr>
            </w:pPr>
          </w:p>
        </w:tc>
        <w:tc>
          <w:tcPr>
            <w:tcW w:w="6663" w:type="dxa"/>
          </w:tcPr>
          <w:p w:rsidRPr="00112BD9" w:rsidR="00AC002B" w:rsidP="005540B3" w:rsidRDefault="00AC002B" w14:paraId="2410B9BA" w14:textId="77777777">
            <w:pPr>
              <w:rPr>
                <w:lang w:val="sl-SI"/>
              </w:rPr>
            </w:pPr>
          </w:p>
        </w:tc>
      </w:tr>
      <w:tr w:rsidRPr="00112BD9" w:rsidR="009C626C" w:rsidTr="005540B3" w14:paraId="2E08F7DC" w14:textId="77777777">
        <w:tc>
          <w:tcPr>
            <w:tcW w:w="2302" w:type="dxa"/>
          </w:tcPr>
          <w:p w:rsidRPr="00112BD9" w:rsidR="009C626C" w:rsidP="005540B3" w:rsidRDefault="009C626C" w14:paraId="33D3CB3B" w14:textId="77777777">
            <w:pPr>
              <w:tabs>
                <w:tab w:val="center" w:pos="284"/>
              </w:tabs>
              <w:ind w:left="-109"/>
              <w:rPr>
                <w:b/>
                <w:szCs w:val="22"/>
                <w:lang w:val="sl-SI"/>
              </w:rPr>
            </w:pPr>
            <w:r w:rsidRPr="00112BD9">
              <w:rPr>
                <w:b/>
                <w:lang w:val="sl-SI"/>
              </w:rPr>
              <w:t>Referenčni dokument</w:t>
            </w:r>
          </w:p>
        </w:tc>
        <w:tc>
          <w:tcPr>
            <w:tcW w:w="6663" w:type="dxa"/>
          </w:tcPr>
          <w:p w:rsidRPr="00112BD9" w:rsidR="009C626C" w:rsidP="005540B3" w:rsidRDefault="009C626C" w14:paraId="0A9A6A6B" w14:textId="0637A690">
            <w:pPr>
              <w:tabs>
                <w:tab w:val="center" w:pos="284"/>
              </w:tabs>
              <w:rPr>
                <w:lang w:val="sl-SI"/>
              </w:rPr>
            </w:pPr>
            <w:r w:rsidRPr="00112BD9">
              <w:rPr>
                <w:lang w:val="sl-SI"/>
              </w:rPr>
              <w:t>mnenje na lastno pobudo</w:t>
            </w:r>
          </w:p>
          <w:p w:rsidRPr="00112BD9" w:rsidR="009C626C" w:rsidP="005540B3" w:rsidRDefault="009C626C" w14:paraId="5F287478" w14:textId="107F9C43">
            <w:pPr>
              <w:tabs>
                <w:tab w:val="center" w:pos="284"/>
              </w:tabs>
              <w:rPr>
                <w:szCs w:val="22"/>
                <w:lang w:val="sl-SI"/>
              </w:rPr>
            </w:pPr>
            <w:r w:rsidRPr="00112BD9">
              <w:rPr>
                <w:lang w:val="sl-SI"/>
              </w:rPr>
              <w:t>EESC-2024-01024-00-00-AC-TRA</w:t>
            </w:r>
          </w:p>
        </w:tc>
      </w:tr>
    </w:tbl>
    <w:p w:rsidRPr="00112BD9" w:rsidR="009C626C" w:rsidP="000A4189" w:rsidRDefault="009C626C" w14:paraId="29198BB7" w14:textId="77777777">
      <w:pPr>
        <w:keepNext/>
        <w:keepLines/>
        <w:tabs>
          <w:tab w:val="center" w:pos="0"/>
        </w:tabs>
        <w:spacing w:line="264" w:lineRule="auto"/>
        <w:rPr>
          <w:bCs/>
          <w:szCs w:val="22"/>
          <w:lang w:val="sl-SI"/>
        </w:rPr>
      </w:pPr>
    </w:p>
    <w:p w:rsidRPr="00112BD9" w:rsidR="009C626C" w:rsidP="000A4189" w:rsidRDefault="009C626C" w14:paraId="5411A852" w14:textId="77777777">
      <w:pPr>
        <w:keepNext/>
        <w:keepLines/>
        <w:tabs>
          <w:tab w:val="center" w:pos="0"/>
        </w:tabs>
        <w:spacing w:line="264" w:lineRule="auto"/>
        <w:rPr>
          <w:b/>
          <w:szCs w:val="22"/>
          <w:lang w:val="sl-SI"/>
        </w:rPr>
      </w:pPr>
      <w:r w:rsidRPr="00112BD9">
        <w:rPr>
          <w:b/>
          <w:lang w:val="sl-SI"/>
        </w:rPr>
        <w:t>Glavne točke</w:t>
      </w:r>
    </w:p>
    <w:p w:rsidRPr="00112BD9" w:rsidR="009C626C" w:rsidP="000A4189" w:rsidRDefault="009C626C" w14:paraId="44733E83" w14:textId="77777777">
      <w:pPr>
        <w:spacing w:line="264" w:lineRule="auto"/>
        <w:rPr>
          <w:lang w:val="sl-SI"/>
        </w:rPr>
      </w:pPr>
    </w:p>
    <w:p w:rsidRPr="00112BD9" w:rsidR="009C626C" w:rsidP="000A4189" w:rsidRDefault="009C626C" w14:paraId="1431F093" w14:textId="77777777">
      <w:pPr>
        <w:spacing w:line="264" w:lineRule="auto"/>
        <w:rPr>
          <w:lang w:val="sl-SI"/>
        </w:rPr>
      </w:pPr>
      <w:r w:rsidRPr="00112BD9">
        <w:rPr>
          <w:lang w:val="sl-SI"/>
        </w:rPr>
        <w:t>EESO:</w:t>
      </w:r>
    </w:p>
    <w:p w:rsidRPr="00112BD9" w:rsidR="009C626C" w:rsidP="000A4189" w:rsidRDefault="009C626C" w14:paraId="5AE6E7BB" w14:textId="77777777">
      <w:pPr>
        <w:spacing w:line="264" w:lineRule="auto"/>
        <w:rPr>
          <w:lang w:val="sl-SI"/>
        </w:rPr>
      </w:pPr>
    </w:p>
    <w:p w:rsidRPr="00112BD9" w:rsidR="009C626C" w:rsidP="000A4189" w:rsidRDefault="009C626C" w14:paraId="6754D0D7" w14:textId="77777777">
      <w:pPr>
        <w:pStyle w:val="ListParagraph"/>
        <w:numPr>
          <w:ilvl w:val="0"/>
          <w:numId w:val="14"/>
        </w:numPr>
        <w:spacing w:after="0" w:line="264" w:lineRule="auto"/>
        <w:ind w:left="567" w:hanging="567"/>
        <w:rPr>
          <w:rFonts w:ascii="Times New Roman" w:hAnsi="Times New Roman"/>
        </w:rPr>
      </w:pPr>
      <w:r w:rsidRPr="00112BD9">
        <w:rPr>
          <w:rFonts w:ascii="Times New Roman" w:hAnsi="Times New Roman"/>
        </w:rPr>
        <w:t>meni, da sta socialni dialog in vključevanje delavcev odločilna za zaščito temeljnih pravic delavcev in spodbujanje zaupanja vredne UI v svetu dela. Poleg tega je večja vključenost delavcev in njihovih predstavnikov ena od možnosti za zmanjšanje tveganj in škodljivih učinkov sistemov UI;</w:t>
      </w:r>
    </w:p>
    <w:p w:rsidRPr="00112BD9" w:rsidR="009C626C" w:rsidP="000A4189" w:rsidRDefault="009C626C" w14:paraId="3BDCB520" w14:textId="77777777">
      <w:pPr>
        <w:pStyle w:val="Heading2"/>
        <w:numPr>
          <w:ilvl w:val="0"/>
          <w:numId w:val="14"/>
        </w:numPr>
        <w:tabs>
          <w:tab w:val="num" w:pos="1089"/>
        </w:tabs>
        <w:spacing w:line="264" w:lineRule="auto"/>
        <w:ind w:left="567" w:hanging="567"/>
        <w:rPr>
          <w:lang w:val="sl-SI"/>
        </w:rPr>
      </w:pPr>
      <w:r w:rsidRPr="00112BD9">
        <w:rPr>
          <w:lang w:val="sl-SI"/>
        </w:rPr>
        <w:t>izrecno poziva, naj se z zakonodajnimi ali drugimi pobudami za prilagoditev veljavne zakonodaje odpravijo vrzeli pri varstvu pravic delavcev na delovnem mestu in poskrbi, da bo človek ohranil nadzor nad vsemi interakcijami s strojem;</w:t>
      </w:r>
    </w:p>
    <w:p w:rsidRPr="00112BD9" w:rsidR="009C626C" w:rsidP="000A4189" w:rsidRDefault="009C626C" w14:paraId="1D1D717B" w14:textId="77777777">
      <w:pPr>
        <w:pStyle w:val="Heading2"/>
        <w:numPr>
          <w:ilvl w:val="0"/>
          <w:numId w:val="14"/>
        </w:numPr>
        <w:tabs>
          <w:tab w:val="num" w:pos="1089"/>
        </w:tabs>
        <w:spacing w:line="264" w:lineRule="auto"/>
        <w:ind w:left="567" w:hanging="567"/>
        <w:rPr>
          <w:lang w:val="sl-SI"/>
        </w:rPr>
      </w:pPr>
      <w:r w:rsidRPr="00112BD9">
        <w:rPr>
          <w:lang w:val="sl-SI"/>
        </w:rPr>
        <w:t>meni, da bi bilo treba sedanje pravne določbe EU, ki se nanašajo na uporabo UI na delovnem mestu, podpreti s konkretnimi smernicami;</w:t>
      </w:r>
    </w:p>
    <w:p w:rsidRPr="00112BD9" w:rsidR="009C626C" w:rsidP="000A4189" w:rsidRDefault="009C626C" w14:paraId="0D9741E5" w14:textId="77777777">
      <w:pPr>
        <w:pStyle w:val="Heading2"/>
        <w:numPr>
          <w:ilvl w:val="0"/>
          <w:numId w:val="14"/>
        </w:numPr>
        <w:tabs>
          <w:tab w:val="num" w:pos="1089"/>
        </w:tabs>
        <w:spacing w:line="264" w:lineRule="auto"/>
        <w:ind w:left="567" w:hanging="567"/>
        <w:rPr>
          <w:lang w:val="sl-SI"/>
        </w:rPr>
      </w:pPr>
      <w:r w:rsidRPr="00112BD9">
        <w:rPr>
          <w:lang w:val="sl-SI"/>
        </w:rPr>
        <w:t>podpira hitro izvajanje člena 4 akta o umetni inteligenci, da se zaposlene usposobi za upravljanje orodij umetne inteligence;</w:t>
      </w:r>
    </w:p>
    <w:p w:rsidRPr="00112BD9" w:rsidR="009C626C" w:rsidP="000A4189" w:rsidRDefault="009C626C" w14:paraId="7EC7A93B" w14:textId="77777777">
      <w:pPr>
        <w:pStyle w:val="Heading2"/>
        <w:numPr>
          <w:ilvl w:val="0"/>
          <w:numId w:val="14"/>
        </w:numPr>
        <w:tabs>
          <w:tab w:val="num" w:pos="1089"/>
        </w:tabs>
        <w:spacing w:line="264" w:lineRule="auto"/>
        <w:ind w:left="567" w:hanging="567"/>
        <w:rPr>
          <w:lang w:val="sl-SI"/>
        </w:rPr>
      </w:pPr>
      <w:r w:rsidRPr="00112BD9">
        <w:rPr>
          <w:lang w:val="sl-SI"/>
        </w:rPr>
        <w:t>meni, da morajo javni organi za delavce in državljane organizirati pobude za pridobivanje znanja in spretnosti, da bi sistemi UI človeku dali večjo vlogo, ne pa ga nadomestili;</w:t>
      </w:r>
    </w:p>
    <w:p w:rsidRPr="00112BD9" w:rsidR="009C626C" w:rsidP="000A4189" w:rsidRDefault="009C626C" w14:paraId="4CB441BB" w14:textId="77777777">
      <w:pPr>
        <w:pStyle w:val="Heading2"/>
        <w:numPr>
          <w:ilvl w:val="0"/>
          <w:numId w:val="14"/>
        </w:numPr>
        <w:tabs>
          <w:tab w:val="num" w:pos="1089"/>
        </w:tabs>
        <w:spacing w:line="264" w:lineRule="auto"/>
        <w:ind w:left="567" w:hanging="567"/>
        <w:rPr>
          <w:lang w:val="sl-SI"/>
        </w:rPr>
      </w:pPr>
      <w:r w:rsidRPr="00112BD9">
        <w:rPr>
          <w:lang w:val="sl-SI"/>
        </w:rPr>
        <w:t xml:space="preserve">odločno poziva k okrepljenemu socialnemu dialogu o uvajanju sistemov UI na podlagi </w:t>
      </w:r>
      <w:r w:rsidRPr="00112BD9">
        <w:rPr>
          <w:i/>
          <w:lang w:val="sl-SI"/>
        </w:rPr>
        <w:t>ad hoc</w:t>
      </w:r>
      <w:r w:rsidRPr="00112BD9">
        <w:rPr>
          <w:lang w:val="sl-SI"/>
        </w:rPr>
        <w:t xml:space="preserve"> pravnega instrumenta EU, ki bi vključeval določbe za učinkovitejšo izvedbo naslednjih nalog:</w:t>
      </w:r>
    </w:p>
    <w:p w:rsidRPr="00112BD9" w:rsidR="009C626C" w:rsidP="000A4189" w:rsidRDefault="009C626C" w14:paraId="3A4A822B" w14:textId="77777777">
      <w:pPr>
        <w:pStyle w:val="Heading2"/>
        <w:numPr>
          <w:ilvl w:val="0"/>
          <w:numId w:val="15"/>
        </w:numPr>
        <w:tabs>
          <w:tab w:val="num" w:pos="369"/>
        </w:tabs>
        <w:spacing w:line="264" w:lineRule="auto"/>
        <w:ind w:left="851" w:hanging="284"/>
        <w:rPr>
          <w:lang w:val="sl-SI"/>
        </w:rPr>
      </w:pPr>
      <w:r w:rsidRPr="00112BD9">
        <w:rPr>
          <w:lang w:val="sl-SI"/>
        </w:rPr>
        <w:t>izvrševanje člena 88 splošne uredbe o varstvu podatkov (GDPR);</w:t>
      </w:r>
    </w:p>
    <w:p w:rsidRPr="00112BD9" w:rsidR="009C626C" w:rsidP="000A4189" w:rsidRDefault="009C626C" w14:paraId="5770804A" w14:textId="77777777">
      <w:pPr>
        <w:pStyle w:val="Heading2"/>
        <w:numPr>
          <w:ilvl w:val="0"/>
          <w:numId w:val="15"/>
        </w:numPr>
        <w:tabs>
          <w:tab w:val="num" w:pos="369"/>
        </w:tabs>
        <w:spacing w:line="264" w:lineRule="auto"/>
        <w:ind w:left="851" w:hanging="284"/>
        <w:rPr>
          <w:lang w:val="sl-SI"/>
        </w:rPr>
      </w:pPr>
      <w:r w:rsidRPr="00112BD9">
        <w:rPr>
          <w:lang w:val="sl-SI"/>
        </w:rPr>
        <w:t>razširitev področja uporabe določb direktive o platformnih delavcih, da bi obravnavali izzive, ki jih sistemi algoritmičnega upravljanja prinašajo vsem delavcem;</w:t>
      </w:r>
    </w:p>
    <w:p w:rsidRPr="00112BD9" w:rsidR="009C626C" w:rsidP="000A4189" w:rsidRDefault="009C626C" w14:paraId="11F67A77" w14:textId="77777777">
      <w:pPr>
        <w:pStyle w:val="Heading2"/>
        <w:numPr>
          <w:ilvl w:val="0"/>
          <w:numId w:val="15"/>
        </w:numPr>
        <w:tabs>
          <w:tab w:val="num" w:pos="369"/>
        </w:tabs>
        <w:spacing w:line="264" w:lineRule="auto"/>
        <w:ind w:left="851" w:hanging="284"/>
        <w:rPr>
          <w:lang w:val="sl-SI"/>
        </w:rPr>
      </w:pPr>
      <w:r w:rsidRPr="00112BD9">
        <w:rPr>
          <w:lang w:val="sl-SI"/>
        </w:rPr>
        <w:t>utrditev pravil, ki se uporabljajo v skladu z Direktivo 2002/14/ES, kadar se uvajajo visokotvegani sistemi UI, in priprava jasnih smernic za določbe Direktive EGS 89/392 o varnosti in zdravju pri delu;</w:t>
      </w:r>
    </w:p>
    <w:p w:rsidRPr="00112BD9" w:rsidR="009C626C" w:rsidP="000A4189" w:rsidRDefault="009C626C" w14:paraId="37C4EA11" w14:textId="77777777">
      <w:pPr>
        <w:pStyle w:val="Heading2"/>
        <w:numPr>
          <w:ilvl w:val="0"/>
          <w:numId w:val="15"/>
        </w:numPr>
        <w:tabs>
          <w:tab w:val="num" w:pos="369"/>
        </w:tabs>
        <w:spacing w:line="264" w:lineRule="auto"/>
        <w:ind w:left="851" w:hanging="284"/>
        <w:rPr>
          <w:lang w:val="sl-SI"/>
        </w:rPr>
      </w:pPr>
      <w:r w:rsidRPr="00112BD9">
        <w:rPr>
          <w:lang w:val="sl-SI"/>
        </w:rPr>
        <w:t>razširitev obveščanja o ocenah varstva podatkov na predstavnike delavcev v skladu z direktivo o platformnih delavcih;</w:t>
      </w:r>
    </w:p>
    <w:p w:rsidRPr="00112BD9" w:rsidR="009C626C" w:rsidP="000A4189" w:rsidRDefault="009C626C" w14:paraId="185468EB" w14:textId="77777777">
      <w:pPr>
        <w:pStyle w:val="Heading2"/>
        <w:numPr>
          <w:ilvl w:val="0"/>
          <w:numId w:val="15"/>
        </w:numPr>
        <w:tabs>
          <w:tab w:val="num" w:pos="369"/>
        </w:tabs>
        <w:spacing w:line="264" w:lineRule="auto"/>
        <w:ind w:left="851" w:hanging="284"/>
        <w:rPr>
          <w:lang w:val="sl-SI"/>
        </w:rPr>
      </w:pPr>
      <w:r w:rsidRPr="00112BD9">
        <w:rPr>
          <w:lang w:val="sl-SI"/>
        </w:rPr>
        <w:t>izvajanje predhodnih ocen učinka na temeljne pravice, za kar so odgovorni ponudniki še pred uvedbo visokotveganih sistemov, ter</w:t>
      </w:r>
    </w:p>
    <w:p w:rsidRPr="00112BD9" w:rsidR="009C626C" w:rsidP="000A4189" w:rsidRDefault="009C626C" w14:paraId="7949B192" w14:textId="77777777">
      <w:pPr>
        <w:pStyle w:val="Heading2"/>
        <w:numPr>
          <w:ilvl w:val="0"/>
          <w:numId w:val="15"/>
        </w:numPr>
        <w:tabs>
          <w:tab w:val="num" w:pos="369"/>
        </w:tabs>
        <w:spacing w:line="264" w:lineRule="auto"/>
        <w:ind w:left="851" w:hanging="284"/>
        <w:rPr>
          <w:lang w:val="sl-SI"/>
        </w:rPr>
      </w:pPr>
      <w:r w:rsidRPr="00112BD9">
        <w:rPr>
          <w:lang w:val="sl-SI"/>
        </w:rPr>
        <w:t>uvedba jasnih smernic za uporabo regulativnih peskovnikov in testiranja v realnih razmerah.</w:t>
      </w:r>
    </w:p>
    <w:p w:rsidRPr="00112BD9" w:rsidR="009C626C" w:rsidP="000A4189" w:rsidRDefault="009C626C" w14:paraId="1B2E22B4" w14:textId="77777777">
      <w:pPr>
        <w:spacing w:line="264" w:lineRule="auto"/>
        <w:ind w:left="851" w:hanging="284"/>
        <w:rPr>
          <w:lang w:val="sl-SI"/>
        </w:rPr>
      </w:pPr>
    </w:p>
    <w:p w:rsidRPr="00112BD9" w:rsidR="009C626C" w:rsidP="000A4189" w:rsidRDefault="009C626C" w14:paraId="53F6262F" w14:textId="77777777">
      <w:pPr>
        <w:widowControl w:val="0"/>
        <w:spacing w:line="264" w:lineRule="auto"/>
        <w:rPr>
          <w:bCs/>
          <w:lang w:val="sl-SI"/>
        </w:rPr>
      </w:pPr>
      <w:r w:rsidRPr="00112BD9">
        <w:rPr>
          <w:lang w:val="sl-SI"/>
        </w:rPr>
        <w:t>Zaradi razlik v stališču so člani skupine delodajalcev v EESO predložili nasprotno mnenje, ki je bilo v EESO zavrnjeno (s 112 glasovi za, 136 glasovi proti in 11 vzdržanimi glasovi), vendar je v skladu s Pravilnikom EESO priloženo mnenju, saj je prejelo več kot četrtino glasov.</w:t>
      </w:r>
    </w:p>
    <w:p w:rsidRPr="00112BD9" w:rsidR="009C626C" w:rsidP="000A4189" w:rsidRDefault="009C626C" w14:paraId="2523CE44" w14:textId="77777777">
      <w:pPr>
        <w:spacing w:line="264" w:lineRule="auto"/>
        <w:rPr>
          <w:lang w:val="sl-SI"/>
        </w:rPr>
      </w:pPr>
    </w:p>
    <w:tbl>
      <w:tblPr>
        <w:tblStyle w:val="TableGrid"/>
        <w:tblW w:w="0" w:type="auto"/>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5"/>
        <w:gridCol w:w="7086"/>
      </w:tblGrid>
      <w:tr w:rsidRPr="00112BD9" w:rsidR="009C626C" w:rsidTr="005540B3" w14:paraId="1652E42F" w14:textId="77777777">
        <w:tc>
          <w:tcPr>
            <w:tcW w:w="1735" w:type="dxa"/>
          </w:tcPr>
          <w:p w:rsidRPr="00112BD9" w:rsidR="009C626C" w:rsidP="000A4189" w:rsidRDefault="009C626C" w14:paraId="69ACBD79" w14:textId="77777777">
            <w:pPr>
              <w:spacing w:line="264" w:lineRule="auto"/>
              <w:rPr>
                <w:i/>
                <w:szCs w:val="22"/>
                <w:lang w:val="sl-SI"/>
              </w:rPr>
            </w:pPr>
            <w:r w:rsidRPr="00112BD9">
              <w:rPr>
                <w:b/>
                <w:i/>
                <w:lang w:val="sl-SI"/>
              </w:rPr>
              <w:t>Kontaktna oseba</w:t>
            </w:r>
          </w:p>
        </w:tc>
        <w:tc>
          <w:tcPr>
            <w:tcW w:w="7088" w:type="dxa"/>
          </w:tcPr>
          <w:p w:rsidRPr="00112BD9" w:rsidR="009C626C" w:rsidP="000A4189" w:rsidRDefault="009C626C" w14:paraId="22EDC2B2" w14:textId="77777777">
            <w:pPr>
              <w:spacing w:line="264" w:lineRule="auto"/>
              <w:ind w:hanging="12"/>
              <w:rPr>
                <w:i/>
                <w:szCs w:val="22"/>
                <w:lang w:val="sl-SI"/>
              </w:rPr>
            </w:pPr>
            <w:r w:rsidRPr="00112BD9">
              <w:rPr>
                <w:i/>
                <w:lang w:val="sl-SI"/>
              </w:rPr>
              <w:t>Ana DUMITRACHE</w:t>
            </w:r>
          </w:p>
        </w:tc>
      </w:tr>
      <w:tr w:rsidRPr="00112BD9" w:rsidR="009C626C" w:rsidTr="005540B3" w14:paraId="35D5997A" w14:textId="77777777">
        <w:tc>
          <w:tcPr>
            <w:tcW w:w="1735" w:type="dxa"/>
          </w:tcPr>
          <w:p w:rsidRPr="00112BD9" w:rsidR="009C626C" w:rsidP="000A4189" w:rsidRDefault="009C626C" w14:paraId="0508976D" w14:textId="77777777">
            <w:pPr>
              <w:spacing w:line="264" w:lineRule="auto"/>
              <w:rPr>
                <w:i/>
                <w:szCs w:val="22"/>
                <w:lang w:val="sl-SI"/>
              </w:rPr>
            </w:pPr>
            <w:r w:rsidRPr="00112BD9">
              <w:rPr>
                <w:i/>
                <w:lang w:val="sl-SI"/>
              </w:rPr>
              <w:t>Telefon</w:t>
            </w:r>
          </w:p>
        </w:tc>
        <w:tc>
          <w:tcPr>
            <w:tcW w:w="7088" w:type="dxa"/>
          </w:tcPr>
          <w:p w:rsidRPr="00112BD9" w:rsidR="009C626C" w:rsidP="000A4189" w:rsidRDefault="009C626C" w14:paraId="35A5D47D" w14:textId="77777777">
            <w:pPr>
              <w:spacing w:line="264" w:lineRule="auto"/>
              <w:rPr>
                <w:i/>
                <w:szCs w:val="22"/>
                <w:lang w:val="sl-SI"/>
              </w:rPr>
            </w:pPr>
            <w:r w:rsidRPr="00112BD9">
              <w:rPr>
                <w:i/>
                <w:lang w:val="sl-SI"/>
              </w:rPr>
              <w:t>+32 2546 8</w:t>
            </w:r>
            <w:r w:rsidRPr="00112BD9">
              <w:rPr>
                <w:lang w:val="sl-SI"/>
              </w:rPr>
              <w:t>131</w:t>
            </w:r>
          </w:p>
        </w:tc>
      </w:tr>
      <w:tr w:rsidRPr="00112BD9" w:rsidR="009C626C" w:rsidTr="005540B3" w14:paraId="1CB82A76" w14:textId="77777777">
        <w:tc>
          <w:tcPr>
            <w:tcW w:w="1735" w:type="dxa"/>
          </w:tcPr>
          <w:p w:rsidRPr="00112BD9" w:rsidR="009C626C" w:rsidP="000A4189" w:rsidRDefault="009C626C" w14:paraId="5E6D9D88" w14:textId="77777777">
            <w:pPr>
              <w:spacing w:line="264" w:lineRule="auto"/>
              <w:rPr>
                <w:i/>
                <w:szCs w:val="22"/>
                <w:lang w:val="sl-SI"/>
              </w:rPr>
            </w:pPr>
            <w:r w:rsidRPr="00112BD9">
              <w:rPr>
                <w:i/>
                <w:lang w:val="sl-SI"/>
              </w:rPr>
              <w:t>E-naslov</w:t>
            </w:r>
          </w:p>
        </w:tc>
        <w:tc>
          <w:tcPr>
            <w:tcW w:w="7088" w:type="dxa"/>
          </w:tcPr>
          <w:p w:rsidRPr="00112BD9" w:rsidR="009C626C" w:rsidP="000A4189" w:rsidRDefault="009C626C" w14:paraId="2E415DCC" w14:textId="77777777">
            <w:pPr>
              <w:spacing w:line="264" w:lineRule="auto"/>
              <w:rPr>
                <w:i/>
                <w:szCs w:val="22"/>
                <w:lang w:val="sl-SI"/>
              </w:rPr>
            </w:pPr>
            <w:hyperlink w:history="1" r:id="rId30">
              <w:r w:rsidRPr="00112BD9">
                <w:rPr>
                  <w:rStyle w:val="Hyperlink"/>
                  <w:rFonts w:eastAsiaTheme="majorEastAsia"/>
                  <w:i/>
                  <w:lang w:val="sl-SI"/>
                </w:rPr>
                <w:t>Ana.Dumitrache@eesc.europa.eu</w:t>
              </w:r>
            </w:hyperlink>
          </w:p>
        </w:tc>
      </w:tr>
    </w:tbl>
    <w:p w:rsidRPr="00112BD9" w:rsidR="009C626C" w:rsidP="007226E8" w:rsidRDefault="009C626C" w14:paraId="7A718419" w14:textId="2D2DBE90">
      <w:pPr>
        <w:spacing w:line="240" w:lineRule="auto"/>
        <w:rPr>
          <w:szCs w:val="22"/>
          <w:lang w:val="sl-SI"/>
        </w:rPr>
      </w:pPr>
    </w:p>
    <w:p w:rsidRPr="00112BD9" w:rsidR="00437105" w:rsidP="00C447A6" w:rsidRDefault="00437105" w14:paraId="17017B49" w14:textId="77777777">
      <w:pPr>
        <w:pStyle w:val="Heading1"/>
        <w:pageBreakBefore/>
        <w:overflowPunct/>
        <w:autoSpaceDE/>
        <w:autoSpaceDN/>
        <w:adjustRightInd/>
        <w:ind w:left="567" w:hanging="567"/>
        <w:textAlignment w:val="auto"/>
        <w:rPr>
          <w:lang w:val="sl-SI"/>
        </w:rPr>
      </w:pPr>
      <w:bookmarkStart w:name="_Toc189238818" w:id="4"/>
      <w:r w:rsidRPr="00112BD9">
        <w:rPr>
          <w:b/>
          <w:lang w:val="sl-SI"/>
        </w:rPr>
        <w:lastRenderedPageBreak/>
        <w:t>PROMET, ENERGIJA, INFRASTRUKTURA IN INFORMACIJSKA DRUŽBA</w:t>
      </w:r>
      <w:bookmarkEnd w:id="3"/>
      <w:bookmarkEnd w:id="4"/>
    </w:p>
    <w:p w:rsidRPr="00112BD9" w:rsidR="00B92E86" w:rsidP="001F6F3D" w:rsidRDefault="00B92E86" w14:paraId="1667A9AD" w14:textId="77777777">
      <w:pPr>
        <w:rPr>
          <w:lang w:val="sl-SI"/>
        </w:rPr>
      </w:pPr>
    </w:p>
    <w:p w:rsidRPr="00112BD9" w:rsidR="00835C50" w:rsidP="00835C50" w:rsidRDefault="00835C50" w14:paraId="41BD93FA" w14:textId="77777777">
      <w:pPr>
        <w:widowControl w:val="0"/>
        <w:numPr>
          <w:ilvl w:val="0"/>
          <w:numId w:val="8"/>
        </w:numPr>
        <w:ind w:left="266" w:hanging="266"/>
        <w:rPr>
          <w:b/>
          <w:szCs w:val="22"/>
          <w:u w:val="single"/>
          <w:lang w:val="sl-SI"/>
        </w:rPr>
      </w:pPr>
      <w:hyperlink w:history="1" r:id="rId31">
        <w:r w:rsidRPr="00112BD9">
          <w:rPr>
            <w:rStyle w:val="Hyperlink"/>
            <w:rFonts w:eastAsiaTheme="majorEastAsia"/>
            <w:b/>
            <w:i/>
            <w:sz w:val="28"/>
            <w:lang w:val="sl-SI"/>
          </w:rPr>
          <w:t>Prihodnost dobave in cen električne energije v EU</w:t>
        </w:r>
      </w:hyperlink>
    </w:p>
    <w:p w:rsidRPr="00112BD9" w:rsidR="00835C50" w:rsidP="00835C50" w:rsidRDefault="00835C50" w14:paraId="20E2AD19" w14:textId="77777777">
      <w:pPr>
        <w:widowControl w:val="0"/>
        <w:rPr>
          <w:b/>
          <w:szCs w:val="22"/>
          <w:u w:val="single"/>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5670"/>
      </w:tblGrid>
      <w:tr w:rsidRPr="00112BD9" w:rsidR="00835C50" w:rsidTr="005540B3" w14:paraId="1559AD50" w14:textId="77777777">
        <w:tc>
          <w:tcPr>
            <w:tcW w:w="2268" w:type="dxa"/>
          </w:tcPr>
          <w:p w:rsidRPr="00112BD9" w:rsidR="00835C50" w:rsidP="005540B3" w:rsidRDefault="00835C50" w14:paraId="3317524D" w14:textId="77777777">
            <w:pPr>
              <w:tabs>
                <w:tab w:val="center" w:pos="284"/>
              </w:tabs>
              <w:ind w:left="266" w:hanging="266"/>
              <w:rPr>
                <w:b/>
                <w:szCs w:val="22"/>
                <w:lang w:val="sl-SI"/>
              </w:rPr>
            </w:pPr>
            <w:r w:rsidRPr="00112BD9">
              <w:rPr>
                <w:b/>
                <w:lang w:val="sl-SI"/>
              </w:rPr>
              <w:t>Poročevalec</w:t>
            </w:r>
          </w:p>
        </w:tc>
        <w:tc>
          <w:tcPr>
            <w:tcW w:w="5670" w:type="dxa"/>
          </w:tcPr>
          <w:p w:rsidRPr="00112BD9" w:rsidR="00835C50" w:rsidP="005540B3" w:rsidRDefault="00835C50" w14:paraId="20BD32FC" w14:textId="77777777">
            <w:pPr>
              <w:tabs>
                <w:tab w:val="center" w:pos="284"/>
              </w:tabs>
              <w:ind w:left="266" w:hanging="266"/>
              <w:rPr>
                <w:szCs w:val="22"/>
                <w:lang w:val="sl-SI"/>
              </w:rPr>
            </w:pPr>
            <w:r w:rsidRPr="00112BD9">
              <w:rPr>
                <w:lang w:val="sl-SI"/>
              </w:rPr>
              <w:t>Jan DIRX (skupina organizacij civilne družbe – NL)</w:t>
            </w:r>
          </w:p>
        </w:tc>
      </w:tr>
      <w:tr w:rsidRPr="00112BD9" w:rsidR="00835C50" w:rsidTr="005540B3" w14:paraId="638F71F8" w14:textId="77777777">
        <w:tc>
          <w:tcPr>
            <w:tcW w:w="2268" w:type="dxa"/>
          </w:tcPr>
          <w:p w:rsidRPr="00112BD9" w:rsidR="00835C50" w:rsidP="005540B3" w:rsidRDefault="00835C50" w14:paraId="2C5A9FA5" w14:textId="77777777">
            <w:pPr>
              <w:tabs>
                <w:tab w:val="center" w:pos="284"/>
              </w:tabs>
              <w:ind w:left="266" w:hanging="266"/>
              <w:rPr>
                <w:b/>
                <w:szCs w:val="22"/>
                <w:lang w:val="sl-SI"/>
              </w:rPr>
            </w:pPr>
            <w:r w:rsidRPr="00112BD9">
              <w:rPr>
                <w:b/>
                <w:lang w:val="sl-SI"/>
              </w:rPr>
              <w:t>Soporočevalec</w:t>
            </w:r>
          </w:p>
        </w:tc>
        <w:tc>
          <w:tcPr>
            <w:tcW w:w="5670" w:type="dxa"/>
          </w:tcPr>
          <w:p w:rsidRPr="00112BD9" w:rsidR="00835C50" w:rsidP="005540B3" w:rsidRDefault="00835C50" w14:paraId="2BAB3EA8" w14:textId="77777777">
            <w:pPr>
              <w:tabs>
                <w:tab w:val="center" w:pos="284"/>
              </w:tabs>
              <w:ind w:left="266" w:hanging="266"/>
              <w:rPr>
                <w:szCs w:val="22"/>
                <w:lang w:val="sl-SI"/>
              </w:rPr>
            </w:pPr>
            <w:r w:rsidRPr="00112BD9">
              <w:rPr>
                <w:lang w:val="sl-SI"/>
              </w:rPr>
              <w:t>Thomas KATTNIG (skupina delojemalcev – AT)</w:t>
            </w:r>
          </w:p>
        </w:tc>
      </w:tr>
      <w:tr w:rsidRPr="00112BD9" w:rsidR="00835C50" w:rsidTr="005540B3" w14:paraId="4D2D4C37" w14:textId="77777777">
        <w:tc>
          <w:tcPr>
            <w:tcW w:w="7938" w:type="dxa"/>
            <w:gridSpan w:val="2"/>
          </w:tcPr>
          <w:p w:rsidRPr="00112BD9" w:rsidR="00835C50" w:rsidP="005540B3" w:rsidRDefault="00835C50" w14:paraId="1114271D" w14:textId="77777777">
            <w:pPr>
              <w:tabs>
                <w:tab w:val="center" w:pos="284"/>
              </w:tabs>
              <w:ind w:left="266" w:hanging="266"/>
              <w:rPr>
                <w:szCs w:val="22"/>
                <w:lang w:val="sl-SI"/>
              </w:rPr>
            </w:pPr>
          </w:p>
        </w:tc>
      </w:tr>
      <w:tr w:rsidRPr="00112BD9" w:rsidR="00835C50" w:rsidTr="005540B3" w14:paraId="510E8292" w14:textId="77777777">
        <w:tc>
          <w:tcPr>
            <w:tcW w:w="2268" w:type="dxa"/>
          </w:tcPr>
          <w:p w:rsidRPr="00112BD9" w:rsidR="00835C50" w:rsidP="005540B3" w:rsidRDefault="00835C50" w14:paraId="5DD1BB29" w14:textId="77777777">
            <w:pPr>
              <w:tabs>
                <w:tab w:val="center" w:pos="284"/>
              </w:tabs>
              <w:ind w:left="266" w:hanging="266"/>
              <w:rPr>
                <w:b/>
                <w:szCs w:val="22"/>
                <w:lang w:val="sl-SI"/>
              </w:rPr>
            </w:pPr>
            <w:r w:rsidRPr="00112BD9">
              <w:rPr>
                <w:b/>
                <w:lang w:val="sl-SI"/>
              </w:rPr>
              <w:t>Referenčni dokument</w:t>
            </w:r>
          </w:p>
        </w:tc>
        <w:tc>
          <w:tcPr>
            <w:tcW w:w="5670" w:type="dxa"/>
          </w:tcPr>
          <w:p w:rsidRPr="00112BD9" w:rsidR="00835C50" w:rsidP="005540B3" w:rsidRDefault="00835C50" w14:paraId="52060449" w14:textId="77777777">
            <w:pPr>
              <w:tabs>
                <w:tab w:val="center" w:pos="284"/>
              </w:tabs>
              <w:ind w:left="266" w:hanging="266"/>
              <w:rPr>
                <w:szCs w:val="22"/>
                <w:lang w:val="sl-SI"/>
              </w:rPr>
            </w:pPr>
            <w:r w:rsidRPr="00112BD9">
              <w:rPr>
                <w:lang w:val="sl-SI"/>
              </w:rPr>
              <w:t>mnenje na lastno pobudo</w:t>
            </w:r>
          </w:p>
          <w:p w:rsidRPr="00112BD9" w:rsidR="00835C50" w:rsidP="005540B3" w:rsidRDefault="00835C50" w14:paraId="4BDF500B" w14:textId="77777777">
            <w:pPr>
              <w:tabs>
                <w:tab w:val="center" w:pos="284"/>
              </w:tabs>
              <w:ind w:left="266" w:hanging="266"/>
              <w:rPr>
                <w:szCs w:val="22"/>
                <w:lang w:val="sl-SI"/>
              </w:rPr>
            </w:pPr>
            <w:r w:rsidRPr="00112BD9">
              <w:rPr>
                <w:lang w:val="sl-SI"/>
              </w:rPr>
              <w:t>EESC-2024-00983-00-00-AC</w:t>
            </w:r>
          </w:p>
        </w:tc>
      </w:tr>
    </w:tbl>
    <w:p w:rsidRPr="00112BD9" w:rsidR="00835C50" w:rsidP="00835C50" w:rsidRDefault="00835C50" w14:paraId="34B40D4E" w14:textId="77777777">
      <w:pPr>
        <w:keepNext/>
        <w:keepLines/>
        <w:tabs>
          <w:tab w:val="center" w:pos="284"/>
        </w:tabs>
        <w:ind w:left="266" w:hanging="266"/>
        <w:rPr>
          <w:b/>
          <w:szCs w:val="22"/>
          <w:lang w:val="sl-SI"/>
        </w:rPr>
      </w:pPr>
    </w:p>
    <w:p w:rsidRPr="00112BD9" w:rsidR="00835C50" w:rsidP="00835C50" w:rsidRDefault="00835C50" w14:paraId="7A6F433F" w14:textId="77777777">
      <w:pPr>
        <w:keepNext/>
        <w:keepLines/>
        <w:tabs>
          <w:tab w:val="center" w:pos="284"/>
        </w:tabs>
        <w:ind w:left="266" w:hanging="266"/>
        <w:rPr>
          <w:b/>
          <w:szCs w:val="22"/>
          <w:lang w:val="sl-SI"/>
        </w:rPr>
      </w:pPr>
      <w:r w:rsidRPr="00112BD9">
        <w:rPr>
          <w:b/>
          <w:lang w:val="sl-SI"/>
        </w:rPr>
        <w:t>Glavne točke</w:t>
      </w:r>
    </w:p>
    <w:p w:rsidRPr="00112BD9" w:rsidR="00835C50" w:rsidP="00835C50" w:rsidRDefault="00835C50" w14:paraId="1973C6E5" w14:textId="77777777">
      <w:pPr>
        <w:keepNext/>
        <w:keepLines/>
        <w:tabs>
          <w:tab w:val="center" w:pos="284"/>
        </w:tabs>
        <w:ind w:left="266" w:hanging="266"/>
        <w:rPr>
          <w:b/>
          <w:szCs w:val="22"/>
          <w:lang w:val="sl-SI"/>
        </w:rPr>
      </w:pPr>
    </w:p>
    <w:p w:rsidRPr="00112BD9" w:rsidR="00835C50" w:rsidP="00835C50" w:rsidRDefault="00835C50" w14:paraId="09A1EE2D" w14:textId="77777777">
      <w:pPr>
        <w:rPr>
          <w:lang w:val="sl-SI"/>
        </w:rPr>
      </w:pPr>
      <w:r w:rsidRPr="00112BD9">
        <w:rPr>
          <w:lang w:val="sl-SI"/>
        </w:rPr>
        <w:t>EESO:</w:t>
      </w:r>
    </w:p>
    <w:p w:rsidRPr="00112BD9" w:rsidR="00835C50" w:rsidP="00835C50" w:rsidRDefault="00835C50" w14:paraId="243AE38E" w14:textId="77777777">
      <w:pPr>
        <w:rPr>
          <w:bCs/>
          <w:iCs/>
          <w:szCs w:val="22"/>
          <w:lang w:val="sl-SI"/>
        </w:rPr>
      </w:pPr>
    </w:p>
    <w:p w:rsidRPr="00112BD9" w:rsidR="00835C50" w:rsidP="00067164" w:rsidRDefault="00835C50" w14:paraId="023882B3" w14:textId="77777777">
      <w:pPr>
        <w:widowControl w:val="0"/>
        <w:numPr>
          <w:ilvl w:val="0"/>
          <w:numId w:val="29"/>
        </w:numPr>
        <w:ind w:left="567" w:hanging="567"/>
        <w:rPr>
          <w:lang w:val="sl-SI"/>
        </w:rPr>
      </w:pPr>
      <w:r w:rsidRPr="00112BD9">
        <w:rPr>
          <w:lang w:val="sl-SI"/>
        </w:rPr>
        <w:t>je prepričan, da bi bilo treba trg električne energije reformirati tako, da bo do leta 2050 dosegel cilj podnebne nevtralnosti, kar je treba združiti s cilji zanesljive oskrbe ter stabilnih in dostopnih cen, hkrati pa zagotoviti pravico do energije, da bi zaščitili ranljive skupine;</w:t>
      </w:r>
    </w:p>
    <w:p w:rsidRPr="00112BD9" w:rsidR="00835C50" w:rsidP="00067164" w:rsidRDefault="00835C50" w14:paraId="4CFAC4C6" w14:textId="77777777">
      <w:pPr>
        <w:widowControl w:val="0"/>
        <w:numPr>
          <w:ilvl w:val="0"/>
          <w:numId w:val="29"/>
        </w:numPr>
        <w:ind w:left="567" w:hanging="567"/>
        <w:rPr>
          <w:lang w:val="sl-SI"/>
        </w:rPr>
      </w:pPr>
      <w:r w:rsidRPr="00112BD9">
        <w:rPr>
          <w:lang w:val="sl-SI"/>
        </w:rPr>
        <w:t>zagovarja model vladnih predpisov, kjer je to potrebno, in zasebnega podjetništva, kjer je to mogoče. Predlaga, da se to uresniči v energetskem mehanizmu, ki bi lahko imel obliko podjetja, ki bi ga ustanovila vlada in bi imel vlogo vzdrževalca trga;</w:t>
      </w:r>
    </w:p>
    <w:p w:rsidRPr="00112BD9" w:rsidR="00835C50" w:rsidP="00067164" w:rsidRDefault="00835C50" w14:paraId="4B5BBF2A" w14:textId="77777777">
      <w:pPr>
        <w:widowControl w:val="0"/>
        <w:numPr>
          <w:ilvl w:val="0"/>
          <w:numId w:val="29"/>
        </w:numPr>
        <w:ind w:left="567" w:hanging="567"/>
        <w:rPr>
          <w:lang w:val="sl-SI"/>
        </w:rPr>
      </w:pPr>
      <w:r w:rsidRPr="00112BD9">
        <w:rPr>
          <w:lang w:val="sl-SI"/>
        </w:rPr>
        <w:t>je prepričan, da je treba spodbujati proizvodnjo električne energije v manjšem obsegu, da bi cena električne energije ostala dostopna za odjemalce in bi se povečale možnosti za prožnost omrežij;</w:t>
      </w:r>
    </w:p>
    <w:p w:rsidRPr="00112BD9" w:rsidR="00835C50" w:rsidP="00067164" w:rsidRDefault="00835C50" w14:paraId="19C199EF" w14:textId="77777777">
      <w:pPr>
        <w:widowControl w:val="0"/>
        <w:numPr>
          <w:ilvl w:val="0"/>
          <w:numId w:val="29"/>
        </w:numPr>
        <w:ind w:left="567" w:hanging="567"/>
        <w:rPr>
          <w:lang w:val="sl-SI"/>
        </w:rPr>
      </w:pPr>
      <w:r w:rsidRPr="00112BD9">
        <w:rPr>
          <w:lang w:val="sl-SI"/>
        </w:rPr>
        <w:t>meni, da bodo morale vlade zaradi stroškov električne energije ob pričakovanem zvišanju cen v obdobju do leta 2030 in pozneje ponovno preučiti svojo politiko obdavčitve dobave električne energije odjemalcem.</w:t>
      </w:r>
    </w:p>
    <w:p w:rsidRPr="00112BD9" w:rsidR="00835C50" w:rsidP="00835C50" w:rsidRDefault="00835C50" w14:paraId="333B19FA" w14:textId="77777777">
      <w:pPr>
        <w:widowControl w:val="0"/>
        <w:ind w:left="568"/>
        <w:rPr>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12BD9" w:rsidR="00835C50" w:rsidTr="005540B3" w14:paraId="163EB415" w14:textId="77777777">
        <w:tc>
          <w:tcPr>
            <w:tcW w:w="1418" w:type="dxa"/>
          </w:tcPr>
          <w:p w:rsidRPr="00112BD9" w:rsidR="00835C50" w:rsidP="005540B3" w:rsidRDefault="00835C50" w14:paraId="7D604F7A" w14:textId="77777777">
            <w:pPr>
              <w:rPr>
                <w:i/>
                <w:szCs w:val="22"/>
                <w:lang w:val="sl-SI"/>
              </w:rPr>
            </w:pPr>
            <w:r w:rsidRPr="00112BD9">
              <w:rPr>
                <w:b/>
                <w:i/>
                <w:lang w:val="sl-SI"/>
              </w:rPr>
              <w:t>Kontakt</w:t>
            </w:r>
          </w:p>
        </w:tc>
        <w:tc>
          <w:tcPr>
            <w:tcW w:w="5670" w:type="dxa"/>
          </w:tcPr>
          <w:p w:rsidRPr="00112BD9" w:rsidR="00835C50" w:rsidP="005540B3" w:rsidRDefault="00835C50" w14:paraId="72D5FC58" w14:textId="77777777">
            <w:pPr>
              <w:rPr>
                <w:i/>
                <w:szCs w:val="22"/>
                <w:lang w:val="sl-SI"/>
              </w:rPr>
            </w:pPr>
            <w:r w:rsidRPr="00112BD9">
              <w:rPr>
                <w:i/>
                <w:lang w:val="sl-SI"/>
              </w:rPr>
              <w:t>Maja RADMAN</w:t>
            </w:r>
          </w:p>
        </w:tc>
      </w:tr>
      <w:tr w:rsidRPr="00112BD9" w:rsidR="00835C50" w:rsidTr="005540B3" w14:paraId="7AC1DC99" w14:textId="77777777">
        <w:tc>
          <w:tcPr>
            <w:tcW w:w="1418" w:type="dxa"/>
          </w:tcPr>
          <w:p w:rsidRPr="00112BD9" w:rsidR="00835C50" w:rsidP="005540B3" w:rsidRDefault="00835C50" w14:paraId="7E8F43B2" w14:textId="77777777">
            <w:pPr>
              <w:rPr>
                <w:i/>
                <w:szCs w:val="22"/>
                <w:lang w:val="sl-SI"/>
              </w:rPr>
            </w:pPr>
            <w:r w:rsidRPr="00112BD9">
              <w:rPr>
                <w:i/>
                <w:lang w:val="sl-SI"/>
              </w:rPr>
              <w:t>Telefon</w:t>
            </w:r>
          </w:p>
        </w:tc>
        <w:tc>
          <w:tcPr>
            <w:tcW w:w="5670" w:type="dxa"/>
          </w:tcPr>
          <w:p w:rsidRPr="00112BD9" w:rsidR="00835C50" w:rsidP="005540B3" w:rsidRDefault="00835C50" w14:paraId="5924FB19" w14:textId="77777777">
            <w:pPr>
              <w:rPr>
                <w:i/>
                <w:szCs w:val="22"/>
                <w:lang w:val="sl-SI"/>
              </w:rPr>
            </w:pPr>
            <w:r w:rsidRPr="00112BD9">
              <w:rPr>
                <w:i/>
                <w:lang w:val="sl-SI"/>
              </w:rPr>
              <w:t>+32 25469051</w:t>
            </w:r>
          </w:p>
        </w:tc>
      </w:tr>
      <w:tr w:rsidRPr="00112BD9" w:rsidR="00835C50" w:rsidTr="005540B3" w14:paraId="05F6BAFE" w14:textId="77777777">
        <w:tc>
          <w:tcPr>
            <w:tcW w:w="1418" w:type="dxa"/>
          </w:tcPr>
          <w:p w:rsidRPr="00112BD9" w:rsidR="00835C50" w:rsidP="005540B3" w:rsidRDefault="00835C50" w14:paraId="7A38D6B6" w14:textId="77777777">
            <w:pPr>
              <w:rPr>
                <w:i/>
                <w:szCs w:val="22"/>
                <w:lang w:val="sl-SI"/>
              </w:rPr>
            </w:pPr>
            <w:r w:rsidRPr="00112BD9">
              <w:rPr>
                <w:i/>
                <w:lang w:val="sl-SI"/>
              </w:rPr>
              <w:t>E-naslov</w:t>
            </w:r>
          </w:p>
        </w:tc>
        <w:tc>
          <w:tcPr>
            <w:tcW w:w="5670" w:type="dxa"/>
          </w:tcPr>
          <w:p w:rsidRPr="00112BD9" w:rsidR="00835C50" w:rsidP="005540B3" w:rsidRDefault="00835C50" w14:paraId="7191EB24" w14:textId="77777777">
            <w:pPr>
              <w:rPr>
                <w:i/>
                <w:iCs/>
                <w:szCs w:val="22"/>
                <w:lang w:val="sl-SI"/>
              </w:rPr>
            </w:pPr>
            <w:hyperlink w:history="1" r:id="rId32">
              <w:r w:rsidRPr="00112BD9">
                <w:rPr>
                  <w:rStyle w:val="Hyperlink"/>
                  <w:rFonts w:eastAsiaTheme="majorEastAsia"/>
                  <w:i/>
                  <w:lang w:val="sl-SI"/>
                </w:rPr>
                <w:t>Maja.Radman@eesc.europa.eu</w:t>
              </w:r>
            </w:hyperlink>
          </w:p>
        </w:tc>
      </w:tr>
    </w:tbl>
    <w:p w:rsidRPr="00112BD9" w:rsidR="00835C50" w:rsidP="00835C50" w:rsidRDefault="00835C50" w14:paraId="65705FF0" w14:textId="18B8C688">
      <w:pPr>
        <w:jc w:val="center"/>
        <w:rPr>
          <w:lang w:val="sl-SI"/>
        </w:rPr>
      </w:pPr>
    </w:p>
    <w:p w:rsidRPr="00112BD9" w:rsidR="00835C50" w:rsidP="00835C50" w:rsidRDefault="00835C50" w14:paraId="406314D4" w14:textId="77777777">
      <w:pPr>
        <w:jc w:val="center"/>
        <w:rPr>
          <w:lang w:val="sl-SI"/>
        </w:rPr>
        <w:sectPr w:rsidRPr="00112BD9" w:rsidR="00835C50" w:rsidSect="00601B9D">
          <w:pgSz w:w="11907" w:h="16839" w:code="9"/>
          <w:pgMar w:top="1418" w:right="1418" w:bottom="1418" w:left="1418" w:header="709" w:footer="709" w:gutter="0"/>
          <w:cols w:space="720"/>
          <w:docGrid w:linePitch="299"/>
        </w:sectPr>
      </w:pPr>
    </w:p>
    <w:p w:rsidRPr="00112BD9" w:rsidR="00835C50" w:rsidP="00067164" w:rsidRDefault="00835C50" w14:paraId="626DB3BC" w14:textId="77777777">
      <w:pPr>
        <w:numPr>
          <w:ilvl w:val="0"/>
          <w:numId w:val="29"/>
        </w:numPr>
        <w:suppressAutoHyphens/>
        <w:ind w:left="567" w:hanging="567"/>
        <w:rPr>
          <w:b/>
          <w:szCs w:val="22"/>
          <w:u w:val="single"/>
          <w:lang w:val="sl-SI"/>
        </w:rPr>
      </w:pPr>
      <w:hyperlink w:history="1" r:id="rId33">
        <w:r w:rsidRPr="00112BD9">
          <w:rPr>
            <w:rStyle w:val="Hyperlink"/>
            <w:rFonts w:eastAsiaTheme="majorEastAsia"/>
            <w:b/>
            <w:i/>
            <w:sz w:val="28"/>
            <w:lang w:val="sl-SI"/>
          </w:rPr>
          <w:t>Pomorska strategija EU: Usmerjanje v prihodnost z usklajenimi naložbenimi politikami, zakonodajnimi pobudami, socialnim dialogom in vključevanjem civilne družbe</w:t>
        </w:r>
      </w:hyperlink>
    </w:p>
    <w:p w:rsidRPr="00112BD9" w:rsidR="00835C50" w:rsidP="00835C50" w:rsidRDefault="00835C50" w14:paraId="25951202" w14:textId="77777777">
      <w:pPr>
        <w:spacing w:line="240" w:lineRule="auto"/>
        <w:rPr>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01"/>
        <w:gridCol w:w="6570"/>
      </w:tblGrid>
      <w:tr w:rsidRPr="00112BD9" w:rsidR="00835C50" w:rsidTr="005540B3" w14:paraId="52933276" w14:textId="77777777">
        <w:tc>
          <w:tcPr>
            <w:tcW w:w="2518" w:type="dxa"/>
          </w:tcPr>
          <w:p w:rsidRPr="00112BD9" w:rsidR="00835C50" w:rsidP="005540B3" w:rsidRDefault="00835C50" w14:paraId="62E0A0FB" w14:textId="77777777">
            <w:pPr>
              <w:tabs>
                <w:tab w:val="center" w:pos="284"/>
              </w:tabs>
              <w:suppressAutoHyphens/>
              <w:ind w:left="266" w:hanging="266"/>
              <w:rPr>
                <w:b/>
                <w:szCs w:val="22"/>
                <w:lang w:val="sl-SI"/>
              </w:rPr>
            </w:pPr>
            <w:r w:rsidRPr="00112BD9">
              <w:rPr>
                <w:b/>
                <w:lang w:val="sl-SI"/>
              </w:rPr>
              <w:t xml:space="preserve">Poročevalka </w:t>
            </w:r>
          </w:p>
        </w:tc>
        <w:tc>
          <w:tcPr>
            <w:tcW w:w="6662" w:type="dxa"/>
          </w:tcPr>
          <w:p w:rsidRPr="00112BD9" w:rsidR="00835C50" w:rsidP="005540B3" w:rsidRDefault="00835C50" w14:paraId="5E8C973F" w14:textId="77777777">
            <w:pPr>
              <w:tabs>
                <w:tab w:val="center" w:pos="284"/>
              </w:tabs>
              <w:suppressAutoHyphens/>
              <w:ind w:left="266" w:hanging="266"/>
              <w:rPr>
                <w:szCs w:val="22"/>
                <w:lang w:val="sl-SI"/>
              </w:rPr>
            </w:pPr>
            <w:r w:rsidRPr="00112BD9">
              <w:rPr>
                <w:lang w:val="sl-SI"/>
              </w:rPr>
              <w:t>Ágnes CSER (skupina organizacij civilne družbe – HU)</w:t>
            </w:r>
          </w:p>
        </w:tc>
      </w:tr>
      <w:tr w:rsidRPr="00112BD9" w:rsidR="00835C50" w:rsidTr="005540B3" w14:paraId="69818AC7" w14:textId="77777777">
        <w:tc>
          <w:tcPr>
            <w:tcW w:w="2518" w:type="dxa"/>
          </w:tcPr>
          <w:p w:rsidRPr="00112BD9" w:rsidR="00835C50" w:rsidP="005540B3" w:rsidRDefault="00835C50" w14:paraId="7403CC41" w14:textId="77777777">
            <w:pPr>
              <w:tabs>
                <w:tab w:val="center" w:pos="284"/>
              </w:tabs>
              <w:suppressAutoHyphens/>
              <w:ind w:left="266" w:hanging="266"/>
              <w:rPr>
                <w:b/>
                <w:szCs w:val="22"/>
                <w:lang w:val="sl-SI"/>
              </w:rPr>
            </w:pPr>
            <w:r w:rsidRPr="00112BD9">
              <w:rPr>
                <w:b/>
                <w:lang w:val="sl-SI"/>
              </w:rPr>
              <w:t>Soporočevalka</w:t>
            </w:r>
          </w:p>
        </w:tc>
        <w:tc>
          <w:tcPr>
            <w:tcW w:w="6662" w:type="dxa"/>
          </w:tcPr>
          <w:p w:rsidRPr="00112BD9" w:rsidR="00835C50" w:rsidP="005540B3" w:rsidRDefault="00835C50" w14:paraId="50BFCF53" w14:textId="77777777">
            <w:pPr>
              <w:tabs>
                <w:tab w:val="center" w:pos="284"/>
              </w:tabs>
              <w:suppressAutoHyphens/>
              <w:ind w:left="266" w:hanging="266"/>
              <w:rPr>
                <w:szCs w:val="22"/>
                <w:lang w:val="sl-SI"/>
              </w:rPr>
            </w:pPr>
            <w:r w:rsidRPr="00112BD9">
              <w:rPr>
                <w:lang w:val="sl-SI"/>
              </w:rPr>
              <w:t>Tanja BUZEK (skupina delojemalcev – DE)</w:t>
            </w:r>
          </w:p>
        </w:tc>
      </w:tr>
      <w:tr w:rsidRPr="00112BD9" w:rsidR="00835C50" w:rsidTr="005540B3" w14:paraId="3FE55230" w14:textId="77777777">
        <w:tc>
          <w:tcPr>
            <w:tcW w:w="9180" w:type="dxa"/>
            <w:gridSpan w:val="2"/>
          </w:tcPr>
          <w:p w:rsidRPr="00112BD9" w:rsidR="00835C50" w:rsidP="005540B3" w:rsidRDefault="00835C50" w14:paraId="29B5D627" w14:textId="77777777">
            <w:pPr>
              <w:tabs>
                <w:tab w:val="center" w:pos="284"/>
              </w:tabs>
              <w:suppressAutoHyphens/>
              <w:spacing w:line="240" w:lineRule="auto"/>
              <w:ind w:left="266" w:hanging="266"/>
              <w:rPr>
                <w:szCs w:val="22"/>
                <w:lang w:val="sl-SI"/>
              </w:rPr>
            </w:pPr>
          </w:p>
        </w:tc>
      </w:tr>
      <w:tr w:rsidRPr="00112BD9" w:rsidR="00835C50" w:rsidTr="005540B3" w14:paraId="7DE6B978" w14:textId="77777777">
        <w:tc>
          <w:tcPr>
            <w:tcW w:w="2518" w:type="dxa"/>
          </w:tcPr>
          <w:p w:rsidRPr="00112BD9" w:rsidR="00835C50" w:rsidP="005540B3" w:rsidRDefault="00835C50" w14:paraId="5B8EC1DE" w14:textId="77777777">
            <w:pPr>
              <w:tabs>
                <w:tab w:val="center" w:pos="284"/>
              </w:tabs>
              <w:suppressAutoHyphens/>
              <w:ind w:left="266" w:hanging="266"/>
              <w:rPr>
                <w:b/>
                <w:szCs w:val="22"/>
                <w:lang w:val="sl-SI"/>
              </w:rPr>
            </w:pPr>
            <w:r w:rsidRPr="00112BD9">
              <w:rPr>
                <w:b/>
                <w:lang w:val="sl-SI"/>
              </w:rPr>
              <w:t>Referenčni dokument</w:t>
            </w:r>
          </w:p>
        </w:tc>
        <w:tc>
          <w:tcPr>
            <w:tcW w:w="6662" w:type="dxa"/>
          </w:tcPr>
          <w:p w:rsidRPr="00112BD9" w:rsidR="00835C50" w:rsidP="005540B3" w:rsidRDefault="00835C50" w14:paraId="0EB057F7" w14:textId="77777777">
            <w:pPr>
              <w:tabs>
                <w:tab w:val="center" w:pos="284"/>
              </w:tabs>
              <w:suppressAutoHyphens/>
              <w:ind w:left="266" w:hanging="266"/>
              <w:rPr>
                <w:szCs w:val="22"/>
                <w:lang w:val="sl-SI"/>
              </w:rPr>
            </w:pPr>
            <w:r w:rsidRPr="00112BD9">
              <w:rPr>
                <w:lang w:val="sl-SI"/>
              </w:rPr>
              <w:t>mnenje na lastno pobudo</w:t>
            </w:r>
          </w:p>
          <w:p w:rsidRPr="00112BD9" w:rsidR="00835C50" w:rsidP="005540B3" w:rsidRDefault="00835C50" w14:paraId="1E2B4AF1" w14:textId="77777777">
            <w:pPr>
              <w:tabs>
                <w:tab w:val="center" w:pos="284"/>
              </w:tabs>
              <w:suppressAutoHyphens/>
              <w:ind w:left="266" w:hanging="266"/>
              <w:rPr>
                <w:szCs w:val="22"/>
                <w:lang w:val="sl-SI"/>
              </w:rPr>
            </w:pPr>
            <w:r w:rsidRPr="00112BD9">
              <w:rPr>
                <w:lang w:val="sl-SI"/>
              </w:rPr>
              <w:t>EESC-2024-00720-00-00-AC</w:t>
            </w:r>
          </w:p>
        </w:tc>
      </w:tr>
    </w:tbl>
    <w:p w:rsidRPr="00112BD9" w:rsidR="00835C50" w:rsidP="00835C50" w:rsidRDefault="00835C50" w14:paraId="17661A18" w14:textId="77777777">
      <w:pPr>
        <w:tabs>
          <w:tab w:val="center" w:pos="284"/>
        </w:tabs>
        <w:suppressAutoHyphens/>
        <w:spacing w:line="240" w:lineRule="auto"/>
        <w:ind w:left="266" w:hanging="266"/>
        <w:rPr>
          <w:szCs w:val="22"/>
          <w:lang w:val="sl-SI"/>
        </w:rPr>
      </w:pPr>
    </w:p>
    <w:p w:rsidRPr="00112BD9" w:rsidR="00835C50" w:rsidP="00835C50" w:rsidRDefault="00835C50" w14:paraId="4303DAF8" w14:textId="77777777">
      <w:pPr>
        <w:tabs>
          <w:tab w:val="center" w:pos="284"/>
        </w:tabs>
        <w:suppressAutoHyphens/>
        <w:ind w:left="266" w:hanging="266"/>
        <w:rPr>
          <w:b/>
          <w:szCs w:val="22"/>
          <w:lang w:val="sl-SI"/>
        </w:rPr>
      </w:pPr>
      <w:r w:rsidRPr="00112BD9">
        <w:rPr>
          <w:b/>
          <w:lang w:val="sl-SI"/>
        </w:rPr>
        <w:t>Glavne točke</w:t>
      </w:r>
    </w:p>
    <w:p w:rsidRPr="00112BD9" w:rsidR="00835C50" w:rsidP="00835C50" w:rsidRDefault="00835C50" w14:paraId="05F4242E" w14:textId="77777777">
      <w:pPr>
        <w:tabs>
          <w:tab w:val="center" w:pos="284"/>
        </w:tabs>
        <w:suppressAutoHyphens/>
        <w:spacing w:line="240" w:lineRule="auto"/>
        <w:ind w:left="266" w:hanging="266"/>
        <w:rPr>
          <w:bCs/>
          <w:szCs w:val="22"/>
          <w:lang w:val="sl-SI"/>
        </w:rPr>
      </w:pPr>
    </w:p>
    <w:p w:rsidRPr="00112BD9" w:rsidR="00835C50" w:rsidP="00835C50" w:rsidRDefault="00835C50" w14:paraId="021CA227" w14:textId="77777777">
      <w:pPr>
        <w:suppressAutoHyphens/>
        <w:rPr>
          <w:bCs/>
          <w:iCs/>
          <w:szCs w:val="22"/>
          <w:lang w:val="sl-SI"/>
        </w:rPr>
      </w:pPr>
      <w:r w:rsidRPr="00112BD9">
        <w:rPr>
          <w:lang w:val="sl-SI"/>
        </w:rPr>
        <w:t>EESO:</w:t>
      </w:r>
    </w:p>
    <w:p w:rsidRPr="00112BD9" w:rsidR="00835C50" w:rsidP="00835C50" w:rsidRDefault="00835C50" w14:paraId="1F855071" w14:textId="77777777">
      <w:pPr>
        <w:suppressAutoHyphens/>
        <w:spacing w:line="240" w:lineRule="auto"/>
        <w:rPr>
          <w:bCs/>
          <w:iCs/>
          <w:szCs w:val="22"/>
          <w:lang w:val="sl-SI"/>
        </w:rPr>
      </w:pPr>
    </w:p>
    <w:p w:rsidRPr="00112BD9" w:rsidR="00835C50" w:rsidP="00D5765D" w:rsidRDefault="00835C50" w14:paraId="586BC137" w14:textId="77777777">
      <w:pPr>
        <w:numPr>
          <w:ilvl w:val="0"/>
          <w:numId w:val="28"/>
        </w:numPr>
        <w:suppressAutoHyphens/>
        <w:ind w:left="567" w:hanging="567"/>
        <w:rPr>
          <w:lang w:val="sl-SI"/>
        </w:rPr>
      </w:pPr>
      <w:r w:rsidRPr="00112BD9">
        <w:rPr>
          <w:lang w:val="sl-SI"/>
        </w:rPr>
        <w:t>poziva, naj se pripravi nova pomorska strategija EU, ki bo ustrezala pomembnosti sektorja za gospodarstvo EU in dobrobit njenih državljanov. S celostnim pristopom bomo zagotovili trajnostni razvoj pomorskega prostora, podprli pomorsko varnost in obrambne zmogljivosti, okrepili modro gospodarstvo ter spodbudili aktivno sodelovanje socialnih partnerjev in civilne družbe, pa tudi regionalno in globalno sodelovanje;</w:t>
      </w:r>
    </w:p>
    <w:p w:rsidRPr="00112BD9" w:rsidR="00835C50" w:rsidP="00D5765D" w:rsidRDefault="00835C50" w14:paraId="38E0345F" w14:textId="77777777">
      <w:pPr>
        <w:numPr>
          <w:ilvl w:val="0"/>
          <w:numId w:val="27"/>
        </w:numPr>
        <w:suppressAutoHyphens/>
        <w:ind w:left="567" w:hanging="567"/>
        <w:rPr>
          <w:lang w:val="sl-SI"/>
        </w:rPr>
      </w:pPr>
      <w:r w:rsidRPr="00112BD9">
        <w:rPr>
          <w:lang w:val="sl-SI"/>
        </w:rPr>
        <w:t>opozarja, da sta v središču strategije in naložb javne politike EU varnost držav članic, državljanov in partnerjev EU ter prost dostop do mirnih plovnih poti. Zaradi dolgotrajnih nezakonitih dejavnosti ter novih in spreminjajočih se groženj in vse večje geopolitične konkurence je za obrambno politiko, politiko mednarodnih odnosov in trgovinsko politiko EU potreben takojšen akcijski načrt;</w:t>
      </w:r>
    </w:p>
    <w:p w:rsidRPr="00112BD9" w:rsidR="00835C50" w:rsidP="00D5765D" w:rsidRDefault="00835C50" w14:paraId="0C45EEBE" w14:textId="77777777">
      <w:pPr>
        <w:numPr>
          <w:ilvl w:val="0"/>
          <w:numId w:val="26"/>
        </w:numPr>
        <w:suppressAutoHyphens/>
        <w:ind w:left="567" w:hanging="567"/>
        <w:rPr>
          <w:lang w:val="sl-SI"/>
        </w:rPr>
      </w:pPr>
      <w:r w:rsidRPr="00112BD9">
        <w:rPr>
          <w:lang w:val="sl-SI"/>
        </w:rPr>
        <w:t>poudarja, da je za trajnostno rabo oceanov in morskih virov v EU in po svetu treba zagotoviti trajnostno ribištvo in spodbujati trajnostno modro gospodarstvo;</w:t>
      </w:r>
    </w:p>
    <w:p w:rsidRPr="00112BD9" w:rsidR="00835C50" w:rsidP="00D5765D" w:rsidRDefault="00835C50" w14:paraId="71E49469" w14:textId="77777777">
      <w:pPr>
        <w:numPr>
          <w:ilvl w:val="0"/>
          <w:numId w:val="26"/>
        </w:numPr>
        <w:suppressAutoHyphens/>
        <w:ind w:left="567" w:hanging="567"/>
        <w:rPr>
          <w:lang w:val="sl-SI"/>
        </w:rPr>
      </w:pPr>
      <w:r w:rsidRPr="00112BD9">
        <w:rPr>
          <w:lang w:val="sl-SI"/>
        </w:rPr>
        <w:t>poleg tega poudarja, da je poleg učinkovite pomorske politike treba vzpostaviti tudi konkurenčno okolje in sprostiti potencial sektorja, vendar mora biti ta cilj uravnotežen z zaščito podjetij in delavcev pred nelojalno konkurenco in socialnim dampingom;</w:t>
      </w:r>
    </w:p>
    <w:p w:rsidRPr="00112BD9" w:rsidR="00835C50" w:rsidP="00D5765D" w:rsidRDefault="00835C50" w14:paraId="691E727C" w14:textId="77777777">
      <w:pPr>
        <w:numPr>
          <w:ilvl w:val="0"/>
          <w:numId w:val="26"/>
        </w:numPr>
        <w:suppressAutoHyphens/>
        <w:ind w:left="567" w:hanging="567"/>
        <w:rPr>
          <w:lang w:val="sl-SI"/>
        </w:rPr>
      </w:pPr>
      <w:r w:rsidRPr="00112BD9">
        <w:rPr>
          <w:lang w:val="sl-SI"/>
        </w:rPr>
        <w:t>poziva Komisijo, naj da prednost ukrepom, povezanim z vrzelmi v socialni zaščiti pomorščakov in pokojninskih sistemih zanje, utrujenostjo na morju ter dostopom do izhoda na kopno. Panoga pomorskega prometa ter EU in njene države članice si morajo zastaviti visoke cilje, da bi povečale privlačnost tega poklica in izboljšale dobrobit pomorščakov.</w:t>
      </w:r>
    </w:p>
    <w:p w:rsidRPr="00112BD9" w:rsidR="00835C50" w:rsidP="00835C50" w:rsidRDefault="00835C50" w14:paraId="501AE014" w14:textId="77777777">
      <w:pPr>
        <w:spacing w:line="240" w:lineRule="auto"/>
        <w:rPr>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6237"/>
      </w:tblGrid>
      <w:tr w:rsidRPr="00112BD9" w:rsidR="00835C50" w:rsidTr="005540B3" w14:paraId="03DBE381" w14:textId="77777777">
        <w:tc>
          <w:tcPr>
            <w:tcW w:w="2093" w:type="dxa"/>
          </w:tcPr>
          <w:p w:rsidRPr="00112BD9" w:rsidR="00835C50" w:rsidP="005540B3" w:rsidRDefault="00835C50" w14:paraId="321341B9" w14:textId="77777777">
            <w:pPr>
              <w:suppressAutoHyphens/>
              <w:rPr>
                <w:i/>
                <w:szCs w:val="22"/>
                <w:lang w:val="sl-SI"/>
              </w:rPr>
            </w:pPr>
            <w:r w:rsidRPr="00112BD9">
              <w:rPr>
                <w:b/>
                <w:i/>
                <w:lang w:val="sl-SI"/>
              </w:rPr>
              <w:t>Kontaktna oseba</w:t>
            </w:r>
          </w:p>
        </w:tc>
        <w:tc>
          <w:tcPr>
            <w:tcW w:w="6237" w:type="dxa"/>
          </w:tcPr>
          <w:p w:rsidRPr="00112BD9" w:rsidR="00835C50" w:rsidP="005540B3" w:rsidRDefault="00835C50" w14:paraId="27CD239C" w14:textId="77777777">
            <w:pPr>
              <w:suppressAutoHyphens/>
              <w:rPr>
                <w:i/>
                <w:szCs w:val="22"/>
                <w:lang w:val="sl-SI"/>
              </w:rPr>
            </w:pPr>
            <w:r w:rsidRPr="00112BD9">
              <w:rPr>
                <w:i/>
                <w:lang w:val="sl-SI"/>
              </w:rPr>
              <w:t>Aleksandra ŠARMAN GRILC</w:t>
            </w:r>
          </w:p>
        </w:tc>
      </w:tr>
      <w:tr w:rsidRPr="00112BD9" w:rsidR="00835C50" w:rsidTr="005540B3" w14:paraId="0861B53F" w14:textId="77777777">
        <w:tc>
          <w:tcPr>
            <w:tcW w:w="2093" w:type="dxa"/>
          </w:tcPr>
          <w:p w:rsidRPr="00112BD9" w:rsidR="00835C50" w:rsidP="005540B3" w:rsidRDefault="00835C50" w14:paraId="25B37873" w14:textId="77777777">
            <w:pPr>
              <w:suppressAutoHyphens/>
              <w:rPr>
                <w:i/>
                <w:szCs w:val="22"/>
                <w:lang w:val="sl-SI"/>
              </w:rPr>
            </w:pPr>
            <w:r w:rsidRPr="00112BD9">
              <w:rPr>
                <w:i/>
                <w:lang w:val="sl-SI"/>
              </w:rPr>
              <w:t>Telefon</w:t>
            </w:r>
          </w:p>
        </w:tc>
        <w:tc>
          <w:tcPr>
            <w:tcW w:w="6237" w:type="dxa"/>
          </w:tcPr>
          <w:p w:rsidRPr="00112BD9" w:rsidR="00835C50" w:rsidP="005540B3" w:rsidRDefault="00835C50" w14:paraId="71208A2C" w14:textId="77777777">
            <w:pPr>
              <w:suppressAutoHyphens/>
              <w:rPr>
                <w:i/>
                <w:szCs w:val="22"/>
                <w:lang w:val="sl-SI"/>
              </w:rPr>
            </w:pPr>
            <w:r w:rsidRPr="00112BD9">
              <w:rPr>
                <w:i/>
                <w:lang w:val="sl-SI"/>
              </w:rPr>
              <w:t>+32 25468333</w:t>
            </w:r>
          </w:p>
        </w:tc>
      </w:tr>
      <w:tr w:rsidRPr="00112BD9" w:rsidR="00835C50" w:rsidTr="005540B3" w14:paraId="23B51B0C" w14:textId="77777777">
        <w:tc>
          <w:tcPr>
            <w:tcW w:w="2093" w:type="dxa"/>
          </w:tcPr>
          <w:p w:rsidRPr="00112BD9" w:rsidR="00835C50" w:rsidP="005540B3" w:rsidRDefault="00835C50" w14:paraId="2772DDB9" w14:textId="77777777">
            <w:pPr>
              <w:suppressAutoHyphens/>
              <w:rPr>
                <w:i/>
                <w:szCs w:val="22"/>
                <w:lang w:val="sl-SI"/>
              </w:rPr>
            </w:pPr>
            <w:r w:rsidRPr="00112BD9">
              <w:rPr>
                <w:i/>
                <w:lang w:val="sl-SI"/>
              </w:rPr>
              <w:t>E-naslov</w:t>
            </w:r>
          </w:p>
        </w:tc>
        <w:tc>
          <w:tcPr>
            <w:tcW w:w="6237" w:type="dxa"/>
          </w:tcPr>
          <w:p w:rsidRPr="00112BD9" w:rsidR="00835C50" w:rsidP="005540B3" w:rsidRDefault="00835C50" w14:paraId="7CB0BFA5" w14:textId="77777777">
            <w:pPr>
              <w:suppressAutoHyphens/>
              <w:rPr>
                <w:i/>
                <w:iCs/>
                <w:szCs w:val="22"/>
                <w:lang w:val="sl-SI"/>
              </w:rPr>
            </w:pPr>
            <w:hyperlink w:history="1" r:id="rId34">
              <w:r w:rsidRPr="00112BD9">
                <w:rPr>
                  <w:rStyle w:val="Hyperlink"/>
                  <w:rFonts w:eastAsiaTheme="majorEastAsia"/>
                  <w:i/>
                  <w:lang w:val="sl-SI"/>
                </w:rPr>
                <w:t>Aleksandra.SarmanGrilc@eesc.europa.eu</w:t>
              </w:r>
            </w:hyperlink>
          </w:p>
        </w:tc>
      </w:tr>
    </w:tbl>
    <w:p w:rsidRPr="00112BD9" w:rsidR="00835C50" w:rsidP="00835C50" w:rsidRDefault="00835C50" w14:paraId="75DB69CE" w14:textId="77777777">
      <w:pPr>
        <w:spacing w:line="240" w:lineRule="auto"/>
        <w:rPr>
          <w:lang w:val="sl-SI"/>
        </w:rPr>
      </w:pPr>
    </w:p>
    <w:p w:rsidRPr="00112BD9" w:rsidR="00835C50" w:rsidP="00835C50" w:rsidRDefault="00835C50" w14:paraId="03A5067C" w14:textId="3FF8A1C7">
      <w:pPr>
        <w:jc w:val="center"/>
        <w:rPr>
          <w:lang w:val="sl-SI"/>
        </w:rPr>
      </w:pPr>
    </w:p>
    <w:p w:rsidRPr="00112BD9" w:rsidR="00437105" w:rsidP="00B1281C" w:rsidRDefault="00437105" w14:paraId="4318AF9E" w14:textId="77777777">
      <w:pPr>
        <w:pStyle w:val="Heading1"/>
        <w:pageBreakBefore/>
        <w:overflowPunct/>
        <w:autoSpaceDE/>
        <w:autoSpaceDN/>
        <w:adjustRightInd/>
        <w:ind w:left="567" w:hanging="567"/>
        <w:textAlignment w:val="auto"/>
        <w:rPr>
          <w:lang w:val="sl-SI"/>
        </w:rPr>
      </w:pPr>
      <w:bookmarkStart w:name="_Toc103071394" w:id="5"/>
      <w:bookmarkStart w:name="_Toc189238819" w:id="6"/>
      <w:r w:rsidRPr="00112BD9">
        <w:rPr>
          <w:b/>
          <w:lang w:val="sl-SI"/>
        </w:rPr>
        <w:lastRenderedPageBreak/>
        <w:t>ENOTNI TRG, PROIZVODNJA IN POTROŠNJA</w:t>
      </w:r>
      <w:bookmarkEnd w:id="5"/>
      <w:bookmarkEnd w:id="6"/>
    </w:p>
    <w:p w:rsidRPr="00112BD9" w:rsidR="00B92E86" w:rsidP="001F6F3D" w:rsidRDefault="00B92E86" w14:paraId="1E6F3C0C" w14:textId="77777777">
      <w:pPr>
        <w:rPr>
          <w:lang w:val="sl-SI"/>
        </w:rPr>
      </w:pPr>
    </w:p>
    <w:p w:rsidRPr="00112BD9" w:rsidR="009E3E43" w:rsidP="00D5765D" w:rsidRDefault="009E3E43" w14:paraId="199EF28E" w14:textId="77777777">
      <w:pPr>
        <w:widowControl w:val="0"/>
        <w:numPr>
          <w:ilvl w:val="0"/>
          <w:numId w:val="26"/>
        </w:numPr>
        <w:ind w:hanging="567"/>
        <w:rPr>
          <w:sz w:val="20"/>
          <w:lang w:val="sl-SI"/>
        </w:rPr>
      </w:pPr>
      <w:hyperlink w:history="1" r:id="rId35">
        <w:r w:rsidRPr="00112BD9">
          <w:rPr>
            <w:rStyle w:val="Hyperlink"/>
            <w:rFonts w:eastAsiaTheme="majorEastAsia"/>
            <w:b/>
            <w:i/>
            <w:sz w:val="28"/>
            <w:lang w:val="sl-SI"/>
          </w:rPr>
          <w:t>Oprema za polnjenje električnih vozil</w:t>
        </w:r>
      </w:hyperlink>
    </w:p>
    <w:p w:rsidRPr="00112BD9" w:rsidR="009E3E43" w:rsidP="009E3E43" w:rsidRDefault="009E3E43" w14:paraId="01CBEFC8" w14:textId="77777777">
      <w:pPr>
        <w:tabs>
          <w:tab w:val="center" w:pos="284"/>
        </w:tabs>
        <w:ind w:left="266" w:hanging="266"/>
        <w:rPr>
          <w:b/>
          <w:szCs w:val="22"/>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4927"/>
      </w:tblGrid>
      <w:tr w:rsidRPr="00112BD9" w:rsidR="009E3E43" w:rsidTr="005540B3" w14:paraId="0DEE18E8" w14:textId="77777777">
        <w:tc>
          <w:tcPr>
            <w:tcW w:w="2694" w:type="dxa"/>
          </w:tcPr>
          <w:p w:rsidRPr="00112BD9" w:rsidR="009E3E43" w:rsidP="005540B3" w:rsidRDefault="009E3E43" w14:paraId="07BA75FF" w14:textId="77777777">
            <w:pPr>
              <w:tabs>
                <w:tab w:val="center" w:pos="284"/>
              </w:tabs>
              <w:ind w:left="266" w:hanging="266"/>
              <w:rPr>
                <w:b/>
                <w:szCs w:val="22"/>
                <w:lang w:val="sl-SI"/>
              </w:rPr>
            </w:pPr>
            <w:r w:rsidRPr="00112BD9">
              <w:rPr>
                <w:b/>
                <w:lang w:val="sl-SI"/>
              </w:rPr>
              <w:t>Mnenje kategorije C</w:t>
            </w:r>
          </w:p>
        </w:tc>
        <w:tc>
          <w:tcPr>
            <w:tcW w:w="4927" w:type="dxa"/>
          </w:tcPr>
          <w:p w:rsidRPr="00112BD9" w:rsidR="009E3E43" w:rsidP="005540B3" w:rsidRDefault="009E3E43" w14:paraId="174D5CCE" w14:textId="77777777">
            <w:pPr>
              <w:tabs>
                <w:tab w:val="center" w:pos="284"/>
              </w:tabs>
              <w:ind w:left="266" w:hanging="266"/>
              <w:rPr>
                <w:szCs w:val="22"/>
                <w:lang w:val="sl-SI"/>
              </w:rPr>
            </w:pPr>
          </w:p>
        </w:tc>
      </w:tr>
      <w:tr w:rsidRPr="00112BD9" w:rsidR="009E3E43" w:rsidTr="005540B3" w14:paraId="25FEAF9F" w14:textId="77777777">
        <w:tc>
          <w:tcPr>
            <w:tcW w:w="7621" w:type="dxa"/>
            <w:gridSpan w:val="2"/>
          </w:tcPr>
          <w:p w:rsidRPr="00112BD9" w:rsidR="009E3E43" w:rsidP="005540B3" w:rsidRDefault="009E3E43" w14:paraId="023E2ADA" w14:textId="77777777">
            <w:pPr>
              <w:tabs>
                <w:tab w:val="center" w:pos="284"/>
              </w:tabs>
              <w:ind w:left="266" w:hanging="266"/>
              <w:rPr>
                <w:szCs w:val="22"/>
                <w:lang w:val="sl-SI"/>
              </w:rPr>
            </w:pPr>
          </w:p>
        </w:tc>
      </w:tr>
      <w:tr w:rsidRPr="00112BD9" w:rsidR="009E3E43" w:rsidTr="005540B3" w14:paraId="54DBB7AC" w14:textId="77777777">
        <w:tc>
          <w:tcPr>
            <w:tcW w:w="2694" w:type="dxa"/>
            <w:vMerge w:val="restart"/>
          </w:tcPr>
          <w:p w:rsidRPr="00112BD9" w:rsidR="009E3E43" w:rsidP="005540B3" w:rsidRDefault="009E3E43" w14:paraId="36A42E5C" w14:textId="77777777">
            <w:pPr>
              <w:tabs>
                <w:tab w:val="center" w:pos="284"/>
              </w:tabs>
              <w:ind w:left="266" w:hanging="266"/>
              <w:rPr>
                <w:b/>
                <w:szCs w:val="22"/>
                <w:lang w:val="sl-SI"/>
              </w:rPr>
            </w:pPr>
            <w:r w:rsidRPr="00112BD9">
              <w:rPr>
                <w:b/>
                <w:lang w:val="sl-SI"/>
              </w:rPr>
              <w:t>Referenčna dokumenta</w:t>
            </w:r>
          </w:p>
        </w:tc>
        <w:tc>
          <w:tcPr>
            <w:tcW w:w="4927" w:type="dxa"/>
          </w:tcPr>
          <w:p w:rsidRPr="00112BD9" w:rsidR="009E3E43" w:rsidP="005540B3" w:rsidRDefault="009E3E43" w14:paraId="53934C1C" w14:textId="77777777">
            <w:pPr>
              <w:tabs>
                <w:tab w:val="center" w:pos="284"/>
              </w:tabs>
              <w:ind w:left="266" w:hanging="266"/>
              <w:rPr>
                <w:lang w:val="sl-SI"/>
              </w:rPr>
            </w:pPr>
            <w:r w:rsidRPr="00112BD9">
              <w:rPr>
                <w:lang w:val="sl-SI"/>
              </w:rPr>
              <w:t>COM(2024) 561 final – 2024/0311 (COD)</w:t>
            </w:r>
          </w:p>
        </w:tc>
      </w:tr>
      <w:tr w:rsidRPr="00112BD9" w:rsidR="009E3E43" w:rsidTr="005540B3" w14:paraId="69805609" w14:textId="77777777">
        <w:tc>
          <w:tcPr>
            <w:tcW w:w="2694" w:type="dxa"/>
            <w:vMerge/>
          </w:tcPr>
          <w:p w:rsidRPr="00112BD9" w:rsidR="009E3E43" w:rsidP="005540B3" w:rsidRDefault="009E3E43" w14:paraId="0C2211BC" w14:textId="77777777">
            <w:pPr>
              <w:tabs>
                <w:tab w:val="center" w:pos="284"/>
              </w:tabs>
              <w:ind w:left="266" w:hanging="266"/>
              <w:rPr>
                <w:b/>
                <w:szCs w:val="22"/>
                <w:lang w:val="sl-SI"/>
              </w:rPr>
            </w:pPr>
          </w:p>
        </w:tc>
        <w:tc>
          <w:tcPr>
            <w:tcW w:w="4927" w:type="dxa"/>
          </w:tcPr>
          <w:p w:rsidRPr="00112BD9" w:rsidR="009E3E43" w:rsidP="005540B3" w:rsidRDefault="009E3E43" w14:paraId="120F2162" w14:textId="77777777">
            <w:pPr>
              <w:tabs>
                <w:tab w:val="center" w:pos="284"/>
              </w:tabs>
              <w:ind w:left="266" w:hanging="266"/>
              <w:rPr>
                <w:szCs w:val="22"/>
                <w:lang w:val="sl-SI"/>
              </w:rPr>
            </w:pPr>
            <w:r w:rsidRPr="00112BD9">
              <w:rPr>
                <w:lang w:val="sl-SI"/>
              </w:rPr>
              <w:t>EESC-2025-00177-00-00-AC-TRA</w:t>
            </w:r>
          </w:p>
        </w:tc>
      </w:tr>
    </w:tbl>
    <w:p w:rsidRPr="00112BD9" w:rsidR="009E3E43" w:rsidP="009E3E43" w:rsidRDefault="009E3E43" w14:paraId="7B718244" w14:textId="77777777">
      <w:pPr>
        <w:tabs>
          <w:tab w:val="center" w:pos="284"/>
        </w:tabs>
        <w:ind w:left="266" w:hanging="266"/>
        <w:rPr>
          <w:szCs w:val="22"/>
          <w:lang w:val="sl-SI"/>
        </w:rPr>
      </w:pPr>
    </w:p>
    <w:p w:rsidRPr="00112BD9" w:rsidR="009E3E43" w:rsidP="009E3E43" w:rsidRDefault="009E3E43" w14:paraId="4C9F533A" w14:textId="77777777">
      <w:pPr>
        <w:keepNext/>
        <w:keepLines/>
        <w:tabs>
          <w:tab w:val="center" w:pos="284"/>
        </w:tabs>
        <w:ind w:left="266" w:hanging="266"/>
        <w:rPr>
          <w:b/>
          <w:szCs w:val="22"/>
          <w:lang w:val="sl-SI"/>
        </w:rPr>
      </w:pPr>
      <w:r w:rsidRPr="00112BD9">
        <w:rPr>
          <w:b/>
          <w:lang w:val="sl-SI"/>
        </w:rPr>
        <w:t>Glavne točke</w:t>
      </w:r>
    </w:p>
    <w:p w:rsidRPr="00112BD9" w:rsidR="009E3E43" w:rsidP="009E3E43" w:rsidRDefault="009E3E43" w14:paraId="1748C0E6" w14:textId="77777777">
      <w:pPr>
        <w:keepNext/>
        <w:keepLines/>
        <w:tabs>
          <w:tab w:val="center" w:pos="284"/>
        </w:tabs>
        <w:ind w:left="266" w:hanging="266"/>
        <w:rPr>
          <w:b/>
          <w:szCs w:val="22"/>
          <w:lang w:val="sl-SI"/>
        </w:rPr>
      </w:pPr>
    </w:p>
    <w:p w:rsidRPr="00112BD9" w:rsidR="009E3E43" w:rsidP="009E3E43" w:rsidRDefault="009E3E43" w14:paraId="3A1AFBF3" w14:textId="0C76CB21">
      <w:pPr>
        <w:rPr>
          <w:bCs/>
          <w:iCs/>
          <w:szCs w:val="22"/>
          <w:lang w:val="sl-SI"/>
        </w:rPr>
      </w:pPr>
      <w:r w:rsidRPr="00112BD9">
        <w:rPr>
          <w:lang w:val="sl-SI"/>
        </w:rPr>
        <w:t>EESO je sklenil ta predlog podpreti.</w:t>
      </w:r>
    </w:p>
    <w:p w:rsidRPr="00112BD9" w:rsidR="009E3E43" w:rsidP="009E3E43" w:rsidRDefault="009E3E43" w14:paraId="384065B4" w14:textId="77777777">
      <w:pPr>
        <w:rPr>
          <w:bCs/>
          <w:iCs/>
          <w:szCs w:val="22"/>
          <w:lang w:val="sl-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245"/>
      </w:tblGrid>
      <w:tr w:rsidRPr="00112BD9" w:rsidR="009E3E43" w:rsidTr="005540B3" w14:paraId="44BCD6E4" w14:textId="77777777">
        <w:tc>
          <w:tcPr>
            <w:tcW w:w="1843" w:type="dxa"/>
          </w:tcPr>
          <w:p w:rsidRPr="00112BD9" w:rsidR="009E3E43" w:rsidP="005540B3" w:rsidRDefault="009E3E43" w14:paraId="198A8EB9" w14:textId="77777777">
            <w:pPr>
              <w:rPr>
                <w:i/>
                <w:szCs w:val="22"/>
                <w:lang w:val="sl-SI"/>
              </w:rPr>
            </w:pPr>
            <w:r w:rsidRPr="00112BD9">
              <w:rPr>
                <w:b/>
                <w:i/>
                <w:lang w:val="sl-SI"/>
              </w:rPr>
              <w:t>Kontaktna oseba</w:t>
            </w:r>
          </w:p>
        </w:tc>
        <w:tc>
          <w:tcPr>
            <w:tcW w:w="5245" w:type="dxa"/>
          </w:tcPr>
          <w:p w:rsidRPr="00112BD9" w:rsidR="009E3E43" w:rsidP="005540B3" w:rsidRDefault="009E3E43" w14:paraId="73920AFF" w14:textId="77777777">
            <w:pPr>
              <w:rPr>
                <w:i/>
                <w:szCs w:val="22"/>
                <w:lang w:val="sl-SI"/>
              </w:rPr>
            </w:pPr>
            <w:r w:rsidRPr="00112BD9">
              <w:rPr>
                <w:i/>
                <w:lang w:val="sl-SI"/>
              </w:rPr>
              <w:t>Alice TÉTU</w:t>
            </w:r>
          </w:p>
        </w:tc>
      </w:tr>
      <w:tr w:rsidRPr="00112BD9" w:rsidR="009E3E43" w:rsidTr="005540B3" w14:paraId="1D00B46C" w14:textId="77777777">
        <w:tc>
          <w:tcPr>
            <w:tcW w:w="1843" w:type="dxa"/>
          </w:tcPr>
          <w:p w:rsidRPr="00112BD9" w:rsidR="009E3E43" w:rsidP="005540B3" w:rsidRDefault="009E3E43" w14:paraId="1B8CC538" w14:textId="77777777">
            <w:pPr>
              <w:rPr>
                <w:i/>
                <w:szCs w:val="22"/>
                <w:lang w:val="sl-SI"/>
              </w:rPr>
            </w:pPr>
            <w:r w:rsidRPr="00112BD9">
              <w:rPr>
                <w:i/>
                <w:lang w:val="sl-SI"/>
              </w:rPr>
              <w:t>Telefon</w:t>
            </w:r>
          </w:p>
        </w:tc>
        <w:tc>
          <w:tcPr>
            <w:tcW w:w="5245" w:type="dxa"/>
          </w:tcPr>
          <w:p w:rsidRPr="00112BD9" w:rsidR="009E3E43" w:rsidP="005540B3" w:rsidRDefault="009E3E43" w14:paraId="0276A766" w14:textId="77777777">
            <w:pPr>
              <w:rPr>
                <w:i/>
                <w:szCs w:val="22"/>
                <w:lang w:val="sl-SI"/>
              </w:rPr>
            </w:pPr>
            <w:r w:rsidRPr="00112BD9">
              <w:rPr>
                <w:i/>
                <w:lang w:val="sl-SI"/>
              </w:rPr>
              <w:t>+ 32 25468286</w:t>
            </w:r>
          </w:p>
        </w:tc>
      </w:tr>
      <w:tr w:rsidRPr="00112BD9" w:rsidR="009E3E43" w:rsidTr="005540B3" w14:paraId="19E31C6F" w14:textId="77777777">
        <w:tc>
          <w:tcPr>
            <w:tcW w:w="1843" w:type="dxa"/>
          </w:tcPr>
          <w:p w:rsidRPr="00112BD9" w:rsidR="009E3E43" w:rsidP="005540B3" w:rsidRDefault="009E3E43" w14:paraId="3F1647D6" w14:textId="77777777">
            <w:pPr>
              <w:rPr>
                <w:i/>
                <w:szCs w:val="22"/>
                <w:lang w:val="sl-SI"/>
              </w:rPr>
            </w:pPr>
            <w:r w:rsidRPr="00112BD9">
              <w:rPr>
                <w:i/>
                <w:lang w:val="sl-SI"/>
              </w:rPr>
              <w:t>E-naslov</w:t>
            </w:r>
          </w:p>
        </w:tc>
        <w:tc>
          <w:tcPr>
            <w:tcW w:w="5245" w:type="dxa"/>
          </w:tcPr>
          <w:p w:rsidRPr="00112BD9" w:rsidR="009E3E43" w:rsidP="005540B3" w:rsidRDefault="009E3E43" w14:paraId="54CEBADA" w14:textId="77777777">
            <w:pPr>
              <w:rPr>
                <w:i/>
                <w:szCs w:val="22"/>
                <w:lang w:val="sl-SI"/>
              </w:rPr>
            </w:pPr>
            <w:hyperlink w:history="1" r:id="rId36">
              <w:r w:rsidRPr="00112BD9">
                <w:rPr>
                  <w:rStyle w:val="Hyperlink"/>
                  <w:rFonts w:eastAsiaTheme="majorEastAsia"/>
                  <w:i/>
                  <w:lang w:val="sl-SI"/>
                </w:rPr>
                <w:t>Alice.Tetu@eesc.europa.eu</w:t>
              </w:r>
            </w:hyperlink>
          </w:p>
        </w:tc>
      </w:tr>
    </w:tbl>
    <w:p w:rsidRPr="00112BD9" w:rsidR="009E3E43" w:rsidP="009E3E43" w:rsidRDefault="009E3E43" w14:paraId="2DC7453A" w14:textId="77777777">
      <w:pPr>
        <w:keepNext/>
        <w:keepLines/>
        <w:ind w:left="567"/>
        <w:rPr>
          <w:szCs w:val="22"/>
          <w:lang w:val="sl-SI"/>
        </w:rPr>
      </w:pPr>
    </w:p>
    <w:p w:rsidRPr="00112BD9" w:rsidR="0055500B" w:rsidP="009E3E43" w:rsidRDefault="0055500B" w14:paraId="18D32BE2" w14:textId="77777777">
      <w:pPr>
        <w:keepNext/>
        <w:keepLines/>
        <w:ind w:left="567"/>
        <w:rPr>
          <w:szCs w:val="22"/>
          <w:lang w:val="sl-SI"/>
        </w:rPr>
        <w:sectPr w:rsidRPr="00112BD9" w:rsidR="0055500B" w:rsidSect="00601B9D">
          <w:pgSz w:w="11907" w:h="16839" w:code="9"/>
          <w:pgMar w:top="1418" w:right="1418" w:bottom="1418" w:left="1418" w:header="709" w:footer="709" w:gutter="0"/>
          <w:cols w:space="720"/>
          <w:docGrid w:linePitch="299"/>
        </w:sectPr>
      </w:pPr>
    </w:p>
    <w:bookmarkStart w:name="_Toc103071395" w:id="7"/>
    <w:p w:rsidRPr="00112BD9" w:rsidR="0055500B" w:rsidP="00D5765D" w:rsidRDefault="0055500B" w14:paraId="68BC9F91" w14:textId="77777777">
      <w:pPr>
        <w:numPr>
          <w:ilvl w:val="0"/>
          <w:numId w:val="26"/>
        </w:numPr>
        <w:suppressAutoHyphens/>
        <w:ind w:hanging="567"/>
        <w:rPr>
          <w:sz w:val="20"/>
          <w:lang w:val="sl-SI"/>
        </w:rPr>
      </w:pPr>
      <w:r w:rsidRPr="00112BD9">
        <w:rPr>
          <w:lang w:val="sl-SI"/>
        </w:rPr>
        <w:lastRenderedPageBreak/>
        <w:fldChar w:fldCharType="begin"/>
      </w:r>
      <w:r w:rsidRPr="00112BD9">
        <w:rPr>
          <w:lang w:val="sl-SI"/>
        </w:rPr>
        <w:instrText xml:space="preserve"> HYPERLINK "https://www.eesc.europa.eu/sl/our-work/opinions-information-reports/opinions/how-support-social-economy-entities-line-state-aid-rules-thoughts-following-suggestions-enrico-lettas-report" </w:instrText>
      </w:r>
      <w:r w:rsidRPr="00112BD9">
        <w:rPr>
          <w:lang w:val="sl-SI"/>
        </w:rPr>
        <w:fldChar w:fldCharType="separate"/>
      </w:r>
      <w:r w:rsidRPr="00112BD9">
        <w:rPr>
          <w:rStyle w:val="Hyperlink"/>
          <w:rFonts w:eastAsiaTheme="majorEastAsia"/>
          <w:b/>
          <w:i/>
          <w:sz w:val="28"/>
          <w:lang w:val="sl-SI"/>
        </w:rPr>
        <w:t>Subjekti socialne ekonomije/pravila o državni pomoči</w:t>
      </w:r>
      <w:r w:rsidRPr="00112BD9">
        <w:rPr>
          <w:rStyle w:val="Hyperlink"/>
          <w:rFonts w:eastAsiaTheme="majorEastAsia"/>
          <w:b/>
          <w:i/>
          <w:sz w:val="28"/>
          <w:lang w:val="sl-SI"/>
        </w:rPr>
        <w:fldChar w:fldCharType="end"/>
      </w:r>
    </w:p>
    <w:p w:rsidRPr="00112BD9" w:rsidR="0055500B" w:rsidP="0055500B" w:rsidRDefault="0055500B" w14:paraId="27427E1B" w14:textId="77777777">
      <w:pPr>
        <w:spacing w:line="240"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58"/>
        <w:gridCol w:w="6613"/>
      </w:tblGrid>
      <w:tr w:rsidRPr="00112BD9" w:rsidR="0055500B" w:rsidTr="005540B3" w14:paraId="6329699A" w14:textId="77777777">
        <w:trPr>
          <w:trHeight w:val="610"/>
        </w:trPr>
        <w:tc>
          <w:tcPr>
            <w:tcW w:w="1355" w:type="pct"/>
          </w:tcPr>
          <w:p w:rsidRPr="00112BD9" w:rsidR="0055500B" w:rsidP="005540B3" w:rsidRDefault="0055500B" w14:paraId="3CEC9206" w14:textId="77777777">
            <w:pPr>
              <w:tabs>
                <w:tab w:val="center" w:pos="284"/>
              </w:tabs>
              <w:suppressAutoHyphens/>
              <w:ind w:left="266" w:hanging="266"/>
              <w:rPr>
                <w:b/>
                <w:szCs w:val="22"/>
                <w:lang w:val="sl-SI"/>
              </w:rPr>
            </w:pPr>
            <w:r w:rsidRPr="00112BD9">
              <w:rPr>
                <w:b/>
                <w:lang w:val="sl-SI"/>
              </w:rPr>
              <w:t>Poročevalec</w:t>
            </w:r>
          </w:p>
        </w:tc>
        <w:tc>
          <w:tcPr>
            <w:tcW w:w="3645" w:type="pct"/>
          </w:tcPr>
          <w:p w:rsidRPr="00112BD9" w:rsidR="0055500B" w:rsidP="005540B3" w:rsidRDefault="0055500B" w14:paraId="5AAABD34" w14:textId="77777777">
            <w:pPr>
              <w:tabs>
                <w:tab w:val="center" w:pos="284"/>
              </w:tabs>
              <w:suppressAutoHyphens/>
              <w:ind w:left="266" w:hanging="266"/>
              <w:jc w:val="left"/>
              <w:rPr>
                <w:bCs/>
                <w:szCs w:val="22"/>
                <w:lang w:val="sl-SI"/>
              </w:rPr>
            </w:pPr>
            <w:r w:rsidRPr="00112BD9">
              <w:rPr>
                <w:lang w:val="sl-SI"/>
              </w:rPr>
              <w:t>Giuseppe GUERINI (skupina organizacij civilne družbe – IT)</w:t>
            </w:r>
          </w:p>
        </w:tc>
      </w:tr>
      <w:tr w:rsidRPr="00112BD9" w:rsidR="0055500B" w:rsidTr="005540B3" w14:paraId="137C8307" w14:textId="77777777">
        <w:trPr>
          <w:trHeight w:val="165"/>
        </w:trPr>
        <w:tc>
          <w:tcPr>
            <w:tcW w:w="5000" w:type="pct"/>
            <w:gridSpan w:val="2"/>
          </w:tcPr>
          <w:p w:rsidRPr="00112BD9" w:rsidR="0055500B" w:rsidP="005540B3" w:rsidRDefault="0055500B" w14:paraId="46C5207F" w14:textId="77777777">
            <w:pPr>
              <w:tabs>
                <w:tab w:val="center" w:pos="284"/>
              </w:tabs>
              <w:suppressAutoHyphens/>
              <w:spacing w:line="240" w:lineRule="auto"/>
              <w:ind w:left="266" w:hanging="266"/>
              <w:rPr>
                <w:sz w:val="16"/>
                <w:szCs w:val="16"/>
                <w:lang w:val="sl-SI"/>
              </w:rPr>
            </w:pPr>
          </w:p>
        </w:tc>
      </w:tr>
      <w:tr w:rsidRPr="00112BD9" w:rsidR="0055500B" w:rsidTr="005540B3" w14:paraId="2A51C91E" w14:textId="77777777">
        <w:trPr>
          <w:trHeight w:val="232"/>
        </w:trPr>
        <w:tc>
          <w:tcPr>
            <w:tcW w:w="1355" w:type="pct"/>
          </w:tcPr>
          <w:p w:rsidRPr="00112BD9" w:rsidR="0055500B" w:rsidP="005540B3" w:rsidRDefault="0055500B" w14:paraId="2ABB63AF" w14:textId="37B73234">
            <w:pPr>
              <w:tabs>
                <w:tab w:val="center" w:pos="284"/>
              </w:tabs>
              <w:suppressAutoHyphens/>
              <w:ind w:left="266" w:hanging="266"/>
              <w:rPr>
                <w:b/>
                <w:szCs w:val="22"/>
                <w:lang w:val="sl-SI"/>
              </w:rPr>
            </w:pPr>
            <w:r w:rsidRPr="00112BD9">
              <w:rPr>
                <w:b/>
                <w:lang w:val="sl-SI"/>
              </w:rPr>
              <w:t>Referenčni dokument</w:t>
            </w:r>
          </w:p>
        </w:tc>
        <w:tc>
          <w:tcPr>
            <w:tcW w:w="3645" w:type="pct"/>
          </w:tcPr>
          <w:p w:rsidRPr="00112BD9" w:rsidR="0055500B" w:rsidP="005540B3" w:rsidRDefault="0055500B" w14:paraId="71EBF6A1" w14:textId="77777777">
            <w:pPr>
              <w:tabs>
                <w:tab w:val="center" w:pos="284"/>
              </w:tabs>
              <w:suppressAutoHyphens/>
              <w:ind w:left="266" w:hanging="266"/>
              <w:rPr>
                <w:szCs w:val="22"/>
                <w:lang w:val="sl-SI"/>
              </w:rPr>
            </w:pPr>
            <w:r w:rsidRPr="00112BD9">
              <w:rPr>
                <w:lang w:val="sl-SI"/>
              </w:rPr>
              <w:t>mnenje na lastno pobudo</w:t>
            </w:r>
          </w:p>
          <w:p w:rsidRPr="00112BD9" w:rsidR="0055500B" w:rsidP="005540B3" w:rsidRDefault="0055500B" w14:paraId="04617853" w14:textId="77777777">
            <w:pPr>
              <w:tabs>
                <w:tab w:val="center" w:pos="284"/>
              </w:tabs>
              <w:suppressAutoHyphens/>
              <w:ind w:left="266" w:hanging="266"/>
              <w:rPr>
                <w:szCs w:val="22"/>
                <w:lang w:val="sl-SI"/>
              </w:rPr>
            </w:pPr>
            <w:r w:rsidRPr="00112BD9">
              <w:rPr>
                <w:lang w:val="sl-SI"/>
              </w:rPr>
              <w:t>EESC-2024-03043-00-00-AC</w:t>
            </w:r>
          </w:p>
        </w:tc>
      </w:tr>
    </w:tbl>
    <w:p w:rsidRPr="00112BD9" w:rsidR="0055500B" w:rsidP="0055500B" w:rsidRDefault="0055500B" w14:paraId="1E9D49E2" w14:textId="77777777">
      <w:pPr>
        <w:tabs>
          <w:tab w:val="center" w:pos="284"/>
        </w:tabs>
        <w:suppressAutoHyphens/>
        <w:spacing w:line="240" w:lineRule="auto"/>
        <w:ind w:left="266" w:hanging="266"/>
        <w:rPr>
          <w:bCs/>
          <w:lang w:val="sl-SI"/>
        </w:rPr>
      </w:pPr>
    </w:p>
    <w:p w:rsidRPr="00112BD9" w:rsidR="0055500B" w:rsidP="0055500B" w:rsidRDefault="0055500B" w14:paraId="13282F9B" w14:textId="77777777">
      <w:pPr>
        <w:tabs>
          <w:tab w:val="center" w:pos="284"/>
        </w:tabs>
        <w:suppressAutoHyphens/>
        <w:ind w:left="266" w:hanging="266"/>
        <w:rPr>
          <w:b/>
          <w:szCs w:val="22"/>
          <w:lang w:val="sl-SI"/>
        </w:rPr>
      </w:pPr>
      <w:r w:rsidRPr="00112BD9">
        <w:rPr>
          <w:b/>
          <w:lang w:val="sl-SI"/>
        </w:rPr>
        <w:t>Glavne točke</w:t>
      </w:r>
    </w:p>
    <w:p w:rsidRPr="00112BD9" w:rsidR="0055500B" w:rsidP="0055500B" w:rsidRDefault="0055500B" w14:paraId="07B7123F" w14:textId="77777777">
      <w:pPr>
        <w:spacing w:line="240" w:lineRule="auto"/>
        <w:rPr>
          <w:lang w:val="sl-SI"/>
        </w:rPr>
      </w:pPr>
    </w:p>
    <w:p w:rsidRPr="00112BD9" w:rsidR="0055500B" w:rsidP="0055500B" w:rsidRDefault="0055500B" w14:paraId="1543B290" w14:textId="3B914DF9">
      <w:pPr>
        <w:suppressAutoHyphens/>
        <w:rPr>
          <w:lang w:val="sl-SI"/>
        </w:rPr>
      </w:pPr>
      <w:r w:rsidRPr="00112BD9">
        <w:rPr>
          <w:lang w:val="sl-SI"/>
        </w:rPr>
        <w:t>EESO:</w:t>
      </w:r>
    </w:p>
    <w:p w:rsidRPr="00112BD9" w:rsidR="0055500B" w:rsidP="0055500B" w:rsidRDefault="0055500B" w14:paraId="506926E4" w14:textId="77777777">
      <w:pPr>
        <w:suppressAutoHyphens/>
        <w:rPr>
          <w:bCs/>
          <w:iCs/>
          <w:szCs w:val="22"/>
          <w:lang w:val="sl-SI"/>
        </w:rPr>
      </w:pPr>
    </w:p>
    <w:p w:rsidRPr="00112BD9" w:rsidR="0055500B" w:rsidP="00D5765D" w:rsidRDefault="0055500B" w14:paraId="6125F037" w14:textId="77777777">
      <w:pPr>
        <w:numPr>
          <w:ilvl w:val="0"/>
          <w:numId w:val="25"/>
        </w:numPr>
        <w:suppressAutoHyphens/>
        <w:ind w:left="567" w:hanging="567"/>
        <w:rPr>
          <w:bCs/>
          <w:iCs/>
          <w:szCs w:val="22"/>
          <w:lang w:val="sl-SI"/>
        </w:rPr>
      </w:pPr>
      <w:r w:rsidRPr="00112BD9">
        <w:rPr>
          <w:lang w:val="sl-SI"/>
        </w:rPr>
        <w:t>poudarja, da je treba močno javno podporo subjektom socialne ekonomije, ki pogosto opravljajo funkcije, ki jih je prej opravljala država, uskladiti z evropskimi pravili o državni pomoči;</w:t>
      </w:r>
    </w:p>
    <w:p w:rsidRPr="00112BD9" w:rsidR="0055500B" w:rsidP="00D5765D" w:rsidRDefault="0055500B" w14:paraId="077D46C6" w14:textId="77777777">
      <w:pPr>
        <w:numPr>
          <w:ilvl w:val="0"/>
          <w:numId w:val="24"/>
        </w:numPr>
        <w:suppressAutoHyphens/>
        <w:ind w:left="567" w:hanging="567"/>
        <w:rPr>
          <w:bCs/>
          <w:iCs/>
          <w:szCs w:val="22"/>
          <w:lang w:val="sl-SI"/>
        </w:rPr>
      </w:pPr>
      <w:r w:rsidRPr="00112BD9">
        <w:rPr>
          <w:lang w:val="sl-SI"/>
        </w:rPr>
        <w:t>opozarja na pomen subjektov socialne ekonomije pri zagotavljanju konkretnih odzivov na socialne potrebe Evropejcev;</w:t>
      </w:r>
    </w:p>
    <w:p w:rsidRPr="00112BD9" w:rsidR="0055500B" w:rsidP="00D5765D" w:rsidRDefault="0055500B" w14:paraId="6C10D6C5" w14:textId="77777777">
      <w:pPr>
        <w:numPr>
          <w:ilvl w:val="0"/>
          <w:numId w:val="24"/>
        </w:numPr>
        <w:suppressAutoHyphens/>
        <w:ind w:left="567" w:hanging="567"/>
        <w:rPr>
          <w:bCs/>
          <w:iCs/>
          <w:szCs w:val="22"/>
          <w:lang w:val="sl-SI"/>
        </w:rPr>
      </w:pPr>
      <w:r w:rsidRPr="00112BD9">
        <w:rPr>
          <w:lang w:val="sl-SI"/>
        </w:rPr>
        <w:t>ugotavlja, da dejavnosti subjektov socialne ekonomije v številnih primerih in situacijah temeljijo na solidarnosti, ki ne sodi v okvir pojma gospodarske dejavnosti. Hkrati obstaja veliko primerov, ko je čezmejna narava dejavnosti teh subjektov na socialnem in zdravstvenem področju drugotnega pomena in v takšnem obsegu, da ne vpliva bistveno na konkurenco med državami članicami;</w:t>
      </w:r>
    </w:p>
    <w:p w:rsidRPr="00112BD9" w:rsidR="0055500B" w:rsidP="00D5765D" w:rsidRDefault="0055500B" w14:paraId="5D0C3049" w14:textId="77777777">
      <w:pPr>
        <w:numPr>
          <w:ilvl w:val="0"/>
          <w:numId w:val="24"/>
        </w:numPr>
        <w:suppressAutoHyphens/>
        <w:ind w:left="567" w:hanging="567"/>
        <w:rPr>
          <w:bCs/>
          <w:iCs/>
          <w:szCs w:val="22"/>
          <w:lang w:val="sl-SI"/>
        </w:rPr>
      </w:pPr>
      <w:r w:rsidRPr="00112BD9">
        <w:rPr>
          <w:lang w:val="sl-SI"/>
        </w:rPr>
        <w:t>meni, da bi bilo treba okrepiti in poenostaviti pravila za dodeljevanje pomoči za zaposlovanje prikrajšanih ali invalidnih delavcev iz uredbe o splošnih skupinskih izjemah;</w:t>
      </w:r>
    </w:p>
    <w:p w:rsidRPr="00112BD9" w:rsidR="0055500B" w:rsidP="00D5765D" w:rsidRDefault="0055500B" w14:paraId="37A54FF0" w14:textId="77777777">
      <w:pPr>
        <w:numPr>
          <w:ilvl w:val="0"/>
          <w:numId w:val="24"/>
        </w:numPr>
        <w:suppressAutoHyphens/>
        <w:ind w:left="567" w:hanging="567"/>
        <w:rPr>
          <w:bCs/>
          <w:iCs/>
          <w:szCs w:val="22"/>
          <w:lang w:val="sl-SI"/>
        </w:rPr>
      </w:pPr>
      <w:r w:rsidRPr="00112BD9">
        <w:rPr>
          <w:lang w:val="sl-SI"/>
        </w:rPr>
        <w:t>pozdravlja tudi dodatni predlog iz poročila Enrica Lette, da je treba sedanji pravni okvir o državni pomoči prilagoditi, da bi podjetjem socialne ekonomije olajšali dostop do posojil in financiranja;</w:t>
      </w:r>
    </w:p>
    <w:p w:rsidRPr="00112BD9" w:rsidR="0055500B" w:rsidP="00D5765D" w:rsidRDefault="0055500B" w14:paraId="5BF887D9" w14:textId="77777777">
      <w:pPr>
        <w:numPr>
          <w:ilvl w:val="0"/>
          <w:numId w:val="24"/>
        </w:numPr>
        <w:suppressAutoHyphens/>
        <w:ind w:left="567" w:hanging="567"/>
        <w:rPr>
          <w:bCs/>
          <w:iCs/>
          <w:szCs w:val="22"/>
          <w:lang w:val="sl-SI"/>
        </w:rPr>
      </w:pPr>
      <w:r w:rsidRPr="00112BD9">
        <w:rPr>
          <w:lang w:val="sl-SI"/>
        </w:rPr>
        <w:t>ugotavlja, da javni organi ne izkoriščajo ustrezno pravnega okvira za pomoč za storitve splošnega gospodarskega pomena;</w:t>
      </w:r>
    </w:p>
    <w:p w:rsidRPr="00112BD9" w:rsidR="0055500B" w:rsidP="00D5765D" w:rsidRDefault="0055500B" w14:paraId="68806B9E" w14:textId="77777777">
      <w:pPr>
        <w:numPr>
          <w:ilvl w:val="0"/>
          <w:numId w:val="24"/>
        </w:numPr>
        <w:suppressAutoHyphens/>
        <w:ind w:left="567" w:hanging="567"/>
        <w:rPr>
          <w:bCs/>
          <w:iCs/>
          <w:szCs w:val="22"/>
          <w:lang w:val="sl-SI"/>
        </w:rPr>
      </w:pPr>
      <w:r w:rsidRPr="00112BD9">
        <w:rPr>
          <w:lang w:val="sl-SI"/>
        </w:rPr>
        <w:t>pozdravlja napoved v političnih usmeritvah prihodnje Evropske komisije: „Revidirali bomo tudi pravila o državni pomoči, da bi omogočili ukrepe za stanovanjsko podporo, zlasti za cenovno dostopna energijsko učinkovita in socialna stanovanja“;</w:t>
      </w:r>
    </w:p>
    <w:p w:rsidRPr="00112BD9" w:rsidR="0055500B" w:rsidP="00D5765D" w:rsidRDefault="0055500B" w14:paraId="21AD79CC" w14:textId="77777777">
      <w:pPr>
        <w:numPr>
          <w:ilvl w:val="0"/>
          <w:numId w:val="24"/>
        </w:numPr>
        <w:suppressAutoHyphens/>
        <w:ind w:left="567" w:hanging="567"/>
        <w:rPr>
          <w:bCs/>
          <w:iCs/>
          <w:szCs w:val="22"/>
          <w:lang w:val="sl-SI"/>
        </w:rPr>
      </w:pPr>
      <w:r w:rsidRPr="00112BD9">
        <w:rPr>
          <w:lang w:val="sl-SI"/>
        </w:rPr>
        <w:t>poziva Evropsko komisijo, naj nadaljuje prizadevanja za izvajanje akcijskega načrta za socialno gospodarstvo, podrobneje določena v načrtu iz Liègea (</w:t>
      </w:r>
      <w:r w:rsidRPr="00112BD9">
        <w:rPr>
          <w:i/>
          <w:iCs/>
          <w:lang w:val="sl-SI"/>
        </w:rPr>
        <w:t>Liège Roadmap for Social Economy in the European Union</w:t>
      </w:r>
      <w:r w:rsidRPr="00112BD9">
        <w:rPr>
          <w:lang w:val="sl-SI"/>
        </w:rPr>
        <w:t>), in sicer z dodelitvijo posebne pristojnosti za usklajevanje njegovega izvajanja enemu od komisarjev novega kolegija.</w:t>
      </w:r>
    </w:p>
    <w:p w:rsidRPr="00112BD9" w:rsidR="0055500B" w:rsidP="0055500B" w:rsidRDefault="0055500B" w14:paraId="17264215" w14:textId="77777777">
      <w:pPr>
        <w:spacing w:line="240" w:lineRule="auto"/>
        <w:rPr>
          <w:lang w:val="sl-SI"/>
        </w:rPr>
      </w:pPr>
    </w:p>
    <w:tbl>
      <w:tblPr>
        <w:tblStyle w:val="TableGrid"/>
        <w:tblW w:w="49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979"/>
      </w:tblGrid>
      <w:tr w:rsidRPr="00112BD9" w:rsidR="0055500B" w:rsidTr="005540B3" w14:paraId="4322E4CE" w14:textId="77777777">
        <w:tc>
          <w:tcPr>
            <w:tcW w:w="1107" w:type="pct"/>
          </w:tcPr>
          <w:p w:rsidRPr="00112BD9" w:rsidR="0055500B" w:rsidP="005540B3" w:rsidRDefault="0055500B" w14:paraId="31C1D13C" w14:textId="77777777">
            <w:pPr>
              <w:suppressAutoHyphens/>
              <w:rPr>
                <w:i/>
                <w:szCs w:val="22"/>
                <w:lang w:val="sl-SI"/>
              </w:rPr>
            </w:pPr>
            <w:r w:rsidRPr="00112BD9">
              <w:rPr>
                <w:b/>
                <w:i/>
                <w:lang w:val="sl-SI"/>
              </w:rPr>
              <w:t>Kontakt</w:t>
            </w:r>
          </w:p>
        </w:tc>
        <w:tc>
          <w:tcPr>
            <w:tcW w:w="3893" w:type="pct"/>
          </w:tcPr>
          <w:p w:rsidRPr="00112BD9" w:rsidR="0055500B" w:rsidP="005540B3" w:rsidRDefault="0055500B" w14:paraId="7384A7B6" w14:textId="77777777">
            <w:pPr>
              <w:suppressAutoHyphens/>
              <w:rPr>
                <w:i/>
                <w:szCs w:val="22"/>
                <w:lang w:val="sl-SI"/>
              </w:rPr>
            </w:pPr>
            <w:r w:rsidRPr="00112BD9">
              <w:rPr>
                <w:i/>
                <w:lang w:val="sl-SI"/>
              </w:rPr>
              <w:t>Annalisa TESSAROLO</w:t>
            </w:r>
          </w:p>
        </w:tc>
      </w:tr>
      <w:tr w:rsidRPr="00112BD9" w:rsidR="0055500B" w:rsidTr="005540B3" w14:paraId="0A31B058" w14:textId="77777777">
        <w:tc>
          <w:tcPr>
            <w:tcW w:w="1107" w:type="pct"/>
          </w:tcPr>
          <w:p w:rsidRPr="00112BD9" w:rsidR="0055500B" w:rsidP="005540B3" w:rsidRDefault="0055500B" w14:paraId="2CB09E0F" w14:textId="77777777">
            <w:pPr>
              <w:suppressAutoHyphens/>
              <w:rPr>
                <w:i/>
                <w:szCs w:val="22"/>
                <w:lang w:val="sl-SI"/>
              </w:rPr>
            </w:pPr>
            <w:r w:rsidRPr="00112BD9">
              <w:rPr>
                <w:i/>
                <w:lang w:val="sl-SI"/>
              </w:rPr>
              <w:t>Telefon</w:t>
            </w:r>
          </w:p>
        </w:tc>
        <w:tc>
          <w:tcPr>
            <w:tcW w:w="3893" w:type="pct"/>
          </w:tcPr>
          <w:p w:rsidRPr="00112BD9" w:rsidR="0055500B" w:rsidP="005540B3" w:rsidRDefault="0055500B" w14:paraId="0EAC7C85" w14:textId="77777777">
            <w:pPr>
              <w:suppressAutoHyphens/>
              <w:rPr>
                <w:i/>
                <w:szCs w:val="22"/>
                <w:lang w:val="sl-SI"/>
              </w:rPr>
            </w:pPr>
            <w:r w:rsidRPr="00112BD9">
              <w:rPr>
                <w:i/>
                <w:lang w:val="sl-SI"/>
              </w:rPr>
              <w:t>+32 25469732</w:t>
            </w:r>
          </w:p>
        </w:tc>
      </w:tr>
      <w:tr w:rsidRPr="00112BD9" w:rsidR="0055500B" w:rsidTr="005540B3" w14:paraId="0B5FDF76" w14:textId="77777777">
        <w:tc>
          <w:tcPr>
            <w:tcW w:w="1107" w:type="pct"/>
          </w:tcPr>
          <w:p w:rsidRPr="00112BD9" w:rsidR="0055500B" w:rsidP="005540B3" w:rsidRDefault="0055500B" w14:paraId="2F46D206" w14:textId="77777777">
            <w:pPr>
              <w:suppressAutoHyphens/>
              <w:rPr>
                <w:i/>
                <w:szCs w:val="22"/>
                <w:lang w:val="sl-SI"/>
              </w:rPr>
            </w:pPr>
            <w:r w:rsidRPr="00112BD9">
              <w:rPr>
                <w:i/>
                <w:lang w:val="sl-SI"/>
              </w:rPr>
              <w:t>E-naslov</w:t>
            </w:r>
          </w:p>
        </w:tc>
        <w:tc>
          <w:tcPr>
            <w:tcW w:w="3893" w:type="pct"/>
          </w:tcPr>
          <w:p w:rsidRPr="00112BD9" w:rsidR="0055500B" w:rsidP="005540B3" w:rsidRDefault="0055500B" w14:paraId="4AF3F08B" w14:textId="77777777">
            <w:pPr>
              <w:suppressAutoHyphens/>
              <w:rPr>
                <w:i/>
                <w:szCs w:val="22"/>
                <w:lang w:val="sl-SI"/>
              </w:rPr>
            </w:pPr>
            <w:hyperlink w:history="1" r:id="rId37">
              <w:r w:rsidRPr="00112BD9">
                <w:rPr>
                  <w:rStyle w:val="Hyperlink"/>
                  <w:rFonts w:eastAsiaTheme="majorEastAsia"/>
                  <w:i/>
                  <w:lang w:val="sl-SI"/>
                </w:rPr>
                <w:t>Annalisa.Tessarolo@eesc.europa.eu</w:t>
              </w:r>
            </w:hyperlink>
          </w:p>
        </w:tc>
      </w:tr>
    </w:tbl>
    <w:p w:rsidRPr="00112BD9" w:rsidR="0055500B" w:rsidP="0055500B" w:rsidRDefault="0055500B" w14:paraId="403F650F" w14:textId="77777777">
      <w:pPr>
        <w:spacing w:line="240" w:lineRule="auto"/>
        <w:rPr>
          <w:lang w:val="sl-SI"/>
        </w:rPr>
        <w:sectPr w:rsidRPr="00112BD9" w:rsidR="0055500B" w:rsidSect="00601B9D">
          <w:pgSz w:w="11907" w:h="16839" w:code="9"/>
          <w:pgMar w:top="1418" w:right="1418" w:bottom="1418" w:left="1418" w:header="709" w:footer="709" w:gutter="0"/>
          <w:cols w:space="720"/>
          <w:docGrid w:linePitch="299"/>
        </w:sectPr>
      </w:pPr>
    </w:p>
    <w:p w:rsidRPr="00112BD9" w:rsidR="0055500B" w:rsidP="00D5765D" w:rsidRDefault="0055500B" w14:paraId="312FC431" w14:textId="77777777">
      <w:pPr>
        <w:numPr>
          <w:ilvl w:val="0"/>
          <w:numId w:val="24"/>
        </w:numPr>
        <w:suppressAutoHyphens/>
        <w:ind w:left="567" w:hanging="567"/>
        <w:rPr>
          <w:rStyle w:val="Hyperlink"/>
          <w:rFonts w:eastAsiaTheme="majorEastAsia"/>
          <w:b/>
          <w:color w:val="auto"/>
          <w:szCs w:val="22"/>
          <w:lang w:val="sl-SI"/>
        </w:rPr>
      </w:pPr>
      <w:hyperlink w:tgtFrame="_blank" w:history="1" r:id="rId38">
        <w:r w:rsidRPr="00112BD9">
          <w:rPr>
            <w:rStyle w:val="Hyperlink"/>
            <w:rFonts w:eastAsiaTheme="majorEastAsia"/>
            <w:b/>
            <w:i/>
            <w:sz w:val="28"/>
            <w:lang w:val="sl-SI"/>
          </w:rPr>
          <w:t>Politika varstva konkurence kot temelj konkurenčnosti EU</w:t>
        </w:r>
      </w:hyperlink>
    </w:p>
    <w:p w:rsidRPr="00112BD9" w:rsidR="0055500B" w:rsidP="0055500B" w:rsidRDefault="0055500B" w14:paraId="1086662B" w14:textId="77777777">
      <w:pPr>
        <w:rPr>
          <w:lang w:val="sl-SI"/>
        </w:rPr>
      </w:pPr>
    </w:p>
    <w:tbl>
      <w:tblPr>
        <w:tblStyle w:val="TableGrid"/>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58"/>
        <w:gridCol w:w="6508"/>
      </w:tblGrid>
      <w:tr w:rsidRPr="00112BD9" w:rsidR="0055500B" w:rsidTr="005540B3" w14:paraId="35778939" w14:textId="77777777">
        <w:tc>
          <w:tcPr>
            <w:tcW w:w="1371" w:type="pct"/>
          </w:tcPr>
          <w:p w:rsidRPr="00112BD9" w:rsidR="0055500B" w:rsidP="005540B3" w:rsidRDefault="0055500B" w14:paraId="0F0A3559" w14:textId="77777777">
            <w:pPr>
              <w:tabs>
                <w:tab w:val="center" w:pos="284"/>
              </w:tabs>
              <w:suppressAutoHyphens/>
              <w:ind w:left="266" w:hanging="266"/>
              <w:rPr>
                <w:b/>
                <w:szCs w:val="22"/>
                <w:lang w:val="sl-SI"/>
              </w:rPr>
            </w:pPr>
            <w:r w:rsidRPr="00112BD9">
              <w:rPr>
                <w:b/>
                <w:bCs/>
                <w:lang w:val="sl-SI"/>
              </w:rPr>
              <w:t>Poročevalka</w:t>
            </w:r>
          </w:p>
        </w:tc>
        <w:tc>
          <w:tcPr>
            <w:tcW w:w="3629" w:type="pct"/>
          </w:tcPr>
          <w:p w:rsidRPr="00112BD9" w:rsidR="0055500B" w:rsidP="005540B3" w:rsidRDefault="0055500B" w14:paraId="15AD53E1" w14:textId="77777777">
            <w:pPr>
              <w:tabs>
                <w:tab w:val="center" w:pos="284"/>
              </w:tabs>
              <w:suppressAutoHyphens/>
              <w:ind w:left="266" w:hanging="266"/>
              <w:rPr>
                <w:szCs w:val="22"/>
                <w:lang w:val="sl-SI"/>
              </w:rPr>
            </w:pPr>
            <w:r w:rsidRPr="00112BD9">
              <w:rPr>
                <w:lang w:val="sl-SI"/>
              </w:rPr>
              <w:t>Isabel YGLESIAS (skupina delodajalcev – ES)</w:t>
            </w:r>
          </w:p>
        </w:tc>
      </w:tr>
      <w:tr w:rsidRPr="00112BD9" w:rsidR="0055500B" w:rsidTr="005540B3" w14:paraId="10B0522E" w14:textId="77777777">
        <w:tc>
          <w:tcPr>
            <w:tcW w:w="5000" w:type="pct"/>
            <w:gridSpan w:val="2"/>
          </w:tcPr>
          <w:p w:rsidRPr="00112BD9" w:rsidR="0055500B" w:rsidP="005540B3" w:rsidRDefault="0055500B" w14:paraId="45D8292C" w14:textId="77777777">
            <w:pPr>
              <w:tabs>
                <w:tab w:val="center" w:pos="284"/>
              </w:tabs>
              <w:suppressAutoHyphens/>
              <w:spacing w:line="240" w:lineRule="auto"/>
              <w:ind w:left="266" w:hanging="266"/>
              <w:rPr>
                <w:sz w:val="16"/>
                <w:szCs w:val="16"/>
                <w:lang w:val="sl-SI"/>
              </w:rPr>
            </w:pPr>
          </w:p>
        </w:tc>
      </w:tr>
      <w:tr w:rsidRPr="00112BD9" w:rsidR="0055500B" w:rsidTr="005540B3" w14:paraId="14E15927" w14:textId="77777777">
        <w:tc>
          <w:tcPr>
            <w:tcW w:w="1371" w:type="pct"/>
            <w:vMerge w:val="restart"/>
          </w:tcPr>
          <w:p w:rsidRPr="00112BD9" w:rsidR="0055500B" w:rsidP="005540B3" w:rsidRDefault="0055500B" w14:paraId="574D7657" w14:textId="77777777">
            <w:pPr>
              <w:tabs>
                <w:tab w:val="center" w:pos="284"/>
              </w:tabs>
              <w:suppressAutoHyphens/>
              <w:ind w:left="266" w:hanging="266"/>
              <w:rPr>
                <w:b/>
                <w:szCs w:val="22"/>
                <w:lang w:val="sl-SI"/>
              </w:rPr>
            </w:pPr>
            <w:r w:rsidRPr="00112BD9">
              <w:rPr>
                <w:b/>
                <w:lang w:val="sl-SI"/>
              </w:rPr>
              <w:t>Referenčni dokument</w:t>
            </w:r>
          </w:p>
        </w:tc>
        <w:tc>
          <w:tcPr>
            <w:tcW w:w="3629" w:type="pct"/>
          </w:tcPr>
          <w:p w:rsidRPr="00112BD9" w:rsidR="0055500B" w:rsidP="005540B3" w:rsidRDefault="0055500B" w14:paraId="51C1DA52" w14:textId="77777777">
            <w:pPr>
              <w:tabs>
                <w:tab w:val="center" w:pos="284"/>
              </w:tabs>
              <w:suppressAutoHyphens/>
              <w:ind w:left="266" w:hanging="266"/>
              <w:rPr>
                <w:szCs w:val="22"/>
                <w:lang w:val="sl-SI"/>
              </w:rPr>
            </w:pPr>
            <w:r w:rsidRPr="00112BD9">
              <w:rPr>
                <w:lang w:val="sl-SI"/>
              </w:rPr>
              <w:t>mnenje na lastno pobudo</w:t>
            </w:r>
          </w:p>
        </w:tc>
      </w:tr>
      <w:tr w:rsidRPr="00112BD9" w:rsidR="0055500B" w:rsidTr="005540B3" w14:paraId="042F6947" w14:textId="77777777">
        <w:tc>
          <w:tcPr>
            <w:tcW w:w="1371" w:type="pct"/>
            <w:vMerge/>
          </w:tcPr>
          <w:p w:rsidRPr="00112BD9" w:rsidR="0055500B" w:rsidP="005540B3" w:rsidRDefault="0055500B" w14:paraId="2425ED15" w14:textId="77777777">
            <w:pPr>
              <w:tabs>
                <w:tab w:val="center" w:pos="284"/>
              </w:tabs>
              <w:suppressAutoHyphens/>
              <w:ind w:left="266" w:hanging="266"/>
              <w:rPr>
                <w:b/>
                <w:szCs w:val="22"/>
                <w:lang w:val="sl-SI"/>
              </w:rPr>
            </w:pPr>
          </w:p>
        </w:tc>
        <w:tc>
          <w:tcPr>
            <w:tcW w:w="3629" w:type="pct"/>
          </w:tcPr>
          <w:p w:rsidRPr="00112BD9" w:rsidR="0055500B" w:rsidP="005540B3" w:rsidRDefault="0055500B" w14:paraId="5E051625" w14:textId="77777777">
            <w:pPr>
              <w:tabs>
                <w:tab w:val="center" w:pos="284"/>
              </w:tabs>
              <w:suppressAutoHyphens/>
              <w:ind w:left="266" w:hanging="266"/>
              <w:rPr>
                <w:szCs w:val="22"/>
                <w:lang w:val="sl-SI"/>
              </w:rPr>
            </w:pPr>
            <w:r w:rsidRPr="00112BD9">
              <w:rPr>
                <w:lang w:val="sl-SI"/>
              </w:rPr>
              <w:t>EESC-2024-01027-00-00-AC</w:t>
            </w:r>
          </w:p>
        </w:tc>
      </w:tr>
    </w:tbl>
    <w:p w:rsidRPr="00112BD9" w:rsidR="0055500B" w:rsidP="0055500B" w:rsidRDefault="0055500B" w14:paraId="29E6887C" w14:textId="77777777">
      <w:pPr>
        <w:tabs>
          <w:tab w:val="center" w:pos="284"/>
        </w:tabs>
        <w:suppressAutoHyphens/>
        <w:ind w:left="266" w:hanging="266"/>
        <w:rPr>
          <w:szCs w:val="22"/>
          <w:lang w:val="sl-SI"/>
        </w:rPr>
      </w:pPr>
    </w:p>
    <w:p w:rsidRPr="00112BD9" w:rsidR="0055500B" w:rsidP="0055500B" w:rsidRDefault="0055500B" w14:paraId="0C0EBFA9" w14:textId="77777777">
      <w:pPr>
        <w:tabs>
          <w:tab w:val="center" w:pos="284"/>
        </w:tabs>
        <w:suppressAutoHyphens/>
        <w:ind w:left="266" w:hanging="266"/>
        <w:rPr>
          <w:b/>
          <w:szCs w:val="22"/>
          <w:lang w:val="sl-SI"/>
        </w:rPr>
      </w:pPr>
      <w:r w:rsidRPr="00112BD9">
        <w:rPr>
          <w:b/>
          <w:lang w:val="sl-SI"/>
        </w:rPr>
        <w:t>Glavne točke</w:t>
      </w:r>
    </w:p>
    <w:p w:rsidRPr="00112BD9" w:rsidR="0055500B" w:rsidP="0055500B" w:rsidRDefault="0055500B" w14:paraId="2CDB7C3B" w14:textId="77777777">
      <w:pPr>
        <w:tabs>
          <w:tab w:val="center" w:pos="284"/>
        </w:tabs>
        <w:suppressAutoHyphens/>
        <w:ind w:left="266" w:hanging="266"/>
        <w:rPr>
          <w:bCs/>
          <w:szCs w:val="22"/>
          <w:lang w:val="sl-SI"/>
        </w:rPr>
      </w:pPr>
    </w:p>
    <w:p w:rsidRPr="00112BD9" w:rsidR="0055500B" w:rsidP="0055500B" w:rsidRDefault="0055500B" w14:paraId="7B39A1FF" w14:textId="77777777">
      <w:pPr>
        <w:suppressAutoHyphens/>
        <w:rPr>
          <w:lang w:val="sl-SI"/>
        </w:rPr>
      </w:pPr>
      <w:r w:rsidRPr="00112BD9">
        <w:rPr>
          <w:lang w:val="sl-SI"/>
        </w:rPr>
        <w:t>EESO:</w:t>
      </w:r>
    </w:p>
    <w:p w:rsidRPr="00112BD9" w:rsidR="0055500B" w:rsidP="0055500B" w:rsidRDefault="0055500B" w14:paraId="6D08A72C" w14:textId="77777777">
      <w:pPr>
        <w:suppressAutoHyphens/>
        <w:rPr>
          <w:bCs/>
          <w:iCs/>
          <w:szCs w:val="22"/>
          <w:lang w:val="sl-SI"/>
        </w:rPr>
      </w:pPr>
    </w:p>
    <w:p w:rsidRPr="00112BD9" w:rsidR="0055500B" w:rsidP="00D5765D" w:rsidRDefault="0055500B" w14:paraId="000246CA" w14:textId="77777777">
      <w:pPr>
        <w:numPr>
          <w:ilvl w:val="0"/>
          <w:numId w:val="23"/>
        </w:numPr>
        <w:suppressAutoHyphens/>
        <w:ind w:left="567" w:hanging="567"/>
        <w:rPr>
          <w:szCs w:val="22"/>
          <w:lang w:val="sl-SI"/>
        </w:rPr>
      </w:pPr>
      <w:r w:rsidRPr="00112BD9">
        <w:rPr>
          <w:lang w:val="sl-SI"/>
        </w:rPr>
        <w:t xml:space="preserve">poudarja, da se lahko z </w:t>
      </w:r>
      <w:r w:rsidRPr="00112BD9">
        <w:rPr>
          <w:b/>
          <w:lang w:val="sl-SI"/>
        </w:rPr>
        <w:t>državno pomočjo</w:t>
      </w:r>
      <w:r w:rsidRPr="00112BD9">
        <w:rPr>
          <w:lang w:val="sl-SI"/>
        </w:rPr>
        <w:t xml:space="preserve"> zanesljivo podpre podjetja EU pri njihovih prizadevanjih za prehod in spodbudi obsežne naložbe, ki so potrebne za dosego tega skupnega cilja. Da razpršenost državne pomoči po državah članicah ne bi negativno vplivala na konkurenčnost EU, moramo zagotoviti, da se </w:t>
      </w:r>
      <w:r w:rsidRPr="00112BD9">
        <w:rPr>
          <w:b/>
          <w:lang w:val="sl-SI"/>
        </w:rPr>
        <w:t>javna podpora uporablja čim bolj učinkovito ter se tako okrepijo učinki prelivanja in evropske vrednostne verige</w:t>
      </w:r>
      <w:r w:rsidRPr="00112BD9">
        <w:rPr>
          <w:lang w:val="sl-SI"/>
        </w:rPr>
        <w:t>;</w:t>
      </w:r>
    </w:p>
    <w:p w:rsidRPr="00112BD9" w:rsidR="0055500B" w:rsidP="00D5765D" w:rsidRDefault="0055500B" w14:paraId="726253F9" w14:textId="77777777">
      <w:pPr>
        <w:numPr>
          <w:ilvl w:val="0"/>
          <w:numId w:val="23"/>
        </w:numPr>
        <w:suppressAutoHyphens/>
        <w:ind w:left="567" w:hanging="567"/>
        <w:rPr>
          <w:szCs w:val="22"/>
          <w:lang w:val="sl-SI"/>
        </w:rPr>
      </w:pPr>
      <w:r w:rsidRPr="00112BD9">
        <w:rPr>
          <w:lang w:val="sl-SI"/>
        </w:rPr>
        <w:t xml:space="preserve">poudarja, da bi lahko </w:t>
      </w:r>
      <w:r w:rsidRPr="00112BD9">
        <w:rPr>
          <w:b/>
          <w:lang w:val="sl-SI"/>
        </w:rPr>
        <w:t>presojanje združitev še dodatno razvili, da bi še bolj upoštevali posebni značaj trgov</w:t>
      </w:r>
      <w:r w:rsidRPr="00112BD9">
        <w:rPr>
          <w:lang w:val="sl-SI"/>
        </w:rPr>
        <w:t>, na katerih imajo ključno vlogo naložbe v infrastrukturo, inovacije ali trajnost. Poleg tega bi bilo treba uvesti rešitev, ki bi omogočila nadzor nad združitvami, ki temeljijo na inovacijah in za katere danes ne veljajo pragovi iz uredbe Komisije o združitvah. Združitve se nikoli ne bi smele uporabljati za zaščito nacionalnih interesov, pri njihovi analizi pa bi bilo treba upoštevati stališča vseh deležnikov;</w:t>
      </w:r>
    </w:p>
    <w:p w:rsidRPr="00112BD9" w:rsidR="0055500B" w:rsidP="00D5765D" w:rsidRDefault="0055500B" w14:paraId="413C782F" w14:textId="77777777">
      <w:pPr>
        <w:numPr>
          <w:ilvl w:val="0"/>
          <w:numId w:val="23"/>
        </w:numPr>
        <w:suppressAutoHyphens/>
        <w:ind w:left="567" w:hanging="567"/>
        <w:rPr>
          <w:szCs w:val="22"/>
          <w:lang w:val="sl-SI"/>
        </w:rPr>
      </w:pPr>
      <w:r w:rsidRPr="00112BD9">
        <w:rPr>
          <w:lang w:val="sl-SI"/>
        </w:rPr>
        <w:t>priporoča, da bi pri pregledu pravil o pomembnih projektih skupnega evropskega interesa oblikovali instrument z resničnim evropskim pristopom, da bodo ta orodja dejansko imela prelomni pomen, zasnovo in uporabo Evropskega sklada za konkurenčnost pa mora voditi evropski vidik;</w:t>
      </w:r>
    </w:p>
    <w:p w:rsidRPr="00112BD9" w:rsidR="0055500B" w:rsidP="00D5765D" w:rsidRDefault="0055500B" w14:paraId="47DB8D19" w14:textId="77777777">
      <w:pPr>
        <w:numPr>
          <w:ilvl w:val="0"/>
          <w:numId w:val="23"/>
        </w:numPr>
        <w:suppressAutoHyphens/>
        <w:ind w:left="567" w:hanging="567"/>
        <w:rPr>
          <w:szCs w:val="22"/>
          <w:lang w:val="sl-SI"/>
        </w:rPr>
      </w:pPr>
      <w:r w:rsidRPr="00112BD9">
        <w:rPr>
          <w:lang w:val="sl-SI"/>
        </w:rPr>
        <w:t xml:space="preserve">poudarja, da podjetja potrebujejo prepoznavnost in pravno varnost. Medtem ko se razvijajo novi pristopi h konkurenci, bi si bilo treba še naprej prizadevati za </w:t>
      </w:r>
      <w:r w:rsidRPr="00112BD9">
        <w:rPr>
          <w:b/>
          <w:lang w:val="sl-SI"/>
        </w:rPr>
        <w:t>racionalizacijo protimonopolnih postopkov in postopkov v zvezi z združitvami in državno pomočjo ter oblikovati jasne smernice</w:t>
      </w:r>
      <w:r w:rsidRPr="00112BD9">
        <w:rPr>
          <w:lang w:val="sl-SI"/>
        </w:rPr>
        <w:t>. Prednost bi bilo treba dati pristopu, ki temelji na že obstoječih orodjih za poglobitev enotnega trga.</w:t>
      </w:r>
    </w:p>
    <w:p w:rsidRPr="00112BD9" w:rsidR="0055500B" w:rsidP="0055500B" w:rsidRDefault="0055500B" w14:paraId="4CC0D2BF" w14:textId="77777777">
      <w:pPr>
        <w:suppressAutoHyphens/>
        <w:ind w:left="567" w:hanging="567"/>
        <w:rPr>
          <w:szCs w:val="22"/>
          <w:lang w:val="sl-SI"/>
        </w:rPr>
      </w:pPr>
    </w:p>
    <w:tbl>
      <w:tblPr>
        <w:tblStyle w:val="TableGrid"/>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981"/>
      </w:tblGrid>
      <w:tr w:rsidRPr="00112BD9" w:rsidR="0055500B" w:rsidTr="005540B3" w14:paraId="33BD2771" w14:textId="77777777">
        <w:tc>
          <w:tcPr>
            <w:tcW w:w="1107" w:type="pct"/>
          </w:tcPr>
          <w:p w:rsidRPr="00112BD9" w:rsidR="0055500B" w:rsidP="005540B3" w:rsidRDefault="0055500B" w14:paraId="1C61BAFC" w14:textId="77777777">
            <w:pPr>
              <w:suppressAutoHyphens/>
              <w:rPr>
                <w:i/>
                <w:szCs w:val="22"/>
                <w:lang w:val="sl-SI"/>
              </w:rPr>
            </w:pPr>
            <w:r w:rsidRPr="00112BD9">
              <w:rPr>
                <w:b/>
                <w:i/>
                <w:lang w:val="sl-SI"/>
              </w:rPr>
              <w:t>Kontaktna oseba</w:t>
            </w:r>
          </w:p>
        </w:tc>
        <w:tc>
          <w:tcPr>
            <w:tcW w:w="3893" w:type="pct"/>
          </w:tcPr>
          <w:p w:rsidRPr="00112BD9" w:rsidR="0055500B" w:rsidP="005540B3" w:rsidRDefault="0055500B" w14:paraId="6C4F27F7" w14:textId="77777777">
            <w:pPr>
              <w:suppressAutoHyphens/>
              <w:rPr>
                <w:i/>
                <w:szCs w:val="22"/>
                <w:lang w:val="sl-SI"/>
              </w:rPr>
            </w:pPr>
            <w:r w:rsidRPr="00112BD9">
              <w:rPr>
                <w:i/>
                <w:lang w:val="sl-SI"/>
              </w:rPr>
              <w:t>Staffa SILVIA</w:t>
            </w:r>
          </w:p>
        </w:tc>
      </w:tr>
      <w:tr w:rsidRPr="00112BD9" w:rsidR="0055500B" w:rsidTr="005540B3" w14:paraId="2CFDF409" w14:textId="77777777">
        <w:tc>
          <w:tcPr>
            <w:tcW w:w="1107" w:type="pct"/>
          </w:tcPr>
          <w:p w:rsidRPr="00112BD9" w:rsidR="0055500B" w:rsidP="005540B3" w:rsidRDefault="0055500B" w14:paraId="7A9EE580" w14:textId="77777777">
            <w:pPr>
              <w:suppressAutoHyphens/>
              <w:rPr>
                <w:i/>
                <w:szCs w:val="22"/>
                <w:lang w:val="sl-SI"/>
              </w:rPr>
            </w:pPr>
            <w:r w:rsidRPr="00112BD9">
              <w:rPr>
                <w:i/>
                <w:lang w:val="sl-SI"/>
              </w:rPr>
              <w:t>Telefon</w:t>
            </w:r>
          </w:p>
        </w:tc>
        <w:tc>
          <w:tcPr>
            <w:tcW w:w="3893" w:type="pct"/>
          </w:tcPr>
          <w:p w:rsidRPr="00112BD9" w:rsidR="0055500B" w:rsidP="005540B3" w:rsidRDefault="0055500B" w14:paraId="3CD75C55" w14:textId="77777777">
            <w:pPr>
              <w:suppressAutoHyphens/>
              <w:rPr>
                <w:i/>
                <w:szCs w:val="22"/>
                <w:lang w:val="sl-SI"/>
              </w:rPr>
            </w:pPr>
            <w:r w:rsidRPr="00112BD9">
              <w:rPr>
                <w:i/>
                <w:lang w:val="sl-SI"/>
              </w:rPr>
              <w:t>+32 25468378</w:t>
            </w:r>
          </w:p>
        </w:tc>
      </w:tr>
      <w:tr w:rsidRPr="00112BD9" w:rsidR="0055500B" w:rsidTr="005540B3" w14:paraId="007DA175" w14:textId="77777777">
        <w:tc>
          <w:tcPr>
            <w:tcW w:w="1107" w:type="pct"/>
          </w:tcPr>
          <w:p w:rsidRPr="00112BD9" w:rsidR="0055500B" w:rsidP="005540B3" w:rsidRDefault="0055500B" w14:paraId="2587B7DE" w14:textId="77777777">
            <w:pPr>
              <w:suppressAutoHyphens/>
              <w:rPr>
                <w:i/>
                <w:szCs w:val="22"/>
                <w:lang w:val="sl-SI"/>
              </w:rPr>
            </w:pPr>
            <w:r w:rsidRPr="00112BD9">
              <w:rPr>
                <w:i/>
                <w:lang w:val="sl-SI"/>
              </w:rPr>
              <w:t>E-naslov</w:t>
            </w:r>
          </w:p>
        </w:tc>
        <w:tc>
          <w:tcPr>
            <w:tcW w:w="3893" w:type="pct"/>
          </w:tcPr>
          <w:p w:rsidRPr="00112BD9" w:rsidR="0055500B" w:rsidP="005540B3" w:rsidRDefault="0055500B" w14:paraId="62A574C5" w14:textId="77777777">
            <w:pPr>
              <w:suppressAutoHyphens/>
              <w:rPr>
                <w:i/>
                <w:szCs w:val="22"/>
                <w:lang w:val="sl-SI"/>
              </w:rPr>
            </w:pPr>
            <w:hyperlink w:history="1" r:id="rId39">
              <w:r w:rsidRPr="00112BD9">
                <w:rPr>
                  <w:rStyle w:val="Hyperlink"/>
                  <w:rFonts w:eastAsiaTheme="majorEastAsia"/>
                  <w:i/>
                  <w:lang w:val="sl-SI"/>
                </w:rPr>
                <w:t>Silvia.Staffa@eesc.europa.eu</w:t>
              </w:r>
            </w:hyperlink>
          </w:p>
        </w:tc>
      </w:tr>
    </w:tbl>
    <w:p w:rsidRPr="00112BD9" w:rsidR="0055500B" w:rsidP="0055500B" w:rsidRDefault="0055500B" w14:paraId="6EA7AA97" w14:textId="77777777">
      <w:pPr>
        <w:rPr>
          <w:lang w:val="sl-SI"/>
        </w:rPr>
      </w:pPr>
    </w:p>
    <w:p w:rsidRPr="00112BD9" w:rsidR="0055500B" w:rsidP="0055500B" w:rsidRDefault="0055500B" w14:paraId="780C78F9" w14:textId="278BFB96">
      <w:pPr>
        <w:spacing w:line="240" w:lineRule="auto"/>
        <w:rPr>
          <w:lang w:val="sl-SI"/>
        </w:rPr>
      </w:pPr>
    </w:p>
    <w:p w:rsidRPr="00112BD9" w:rsidR="00437105" w:rsidP="00075128" w:rsidRDefault="00437105" w14:paraId="14DAD8E5" w14:textId="77777777">
      <w:pPr>
        <w:pStyle w:val="Heading1"/>
        <w:pageBreakBefore/>
        <w:overflowPunct/>
        <w:autoSpaceDE/>
        <w:autoSpaceDN/>
        <w:adjustRightInd/>
        <w:spacing w:line="240" w:lineRule="auto"/>
        <w:ind w:left="567" w:hanging="567"/>
        <w:textAlignment w:val="auto"/>
        <w:rPr>
          <w:lang w:val="sl-SI"/>
        </w:rPr>
      </w:pPr>
      <w:bookmarkStart w:name="_Toc189238820" w:id="8"/>
      <w:r w:rsidRPr="00112BD9">
        <w:rPr>
          <w:b/>
          <w:lang w:val="sl-SI"/>
        </w:rPr>
        <w:lastRenderedPageBreak/>
        <w:t>KMETIJSTVO, RAZVOJ PODEŽELJA IN OKOLJE</w:t>
      </w:r>
      <w:bookmarkEnd w:id="7"/>
      <w:bookmarkEnd w:id="8"/>
    </w:p>
    <w:p w:rsidRPr="00112BD9" w:rsidR="00437105" w:rsidP="00075128" w:rsidRDefault="00437105" w14:paraId="2ABF8E0D" w14:textId="23ED4EDA">
      <w:pPr>
        <w:spacing w:line="240" w:lineRule="auto"/>
        <w:rPr>
          <w:lang w:val="sl-SI"/>
        </w:rPr>
      </w:pPr>
    </w:p>
    <w:p w:rsidRPr="00112BD9" w:rsidR="00CC2223" w:rsidP="00CC2223" w:rsidRDefault="00CC2223" w14:paraId="5692694B" w14:textId="77777777">
      <w:pPr>
        <w:numPr>
          <w:ilvl w:val="0"/>
          <w:numId w:val="7"/>
        </w:numPr>
        <w:tabs>
          <w:tab w:val="clear" w:pos="0"/>
        </w:tabs>
        <w:spacing w:line="276" w:lineRule="auto"/>
        <w:ind w:left="567" w:hanging="567"/>
        <w:rPr>
          <w:sz w:val="28"/>
          <w:szCs w:val="22"/>
          <w:lang w:val="sl-SI"/>
        </w:rPr>
      </w:pPr>
      <w:hyperlink w:history="1" r:id="rId40">
        <w:r w:rsidRPr="00112BD9">
          <w:rPr>
            <w:rStyle w:val="Hyperlink"/>
            <w:b/>
            <w:bCs/>
            <w:i/>
            <w:iCs/>
            <w:sz w:val="28"/>
            <w:szCs w:val="28"/>
            <w:lang w:val="sl-SI"/>
          </w:rPr>
          <w:t>Ohranjanje staležev rib v zvezi z državami, ki omogočajo netrajnostne načine ribolova</w:t>
        </w:r>
      </w:hyperlink>
    </w:p>
    <w:p w:rsidRPr="00112BD9" w:rsidR="00CC2223" w:rsidP="00CC2223" w:rsidRDefault="00CC2223" w14:paraId="49DE3EC8" w14:textId="77777777">
      <w:pPr>
        <w:spacing w:line="276" w:lineRule="auto"/>
        <w:rPr>
          <w:szCs w:val="22"/>
          <w:lang w:val="sl-SI"/>
        </w:rPr>
      </w:pPr>
    </w:p>
    <w:tbl>
      <w:tblPr>
        <w:tblStyle w:val="TableGrid"/>
        <w:tblW w:w="507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9"/>
        <w:gridCol w:w="6805"/>
      </w:tblGrid>
      <w:tr w:rsidRPr="00112BD9" w:rsidR="00CC2223" w:rsidTr="00CC2223" w14:paraId="6B52DF67" w14:textId="77777777">
        <w:tc>
          <w:tcPr>
            <w:tcW w:w="1307" w:type="pct"/>
          </w:tcPr>
          <w:p w:rsidRPr="00112BD9" w:rsidR="00CC2223" w:rsidP="00CC2223" w:rsidRDefault="00CC2223" w14:paraId="6E1B6501" w14:textId="77777777">
            <w:pPr>
              <w:spacing w:line="276" w:lineRule="auto"/>
              <w:rPr>
                <w:b/>
                <w:szCs w:val="22"/>
                <w:lang w:val="sl-SI"/>
              </w:rPr>
            </w:pPr>
            <w:r w:rsidRPr="00112BD9">
              <w:rPr>
                <w:b/>
                <w:szCs w:val="22"/>
                <w:lang w:val="sl-SI"/>
              </w:rPr>
              <w:t>Poročevalec</w:t>
            </w:r>
          </w:p>
        </w:tc>
        <w:tc>
          <w:tcPr>
            <w:tcW w:w="3693" w:type="pct"/>
          </w:tcPr>
          <w:p w:rsidRPr="00112BD9" w:rsidR="00CC2223" w:rsidP="00CC2223" w:rsidRDefault="00CC2223" w14:paraId="2BFEDC36" w14:textId="77777777">
            <w:pPr>
              <w:spacing w:line="276" w:lineRule="auto"/>
              <w:rPr>
                <w:szCs w:val="22"/>
                <w:lang w:val="sl-SI"/>
              </w:rPr>
            </w:pPr>
            <w:r w:rsidRPr="00112BD9">
              <w:rPr>
                <w:szCs w:val="22"/>
                <w:lang w:val="sl-SI"/>
              </w:rPr>
              <w:t>Francisco Javier GARAT PÉREZ (skupina organizacij civilne družbe – ES)</w:t>
            </w:r>
          </w:p>
        </w:tc>
      </w:tr>
      <w:tr w:rsidRPr="00112BD9" w:rsidR="00CC2223" w:rsidTr="00CC2223" w14:paraId="7DD58FE4" w14:textId="77777777">
        <w:tc>
          <w:tcPr>
            <w:tcW w:w="5000" w:type="pct"/>
            <w:gridSpan w:val="2"/>
          </w:tcPr>
          <w:p w:rsidRPr="00112BD9" w:rsidR="00CC2223" w:rsidP="00CC2223" w:rsidRDefault="00CC2223" w14:paraId="65515FD0" w14:textId="77777777">
            <w:pPr>
              <w:spacing w:line="276" w:lineRule="auto"/>
              <w:rPr>
                <w:szCs w:val="22"/>
                <w:lang w:val="sl-SI"/>
              </w:rPr>
            </w:pPr>
          </w:p>
        </w:tc>
      </w:tr>
      <w:tr w:rsidRPr="00112BD9" w:rsidR="00CC2223" w:rsidTr="00CC2223" w14:paraId="28A371A2" w14:textId="77777777">
        <w:tc>
          <w:tcPr>
            <w:tcW w:w="1307" w:type="pct"/>
            <w:vMerge w:val="restart"/>
          </w:tcPr>
          <w:p w:rsidRPr="00112BD9" w:rsidR="00CC2223" w:rsidP="00CC2223" w:rsidRDefault="00CC2223" w14:paraId="04FE1C29" w14:textId="4C71DD5D">
            <w:pPr>
              <w:spacing w:line="276" w:lineRule="auto"/>
              <w:rPr>
                <w:b/>
                <w:szCs w:val="22"/>
                <w:lang w:val="sl-SI"/>
              </w:rPr>
            </w:pPr>
            <w:r w:rsidRPr="00112BD9">
              <w:rPr>
                <w:b/>
                <w:szCs w:val="22"/>
                <w:lang w:val="sl-SI"/>
              </w:rPr>
              <w:t>Referenčn</w:t>
            </w:r>
            <w:r w:rsidRPr="00112BD9">
              <w:rPr>
                <w:b/>
                <w:szCs w:val="22"/>
                <w:lang w:val="sl-SI"/>
              </w:rPr>
              <w:t xml:space="preserve">a </w:t>
            </w:r>
            <w:r w:rsidRPr="00112BD9">
              <w:rPr>
                <w:b/>
                <w:szCs w:val="22"/>
                <w:lang w:val="sl-SI"/>
              </w:rPr>
              <w:t>dokument</w:t>
            </w:r>
            <w:r w:rsidRPr="00112BD9">
              <w:rPr>
                <w:b/>
                <w:szCs w:val="22"/>
                <w:lang w:val="sl-SI"/>
              </w:rPr>
              <w:t>a</w:t>
            </w:r>
          </w:p>
        </w:tc>
        <w:tc>
          <w:tcPr>
            <w:tcW w:w="3693" w:type="pct"/>
          </w:tcPr>
          <w:p w:rsidRPr="00F258A8" w:rsidR="00CC2223" w:rsidP="00CC2223" w:rsidRDefault="00CC2223" w14:paraId="238B0DF7" w14:textId="2AA2EAE6">
            <w:pPr>
              <w:spacing w:line="276" w:lineRule="auto"/>
              <w:rPr>
                <w:szCs w:val="22"/>
                <w:lang w:val="sl-SI"/>
              </w:rPr>
            </w:pPr>
            <w:r w:rsidRPr="00F258A8">
              <w:rPr>
                <w:szCs w:val="22"/>
                <w:lang w:val="sl-SI"/>
              </w:rPr>
              <w:t>COM(2024) 407 final</w:t>
            </w:r>
          </w:p>
        </w:tc>
      </w:tr>
      <w:tr w:rsidRPr="00112BD9" w:rsidR="00CC2223" w:rsidTr="00CC2223" w14:paraId="0760C87E" w14:textId="77777777">
        <w:tc>
          <w:tcPr>
            <w:tcW w:w="1307" w:type="pct"/>
            <w:vMerge/>
          </w:tcPr>
          <w:p w:rsidRPr="00112BD9" w:rsidR="00CC2223" w:rsidP="00CC2223" w:rsidRDefault="00CC2223" w14:paraId="214B1079" w14:textId="77777777">
            <w:pPr>
              <w:tabs>
                <w:tab w:val="center" w:pos="284"/>
              </w:tabs>
              <w:spacing w:line="276" w:lineRule="auto"/>
              <w:ind w:left="266" w:hanging="266"/>
              <w:rPr>
                <w:b/>
                <w:szCs w:val="22"/>
                <w:lang w:val="sl-SI"/>
              </w:rPr>
            </w:pPr>
          </w:p>
        </w:tc>
        <w:tc>
          <w:tcPr>
            <w:tcW w:w="3693" w:type="pct"/>
          </w:tcPr>
          <w:p w:rsidRPr="00112BD9" w:rsidR="00CC2223" w:rsidP="00CC2223" w:rsidRDefault="00CC2223" w14:paraId="57C3A369" w14:textId="3B927829">
            <w:pPr>
              <w:spacing w:line="276" w:lineRule="auto"/>
              <w:rPr>
                <w:szCs w:val="22"/>
                <w:lang w:val="sl-SI"/>
              </w:rPr>
            </w:pPr>
            <w:r w:rsidRPr="00112BD9">
              <w:rPr>
                <w:szCs w:val="22"/>
                <w:lang w:val="sl-SI"/>
              </w:rPr>
              <w:t>EESC-2024-04192-00-00-AC</w:t>
            </w:r>
          </w:p>
        </w:tc>
      </w:tr>
    </w:tbl>
    <w:p w:rsidRPr="00112BD9" w:rsidR="00CC2223" w:rsidP="00CC2223" w:rsidRDefault="00CC2223" w14:paraId="26F838FB" w14:textId="77777777">
      <w:pPr>
        <w:spacing w:line="276" w:lineRule="auto"/>
        <w:rPr>
          <w:szCs w:val="22"/>
          <w:lang w:val="sl-SI"/>
        </w:rPr>
      </w:pPr>
    </w:p>
    <w:p w:rsidRPr="00112BD9" w:rsidR="00CC2223" w:rsidP="00CC2223" w:rsidRDefault="00CC2223" w14:paraId="1BAEB94C" w14:textId="77777777">
      <w:pPr>
        <w:spacing w:line="276" w:lineRule="auto"/>
        <w:rPr>
          <w:lang w:val="sl-SI"/>
        </w:rPr>
      </w:pPr>
      <w:r w:rsidRPr="00112BD9">
        <w:rPr>
          <w:b/>
          <w:lang w:val="sl-SI"/>
        </w:rPr>
        <w:t>Glavne točke</w:t>
      </w:r>
    </w:p>
    <w:p w:rsidRPr="00112BD9" w:rsidR="00CC2223" w:rsidP="00CC2223" w:rsidRDefault="00CC2223" w14:paraId="1907505C" w14:textId="77777777">
      <w:pPr>
        <w:spacing w:line="276" w:lineRule="auto"/>
        <w:rPr>
          <w:szCs w:val="22"/>
          <w:lang w:val="sl-SI"/>
        </w:rPr>
      </w:pPr>
    </w:p>
    <w:p w:rsidRPr="00112BD9" w:rsidR="00CC2223" w:rsidP="00CC2223" w:rsidRDefault="00CC2223" w14:paraId="48A2924B" w14:textId="77777777">
      <w:pPr>
        <w:spacing w:line="276" w:lineRule="auto"/>
        <w:rPr>
          <w:bCs/>
          <w:iCs/>
          <w:szCs w:val="22"/>
          <w:lang w:val="sl-SI"/>
        </w:rPr>
      </w:pPr>
      <w:r w:rsidRPr="00112BD9">
        <w:rPr>
          <w:bCs/>
          <w:iCs/>
          <w:szCs w:val="22"/>
          <w:lang w:val="sl-SI"/>
        </w:rPr>
        <w:t>EESO:</w:t>
      </w:r>
    </w:p>
    <w:p w:rsidRPr="00112BD9" w:rsidR="00CC2223" w:rsidP="00CC2223" w:rsidRDefault="00CC2223" w14:paraId="1FD31BEB" w14:textId="77777777">
      <w:pPr>
        <w:spacing w:line="276" w:lineRule="auto"/>
        <w:rPr>
          <w:szCs w:val="22"/>
          <w:lang w:val="sl-SI"/>
        </w:rPr>
      </w:pPr>
    </w:p>
    <w:p w:rsidRPr="00112BD9" w:rsidR="00CC2223" w:rsidP="00D5765D" w:rsidRDefault="00CC2223" w14:paraId="00E2C397" w14:textId="77777777">
      <w:pPr>
        <w:widowControl w:val="0"/>
        <w:numPr>
          <w:ilvl w:val="0"/>
          <w:numId w:val="22"/>
        </w:numPr>
        <w:spacing w:line="276" w:lineRule="auto"/>
        <w:ind w:left="567" w:hanging="567"/>
        <w:rPr>
          <w:szCs w:val="22"/>
          <w:lang w:val="sl-SI"/>
        </w:rPr>
      </w:pPr>
      <w:r w:rsidRPr="00112BD9">
        <w:rPr>
          <w:szCs w:val="22"/>
          <w:lang w:val="sl-SI"/>
        </w:rPr>
        <w:t>podpira predlog Komisije za spremembo Uredbe (EU) št. 1026/2012, da bi preprečili netrajnostne ribolovne prakse in zaščitili interese ribištva v EU;</w:t>
      </w:r>
    </w:p>
    <w:p w:rsidRPr="00112BD9" w:rsidR="00CC2223" w:rsidP="00D5765D" w:rsidRDefault="00CC2223" w14:paraId="16763AB2" w14:textId="77777777">
      <w:pPr>
        <w:widowControl w:val="0"/>
        <w:numPr>
          <w:ilvl w:val="0"/>
          <w:numId w:val="22"/>
        </w:numPr>
        <w:spacing w:line="276" w:lineRule="auto"/>
        <w:ind w:left="567" w:hanging="567"/>
        <w:rPr>
          <w:szCs w:val="22"/>
          <w:lang w:val="sl-SI"/>
        </w:rPr>
      </w:pPr>
      <w:r w:rsidRPr="00112BD9">
        <w:rPr>
          <w:szCs w:val="22"/>
          <w:lang w:val="sl-SI"/>
        </w:rPr>
        <w:t>poziva k razširitvi področja uporabe in vključitvi voda v Sredozemlju in mednarodnih voda ter s tem obravnavo netrajnostnih praks na svetovni ravni;</w:t>
      </w:r>
    </w:p>
    <w:p w:rsidRPr="00112BD9" w:rsidR="00CC2223" w:rsidP="00D5765D" w:rsidRDefault="00CC2223" w14:paraId="50B6730A" w14:textId="77777777">
      <w:pPr>
        <w:widowControl w:val="0"/>
        <w:numPr>
          <w:ilvl w:val="0"/>
          <w:numId w:val="22"/>
        </w:numPr>
        <w:spacing w:line="276" w:lineRule="auto"/>
        <w:ind w:left="567" w:hanging="567"/>
        <w:rPr>
          <w:szCs w:val="22"/>
          <w:lang w:val="sl-SI"/>
        </w:rPr>
      </w:pPr>
      <w:r w:rsidRPr="00112BD9">
        <w:rPr>
          <w:szCs w:val="22"/>
          <w:lang w:val="sl-SI"/>
        </w:rPr>
        <w:t>poziva Svet in Evropski parlament, naj hitro sprejmeta predlog, da se poveča preglednost in zagotovi, da bodo tretje države razumele okoliščine, v katerih jim EU lahko naloži sankcije;</w:t>
      </w:r>
    </w:p>
    <w:p w:rsidRPr="00112BD9" w:rsidR="00CC2223" w:rsidP="00D5765D" w:rsidRDefault="00CC2223" w14:paraId="02682AB4" w14:textId="77777777">
      <w:pPr>
        <w:widowControl w:val="0"/>
        <w:numPr>
          <w:ilvl w:val="0"/>
          <w:numId w:val="22"/>
        </w:numPr>
        <w:spacing w:line="276" w:lineRule="auto"/>
        <w:ind w:left="567" w:hanging="567"/>
        <w:rPr>
          <w:szCs w:val="22"/>
          <w:lang w:val="sl-SI"/>
        </w:rPr>
      </w:pPr>
      <w:r w:rsidRPr="00112BD9">
        <w:rPr>
          <w:szCs w:val="22"/>
          <w:lang w:val="sl-SI"/>
        </w:rPr>
        <w:t>podpira okrepljena orodja EU za uvedbo omejevalnih ukrepov, vključno s prepovedjo uvoza, na svetovni ravni in v skladu s smernicami STO, da bi spodbudili odgovorne ribolovne prakse in pravično obravnavo vseh flot;</w:t>
      </w:r>
    </w:p>
    <w:p w:rsidRPr="00112BD9" w:rsidR="00CC2223" w:rsidP="00D5765D" w:rsidRDefault="00CC2223" w14:paraId="713AF1F0" w14:textId="77777777">
      <w:pPr>
        <w:widowControl w:val="0"/>
        <w:numPr>
          <w:ilvl w:val="0"/>
          <w:numId w:val="21"/>
        </w:numPr>
        <w:spacing w:line="276" w:lineRule="auto"/>
        <w:ind w:left="567" w:hanging="567"/>
        <w:rPr>
          <w:szCs w:val="22"/>
          <w:lang w:val="sl-SI"/>
        </w:rPr>
      </w:pPr>
      <w:r w:rsidRPr="00112BD9">
        <w:rPr>
          <w:szCs w:val="22"/>
          <w:lang w:val="sl-SI"/>
        </w:rPr>
        <w:t>se zavzema za pošteno konkurenco in dopolnjevanje prizadevanj za boj proti prelovu z ukrepi iz uredbe o nezakonitem, neprijavljenem in nereguliranem ribolovu;</w:t>
      </w:r>
    </w:p>
    <w:p w:rsidRPr="00112BD9" w:rsidR="00CC2223" w:rsidP="00D5765D" w:rsidRDefault="00CC2223" w14:paraId="7D606704" w14:textId="77777777">
      <w:pPr>
        <w:widowControl w:val="0"/>
        <w:numPr>
          <w:ilvl w:val="0"/>
          <w:numId w:val="21"/>
        </w:numPr>
        <w:spacing w:line="276" w:lineRule="auto"/>
        <w:ind w:left="567" w:hanging="567"/>
        <w:rPr>
          <w:szCs w:val="22"/>
          <w:lang w:val="sl-SI"/>
        </w:rPr>
      </w:pPr>
      <w:r w:rsidRPr="00112BD9">
        <w:rPr>
          <w:szCs w:val="22"/>
          <w:lang w:val="sl-SI"/>
        </w:rPr>
        <w:t>poziva EU, naj okrepi sodelovanje z državami, ki izkoriščajo čezconske in izrazito selivske staleže rib na dvostranski ravni ali v okviru regionalnih organizacij za upravljanje ribištva, v skladu s konvencijo UNCLOS in povezanimi sporazumi;</w:t>
      </w:r>
    </w:p>
    <w:p w:rsidRPr="00112BD9" w:rsidR="00CC2223" w:rsidP="00D5765D" w:rsidRDefault="00CC2223" w14:paraId="765D0BB2" w14:textId="77777777">
      <w:pPr>
        <w:widowControl w:val="0"/>
        <w:numPr>
          <w:ilvl w:val="0"/>
          <w:numId w:val="20"/>
        </w:numPr>
        <w:spacing w:line="276" w:lineRule="auto"/>
        <w:ind w:left="567" w:hanging="567"/>
        <w:rPr>
          <w:szCs w:val="22"/>
          <w:lang w:val="sl-SI"/>
        </w:rPr>
      </w:pPr>
      <w:r w:rsidRPr="00112BD9">
        <w:rPr>
          <w:szCs w:val="22"/>
          <w:lang w:val="sl-SI"/>
        </w:rPr>
        <w:t>poudarja, da je treba odgovoriti na agresivna dejanja nekaterih tretjih držav, kot je Norveška, in priporoča strateška zavezništva z državami, kot je Islandija, da bi zagotovili stabilno oskrbo z morskimi proizvodi in okrepili položaj EU v severovzhodnem Atlantiku;</w:t>
      </w:r>
    </w:p>
    <w:p w:rsidRPr="00112BD9" w:rsidR="00CC2223" w:rsidP="00D5765D" w:rsidRDefault="00CC2223" w14:paraId="6A96A69E" w14:textId="77777777">
      <w:pPr>
        <w:widowControl w:val="0"/>
        <w:numPr>
          <w:ilvl w:val="0"/>
          <w:numId w:val="20"/>
        </w:numPr>
        <w:spacing w:line="276" w:lineRule="auto"/>
        <w:ind w:left="567" w:hanging="567"/>
        <w:rPr>
          <w:lang w:val="sl-SI"/>
        </w:rPr>
      </w:pPr>
      <w:r w:rsidRPr="00112BD9">
        <w:rPr>
          <w:szCs w:val="22"/>
          <w:lang w:val="sl-SI"/>
        </w:rPr>
        <w:t>kritizira omejeno</w:t>
      </w:r>
      <w:r w:rsidRPr="00112BD9">
        <w:rPr>
          <w:lang w:val="sl-SI"/>
        </w:rPr>
        <w:t xml:space="preserve"> uporabo finančnega mehanizma Evropskega gospodarskega prostora (EGP) za pritisk na obalne države, ki niso članice EU, kot je Norveška, da bi spoštovale mednarodne standarde za upravljanje ribištva, ter poziva k pogojevanju dostopa do trga in k izvršilnim ukrepom;</w:t>
      </w:r>
    </w:p>
    <w:p w:rsidRPr="00112BD9" w:rsidR="00CC2223" w:rsidP="00D5765D" w:rsidRDefault="00CC2223" w14:paraId="3082FE73" w14:textId="77777777">
      <w:pPr>
        <w:widowControl w:val="0"/>
        <w:numPr>
          <w:ilvl w:val="0"/>
          <w:numId w:val="20"/>
        </w:numPr>
        <w:spacing w:line="276" w:lineRule="auto"/>
        <w:ind w:left="567" w:hanging="567"/>
        <w:rPr>
          <w:lang w:val="sl-SI"/>
        </w:rPr>
      </w:pPr>
      <w:r w:rsidRPr="00112BD9">
        <w:rPr>
          <w:szCs w:val="22"/>
          <w:lang w:val="sl-SI"/>
        </w:rPr>
        <w:t>poziva</w:t>
      </w:r>
      <w:r w:rsidRPr="00112BD9">
        <w:rPr>
          <w:lang w:val="sl-SI"/>
        </w:rPr>
        <w:t xml:space="preserve"> k takojšnjemu ukrepanju v okviru revidirane uredbe, da bi odpravili nepoštene prakse Norveške, zlasti v zvezi s skušo in trsko v severozahodnem Atlantiku;</w:t>
      </w:r>
    </w:p>
    <w:p w:rsidRPr="00112BD9" w:rsidR="00CC2223" w:rsidP="00D5765D" w:rsidRDefault="00CC2223" w14:paraId="2C684FB4" w14:textId="77777777">
      <w:pPr>
        <w:widowControl w:val="0"/>
        <w:numPr>
          <w:ilvl w:val="0"/>
          <w:numId w:val="20"/>
        </w:numPr>
        <w:spacing w:line="276" w:lineRule="auto"/>
        <w:ind w:left="567" w:hanging="567"/>
        <w:rPr>
          <w:lang w:val="sl-SI"/>
        </w:rPr>
      </w:pPr>
      <w:r w:rsidRPr="00112BD9">
        <w:rPr>
          <w:szCs w:val="22"/>
          <w:lang w:val="sl-SI"/>
        </w:rPr>
        <w:t>poziva</w:t>
      </w:r>
      <w:r w:rsidRPr="00112BD9">
        <w:rPr>
          <w:lang w:val="sl-SI"/>
        </w:rPr>
        <w:t xml:space="preserve"> k vključenosti in preglednosti v pogajanjih z obalnimi državami, da se zagotovi dejavno sodelovanje deležnikov pri odločanju o upravljanju ribištva in sankcijah;</w:t>
      </w:r>
    </w:p>
    <w:p w:rsidRPr="00112BD9" w:rsidR="00CC2223" w:rsidP="00D5765D" w:rsidRDefault="00CC2223" w14:paraId="38C682A2" w14:textId="77777777">
      <w:pPr>
        <w:widowControl w:val="0"/>
        <w:numPr>
          <w:ilvl w:val="0"/>
          <w:numId w:val="20"/>
        </w:numPr>
        <w:spacing w:line="276" w:lineRule="auto"/>
        <w:ind w:left="567" w:hanging="567"/>
        <w:rPr>
          <w:lang w:val="sl-SI"/>
        </w:rPr>
      </w:pPr>
      <w:r w:rsidRPr="00112BD9">
        <w:rPr>
          <w:lang w:val="sl-SI"/>
        </w:rPr>
        <w:t xml:space="preserve">priporoča spremembo člena 6(1), da bi se zahtevalo takojšnje obveščanje ustreznih svetovalnih svetov, </w:t>
      </w:r>
      <w:r w:rsidRPr="00112BD9">
        <w:rPr>
          <w:szCs w:val="22"/>
          <w:lang w:val="sl-SI"/>
        </w:rPr>
        <w:t>kadar</w:t>
      </w:r>
      <w:r w:rsidRPr="00112BD9">
        <w:rPr>
          <w:lang w:val="sl-SI"/>
        </w:rPr>
        <w:t xml:space="preserve"> bi bila določena država lahko opredeljena kot država, ki omogoča netrajnostne načine ribolova.</w:t>
      </w:r>
    </w:p>
    <w:p w:rsidRPr="00112BD9" w:rsidR="00CC2223" w:rsidP="00CC2223" w:rsidRDefault="00CC2223" w14:paraId="328E5D50" w14:textId="77777777">
      <w:pPr>
        <w:spacing w:line="276"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7"/>
        <w:gridCol w:w="7304"/>
      </w:tblGrid>
      <w:tr w:rsidRPr="00112BD9" w:rsidR="00CC2223" w:rsidTr="005540B3" w14:paraId="09214028" w14:textId="77777777">
        <w:tc>
          <w:tcPr>
            <w:tcW w:w="974" w:type="pct"/>
          </w:tcPr>
          <w:p w:rsidRPr="00112BD9" w:rsidR="00CC2223" w:rsidP="00CC2223" w:rsidRDefault="00CC2223" w14:paraId="1A9EA573" w14:textId="77777777">
            <w:pPr>
              <w:spacing w:line="276" w:lineRule="auto"/>
              <w:rPr>
                <w:lang w:val="sl-SI"/>
              </w:rPr>
            </w:pPr>
            <w:r w:rsidRPr="00112BD9">
              <w:rPr>
                <w:b/>
                <w:i/>
                <w:szCs w:val="22"/>
                <w:lang w:val="sl-SI"/>
              </w:rPr>
              <w:t>Kontaktna oseba</w:t>
            </w:r>
          </w:p>
        </w:tc>
        <w:tc>
          <w:tcPr>
            <w:tcW w:w="4026" w:type="pct"/>
          </w:tcPr>
          <w:p w:rsidRPr="00112BD9" w:rsidR="00CC2223" w:rsidP="00CC2223" w:rsidRDefault="00CC2223" w14:paraId="533DE905" w14:textId="10E49809">
            <w:pPr>
              <w:spacing w:line="276" w:lineRule="auto"/>
              <w:rPr>
                <w:i/>
                <w:lang w:val="sl-SI"/>
              </w:rPr>
            </w:pPr>
            <w:r w:rsidRPr="00112BD9">
              <w:rPr>
                <w:i/>
                <w:lang w:val="sl-SI"/>
              </w:rPr>
              <w:t xml:space="preserve">Nicolas </w:t>
            </w:r>
            <w:r w:rsidRPr="00112BD9">
              <w:rPr>
                <w:i/>
                <w:lang w:val="sl-SI"/>
              </w:rPr>
              <w:t>STENGER</w:t>
            </w:r>
          </w:p>
        </w:tc>
      </w:tr>
      <w:tr w:rsidRPr="00112BD9" w:rsidR="00CC2223" w:rsidTr="005540B3" w14:paraId="4334F8F0" w14:textId="77777777">
        <w:tc>
          <w:tcPr>
            <w:tcW w:w="974" w:type="pct"/>
          </w:tcPr>
          <w:p w:rsidRPr="00112BD9" w:rsidR="00CC2223" w:rsidP="00CC2223" w:rsidRDefault="00CC2223" w14:paraId="5BA7021D" w14:textId="77777777">
            <w:pPr>
              <w:spacing w:line="276" w:lineRule="auto"/>
              <w:rPr>
                <w:lang w:val="sl-SI"/>
              </w:rPr>
            </w:pPr>
            <w:r w:rsidRPr="00112BD9">
              <w:rPr>
                <w:i/>
                <w:szCs w:val="22"/>
                <w:lang w:val="sl-SI"/>
              </w:rPr>
              <w:t>Telefon</w:t>
            </w:r>
          </w:p>
        </w:tc>
        <w:tc>
          <w:tcPr>
            <w:tcW w:w="4026" w:type="pct"/>
          </w:tcPr>
          <w:p w:rsidRPr="00112BD9" w:rsidR="00CC2223" w:rsidP="00CC2223" w:rsidRDefault="00CC2223" w14:paraId="31090C98" w14:textId="77777777">
            <w:pPr>
              <w:spacing w:line="276" w:lineRule="auto"/>
              <w:rPr>
                <w:lang w:val="sl-SI"/>
              </w:rPr>
            </w:pPr>
            <w:r w:rsidRPr="00112BD9">
              <w:rPr>
                <w:i/>
                <w:szCs w:val="22"/>
                <w:lang w:val="sl-SI"/>
              </w:rPr>
              <w:t>+32 2 546 8152</w:t>
            </w:r>
          </w:p>
        </w:tc>
      </w:tr>
      <w:tr w:rsidRPr="00112BD9" w:rsidR="00CC2223" w:rsidTr="005540B3" w14:paraId="1DE1A9BE" w14:textId="77777777">
        <w:tc>
          <w:tcPr>
            <w:tcW w:w="974" w:type="pct"/>
          </w:tcPr>
          <w:p w:rsidRPr="00112BD9" w:rsidR="00CC2223" w:rsidP="00CC2223" w:rsidRDefault="00CC2223" w14:paraId="623EE13B" w14:textId="77777777">
            <w:pPr>
              <w:spacing w:line="276" w:lineRule="auto"/>
              <w:rPr>
                <w:lang w:val="sl-SI"/>
              </w:rPr>
            </w:pPr>
            <w:r w:rsidRPr="00112BD9">
              <w:rPr>
                <w:i/>
                <w:szCs w:val="22"/>
                <w:lang w:val="sl-SI"/>
              </w:rPr>
              <w:t>E-naslov</w:t>
            </w:r>
          </w:p>
        </w:tc>
        <w:tc>
          <w:tcPr>
            <w:tcW w:w="4026" w:type="pct"/>
          </w:tcPr>
          <w:p w:rsidRPr="00112BD9" w:rsidR="00CC2223" w:rsidP="00CC2223" w:rsidRDefault="00CC2223" w14:paraId="215390AB" w14:textId="77777777">
            <w:pPr>
              <w:spacing w:line="276" w:lineRule="auto"/>
              <w:rPr>
                <w:i/>
                <w:lang w:val="sl-SI"/>
              </w:rPr>
            </w:pPr>
            <w:hyperlink w:history="1" r:id="rId41">
              <w:r w:rsidRPr="00112BD9">
                <w:rPr>
                  <w:rStyle w:val="Hyperlink"/>
                  <w:i/>
                  <w:lang w:val="sl-SI"/>
                </w:rPr>
                <w:t>Nicolas.Stenger@eesc.europa.eu</w:t>
              </w:r>
            </w:hyperlink>
          </w:p>
        </w:tc>
      </w:tr>
    </w:tbl>
    <w:p w:rsidRPr="00112BD9" w:rsidR="00437105" w:rsidP="00E67970" w:rsidRDefault="00437105" w14:paraId="58588674" w14:textId="77777777">
      <w:pPr>
        <w:pStyle w:val="Heading1"/>
        <w:pageBreakBefore/>
        <w:overflowPunct/>
        <w:autoSpaceDE/>
        <w:autoSpaceDN/>
        <w:adjustRightInd/>
        <w:spacing w:line="276" w:lineRule="auto"/>
        <w:ind w:left="567" w:hanging="567"/>
        <w:textAlignment w:val="auto"/>
        <w:rPr>
          <w:lang w:val="sl-SI"/>
        </w:rPr>
      </w:pPr>
      <w:bookmarkStart w:name="_Toc103071396" w:id="9"/>
      <w:bookmarkStart w:name="_Toc189238821" w:id="10"/>
      <w:r w:rsidRPr="00112BD9">
        <w:rPr>
          <w:b/>
          <w:lang w:val="sl-SI"/>
        </w:rPr>
        <w:lastRenderedPageBreak/>
        <w:t>ZUNANJI ODNOSI</w:t>
      </w:r>
      <w:bookmarkEnd w:id="9"/>
      <w:bookmarkEnd w:id="10"/>
    </w:p>
    <w:p w:rsidRPr="00112BD9" w:rsidR="00AC4593" w:rsidP="00E67970" w:rsidRDefault="00AC4593" w14:paraId="30E6EFB0" w14:textId="77777777">
      <w:pPr>
        <w:spacing w:line="276" w:lineRule="auto"/>
        <w:rPr>
          <w:lang w:val="sl-SI"/>
        </w:rPr>
      </w:pPr>
    </w:p>
    <w:p w:rsidRPr="00112BD9" w:rsidR="00112BD9" w:rsidP="00D5765D" w:rsidRDefault="00112BD9" w14:paraId="5F91FFF0" w14:textId="77777777">
      <w:pPr>
        <w:widowControl w:val="0"/>
        <w:numPr>
          <w:ilvl w:val="0"/>
          <w:numId w:val="20"/>
        </w:numPr>
        <w:spacing w:line="276" w:lineRule="auto"/>
        <w:ind w:hanging="567"/>
        <w:rPr>
          <w:b/>
          <w:bCs/>
          <w:i/>
          <w:iCs/>
          <w:sz w:val="28"/>
          <w:szCs w:val="28"/>
          <w:lang w:val="sl-SI"/>
        </w:rPr>
      </w:pPr>
      <w:hyperlink w:history="1" r:id="rId42">
        <w:r w:rsidRPr="00112BD9">
          <w:rPr>
            <w:b/>
            <w:i/>
            <w:color w:val="0000FF"/>
            <w:sz w:val="28"/>
            <w:u w:val="single"/>
            <w:lang w:val="sl-SI"/>
          </w:rPr>
          <w:t>Razvoj evropske strategije za Arktiko v dialogu s civilno družbo (mnenje na lastno pobudo</w:t>
        </w:r>
      </w:hyperlink>
      <w:r w:rsidRPr="00112BD9">
        <w:rPr>
          <w:b/>
          <w:i/>
          <w:color w:val="0000FF"/>
          <w:sz w:val="28"/>
          <w:u w:val="single"/>
          <w:lang w:val="sl-SI"/>
        </w:rPr>
        <w:t>)</w:t>
      </w:r>
    </w:p>
    <w:p w:rsidRPr="00112BD9" w:rsidR="00112BD9" w:rsidP="00E67970" w:rsidRDefault="00112BD9" w14:paraId="7F147B84" w14:textId="77777777">
      <w:pPr>
        <w:tabs>
          <w:tab w:val="center" w:pos="284"/>
        </w:tabs>
        <w:spacing w:line="276" w:lineRule="auto"/>
        <w:ind w:left="266" w:hanging="266"/>
        <w:rPr>
          <w:b/>
          <w:szCs w:val="22"/>
          <w:lang w:val="sl-SI"/>
        </w:rPr>
      </w:pPr>
    </w:p>
    <w:tbl>
      <w:tblPr>
        <w:tblStyle w:val="TableGrid"/>
        <w:tblW w:w="49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554"/>
      </w:tblGrid>
      <w:tr w:rsidRPr="00112BD9" w:rsidR="00112BD9" w:rsidTr="005540B3" w14:paraId="7AD30646" w14:textId="77777777">
        <w:tc>
          <w:tcPr>
            <w:tcW w:w="1344" w:type="pct"/>
          </w:tcPr>
          <w:p w:rsidRPr="00112BD9" w:rsidR="00112BD9" w:rsidP="00E67970" w:rsidRDefault="00112BD9" w14:paraId="4FD37548" w14:textId="77777777">
            <w:pPr>
              <w:tabs>
                <w:tab w:val="center" w:pos="284"/>
              </w:tabs>
              <w:spacing w:line="264" w:lineRule="auto"/>
              <w:ind w:left="266" w:hanging="266"/>
              <w:rPr>
                <w:b/>
                <w:szCs w:val="22"/>
                <w:lang w:val="sl-SI"/>
              </w:rPr>
            </w:pPr>
            <w:r w:rsidRPr="00112BD9">
              <w:rPr>
                <w:b/>
                <w:bCs/>
                <w:lang w:val="sl-SI"/>
              </w:rPr>
              <w:t>Poročevalec</w:t>
            </w:r>
          </w:p>
          <w:p w:rsidRPr="00112BD9" w:rsidR="00112BD9" w:rsidP="00E67970" w:rsidRDefault="00112BD9" w14:paraId="7E472E95" w14:textId="77777777">
            <w:pPr>
              <w:tabs>
                <w:tab w:val="center" w:pos="284"/>
              </w:tabs>
              <w:spacing w:line="264" w:lineRule="auto"/>
              <w:ind w:left="266" w:hanging="266"/>
              <w:rPr>
                <w:b/>
                <w:szCs w:val="22"/>
                <w:lang w:val="sl-SI"/>
              </w:rPr>
            </w:pPr>
            <w:r w:rsidRPr="00112BD9">
              <w:rPr>
                <w:b/>
                <w:lang w:val="sl-SI"/>
              </w:rPr>
              <w:t>Soporočevalec</w:t>
            </w:r>
          </w:p>
        </w:tc>
        <w:tc>
          <w:tcPr>
            <w:tcW w:w="3656" w:type="pct"/>
          </w:tcPr>
          <w:p w:rsidRPr="00112BD9" w:rsidR="00112BD9" w:rsidP="00E67970" w:rsidRDefault="00112BD9" w14:paraId="0BD30BC2" w14:textId="77777777">
            <w:pPr>
              <w:tabs>
                <w:tab w:val="center" w:pos="284"/>
              </w:tabs>
              <w:spacing w:line="264" w:lineRule="auto"/>
              <w:ind w:left="266" w:hanging="266"/>
              <w:rPr>
                <w:szCs w:val="22"/>
                <w:lang w:val="sl-SI"/>
              </w:rPr>
            </w:pPr>
            <w:r w:rsidRPr="00112BD9">
              <w:rPr>
                <w:b/>
                <w:lang w:val="sl-SI"/>
              </w:rPr>
              <w:t xml:space="preserve">Anders LADEFOGED </w:t>
            </w:r>
            <w:r w:rsidRPr="00112BD9">
              <w:rPr>
                <w:lang w:val="sl-SI"/>
              </w:rPr>
              <w:t>(skupina delodajalcev – DA)</w:t>
            </w:r>
          </w:p>
          <w:p w:rsidRPr="00112BD9" w:rsidR="00112BD9" w:rsidP="00E67970" w:rsidRDefault="00112BD9" w14:paraId="3A76CE3E" w14:textId="77777777">
            <w:pPr>
              <w:shd w:val="clear" w:color="auto" w:fill="FEFEFE"/>
              <w:overflowPunct/>
              <w:autoSpaceDE/>
              <w:autoSpaceDN/>
              <w:adjustRightInd/>
              <w:spacing w:line="264" w:lineRule="auto"/>
              <w:jc w:val="left"/>
              <w:textAlignment w:val="auto"/>
              <w:rPr>
                <w:szCs w:val="22"/>
                <w:lang w:val="sl-SI"/>
              </w:rPr>
            </w:pPr>
            <w:r w:rsidRPr="00112BD9">
              <w:rPr>
                <w:b/>
                <w:lang w:val="sl-SI"/>
              </w:rPr>
              <w:t>Christian MOOS</w:t>
            </w:r>
            <w:r w:rsidRPr="00112BD9">
              <w:rPr>
                <w:lang w:val="sl-SI"/>
              </w:rPr>
              <w:t xml:space="preserve"> (skupina organizacij civilne družbe – DE)</w:t>
            </w:r>
          </w:p>
        </w:tc>
      </w:tr>
      <w:tr w:rsidRPr="00112BD9" w:rsidR="00112BD9" w:rsidTr="005540B3" w14:paraId="22708D96" w14:textId="77777777">
        <w:tc>
          <w:tcPr>
            <w:tcW w:w="5000" w:type="pct"/>
            <w:gridSpan w:val="2"/>
          </w:tcPr>
          <w:p w:rsidRPr="00112BD9" w:rsidR="00112BD9" w:rsidP="00E67970" w:rsidRDefault="00112BD9" w14:paraId="0CA49EE6" w14:textId="77777777">
            <w:pPr>
              <w:tabs>
                <w:tab w:val="center" w:pos="284"/>
              </w:tabs>
              <w:spacing w:line="264" w:lineRule="auto"/>
              <w:ind w:left="266" w:hanging="266"/>
              <w:rPr>
                <w:szCs w:val="22"/>
                <w:lang w:val="sl-SI"/>
              </w:rPr>
            </w:pPr>
          </w:p>
        </w:tc>
      </w:tr>
      <w:tr w:rsidRPr="00112BD9" w:rsidR="00112BD9" w:rsidTr="005540B3" w14:paraId="458FE76E" w14:textId="77777777">
        <w:tc>
          <w:tcPr>
            <w:tcW w:w="1344" w:type="pct"/>
          </w:tcPr>
          <w:p w:rsidRPr="00112BD9" w:rsidR="00112BD9" w:rsidP="00E67970" w:rsidRDefault="00112BD9" w14:paraId="52F47787" w14:textId="77777777">
            <w:pPr>
              <w:tabs>
                <w:tab w:val="center" w:pos="284"/>
              </w:tabs>
              <w:spacing w:line="264" w:lineRule="auto"/>
              <w:ind w:left="266" w:hanging="266"/>
              <w:rPr>
                <w:b/>
                <w:szCs w:val="22"/>
                <w:lang w:val="sl-SI"/>
              </w:rPr>
            </w:pPr>
            <w:r w:rsidRPr="00112BD9">
              <w:rPr>
                <w:b/>
                <w:lang w:val="sl-SI"/>
              </w:rPr>
              <w:t>Referenčni dokument</w:t>
            </w:r>
          </w:p>
        </w:tc>
        <w:tc>
          <w:tcPr>
            <w:tcW w:w="3656" w:type="pct"/>
          </w:tcPr>
          <w:p w:rsidRPr="00112BD9" w:rsidR="00112BD9" w:rsidP="00E67970" w:rsidRDefault="00112BD9" w14:paraId="4AE7C812" w14:textId="1A4B8354">
            <w:pPr>
              <w:tabs>
                <w:tab w:val="center" w:pos="284"/>
              </w:tabs>
              <w:spacing w:line="264" w:lineRule="auto"/>
              <w:ind w:left="266" w:hanging="266"/>
              <w:jc w:val="left"/>
              <w:rPr>
                <w:lang w:val="sl-SI"/>
              </w:rPr>
            </w:pPr>
            <w:r>
              <w:rPr>
                <w:lang w:val="sl-SI"/>
              </w:rPr>
              <w:t>m</w:t>
            </w:r>
            <w:r w:rsidRPr="00112BD9">
              <w:rPr>
                <w:lang w:val="sl-SI"/>
              </w:rPr>
              <w:t>nenje na lastno pobudo</w:t>
            </w:r>
          </w:p>
          <w:p w:rsidRPr="00112BD9" w:rsidR="00112BD9" w:rsidP="00E67970" w:rsidRDefault="00112BD9" w14:paraId="079A4D30" w14:textId="5E966684">
            <w:pPr>
              <w:tabs>
                <w:tab w:val="center" w:pos="284"/>
              </w:tabs>
              <w:spacing w:line="264" w:lineRule="auto"/>
              <w:ind w:left="266" w:hanging="266"/>
              <w:jc w:val="left"/>
              <w:rPr>
                <w:szCs w:val="22"/>
                <w:lang w:val="sl-SI"/>
              </w:rPr>
            </w:pPr>
            <w:r w:rsidRPr="00112BD9">
              <w:rPr>
                <w:lang w:val="sl-SI"/>
              </w:rPr>
              <w:t>EESC-2024-03182-00-00-AC</w:t>
            </w:r>
          </w:p>
        </w:tc>
      </w:tr>
    </w:tbl>
    <w:p w:rsidRPr="00112BD9" w:rsidR="00112BD9" w:rsidP="00E67970" w:rsidRDefault="00112BD9" w14:paraId="3CAE3B41" w14:textId="77777777">
      <w:pPr>
        <w:tabs>
          <w:tab w:val="center" w:pos="284"/>
        </w:tabs>
        <w:spacing w:line="264" w:lineRule="auto"/>
        <w:ind w:left="266" w:hanging="266"/>
        <w:rPr>
          <w:szCs w:val="22"/>
          <w:lang w:val="sl-SI"/>
        </w:rPr>
      </w:pPr>
    </w:p>
    <w:p w:rsidRPr="00112BD9" w:rsidR="00112BD9" w:rsidP="00E67970" w:rsidRDefault="00112BD9" w14:paraId="032413B8" w14:textId="77777777">
      <w:pPr>
        <w:keepNext/>
        <w:keepLines/>
        <w:tabs>
          <w:tab w:val="center" w:pos="284"/>
        </w:tabs>
        <w:spacing w:line="264" w:lineRule="auto"/>
        <w:ind w:left="266" w:hanging="266"/>
        <w:rPr>
          <w:b/>
          <w:szCs w:val="22"/>
          <w:lang w:val="sl-SI"/>
        </w:rPr>
      </w:pPr>
      <w:r w:rsidRPr="00112BD9">
        <w:rPr>
          <w:b/>
          <w:lang w:val="sl-SI"/>
        </w:rPr>
        <w:t>Glavne točke</w:t>
      </w:r>
    </w:p>
    <w:p w:rsidRPr="00112BD9" w:rsidR="00112BD9" w:rsidP="00E67970" w:rsidRDefault="00112BD9" w14:paraId="1A152AED" w14:textId="77777777">
      <w:pPr>
        <w:keepNext/>
        <w:keepLines/>
        <w:tabs>
          <w:tab w:val="center" w:pos="284"/>
        </w:tabs>
        <w:spacing w:line="264" w:lineRule="auto"/>
        <w:ind w:left="266" w:hanging="266"/>
        <w:rPr>
          <w:b/>
          <w:szCs w:val="22"/>
          <w:lang w:val="sl-SI"/>
        </w:rPr>
      </w:pPr>
    </w:p>
    <w:p w:rsidRPr="00112BD9" w:rsidR="00112BD9" w:rsidP="00E67970" w:rsidRDefault="00112BD9" w14:paraId="391C789A" w14:textId="77777777">
      <w:pPr>
        <w:spacing w:line="264" w:lineRule="auto"/>
        <w:rPr>
          <w:lang w:val="sl-SI"/>
        </w:rPr>
      </w:pPr>
      <w:r w:rsidRPr="00112BD9">
        <w:rPr>
          <w:lang w:val="sl-SI"/>
        </w:rPr>
        <w:t>EESO:</w:t>
      </w:r>
    </w:p>
    <w:p w:rsidRPr="00112BD9" w:rsidR="00112BD9" w:rsidP="00E67970" w:rsidRDefault="00112BD9" w14:paraId="144B86C3" w14:textId="77777777">
      <w:pPr>
        <w:spacing w:line="276" w:lineRule="auto"/>
        <w:rPr>
          <w:bCs/>
          <w:iCs/>
          <w:szCs w:val="22"/>
          <w:lang w:val="sl-SI"/>
        </w:rPr>
      </w:pPr>
    </w:p>
    <w:p w:rsidRPr="00A24E32" w:rsidR="00112BD9" w:rsidP="00E67970" w:rsidRDefault="00112BD9" w14:paraId="307DA003" w14:textId="77777777">
      <w:pPr>
        <w:pStyle w:val="NormalWeb"/>
        <w:numPr>
          <w:ilvl w:val="0"/>
          <w:numId w:val="16"/>
        </w:numPr>
        <w:tabs>
          <w:tab w:val="clear" w:pos="720"/>
          <w:tab w:val="num" w:pos="567"/>
        </w:tabs>
        <w:spacing w:before="0" w:beforeAutospacing="0" w:after="0" w:afterAutospacing="0" w:line="276" w:lineRule="auto"/>
        <w:ind w:left="567" w:hanging="567"/>
        <w:jc w:val="both"/>
        <w:rPr>
          <w:sz w:val="22"/>
          <w:szCs w:val="22"/>
        </w:rPr>
      </w:pPr>
      <w:r w:rsidRPr="00A24E32">
        <w:rPr>
          <w:sz w:val="22"/>
          <w:szCs w:val="22"/>
        </w:rPr>
        <w:t>poudarja, da ima EU v novem institucionalnem ciklu pravo priložnost, da izvede pregled svoje politike za Arktiko. S posodobljeno politiko bi lahko še okrepila svojo vlogo pri spodbujanju odporne in uspešne Arktike, hkrati pa spodbujala tudi strateške interese Evrope na področju zelenega prehoda in varnosti ter spoštovanja človekovih pravic;</w:t>
      </w:r>
    </w:p>
    <w:p w:rsidRPr="00A24E32" w:rsidR="00112BD9" w:rsidP="00E67970" w:rsidRDefault="00112BD9" w14:paraId="5E705D44" w14:textId="77777777">
      <w:pPr>
        <w:pStyle w:val="NormalWeb"/>
        <w:numPr>
          <w:ilvl w:val="0"/>
          <w:numId w:val="16"/>
        </w:numPr>
        <w:tabs>
          <w:tab w:val="clear" w:pos="720"/>
          <w:tab w:val="num" w:pos="567"/>
        </w:tabs>
        <w:spacing w:before="0" w:beforeAutospacing="0" w:after="0" w:afterAutospacing="0" w:line="276" w:lineRule="auto"/>
        <w:ind w:left="567" w:hanging="567"/>
        <w:jc w:val="both"/>
        <w:rPr>
          <w:sz w:val="22"/>
          <w:szCs w:val="22"/>
        </w:rPr>
      </w:pPr>
      <w:r w:rsidRPr="00A24E32">
        <w:rPr>
          <w:sz w:val="22"/>
          <w:szCs w:val="22"/>
        </w:rPr>
        <w:t>poudarja, da mora civilna družba v večji meri sodelovati pri sprejemanju odločitev v zvezi z Arktiko, saj se bosta s tem izboljšali kakovost in legitimnost daljnosežnih odločitev, ki vplivajo na regijo;</w:t>
      </w:r>
    </w:p>
    <w:p w:rsidRPr="00A24E32" w:rsidR="00112BD9" w:rsidP="00E67970" w:rsidRDefault="00112BD9" w14:paraId="17B6F32A" w14:textId="77777777">
      <w:pPr>
        <w:pStyle w:val="NormalWeb"/>
        <w:numPr>
          <w:ilvl w:val="0"/>
          <w:numId w:val="16"/>
        </w:numPr>
        <w:tabs>
          <w:tab w:val="clear" w:pos="720"/>
          <w:tab w:val="num" w:pos="567"/>
        </w:tabs>
        <w:spacing w:before="0" w:beforeAutospacing="0" w:after="0" w:afterAutospacing="0" w:line="276" w:lineRule="auto"/>
        <w:ind w:left="567" w:hanging="567"/>
        <w:jc w:val="both"/>
        <w:rPr>
          <w:sz w:val="22"/>
          <w:szCs w:val="22"/>
        </w:rPr>
      </w:pPr>
      <w:r w:rsidRPr="00A24E32">
        <w:rPr>
          <w:sz w:val="22"/>
          <w:szCs w:val="22"/>
        </w:rPr>
        <w:t>predlaga, da se v okviru posodobljene strategije EU izvede sistematični pregled stanja, da bi ocenili, kako arktični deležniki dojemajo ter uporabljajo sredstva in instrumente EU. Ta pregled bi moral:</w:t>
      </w:r>
    </w:p>
    <w:p w:rsidRPr="00E67970" w:rsidR="00112BD9" w:rsidP="00E67970" w:rsidRDefault="00112BD9" w14:paraId="609B5697" w14:textId="77777777">
      <w:pPr>
        <w:pStyle w:val="NormalWeb"/>
        <w:numPr>
          <w:ilvl w:val="0"/>
          <w:numId w:val="17"/>
        </w:numPr>
        <w:spacing w:before="0" w:beforeAutospacing="0" w:after="0" w:afterAutospacing="0" w:line="276" w:lineRule="auto"/>
        <w:ind w:left="1134" w:hanging="567"/>
        <w:jc w:val="both"/>
        <w:rPr>
          <w:sz w:val="22"/>
          <w:szCs w:val="22"/>
        </w:rPr>
      </w:pPr>
      <w:r w:rsidRPr="00E67970">
        <w:rPr>
          <w:sz w:val="22"/>
          <w:szCs w:val="22"/>
        </w:rPr>
        <w:t>temeljiti na prispevku različnih predstavnikov civilne družbe;</w:t>
      </w:r>
    </w:p>
    <w:p w:rsidRPr="00E67970" w:rsidR="00112BD9" w:rsidP="00E67970" w:rsidRDefault="00112BD9" w14:paraId="4255D1DF" w14:textId="77777777">
      <w:pPr>
        <w:pStyle w:val="NormalWeb"/>
        <w:numPr>
          <w:ilvl w:val="0"/>
          <w:numId w:val="17"/>
        </w:numPr>
        <w:spacing w:before="0" w:beforeAutospacing="0" w:after="0" w:afterAutospacing="0" w:line="276" w:lineRule="auto"/>
        <w:ind w:left="1134" w:hanging="567"/>
        <w:jc w:val="both"/>
        <w:rPr>
          <w:sz w:val="22"/>
          <w:szCs w:val="22"/>
        </w:rPr>
      </w:pPr>
      <w:r w:rsidRPr="00E67970">
        <w:rPr>
          <w:sz w:val="22"/>
          <w:szCs w:val="22"/>
        </w:rPr>
        <w:t>biti usmerjen v poenostavitev postopkov za upravičence ali pomoč lokalnim skupnostim pri obvladovanju zahtev;</w:t>
      </w:r>
    </w:p>
    <w:p w:rsidRPr="00E67970" w:rsidR="00112BD9" w:rsidP="00E67970" w:rsidRDefault="00112BD9" w14:paraId="71612AE1" w14:textId="77777777">
      <w:pPr>
        <w:pStyle w:val="NormalWeb"/>
        <w:numPr>
          <w:ilvl w:val="0"/>
          <w:numId w:val="17"/>
        </w:numPr>
        <w:spacing w:before="0" w:beforeAutospacing="0" w:after="0" w:afterAutospacing="0" w:line="276" w:lineRule="auto"/>
        <w:ind w:left="1134" w:hanging="567"/>
        <w:jc w:val="both"/>
        <w:rPr>
          <w:sz w:val="22"/>
          <w:szCs w:val="22"/>
        </w:rPr>
      </w:pPr>
      <w:r w:rsidRPr="00E67970">
        <w:rPr>
          <w:sz w:val="22"/>
          <w:szCs w:val="22"/>
        </w:rPr>
        <w:t>pojasniti, ali je na voljo dovolj sredstev in ustreznih programov, da se na Arktiki podprejo strateški cilji EU;</w:t>
      </w:r>
    </w:p>
    <w:p w:rsidRPr="00E67970" w:rsidR="00112BD9" w:rsidP="00E67970" w:rsidRDefault="00112BD9" w14:paraId="37B6F5E5" w14:textId="77777777">
      <w:pPr>
        <w:pStyle w:val="NormalWeb"/>
        <w:numPr>
          <w:ilvl w:val="0"/>
          <w:numId w:val="16"/>
        </w:numPr>
        <w:tabs>
          <w:tab w:val="clear" w:pos="720"/>
          <w:tab w:val="num" w:pos="567"/>
        </w:tabs>
        <w:spacing w:before="0" w:beforeAutospacing="0" w:after="0" w:afterAutospacing="0" w:line="276" w:lineRule="auto"/>
        <w:ind w:left="567" w:hanging="567"/>
        <w:jc w:val="both"/>
        <w:rPr>
          <w:sz w:val="22"/>
          <w:szCs w:val="22"/>
        </w:rPr>
      </w:pPr>
      <w:r w:rsidRPr="00E67970">
        <w:rPr>
          <w:sz w:val="22"/>
          <w:szCs w:val="22"/>
        </w:rPr>
        <w:t>poziva oblikovalce politik za Arktiko na vseh ravneh, naj dosledno izvajajo pravne obveznosti ter sprejmejo najboljše prakse za vključevanje in krepitev vloge vseh delov lokalne civilne družbe, vključno z domorodnimi ljudstvi, ter posvetovanje z njimi;</w:t>
      </w:r>
    </w:p>
    <w:p w:rsidRPr="00E67970" w:rsidR="00112BD9" w:rsidP="00E67970" w:rsidRDefault="00112BD9" w14:paraId="01042B49" w14:textId="77777777">
      <w:pPr>
        <w:pStyle w:val="NormalWeb"/>
        <w:numPr>
          <w:ilvl w:val="0"/>
          <w:numId w:val="16"/>
        </w:numPr>
        <w:tabs>
          <w:tab w:val="clear" w:pos="720"/>
          <w:tab w:val="num" w:pos="567"/>
        </w:tabs>
        <w:spacing w:before="0" w:beforeAutospacing="0" w:after="0" w:afterAutospacing="0" w:line="276" w:lineRule="auto"/>
        <w:ind w:left="567" w:hanging="567"/>
        <w:jc w:val="both"/>
        <w:rPr>
          <w:sz w:val="22"/>
          <w:szCs w:val="22"/>
        </w:rPr>
      </w:pPr>
      <w:r w:rsidRPr="00E67970">
        <w:rPr>
          <w:sz w:val="22"/>
          <w:szCs w:val="22"/>
        </w:rPr>
        <w:t>poudarja, da bi morali naložbe in projekti koristiti lokalnim skupnostim in da je treba zagotoviti, da bodo imeli vsi deli teh skupnosti, vključno z domorodnimi ljudstvi, mladimi in ženskami, dovolj sredstev za sodelovanje pri odločanju;</w:t>
      </w:r>
    </w:p>
    <w:p w:rsidRPr="00E67970" w:rsidR="00112BD9" w:rsidP="00E67970" w:rsidRDefault="00112BD9" w14:paraId="17FD41E0" w14:textId="77777777">
      <w:pPr>
        <w:pStyle w:val="NormalWeb"/>
        <w:numPr>
          <w:ilvl w:val="0"/>
          <w:numId w:val="16"/>
        </w:numPr>
        <w:tabs>
          <w:tab w:val="clear" w:pos="720"/>
          <w:tab w:val="num" w:pos="567"/>
        </w:tabs>
        <w:spacing w:before="0" w:beforeAutospacing="0" w:after="0" w:afterAutospacing="0" w:line="276" w:lineRule="auto"/>
        <w:ind w:left="567" w:hanging="567"/>
        <w:jc w:val="both"/>
        <w:rPr>
          <w:sz w:val="22"/>
          <w:szCs w:val="22"/>
        </w:rPr>
      </w:pPr>
      <w:r w:rsidRPr="00E67970">
        <w:rPr>
          <w:sz w:val="22"/>
          <w:szCs w:val="22"/>
        </w:rPr>
        <w:t>poudarja, da je nujno poenostaviti postopke izdajanja dovoljenj za projekte, povezane z energijo iz obnovljivih virov in pridobivanjem surovin, potrebnih za zeleni prehod. Njihovo učinkovitost bi morali povečati, ne da bi se s tem odpovedali nadzoru na področju okolja, sociale in gospodarstva;</w:t>
      </w:r>
    </w:p>
    <w:p w:rsidRPr="00E67970" w:rsidR="00112BD9" w:rsidP="00E67970" w:rsidRDefault="00112BD9" w14:paraId="69D4E43F" w14:textId="77777777">
      <w:pPr>
        <w:pStyle w:val="NormalWeb"/>
        <w:numPr>
          <w:ilvl w:val="0"/>
          <w:numId w:val="16"/>
        </w:numPr>
        <w:tabs>
          <w:tab w:val="clear" w:pos="720"/>
          <w:tab w:val="num" w:pos="567"/>
        </w:tabs>
        <w:spacing w:before="0" w:beforeAutospacing="0" w:after="0" w:afterAutospacing="0" w:line="276" w:lineRule="auto"/>
        <w:ind w:left="567" w:hanging="567"/>
        <w:jc w:val="both"/>
        <w:rPr>
          <w:sz w:val="22"/>
          <w:szCs w:val="22"/>
        </w:rPr>
      </w:pPr>
      <w:r w:rsidRPr="00E67970">
        <w:rPr>
          <w:sz w:val="22"/>
          <w:szCs w:val="22"/>
        </w:rPr>
        <w:t>priporoča okrepitev sodelovanja EU z Grenlandijo, da se diverzificira dostop do kritičnih mineralov in spodbuja partnerstvo na podlagi demokracije, pravne države in človekovih pravic. Poziva, naj se to sodelovanje pri prihodnjih pogajanjih o večletnem finančnem okviru obravnava prednostno.</w:t>
      </w:r>
    </w:p>
    <w:p w:rsidRPr="00112BD9" w:rsidR="00112BD9" w:rsidP="00E67970" w:rsidRDefault="00112BD9" w14:paraId="2745413B" w14:textId="77777777">
      <w:pPr>
        <w:widowControl w:val="0"/>
        <w:spacing w:line="264" w:lineRule="auto"/>
        <w:ind w:left="709"/>
        <w:rPr>
          <w:bCs/>
          <w:iCs/>
          <w:szCs w:val="22"/>
          <w:lang w:val="sl-SI"/>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112BD9" w:rsidR="00112BD9" w:rsidTr="005540B3" w14:paraId="1D7935AA" w14:textId="77777777">
        <w:tc>
          <w:tcPr>
            <w:tcW w:w="1556" w:type="pct"/>
          </w:tcPr>
          <w:p w:rsidRPr="00112BD9" w:rsidR="00112BD9" w:rsidP="00E67970" w:rsidRDefault="00112BD9" w14:paraId="26E44BA7" w14:textId="77777777">
            <w:pPr>
              <w:spacing w:line="264" w:lineRule="auto"/>
              <w:rPr>
                <w:i/>
                <w:szCs w:val="22"/>
                <w:lang w:val="sl-SI"/>
              </w:rPr>
            </w:pPr>
            <w:r w:rsidRPr="00112BD9">
              <w:rPr>
                <w:b/>
                <w:i/>
                <w:szCs w:val="22"/>
                <w:lang w:val="sl-SI"/>
              </w:rPr>
              <w:t>Kontaktna oseba</w:t>
            </w:r>
          </w:p>
        </w:tc>
        <w:tc>
          <w:tcPr>
            <w:tcW w:w="3444" w:type="pct"/>
          </w:tcPr>
          <w:p w:rsidRPr="00112BD9" w:rsidR="00112BD9" w:rsidP="00E67970" w:rsidRDefault="00112BD9" w14:paraId="1F3709A1" w14:textId="77777777">
            <w:pPr>
              <w:spacing w:line="264" w:lineRule="auto"/>
              <w:rPr>
                <w:i/>
                <w:szCs w:val="22"/>
                <w:lang w:val="sl-SI"/>
              </w:rPr>
            </w:pPr>
            <w:r w:rsidRPr="00112BD9">
              <w:rPr>
                <w:i/>
                <w:szCs w:val="22"/>
                <w:lang w:val="sl-SI"/>
              </w:rPr>
              <w:t>Maarit LAURILA</w:t>
            </w:r>
          </w:p>
        </w:tc>
      </w:tr>
      <w:tr w:rsidRPr="00112BD9" w:rsidR="00112BD9" w:rsidTr="005540B3" w14:paraId="1BCCAE16" w14:textId="77777777">
        <w:tc>
          <w:tcPr>
            <w:tcW w:w="1556" w:type="pct"/>
          </w:tcPr>
          <w:p w:rsidRPr="00112BD9" w:rsidR="00112BD9" w:rsidP="00E67970" w:rsidRDefault="00112BD9" w14:paraId="4E0C7BDF" w14:textId="77777777">
            <w:pPr>
              <w:spacing w:line="264" w:lineRule="auto"/>
              <w:rPr>
                <w:i/>
                <w:szCs w:val="22"/>
                <w:lang w:val="sl-SI"/>
              </w:rPr>
            </w:pPr>
            <w:r w:rsidRPr="00112BD9">
              <w:rPr>
                <w:i/>
                <w:szCs w:val="22"/>
                <w:lang w:val="sl-SI"/>
              </w:rPr>
              <w:t>Telefon</w:t>
            </w:r>
          </w:p>
        </w:tc>
        <w:tc>
          <w:tcPr>
            <w:tcW w:w="3444" w:type="pct"/>
          </w:tcPr>
          <w:p w:rsidRPr="00112BD9" w:rsidR="00112BD9" w:rsidP="00E67970" w:rsidRDefault="00112BD9" w14:paraId="4FF8EDEE" w14:textId="77777777">
            <w:pPr>
              <w:spacing w:line="264" w:lineRule="auto"/>
              <w:rPr>
                <w:i/>
                <w:szCs w:val="22"/>
                <w:lang w:val="sl-SI"/>
              </w:rPr>
            </w:pPr>
            <w:r w:rsidRPr="00112BD9">
              <w:rPr>
                <w:i/>
                <w:szCs w:val="22"/>
                <w:lang w:val="sl-SI"/>
              </w:rPr>
              <w:t>+32 25469739</w:t>
            </w:r>
          </w:p>
        </w:tc>
      </w:tr>
      <w:tr w:rsidRPr="00112BD9" w:rsidR="00112BD9" w:rsidTr="005540B3" w14:paraId="614DA386" w14:textId="77777777">
        <w:tc>
          <w:tcPr>
            <w:tcW w:w="1556" w:type="pct"/>
          </w:tcPr>
          <w:p w:rsidRPr="00112BD9" w:rsidR="00112BD9" w:rsidP="00E67970" w:rsidRDefault="00112BD9" w14:paraId="163F47AE" w14:textId="77777777">
            <w:pPr>
              <w:spacing w:line="264" w:lineRule="auto"/>
              <w:rPr>
                <w:i/>
                <w:szCs w:val="22"/>
                <w:lang w:val="sl-SI"/>
              </w:rPr>
            </w:pPr>
            <w:r w:rsidRPr="00112BD9">
              <w:rPr>
                <w:i/>
                <w:szCs w:val="22"/>
                <w:lang w:val="sl-SI"/>
              </w:rPr>
              <w:t>E-naslov</w:t>
            </w:r>
          </w:p>
        </w:tc>
        <w:tc>
          <w:tcPr>
            <w:tcW w:w="3444" w:type="pct"/>
          </w:tcPr>
          <w:p w:rsidRPr="00112BD9" w:rsidR="00112BD9" w:rsidP="00E67970" w:rsidRDefault="00112BD9" w14:paraId="14AD8ED8" w14:textId="77777777">
            <w:pPr>
              <w:spacing w:line="264" w:lineRule="auto"/>
              <w:rPr>
                <w:i/>
                <w:iCs/>
                <w:szCs w:val="22"/>
                <w:lang w:val="sl-SI"/>
              </w:rPr>
            </w:pPr>
            <w:hyperlink w:history="1" r:id="rId43">
              <w:r w:rsidRPr="00112BD9">
                <w:rPr>
                  <w:rStyle w:val="Hyperlink"/>
                  <w:rFonts w:eastAsiaTheme="majorEastAsia"/>
                  <w:i/>
                  <w:szCs w:val="22"/>
                  <w:lang w:val="sl-SI"/>
                </w:rPr>
                <w:t>Maarit.Laurila@eesc.europa.eu</w:t>
              </w:r>
            </w:hyperlink>
          </w:p>
        </w:tc>
      </w:tr>
    </w:tbl>
    <w:p w:rsidRPr="00A40A11" w:rsidR="00A40A11" w:rsidP="00D5765D" w:rsidRDefault="00A40A11" w14:paraId="4E511A36" w14:textId="77777777">
      <w:pPr>
        <w:widowControl w:val="0"/>
        <w:numPr>
          <w:ilvl w:val="0"/>
          <w:numId w:val="20"/>
        </w:numPr>
        <w:ind w:hanging="567"/>
        <w:rPr>
          <w:b/>
          <w:bCs/>
          <w:i/>
          <w:iCs/>
          <w:sz w:val="28"/>
          <w:szCs w:val="28"/>
          <w:lang w:val="sl-SI"/>
        </w:rPr>
      </w:pPr>
      <w:hyperlink w:history="1" r:id="rId44">
        <w:r w:rsidRPr="00A40A11">
          <w:rPr>
            <w:rStyle w:val="Hyperlink"/>
            <w:rFonts w:eastAsiaTheme="majorEastAsia"/>
            <w:b/>
            <w:i/>
            <w:sz w:val="28"/>
            <w:lang w:val="sl-SI"/>
          </w:rPr>
          <w:t>Mladi na sredozemskem območju</w:t>
        </w:r>
      </w:hyperlink>
    </w:p>
    <w:p w:rsidRPr="00A40A11" w:rsidR="00A40A11" w:rsidP="00A40A11" w:rsidRDefault="00A40A11" w14:paraId="186760B0" w14:textId="77777777">
      <w:pPr>
        <w:tabs>
          <w:tab w:val="center" w:pos="284"/>
        </w:tabs>
        <w:ind w:left="266" w:hanging="266"/>
        <w:rPr>
          <w:b/>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9"/>
        <w:gridCol w:w="6662"/>
      </w:tblGrid>
      <w:tr w:rsidRPr="00A40A11" w:rsidR="00A40A11" w:rsidTr="005540B3" w14:paraId="114CFD63" w14:textId="77777777">
        <w:tc>
          <w:tcPr>
            <w:tcW w:w="1328" w:type="pct"/>
          </w:tcPr>
          <w:p w:rsidRPr="00A40A11" w:rsidR="00A40A11" w:rsidP="00A40A11" w:rsidRDefault="00A40A11" w14:paraId="50F4F5F6" w14:textId="77777777">
            <w:pPr>
              <w:tabs>
                <w:tab w:val="center" w:pos="284"/>
              </w:tabs>
              <w:ind w:left="266" w:hanging="266"/>
              <w:rPr>
                <w:b/>
                <w:szCs w:val="22"/>
                <w:lang w:val="sl-SI"/>
              </w:rPr>
            </w:pPr>
            <w:r w:rsidRPr="00A40A11">
              <w:rPr>
                <w:b/>
                <w:lang w:val="sl-SI"/>
              </w:rPr>
              <w:t>Poročevalec</w:t>
            </w:r>
          </w:p>
        </w:tc>
        <w:tc>
          <w:tcPr>
            <w:tcW w:w="3672" w:type="pct"/>
          </w:tcPr>
          <w:p w:rsidRPr="00A40A11" w:rsidR="00A40A11" w:rsidP="00A40A11" w:rsidRDefault="00A40A11" w14:paraId="608CB6C8" w14:textId="77777777">
            <w:pPr>
              <w:tabs>
                <w:tab w:val="center" w:pos="284"/>
              </w:tabs>
              <w:ind w:left="266" w:hanging="266"/>
              <w:rPr>
                <w:szCs w:val="22"/>
                <w:lang w:val="sl-SI"/>
              </w:rPr>
            </w:pPr>
            <w:r w:rsidRPr="00A40A11">
              <w:rPr>
                <w:lang w:val="sl-SI"/>
              </w:rPr>
              <w:t>Thomas WAGNSONNER (skupina delojemalcev – AT)</w:t>
            </w:r>
          </w:p>
        </w:tc>
      </w:tr>
      <w:tr w:rsidRPr="00A40A11" w:rsidR="00A40A11" w:rsidTr="005540B3" w14:paraId="2C8408F5" w14:textId="77777777">
        <w:tc>
          <w:tcPr>
            <w:tcW w:w="1328" w:type="pct"/>
          </w:tcPr>
          <w:p w:rsidRPr="00A40A11" w:rsidR="00A40A11" w:rsidP="00A40A11" w:rsidRDefault="00A40A11" w14:paraId="51A17390" w14:textId="77777777">
            <w:pPr>
              <w:tabs>
                <w:tab w:val="center" w:pos="284"/>
              </w:tabs>
              <w:ind w:left="266" w:hanging="266"/>
              <w:rPr>
                <w:b/>
                <w:szCs w:val="22"/>
                <w:lang w:val="sl-SI"/>
              </w:rPr>
            </w:pPr>
            <w:r w:rsidRPr="00A40A11">
              <w:rPr>
                <w:b/>
                <w:lang w:val="sl-SI"/>
              </w:rPr>
              <w:t>Soporočevalka</w:t>
            </w:r>
          </w:p>
        </w:tc>
        <w:tc>
          <w:tcPr>
            <w:tcW w:w="3672" w:type="pct"/>
          </w:tcPr>
          <w:p w:rsidRPr="00A40A11" w:rsidR="00A40A11" w:rsidP="00A40A11" w:rsidRDefault="00A40A11" w14:paraId="39DB48C9" w14:textId="77777777">
            <w:pPr>
              <w:tabs>
                <w:tab w:val="center" w:pos="284"/>
              </w:tabs>
              <w:ind w:left="266" w:hanging="266"/>
              <w:jc w:val="left"/>
              <w:rPr>
                <w:szCs w:val="22"/>
                <w:lang w:val="sl-SI"/>
              </w:rPr>
            </w:pPr>
            <w:r w:rsidRPr="00A40A11">
              <w:rPr>
                <w:lang w:val="sl-SI"/>
              </w:rPr>
              <w:t>Lidija PAVIĆ-ROGOŠIĆ (skupina organizacij civilne družbe – HR)</w:t>
            </w:r>
          </w:p>
        </w:tc>
      </w:tr>
      <w:tr w:rsidRPr="00A40A11" w:rsidR="00A40A11" w:rsidTr="005540B3" w14:paraId="3C3AD27D" w14:textId="77777777">
        <w:tc>
          <w:tcPr>
            <w:tcW w:w="5000" w:type="pct"/>
            <w:gridSpan w:val="2"/>
          </w:tcPr>
          <w:p w:rsidRPr="00A40A11" w:rsidR="00A40A11" w:rsidP="00A40A11" w:rsidRDefault="00A40A11" w14:paraId="605872D9" w14:textId="77777777">
            <w:pPr>
              <w:tabs>
                <w:tab w:val="center" w:pos="284"/>
              </w:tabs>
              <w:ind w:left="266" w:hanging="266"/>
              <w:rPr>
                <w:szCs w:val="22"/>
                <w:lang w:val="sl-SI"/>
              </w:rPr>
            </w:pPr>
          </w:p>
        </w:tc>
      </w:tr>
      <w:tr w:rsidRPr="00A40A11" w:rsidR="00A40A11" w:rsidTr="005540B3" w14:paraId="15EA9186" w14:textId="77777777">
        <w:tc>
          <w:tcPr>
            <w:tcW w:w="1328" w:type="pct"/>
            <w:vMerge w:val="restart"/>
          </w:tcPr>
          <w:p w:rsidRPr="00A40A11" w:rsidR="00A40A11" w:rsidP="00A40A11" w:rsidRDefault="00A40A11" w14:paraId="37A9CF37" w14:textId="3E7F6636">
            <w:pPr>
              <w:tabs>
                <w:tab w:val="center" w:pos="284"/>
              </w:tabs>
              <w:ind w:left="266" w:hanging="266"/>
              <w:rPr>
                <w:b/>
                <w:szCs w:val="22"/>
                <w:lang w:val="sl-SI"/>
              </w:rPr>
            </w:pPr>
            <w:r w:rsidRPr="00A40A11">
              <w:rPr>
                <w:b/>
                <w:lang w:val="sl-SI"/>
              </w:rPr>
              <w:t>Referenčn</w:t>
            </w:r>
            <w:r w:rsidR="007C1213">
              <w:rPr>
                <w:b/>
                <w:lang w:val="sl-SI"/>
              </w:rPr>
              <w:t>i</w:t>
            </w:r>
            <w:r w:rsidRPr="00A40A11">
              <w:rPr>
                <w:b/>
                <w:lang w:val="sl-SI"/>
              </w:rPr>
              <w:t xml:space="preserve"> dokument</w:t>
            </w:r>
          </w:p>
        </w:tc>
        <w:tc>
          <w:tcPr>
            <w:tcW w:w="3672" w:type="pct"/>
          </w:tcPr>
          <w:p w:rsidRPr="00A40A11" w:rsidR="00A40A11" w:rsidP="00A40A11" w:rsidRDefault="005741AF" w14:paraId="087F479A" w14:textId="45BB7659">
            <w:pPr>
              <w:tabs>
                <w:tab w:val="center" w:pos="284"/>
              </w:tabs>
              <w:ind w:left="266" w:hanging="266"/>
              <w:rPr>
                <w:szCs w:val="22"/>
                <w:lang w:val="sl-SI"/>
              </w:rPr>
            </w:pPr>
            <w:r>
              <w:rPr>
                <w:szCs w:val="22"/>
                <w:lang w:val="sl-SI"/>
              </w:rPr>
              <w:t>mnenje na lastno pobudo</w:t>
            </w:r>
          </w:p>
        </w:tc>
      </w:tr>
      <w:tr w:rsidRPr="00A40A11" w:rsidR="00A40A11" w:rsidTr="005540B3" w14:paraId="1D96B547" w14:textId="77777777">
        <w:tc>
          <w:tcPr>
            <w:tcW w:w="1328" w:type="pct"/>
            <w:vMerge/>
          </w:tcPr>
          <w:p w:rsidRPr="00A40A11" w:rsidR="00A40A11" w:rsidP="00A40A11" w:rsidRDefault="00A40A11" w14:paraId="62DD8C75" w14:textId="77777777">
            <w:pPr>
              <w:tabs>
                <w:tab w:val="center" w:pos="284"/>
              </w:tabs>
              <w:ind w:left="266" w:hanging="266"/>
              <w:rPr>
                <w:b/>
                <w:szCs w:val="22"/>
                <w:lang w:val="sl-SI"/>
              </w:rPr>
            </w:pPr>
          </w:p>
        </w:tc>
        <w:tc>
          <w:tcPr>
            <w:tcW w:w="3672" w:type="pct"/>
          </w:tcPr>
          <w:p w:rsidRPr="00A40A11" w:rsidR="00A40A11" w:rsidP="00A40A11" w:rsidRDefault="005741AF" w14:paraId="686248FB" w14:textId="44FE4FB3">
            <w:pPr>
              <w:tabs>
                <w:tab w:val="center" w:pos="284"/>
              </w:tabs>
              <w:ind w:left="266" w:hanging="266"/>
              <w:rPr>
                <w:szCs w:val="22"/>
                <w:lang w:val="sl-SI"/>
              </w:rPr>
            </w:pPr>
            <w:r w:rsidRPr="00A40A11">
              <w:rPr>
                <w:lang w:val="sl-SI"/>
              </w:rPr>
              <w:t>EESC-2024-00515-00-00-AC</w:t>
            </w:r>
          </w:p>
        </w:tc>
      </w:tr>
    </w:tbl>
    <w:p w:rsidRPr="00A40A11" w:rsidR="00A40A11" w:rsidP="00A40A11" w:rsidRDefault="00A40A11" w14:paraId="39B53471" w14:textId="77777777">
      <w:pPr>
        <w:keepNext/>
        <w:keepLines/>
        <w:tabs>
          <w:tab w:val="center" w:pos="284"/>
        </w:tabs>
        <w:ind w:left="266" w:hanging="266"/>
        <w:rPr>
          <w:b/>
          <w:szCs w:val="22"/>
          <w:lang w:val="sl-SI"/>
        </w:rPr>
      </w:pPr>
    </w:p>
    <w:p w:rsidRPr="00A40A11" w:rsidR="00A40A11" w:rsidP="00A40A11" w:rsidRDefault="00A40A11" w14:paraId="77A9B01C" w14:textId="77777777">
      <w:pPr>
        <w:keepNext/>
        <w:keepLines/>
        <w:tabs>
          <w:tab w:val="center" w:pos="284"/>
        </w:tabs>
        <w:ind w:left="266" w:hanging="266"/>
        <w:rPr>
          <w:b/>
          <w:szCs w:val="22"/>
          <w:lang w:val="sl-SI"/>
        </w:rPr>
      </w:pPr>
      <w:r w:rsidRPr="00A40A11">
        <w:rPr>
          <w:b/>
          <w:lang w:val="sl-SI"/>
        </w:rPr>
        <w:t>Glavne točke</w:t>
      </w:r>
    </w:p>
    <w:p w:rsidRPr="00A40A11" w:rsidR="00A40A11" w:rsidP="00A40A11" w:rsidRDefault="00A40A11" w14:paraId="43D612F0" w14:textId="77777777">
      <w:pPr>
        <w:keepNext/>
        <w:keepLines/>
        <w:tabs>
          <w:tab w:val="center" w:pos="284"/>
        </w:tabs>
        <w:ind w:left="266" w:hanging="266"/>
        <w:rPr>
          <w:b/>
          <w:szCs w:val="22"/>
          <w:lang w:val="sl-SI"/>
        </w:rPr>
      </w:pPr>
    </w:p>
    <w:p w:rsidRPr="00A40A11" w:rsidR="00A40A11" w:rsidP="00A40A11" w:rsidRDefault="00A40A11" w14:paraId="06A16944" w14:textId="77777777">
      <w:pPr>
        <w:rPr>
          <w:bCs/>
          <w:iCs/>
          <w:szCs w:val="22"/>
          <w:lang w:val="sl-SI"/>
        </w:rPr>
      </w:pPr>
      <w:r w:rsidRPr="00A40A11">
        <w:rPr>
          <w:lang w:val="sl-SI"/>
        </w:rPr>
        <w:t>EESO:</w:t>
      </w:r>
    </w:p>
    <w:p w:rsidRPr="00A40A11" w:rsidR="00A40A11" w:rsidP="00A40A11" w:rsidRDefault="00A40A11" w14:paraId="795014A4" w14:textId="77777777">
      <w:pPr>
        <w:rPr>
          <w:bCs/>
          <w:iCs/>
          <w:szCs w:val="22"/>
          <w:lang w:val="sl-SI"/>
        </w:rPr>
      </w:pPr>
    </w:p>
    <w:p w:rsidRPr="00A40A11" w:rsidR="00A40A11" w:rsidP="00D5765D" w:rsidRDefault="00A40A11" w14:paraId="1034C799" w14:textId="77777777">
      <w:pPr>
        <w:widowControl w:val="0"/>
        <w:numPr>
          <w:ilvl w:val="0"/>
          <w:numId w:val="19"/>
        </w:numPr>
        <w:ind w:left="567" w:hanging="567"/>
        <w:rPr>
          <w:bCs/>
          <w:iCs/>
          <w:szCs w:val="22"/>
          <w:lang w:val="sl-SI"/>
        </w:rPr>
      </w:pPr>
      <w:r w:rsidRPr="00A40A11">
        <w:rPr>
          <w:lang w:val="sl-SI"/>
        </w:rPr>
        <w:t xml:space="preserve">priporoča, naj bodo </w:t>
      </w:r>
      <w:r w:rsidRPr="00A40A11">
        <w:rPr>
          <w:b/>
          <w:lang w:val="sl-SI"/>
        </w:rPr>
        <w:t>predstavniki mladih vključeni</w:t>
      </w:r>
      <w:r w:rsidRPr="00A40A11">
        <w:rPr>
          <w:lang w:val="sl-SI"/>
        </w:rPr>
        <w:t xml:space="preserve"> v </w:t>
      </w:r>
      <w:r w:rsidRPr="00A40A11">
        <w:rPr>
          <w:b/>
          <w:lang w:val="sl-SI"/>
        </w:rPr>
        <w:t>vse pravne dejavnosti v zvezi z mladimi</w:t>
      </w:r>
      <w:r w:rsidRPr="00A40A11">
        <w:rPr>
          <w:lang w:val="sl-SI"/>
        </w:rPr>
        <w:t xml:space="preserve"> in naj bodo mladi vključeni v </w:t>
      </w:r>
      <w:r w:rsidRPr="00A40A11">
        <w:rPr>
          <w:b/>
          <w:lang w:val="sl-SI"/>
        </w:rPr>
        <w:t>vse faze postopka oblikovanja politik</w:t>
      </w:r>
      <w:r w:rsidRPr="00A40A11">
        <w:rPr>
          <w:lang w:val="sl-SI"/>
        </w:rPr>
        <w:t xml:space="preserve">, od odločanja do izvajanja in ocenjevanja politik; </w:t>
      </w:r>
    </w:p>
    <w:p w:rsidRPr="00A40A11" w:rsidR="00A40A11" w:rsidP="00D5765D" w:rsidRDefault="00A40A11" w14:paraId="53DA0156" w14:textId="77777777">
      <w:pPr>
        <w:widowControl w:val="0"/>
        <w:numPr>
          <w:ilvl w:val="0"/>
          <w:numId w:val="19"/>
        </w:numPr>
        <w:ind w:left="567" w:hanging="567"/>
        <w:rPr>
          <w:bCs/>
          <w:iCs/>
          <w:szCs w:val="22"/>
          <w:lang w:val="sl-SI"/>
        </w:rPr>
      </w:pPr>
      <w:r w:rsidRPr="00A40A11">
        <w:rPr>
          <w:lang w:val="sl-SI"/>
        </w:rPr>
        <w:t xml:space="preserve">meni, da </w:t>
      </w:r>
      <w:r w:rsidRPr="00A40A11">
        <w:rPr>
          <w:b/>
          <w:lang w:val="sl-SI"/>
        </w:rPr>
        <w:t>bi</w:t>
      </w:r>
      <w:r w:rsidRPr="00A40A11">
        <w:rPr>
          <w:lang w:val="sl-SI"/>
        </w:rPr>
        <w:t xml:space="preserve"> </w:t>
      </w:r>
      <w:r w:rsidRPr="00A40A11">
        <w:rPr>
          <w:b/>
          <w:lang w:val="sl-SI"/>
        </w:rPr>
        <w:t>morali z izobraževalnimi sistemi</w:t>
      </w:r>
      <w:r w:rsidRPr="00A40A11">
        <w:rPr>
          <w:lang w:val="sl-SI"/>
        </w:rPr>
        <w:t xml:space="preserve"> bolj </w:t>
      </w:r>
      <w:r w:rsidRPr="00A40A11">
        <w:rPr>
          <w:b/>
          <w:lang w:val="sl-SI"/>
        </w:rPr>
        <w:t>spodbujati državljansko udejstvovanje</w:t>
      </w:r>
      <w:r w:rsidRPr="00A40A11">
        <w:rPr>
          <w:lang w:val="sl-SI"/>
        </w:rPr>
        <w:t xml:space="preserve"> v okviru </w:t>
      </w:r>
      <w:r w:rsidRPr="00A40A11">
        <w:rPr>
          <w:b/>
          <w:lang w:val="sl-SI"/>
        </w:rPr>
        <w:t>participativnih procesov</w:t>
      </w:r>
      <w:r w:rsidRPr="00A40A11">
        <w:rPr>
          <w:lang w:val="sl-SI"/>
        </w:rPr>
        <w:t xml:space="preserve"> ter vzpostaviti </w:t>
      </w:r>
      <w:r w:rsidRPr="00A40A11">
        <w:rPr>
          <w:b/>
          <w:lang w:val="sl-SI"/>
        </w:rPr>
        <w:t>podporne sisteme</w:t>
      </w:r>
      <w:r w:rsidRPr="00A40A11">
        <w:rPr>
          <w:lang w:val="sl-SI"/>
        </w:rPr>
        <w:t xml:space="preserve"> za pridobivanje ustreznih spretnosti, da bi se mladi lahko samozavestno vključevali v institucionalne procese;</w:t>
      </w:r>
    </w:p>
    <w:p w:rsidRPr="00A40A11" w:rsidR="00A40A11" w:rsidP="00D5765D" w:rsidRDefault="00A40A11" w14:paraId="6D722864" w14:textId="77777777">
      <w:pPr>
        <w:widowControl w:val="0"/>
        <w:numPr>
          <w:ilvl w:val="0"/>
          <w:numId w:val="19"/>
        </w:numPr>
        <w:ind w:left="567" w:hanging="567"/>
        <w:rPr>
          <w:bCs/>
          <w:iCs/>
          <w:szCs w:val="22"/>
          <w:lang w:val="sl-SI"/>
        </w:rPr>
      </w:pPr>
      <w:r w:rsidRPr="00A40A11">
        <w:rPr>
          <w:lang w:val="sl-SI"/>
        </w:rPr>
        <w:t xml:space="preserve">meni, da </w:t>
      </w:r>
      <w:r w:rsidRPr="00A40A11">
        <w:rPr>
          <w:b/>
          <w:lang w:val="sl-SI"/>
        </w:rPr>
        <w:t>bi morale organizacije civilne družbe</w:t>
      </w:r>
      <w:r w:rsidRPr="00A40A11">
        <w:rPr>
          <w:lang w:val="sl-SI"/>
        </w:rPr>
        <w:t xml:space="preserve"> in </w:t>
      </w:r>
      <w:r w:rsidRPr="00A40A11">
        <w:rPr>
          <w:b/>
          <w:lang w:val="sl-SI"/>
        </w:rPr>
        <w:t>socialnih partnerjev</w:t>
      </w:r>
      <w:r w:rsidRPr="00A40A11">
        <w:rPr>
          <w:lang w:val="sl-SI"/>
        </w:rPr>
        <w:t xml:space="preserve"> </w:t>
      </w:r>
      <w:r w:rsidRPr="00A40A11">
        <w:rPr>
          <w:b/>
          <w:lang w:val="sl-SI"/>
        </w:rPr>
        <w:t>mlade</w:t>
      </w:r>
      <w:r w:rsidRPr="00A40A11">
        <w:rPr>
          <w:lang w:val="sl-SI"/>
        </w:rPr>
        <w:t xml:space="preserve"> dodatno </w:t>
      </w:r>
      <w:r w:rsidRPr="00A40A11">
        <w:rPr>
          <w:b/>
          <w:lang w:val="sl-SI"/>
        </w:rPr>
        <w:t>podpreti</w:t>
      </w:r>
      <w:r w:rsidRPr="00A40A11">
        <w:rPr>
          <w:lang w:val="sl-SI"/>
        </w:rPr>
        <w:t xml:space="preserve"> s pripravo </w:t>
      </w:r>
      <w:r w:rsidRPr="00A40A11">
        <w:rPr>
          <w:b/>
          <w:lang w:val="sl-SI"/>
        </w:rPr>
        <w:t>delavnic za krepitev zmogljivosti</w:t>
      </w:r>
      <w:r w:rsidRPr="00A40A11">
        <w:rPr>
          <w:lang w:val="sl-SI"/>
        </w:rPr>
        <w:t xml:space="preserve">, da bi jim olajšali dostop do sredstev in priložnosti za vključevanje; </w:t>
      </w:r>
    </w:p>
    <w:p w:rsidRPr="00A40A11" w:rsidR="00A40A11" w:rsidP="00D5765D" w:rsidRDefault="00A40A11" w14:paraId="4F847099" w14:textId="77777777">
      <w:pPr>
        <w:widowControl w:val="0"/>
        <w:numPr>
          <w:ilvl w:val="0"/>
          <w:numId w:val="19"/>
        </w:numPr>
        <w:ind w:left="567" w:hanging="567"/>
        <w:rPr>
          <w:bCs/>
          <w:iCs/>
          <w:szCs w:val="22"/>
          <w:lang w:val="sl-SI"/>
        </w:rPr>
      </w:pPr>
      <w:r w:rsidRPr="00A40A11">
        <w:rPr>
          <w:lang w:val="sl-SI"/>
        </w:rPr>
        <w:t xml:space="preserve">poudarja, kako </w:t>
      </w:r>
      <w:r w:rsidRPr="00A40A11">
        <w:rPr>
          <w:b/>
          <w:lang w:val="sl-SI"/>
        </w:rPr>
        <w:t>pomembne so raziskovalne dejavnosti</w:t>
      </w:r>
      <w:r w:rsidRPr="00A40A11">
        <w:rPr>
          <w:lang w:val="sl-SI"/>
        </w:rPr>
        <w:t xml:space="preserve">, ki so osredotočene na </w:t>
      </w:r>
      <w:r w:rsidRPr="00A40A11">
        <w:rPr>
          <w:b/>
          <w:lang w:val="sl-SI"/>
        </w:rPr>
        <w:t>vključenost mladih</w:t>
      </w:r>
      <w:r w:rsidRPr="00A40A11">
        <w:rPr>
          <w:lang w:val="sl-SI"/>
        </w:rPr>
        <w:t xml:space="preserve"> na </w:t>
      </w:r>
      <w:r w:rsidRPr="00A40A11">
        <w:rPr>
          <w:b/>
          <w:lang w:val="sl-SI"/>
        </w:rPr>
        <w:t>trg dela</w:t>
      </w:r>
      <w:r w:rsidRPr="00A40A11">
        <w:rPr>
          <w:lang w:val="sl-SI"/>
        </w:rPr>
        <w:t xml:space="preserve">, v </w:t>
      </w:r>
      <w:r w:rsidRPr="00A40A11">
        <w:rPr>
          <w:b/>
          <w:lang w:val="sl-SI"/>
        </w:rPr>
        <w:t>izobraževanje</w:t>
      </w:r>
      <w:r w:rsidRPr="00A40A11">
        <w:rPr>
          <w:lang w:val="sl-SI"/>
        </w:rPr>
        <w:t xml:space="preserve">, </w:t>
      </w:r>
      <w:r w:rsidRPr="00A40A11">
        <w:rPr>
          <w:b/>
          <w:lang w:val="sl-SI"/>
        </w:rPr>
        <w:t>participativne procese</w:t>
      </w:r>
      <w:r w:rsidRPr="00A40A11">
        <w:rPr>
          <w:lang w:val="sl-SI"/>
        </w:rPr>
        <w:t xml:space="preserve"> in življenje skupnosti; </w:t>
      </w:r>
    </w:p>
    <w:p w:rsidRPr="00A40A11" w:rsidR="00A40A11" w:rsidP="00D5765D" w:rsidRDefault="00A40A11" w14:paraId="26E0898E" w14:textId="77777777">
      <w:pPr>
        <w:widowControl w:val="0"/>
        <w:numPr>
          <w:ilvl w:val="0"/>
          <w:numId w:val="18"/>
        </w:numPr>
        <w:ind w:left="567" w:hanging="567"/>
        <w:rPr>
          <w:bCs/>
          <w:iCs/>
          <w:szCs w:val="22"/>
          <w:lang w:val="sl-SI"/>
        </w:rPr>
      </w:pPr>
      <w:r w:rsidRPr="00A40A11">
        <w:rPr>
          <w:lang w:val="sl-SI"/>
        </w:rPr>
        <w:t xml:space="preserve">poudarja, da je mogoče s </w:t>
      </w:r>
      <w:r w:rsidRPr="00A40A11">
        <w:rPr>
          <w:b/>
          <w:lang w:val="sl-SI"/>
        </w:rPr>
        <w:t>spodbujanjem mladih zaposlenih</w:t>
      </w:r>
      <w:r w:rsidRPr="00A40A11">
        <w:rPr>
          <w:lang w:val="sl-SI"/>
        </w:rPr>
        <w:t xml:space="preserve"> k sodelovanju v </w:t>
      </w:r>
      <w:r w:rsidRPr="00A40A11">
        <w:rPr>
          <w:b/>
          <w:lang w:val="sl-SI"/>
        </w:rPr>
        <w:t>kolektivnih pogajanjih</w:t>
      </w:r>
      <w:r w:rsidRPr="00A40A11">
        <w:rPr>
          <w:lang w:val="sl-SI"/>
        </w:rPr>
        <w:t xml:space="preserve"> in vzpostavljanjem </w:t>
      </w:r>
      <w:r w:rsidRPr="00A40A11">
        <w:rPr>
          <w:b/>
          <w:lang w:val="sl-SI"/>
        </w:rPr>
        <w:t>predstavniških struktur za mlade</w:t>
      </w:r>
      <w:r w:rsidRPr="00A40A11">
        <w:rPr>
          <w:lang w:val="sl-SI"/>
        </w:rPr>
        <w:t xml:space="preserve"> na </w:t>
      </w:r>
      <w:r w:rsidRPr="00A40A11">
        <w:rPr>
          <w:b/>
          <w:lang w:val="sl-SI"/>
        </w:rPr>
        <w:t>ravni podjetij</w:t>
      </w:r>
      <w:r w:rsidRPr="00A40A11">
        <w:rPr>
          <w:lang w:val="sl-SI"/>
        </w:rPr>
        <w:t xml:space="preserve"> udeležbo mladih učinkovito vpeti v strukture socialnega dialoga;</w:t>
      </w:r>
    </w:p>
    <w:p w:rsidRPr="00A40A11" w:rsidR="00A40A11" w:rsidP="00D5765D" w:rsidRDefault="00A40A11" w14:paraId="0F09DC9D" w14:textId="77777777">
      <w:pPr>
        <w:widowControl w:val="0"/>
        <w:numPr>
          <w:ilvl w:val="0"/>
          <w:numId w:val="18"/>
        </w:numPr>
        <w:ind w:left="567" w:hanging="567"/>
        <w:rPr>
          <w:bCs/>
          <w:iCs/>
          <w:szCs w:val="22"/>
          <w:lang w:val="sl-SI"/>
        </w:rPr>
      </w:pPr>
      <w:r w:rsidRPr="00A40A11">
        <w:rPr>
          <w:lang w:val="sl-SI"/>
        </w:rPr>
        <w:t xml:space="preserve">meni, da bi morali v razpravah z državnimi organi povečati zastopanost mladinskih organizacij in mladinskih svetov ter </w:t>
      </w:r>
      <w:r w:rsidRPr="00A40A11">
        <w:rPr>
          <w:b/>
          <w:lang w:val="sl-SI"/>
        </w:rPr>
        <w:t>mladinske delavce priznati</w:t>
      </w:r>
      <w:r w:rsidRPr="00A40A11">
        <w:rPr>
          <w:lang w:val="sl-SI"/>
        </w:rPr>
        <w:t xml:space="preserve"> kot </w:t>
      </w:r>
      <w:r w:rsidRPr="00A40A11">
        <w:rPr>
          <w:b/>
          <w:lang w:val="sl-SI"/>
        </w:rPr>
        <w:t>ključne akterje</w:t>
      </w:r>
      <w:r w:rsidRPr="00A40A11">
        <w:rPr>
          <w:lang w:val="sl-SI"/>
        </w:rPr>
        <w:t xml:space="preserve"> v </w:t>
      </w:r>
      <w:r w:rsidRPr="00A40A11">
        <w:rPr>
          <w:b/>
          <w:lang w:val="sl-SI"/>
        </w:rPr>
        <w:t>postopkih posvetovanja</w:t>
      </w:r>
      <w:r w:rsidRPr="00A40A11">
        <w:rPr>
          <w:lang w:val="sl-SI"/>
        </w:rPr>
        <w:t xml:space="preserve"> ter jim zagotoviti potreben prostor in sredstva, da lahko k tem postopkom učinkovito prispevajo;</w:t>
      </w:r>
    </w:p>
    <w:p w:rsidRPr="00A40A11" w:rsidR="00A40A11" w:rsidP="00D5765D" w:rsidRDefault="00A40A11" w14:paraId="08612637" w14:textId="77777777">
      <w:pPr>
        <w:widowControl w:val="0"/>
        <w:numPr>
          <w:ilvl w:val="0"/>
          <w:numId w:val="18"/>
        </w:numPr>
        <w:ind w:left="567" w:hanging="567"/>
        <w:rPr>
          <w:bCs/>
          <w:iCs/>
          <w:szCs w:val="22"/>
          <w:lang w:val="sl-SI"/>
        </w:rPr>
      </w:pPr>
      <w:r w:rsidRPr="00A40A11">
        <w:rPr>
          <w:lang w:val="sl-SI"/>
        </w:rPr>
        <w:t>poudarja, da države na sredozemskem območju pogosto</w:t>
      </w:r>
      <w:r w:rsidRPr="00A40A11">
        <w:rPr>
          <w:b/>
          <w:lang w:val="sl-SI"/>
        </w:rPr>
        <w:t xml:space="preserve"> nimajo ustreznih okvirov za učinkovit socialni dialog</w:t>
      </w:r>
      <w:r w:rsidRPr="00A40A11">
        <w:rPr>
          <w:lang w:val="sl-SI"/>
        </w:rPr>
        <w:t xml:space="preserve">, zato je treba </w:t>
      </w:r>
      <w:r w:rsidRPr="00A40A11">
        <w:rPr>
          <w:b/>
          <w:lang w:val="sl-SI"/>
        </w:rPr>
        <w:t>okrepiti socialni dialog</w:t>
      </w:r>
      <w:r w:rsidRPr="00A40A11">
        <w:rPr>
          <w:lang w:val="sl-SI"/>
        </w:rPr>
        <w:t xml:space="preserve">, zlasti na </w:t>
      </w:r>
      <w:r w:rsidRPr="00A40A11">
        <w:rPr>
          <w:b/>
          <w:lang w:val="sl-SI"/>
        </w:rPr>
        <w:t>nacionalni ravni, na ravni panog in na ravni podjetij</w:t>
      </w:r>
      <w:r w:rsidRPr="00A40A11">
        <w:rPr>
          <w:lang w:val="sl-SI"/>
        </w:rPr>
        <w:t xml:space="preserve">, s celovitim izvajanjem ključnih </w:t>
      </w:r>
      <w:r w:rsidRPr="00A40A11">
        <w:rPr>
          <w:b/>
          <w:lang w:val="sl-SI"/>
        </w:rPr>
        <w:t>konvencij Mednarodne organizacije dela o socialnem dialogu</w:t>
      </w:r>
      <w:r w:rsidRPr="00A40A11">
        <w:rPr>
          <w:lang w:val="sl-SI"/>
        </w:rPr>
        <w:t>;</w:t>
      </w:r>
    </w:p>
    <w:p w:rsidRPr="00A40A11" w:rsidR="00A40A11" w:rsidP="00D5765D" w:rsidRDefault="00A40A11" w14:paraId="1203C1C8" w14:textId="77777777">
      <w:pPr>
        <w:widowControl w:val="0"/>
        <w:numPr>
          <w:ilvl w:val="0"/>
          <w:numId w:val="18"/>
        </w:numPr>
        <w:ind w:left="567" w:hanging="567"/>
        <w:rPr>
          <w:bCs/>
          <w:iCs/>
          <w:szCs w:val="22"/>
          <w:lang w:val="sl-SI"/>
        </w:rPr>
      </w:pPr>
      <w:r w:rsidRPr="00A40A11">
        <w:rPr>
          <w:lang w:val="sl-SI"/>
        </w:rPr>
        <w:t xml:space="preserve">poziva Evropsko komisijo, naj podpre tretjo fazo projekta </w:t>
      </w:r>
      <w:r w:rsidRPr="00A40A11">
        <w:rPr>
          <w:b/>
          <w:lang w:val="sl-SI"/>
        </w:rPr>
        <w:t>socialni dialog v južnem Sredozemlju (SOLiD)</w:t>
      </w:r>
      <w:r w:rsidRPr="00A40A11">
        <w:rPr>
          <w:lang w:val="sl-SI"/>
        </w:rPr>
        <w:t xml:space="preserve">, ki bi moral biti podlaga za </w:t>
      </w:r>
      <w:r w:rsidRPr="00A40A11">
        <w:rPr>
          <w:b/>
          <w:lang w:val="sl-SI"/>
        </w:rPr>
        <w:t>pripravo listine mladih</w:t>
      </w:r>
      <w:r w:rsidRPr="00A40A11">
        <w:rPr>
          <w:lang w:val="sl-SI"/>
        </w:rPr>
        <w:t xml:space="preserve">, hkrati pa naj preuči možnost uvedbe </w:t>
      </w:r>
      <w:r w:rsidRPr="00A40A11">
        <w:rPr>
          <w:b/>
          <w:lang w:val="sl-SI"/>
        </w:rPr>
        <w:t>posvetovalnih mehanizmov za mlade</w:t>
      </w:r>
      <w:r w:rsidRPr="00A40A11">
        <w:rPr>
          <w:lang w:val="sl-SI"/>
        </w:rPr>
        <w:t>.</w:t>
      </w:r>
    </w:p>
    <w:p w:rsidRPr="00A40A11" w:rsidR="00A40A11" w:rsidP="00101E09" w:rsidRDefault="00A40A11" w14:paraId="352DD92B" w14:textId="77777777">
      <w:pPr>
        <w:widowControl w:val="0"/>
        <w:ind w:left="567" w:hanging="567"/>
        <w:rPr>
          <w:lang w:val="sl-SI"/>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40A11" w:rsidR="00A40A11" w:rsidTr="005540B3" w14:paraId="4605C4A8" w14:textId="77777777">
        <w:tc>
          <w:tcPr>
            <w:tcW w:w="1556" w:type="pct"/>
          </w:tcPr>
          <w:p w:rsidRPr="00A40A11" w:rsidR="00A40A11" w:rsidP="00A40A11" w:rsidRDefault="00A40A11" w14:paraId="3AF11359" w14:textId="77777777">
            <w:pPr>
              <w:rPr>
                <w:i/>
                <w:szCs w:val="22"/>
                <w:lang w:val="sl-SI"/>
              </w:rPr>
            </w:pPr>
            <w:r w:rsidRPr="00A40A11">
              <w:rPr>
                <w:b/>
                <w:i/>
                <w:lang w:val="sl-SI"/>
              </w:rPr>
              <w:t>Kontaktna oseba</w:t>
            </w:r>
          </w:p>
        </w:tc>
        <w:tc>
          <w:tcPr>
            <w:tcW w:w="3444" w:type="pct"/>
          </w:tcPr>
          <w:p w:rsidRPr="00A40A11" w:rsidR="00A40A11" w:rsidP="00A40A11" w:rsidRDefault="00A40A11" w14:paraId="4D80172C" w14:textId="77777777">
            <w:pPr>
              <w:rPr>
                <w:i/>
                <w:szCs w:val="22"/>
                <w:lang w:val="sl-SI"/>
              </w:rPr>
            </w:pPr>
            <w:r w:rsidRPr="00A40A11">
              <w:rPr>
                <w:i/>
                <w:lang w:val="sl-SI"/>
              </w:rPr>
              <w:t>Andreas BERGER</w:t>
            </w:r>
          </w:p>
        </w:tc>
      </w:tr>
      <w:tr w:rsidRPr="00A40A11" w:rsidR="00A40A11" w:rsidTr="005540B3" w14:paraId="0AB9EDA0" w14:textId="77777777">
        <w:tc>
          <w:tcPr>
            <w:tcW w:w="1556" w:type="pct"/>
          </w:tcPr>
          <w:p w:rsidRPr="00A40A11" w:rsidR="00A40A11" w:rsidP="00A40A11" w:rsidRDefault="00A40A11" w14:paraId="66563A6B" w14:textId="77777777">
            <w:pPr>
              <w:rPr>
                <w:i/>
                <w:szCs w:val="22"/>
                <w:lang w:val="sl-SI"/>
              </w:rPr>
            </w:pPr>
            <w:r w:rsidRPr="00A40A11">
              <w:rPr>
                <w:i/>
                <w:lang w:val="sl-SI"/>
              </w:rPr>
              <w:t>Telefon</w:t>
            </w:r>
          </w:p>
        </w:tc>
        <w:tc>
          <w:tcPr>
            <w:tcW w:w="3444" w:type="pct"/>
          </w:tcPr>
          <w:p w:rsidRPr="00A40A11" w:rsidR="00A40A11" w:rsidP="00A40A11" w:rsidRDefault="00A40A11" w14:paraId="150C0F76" w14:textId="77777777">
            <w:pPr>
              <w:rPr>
                <w:i/>
                <w:szCs w:val="22"/>
                <w:lang w:val="sl-SI"/>
              </w:rPr>
            </w:pPr>
            <w:r w:rsidRPr="00A40A11">
              <w:rPr>
                <w:i/>
                <w:lang w:val="sl-SI"/>
              </w:rPr>
              <w:t>+32 25469062</w:t>
            </w:r>
          </w:p>
        </w:tc>
      </w:tr>
      <w:tr w:rsidRPr="00A40A11" w:rsidR="00A40A11" w:rsidTr="005540B3" w14:paraId="5E98A803" w14:textId="77777777">
        <w:tc>
          <w:tcPr>
            <w:tcW w:w="1556" w:type="pct"/>
          </w:tcPr>
          <w:p w:rsidRPr="00A40A11" w:rsidR="00A40A11" w:rsidP="00A40A11" w:rsidRDefault="00A40A11" w14:paraId="19DDB8BE" w14:textId="77777777">
            <w:pPr>
              <w:rPr>
                <w:i/>
                <w:szCs w:val="22"/>
                <w:lang w:val="sl-SI"/>
              </w:rPr>
            </w:pPr>
            <w:r w:rsidRPr="00A40A11">
              <w:rPr>
                <w:i/>
                <w:lang w:val="sl-SI"/>
              </w:rPr>
              <w:t>E-naslov</w:t>
            </w:r>
          </w:p>
        </w:tc>
        <w:tc>
          <w:tcPr>
            <w:tcW w:w="3444" w:type="pct"/>
          </w:tcPr>
          <w:p w:rsidRPr="00A40A11" w:rsidR="00A40A11" w:rsidP="00A40A11" w:rsidRDefault="00A40A11" w14:paraId="6A050B8A" w14:textId="77777777">
            <w:pPr>
              <w:rPr>
                <w:i/>
                <w:szCs w:val="22"/>
                <w:lang w:val="sl-SI"/>
              </w:rPr>
            </w:pPr>
            <w:hyperlink w:history="1" r:id="rId45">
              <w:r w:rsidRPr="00A40A11">
                <w:rPr>
                  <w:rStyle w:val="Hyperlink"/>
                  <w:rFonts w:eastAsiaTheme="majorEastAsia"/>
                  <w:i/>
                  <w:lang w:val="sl-SI"/>
                </w:rPr>
                <w:t>Andreas.Berger@eesc.europa.eu</w:t>
              </w:r>
            </w:hyperlink>
          </w:p>
        </w:tc>
      </w:tr>
    </w:tbl>
    <w:p w:rsidR="00101E09" w:rsidP="00015BF8" w:rsidRDefault="00101E09" w14:paraId="4839EC38" w14:textId="77777777">
      <w:pPr>
        <w:jc w:val="center"/>
        <w:rPr>
          <w:lang w:val="sl-SI"/>
        </w:rPr>
      </w:pPr>
    </w:p>
    <w:p w:rsidRPr="00101E09" w:rsidR="008B255C" w:rsidP="00015BF8" w:rsidRDefault="00101E09" w14:paraId="5E54292C" w14:textId="0BC0F43F">
      <w:pPr>
        <w:jc w:val="center"/>
        <w:rPr>
          <w:lang w:val="nl-BE"/>
        </w:rPr>
      </w:pPr>
      <w:r>
        <w:rPr>
          <w:lang w:val="nl-BE"/>
        </w:rPr>
        <w:t>_____________</w:t>
      </w:r>
    </w:p>
    <w:sectPr w:rsidRPr="00101E09" w:rsidR="008B255C" w:rsidSect="00601B9D">
      <w:pgSz w:w="11907" w:h="16839" w:code="9"/>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2E1B" w14:textId="77777777" w:rsidR="00AE23AB" w:rsidRDefault="00AE23AB">
      <w:r>
        <w:separator/>
      </w:r>
    </w:p>
  </w:endnote>
  <w:endnote w:type="continuationSeparator" w:id="0">
    <w:p w14:paraId="41642DC4" w14:textId="77777777" w:rsidR="00AE23AB" w:rsidRDefault="00AE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7764" w14:textId="77777777" w:rsidR="00601B9D" w:rsidRPr="00601B9D" w:rsidRDefault="00601B9D" w:rsidP="00601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0230" w14:textId="07F8C6ED" w:rsidR="00682432" w:rsidRPr="00601B9D" w:rsidRDefault="00601B9D" w:rsidP="00601B9D">
    <w:pPr>
      <w:pStyle w:val="Footer"/>
    </w:pPr>
    <w:r>
      <w:t xml:space="preserve">EESC-2024-04576-00-00-TCD-TRA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r>
      <w:fldChar w:fldCharType="begin"/>
    </w:r>
    <w:r>
      <w:instrText xml:space="preserve"> NUMPAGES </w:instrText>
    </w:r>
    <w:r>
      <w:fldChar w:fldCharType="separate"/>
    </w:r>
    <w:r w:rsidR="00F258A8">
      <w:rPr>
        <w:noProof/>
      </w:rPr>
      <w:instrText>13</w:instrText>
    </w:r>
    <w:r>
      <w:fldChar w:fldCharType="end"/>
    </w:r>
    <w:r>
      <w:instrText xml:space="preserve"> -0 </w:instrText>
    </w:r>
    <w:r>
      <w:fldChar w:fldCharType="separate"/>
    </w:r>
    <w:r w:rsidR="00F258A8">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1BA2" w14:textId="77777777" w:rsidR="00601B9D" w:rsidRPr="00601B9D" w:rsidRDefault="00601B9D" w:rsidP="00601B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258B" w14:textId="77777777" w:rsidR="00AF472E" w:rsidRPr="00601B9D" w:rsidRDefault="00AF472E" w:rsidP="00601B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AB35" w14:textId="1415546C" w:rsidR="00AF472E" w:rsidRPr="00601B9D" w:rsidRDefault="00601B9D" w:rsidP="00601B9D">
    <w:pPr>
      <w:pStyle w:val="Footer"/>
    </w:pPr>
    <w:r>
      <w:t xml:space="preserve">EESC-2024-04576-00-00-TCD-TRA (EN) </w:t>
    </w:r>
    <w:r>
      <w:fldChar w:fldCharType="begin"/>
    </w:r>
    <w:r>
      <w:instrText xml:space="preserve"> PAGE  \* Arabic  \* MERGEFORMAT </w:instrText>
    </w:r>
    <w:r>
      <w:fldChar w:fldCharType="separate"/>
    </w:r>
    <w:r>
      <w:rPr>
        <w:noProof/>
      </w:rPr>
      <w:t>3</w:t>
    </w:r>
    <w:r>
      <w:fldChar w:fldCharType="end"/>
    </w:r>
    <w:r>
      <w:t>/</w:t>
    </w:r>
    <w:r>
      <w:fldChar w:fldCharType="begin"/>
    </w:r>
    <w:r>
      <w:instrText xml:space="preserve"> = </w:instrText>
    </w:r>
    <w:r>
      <w:fldChar w:fldCharType="begin"/>
    </w:r>
    <w:r>
      <w:instrText xml:space="preserve"> NUMPAGES </w:instrText>
    </w:r>
    <w:r>
      <w:fldChar w:fldCharType="separate"/>
    </w:r>
    <w:r w:rsidR="00F7543E">
      <w:rPr>
        <w:noProof/>
      </w:rPr>
      <w:instrText>13</w:instrText>
    </w:r>
    <w:r>
      <w:fldChar w:fldCharType="end"/>
    </w:r>
    <w:r>
      <w:instrText xml:space="preserve"> -0 </w:instrText>
    </w:r>
    <w:r>
      <w:fldChar w:fldCharType="separate"/>
    </w:r>
    <w:r w:rsidR="00F7543E">
      <w:rPr>
        <w:noProof/>
      </w:rPr>
      <w:t>13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8025" w14:textId="77777777" w:rsidR="00AF472E" w:rsidRPr="00601B9D" w:rsidRDefault="00AF472E" w:rsidP="00601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89DD" w14:textId="77777777" w:rsidR="00AE23AB" w:rsidRDefault="00AE23AB">
      <w:r>
        <w:separator/>
      </w:r>
    </w:p>
  </w:footnote>
  <w:footnote w:type="continuationSeparator" w:id="0">
    <w:p w14:paraId="543E1CE9" w14:textId="77777777" w:rsidR="00AE23AB" w:rsidRDefault="00AE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7E3E" w14:textId="77777777" w:rsidR="00601B9D" w:rsidRPr="00601B9D" w:rsidRDefault="00601B9D" w:rsidP="00601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F417" w14:textId="77777777" w:rsidR="00601B9D" w:rsidRPr="00601B9D" w:rsidRDefault="00601B9D" w:rsidP="00601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DE34E" w14:textId="77777777" w:rsidR="00601B9D" w:rsidRPr="00601B9D" w:rsidRDefault="00601B9D" w:rsidP="00601B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3B7B" w14:textId="77777777" w:rsidR="00AF472E" w:rsidRPr="00601B9D" w:rsidRDefault="00AF472E" w:rsidP="00601B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7C5B" w14:textId="77777777" w:rsidR="00AF472E" w:rsidRPr="00601B9D" w:rsidRDefault="00AF472E" w:rsidP="00601B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42F9" w14:textId="77777777" w:rsidR="00AF472E" w:rsidRPr="00601B9D" w:rsidRDefault="00AF472E" w:rsidP="00601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5BA5082"/>
    <w:multiLevelType w:val="hybridMultilevel"/>
    <w:tmpl w:val="BA200144"/>
    <w:lvl w:ilvl="0" w:tplc="AF12CBD4">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FDA4AD3"/>
    <w:multiLevelType w:val="hybridMultilevel"/>
    <w:tmpl w:val="80E69F3E"/>
    <w:lvl w:ilvl="0" w:tplc="AF12CBD4">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08A3065"/>
    <w:multiLevelType w:val="multilevel"/>
    <w:tmpl w:val="F7946C60"/>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06228"/>
    <w:multiLevelType w:val="hybridMultilevel"/>
    <w:tmpl w:val="3A8679E8"/>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13D75B5E"/>
    <w:multiLevelType w:val="hybridMultilevel"/>
    <w:tmpl w:val="EE306BE8"/>
    <w:lvl w:ilvl="0" w:tplc="ED509D0E">
      <w:start w:val="1"/>
      <w:numFmt w:val="bullet"/>
      <w:lvlRestart w:val="0"/>
      <w:lvlText w:val="–"/>
      <w:lvlJc w:val="left"/>
      <w:pPr>
        <w:tabs>
          <w:tab w:val="num" w:pos="0"/>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B1EAE"/>
    <w:multiLevelType w:val="hybridMultilevel"/>
    <w:tmpl w:val="8348F4E6"/>
    <w:lvl w:ilvl="0" w:tplc="AF12CBD4">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C906F5C"/>
    <w:multiLevelType w:val="hybridMultilevel"/>
    <w:tmpl w:val="ECCCD3BC"/>
    <w:lvl w:ilvl="0" w:tplc="ED509D0E">
      <w:start w:val="1"/>
      <w:numFmt w:val="bullet"/>
      <w:lvlRestart w:val="0"/>
      <w:lvlText w:val="–"/>
      <w:lvlJc w:val="left"/>
      <w:pPr>
        <w:tabs>
          <w:tab w:val="num" w:pos="0"/>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5F56E6"/>
    <w:multiLevelType w:val="hybridMultilevel"/>
    <w:tmpl w:val="10B8B8DE"/>
    <w:lvl w:ilvl="0" w:tplc="B6CEA77C">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275F2241"/>
    <w:multiLevelType w:val="hybridMultilevel"/>
    <w:tmpl w:val="67885116"/>
    <w:lvl w:ilvl="0" w:tplc="AF12CBD4">
      <w:start w:val="1"/>
      <w:numFmt w:val="bullet"/>
      <w:lvlText w:val="-"/>
      <w:lvlJc w:val="left"/>
      <w:pPr>
        <w:ind w:left="720" w:hanging="360"/>
      </w:pPr>
      <w:rPr>
        <w:rFonts w:ascii="Courier New" w:hAnsi="Courier New"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78D1009"/>
    <w:multiLevelType w:val="hybridMultilevel"/>
    <w:tmpl w:val="C45227AA"/>
    <w:lvl w:ilvl="0" w:tplc="AF12CBD4">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F5040CE"/>
    <w:multiLevelType w:val="hybridMultilevel"/>
    <w:tmpl w:val="5870387C"/>
    <w:lvl w:ilvl="0" w:tplc="AF12CBD4">
      <w:start w:val="1"/>
      <w:numFmt w:val="bullet"/>
      <w:lvlText w:val="-"/>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34C829B2"/>
    <w:multiLevelType w:val="hybridMultilevel"/>
    <w:tmpl w:val="788C1D68"/>
    <w:lvl w:ilvl="0" w:tplc="1B862400">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F2615"/>
    <w:multiLevelType w:val="hybridMultilevel"/>
    <w:tmpl w:val="5830AA28"/>
    <w:lvl w:ilvl="0" w:tplc="AF12CBD4">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9675281"/>
    <w:multiLevelType w:val="hybridMultilevel"/>
    <w:tmpl w:val="ABE042AC"/>
    <w:lvl w:ilvl="0" w:tplc="AF12CBD4">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CE43494"/>
    <w:multiLevelType w:val="hybridMultilevel"/>
    <w:tmpl w:val="C4EAFC38"/>
    <w:lvl w:ilvl="0" w:tplc="AF12CBD4">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71110C4"/>
    <w:multiLevelType w:val="hybridMultilevel"/>
    <w:tmpl w:val="D59446B8"/>
    <w:lvl w:ilvl="0" w:tplc="AF12CBD4">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E2B181E"/>
    <w:multiLevelType w:val="hybridMultilevel"/>
    <w:tmpl w:val="D6400ADE"/>
    <w:lvl w:ilvl="0" w:tplc="AF12CBD4">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F0D630B"/>
    <w:multiLevelType w:val="hybridMultilevel"/>
    <w:tmpl w:val="93D4C2A6"/>
    <w:lvl w:ilvl="0" w:tplc="AF12CBD4">
      <w:start w:val="1"/>
      <w:numFmt w:val="bullet"/>
      <w:lvlText w:val="-"/>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5B215D09"/>
    <w:multiLevelType w:val="hybridMultilevel"/>
    <w:tmpl w:val="C4EE72F6"/>
    <w:lvl w:ilvl="0" w:tplc="61429412">
      <w:start w:val="1"/>
      <w:numFmt w:val="bullet"/>
      <w:lvlRestart w:val="0"/>
      <w:lvlText w:val="–"/>
      <w:lvlJc w:val="left"/>
      <w:pPr>
        <w:tabs>
          <w:tab w:val="num" w:pos="369"/>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F349A3"/>
    <w:multiLevelType w:val="hybridMultilevel"/>
    <w:tmpl w:val="5D028B3E"/>
    <w:lvl w:ilvl="0" w:tplc="AF12CBD4">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14F57A6"/>
    <w:multiLevelType w:val="hybridMultilevel"/>
    <w:tmpl w:val="A58423E4"/>
    <w:lvl w:ilvl="0" w:tplc="51ACA59E">
      <w:start w:val="1"/>
      <w:numFmt w:val="bullet"/>
      <w:lvlRestart w:val="0"/>
      <w:lvlText w:val=""/>
      <w:lvlJc w:val="left"/>
      <w:pPr>
        <w:tabs>
          <w:tab w:val="num" w:pos="0"/>
        </w:tabs>
        <w:ind w:left="283" w:hanging="283"/>
      </w:pPr>
      <w:rPr>
        <w:rFonts w:ascii="Symbol" w:hAnsi="Symbol" w:hint="default"/>
        <w:b w:val="0"/>
        <w:i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03A27AA"/>
    <w:multiLevelType w:val="hybridMultilevel"/>
    <w:tmpl w:val="C39A5D8C"/>
    <w:lvl w:ilvl="0" w:tplc="AF12CBD4">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4827853"/>
    <w:multiLevelType w:val="hybridMultilevel"/>
    <w:tmpl w:val="A5E03590"/>
    <w:lvl w:ilvl="0" w:tplc="AF12CBD4">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6"/>
  </w:num>
  <w:num w:numId="3">
    <w:abstractNumId w:val="24"/>
  </w:num>
  <w:num w:numId="4">
    <w:abstractNumId w:val="21"/>
  </w:num>
  <w:num w:numId="5">
    <w:abstractNumId w:val="6"/>
  </w:num>
  <w:num w:numId="6">
    <w:abstractNumId w:val="8"/>
  </w:num>
  <w:num w:numId="7">
    <w:abstractNumId w:val="23"/>
  </w:num>
  <w:num w:numId="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9">
    <w:abstractNumId w:val="13"/>
  </w:num>
  <w:num w:numId="10">
    <w:abstractNumId w:val="0"/>
  </w:num>
  <w:num w:numId="11">
    <w:abstractNumId w:val="20"/>
  </w:num>
  <w:num w:numId="12">
    <w:abstractNumId w:val="1"/>
    <w:lvlOverride w:ilvl="0">
      <w:lvl w:ilvl="0">
        <w:start w:val="1"/>
        <w:numFmt w:val="bullet"/>
        <w:lvlText w:val=""/>
        <w:lvlJc w:val="left"/>
        <w:pPr>
          <w:ind w:left="720" w:hanging="360"/>
        </w:pPr>
        <w:rPr>
          <w:rFonts w:ascii="Symbol" w:hAnsi="Symbol" w:hint="default"/>
          <w:color w:val="auto"/>
        </w:rPr>
      </w:lvl>
    </w:lvlOverride>
  </w:num>
  <w:num w:numId="13">
    <w:abstractNumId w:val="10"/>
  </w:num>
  <w:num w:numId="14">
    <w:abstractNumId w:val="12"/>
  </w:num>
  <w:num w:numId="15">
    <w:abstractNumId w:val="9"/>
  </w:num>
  <w:num w:numId="16">
    <w:abstractNumId w:val="4"/>
  </w:num>
  <w:num w:numId="17">
    <w:abstractNumId w:val="5"/>
  </w:num>
  <w:num w:numId="18">
    <w:abstractNumId w:val="17"/>
  </w:num>
  <w:num w:numId="19">
    <w:abstractNumId w:val="15"/>
  </w:num>
  <w:num w:numId="20">
    <w:abstractNumId w:val="19"/>
  </w:num>
  <w:num w:numId="21">
    <w:abstractNumId w:val="26"/>
  </w:num>
  <w:num w:numId="22">
    <w:abstractNumId w:val="22"/>
  </w:num>
  <w:num w:numId="23">
    <w:abstractNumId w:val="11"/>
  </w:num>
  <w:num w:numId="24">
    <w:abstractNumId w:val="18"/>
  </w:num>
  <w:num w:numId="25">
    <w:abstractNumId w:val="2"/>
  </w:num>
  <w:num w:numId="26">
    <w:abstractNumId w:val="3"/>
  </w:num>
  <w:num w:numId="27">
    <w:abstractNumId w:val="7"/>
  </w:num>
  <w:num w:numId="28">
    <w:abstractNumId w:val="2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EC"/>
    <w:rsid w:val="000108FB"/>
    <w:rsid w:val="000113B2"/>
    <w:rsid w:val="00011D71"/>
    <w:rsid w:val="0001332E"/>
    <w:rsid w:val="00015BF8"/>
    <w:rsid w:val="00022CEC"/>
    <w:rsid w:val="00033ACA"/>
    <w:rsid w:val="00054D01"/>
    <w:rsid w:val="00067164"/>
    <w:rsid w:val="00075128"/>
    <w:rsid w:val="00082A32"/>
    <w:rsid w:val="00096EFE"/>
    <w:rsid w:val="000A4189"/>
    <w:rsid w:val="000D1504"/>
    <w:rsid w:val="000D558D"/>
    <w:rsid w:val="000D627B"/>
    <w:rsid w:val="000E1648"/>
    <w:rsid w:val="000E56C1"/>
    <w:rsid w:val="000E5B3A"/>
    <w:rsid w:val="00101E09"/>
    <w:rsid w:val="0011267C"/>
    <w:rsid w:val="00112BD9"/>
    <w:rsid w:val="00123CE7"/>
    <w:rsid w:val="001476FE"/>
    <w:rsid w:val="001829EA"/>
    <w:rsid w:val="00187B18"/>
    <w:rsid w:val="00191D5A"/>
    <w:rsid w:val="001B3FFC"/>
    <w:rsid w:val="001B7143"/>
    <w:rsid w:val="001C47D5"/>
    <w:rsid w:val="001D1EE1"/>
    <w:rsid w:val="001F4DE5"/>
    <w:rsid w:val="001F6CEF"/>
    <w:rsid w:val="001F6F3D"/>
    <w:rsid w:val="00214BCD"/>
    <w:rsid w:val="00230414"/>
    <w:rsid w:val="00237C3D"/>
    <w:rsid w:val="00270279"/>
    <w:rsid w:val="00270E47"/>
    <w:rsid w:val="002749D1"/>
    <w:rsid w:val="002939DD"/>
    <w:rsid w:val="002B16C7"/>
    <w:rsid w:val="00300CFE"/>
    <w:rsid w:val="00302C4A"/>
    <w:rsid w:val="0032242F"/>
    <w:rsid w:val="003467FD"/>
    <w:rsid w:val="00351F5B"/>
    <w:rsid w:val="00352363"/>
    <w:rsid w:val="00352524"/>
    <w:rsid w:val="00363BFA"/>
    <w:rsid w:val="0037727F"/>
    <w:rsid w:val="00381182"/>
    <w:rsid w:val="003830A7"/>
    <w:rsid w:val="00383C0D"/>
    <w:rsid w:val="00394C1F"/>
    <w:rsid w:val="003A256D"/>
    <w:rsid w:val="003B5469"/>
    <w:rsid w:val="003E4447"/>
    <w:rsid w:val="004069C3"/>
    <w:rsid w:val="00437105"/>
    <w:rsid w:val="00474CD2"/>
    <w:rsid w:val="0049373B"/>
    <w:rsid w:val="00494E90"/>
    <w:rsid w:val="004D0B32"/>
    <w:rsid w:val="004D41CF"/>
    <w:rsid w:val="004F1334"/>
    <w:rsid w:val="0053121B"/>
    <w:rsid w:val="0054629F"/>
    <w:rsid w:val="0055500B"/>
    <w:rsid w:val="0055595D"/>
    <w:rsid w:val="00564551"/>
    <w:rsid w:val="005676E1"/>
    <w:rsid w:val="005741AF"/>
    <w:rsid w:val="00574C94"/>
    <w:rsid w:val="005804DD"/>
    <w:rsid w:val="00586DD1"/>
    <w:rsid w:val="00594D57"/>
    <w:rsid w:val="005A5B95"/>
    <w:rsid w:val="005B2477"/>
    <w:rsid w:val="005B6240"/>
    <w:rsid w:val="005C2E30"/>
    <w:rsid w:val="005C5C12"/>
    <w:rsid w:val="005D31C1"/>
    <w:rsid w:val="005D58C5"/>
    <w:rsid w:val="005E406C"/>
    <w:rsid w:val="006016D5"/>
    <w:rsid w:val="00601B9D"/>
    <w:rsid w:val="00632EDB"/>
    <w:rsid w:val="00636CA6"/>
    <w:rsid w:val="0064141C"/>
    <w:rsid w:val="00682432"/>
    <w:rsid w:val="006926AD"/>
    <w:rsid w:val="00697241"/>
    <w:rsid w:val="006C206A"/>
    <w:rsid w:val="006F2CCA"/>
    <w:rsid w:val="006F511B"/>
    <w:rsid w:val="007226E8"/>
    <w:rsid w:val="00731B50"/>
    <w:rsid w:val="00746889"/>
    <w:rsid w:val="00784CC7"/>
    <w:rsid w:val="007865A6"/>
    <w:rsid w:val="00796003"/>
    <w:rsid w:val="007B2C67"/>
    <w:rsid w:val="007C1213"/>
    <w:rsid w:val="007C6F79"/>
    <w:rsid w:val="008103E3"/>
    <w:rsid w:val="00816C98"/>
    <w:rsid w:val="00820E9A"/>
    <w:rsid w:val="00826265"/>
    <w:rsid w:val="00835145"/>
    <w:rsid w:val="00835C50"/>
    <w:rsid w:val="00836295"/>
    <w:rsid w:val="00845F84"/>
    <w:rsid w:val="00862AEB"/>
    <w:rsid w:val="00877C3D"/>
    <w:rsid w:val="00882B0F"/>
    <w:rsid w:val="00887E42"/>
    <w:rsid w:val="00895274"/>
    <w:rsid w:val="008A0221"/>
    <w:rsid w:val="008A0456"/>
    <w:rsid w:val="008B255C"/>
    <w:rsid w:val="008B7764"/>
    <w:rsid w:val="008B7E4C"/>
    <w:rsid w:val="008B7F58"/>
    <w:rsid w:val="008E0793"/>
    <w:rsid w:val="008E29BB"/>
    <w:rsid w:val="00907EBA"/>
    <w:rsid w:val="0091163B"/>
    <w:rsid w:val="00914FC5"/>
    <w:rsid w:val="00915CB4"/>
    <w:rsid w:val="00933697"/>
    <w:rsid w:val="009418F4"/>
    <w:rsid w:val="009546DC"/>
    <w:rsid w:val="00955CD3"/>
    <w:rsid w:val="00963234"/>
    <w:rsid w:val="009662B6"/>
    <w:rsid w:val="009741EB"/>
    <w:rsid w:val="00984BC4"/>
    <w:rsid w:val="00992B2B"/>
    <w:rsid w:val="00997258"/>
    <w:rsid w:val="009A0811"/>
    <w:rsid w:val="009A5CF5"/>
    <w:rsid w:val="009B760E"/>
    <w:rsid w:val="009C626C"/>
    <w:rsid w:val="009E3E43"/>
    <w:rsid w:val="009E7380"/>
    <w:rsid w:val="009F547F"/>
    <w:rsid w:val="00A11773"/>
    <w:rsid w:val="00A24E32"/>
    <w:rsid w:val="00A40A11"/>
    <w:rsid w:val="00A5029E"/>
    <w:rsid w:val="00A74DAA"/>
    <w:rsid w:val="00A7537B"/>
    <w:rsid w:val="00A85F7E"/>
    <w:rsid w:val="00A92425"/>
    <w:rsid w:val="00A93871"/>
    <w:rsid w:val="00AA3CA8"/>
    <w:rsid w:val="00AB3324"/>
    <w:rsid w:val="00AC002B"/>
    <w:rsid w:val="00AC1FA9"/>
    <w:rsid w:val="00AC4593"/>
    <w:rsid w:val="00AC4E7C"/>
    <w:rsid w:val="00AC7C4F"/>
    <w:rsid w:val="00AD6D20"/>
    <w:rsid w:val="00AE23AB"/>
    <w:rsid w:val="00AF472E"/>
    <w:rsid w:val="00AF64C5"/>
    <w:rsid w:val="00B05B44"/>
    <w:rsid w:val="00B1281C"/>
    <w:rsid w:val="00B3726D"/>
    <w:rsid w:val="00B40E89"/>
    <w:rsid w:val="00B414F6"/>
    <w:rsid w:val="00B92E86"/>
    <w:rsid w:val="00B95E70"/>
    <w:rsid w:val="00BA5C09"/>
    <w:rsid w:val="00BB1A0B"/>
    <w:rsid w:val="00BC13BE"/>
    <w:rsid w:val="00BD3623"/>
    <w:rsid w:val="00BE4D3D"/>
    <w:rsid w:val="00BF2D63"/>
    <w:rsid w:val="00BF7633"/>
    <w:rsid w:val="00C16D7A"/>
    <w:rsid w:val="00C2078B"/>
    <w:rsid w:val="00C360DD"/>
    <w:rsid w:val="00C416B7"/>
    <w:rsid w:val="00C447A6"/>
    <w:rsid w:val="00C57454"/>
    <w:rsid w:val="00C60CED"/>
    <w:rsid w:val="00C6660F"/>
    <w:rsid w:val="00C721C3"/>
    <w:rsid w:val="00C91DC2"/>
    <w:rsid w:val="00CA2619"/>
    <w:rsid w:val="00CC2223"/>
    <w:rsid w:val="00CE2181"/>
    <w:rsid w:val="00CF22A9"/>
    <w:rsid w:val="00CF3739"/>
    <w:rsid w:val="00D01A90"/>
    <w:rsid w:val="00D10030"/>
    <w:rsid w:val="00D14BAF"/>
    <w:rsid w:val="00D31C94"/>
    <w:rsid w:val="00D32DE3"/>
    <w:rsid w:val="00D34017"/>
    <w:rsid w:val="00D43695"/>
    <w:rsid w:val="00D568B5"/>
    <w:rsid w:val="00D5765D"/>
    <w:rsid w:val="00D8463C"/>
    <w:rsid w:val="00D86E3B"/>
    <w:rsid w:val="00D876EE"/>
    <w:rsid w:val="00D9379D"/>
    <w:rsid w:val="00DA3219"/>
    <w:rsid w:val="00DC6FB9"/>
    <w:rsid w:val="00E07012"/>
    <w:rsid w:val="00E26053"/>
    <w:rsid w:val="00E26FA5"/>
    <w:rsid w:val="00E317AE"/>
    <w:rsid w:val="00E33E3F"/>
    <w:rsid w:val="00E44C17"/>
    <w:rsid w:val="00E561FC"/>
    <w:rsid w:val="00E6788F"/>
    <w:rsid w:val="00E67970"/>
    <w:rsid w:val="00E82C6E"/>
    <w:rsid w:val="00E854DA"/>
    <w:rsid w:val="00E85F5A"/>
    <w:rsid w:val="00E94E9A"/>
    <w:rsid w:val="00E96FE5"/>
    <w:rsid w:val="00EA31FC"/>
    <w:rsid w:val="00EA3BE7"/>
    <w:rsid w:val="00EC1D75"/>
    <w:rsid w:val="00EC3359"/>
    <w:rsid w:val="00EC4961"/>
    <w:rsid w:val="00EC7D23"/>
    <w:rsid w:val="00ED2A5B"/>
    <w:rsid w:val="00EE5962"/>
    <w:rsid w:val="00EF0D92"/>
    <w:rsid w:val="00F10CB5"/>
    <w:rsid w:val="00F21D20"/>
    <w:rsid w:val="00F24E43"/>
    <w:rsid w:val="00F258A8"/>
    <w:rsid w:val="00F417F1"/>
    <w:rsid w:val="00F4670C"/>
    <w:rsid w:val="00F50206"/>
    <w:rsid w:val="00F50D00"/>
    <w:rsid w:val="00F543A3"/>
    <w:rsid w:val="00F61355"/>
    <w:rsid w:val="00F63424"/>
    <w:rsid w:val="00F72BD1"/>
    <w:rsid w:val="00F7543E"/>
    <w:rsid w:val="00F75633"/>
    <w:rsid w:val="00F94D30"/>
    <w:rsid w:val="00F95E9B"/>
    <w:rsid w:val="00FB2461"/>
    <w:rsid w:val="00FB7D17"/>
    <w:rsid w:val="00FE4317"/>
    <w:rsid w:val="00FF3391"/>
    <w:rsid w:val="00FF53B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03BB4E28"/>
  <w15:docId w15:val="{9D4427E0-9A2D-4DD1-95E5-1E9A6E65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619"/>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qFormat/>
    <w:rsid w:val="00CA2619"/>
    <w:pPr>
      <w:numPr>
        <w:numId w:val="1"/>
      </w:numPr>
      <w:outlineLvl w:val="0"/>
    </w:pPr>
    <w:rPr>
      <w:kern w:val="28"/>
    </w:rPr>
  </w:style>
  <w:style w:type="paragraph" w:styleId="Heading2">
    <w:name w:val="heading 2"/>
    <w:basedOn w:val="Normal"/>
    <w:next w:val="Normal"/>
    <w:link w:val="Heading2Char"/>
    <w:qFormat/>
    <w:rsid w:val="00CA2619"/>
    <w:pPr>
      <w:numPr>
        <w:ilvl w:val="1"/>
        <w:numId w:val="1"/>
      </w:numPr>
      <w:ind w:left="720" w:hanging="720"/>
      <w:outlineLvl w:val="1"/>
    </w:pPr>
  </w:style>
  <w:style w:type="paragraph" w:styleId="Heading3">
    <w:name w:val="heading 3"/>
    <w:basedOn w:val="Normal"/>
    <w:next w:val="Normal"/>
    <w:link w:val="Heading3Char"/>
    <w:qFormat/>
    <w:rsid w:val="00CA2619"/>
    <w:pPr>
      <w:numPr>
        <w:ilvl w:val="2"/>
        <w:numId w:val="1"/>
      </w:numPr>
      <w:ind w:left="720" w:hanging="720"/>
      <w:outlineLvl w:val="2"/>
    </w:pPr>
  </w:style>
  <w:style w:type="paragraph" w:styleId="Heading4">
    <w:name w:val="heading 4"/>
    <w:basedOn w:val="Normal"/>
    <w:next w:val="Normal"/>
    <w:link w:val="Heading4Char"/>
    <w:qFormat/>
    <w:rsid w:val="00CA2619"/>
    <w:pPr>
      <w:numPr>
        <w:ilvl w:val="3"/>
        <w:numId w:val="1"/>
      </w:numPr>
      <w:ind w:left="720" w:hanging="720"/>
      <w:outlineLvl w:val="3"/>
    </w:pPr>
  </w:style>
  <w:style w:type="paragraph" w:styleId="Heading5">
    <w:name w:val="heading 5"/>
    <w:basedOn w:val="Normal"/>
    <w:next w:val="Normal"/>
    <w:link w:val="Heading5Char"/>
    <w:qFormat/>
    <w:rsid w:val="00CA2619"/>
    <w:pPr>
      <w:numPr>
        <w:ilvl w:val="4"/>
        <w:numId w:val="1"/>
      </w:numPr>
      <w:ind w:left="720" w:hanging="720"/>
      <w:outlineLvl w:val="4"/>
    </w:pPr>
  </w:style>
  <w:style w:type="paragraph" w:styleId="Heading6">
    <w:name w:val="heading 6"/>
    <w:basedOn w:val="Normal"/>
    <w:next w:val="Normal"/>
    <w:link w:val="Heading6Char"/>
    <w:qFormat/>
    <w:rsid w:val="00CA2619"/>
    <w:pPr>
      <w:numPr>
        <w:ilvl w:val="5"/>
        <w:numId w:val="1"/>
      </w:numPr>
      <w:ind w:left="720" w:hanging="720"/>
      <w:outlineLvl w:val="5"/>
    </w:pPr>
  </w:style>
  <w:style w:type="paragraph" w:styleId="Heading7">
    <w:name w:val="heading 7"/>
    <w:basedOn w:val="Normal"/>
    <w:next w:val="Normal"/>
    <w:link w:val="Heading7Char"/>
    <w:qFormat/>
    <w:rsid w:val="00CA2619"/>
    <w:pPr>
      <w:numPr>
        <w:ilvl w:val="6"/>
        <w:numId w:val="1"/>
      </w:numPr>
      <w:ind w:left="720" w:hanging="720"/>
      <w:outlineLvl w:val="6"/>
    </w:pPr>
  </w:style>
  <w:style w:type="paragraph" w:styleId="Heading8">
    <w:name w:val="heading 8"/>
    <w:basedOn w:val="Normal"/>
    <w:next w:val="Normal"/>
    <w:link w:val="Heading8Char"/>
    <w:qFormat/>
    <w:rsid w:val="00CA2619"/>
    <w:pPr>
      <w:numPr>
        <w:ilvl w:val="7"/>
        <w:numId w:val="1"/>
      </w:numPr>
      <w:ind w:left="720" w:hanging="720"/>
      <w:outlineLvl w:val="7"/>
    </w:pPr>
  </w:style>
  <w:style w:type="paragraph" w:styleId="Heading9">
    <w:name w:val="heading 9"/>
    <w:basedOn w:val="Normal"/>
    <w:next w:val="Normal"/>
    <w:link w:val="Heading9Char"/>
    <w:qFormat/>
    <w:rsid w:val="00CA2619"/>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722"/>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547722"/>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547722"/>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547722"/>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547722"/>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547722"/>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547722"/>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547722"/>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547722"/>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CA2619"/>
  </w:style>
  <w:style w:type="character" w:customStyle="1" w:styleId="FooterChar">
    <w:name w:val="Footer Char"/>
    <w:basedOn w:val="DefaultParagraphFont"/>
    <w:link w:val="Footer"/>
    <w:uiPriority w:val="99"/>
    <w:semiHidden/>
    <w:rsid w:val="00547722"/>
    <w:rPr>
      <w:sz w:val="22"/>
      <w:lang w:val="en-GB" w:eastAsia="en-US"/>
    </w:rPr>
  </w:style>
  <w:style w:type="paragraph" w:styleId="FootnoteText">
    <w:name w:val="footnote text"/>
    <w:basedOn w:val="Normal"/>
    <w:link w:val="FootnoteTextChar"/>
    <w:uiPriority w:val="99"/>
    <w:rsid w:val="00CA2619"/>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547722"/>
    <w:rPr>
      <w:lang w:val="en-GB" w:eastAsia="en-US"/>
    </w:rPr>
  </w:style>
  <w:style w:type="paragraph" w:styleId="Header">
    <w:name w:val="header"/>
    <w:basedOn w:val="Normal"/>
    <w:link w:val="HeaderChar"/>
    <w:uiPriority w:val="99"/>
    <w:rsid w:val="00CA2619"/>
  </w:style>
  <w:style w:type="character" w:customStyle="1" w:styleId="HeaderChar">
    <w:name w:val="Header Char"/>
    <w:basedOn w:val="DefaultParagraphFont"/>
    <w:link w:val="Header"/>
    <w:uiPriority w:val="99"/>
    <w:semiHidden/>
    <w:rsid w:val="00547722"/>
    <w:rPr>
      <w:sz w:val="22"/>
      <w:lang w:val="en-GB" w:eastAsia="en-US"/>
    </w:rPr>
  </w:style>
  <w:style w:type="paragraph" w:customStyle="1" w:styleId="quotes">
    <w:name w:val="quotes"/>
    <w:basedOn w:val="Normal"/>
    <w:next w:val="Normal"/>
    <w:rsid w:val="00CA2619"/>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CA2619"/>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table" w:styleId="TableGrid">
    <w:name w:val="Table Grid"/>
    <w:basedOn w:val="TableNormal"/>
    <w:rsid w:val="00BB1A0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37105"/>
    <w:pPr>
      <w:overflowPunct/>
      <w:autoSpaceDE/>
      <w:autoSpaceDN/>
      <w:adjustRightInd/>
      <w:spacing w:after="100" w:line="259" w:lineRule="auto"/>
      <w:ind w:left="220"/>
      <w:jc w:val="left"/>
      <w:textAlignment w:val="auto"/>
    </w:pPr>
    <w:rPr>
      <w:rFonts w:asciiTheme="minorHAnsi" w:eastAsiaTheme="minorEastAsia" w:hAnsiTheme="minorHAnsi"/>
      <w:szCs w:val="22"/>
      <w:lang w:val="en-US"/>
    </w:rPr>
  </w:style>
  <w:style w:type="paragraph" w:styleId="TOC1">
    <w:name w:val="toc 1"/>
    <w:basedOn w:val="Normal"/>
    <w:next w:val="Normal"/>
    <w:autoRedefine/>
    <w:uiPriority w:val="39"/>
    <w:unhideWhenUsed/>
    <w:rsid w:val="00A11773"/>
    <w:pPr>
      <w:tabs>
        <w:tab w:val="left" w:pos="567"/>
        <w:tab w:val="right" w:leader="dot" w:pos="9061"/>
      </w:tabs>
      <w:overflowPunct/>
      <w:autoSpaceDE/>
      <w:autoSpaceDN/>
      <w:adjustRightInd/>
      <w:spacing w:after="100" w:line="259" w:lineRule="auto"/>
      <w:ind w:left="567" w:hanging="567"/>
      <w:jc w:val="left"/>
      <w:textAlignment w:val="auto"/>
    </w:pPr>
    <w:rPr>
      <w:rFonts w:eastAsiaTheme="minorEastAsia"/>
      <w:szCs w:val="22"/>
      <w:lang w:val="en-US"/>
    </w:rPr>
  </w:style>
  <w:style w:type="paragraph" w:styleId="TOC3">
    <w:name w:val="toc 3"/>
    <w:basedOn w:val="Normal"/>
    <w:next w:val="Normal"/>
    <w:autoRedefine/>
    <w:uiPriority w:val="39"/>
    <w:unhideWhenUsed/>
    <w:rsid w:val="00437105"/>
    <w:pPr>
      <w:overflowPunct/>
      <w:autoSpaceDE/>
      <w:autoSpaceDN/>
      <w:adjustRightInd/>
      <w:spacing w:after="100" w:line="259" w:lineRule="auto"/>
      <w:ind w:left="440"/>
      <w:jc w:val="left"/>
      <w:textAlignment w:val="auto"/>
    </w:pPr>
    <w:rPr>
      <w:rFonts w:asciiTheme="minorHAnsi" w:eastAsiaTheme="minorEastAsia" w:hAnsiTheme="minorHAnsi"/>
      <w:szCs w:val="22"/>
      <w:lang w:val="en-US"/>
    </w:rPr>
  </w:style>
  <w:style w:type="character" w:styleId="UnresolvedMention">
    <w:name w:val="Unresolved Mention"/>
    <w:basedOn w:val="DefaultParagraphFont"/>
    <w:uiPriority w:val="99"/>
    <w:semiHidden/>
    <w:unhideWhenUsed/>
    <w:rsid w:val="008B255C"/>
    <w:rPr>
      <w:color w:val="605E5C"/>
      <w:shd w:val="clear" w:color="auto" w:fill="E1DFDD"/>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9C626C"/>
    <w:pPr>
      <w:overflowPunct/>
      <w:autoSpaceDE/>
      <w:autoSpaceDN/>
      <w:adjustRightInd/>
      <w:spacing w:after="200" w:line="276" w:lineRule="auto"/>
      <w:ind w:left="720"/>
      <w:contextualSpacing/>
      <w:jc w:val="left"/>
      <w:textAlignment w:val="auto"/>
    </w:pPr>
    <w:rPr>
      <w:rFonts w:ascii="Calibri" w:hAnsi="Calibri"/>
      <w:szCs w:val="22"/>
      <w:lang w:val="sl-SI" w:eastAsia="zh-CN"/>
    </w:r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sid w:val="009C626C"/>
    <w:rPr>
      <w:rFonts w:ascii="Calibri" w:hAnsi="Calibri"/>
      <w:sz w:val="22"/>
      <w:szCs w:val="22"/>
      <w:lang w:val="sl-SI" w:eastAsia="zh-CN"/>
    </w:rPr>
  </w:style>
  <w:style w:type="paragraph" w:styleId="NormalWeb">
    <w:name w:val="Normal (Web)"/>
    <w:basedOn w:val="Normal"/>
    <w:uiPriority w:val="99"/>
    <w:unhideWhenUsed/>
    <w:rsid w:val="00112BD9"/>
    <w:pPr>
      <w:overflowPunct/>
      <w:autoSpaceDE/>
      <w:autoSpaceDN/>
      <w:adjustRightInd/>
      <w:spacing w:before="100" w:beforeAutospacing="1" w:after="100" w:afterAutospacing="1" w:line="240" w:lineRule="auto"/>
      <w:jc w:val="left"/>
      <w:textAlignment w:val="auto"/>
    </w:pPr>
    <w:rPr>
      <w:sz w:val="24"/>
      <w:szCs w:val="24"/>
      <w:lang w:val="sl-S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hyperlink" Target="mailto:Silvia.Staffa@eesc.europa.eu" TargetMode="External"/><Relationship Id="rId21" Type="http://schemas.openxmlformats.org/officeDocument/2006/relationships/hyperlink" Target="mailto:Krisztina.PerlakyToth@eesc.europa.eu" TargetMode="External"/><Relationship Id="rId34" Type="http://schemas.openxmlformats.org/officeDocument/2006/relationships/hyperlink" Target="mailto:Aleksandra.SarmanGrilc@eesc.europa.eu" TargetMode="External"/><Relationship Id="rId42" Type="http://schemas.openxmlformats.org/officeDocument/2006/relationships/hyperlink" Target="https://www.eesc.europa.eu/sl/our-work/opinions-information-reports/opinions/developing-europes-strategy-arctic-2024-29-dialogue-civil-society" TargetMode="Externa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sl/our-work/opinions-information-reports/opinions/pro-worker-ai-levers-harnessing-potential-and-mitigating-risks-ai-connection-employment-and-labour-market-policies" TargetMode="Externa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5.xml"/><Relationship Id="rId32" Type="http://schemas.openxmlformats.org/officeDocument/2006/relationships/hyperlink" Target="mailto:Maja.Radman@eesc.europa.eu" TargetMode="External"/><Relationship Id="rId37" Type="http://schemas.openxmlformats.org/officeDocument/2006/relationships/hyperlink" Target="mailto:Annalisa.Tessarolo@eesc.europa.eu" TargetMode="External"/><Relationship Id="rId40" Type="http://schemas.openxmlformats.org/officeDocument/2006/relationships/hyperlink" Target="https://www.eesc.europa.eu/sl/our-work/opinions-information-reports/opinions/conservation-fish-stocks-relation-countries-allowing-non-sustainable-fishing" TargetMode="External"/><Relationship Id="rId45" Type="http://schemas.openxmlformats.org/officeDocument/2006/relationships/hyperlink" Target="mailto:Andreas.Berger@eesc.europa.e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yperlink" Target="mailto:Alice.Tetu@eesc.europa.eu" TargetMode="External"/><Relationship Id="rId49"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sl/our-work/opinions-information-reports/opinions/future-supply-and-pricing-electricity-eu" TargetMode="External"/><Relationship Id="rId44" Type="http://schemas.openxmlformats.org/officeDocument/2006/relationships/hyperlink" Target="https://www.eesc.europa.eu/sl/our-work/opinions-information-reports/opinions/youth-involvement-social-and-civil-dialogue-mediterranean-region" TargetMode="Externa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June.Bedaton@eesc.europa.eu" TargetMode="External"/><Relationship Id="rId27" Type="http://schemas.openxmlformats.org/officeDocument/2006/relationships/header" Target="header6.xml"/><Relationship Id="rId30" Type="http://schemas.openxmlformats.org/officeDocument/2006/relationships/hyperlink" Target="mailto:Ana.Dumitrache@eesc.europa.eu" TargetMode="External"/><Relationship Id="rId35" Type="http://schemas.openxmlformats.org/officeDocument/2006/relationships/hyperlink" Target="https://www.eesc.europa.eu/sl/our-work/opinions-information-reports/opinions/electric-vehicle-supply-equipment-compressed-gas-dispensers-and-electricity-gas-and-thermal-energy-meters" TargetMode="External"/><Relationship Id="rId43" Type="http://schemas.openxmlformats.org/officeDocument/2006/relationships/hyperlink" Target="mailto:Maarit.Laurila@eesc.europa.eu" TargetMode="External"/><Relationship Id="rId48"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customXml" Target="../customXml/item4.xml"/><Relationship Id="rId12" Type="http://schemas.openxmlformats.org/officeDocument/2006/relationships/hyperlink" Target="https://www.eesc.europa.eu/sl/our-work/opinions-information-reports/plenary-session-summaries" TargetMode="Externa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yperlink" Target="https://www.eesc.europa.eu/sl/our-work/opinions-information-reports/opinions/towards-eu-maritime-strategy-navigating-future-through-coordinated-investment-policies-legislative-initiatives-social" TargetMode="External"/><Relationship Id="rId38" Type="http://schemas.openxmlformats.org/officeDocument/2006/relationships/hyperlink" Target="https://www.eesc.europa.eu/sl/our-work/opinions-information-reports/opinions/competition-policy-heart-eus-competitiveness" TargetMode="External"/><Relationship Id="rId46" Type="http://schemas.openxmlformats.org/officeDocument/2006/relationships/fontTable" Target="fontTable.xml"/><Relationship Id="rId20" Type="http://schemas.openxmlformats.org/officeDocument/2006/relationships/hyperlink" Target="https://www.eesc.europa.eu/sl/our-work/opinions-information-reports/opinions/euro-area-economic-policy-2025" TargetMode="External"/><Relationship Id="rId41" Type="http://schemas.openxmlformats.org/officeDocument/2006/relationships/hyperlink" Target="mailto:Nicolas.Stenger@ees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F7M6YNZUATRX-1659962339-4651</_dlc_DocId>
    <_dlc_DocIdUrl xmlns="59ace41b-6786-4ce3-be71-52c27066c6ef">
      <Url>http://dm/eesc/2024/_layouts/15/DocIdRedir.aspx?ID=F7M6YNZUATRX-1659962339-4651</Url>
      <Description>F7M6YNZUATRX-1659962339-4651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2025-01-31T12:00:00+00:00</ProductionDate>
    <DocumentNumber xmlns="91e51ac0-4aa1-4d5e-9a67-017d481be00b">4576</DocumentNumber>
    <FicheYear xmlns="59ace41b-6786-4ce3-be71-52c27066c6ef" xsi:nil="true"/>
    <DocumentVersion xmlns="59ace41b-6786-4ce3-be71-52c27066c6ef">0</DocumentVersion>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2025-02-26T12:00:00+00:00</MeetingDate>
    <TaxCatchAll xmlns="59ace41b-6786-4ce3-be71-52c27066c6ef">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710</FicheNumber>
    <OriginalSender xmlns="59ace41b-6786-4ce3-be71-52c27066c6ef">
      <UserInfo>
        <DisplayName>Logar Tina</DisplayName>
        <AccountId>1599</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D44E2-8DFE-4B1F-BF3C-C32D81C1D90E}"/>
</file>

<file path=customXml/itemProps2.xml><?xml version="1.0" encoding="utf-8"?>
<ds:datastoreItem xmlns:ds="http://schemas.openxmlformats.org/officeDocument/2006/customXml" ds:itemID="{100F7F99-03D5-420C-BEB2-BFB2BF909FAC}"/>
</file>

<file path=customXml/itemProps3.xml><?xml version="1.0" encoding="utf-8"?>
<ds:datastoreItem xmlns:ds="http://schemas.openxmlformats.org/officeDocument/2006/customXml" ds:itemID="{27AC3CEF-0F41-48B9-906F-646897D23DB6}"/>
</file>

<file path=customXml/itemProps4.xml><?xml version="1.0" encoding="utf-8"?>
<ds:datastoreItem xmlns:ds="http://schemas.openxmlformats.org/officeDocument/2006/customXml" ds:itemID="{FF306E10-5A01-4AC5-88DA-97290285DDB1}"/>
</file>

<file path=docProps/app.xml><?xml version="1.0" encoding="utf-8"?>
<Properties xmlns="http://schemas.openxmlformats.org/officeDocument/2006/extended-properties" xmlns:vt="http://schemas.openxmlformats.org/officeDocument/2006/docPropsVTypes">
  <Template>Normal.dotm</Template>
  <TotalTime>0</TotalTime>
  <Pages>13</Pages>
  <Words>3241</Words>
  <Characters>23196</Characters>
  <Application>Microsoft Office Word</Application>
  <DocSecurity>0</DocSecurity>
  <Lines>193</Lines>
  <Paragraphs>52</Paragraphs>
  <ScaleCrop>false</ScaleCrop>
  <HeadingPairs>
    <vt:vector size="2" baseType="variant">
      <vt:variant>
        <vt:lpstr>Title</vt:lpstr>
      </vt:variant>
      <vt:variant>
        <vt:i4>1</vt:i4>
      </vt:variant>
    </vt:vector>
  </HeadingPairs>
  <TitlesOfParts>
    <vt:vector size="1" baseType="lpstr">
      <vt:lpstr>Povzetek sprejetih mnenj na 592. plenarnem zasedanju decembra 2024</vt:lpstr>
    </vt:vector>
  </TitlesOfParts>
  <Company>CESE-CdR</Company>
  <LinksUpToDate>false</LinksUpToDate>
  <CharactersWithSpaces>26385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Povzetek sprejetih mnenj - 593. plenarno zasedanje - januar 2025</dc:title>
  <dc:subject>TCD</dc:subject>
  <dc:creator>Turel Metka</dc:creator>
  <cp:keywords>EESC-2024-04576-00-00-TCD-TRA-EN</cp:keywords>
  <dc:description>Rapporteur:  - Original language: EN - Date of document: 31/01/2025 - Date of meeting: 30/26/2025 14:30 - External documents:  - Administrator: MME TAMASAUSKIENE Julija</dc:description>
  <cp:lastModifiedBy>Logar Tina</cp:lastModifiedBy>
  <cp:revision>36</cp:revision>
  <cp:lastPrinted>2004-06-08T11:20:00Z</cp:lastPrinted>
  <dcterms:created xsi:type="dcterms:W3CDTF">2025-01-31T15:54:00Z</dcterms:created>
  <dcterms:modified xsi:type="dcterms:W3CDTF">2025-01-31T17:03:00Z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0x010100EA97B91038054C99906057A708A1480A0034DD74551733C243A24AB255EE6A94DB</vt:lpwstr>
  </property>
  <property fmtid="{D5CDD505-2E9C-101B-9397-08002B2CF9AE}" pid="3" name="_dlc_DocIdItemGuid">
    <vt:lpwstr>a0c0f02c-90db-4109-8d8c-b6eaa2537bab</vt:lpwstr>
  </property>
  <property fmtid="{D5CDD505-2E9C-101B-9397-08002B2CF9AE}" pid="4" name="AvailableTranslations">
    <vt:lpwstr>28;#LV|46f7e311-5d9f-4663-b433-18aeccb7ace7;#22;#BG|1a1b3951-7821-4e6a-85f5-5673fc08bd2c;#12;#IT|0774613c-01ed-4e5d-a25d-11d2388de825;#14;#FR|d2afafd3-4c81-4f60-8f52-ee33f2f54ff3;#17;#PL|1e03da61-4678-4e07-b136-b5024ca9197b;#5;#EN|f2175f21-25d7-44a3-96da-d6a61b075e1b;#29;#EL|6d4f4d51-af9b-4650-94b4-4276bee85c91;#26;#SK|46d9fce0-ef79-4f71-b89b-cd6aa82426b8;#24;#ES|e7a6b05b-ae16-40c8-add9-68b64b03aeba;#30;#HR|2f555653-ed1a-4fe6-8362-9082d95989e5;#36;#PT|50ccc04a-eadd-42ae-a0cb-acaf45f812ba;#31;#NL|55c6556c-b4f4-441d-9acf-c498d4f838bd;#33;#ET|ff6c3f4c-b02c-4c3c-ab07-2c37995a7a0a;#16;#DA|5d49c027-8956-412b-aa16-e85a0f96ad0e;#27;#SL|98a412ae-eb01-49e9-ae3d-585a81724cfc;#34;#LT|a7ff5ce7-6123-4f68-865a-a57c31810414;#21;#SV|c2ed69e7-a339-43d7-8f22-d93680a92aa0;#35;#FI|87606a43-d45f-42d6-b8c9-e1a3457db5b7;#25;#DE|f6b31e5a-26fa-4935-b661-318e46daf27e;#32;#HU|6b229040-c589-4408-b4c1-4285663d20a8</vt:lpwstr>
  </property>
  <property fmtid="{D5CDD505-2E9C-101B-9397-08002B2CF9AE}" pid="5" name="DocumentType_0">
    <vt:lpwstr>TCD|cd9d6eb6-3f4f-424a-b2d1-57c9d450eaaf</vt:lpwstr>
  </property>
  <property fmtid="{D5CDD505-2E9C-101B-9397-08002B2CF9AE}" pid="6" name="DossierName_0">
    <vt:lpwstr/>
  </property>
  <property fmtid="{D5CDD505-2E9C-101B-9397-08002B2CF9AE}" pid="7" name="DocumentSource_0">
    <vt:lpwstr>EESC|422833ec-8d7e-4e65-8e4e-8bed07ffb729</vt:lpwstr>
  </property>
  <property fmtid="{D5CDD505-2E9C-101B-9397-08002B2CF9AE}" pid="8" name="DocumentNumber">
    <vt:i4>4576</vt:i4>
  </property>
  <property fmtid="{D5CDD505-2E9C-101B-9397-08002B2CF9AE}" pid="9" name="DocumentYear">
    <vt:i4>2024</vt:i4>
  </property>
  <property fmtid="{D5CDD505-2E9C-101B-9397-08002B2CF9AE}" pid="10" name="DocumentVersion">
    <vt:i4>0</vt:i4>
  </property>
  <property fmtid="{D5CDD505-2E9C-101B-9397-08002B2CF9AE}" pid="11" name="FicheNumber">
    <vt:i4>710</vt:i4>
  </property>
  <property fmtid="{D5CDD505-2E9C-101B-9397-08002B2CF9AE}" pid="12" name="DocumentStatus">
    <vt:lpwstr>3;#TRA|150d2a88-1431-44e6-a8ca-0bb753ab8672</vt:lpwstr>
  </property>
  <property fmtid="{D5CDD505-2E9C-101B-9397-08002B2CF9AE}" pid="13" name="DocumentPart">
    <vt:i4>0</vt:i4>
  </property>
  <property fmtid="{D5CDD505-2E9C-101B-9397-08002B2CF9AE}" pid="14" name="DossierName">
    <vt:lpwstr/>
  </property>
  <property fmtid="{D5CDD505-2E9C-101B-9397-08002B2CF9AE}" pid="15" name="DocumentSource">
    <vt:lpwstr>1;#EESC|422833ec-8d7e-4e65-8e4e-8bed07ffb729</vt:lpwstr>
  </property>
  <property fmtid="{D5CDD505-2E9C-101B-9397-08002B2CF9AE}" pid="17" name="DocumentType">
    <vt:lpwstr>13;#TCD|cd9d6eb6-3f4f-424a-b2d1-57c9d450eaaf</vt:lpwstr>
  </property>
  <property fmtid="{D5CDD505-2E9C-101B-9397-08002B2CF9AE}" pid="18" name="RequestingService">
    <vt:lpwstr>Greffe</vt:lpwstr>
  </property>
  <property fmtid="{D5CDD505-2E9C-101B-9397-08002B2CF9AE}" pid="19" name="Confidentiality">
    <vt:lpwstr>6;#Unrestricted|826e22d7-d029-4ec0-a450-0c28ff673572</vt:lpwstr>
  </property>
  <property fmtid="{D5CDD505-2E9C-101B-9397-08002B2CF9AE}" pid="20" name="MeetingName_0">
    <vt:lpwstr>SPL-CES|32d8cb1f-c9ec-4365-95c7-8385a18618ac</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7;#SPL-CES|32d8cb1f-c9ec-4365-95c7-8385a18618ac</vt:lpwstr>
  </property>
  <property fmtid="{D5CDD505-2E9C-101B-9397-08002B2CF9AE}" pid="24" name="MeetingDate">
    <vt:filetime>2025-02-26T12:00:00Z</vt:filetime>
  </property>
  <property fmtid="{D5CDD505-2E9C-101B-9397-08002B2CF9AE}" pid="25" name="AvailableTranslations_0">
    <vt:lpwstr>IT|0774613c-01ed-4e5d-a25d-11d2388de825;FR|d2afafd3-4c81-4f60-8f52-ee33f2f54ff3;EN|f2175f21-25d7-44a3-96da-d6a61b075e1b;PT|50ccc04a-eadd-42ae-a0cb-acaf45f812ba;DA|5d49c027-8956-412b-aa16-e85a0f96ad0e;LT|a7ff5ce7-6123-4f68-865a-a57c31810414;SV|c2ed69e7-a339-43d7-8f22-d93680a92aa0;DE|f6b31e5a-26fa-4935-b661-318e46daf27e</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36;#PT|50ccc04a-eadd-42ae-a0cb-acaf45f812ba;#34;#LT|a7ff5ce7-6123-4f68-865a-a57c31810414;#25;#DE|f6b31e5a-26fa-4935-b661-318e46daf27e;#21;#SV|c2ed69e7-a339-43d7-8f22-d93680a92aa0;#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29" name="VersionStatus_0">
    <vt:lpwstr>Final|ea5e6674-7b27-4bac-b091-73adbb394efe</vt:lpwstr>
  </property>
  <property fmtid="{D5CDD505-2E9C-101B-9397-08002B2CF9AE}" pid="30" name="VersionStatus">
    <vt:lpwstr>8;#Final|ea5e6674-7b27-4bac-b091-73adbb394efe</vt:lpwstr>
  </property>
  <property fmtid="{D5CDD505-2E9C-101B-9397-08002B2CF9AE}" pid="31" name="DocumentLanguage">
    <vt:lpwstr>27;#SL|98a412ae-eb01-49e9-ae3d-585a81724cfc</vt:lpwstr>
  </property>
  <property fmtid="{D5CDD505-2E9C-101B-9397-08002B2CF9AE}" pid="32" name="_docset_NoMedatataSyncRequired">
    <vt:lpwstr>False</vt:lpwstr>
  </property>
</Properties>
</file>