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09E286A0" w:rsidR="004D7AC0" w:rsidRDefault="00A51C0C" w:rsidP="007554BE">
      <w:pPr>
        <w:jc w:val="center"/>
      </w:pPr>
      <w:r>
        <w:rPr>
          <w:noProof/>
        </w:rPr>
        <w:drawing>
          <wp:inline distT="0" distB="0" distL="0" distR="0" wp14:anchorId="4C85C30C" wp14:editId="500C7B49">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5253593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982DD4E" w14:textId="77777777" w:rsidR="004D7AC0" w:rsidRDefault="004D7AC0" w:rsidP="007554BE"/>
    <w:p w14:paraId="4982DD4F" w14:textId="5BDAC6B5" w:rsidR="004D7AC0" w:rsidRDefault="004D7AC0" w:rsidP="007554BE">
      <w:pPr>
        <w:jc w:val="right"/>
      </w:pPr>
      <w:r>
        <w:t>Bruxelles, 4 februarie 2025</w:t>
      </w:r>
    </w:p>
    <w:p w14:paraId="4982DD50" w14:textId="77777777" w:rsidR="004D7AC0" w:rsidRDefault="004D7AC0"/>
    <w:p w14:paraId="4982DD51" w14:textId="77777777" w:rsidR="004D7AC0" w:rsidRDefault="004D7AC0"/>
    <w:p w14:paraId="4982DD52" w14:textId="77777777" w:rsidR="004D7AC0" w:rsidRDefault="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8249AC4" w:rsidR="003066BE" w:rsidRDefault="006C6ECE">
            <w:pPr>
              <w:snapToGrid w:val="0"/>
              <w:jc w:val="center"/>
              <w:rPr>
                <w:b/>
                <w:sz w:val="32"/>
                <w:szCs w:val="32"/>
              </w:rPr>
            </w:pPr>
            <w:r>
              <w:rPr>
                <w:b/>
                <w:sz w:val="32"/>
              </w:rPr>
              <w:t>A 593-A SESIUNE PLENARĂ</w:t>
            </w:r>
          </w:p>
          <w:p w14:paraId="4982DD54" w14:textId="77777777" w:rsidR="003066BE" w:rsidRDefault="003066BE">
            <w:pPr>
              <w:snapToGrid w:val="0"/>
              <w:jc w:val="center"/>
              <w:rPr>
                <w:b/>
                <w:sz w:val="32"/>
                <w:szCs w:val="32"/>
              </w:rPr>
            </w:pPr>
          </w:p>
          <w:p w14:paraId="4982DD55" w14:textId="3F522473" w:rsidR="003066BE" w:rsidRDefault="00850929">
            <w:pPr>
              <w:snapToGrid w:val="0"/>
              <w:jc w:val="center"/>
              <w:rPr>
                <w:b/>
                <w:sz w:val="32"/>
                <w:szCs w:val="32"/>
              </w:rPr>
            </w:pPr>
            <w:r>
              <w:rPr>
                <w:b/>
                <w:sz w:val="32"/>
              </w:rPr>
              <w:t>22 și 23 ianuarie 2025</w:t>
            </w:r>
          </w:p>
          <w:p w14:paraId="4982DD56" w14:textId="77777777" w:rsidR="003066BE" w:rsidRDefault="003066BE">
            <w:pPr>
              <w:snapToGrid w:val="0"/>
              <w:jc w:val="center"/>
              <w:rPr>
                <w:b/>
                <w:sz w:val="32"/>
                <w:szCs w:val="32"/>
              </w:rPr>
            </w:pPr>
          </w:p>
          <w:p w14:paraId="4982DD57" w14:textId="5F5EA12F" w:rsidR="004D7AC0" w:rsidRPr="0081153B" w:rsidRDefault="00754027">
            <w:pPr>
              <w:snapToGrid w:val="0"/>
              <w:jc w:val="center"/>
              <w:rPr>
                <w:rFonts w:eastAsia="MS Mincho"/>
                <w:b/>
                <w:sz w:val="32"/>
                <w:szCs w:val="32"/>
              </w:rPr>
            </w:pPr>
            <w:r>
              <w:rPr>
                <w:b/>
                <w:sz w:val="32"/>
              </w:rPr>
              <w:t xml:space="preserve">REZUMATUL AVIZELOR, REZOLUȚIILOR </w:t>
            </w:r>
            <w:r w:rsidR="00644EF3">
              <w:rPr>
                <w:b/>
                <w:sz w:val="32"/>
              </w:rPr>
              <w:br/>
            </w:r>
            <w:r>
              <w:rPr>
                <w:b/>
                <w:sz w:val="32"/>
              </w:rPr>
              <w:t>ȘI RAPOARTELOR DE INFORMARE/EVALUARE ADOPTATE</w:t>
            </w:r>
          </w:p>
          <w:p w14:paraId="4982DD58" w14:textId="77777777" w:rsidR="004D7AC0" w:rsidRDefault="004D7AC0">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05F5C867" w14:textId="77777777" w:rsidR="00726351" w:rsidRDefault="004D7AC0">
            <w:pPr>
              <w:snapToGrid w:val="0"/>
              <w:jc w:val="center"/>
            </w:pPr>
            <w:r>
              <w:t>Prezentul document este disponibil în toate limbile oficiale ale Uniunii Europene, pe site-ul internet al CESE, la adresa:</w:t>
            </w:r>
          </w:p>
          <w:p w14:paraId="65F2BC50" w14:textId="77777777" w:rsidR="00726351" w:rsidRDefault="00726351">
            <w:pPr>
              <w:snapToGrid w:val="0"/>
              <w:jc w:val="center"/>
            </w:pPr>
          </w:p>
          <w:p w14:paraId="4982DD5A" w14:textId="4D4D220C" w:rsidR="004D7AC0" w:rsidRPr="0081153B" w:rsidRDefault="00333F4B">
            <w:pPr>
              <w:snapToGrid w:val="0"/>
              <w:jc w:val="center"/>
            </w:pPr>
            <w:hyperlink r:id="rId12" w:history="1">
              <w:r w:rsidR="00A51C0C">
                <w:rPr>
                  <w:rStyle w:val="Hyperlink"/>
                </w:rPr>
                <w:t>https://www.eesc.europa.eu/ro/our-work/opinions-information-reports/plenary-session-summaries</w:t>
              </w:r>
            </w:hyperlink>
          </w:p>
          <w:p w14:paraId="4982DD5B" w14:textId="77777777" w:rsidR="004D7AC0" w:rsidRPr="0081153B" w:rsidRDefault="004D7AC0">
            <w:pPr>
              <w:snapToGrid w:val="0"/>
              <w:jc w:val="center"/>
            </w:pPr>
          </w:p>
          <w:p w14:paraId="4982DD5C" w14:textId="77777777" w:rsidR="004D7AC0" w:rsidRPr="0081153B" w:rsidRDefault="004D7AC0">
            <w:pPr>
              <w:snapToGrid w:val="0"/>
              <w:jc w:val="center"/>
              <w:rPr>
                <w:rFonts w:eastAsia="SimSun"/>
              </w:rPr>
            </w:pPr>
          </w:p>
          <w:p w14:paraId="64A40D96" w14:textId="77777777" w:rsidR="00726351" w:rsidRDefault="004D7AC0">
            <w:pPr>
              <w:snapToGrid w:val="0"/>
              <w:jc w:val="center"/>
            </w:pPr>
            <w:r>
              <w:t>Avizele menționate pot fi consultate online prin intermediul motorului de căutare al CESE:</w:t>
            </w:r>
          </w:p>
          <w:p w14:paraId="0E196128" w14:textId="77777777" w:rsidR="00726351" w:rsidRDefault="00726351">
            <w:pPr>
              <w:snapToGrid w:val="0"/>
              <w:jc w:val="center"/>
            </w:pPr>
          </w:p>
          <w:p w14:paraId="4982DD5D" w14:textId="23201122" w:rsidR="004D7AC0" w:rsidRPr="00044561" w:rsidRDefault="00333F4B">
            <w:pPr>
              <w:snapToGrid w:val="0"/>
              <w:jc w:val="center"/>
            </w:pPr>
            <w:hyperlink r:id="rId13" w:history="1">
              <w:r w:rsidR="00A51C0C">
                <w:rPr>
                  <w:rStyle w:val="Hyperlink"/>
                </w:rPr>
                <w:t>https://dmsearch.eesc.europa.eu/search/opinion</w:t>
              </w:r>
            </w:hyperlink>
          </w:p>
          <w:p w14:paraId="4982DD5E" w14:textId="77777777" w:rsidR="004D7AC0" w:rsidRPr="00044561" w:rsidRDefault="004D7AC0">
            <w:pPr>
              <w:snapToGrid w:val="0"/>
              <w:jc w:val="center"/>
            </w:pPr>
          </w:p>
        </w:tc>
      </w:tr>
    </w:tbl>
    <w:p w14:paraId="4982DD60" w14:textId="77777777" w:rsidR="004D7AC0" w:rsidRDefault="004D7AC0"/>
    <w:p w14:paraId="4982DD61" w14:textId="77777777" w:rsidR="004D7AC0" w:rsidRDefault="004D7AC0"/>
    <w:p w14:paraId="4982DD62" w14:textId="77777777" w:rsidR="004D7AC0" w:rsidRDefault="004D7AC0">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pPr>
        <w:rPr>
          <w:b/>
        </w:rPr>
      </w:pPr>
      <w:r>
        <w:rPr>
          <w:b/>
        </w:rPr>
        <w:lastRenderedPageBreak/>
        <w:t>Cuprins: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60010D">
          <w:pPr>
            <w:pStyle w:val="TOCHeading"/>
            <w:spacing w:before="0" w:line="288" w:lineRule="auto"/>
            <w:rPr>
              <w:rFonts w:ascii="Times New Roman" w:hAnsi="Times New Roman" w:cs="Times New Roman"/>
              <w:color w:val="auto"/>
              <w:sz w:val="22"/>
              <w:szCs w:val="22"/>
            </w:rPr>
          </w:pPr>
        </w:p>
        <w:p w14:paraId="1061E78D" w14:textId="79DDE1C4" w:rsidR="00644EF3"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89572512" w:history="1">
            <w:r w:rsidR="00644EF3" w:rsidRPr="00F22773">
              <w:rPr>
                <w:rStyle w:val="Hyperlink"/>
                <w:bCs/>
                <w:noProof/>
              </w:rPr>
              <w:t>1.</w:t>
            </w:r>
            <w:r w:rsidR="00644EF3">
              <w:rPr>
                <w:rFonts w:asciiTheme="minorHAnsi" w:eastAsiaTheme="minorEastAsia" w:hAnsiTheme="minorHAnsi" w:cstheme="minorBidi"/>
                <w:noProof/>
                <w:lang w:val="en-US"/>
              </w:rPr>
              <w:tab/>
            </w:r>
            <w:r w:rsidR="00644EF3" w:rsidRPr="00F22773">
              <w:rPr>
                <w:rStyle w:val="Hyperlink"/>
                <w:b/>
                <w:noProof/>
              </w:rPr>
              <w:t>SECȚIUNEA PENTRU UNIUNEA ECONOMICĂ ȘI MONETARĂ ȘI COEZIUNE ECONOMICĂ ȘI SOCIALĂ</w:t>
            </w:r>
            <w:r w:rsidR="00644EF3">
              <w:rPr>
                <w:noProof/>
                <w:webHidden/>
              </w:rPr>
              <w:tab/>
            </w:r>
            <w:r w:rsidR="00644EF3">
              <w:rPr>
                <w:noProof/>
                <w:webHidden/>
              </w:rPr>
              <w:fldChar w:fldCharType="begin"/>
            </w:r>
            <w:r w:rsidR="00644EF3">
              <w:rPr>
                <w:noProof/>
                <w:webHidden/>
              </w:rPr>
              <w:instrText xml:space="preserve"> PAGEREF _Toc189572512 \h </w:instrText>
            </w:r>
            <w:r w:rsidR="00644EF3">
              <w:rPr>
                <w:noProof/>
                <w:webHidden/>
              </w:rPr>
            </w:r>
            <w:r w:rsidR="00644EF3">
              <w:rPr>
                <w:noProof/>
                <w:webHidden/>
              </w:rPr>
              <w:fldChar w:fldCharType="separate"/>
            </w:r>
            <w:r w:rsidR="00644EF3">
              <w:rPr>
                <w:noProof/>
                <w:webHidden/>
              </w:rPr>
              <w:t>3</w:t>
            </w:r>
            <w:r w:rsidR="00644EF3">
              <w:rPr>
                <w:noProof/>
                <w:webHidden/>
              </w:rPr>
              <w:fldChar w:fldCharType="end"/>
            </w:r>
          </w:hyperlink>
        </w:p>
        <w:p w14:paraId="16FCC6E5" w14:textId="03FF38E6" w:rsidR="00644EF3" w:rsidRDefault="00333F4B">
          <w:pPr>
            <w:pStyle w:val="TOC1"/>
            <w:tabs>
              <w:tab w:val="left" w:pos="440"/>
              <w:tab w:val="right" w:leader="dot" w:pos="9063"/>
            </w:tabs>
            <w:rPr>
              <w:rFonts w:asciiTheme="minorHAnsi" w:eastAsiaTheme="minorEastAsia" w:hAnsiTheme="minorHAnsi" w:cstheme="minorBidi"/>
              <w:noProof/>
              <w:lang w:val="en-US"/>
            </w:rPr>
          </w:pPr>
          <w:hyperlink w:anchor="_Toc189572513" w:history="1">
            <w:r w:rsidR="00644EF3" w:rsidRPr="00F22773">
              <w:rPr>
                <w:rStyle w:val="Hyperlink"/>
                <w:bCs/>
                <w:noProof/>
              </w:rPr>
              <w:t>2.</w:t>
            </w:r>
            <w:r w:rsidR="00644EF3">
              <w:rPr>
                <w:rFonts w:asciiTheme="minorHAnsi" w:eastAsiaTheme="minorEastAsia" w:hAnsiTheme="minorHAnsi" w:cstheme="minorBidi"/>
                <w:noProof/>
                <w:lang w:val="en-US"/>
              </w:rPr>
              <w:tab/>
            </w:r>
            <w:r w:rsidR="00644EF3" w:rsidRPr="00F22773">
              <w:rPr>
                <w:rStyle w:val="Hyperlink"/>
                <w:b/>
                <w:noProof/>
              </w:rPr>
              <w:t>SECȚIUNEA PENTRU OCUPAREA FORȚEI DE MUNCĂ, AFACERI SOCIALE ȘI CETĂȚENIE</w:t>
            </w:r>
            <w:r w:rsidR="00644EF3">
              <w:rPr>
                <w:noProof/>
                <w:webHidden/>
              </w:rPr>
              <w:tab/>
            </w:r>
            <w:r w:rsidR="00644EF3">
              <w:rPr>
                <w:noProof/>
                <w:webHidden/>
              </w:rPr>
              <w:fldChar w:fldCharType="begin"/>
            </w:r>
            <w:r w:rsidR="00644EF3">
              <w:rPr>
                <w:noProof/>
                <w:webHidden/>
              </w:rPr>
              <w:instrText xml:space="preserve"> PAGEREF _Toc189572513 \h </w:instrText>
            </w:r>
            <w:r w:rsidR="00644EF3">
              <w:rPr>
                <w:noProof/>
                <w:webHidden/>
              </w:rPr>
            </w:r>
            <w:r w:rsidR="00644EF3">
              <w:rPr>
                <w:noProof/>
                <w:webHidden/>
              </w:rPr>
              <w:fldChar w:fldCharType="separate"/>
            </w:r>
            <w:r w:rsidR="00644EF3">
              <w:rPr>
                <w:noProof/>
                <w:webHidden/>
              </w:rPr>
              <w:t>4</w:t>
            </w:r>
            <w:r w:rsidR="00644EF3">
              <w:rPr>
                <w:noProof/>
                <w:webHidden/>
              </w:rPr>
              <w:fldChar w:fldCharType="end"/>
            </w:r>
          </w:hyperlink>
        </w:p>
        <w:p w14:paraId="7A66FB48" w14:textId="56236FC7" w:rsidR="00644EF3" w:rsidRDefault="00333F4B">
          <w:pPr>
            <w:pStyle w:val="TOC1"/>
            <w:tabs>
              <w:tab w:val="left" w:pos="440"/>
              <w:tab w:val="right" w:leader="dot" w:pos="9063"/>
            </w:tabs>
            <w:rPr>
              <w:rFonts w:asciiTheme="minorHAnsi" w:eastAsiaTheme="minorEastAsia" w:hAnsiTheme="minorHAnsi" w:cstheme="minorBidi"/>
              <w:noProof/>
              <w:lang w:val="en-US"/>
            </w:rPr>
          </w:pPr>
          <w:hyperlink w:anchor="_Toc189572514" w:history="1">
            <w:r w:rsidR="00644EF3" w:rsidRPr="00F22773">
              <w:rPr>
                <w:rStyle w:val="Hyperlink"/>
                <w:bCs/>
                <w:noProof/>
              </w:rPr>
              <w:t>3.</w:t>
            </w:r>
            <w:r w:rsidR="00644EF3">
              <w:rPr>
                <w:rFonts w:asciiTheme="minorHAnsi" w:eastAsiaTheme="minorEastAsia" w:hAnsiTheme="minorHAnsi" w:cstheme="minorBidi"/>
                <w:noProof/>
                <w:lang w:val="en-US"/>
              </w:rPr>
              <w:tab/>
            </w:r>
            <w:r w:rsidR="00644EF3" w:rsidRPr="00F22773">
              <w:rPr>
                <w:rStyle w:val="Hyperlink"/>
                <w:b/>
                <w:noProof/>
              </w:rPr>
              <w:t>SECȚIUNEA PENTRU TRANSPORTURI, ENERGIE, INFRASTRUCTURĂ ȘI SOCIETATEA INFORMAȚIONALĂ</w:t>
            </w:r>
            <w:r w:rsidR="00644EF3">
              <w:rPr>
                <w:noProof/>
                <w:webHidden/>
              </w:rPr>
              <w:tab/>
            </w:r>
            <w:r w:rsidR="00644EF3">
              <w:rPr>
                <w:noProof/>
                <w:webHidden/>
              </w:rPr>
              <w:fldChar w:fldCharType="begin"/>
            </w:r>
            <w:r w:rsidR="00644EF3">
              <w:rPr>
                <w:noProof/>
                <w:webHidden/>
              </w:rPr>
              <w:instrText xml:space="preserve"> PAGEREF _Toc189572514 \h </w:instrText>
            </w:r>
            <w:r w:rsidR="00644EF3">
              <w:rPr>
                <w:noProof/>
                <w:webHidden/>
              </w:rPr>
            </w:r>
            <w:r w:rsidR="00644EF3">
              <w:rPr>
                <w:noProof/>
                <w:webHidden/>
              </w:rPr>
              <w:fldChar w:fldCharType="separate"/>
            </w:r>
            <w:r w:rsidR="00644EF3">
              <w:rPr>
                <w:noProof/>
                <w:webHidden/>
              </w:rPr>
              <w:t>8</w:t>
            </w:r>
            <w:r w:rsidR="00644EF3">
              <w:rPr>
                <w:noProof/>
                <w:webHidden/>
              </w:rPr>
              <w:fldChar w:fldCharType="end"/>
            </w:r>
          </w:hyperlink>
        </w:p>
        <w:p w14:paraId="5BC2ECEB" w14:textId="01F8DF8F" w:rsidR="00644EF3" w:rsidRDefault="00333F4B">
          <w:pPr>
            <w:pStyle w:val="TOC1"/>
            <w:tabs>
              <w:tab w:val="left" w:pos="440"/>
              <w:tab w:val="right" w:leader="dot" w:pos="9063"/>
            </w:tabs>
            <w:rPr>
              <w:rFonts w:asciiTheme="minorHAnsi" w:eastAsiaTheme="minorEastAsia" w:hAnsiTheme="minorHAnsi" w:cstheme="minorBidi"/>
              <w:noProof/>
              <w:lang w:val="en-US"/>
            </w:rPr>
          </w:pPr>
          <w:hyperlink w:anchor="_Toc189572515" w:history="1">
            <w:r w:rsidR="00644EF3" w:rsidRPr="00F22773">
              <w:rPr>
                <w:rStyle w:val="Hyperlink"/>
                <w:bCs/>
                <w:noProof/>
              </w:rPr>
              <w:t>4.</w:t>
            </w:r>
            <w:r w:rsidR="00644EF3">
              <w:rPr>
                <w:rFonts w:asciiTheme="minorHAnsi" w:eastAsiaTheme="minorEastAsia" w:hAnsiTheme="minorHAnsi" w:cstheme="minorBidi"/>
                <w:noProof/>
                <w:lang w:val="en-US"/>
              </w:rPr>
              <w:tab/>
            </w:r>
            <w:r w:rsidR="00644EF3" w:rsidRPr="00F22773">
              <w:rPr>
                <w:rStyle w:val="Hyperlink"/>
                <w:b/>
                <w:noProof/>
              </w:rPr>
              <w:t>SECȚIUNEA PENTRU PIAȚA UNICĂ, PRODUCȚIE ȘI CONSUM</w:t>
            </w:r>
            <w:r w:rsidR="00644EF3">
              <w:rPr>
                <w:noProof/>
                <w:webHidden/>
              </w:rPr>
              <w:tab/>
            </w:r>
            <w:r w:rsidR="00644EF3">
              <w:rPr>
                <w:noProof/>
                <w:webHidden/>
              </w:rPr>
              <w:fldChar w:fldCharType="begin"/>
            </w:r>
            <w:r w:rsidR="00644EF3">
              <w:rPr>
                <w:noProof/>
                <w:webHidden/>
              </w:rPr>
              <w:instrText xml:space="preserve"> PAGEREF _Toc189572515 \h </w:instrText>
            </w:r>
            <w:r w:rsidR="00644EF3">
              <w:rPr>
                <w:noProof/>
                <w:webHidden/>
              </w:rPr>
            </w:r>
            <w:r w:rsidR="00644EF3">
              <w:rPr>
                <w:noProof/>
                <w:webHidden/>
              </w:rPr>
              <w:fldChar w:fldCharType="separate"/>
            </w:r>
            <w:r w:rsidR="00644EF3">
              <w:rPr>
                <w:noProof/>
                <w:webHidden/>
              </w:rPr>
              <w:t>10</w:t>
            </w:r>
            <w:r w:rsidR="00644EF3">
              <w:rPr>
                <w:noProof/>
                <w:webHidden/>
              </w:rPr>
              <w:fldChar w:fldCharType="end"/>
            </w:r>
          </w:hyperlink>
        </w:p>
        <w:p w14:paraId="6007E5A3" w14:textId="5CD7A94C" w:rsidR="00644EF3" w:rsidRDefault="00333F4B">
          <w:pPr>
            <w:pStyle w:val="TOC1"/>
            <w:tabs>
              <w:tab w:val="left" w:pos="440"/>
              <w:tab w:val="right" w:leader="dot" w:pos="9063"/>
            </w:tabs>
            <w:rPr>
              <w:rFonts w:asciiTheme="minorHAnsi" w:eastAsiaTheme="minorEastAsia" w:hAnsiTheme="minorHAnsi" w:cstheme="minorBidi"/>
              <w:noProof/>
              <w:lang w:val="en-US"/>
            </w:rPr>
          </w:pPr>
          <w:hyperlink w:anchor="_Toc189572516" w:history="1">
            <w:r w:rsidR="00644EF3" w:rsidRPr="00F22773">
              <w:rPr>
                <w:rStyle w:val="Hyperlink"/>
                <w:bCs/>
                <w:noProof/>
              </w:rPr>
              <w:t>5.</w:t>
            </w:r>
            <w:r w:rsidR="00644EF3">
              <w:rPr>
                <w:rFonts w:asciiTheme="minorHAnsi" w:eastAsiaTheme="minorEastAsia" w:hAnsiTheme="minorHAnsi" w:cstheme="minorBidi"/>
                <w:noProof/>
                <w:lang w:val="en-US"/>
              </w:rPr>
              <w:tab/>
            </w:r>
            <w:r w:rsidR="00644EF3" w:rsidRPr="00F22773">
              <w:rPr>
                <w:rStyle w:val="Hyperlink"/>
                <w:b/>
                <w:noProof/>
              </w:rPr>
              <w:t>SECȚIUNEA PENTRU AGRICULTURĂ, DEZVOLTARE RURALĂ ȘI PROTECȚIA MEDIULUI</w:t>
            </w:r>
            <w:r w:rsidR="00644EF3">
              <w:rPr>
                <w:noProof/>
                <w:webHidden/>
              </w:rPr>
              <w:tab/>
            </w:r>
            <w:r w:rsidR="00644EF3">
              <w:rPr>
                <w:noProof/>
                <w:webHidden/>
              </w:rPr>
              <w:fldChar w:fldCharType="begin"/>
            </w:r>
            <w:r w:rsidR="00644EF3">
              <w:rPr>
                <w:noProof/>
                <w:webHidden/>
              </w:rPr>
              <w:instrText xml:space="preserve"> PAGEREF _Toc189572516 \h </w:instrText>
            </w:r>
            <w:r w:rsidR="00644EF3">
              <w:rPr>
                <w:noProof/>
                <w:webHidden/>
              </w:rPr>
            </w:r>
            <w:r w:rsidR="00644EF3">
              <w:rPr>
                <w:noProof/>
                <w:webHidden/>
              </w:rPr>
              <w:fldChar w:fldCharType="separate"/>
            </w:r>
            <w:r w:rsidR="00644EF3">
              <w:rPr>
                <w:noProof/>
                <w:webHidden/>
              </w:rPr>
              <w:t>13</w:t>
            </w:r>
            <w:r w:rsidR="00644EF3">
              <w:rPr>
                <w:noProof/>
                <w:webHidden/>
              </w:rPr>
              <w:fldChar w:fldCharType="end"/>
            </w:r>
          </w:hyperlink>
        </w:p>
        <w:p w14:paraId="2A017821" w14:textId="18451C25" w:rsidR="00644EF3" w:rsidRDefault="00333F4B">
          <w:pPr>
            <w:pStyle w:val="TOC1"/>
            <w:tabs>
              <w:tab w:val="left" w:pos="440"/>
              <w:tab w:val="right" w:leader="dot" w:pos="9063"/>
            </w:tabs>
            <w:rPr>
              <w:rFonts w:asciiTheme="minorHAnsi" w:eastAsiaTheme="minorEastAsia" w:hAnsiTheme="minorHAnsi" w:cstheme="minorBidi"/>
              <w:noProof/>
              <w:lang w:val="en-US"/>
            </w:rPr>
          </w:pPr>
          <w:hyperlink w:anchor="_Toc189572517" w:history="1">
            <w:r w:rsidR="00644EF3" w:rsidRPr="00F22773">
              <w:rPr>
                <w:rStyle w:val="Hyperlink"/>
                <w:bCs/>
                <w:noProof/>
              </w:rPr>
              <w:t>6.</w:t>
            </w:r>
            <w:r w:rsidR="00644EF3">
              <w:rPr>
                <w:rFonts w:asciiTheme="minorHAnsi" w:eastAsiaTheme="minorEastAsia" w:hAnsiTheme="minorHAnsi" w:cstheme="minorBidi"/>
                <w:noProof/>
                <w:lang w:val="en-US"/>
              </w:rPr>
              <w:tab/>
            </w:r>
            <w:r w:rsidR="00644EF3" w:rsidRPr="00F22773">
              <w:rPr>
                <w:rStyle w:val="Hyperlink"/>
                <w:b/>
                <w:noProof/>
              </w:rPr>
              <w:t>SECȚIUNEA PENTRU RELAȚII EXTERNE</w:t>
            </w:r>
            <w:r w:rsidR="00644EF3">
              <w:rPr>
                <w:noProof/>
                <w:webHidden/>
              </w:rPr>
              <w:tab/>
            </w:r>
            <w:r w:rsidR="00644EF3">
              <w:rPr>
                <w:noProof/>
                <w:webHidden/>
              </w:rPr>
              <w:fldChar w:fldCharType="begin"/>
            </w:r>
            <w:r w:rsidR="00644EF3">
              <w:rPr>
                <w:noProof/>
                <w:webHidden/>
              </w:rPr>
              <w:instrText xml:space="preserve"> PAGEREF _Toc189572517 \h </w:instrText>
            </w:r>
            <w:r w:rsidR="00644EF3">
              <w:rPr>
                <w:noProof/>
                <w:webHidden/>
              </w:rPr>
            </w:r>
            <w:r w:rsidR="00644EF3">
              <w:rPr>
                <w:noProof/>
                <w:webHidden/>
              </w:rPr>
              <w:fldChar w:fldCharType="separate"/>
            </w:r>
            <w:r w:rsidR="00644EF3">
              <w:rPr>
                <w:noProof/>
                <w:webHidden/>
              </w:rPr>
              <w:t>14</w:t>
            </w:r>
            <w:r w:rsidR="00644EF3">
              <w:rPr>
                <w:noProof/>
                <w:webHidden/>
              </w:rPr>
              <w:fldChar w:fldCharType="end"/>
            </w:r>
          </w:hyperlink>
        </w:p>
        <w:p w14:paraId="4982DD6A" w14:textId="156A62A2" w:rsidR="004D7AC0" w:rsidRDefault="004D7AC0">
          <w:r>
            <w:rPr>
              <w:b/>
            </w:rPr>
            <w:fldChar w:fldCharType="end"/>
          </w:r>
        </w:p>
      </w:sdtContent>
    </w:sdt>
    <w:p w14:paraId="4982DD6B" w14:textId="77777777" w:rsidR="004D7AC0" w:rsidRDefault="004D7AC0"/>
    <w:p w14:paraId="4982DD6C" w14:textId="77777777" w:rsidR="004D7AC0" w:rsidRDefault="004D7AC0" w:rsidP="0060010D">
      <w:pPr>
        <w:jc w:val="left"/>
      </w:pPr>
      <w:r>
        <w:br w:type="page"/>
      </w:r>
    </w:p>
    <w:p w14:paraId="4982DD6D" w14:textId="77777777" w:rsidR="004D7AC0" w:rsidRDefault="004D7AC0">
      <w:pPr>
        <w:pStyle w:val="Heading1"/>
        <w:rPr>
          <w:b/>
        </w:rPr>
      </w:pPr>
      <w:bookmarkStart w:id="0" w:name="_Toc189572512"/>
      <w:r>
        <w:rPr>
          <w:b/>
        </w:rPr>
        <w:lastRenderedPageBreak/>
        <w:t>SECȚIUNEA PENTRU UNIUNEA ECONOMICĂ ȘI MONETARĂ ȘI COEZIUNE ECONOMICĂ ȘI SOCIALĂ</w:t>
      </w:r>
      <w:bookmarkEnd w:id="0"/>
    </w:p>
    <w:p w14:paraId="4982DD6E" w14:textId="77777777" w:rsidR="004D7AC0" w:rsidRPr="00644EF3" w:rsidRDefault="004D7AC0">
      <w:pPr>
        <w:rPr>
          <w:sz w:val="20"/>
          <w:szCs w:val="20"/>
        </w:rPr>
      </w:pPr>
    </w:p>
    <w:p w14:paraId="687378ED" w14:textId="56C9F723" w:rsidR="00116EE0" w:rsidRPr="00116EE0" w:rsidRDefault="00333F4B" w:rsidP="0060010D">
      <w:pPr>
        <w:widowControl w:val="0"/>
        <w:numPr>
          <w:ilvl w:val="0"/>
          <w:numId w:val="4"/>
        </w:numPr>
        <w:overflowPunct w:val="0"/>
        <w:autoSpaceDE w:val="0"/>
        <w:autoSpaceDN w:val="0"/>
        <w:adjustRightInd w:val="0"/>
        <w:ind w:hanging="567"/>
        <w:textAlignment w:val="baseline"/>
        <w:rPr>
          <w:b/>
          <w:i/>
          <w:iCs/>
          <w:sz w:val="28"/>
          <w:szCs w:val="28"/>
        </w:rPr>
      </w:pPr>
      <w:hyperlink r:id="rId20" w:history="1">
        <w:r w:rsidR="00465FCD">
          <w:rPr>
            <w:b/>
            <w:i/>
            <w:color w:val="0000FF"/>
            <w:sz w:val="28"/>
            <w:u w:val="single"/>
          </w:rPr>
          <w:t>Politica economică a zonei euro pentru 2025</w:t>
        </w:r>
      </w:hyperlink>
    </w:p>
    <w:p w14:paraId="30F305D3" w14:textId="77777777" w:rsidR="00116EE0" w:rsidRPr="00644EF3" w:rsidRDefault="00116EE0">
      <w:pPr>
        <w:widowControl w:val="0"/>
        <w:overflowPunct w:val="0"/>
        <w:autoSpaceDE w:val="0"/>
        <w:autoSpaceDN w:val="0"/>
        <w:adjustRightInd w:val="0"/>
        <w:ind w:left="284"/>
        <w:textAlignment w:val="baseline"/>
        <w:rPr>
          <w:b/>
          <w:i/>
          <w:iCs/>
          <w:sz w:val="18"/>
          <w:szCs w:val="18"/>
          <w:lang w:val="it-IT"/>
        </w:rPr>
      </w:pPr>
    </w:p>
    <w:tbl>
      <w:tblPr>
        <w:tblW w:w="0" w:type="auto"/>
        <w:tblLook w:val="04A0" w:firstRow="1" w:lastRow="0" w:firstColumn="1" w:lastColumn="0" w:noHBand="0" w:noVBand="1"/>
      </w:tblPr>
      <w:tblGrid>
        <w:gridCol w:w="1691"/>
        <w:gridCol w:w="7382"/>
      </w:tblGrid>
      <w:tr w:rsidR="00116EE0" w:rsidRPr="00FA33C4" w14:paraId="16FBB640" w14:textId="77777777" w:rsidTr="0060010D">
        <w:tc>
          <w:tcPr>
            <w:tcW w:w="1701" w:type="dxa"/>
          </w:tcPr>
          <w:p w14:paraId="24898722" w14:textId="1D1AF101" w:rsidR="00116EE0" w:rsidRPr="00FA33C4" w:rsidRDefault="00116EE0">
            <w:pPr>
              <w:tabs>
                <w:tab w:val="center" w:pos="284"/>
              </w:tabs>
              <w:overflowPunct w:val="0"/>
              <w:autoSpaceDE w:val="0"/>
              <w:autoSpaceDN w:val="0"/>
              <w:adjustRightInd w:val="0"/>
              <w:ind w:left="266" w:hanging="266"/>
              <w:textAlignment w:val="baseline"/>
              <w:rPr>
                <w:b/>
                <w:sz w:val="20"/>
                <w:szCs w:val="20"/>
              </w:rPr>
            </w:pPr>
            <w:r>
              <w:rPr>
                <w:b/>
                <w:bCs/>
                <w:sz w:val="20"/>
              </w:rPr>
              <w:t>Raportor</w:t>
            </w:r>
            <w:r>
              <w:rPr>
                <w:sz w:val="20"/>
              </w:rPr>
              <w:t>:</w:t>
            </w:r>
          </w:p>
        </w:tc>
        <w:tc>
          <w:tcPr>
            <w:tcW w:w="7479" w:type="dxa"/>
          </w:tcPr>
          <w:p w14:paraId="0AD7E1BD" w14:textId="6403C7A4" w:rsidR="00116EE0" w:rsidRPr="00FA33C4" w:rsidRDefault="00116EE0">
            <w:pPr>
              <w:tabs>
                <w:tab w:val="center" w:pos="284"/>
              </w:tabs>
              <w:overflowPunct w:val="0"/>
              <w:autoSpaceDE w:val="0"/>
              <w:autoSpaceDN w:val="0"/>
              <w:adjustRightInd w:val="0"/>
              <w:ind w:left="266" w:hanging="266"/>
              <w:textAlignment w:val="baseline"/>
              <w:rPr>
                <w:bCs/>
                <w:sz w:val="20"/>
                <w:szCs w:val="20"/>
              </w:rPr>
            </w:pPr>
            <w:r>
              <w:rPr>
                <w:sz w:val="20"/>
              </w:rPr>
              <w:t>Juraj SIPKO (Grupul „Organizații ale societății civile” – SK)</w:t>
            </w:r>
          </w:p>
        </w:tc>
      </w:tr>
      <w:tr w:rsidR="00116EE0" w:rsidRPr="00FA33C4" w14:paraId="6F5F7528" w14:textId="77777777" w:rsidTr="0060010D">
        <w:tc>
          <w:tcPr>
            <w:tcW w:w="9180" w:type="dxa"/>
            <w:gridSpan w:val="2"/>
          </w:tcPr>
          <w:p w14:paraId="518B7DA1" w14:textId="77777777" w:rsidR="00116EE0" w:rsidRPr="00FA33C4" w:rsidRDefault="00116EE0" w:rsidP="0060010D">
            <w:pPr>
              <w:tabs>
                <w:tab w:val="center" w:pos="284"/>
              </w:tabs>
              <w:overflowPunct w:val="0"/>
              <w:autoSpaceDE w:val="0"/>
              <w:autoSpaceDN w:val="0"/>
              <w:adjustRightInd w:val="0"/>
              <w:ind w:left="266" w:hanging="266"/>
              <w:textAlignment w:val="baseline"/>
              <w:rPr>
                <w:sz w:val="20"/>
                <w:szCs w:val="20"/>
              </w:rPr>
            </w:pPr>
          </w:p>
        </w:tc>
      </w:tr>
      <w:tr w:rsidR="00116EE0" w:rsidRPr="00FA33C4" w14:paraId="0C336C40" w14:textId="77777777" w:rsidTr="0060010D">
        <w:tc>
          <w:tcPr>
            <w:tcW w:w="1701" w:type="dxa"/>
          </w:tcPr>
          <w:p w14:paraId="3C1E8069" w14:textId="2E558704" w:rsidR="00116EE0" w:rsidRPr="00FA33C4" w:rsidRDefault="00116EE0">
            <w:pPr>
              <w:tabs>
                <w:tab w:val="center" w:pos="284"/>
              </w:tabs>
              <w:overflowPunct w:val="0"/>
              <w:autoSpaceDE w:val="0"/>
              <w:autoSpaceDN w:val="0"/>
              <w:adjustRightInd w:val="0"/>
              <w:ind w:left="266" w:hanging="266"/>
              <w:textAlignment w:val="baseline"/>
              <w:rPr>
                <w:b/>
                <w:sz w:val="20"/>
                <w:szCs w:val="20"/>
              </w:rPr>
            </w:pPr>
            <w:r>
              <w:rPr>
                <w:b/>
                <w:sz w:val="20"/>
              </w:rPr>
              <w:t>Referințe</w:t>
            </w:r>
            <w:r w:rsidR="00644EF3">
              <w:rPr>
                <w:b/>
                <w:sz w:val="20"/>
              </w:rPr>
              <w:t>:</w:t>
            </w:r>
          </w:p>
        </w:tc>
        <w:tc>
          <w:tcPr>
            <w:tcW w:w="7479" w:type="dxa"/>
          </w:tcPr>
          <w:p w14:paraId="7930FFCD" w14:textId="77777777" w:rsidR="00116EE0" w:rsidRPr="00FA33C4" w:rsidRDefault="00116EE0">
            <w:pPr>
              <w:tabs>
                <w:tab w:val="center" w:pos="284"/>
              </w:tabs>
              <w:overflowPunct w:val="0"/>
              <w:autoSpaceDE w:val="0"/>
              <w:autoSpaceDN w:val="0"/>
              <w:adjustRightInd w:val="0"/>
              <w:ind w:left="266" w:hanging="266"/>
              <w:textAlignment w:val="baseline"/>
              <w:rPr>
                <w:sz w:val="20"/>
                <w:szCs w:val="20"/>
              </w:rPr>
            </w:pPr>
            <w:r>
              <w:rPr>
                <w:sz w:val="20"/>
              </w:rPr>
              <w:t>COM(2024) 704 final</w:t>
            </w:r>
          </w:p>
          <w:p w14:paraId="67D25C7F" w14:textId="000ECDB3" w:rsidR="00116EE0" w:rsidRPr="00FA33C4" w:rsidRDefault="00116EE0">
            <w:pPr>
              <w:tabs>
                <w:tab w:val="center" w:pos="284"/>
              </w:tabs>
              <w:overflowPunct w:val="0"/>
              <w:autoSpaceDE w:val="0"/>
              <w:autoSpaceDN w:val="0"/>
              <w:adjustRightInd w:val="0"/>
              <w:ind w:left="266" w:hanging="266"/>
              <w:textAlignment w:val="baseline"/>
              <w:rPr>
                <w:sz w:val="20"/>
                <w:szCs w:val="20"/>
              </w:rPr>
            </w:pPr>
            <w:r>
              <w:rPr>
                <w:sz w:val="20"/>
              </w:rPr>
              <w:t>EESC-2024-03910-00-00-AC</w:t>
            </w:r>
          </w:p>
        </w:tc>
      </w:tr>
    </w:tbl>
    <w:p w14:paraId="206FC47C" w14:textId="77777777" w:rsidR="007554BE" w:rsidRPr="00644EF3" w:rsidRDefault="007554BE" w:rsidP="007554BE">
      <w:pPr>
        <w:keepNext/>
        <w:keepLines/>
        <w:tabs>
          <w:tab w:val="center" w:pos="284"/>
        </w:tabs>
        <w:overflowPunct w:val="0"/>
        <w:autoSpaceDE w:val="0"/>
        <w:autoSpaceDN w:val="0"/>
        <w:adjustRightInd w:val="0"/>
        <w:ind w:left="266" w:hanging="266"/>
        <w:textAlignment w:val="baseline"/>
        <w:rPr>
          <w:b/>
          <w:sz w:val="18"/>
          <w:szCs w:val="18"/>
          <w:lang w:val="en-GB"/>
        </w:rPr>
      </w:pPr>
    </w:p>
    <w:p w14:paraId="2BCC8D3F" w14:textId="63E6985B" w:rsidR="00116EE0" w:rsidRDefault="00116EE0" w:rsidP="0060010D">
      <w:pPr>
        <w:keepNext/>
        <w:keepLines/>
        <w:tabs>
          <w:tab w:val="center" w:pos="284"/>
        </w:tabs>
        <w:overflowPunct w:val="0"/>
        <w:autoSpaceDE w:val="0"/>
        <w:autoSpaceDN w:val="0"/>
        <w:adjustRightInd w:val="0"/>
        <w:ind w:left="266" w:hanging="266"/>
        <w:textAlignment w:val="baseline"/>
        <w:rPr>
          <w:b/>
        </w:rPr>
      </w:pPr>
      <w:r>
        <w:rPr>
          <w:b/>
        </w:rPr>
        <w:t>Punctele principale:</w:t>
      </w:r>
    </w:p>
    <w:p w14:paraId="021996D7" w14:textId="77777777" w:rsidR="00E16E3C" w:rsidRPr="00644EF3" w:rsidRDefault="00E16E3C" w:rsidP="0060010D">
      <w:pPr>
        <w:keepNext/>
        <w:keepLines/>
        <w:tabs>
          <w:tab w:val="center" w:pos="284"/>
        </w:tabs>
        <w:overflowPunct w:val="0"/>
        <w:autoSpaceDE w:val="0"/>
        <w:autoSpaceDN w:val="0"/>
        <w:adjustRightInd w:val="0"/>
        <w:ind w:left="266" w:hanging="266"/>
        <w:textAlignment w:val="baseline"/>
        <w:rPr>
          <w:b/>
          <w:sz w:val="18"/>
          <w:szCs w:val="18"/>
          <w:lang w:val="en-GB"/>
        </w:rPr>
      </w:pPr>
    </w:p>
    <w:p w14:paraId="615373FD" w14:textId="77777777" w:rsidR="00116EE0" w:rsidRDefault="00116EE0" w:rsidP="0060010D">
      <w:pPr>
        <w:overflowPunct w:val="0"/>
        <w:autoSpaceDE w:val="0"/>
        <w:autoSpaceDN w:val="0"/>
        <w:adjustRightInd w:val="0"/>
        <w:textAlignment w:val="baseline"/>
        <w:rPr>
          <w:bCs/>
          <w:iCs/>
        </w:rPr>
      </w:pPr>
      <w:r>
        <w:t>CESE:</w:t>
      </w:r>
    </w:p>
    <w:p w14:paraId="5995A366" w14:textId="77777777" w:rsidR="00116EE0" w:rsidRPr="00EE160A" w:rsidRDefault="00116EE0" w:rsidP="0060010D">
      <w:pPr>
        <w:pStyle w:val="ListParagraph"/>
        <w:numPr>
          <w:ilvl w:val="0"/>
          <w:numId w:val="55"/>
        </w:numPr>
        <w:ind w:left="567" w:hanging="567"/>
      </w:pPr>
      <w:r>
        <w:t xml:space="preserve">solicită măsuri urgente de politică economică pentru a asigura reziliența economică și sistemică și măsuri de asigurare a unei creșteri economice sustenabile și </w:t>
      </w:r>
      <w:proofErr w:type="spellStart"/>
      <w:r>
        <w:t>reziliente</w:t>
      </w:r>
      <w:proofErr w:type="spellEnd"/>
      <w:r>
        <w:t xml:space="preserve"> în zona euro, în special în comparație cu cei mai mari concurenți din economia mondială;</w:t>
      </w:r>
    </w:p>
    <w:p w14:paraId="5CAA6EDF" w14:textId="77777777" w:rsidR="00116EE0" w:rsidRPr="00EE160A" w:rsidRDefault="00116EE0" w:rsidP="0060010D">
      <w:pPr>
        <w:pStyle w:val="ListParagraph"/>
        <w:numPr>
          <w:ilvl w:val="0"/>
          <w:numId w:val="55"/>
        </w:numPr>
        <w:ind w:left="567" w:hanging="567"/>
      </w:pPr>
      <w:r>
        <w:t>recomandă aprofundarea pieței interne, adoptarea și punerea în aplicare fără întârziere a unor măsuri pentru o politică industrială coordonată în comun, precum și pentru reforme structurale naționale. Trebuie abordate măsurile administrative și de reglementare excesive;</w:t>
      </w:r>
    </w:p>
    <w:p w14:paraId="116C53A8" w14:textId="77777777" w:rsidR="00116EE0" w:rsidRPr="00EE160A" w:rsidRDefault="00116EE0" w:rsidP="0060010D">
      <w:pPr>
        <w:pStyle w:val="ListParagraph"/>
        <w:numPr>
          <w:ilvl w:val="0"/>
          <w:numId w:val="55"/>
        </w:numPr>
        <w:ind w:left="567" w:hanging="567"/>
      </w:pPr>
      <w:r>
        <w:t>subliniază că este necesar să se coreleze asigurarea sustenabilității fiscale cu necesitatea de a elibera fonduri, nu numai pentru a restabili prosperitatea economică, ci și pentru că acest lucru este în interesul public;</w:t>
      </w:r>
    </w:p>
    <w:p w14:paraId="03D20410" w14:textId="77777777" w:rsidR="00116EE0" w:rsidRPr="00EE160A" w:rsidRDefault="00116EE0" w:rsidP="0060010D">
      <w:pPr>
        <w:pStyle w:val="ListParagraph"/>
        <w:numPr>
          <w:ilvl w:val="0"/>
          <w:numId w:val="55"/>
        </w:numPr>
        <w:ind w:left="567" w:hanging="567"/>
      </w:pPr>
      <w:r>
        <w:t>sprijină accentul pus pe creșterea competitivității, în special prin eliminarea decalajului în materie de investiții față de SUA și de alți concurenți majori din economia mondială, precum și prin crearea condițiilor pentru capitalul de risc, în special pentru a sprijini întreprinderile nou-înființate și pentru a extinde întreprinderile și întreprinderile;</w:t>
      </w:r>
    </w:p>
    <w:p w14:paraId="2AF29DD9" w14:textId="77777777" w:rsidR="00116EE0" w:rsidRPr="00EE160A" w:rsidRDefault="00116EE0" w:rsidP="0060010D">
      <w:pPr>
        <w:pStyle w:val="ListParagraph"/>
        <w:numPr>
          <w:ilvl w:val="0"/>
          <w:numId w:val="55"/>
        </w:numPr>
        <w:ind w:left="567" w:hanging="567"/>
      </w:pPr>
      <w:r>
        <w:t>consideră că politica economică a statelor membre din zona euro nu se referă numai la stabilitate, sustenabilitate și ajustarea indicatorilor-cheie macroeconomici, ci și, mai ales, la reforme structurale și instituționale profunde;</w:t>
      </w:r>
    </w:p>
    <w:p w14:paraId="389E64F9" w14:textId="77777777" w:rsidR="00116EE0" w:rsidRPr="00EE160A" w:rsidRDefault="00116EE0" w:rsidP="0060010D">
      <w:pPr>
        <w:pStyle w:val="ListParagraph"/>
        <w:numPr>
          <w:ilvl w:val="0"/>
          <w:numId w:val="55"/>
        </w:numPr>
        <w:ind w:left="567" w:hanging="567"/>
      </w:pPr>
      <w:r>
        <w:t>subliniază că măsurile instituționale și legislative pentru flexibilitatea pieței forței de muncă, creșterea reală a salariilor și productivitatea muncii trebuie, prin urmare, să fie revizuite, iar securitatea socială va trebui consolidată, cu sprijin pentru incluziune și acces la locuințe;</w:t>
      </w:r>
    </w:p>
    <w:p w14:paraId="2F9487D0" w14:textId="77777777" w:rsidR="00116EE0" w:rsidRPr="00EE160A" w:rsidRDefault="00116EE0" w:rsidP="0060010D">
      <w:pPr>
        <w:pStyle w:val="ListParagraph"/>
        <w:numPr>
          <w:ilvl w:val="0"/>
          <w:numId w:val="55"/>
        </w:numPr>
        <w:ind w:left="567" w:hanging="567"/>
      </w:pPr>
      <w:r>
        <w:t>constată că, având în vedere creșterea cheltuielilor pentru finanțarea tranziției, a apărării și a îmbătrânirii populației, precum și creșterea cheltuielilor pentru a acoperi costurile îndatorării și serviciul datoriei, este important să se asigure un cadru fiscal credibil pe termen mediu;</w:t>
      </w:r>
    </w:p>
    <w:p w14:paraId="702B0ADB" w14:textId="77777777" w:rsidR="00116EE0" w:rsidRPr="00EE160A" w:rsidRDefault="00116EE0" w:rsidP="0060010D">
      <w:pPr>
        <w:pStyle w:val="ListParagraph"/>
        <w:numPr>
          <w:ilvl w:val="0"/>
          <w:numId w:val="55"/>
        </w:numPr>
        <w:ind w:left="567" w:hanging="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sprijină eforturile Comisiei de a eficientiza finanțele publice în general și de a reduce sumele de bani păstrate în paradisurile fiscale. CESE sprijină, de asemenea, planurile G20 privind un impozit pe profit;</w:t>
      </w:r>
    </w:p>
    <w:p w14:paraId="3E4C5AA9" w14:textId="77777777" w:rsidR="00116EE0" w:rsidRPr="00EE160A" w:rsidRDefault="00116EE0" w:rsidP="0060010D">
      <w:pPr>
        <w:pStyle w:val="ListParagraph"/>
        <w:numPr>
          <w:ilvl w:val="0"/>
          <w:numId w:val="55"/>
        </w:numPr>
        <w:ind w:left="567" w:hanging="567"/>
      </w:pPr>
      <w:r>
        <w:t xml:space="preserve">subliniază necesitatea unei răspunderi și a unui angajament suplimentare atunci când se adoptă și se pun în aplicare măsurile individuale. Pentru a face față provocărilor extraordinare viitoare, toate părțile competente și responsabile vor trebui, mai mult ca niciodată, să se angajeze într-un dialog și să colaboreze pentru a plasa economiile din zona euro pe o traiectorie durabilă și </w:t>
      </w:r>
      <w:proofErr w:type="spellStart"/>
      <w:r>
        <w:t>rezilientă</w:t>
      </w:r>
      <w:proofErr w:type="spellEnd"/>
      <w:r>
        <w:t>.</w:t>
      </w:r>
    </w:p>
    <w:p w14:paraId="123EDCD7" w14:textId="77777777" w:rsidR="00116EE0" w:rsidRPr="00116EE0" w:rsidRDefault="00116EE0">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701"/>
        <w:gridCol w:w="7372"/>
      </w:tblGrid>
      <w:tr w:rsidR="00116EE0" w:rsidRPr="00FA33C4" w14:paraId="34B87149" w14:textId="77777777" w:rsidTr="00644EF3">
        <w:tc>
          <w:tcPr>
            <w:tcW w:w="1701" w:type="dxa"/>
          </w:tcPr>
          <w:p w14:paraId="10AAD69C" w14:textId="77777777" w:rsidR="00116EE0" w:rsidRPr="00FA33C4" w:rsidRDefault="00116EE0" w:rsidP="0060010D">
            <w:pPr>
              <w:overflowPunct w:val="0"/>
              <w:autoSpaceDE w:val="0"/>
              <w:autoSpaceDN w:val="0"/>
              <w:adjustRightInd w:val="0"/>
              <w:textAlignment w:val="baseline"/>
              <w:rPr>
                <w:i/>
                <w:sz w:val="20"/>
                <w:szCs w:val="20"/>
              </w:rPr>
            </w:pPr>
            <w:r>
              <w:rPr>
                <w:b/>
                <w:i/>
                <w:sz w:val="20"/>
              </w:rPr>
              <w:t>Date de contact:</w:t>
            </w:r>
          </w:p>
        </w:tc>
        <w:tc>
          <w:tcPr>
            <w:tcW w:w="7372" w:type="dxa"/>
          </w:tcPr>
          <w:p w14:paraId="04F7E27C" w14:textId="52F60DD0" w:rsidR="00116EE0" w:rsidRPr="00FA33C4" w:rsidRDefault="00116EE0" w:rsidP="0060010D">
            <w:pPr>
              <w:overflowPunct w:val="0"/>
              <w:autoSpaceDE w:val="0"/>
              <w:autoSpaceDN w:val="0"/>
              <w:adjustRightInd w:val="0"/>
              <w:textAlignment w:val="baseline"/>
              <w:rPr>
                <w:i/>
                <w:sz w:val="20"/>
                <w:szCs w:val="20"/>
              </w:rPr>
            </w:pPr>
            <w:r>
              <w:rPr>
                <w:i/>
                <w:sz w:val="20"/>
              </w:rPr>
              <w:t>Krisztina Perlaky-Tóth</w:t>
            </w:r>
          </w:p>
        </w:tc>
      </w:tr>
      <w:tr w:rsidR="00116EE0" w:rsidRPr="00FA33C4" w14:paraId="70EB9029" w14:textId="77777777" w:rsidTr="00644EF3">
        <w:tc>
          <w:tcPr>
            <w:tcW w:w="1701" w:type="dxa"/>
          </w:tcPr>
          <w:p w14:paraId="22DEC6E0" w14:textId="77777777" w:rsidR="00116EE0" w:rsidRPr="00FA33C4" w:rsidRDefault="00116EE0" w:rsidP="0060010D">
            <w:pPr>
              <w:overflowPunct w:val="0"/>
              <w:autoSpaceDE w:val="0"/>
              <w:autoSpaceDN w:val="0"/>
              <w:adjustRightInd w:val="0"/>
              <w:textAlignment w:val="baseline"/>
              <w:rPr>
                <w:i/>
                <w:sz w:val="20"/>
                <w:szCs w:val="20"/>
              </w:rPr>
            </w:pPr>
            <w:r>
              <w:rPr>
                <w:i/>
                <w:sz w:val="20"/>
              </w:rPr>
              <w:t>Tel.:</w:t>
            </w:r>
          </w:p>
        </w:tc>
        <w:tc>
          <w:tcPr>
            <w:tcW w:w="7372" w:type="dxa"/>
          </w:tcPr>
          <w:p w14:paraId="5780528B" w14:textId="77777777" w:rsidR="00116EE0" w:rsidRPr="00FA33C4" w:rsidRDefault="00116EE0" w:rsidP="0060010D">
            <w:pPr>
              <w:overflowPunct w:val="0"/>
              <w:autoSpaceDE w:val="0"/>
              <w:autoSpaceDN w:val="0"/>
              <w:adjustRightInd w:val="0"/>
              <w:textAlignment w:val="baseline"/>
              <w:rPr>
                <w:i/>
                <w:sz w:val="20"/>
                <w:szCs w:val="20"/>
              </w:rPr>
            </w:pPr>
            <w:r>
              <w:rPr>
                <w:sz w:val="20"/>
              </w:rPr>
              <w:t>+32 2 5469740</w:t>
            </w:r>
          </w:p>
        </w:tc>
      </w:tr>
      <w:tr w:rsidR="00116EE0" w:rsidRPr="00FA33C4" w14:paraId="507765C2" w14:textId="77777777" w:rsidTr="00644EF3">
        <w:tc>
          <w:tcPr>
            <w:tcW w:w="1701" w:type="dxa"/>
          </w:tcPr>
          <w:p w14:paraId="180663CB" w14:textId="447CD0D6" w:rsidR="00116EE0" w:rsidRPr="00FA33C4" w:rsidRDefault="00E16E3C" w:rsidP="0060010D">
            <w:pPr>
              <w:overflowPunct w:val="0"/>
              <w:autoSpaceDE w:val="0"/>
              <w:autoSpaceDN w:val="0"/>
              <w:adjustRightInd w:val="0"/>
              <w:textAlignment w:val="baseline"/>
              <w:rPr>
                <w:i/>
                <w:sz w:val="20"/>
                <w:szCs w:val="20"/>
              </w:rPr>
            </w:pPr>
            <w:r>
              <w:rPr>
                <w:i/>
                <w:sz w:val="20"/>
              </w:rPr>
              <w:t>Adresa de e-mail:</w:t>
            </w:r>
          </w:p>
        </w:tc>
        <w:tc>
          <w:tcPr>
            <w:tcW w:w="7372" w:type="dxa"/>
          </w:tcPr>
          <w:p w14:paraId="482F0FA1" w14:textId="036474EB" w:rsidR="00116EE0" w:rsidRPr="00FA33C4" w:rsidRDefault="00333F4B" w:rsidP="0060010D">
            <w:pPr>
              <w:overflowPunct w:val="0"/>
              <w:autoSpaceDE w:val="0"/>
              <w:autoSpaceDN w:val="0"/>
              <w:adjustRightInd w:val="0"/>
              <w:textAlignment w:val="baseline"/>
              <w:rPr>
                <w:i/>
                <w:sz w:val="20"/>
                <w:szCs w:val="20"/>
              </w:rPr>
            </w:pPr>
            <w:hyperlink r:id="rId21" w:history="1">
              <w:r w:rsidR="00465FCD">
                <w:rPr>
                  <w:i/>
                  <w:color w:val="0000FF"/>
                  <w:sz w:val="20"/>
                  <w:u w:val="single"/>
                </w:rPr>
                <w:t>Krisztina.PerlakyToth@eesc.europa.eu</w:t>
              </w:r>
            </w:hyperlink>
          </w:p>
        </w:tc>
      </w:tr>
    </w:tbl>
    <w:p w14:paraId="4982DD99" w14:textId="77777777" w:rsidR="004D7AC0" w:rsidRDefault="004D7AC0" w:rsidP="0060010D">
      <w:pPr>
        <w:pStyle w:val="Heading1"/>
        <w:keepNext/>
        <w:keepLines/>
        <w:rPr>
          <w:b/>
        </w:rPr>
      </w:pPr>
      <w:bookmarkStart w:id="1" w:name="_Toc75527081"/>
      <w:bookmarkStart w:id="2" w:name="_Toc189572513"/>
      <w:r>
        <w:rPr>
          <w:b/>
        </w:rPr>
        <w:lastRenderedPageBreak/>
        <w:t>SECȚIUNEA PENTRU OCUPAREA FORȚEI DE MUNCĂ, AFACERI SOCIALE ȘI CETĂȚENIE</w:t>
      </w:r>
      <w:bookmarkEnd w:id="1"/>
      <w:bookmarkEnd w:id="2"/>
    </w:p>
    <w:p w14:paraId="4982DD9A" w14:textId="77777777" w:rsidR="004D7AC0" w:rsidRDefault="004D7AC0" w:rsidP="0060010D">
      <w:pPr>
        <w:keepNext/>
        <w:keepLines/>
      </w:pPr>
    </w:p>
    <w:p w14:paraId="66967C58" w14:textId="0B242FE9" w:rsidR="008D44E2" w:rsidRPr="0060010D" w:rsidRDefault="00333F4B">
      <w:pPr>
        <w:widowControl w:val="0"/>
        <w:numPr>
          <w:ilvl w:val="0"/>
          <w:numId w:val="6"/>
        </w:numPr>
        <w:overflowPunct w:val="0"/>
        <w:autoSpaceDE w:val="0"/>
        <w:autoSpaceDN w:val="0"/>
        <w:adjustRightInd w:val="0"/>
        <w:ind w:left="567" w:hanging="567"/>
        <w:textAlignment w:val="baseline"/>
      </w:pPr>
      <w:hyperlink r:id="rId22" w:history="1">
        <w:r w:rsidR="008D44E2">
          <w:rPr>
            <w:b/>
            <w:i/>
            <w:color w:val="0000FF"/>
            <w:sz w:val="28"/>
            <w:u w:val="single"/>
          </w:rPr>
          <w:t>Evaluarea rapoartelor anuale ale Comisiei Europene privind statul de drept în Uniunea Europeană</w:t>
        </w:r>
      </w:hyperlink>
    </w:p>
    <w:p w14:paraId="362D2C36" w14:textId="77777777" w:rsidR="008D44E2" w:rsidRPr="0060010D" w:rsidRDefault="008D44E2">
      <w:pPr>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694"/>
        <w:gridCol w:w="7379"/>
      </w:tblGrid>
      <w:tr w:rsidR="008D44E2" w:rsidRPr="00FA33C4" w14:paraId="123F4EAC" w14:textId="77777777" w:rsidTr="0060010D">
        <w:tc>
          <w:tcPr>
            <w:tcW w:w="1701" w:type="dxa"/>
          </w:tcPr>
          <w:p w14:paraId="45032CB6" w14:textId="35AA7DC0" w:rsidR="008D44E2" w:rsidRPr="00FA33C4" w:rsidRDefault="008D44E2">
            <w:pPr>
              <w:tabs>
                <w:tab w:val="center" w:pos="284"/>
              </w:tabs>
              <w:overflowPunct w:val="0"/>
              <w:autoSpaceDE w:val="0"/>
              <w:autoSpaceDN w:val="0"/>
              <w:adjustRightInd w:val="0"/>
              <w:ind w:left="567" w:hanging="567"/>
              <w:textAlignment w:val="baseline"/>
              <w:rPr>
                <w:b/>
                <w:sz w:val="20"/>
                <w:szCs w:val="20"/>
              </w:rPr>
            </w:pPr>
            <w:r>
              <w:rPr>
                <w:b/>
                <w:bCs/>
                <w:sz w:val="20"/>
              </w:rPr>
              <w:t>Raportoare</w:t>
            </w:r>
            <w:r>
              <w:rPr>
                <w:sz w:val="20"/>
              </w:rPr>
              <w:t>:</w:t>
            </w:r>
          </w:p>
        </w:tc>
        <w:tc>
          <w:tcPr>
            <w:tcW w:w="7479" w:type="dxa"/>
          </w:tcPr>
          <w:p w14:paraId="4624F106" w14:textId="6AF8BAEA" w:rsidR="008D44E2" w:rsidRPr="00FA33C4" w:rsidRDefault="008D44E2" w:rsidP="0060010D">
            <w:pPr>
              <w:overflowPunct w:val="0"/>
              <w:autoSpaceDE w:val="0"/>
              <w:autoSpaceDN w:val="0"/>
              <w:adjustRightInd w:val="0"/>
              <w:textAlignment w:val="baseline"/>
              <w:rPr>
                <w:sz w:val="20"/>
                <w:szCs w:val="20"/>
              </w:rPr>
            </w:pPr>
            <w:proofErr w:type="spellStart"/>
            <w:r>
              <w:rPr>
                <w:sz w:val="20"/>
              </w:rPr>
              <w:t>Özlem</w:t>
            </w:r>
            <w:proofErr w:type="spellEnd"/>
            <w:r>
              <w:rPr>
                <w:sz w:val="20"/>
              </w:rPr>
              <w:t xml:space="preserve"> YILDIRIM (Grupul „Lucrători” – FR)</w:t>
            </w:r>
          </w:p>
        </w:tc>
      </w:tr>
      <w:tr w:rsidR="008D44E2" w:rsidRPr="00FA33C4" w14:paraId="25438929" w14:textId="77777777" w:rsidTr="0060010D">
        <w:tc>
          <w:tcPr>
            <w:tcW w:w="1701" w:type="dxa"/>
          </w:tcPr>
          <w:p w14:paraId="21B9C7A5" w14:textId="77777777" w:rsidR="008D44E2" w:rsidRPr="00FA33C4" w:rsidRDefault="008D44E2">
            <w:pPr>
              <w:tabs>
                <w:tab w:val="center" w:pos="284"/>
              </w:tabs>
              <w:overflowPunct w:val="0"/>
              <w:autoSpaceDE w:val="0"/>
              <w:autoSpaceDN w:val="0"/>
              <w:adjustRightInd w:val="0"/>
              <w:ind w:left="567" w:hanging="567"/>
              <w:textAlignment w:val="baseline"/>
              <w:rPr>
                <w:b/>
                <w:sz w:val="20"/>
                <w:szCs w:val="20"/>
              </w:rPr>
            </w:pPr>
            <w:r>
              <w:rPr>
                <w:b/>
                <w:sz w:val="20"/>
              </w:rPr>
              <w:t>Coraportor:</w:t>
            </w:r>
          </w:p>
        </w:tc>
        <w:tc>
          <w:tcPr>
            <w:tcW w:w="7479" w:type="dxa"/>
          </w:tcPr>
          <w:p w14:paraId="6F2CD064" w14:textId="58C53D42" w:rsidR="008D44E2" w:rsidRPr="00FA33C4" w:rsidRDefault="008D44E2">
            <w:pPr>
              <w:overflowPunct w:val="0"/>
              <w:autoSpaceDE w:val="0"/>
              <w:autoSpaceDN w:val="0"/>
              <w:adjustRightInd w:val="0"/>
              <w:textAlignment w:val="baseline"/>
              <w:rPr>
                <w:sz w:val="20"/>
                <w:szCs w:val="20"/>
              </w:rPr>
            </w:pPr>
            <w:r>
              <w:rPr>
                <w:sz w:val="20"/>
              </w:rPr>
              <w:t xml:space="preserve">Christian MOOS (Grupul „Organizații ale societății civile” </w:t>
            </w:r>
            <w:r w:rsidR="00644EF3">
              <w:rPr>
                <w:sz w:val="20"/>
              </w:rPr>
              <w:t>–</w:t>
            </w:r>
            <w:r>
              <w:rPr>
                <w:sz w:val="20"/>
              </w:rPr>
              <w:t xml:space="preserve"> DE)</w:t>
            </w:r>
          </w:p>
        </w:tc>
      </w:tr>
      <w:tr w:rsidR="007554BE" w:rsidRPr="00FA33C4" w14:paraId="1AF3DB80" w14:textId="77777777" w:rsidTr="0060010D">
        <w:tc>
          <w:tcPr>
            <w:tcW w:w="1701" w:type="dxa"/>
          </w:tcPr>
          <w:p w14:paraId="73A58438" w14:textId="77777777" w:rsidR="007554BE" w:rsidRPr="00FA33C4" w:rsidRDefault="007554BE" w:rsidP="007554BE">
            <w:pPr>
              <w:tabs>
                <w:tab w:val="center" w:pos="284"/>
              </w:tabs>
              <w:overflowPunct w:val="0"/>
              <w:autoSpaceDE w:val="0"/>
              <w:autoSpaceDN w:val="0"/>
              <w:adjustRightInd w:val="0"/>
              <w:ind w:left="567" w:hanging="567"/>
              <w:textAlignment w:val="baseline"/>
              <w:rPr>
                <w:b/>
                <w:sz w:val="20"/>
                <w:szCs w:val="20"/>
                <w:lang w:val="fr-FR"/>
              </w:rPr>
            </w:pPr>
          </w:p>
        </w:tc>
        <w:tc>
          <w:tcPr>
            <w:tcW w:w="7479" w:type="dxa"/>
          </w:tcPr>
          <w:p w14:paraId="2FCE5DDE" w14:textId="77777777" w:rsidR="007554BE" w:rsidRPr="00FA33C4" w:rsidRDefault="007554BE" w:rsidP="007554BE">
            <w:pPr>
              <w:overflowPunct w:val="0"/>
              <w:autoSpaceDE w:val="0"/>
              <w:autoSpaceDN w:val="0"/>
              <w:adjustRightInd w:val="0"/>
              <w:textAlignment w:val="baseline"/>
              <w:rPr>
                <w:sz w:val="20"/>
                <w:szCs w:val="20"/>
                <w:lang w:val="es-ES"/>
              </w:rPr>
            </w:pPr>
          </w:p>
        </w:tc>
      </w:tr>
      <w:tr w:rsidR="008D44E2" w:rsidRPr="00FA33C4" w14:paraId="02690065" w14:textId="77777777" w:rsidTr="0060010D">
        <w:tc>
          <w:tcPr>
            <w:tcW w:w="1701" w:type="dxa"/>
          </w:tcPr>
          <w:p w14:paraId="2B578688" w14:textId="77777777" w:rsidR="008D44E2" w:rsidRPr="00FA33C4" w:rsidRDefault="008D44E2">
            <w:pPr>
              <w:tabs>
                <w:tab w:val="center" w:pos="284"/>
              </w:tabs>
              <w:overflowPunct w:val="0"/>
              <w:autoSpaceDE w:val="0"/>
              <w:autoSpaceDN w:val="0"/>
              <w:adjustRightInd w:val="0"/>
              <w:ind w:left="567" w:hanging="567"/>
              <w:textAlignment w:val="baseline"/>
              <w:rPr>
                <w:b/>
                <w:sz w:val="20"/>
                <w:szCs w:val="20"/>
              </w:rPr>
            </w:pPr>
            <w:r>
              <w:rPr>
                <w:b/>
                <w:bCs/>
                <w:sz w:val="20"/>
              </w:rPr>
              <w:t>Referință:</w:t>
            </w:r>
          </w:p>
        </w:tc>
        <w:tc>
          <w:tcPr>
            <w:tcW w:w="7479" w:type="dxa"/>
          </w:tcPr>
          <w:p w14:paraId="37A59977" w14:textId="60E9D28B" w:rsidR="00EF40DB" w:rsidRPr="0060010D" w:rsidRDefault="00EF40DB">
            <w:pPr>
              <w:tabs>
                <w:tab w:val="center" w:pos="284"/>
              </w:tabs>
              <w:overflowPunct w:val="0"/>
              <w:autoSpaceDE w:val="0"/>
              <w:autoSpaceDN w:val="0"/>
              <w:adjustRightInd w:val="0"/>
              <w:ind w:left="567" w:hanging="567"/>
              <w:textAlignment w:val="baseline"/>
              <w:rPr>
                <w:sz w:val="20"/>
                <w:szCs w:val="20"/>
              </w:rPr>
            </w:pPr>
            <w:r>
              <w:rPr>
                <w:sz w:val="20"/>
              </w:rPr>
              <w:t>aviz din proprie inițiativă</w:t>
            </w:r>
          </w:p>
          <w:p w14:paraId="57D0DADC" w14:textId="763DB069" w:rsidR="008D44E2" w:rsidRPr="0060010D" w:rsidRDefault="008D44E2">
            <w:pPr>
              <w:tabs>
                <w:tab w:val="center" w:pos="284"/>
              </w:tabs>
              <w:overflowPunct w:val="0"/>
              <w:autoSpaceDE w:val="0"/>
              <w:autoSpaceDN w:val="0"/>
              <w:adjustRightInd w:val="0"/>
              <w:ind w:left="567" w:hanging="567"/>
              <w:textAlignment w:val="baseline"/>
              <w:rPr>
                <w:sz w:val="20"/>
                <w:szCs w:val="20"/>
              </w:rPr>
            </w:pPr>
            <w:r>
              <w:rPr>
                <w:sz w:val="20"/>
              </w:rPr>
              <w:t>EESC-2024-01961-00-00-AC</w:t>
            </w:r>
          </w:p>
        </w:tc>
      </w:tr>
    </w:tbl>
    <w:p w14:paraId="1140C756" w14:textId="77777777" w:rsidR="008D44E2" w:rsidRPr="008D44E2" w:rsidRDefault="008D44E2">
      <w:pPr>
        <w:keepNext/>
        <w:keepLines/>
        <w:tabs>
          <w:tab w:val="center" w:pos="284"/>
        </w:tabs>
        <w:overflowPunct w:val="0"/>
        <w:autoSpaceDE w:val="0"/>
        <w:autoSpaceDN w:val="0"/>
        <w:adjustRightInd w:val="0"/>
        <w:ind w:left="266" w:hanging="266"/>
        <w:textAlignment w:val="baseline"/>
        <w:rPr>
          <w:b/>
          <w:lang w:val="en-GB"/>
        </w:rPr>
      </w:pPr>
    </w:p>
    <w:p w14:paraId="7D2BDAE6" w14:textId="77777777" w:rsidR="008D44E2" w:rsidRPr="008D44E2" w:rsidRDefault="008D44E2">
      <w:pPr>
        <w:keepNext/>
        <w:keepLines/>
        <w:tabs>
          <w:tab w:val="center" w:pos="284"/>
        </w:tabs>
        <w:overflowPunct w:val="0"/>
        <w:autoSpaceDE w:val="0"/>
        <w:autoSpaceDN w:val="0"/>
        <w:adjustRightInd w:val="0"/>
        <w:ind w:left="266" w:hanging="266"/>
        <w:textAlignment w:val="baseline"/>
        <w:rPr>
          <w:b/>
        </w:rPr>
      </w:pPr>
      <w:r>
        <w:rPr>
          <w:b/>
        </w:rPr>
        <w:t>Punctele principale:</w:t>
      </w:r>
    </w:p>
    <w:p w14:paraId="1679A44A" w14:textId="77777777" w:rsidR="008D44E2" w:rsidRPr="008D44E2" w:rsidRDefault="008D44E2">
      <w:pPr>
        <w:overflowPunct w:val="0"/>
        <w:autoSpaceDE w:val="0"/>
        <w:autoSpaceDN w:val="0"/>
        <w:adjustRightInd w:val="0"/>
        <w:textAlignment w:val="baseline"/>
        <w:rPr>
          <w:szCs w:val="20"/>
          <w:lang w:val="en-GB"/>
        </w:rPr>
      </w:pPr>
    </w:p>
    <w:p w14:paraId="53A072BD" w14:textId="77777777" w:rsidR="008D44E2" w:rsidRDefault="008D44E2" w:rsidP="0027707F">
      <w:r>
        <w:t>CESE:</w:t>
      </w:r>
    </w:p>
    <w:p w14:paraId="2D981745" w14:textId="5A481290" w:rsidR="00EE160A" w:rsidRDefault="00EE160A" w:rsidP="00EE160A">
      <w:pPr>
        <w:pStyle w:val="ListParagraph"/>
        <w:numPr>
          <w:ilvl w:val="0"/>
          <w:numId w:val="57"/>
        </w:numPr>
        <w:ind w:left="567" w:hanging="567"/>
      </w:pPr>
      <w:r>
        <w:t>denunță deteriorarea drepturilor omului, a statului de drept și a democrației. Acesta felicită Comisia Europeană pentru setul său de instrumente privind statul de drept. Rapoartele anuale privind statul de drept reprezintă progrese, dar CESE constată unele deficiențe persistente și solicită îmbunătățiri suplimentare;</w:t>
      </w:r>
    </w:p>
    <w:p w14:paraId="41DD115E" w14:textId="3CF567B3" w:rsidR="008D44E2" w:rsidRPr="00EE160A" w:rsidRDefault="008D44E2" w:rsidP="0060010D">
      <w:pPr>
        <w:pStyle w:val="ListParagraph"/>
        <w:numPr>
          <w:ilvl w:val="0"/>
          <w:numId w:val="57"/>
        </w:numPr>
        <w:ind w:left="567" w:hanging="567"/>
      </w:pPr>
      <w:r>
        <w:t>recomandă Comisiei să asigure implicarea semnificativă a societății civile atât în etapele de pregătire, cât și în cele de monitorizare a raportului la nivel național, pentru a garanta participarea activă a părților interesate și asumarea răspunderii, inclusiv prin asistența acordată de CESE;</w:t>
      </w:r>
    </w:p>
    <w:p w14:paraId="58F02A8C" w14:textId="77777777" w:rsidR="008D44E2" w:rsidRPr="00EE160A" w:rsidRDefault="008D44E2" w:rsidP="0060010D">
      <w:pPr>
        <w:pStyle w:val="ListParagraph"/>
        <w:numPr>
          <w:ilvl w:val="0"/>
          <w:numId w:val="57"/>
        </w:numPr>
        <w:ind w:left="567" w:hanging="567"/>
      </w:pPr>
      <w:r>
        <w:t>recomandă Comisiei să adopte o abordare analitică mai nuanțată, implicând experți independenți, efectuând vizite la fața locului și utilizând un limbaj mai direct în evaluarea sa;</w:t>
      </w:r>
    </w:p>
    <w:p w14:paraId="109D302D" w14:textId="77777777" w:rsidR="008D44E2" w:rsidRPr="00EE160A" w:rsidRDefault="008D44E2" w:rsidP="0060010D">
      <w:pPr>
        <w:pStyle w:val="ListParagraph"/>
        <w:numPr>
          <w:ilvl w:val="0"/>
          <w:numId w:val="57"/>
        </w:numPr>
        <w:ind w:left="567" w:hanging="567"/>
      </w:pPr>
      <w:r>
        <w:t>recomandă extinderea secțiunii referitoare la organizațiile societății civile din Raportul anual privind statul de drept, pentru a oferi o evaluare cuprinzătoare bazată pe criterii de referință obiective și pe un dialog transparent cu actorii societății civile;</w:t>
      </w:r>
    </w:p>
    <w:p w14:paraId="794DF6BA" w14:textId="77777777" w:rsidR="008D44E2" w:rsidRPr="00EE160A" w:rsidRDefault="008D44E2" w:rsidP="0060010D">
      <w:pPr>
        <w:pStyle w:val="ListParagraph"/>
        <w:numPr>
          <w:ilvl w:val="0"/>
          <w:numId w:val="57"/>
        </w:numPr>
        <w:ind w:left="567" w:hanging="567"/>
      </w:pPr>
      <w:r>
        <w:t>recomandă Comisiei să elaboreze recomandări specifice fiecărei țări mai precise și mai măsurabile, cu criterii de referință, indicatori și termene clare. Solicită o evaluare mai aprofundată a punerii în aplicare a acestor recomandări, cu o prezentare transparentă, inclusiv în ceea ce privește statele membre care nu au respectat criteriile de referință și termenele, și îndeamnă Comisia să acorde raportului un rol mai important în declanșarea altor mecanisme privind statul de drept, atunci când recomandările specifice fiecărei țări nu sunt puse în aplicare;</w:t>
      </w:r>
    </w:p>
    <w:p w14:paraId="3EFF293E" w14:textId="77777777" w:rsidR="008D44E2" w:rsidRPr="00EE160A" w:rsidRDefault="008D44E2" w:rsidP="0060010D">
      <w:pPr>
        <w:pStyle w:val="ListParagraph"/>
        <w:numPr>
          <w:ilvl w:val="0"/>
          <w:numId w:val="57"/>
        </w:numPr>
        <w:ind w:left="567" w:hanging="567"/>
      </w:pPr>
      <w:r>
        <w:t>recomandă Comisiei să simplifice limbajul rapoartelor pentru a le face mai accesibile publicului larg și jurnaliștilor și să propună o strategie de comunicare cuprinzătoare pentru a crește gradul de conștientizare cu privire la drepturile fundamentale și la statul de drept;</w:t>
      </w:r>
    </w:p>
    <w:p w14:paraId="5DDE0A1C" w14:textId="77777777" w:rsidR="008D44E2" w:rsidRPr="00EE160A" w:rsidRDefault="008D44E2" w:rsidP="0060010D">
      <w:pPr>
        <w:pStyle w:val="ListParagraph"/>
        <w:numPr>
          <w:ilvl w:val="0"/>
          <w:numId w:val="57"/>
        </w:numPr>
        <w:ind w:left="567" w:hanging="567"/>
      </w:pPr>
      <w:r>
        <w:t xml:space="preserve">ia act cu interes de intenția președintei Comisiei de a crea o platformă a societății civile și reiterează faptul că un dialog calitativ depășește simpla consultare. CESE trebuie să participe la guvernanță și să fie o componentă esențială a oricărei astfel de platforme, în calitate de organism creat în baza tratatelor, însărcinat cu consultarea asociațiilor de întreprinderi, a sindicatelor și a societății civile organizate. </w:t>
      </w:r>
    </w:p>
    <w:p w14:paraId="2A36C52A" w14:textId="77777777" w:rsidR="008D44E2" w:rsidRPr="008D44E2" w:rsidRDefault="008D44E2" w:rsidP="0027707F">
      <w:pPr>
        <w:rPr>
          <w:lang w:val="en-GB"/>
        </w:rPr>
      </w:pPr>
    </w:p>
    <w:tbl>
      <w:tblPr>
        <w:tblW w:w="4941" w:type="pct"/>
        <w:tblLook w:val="04A0" w:firstRow="1" w:lastRow="0" w:firstColumn="1" w:lastColumn="0" w:noHBand="0" w:noVBand="1"/>
      </w:tblPr>
      <w:tblGrid>
        <w:gridCol w:w="1985"/>
        <w:gridCol w:w="6981"/>
      </w:tblGrid>
      <w:tr w:rsidR="008D44E2" w:rsidRPr="00FA33C4" w14:paraId="6CC6C850" w14:textId="77777777" w:rsidTr="0060010D">
        <w:trPr>
          <w:trHeight w:val="60"/>
        </w:trPr>
        <w:tc>
          <w:tcPr>
            <w:tcW w:w="1107" w:type="pct"/>
            <w:hideMark/>
          </w:tcPr>
          <w:p w14:paraId="1236B2CE" w14:textId="77777777" w:rsidR="008D44E2" w:rsidRPr="00FA33C4" w:rsidRDefault="008D44E2">
            <w:pPr>
              <w:overflowPunct w:val="0"/>
              <w:autoSpaceDE w:val="0"/>
              <w:autoSpaceDN w:val="0"/>
              <w:adjustRightInd w:val="0"/>
              <w:textAlignment w:val="baseline"/>
              <w:rPr>
                <w:i/>
                <w:sz w:val="20"/>
                <w:szCs w:val="20"/>
              </w:rPr>
            </w:pPr>
            <w:r>
              <w:rPr>
                <w:b/>
                <w:bCs/>
                <w:i/>
                <w:sz w:val="20"/>
              </w:rPr>
              <w:t>Date de contact:</w:t>
            </w:r>
          </w:p>
        </w:tc>
        <w:tc>
          <w:tcPr>
            <w:tcW w:w="3893" w:type="pct"/>
            <w:hideMark/>
          </w:tcPr>
          <w:p w14:paraId="57763471" w14:textId="77777777" w:rsidR="008D44E2" w:rsidRPr="00FA33C4" w:rsidRDefault="008D44E2">
            <w:pPr>
              <w:overflowPunct w:val="0"/>
              <w:autoSpaceDE w:val="0"/>
              <w:autoSpaceDN w:val="0"/>
              <w:adjustRightInd w:val="0"/>
              <w:textAlignment w:val="baseline"/>
              <w:rPr>
                <w:i/>
                <w:sz w:val="20"/>
                <w:szCs w:val="20"/>
              </w:rPr>
            </w:pPr>
            <w:r>
              <w:rPr>
                <w:i/>
                <w:sz w:val="20"/>
              </w:rPr>
              <w:t xml:space="preserve">June </w:t>
            </w:r>
            <w:proofErr w:type="spellStart"/>
            <w:r>
              <w:rPr>
                <w:i/>
                <w:sz w:val="20"/>
              </w:rPr>
              <w:t>Bedaton</w:t>
            </w:r>
            <w:proofErr w:type="spellEnd"/>
          </w:p>
        </w:tc>
      </w:tr>
      <w:tr w:rsidR="008D44E2" w:rsidRPr="00FA33C4" w14:paraId="14276645" w14:textId="77777777" w:rsidTr="0060010D">
        <w:tc>
          <w:tcPr>
            <w:tcW w:w="1107" w:type="pct"/>
            <w:hideMark/>
          </w:tcPr>
          <w:p w14:paraId="20FF892B" w14:textId="77777777" w:rsidR="008D44E2" w:rsidRPr="00FA33C4" w:rsidRDefault="008D44E2">
            <w:pPr>
              <w:overflowPunct w:val="0"/>
              <w:autoSpaceDE w:val="0"/>
              <w:autoSpaceDN w:val="0"/>
              <w:adjustRightInd w:val="0"/>
              <w:textAlignment w:val="baseline"/>
              <w:rPr>
                <w:i/>
                <w:sz w:val="20"/>
                <w:szCs w:val="20"/>
              </w:rPr>
            </w:pPr>
            <w:r>
              <w:rPr>
                <w:i/>
                <w:sz w:val="20"/>
              </w:rPr>
              <w:t>Tel.:</w:t>
            </w:r>
          </w:p>
        </w:tc>
        <w:tc>
          <w:tcPr>
            <w:tcW w:w="3893" w:type="pct"/>
            <w:hideMark/>
          </w:tcPr>
          <w:p w14:paraId="063E03E0" w14:textId="77777777" w:rsidR="008D44E2" w:rsidRPr="00FA33C4" w:rsidRDefault="008D44E2">
            <w:pPr>
              <w:overflowPunct w:val="0"/>
              <w:autoSpaceDE w:val="0"/>
              <w:autoSpaceDN w:val="0"/>
              <w:adjustRightInd w:val="0"/>
              <w:textAlignment w:val="baseline"/>
              <w:rPr>
                <w:i/>
                <w:sz w:val="20"/>
                <w:szCs w:val="20"/>
              </w:rPr>
            </w:pPr>
            <w:r>
              <w:rPr>
                <w:i/>
                <w:sz w:val="20"/>
              </w:rPr>
              <w:t>+32 25468134</w:t>
            </w:r>
          </w:p>
        </w:tc>
      </w:tr>
      <w:tr w:rsidR="008D44E2" w:rsidRPr="00FA33C4" w14:paraId="31D1E30B" w14:textId="77777777" w:rsidTr="0060010D">
        <w:tc>
          <w:tcPr>
            <w:tcW w:w="1107" w:type="pct"/>
            <w:hideMark/>
          </w:tcPr>
          <w:p w14:paraId="468B19E4" w14:textId="7EB66E16" w:rsidR="008D44E2" w:rsidRPr="00FA33C4" w:rsidRDefault="000A6A5A">
            <w:pPr>
              <w:overflowPunct w:val="0"/>
              <w:autoSpaceDE w:val="0"/>
              <w:autoSpaceDN w:val="0"/>
              <w:adjustRightInd w:val="0"/>
              <w:textAlignment w:val="baseline"/>
              <w:rPr>
                <w:i/>
                <w:sz w:val="20"/>
                <w:szCs w:val="20"/>
              </w:rPr>
            </w:pPr>
            <w:r>
              <w:rPr>
                <w:i/>
                <w:sz w:val="20"/>
              </w:rPr>
              <w:t>E-mail:</w:t>
            </w:r>
          </w:p>
        </w:tc>
        <w:tc>
          <w:tcPr>
            <w:tcW w:w="3893" w:type="pct"/>
            <w:hideMark/>
          </w:tcPr>
          <w:p w14:paraId="616D1BD7" w14:textId="77777777" w:rsidR="008D44E2" w:rsidRPr="00FA33C4" w:rsidRDefault="008D44E2">
            <w:pPr>
              <w:overflowPunct w:val="0"/>
              <w:autoSpaceDE w:val="0"/>
              <w:autoSpaceDN w:val="0"/>
              <w:adjustRightInd w:val="0"/>
              <w:textAlignment w:val="baseline"/>
              <w:rPr>
                <w:i/>
                <w:sz w:val="20"/>
                <w:szCs w:val="20"/>
              </w:rPr>
            </w:pPr>
            <w:r>
              <w:rPr>
                <w:i/>
                <w:sz w:val="20"/>
              </w:rPr>
              <w:t>June.Bedaton@eesc.europa.eu</w:t>
            </w:r>
          </w:p>
        </w:tc>
      </w:tr>
    </w:tbl>
    <w:p w14:paraId="1B3AE897" w14:textId="4C7BE647" w:rsidR="000B40B4" w:rsidRPr="00EE160A" w:rsidRDefault="000B40B4" w:rsidP="0060010D">
      <w:pPr>
        <w:jc w:val="left"/>
      </w:pPr>
      <w:r>
        <w:br w:type="page"/>
      </w:r>
    </w:p>
    <w:p w14:paraId="01CD4F6D" w14:textId="37AA4C9C" w:rsidR="00892F37" w:rsidRPr="0060010D" w:rsidRDefault="00333F4B">
      <w:pPr>
        <w:keepNext/>
        <w:keepLines/>
        <w:widowControl w:val="0"/>
        <w:numPr>
          <w:ilvl w:val="0"/>
          <w:numId w:val="6"/>
        </w:numPr>
        <w:overflowPunct w:val="0"/>
        <w:autoSpaceDE w:val="0"/>
        <w:autoSpaceDN w:val="0"/>
        <w:adjustRightInd w:val="0"/>
        <w:ind w:left="567" w:hanging="567"/>
        <w:textAlignment w:val="baseline"/>
        <w:rPr>
          <w:b/>
        </w:rPr>
      </w:pPr>
      <w:hyperlink r:id="rId23" w:history="1">
        <w:r w:rsidR="00A51C0C">
          <w:rPr>
            <w:b/>
            <w:i/>
            <w:color w:val="0000FF"/>
            <w:sz w:val="28"/>
            <w:u w:val="single"/>
          </w:rPr>
          <w:t>Inteligența artificială în sprijinul lucrătorilor: pârghii pentru valorificarea potențialului și atenuarea riscurilor IA în politicile privind ocuparea forței de muncă și piața forței de muncă</w:t>
        </w:r>
      </w:hyperlink>
    </w:p>
    <w:p w14:paraId="4672B116" w14:textId="77777777" w:rsidR="00726351" w:rsidRPr="0060010D" w:rsidRDefault="00726351" w:rsidP="0060010D">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552"/>
        <w:gridCol w:w="7413"/>
      </w:tblGrid>
      <w:tr w:rsidR="00892F37" w:rsidRPr="00FA33C4" w14:paraId="5E6AB028" w14:textId="77777777" w:rsidTr="00C716D8">
        <w:tc>
          <w:tcPr>
            <w:tcW w:w="1593" w:type="dxa"/>
          </w:tcPr>
          <w:p w14:paraId="3204FBC0" w14:textId="77777777" w:rsidR="00892F37" w:rsidRPr="00FA33C4" w:rsidRDefault="00892F37">
            <w:pPr>
              <w:tabs>
                <w:tab w:val="center" w:pos="284"/>
              </w:tabs>
              <w:overflowPunct w:val="0"/>
              <w:autoSpaceDE w:val="0"/>
              <w:autoSpaceDN w:val="0"/>
              <w:adjustRightInd w:val="0"/>
              <w:ind w:left="-109"/>
              <w:textAlignment w:val="baseline"/>
              <w:rPr>
                <w:b/>
                <w:sz w:val="20"/>
                <w:szCs w:val="20"/>
              </w:rPr>
            </w:pPr>
            <w:r>
              <w:rPr>
                <w:b/>
                <w:bCs/>
                <w:sz w:val="20"/>
              </w:rPr>
              <w:t>Raportoare</w:t>
            </w:r>
            <w:r>
              <w:rPr>
                <w:sz w:val="20"/>
              </w:rPr>
              <w:t>:</w:t>
            </w:r>
          </w:p>
        </w:tc>
        <w:tc>
          <w:tcPr>
            <w:tcW w:w="8046" w:type="dxa"/>
          </w:tcPr>
          <w:p w14:paraId="043ACA2C" w14:textId="1B49D803" w:rsidR="001900C9" w:rsidRPr="00FA33C4" w:rsidRDefault="00892F37">
            <w:pPr>
              <w:overflowPunct w:val="0"/>
              <w:autoSpaceDE w:val="0"/>
              <w:autoSpaceDN w:val="0"/>
              <w:adjustRightInd w:val="0"/>
              <w:textAlignment w:val="baseline"/>
              <w:rPr>
                <w:sz w:val="20"/>
                <w:szCs w:val="20"/>
              </w:rPr>
            </w:pPr>
            <w:r>
              <w:rPr>
                <w:sz w:val="20"/>
              </w:rPr>
              <w:t>Franca SALIS-MADINIER (Grupul „Lucrători” – FR)</w:t>
            </w:r>
          </w:p>
        </w:tc>
      </w:tr>
      <w:tr w:rsidR="007554BE" w:rsidRPr="00FA33C4" w14:paraId="073D521C" w14:textId="77777777" w:rsidTr="00C716D8">
        <w:tc>
          <w:tcPr>
            <w:tcW w:w="1593" w:type="dxa"/>
          </w:tcPr>
          <w:p w14:paraId="5CB8AF2B" w14:textId="77777777" w:rsidR="007554BE" w:rsidRPr="00FA33C4" w:rsidRDefault="007554BE" w:rsidP="007554BE">
            <w:pPr>
              <w:tabs>
                <w:tab w:val="center" w:pos="284"/>
              </w:tabs>
              <w:overflowPunct w:val="0"/>
              <w:autoSpaceDE w:val="0"/>
              <w:autoSpaceDN w:val="0"/>
              <w:adjustRightInd w:val="0"/>
              <w:ind w:left="-109"/>
              <w:textAlignment w:val="baseline"/>
              <w:rPr>
                <w:b/>
                <w:sz w:val="20"/>
                <w:szCs w:val="20"/>
              </w:rPr>
            </w:pPr>
          </w:p>
        </w:tc>
        <w:tc>
          <w:tcPr>
            <w:tcW w:w="8046" w:type="dxa"/>
          </w:tcPr>
          <w:p w14:paraId="3424EA4D" w14:textId="77777777" w:rsidR="007554BE" w:rsidRPr="00FA33C4" w:rsidRDefault="007554BE" w:rsidP="007554BE">
            <w:pPr>
              <w:overflowPunct w:val="0"/>
              <w:autoSpaceDE w:val="0"/>
              <w:autoSpaceDN w:val="0"/>
              <w:adjustRightInd w:val="0"/>
              <w:textAlignment w:val="baseline"/>
              <w:rPr>
                <w:sz w:val="20"/>
                <w:szCs w:val="20"/>
              </w:rPr>
            </w:pPr>
          </w:p>
        </w:tc>
      </w:tr>
      <w:tr w:rsidR="00892F37" w:rsidRPr="00FA33C4" w14:paraId="7CC41633" w14:textId="77777777" w:rsidTr="00C716D8">
        <w:tc>
          <w:tcPr>
            <w:tcW w:w="1593" w:type="dxa"/>
          </w:tcPr>
          <w:p w14:paraId="3DF4D4E2" w14:textId="77777777" w:rsidR="00892F37" w:rsidRPr="00FA33C4" w:rsidRDefault="00892F37">
            <w:pPr>
              <w:tabs>
                <w:tab w:val="center" w:pos="284"/>
              </w:tabs>
              <w:overflowPunct w:val="0"/>
              <w:autoSpaceDE w:val="0"/>
              <w:autoSpaceDN w:val="0"/>
              <w:adjustRightInd w:val="0"/>
              <w:ind w:left="-109"/>
              <w:textAlignment w:val="baseline"/>
              <w:rPr>
                <w:b/>
                <w:sz w:val="20"/>
                <w:szCs w:val="20"/>
              </w:rPr>
            </w:pPr>
            <w:r>
              <w:rPr>
                <w:b/>
                <w:bCs/>
                <w:sz w:val="20"/>
              </w:rPr>
              <w:t>Referință:</w:t>
            </w:r>
          </w:p>
        </w:tc>
        <w:tc>
          <w:tcPr>
            <w:tcW w:w="8046" w:type="dxa"/>
          </w:tcPr>
          <w:p w14:paraId="55BA3B3E" w14:textId="03F243FE" w:rsidR="001900C9" w:rsidRPr="0060010D" w:rsidRDefault="001900C9">
            <w:pPr>
              <w:tabs>
                <w:tab w:val="center" w:pos="284"/>
              </w:tabs>
              <w:overflowPunct w:val="0"/>
              <w:autoSpaceDE w:val="0"/>
              <w:autoSpaceDN w:val="0"/>
              <w:adjustRightInd w:val="0"/>
              <w:textAlignment w:val="baseline"/>
              <w:rPr>
                <w:sz w:val="20"/>
                <w:szCs w:val="20"/>
              </w:rPr>
            </w:pPr>
            <w:r>
              <w:rPr>
                <w:sz w:val="20"/>
              </w:rPr>
              <w:t>aviz din proprie inițiativă</w:t>
            </w:r>
          </w:p>
          <w:p w14:paraId="7497C095" w14:textId="32327B8A" w:rsidR="00892F37" w:rsidRPr="0060010D" w:rsidRDefault="00892F37">
            <w:pPr>
              <w:tabs>
                <w:tab w:val="center" w:pos="284"/>
              </w:tabs>
              <w:overflowPunct w:val="0"/>
              <w:autoSpaceDE w:val="0"/>
              <w:autoSpaceDN w:val="0"/>
              <w:adjustRightInd w:val="0"/>
              <w:textAlignment w:val="baseline"/>
              <w:rPr>
                <w:sz w:val="20"/>
                <w:szCs w:val="20"/>
              </w:rPr>
            </w:pPr>
            <w:r>
              <w:rPr>
                <w:sz w:val="20"/>
              </w:rPr>
              <w:t>EESC-2024-01024-00-00-AC-TRA</w:t>
            </w:r>
          </w:p>
        </w:tc>
      </w:tr>
    </w:tbl>
    <w:p w14:paraId="0994AF52" w14:textId="77777777" w:rsidR="00892F37" w:rsidRPr="00892F37" w:rsidRDefault="00892F37">
      <w:pPr>
        <w:keepNext/>
        <w:keepLines/>
        <w:tabs>
          <w:tab w:val="center" w:pos="0"/>
        </w:tabs>
        <w:overflowPunct w:val="0"/>
        <w:autoSpaceDE w:val="0"/>
        <w:autoSpaceDN w:val="0"/>
        <w:adjustRightInd w:val="0"/>
        <w:textAlignment w:val="baseline"/>
        <w:rPr>
          <w:b/>
          <w:lang w:val="en-GB"/>
        </w:rPr>
      </w:pPr>
    </w:p>
    <w:p w14:paraId="28169BF5" w14:textId="77777777" w:rsidR="00892F37" w:rsidRPr="00892F37" w:rsidRDefault="00892F37">
      <w:pPr>
        <w:keepNext/>
        <w:keepLines/>
        <w:tabs>
          <w:tab w:val="center" w:pos="0"/>
        </w:tabs>
        <w:overflowPunct w:val="0"/>
        <w:autoSpaceDE w:val="0"/>
        <w:autoSpaceDN w:val="0"/>
        <w:adjustRightInd w:val="0"/>
        <w:textAlignment w:val="baseline"/>
        <w:rPr>
          <w:b/>
        </w:rPr>
      </w:pPr>
      <w:r>
        <w:rPr>
          <w:b/>
        </w:rPr>
        <w:t>Punctele principale:</w:t>
      </w:r>
    </w:p>
    <w:p w14:paraId="0669BE34" w14:textId="77777777" w:rsidR="00892F37" w:rsidRPr="00892F37" w:rsidRDefault="00892F37">
      <w:pPr>
        <w:overflowPunct w:val="0"/>
        <w:autoSpaceDE w:val="0"/>
        <w:autoSpaceDN w:val="0"/>
        <w:adjustRightInd w:val="0"/>
        <w:textAlignment w:val="baseline"/>
        <w:rPr>
          <w:szCs w:val="20"/>
          <w:lang w:val="en-GB"/>
        </w:rPr>
      </w:pPr>
    </w:p>
    <w:p w14:paraId="21B28D36" w14:textId="77777777" w:rsidR="00892F37" w:rsidRDefault="00892F37" w:rsidP="0060010D">
      <w:pPr>
        <w:overflowPunct w:val="0"/>
        <w:autoSpaceDE w:val="0"/>
        <w:autoSpaceDN w:val="0"/>
        <w:adjustRightInd w:val="0"/>
        <w:textAlignment w:val="baseline"/>
        <w:rPr>
          <w:szCs w:val="20"/>
        </w:rPr>
      </w:pPr>
      <w:r>
        <w:t>CESE:</w:t>
      </w:r>
    </w:p>
    <w:p w14:paraId="59E00C8F" w14:textId="77777777" w:rsidR="00892F37" w:rsidRPr="00892F37" w:rsidRDefault="00892F37" w:rsidP="0060010D">
      <w:pPr>
        <w:pStyle w:val="ListParagraph"/>
        <w:numPr>
          <w:ilvl w:val="1"/>
          <w:numId w:val="47"/>
        </w:numPr>
        <w:ind w:left="567" w:hanging="567"/>
      </w:pPr>
      <w:r>
        <w:t xml:space="preserve">consideră că dialogul social și implicarea lucrătorilor joacă un rol esențial în păstrarea drepturilor fundamentale ale lucrătorilor și în promovarea unei IA </w:t>
      </w:r>
      <w:r>
        <w:rPr>
          <w:i/>
          <w:iCs/>
        </w:rPr>
        <w:t>fiabile</w:t>
      </w:r>
      <w:r>
        <w:t xml:space="preserve"> în universul muncii. Una dintre pârghiile pentru reducerea la minimum a riscurilor și a impactului nociv al sistemelor de IA este implicarea mai puternică a lucrătorilor și a reprezentanților lor.</w:t>
      </w:r>
    </w:p>
    <w:p w14:paraId="034EAFC8" w14:textId="77777777" w:rsidR="00892F37" w:rsidRPr="00EE160A" w:rsidRDefault="00892F37" w:rsidP="0060010D">
      <w:pPr>
        <w:pStyle w:val="ListParagraph"/>
        <w:numPr>
          <w:ilvl w:val="0"/>
          <w:numId w:val="47"/>
        </w:numPr>
        <w:ind w:left="567" w:hanging="567"/>
        <w:rPr>
          <w:szCs w:val="20"/>
        </w:rPr>
      </w:pPr>
      <w:r>
        <w:t>insistă că inițiativele legislative sau de altă natură pentru adaptarea legislației existente ar trebui să abordeze lacunele în materie de protecție a drepturilor lucrătorilor la locul de muncă și să garanteze că oamenii dețin în continuare controlul în toate interacțiunile om-mașină.</w:t>
      </w:r>
    </w:p>
    <w:p w14:paraId="7CBA395C" w14:textId="77777777" w:rsidR="00892F37" w:rsidRPr="00EE160A" w:rsidRDefault="00892F37" w:rsidP="0060010D">
      <w:pPr>
        <w:pStyle w:val="ListParagraph"/>
        <w:numPr>
          <w:ilvl w:val="0"/>
          <w:numId w:val="47"/>
        </w:numPr>
        <w:ind w:left="567" w:hanging="567"/>
        <w:rPr>
          <w:szCs w:val="20"/>
        </w:rPr>
      </w:pPr>
      <w:r>
        <w:t>consideră că dispozițiile legale existente ale UE relevante pentru utilizarea IA la locul de muncă ar trebui să fie susținute de orientări explicite.</w:t>
      </w:r>
    </w:p>
    <w:p w14:paraId="0F3776FD" w14:textId="77777777" w:rsidR="00892F37" w:rsidRPr="00EE160A" w:rsidRDefault="00892F37" w:rsidP="0060010D">
      <w:pPr>
        <w:pStyle w:val="ListParagraph"/>
        <w:numPr>
          <w:ilvl w:val="0"/>
          <w:numId w:val="47"/>
        </w:numPr>
        <w:ind w:left="567" w:hanging="567"/>
        <w:rPr>
          <w:szCs w:val="20"/>
        </w:rPr>
      </w:pPr>
      <w:r>
        <w:t>sprijină punerea în aplicare rapidă a articolului 4 din Legea privind IA pentru a le permite angajaților să gestioneze instrumentele IA;</w:t>
      </w:r>
    </w:p>
    <w:p w14:paraId="5DDC75FD" w14:textId="77777777" w:rsidR="00892F37" w:rsidRPr="00EE160A" w:rsidRDefault="00892F37" w:rsidP="0060010D">
      <w:pPr>
        <w:pStyle w:val="ListParagraph"/>
        <w:numPr>
          <w:ilvl w:val="0"/>
          <w:numId w:val="47"/>
        </w:numPr>
        <w:ind w:left="567" w:hanging="567"/>
        <w:rPr>
          <w:szCs w:val="20"/>
        </w:rPr>
      </w:pPr>
      <w:r>
        <w:t>consideră că autoritățile publice trebuie să pună în aplicare inițiative de dezvoltare a competențelor pentru lucrători și cetățeni, pentru a garanta că sistemele de inteligență artificială îmbunătățesc capacitățile oamenilor, și nu îi înlocuiesc.</w:t>
      </w:r>
    </w:p>
    <w:p w14:paraId="6DA75FF2" w14:textId="77777777" w:rsidR="00892F37" w:rsidRPr="00EE160A" w:rsidRDefault="00892F37" w:rsidP="0060010D">
      <w:pPr>
        <w:pStyle w:val="ListParagraph"/>
        <w:numPr>
          <w:ilvl w:val="0"/>
          <w:numId w:val="47"/>
        </w:numPr>
        <w:ind w:left="567" w:hanging="567"/>
        <w:rPr>
          <w:szCs w:val="20"/>
        </w:rPr>
      </w:pPr>
      <w:r>
        <w:t xml:space="preserve">emite un apel ferm la un dialog social consolidat privind implementarea sistemelor de IA pe baza unui instrument juridic ad </w:t>
      </w:r>
      <w:proofErr w:type="spellStart"/>
      <w:r>
        <w:t>hoc</w:t>
      </w:r>
      <w:proofErr w:type="spellEnd"/>
      <w:r>
        <w:t xml:space="preserve"> al UE care include dispoziții pentru a realiza în mod mai eficace următoarele:</w:t>
      </w:r>
    </w:p>
    <w:p w14:paraId="4918BC7A" w14:textId="2DD0356B" w:rsidR="00892F37" w:rsidRPr="00EE160A" w:rsidRDefault="00892F37" w:rsidP="0060010D">
      <w:pPr>
        <w:pStyle w:val="ListParagraph"/>
        <w:numPr>
          <w:ilvl w:val="0"/>
          <w:numId w:val="48"/>
        </w:numPr>
        <w:ind w:left="851" w:hanging="284"/>
        <w:rPr>
          <w:szCs w:val="20"/>
        </w:rPr>
      </w:pPr>
      <w:r>
        <w:t>asigurarea respectării articolului 88 din Regulamentul general privind protecția datelor (RGPD)</w:t>
      </w:r>
    </w:p>
    <w:p w14:paraId="55036E02" w14:textId="7AF0AEAC" w:rsidR="00892F37" w:rsidRPr="00EE160A" w:rsidRDefault="00892F37" w:rsidP="0060010D">
      <w:pPr>
        <w:pStyle w:val="ListParagraph"/>
        <w:numPr>
          <w:ilvl w:val="0"/>
          <w:numId w:val="48"/>
        </w:numPr>
        <w:ind w:left="851" w:hanging="284"/>
        <w:rPr>
          <w:szCs w:val="20"/>
        </w:rPr>
      </w:pPr>
      <w:r>
        <w:t>extinderea domeniului de aplicare al dispozițiilor cuprinse în Directiva privind îmbunătățirea condițiilor de muncă în cadrul muncii pe platforme pentru a aborda provocările pe care sistemele de gestionare algoritmică le reprezintă pentru toți lucrătorii;</w:t>
      </w:r>
    </w:p>
    <w:p w14:paraId="7FA02CD2" w14:textId="77777777" w:rsidR="00892F37" w:rsidRPr="00EE160A" w:rsidRDefault="00892F37" w:rsidP="0060010D">
      <w:pPr>
        <w:pStyle w:val="ListParagraph"/>
        <w:numPr>
          <w:ilvl w:val="0"/>
          <w:numId w:val="48"/>
        </w:numPr>
        <w:ind w:left="851" w:hanging="284"/>
        <w:rPr>
          <w:szCs w:val="20"/>
        </w:rPr>
      </w:pPr>
      <w:r>
        <w:t>consolidarea normelor aplicabile în temeiul Directivei 2002/14/CE atunci când sunt introduse sisteme de IA cu grad ridicat de risc și elaborarea unor orientări explicite referitoare la dispozițiile Directivei UE 89/391 privind securitatea și sănătatea la locul de muncă;</w:t>
      </w:r>
    </w:p>
    <w:p w14:paraId="3EE47C49" w14:textId="77777777" w:rsidR="00892F37" w:rsidRPr="00EE160A" w:rsidRDefault="00892F37" w:rsidP="0060010D">
      <w:pPr>
        <w:pStyle w:val="ListParagraph"/>
        <w:numPr>
          <w:ilvl w:val="0"/>
          <w:numId w:val="48"/>
        </w:numPr>
        <w:ind w:left="851" w:hanging="284"/>
        <w:rPr>
          <w:szCs w:val="20"/>
        </w:rPr>
      </w:pPr>
      <w:r>
        <w:t>extinderea comunicării evaluării impactului asupra protecției datelor (EIPD) către reprezentanții lucrătorilor, astfel cum este prevăzut în Directiva privind îmbunătățirea condițiilor de muncă în cadrul muncii pe platforme;</w:t>
      </w:r>
    </w:p>
    <w:p w14:paraId="5E80CA12" w14:textId="77777777" w:rsidR="00892F37" w:rsidRPr="00EE160A" w:rsidRDefault="00892F37" w:rsidP="0060010D">
      <w:pPr>
        <w:pStyle w:val="ListParagraph"/>
        <w:numPr>
          <w:ilvl w:val="0"/>
          <w:numId w:val="48"/>
        </w:numPr>
        <w:ind w:left="851" w:hanging="284"/>
        <w:rPr>
          <w:szCs w:val="20"/>
        </w:rPr>
      </w:pPr>
      <w:r>
        <w:t xml:space="preserve">furnizarea unor evaluări </w:t>
      </w:r>
      <w:r>
        <w:rPr>
          <w:i/>
          <w:iCs/>
        </w:rPr>
        <w:t>ex ante</w:t>
      </w:r>
      <w:r>
        <w:t xml:space="preserve"> ale impactului asupra drepturilor fundamentale (FRIA), care să fie efectuate de furnizori înainte de implementarea sistemelor cu grad ridicat de risc; și</w:t>
      </w:r>
    </w:p>
    <w:p w14:paraId="0DD4EE4E" w14:textId="77777777" w:rsidR="00892F37" w:rsidRPr="00EE160A" w:rsidRDefault="00892F37" w:rsidP="0060010D">
      <w:pPr>
        <w:pStyle w:val="ListParagraph"/>
        <w:numPr>
          <w:ilvl w:val="0"/>
          <w:numId w:val="48"/>
        </w:numPr>
        <w:ind w:left="851" w:hanging="284"/>
        <w:rPr>
          <w:szCs w:val="20"/>
        </w:rPr>
      </w:pPr>
      <w:r>
        <w:t>stabilirea de orientări clare cu privire la modul în care pot fi utilizate spațiile de testare și condițiile reale de testare.</w:t>
      </w:r>
    </w:p>
    <w:p w14:paraId="7CF59E6C" w14:textId="77777777" w:rsidR="000D43E1" w:rsidRDefault="000D43E1" w:rsidP="00EE160A">
      <w:pPr>
        <w:rPr>
          <w:bCs/>
          <w:lang w:val="en-GB"/>
        </w:rPr>
      </w:pPr>
    </w:p>
    <w:p w14:paraId="0285FD8F" w14:textId="2B55283E" w:rsidR="00892F37" w:rsidRPr="00892F37" w:rsidRDefault="00892F37" w:rsidP="00EE160A">
      <w:pPr>
        <w:rPr>
          <w:bCs/>
          <w:szCs w:val="20"/>
        </w:rPr>
      </w:pPr>
      <w:r>
        <w:lastRenderedPageBreak/>
        <w:t xml:space="preserve">Din cauza opiniilor divergente, membrii Grupului „Angajatori” al CESE au depus un </w:t>
      </w:r>
      <w:proofErr w:type="spellStart"/>
      <w:r>
        <w:t>contraaviz</w:t>
      </w:r>
      <w:proofErr w:type="spellEnd"/>
      <w:r>
        <w:t xml:space="preserve">. </w:t>
      </w:r>
      <w:proofErr w:type="spellStart"/>
      <w:r>
        <w:t>Contraavizul</w:t>
      </w:r>
      <w:proofErr w:type="spellEnd"/>
      <w:r>
        <w:t xml:space="preserve"> a fost respins de CESE (112 voturi pentru/136 împotrivă/11 abțineri), dar, întrucât a obținut peste un sfert din voturile exprimate, în conformitate cu Regulamentul de procedură al CESE, este anexat la aviz.</w:t>
      </w:r>
    </w:p>
    <w:p w14:paraId="695D15E3" w14:textId="77777777" w:rsidR="00892F37" w:rsidRPr="00892F37" w:rsidRDefault="00892F37" w:rsidP="0060010D">
      <w:pPr>
        <w:overflowPunct w:val="0"/>
        <w:autoSpaceDE w:val="0"/>
        <w:autoSpaceDN w:val="0"/>
        <w:adjustRightInd w:val="0"/>
        <w:textAlignment w:val="baseline"/>
        <w:rPr>
          <w:szCs w:val="20"/>
          <w:lang w:val="en-GB"/>
        </w:rPr>
      </w:pPr>
    </w:p>
    <w:tbl>
      <w:tblPr>
        <w:tblW w:w="0" w:type="auto"/>
        <w:tblInd w:w="-142" w:type="dxa"/>
        <w:tblLook w:val="04A0" w:firstRow="1" w:lastRow="0" w:firstColumn="1" w:lastColumn="0" w:noHBand="0" w:noVBand="1"/>
      </w:tblPr>
      <w:tblGrid>
        <w:gridCol w:w="1702"/>
        <w:gridCol w:w="7513"/>
      </w:tblGrid>
      <w:tr w:rsidR="00892F37" w:rsidRPr="00FA33C4" w14:paraId="4508FF0D" w14:textId="77777777" w:rsidTr="00E206D6">
        <w:tc>
          <w:tcPr>
            <w:tcW w:w="1702" w:type="dxa"/>
          </w:tcPr>
          <w:p w14:paraId="331D957C" w14:textId="77777777" w:rsidR="00892F37" w:rsidRPr="00FA33C4" w:rsidRDefault="00892F37" w:rsidP="0060010D">
            <w:pPr>
              <w:overflowPunct w:val="0"/>
              <w:autoSpaceDE w:val="0"/>
              <w:autoSpaceDN w:val="0"/>
              <w:adjustRightInd w:val="0"/>
              <w:textAlignment w:val="baseline"/>
              <w:rPr>
                <w:i/>
                <w:sz w:val="20"/>
                <w:szCs w:val="20"/>
              </w:rPr>
            </w:pPr>
            <w:r>
              <w:rPr>
                <w:b/>
                <w:i/>
                <w:sz w:val="20"/>
              </w:rPr>
              <w:t>Date de contact:</w:t>
            </w:r>
          </w:p>
        </w:tc>
        <w:tc>
          <w:tcPr>
            <w:tcW w:w="7513" w:type="dxa"/>
          </w:tcPr>
          <w:p w14:paraId="10FC95BC" w14:textId="77777777" w:rsidR="00892F37" w:rsidRPr="00FA33C4" w:rsidRDefault="00892F37" w:rsidP="0060010D">
            <w:pPr>
              <w:overflowPunct w:val="0"/>
              <w:autoSpaceDE w:val="0"/>
              <w:autoSpaceDN w:val="0"/>
              <w:adjustRightInd w:val="0"/>
              <w:ind w:hanging="12"/>
              <w:textAlignment w:val="baseline"/>
              <w:rPr>
                <w:i/>
                <w:sz w:val="20"/>
                <w:szCs w:val="20"/>
              </w:rPr>
            </w:pPr>
            <w:r>
              <w:rPr>
                <w:i/>
                <w:sz w:val="20"/>
              </w:rPr>
              <w:t>Ana Dumitrache</w:t>
            </w:r>
          </w:p>
        </w:tc>
      </w:tr>
      <w:tr w:rsidR="00892F37" w:rsidRPr="00FA33C4" w14:paraId="574BBACD" w14:textId="77777777" w:rsidTr="00E206D6">
        <w:tc>
          <w:tcPr>
            <w:tcW w:w="1702" w:type="dxa"/>
          </w:tcPr>
          <w:p w14:paraId="052D6094" w14:textId="77777777" w:rsidR="00892F37" w:rsidRPr="00FA33C4" w:rsidRDefault="00892F37" w:rsidP="0060010D">
            <w:pPr>
              <w:overflowPunct w:val="0"/>
              <w:autoSpaceDE w:val="0"/>
              <w:autoSpaceDN w:val="0"/>
              <w:adjustRightInd w:val="0"/>
              <w:textAlignment w:val="baseline"/>
              <w:rPr>
                <w:i/>
                <w:sz w:val="20"/>
                <w:szCs w:val="20"/>
              </w:rPr>
            </w:pPr>
            <w:r>
              <w:rPr>
                <w:i/>
                <w:sz w:val="20"/>
              </w:rPr>
              <w:t>Tel.:</w:t>
            </w:r>
          </w:p>
        </w:tc>
        <w:tc>
          <w:tcPr>
            <w:tcW w:w="7513" w:type="dxa"/>
          </w:tcPr>
          <w:p w14:paraId="38DED2DA" w14:textId="77777777" w:rsidR="00892F37" w:rsidRPr="00FA33C4" w:rsidRDefault="00892F37" w:rsidP="0060010D">
            <w:pPr>
              <w:overflowPunct w:val="0"/>
              <w:autoSpaceDE w:val="0"/>
              <w:autoSpaceDN w:val="0"/>
              <w:adjustRightInd w:val="0"/>
              <w:textAlignment w:val="baseline"/>
              <w:rPr>
                <w:i/>
                <w:sz w:val="20"/>
                <w:szCs w:val="20"/>
              </w:rPr>
            </w:pPr>
            <w:r>
              <w:rPr>
                <w:i/>
                <w:sz w:val="20"/>
              </w:rPr>
              <w:t>+32 2546 8</w:t>
            </w:r>
            <w:r>
              <w:rPr>
                <w:sz w:val="20"/>
              </w:rPr>
              <w:t>131</w:t>
            </w:r>
          </w:p>
        </w:tc>
      </w:tr>
      <w:tr w:rsidR="00892F37" w:rsidRPr="00FA33C4" w14:paraId="5A55B807" w14:textId="77777777" w:rsidTr="00E206D6">
        <w:tc>
          <w:tcPr>
            <w:tcW w:w="1702" w:type="dxa"/>
          </w:tcPr>
          <w:p w14:paraId="0F4A40DD" w14:textId="77777777" w:rsidR="00892F37" w:rsidRPr="00FA33C4" w:rsidRDefault="00892F37" w:rsidP="0060010D">
            <w:pPr>
              <w:overflowPunct w:val="0"/>
              <w:autoSpaceDE w:val="0"/>
              <w:autoSpaceDN w:val="0"/>
              <w:adjustRightInd w:val="0"/>
              <w:textAlignment w:val="baseline"/>
              <w:rPr>
                <w:i/>
                <w:sz w:val="20"/>
                <w:szCs w:val="20"/>
              </w:rPr>
            </w:pPr>
            <w:r>
              <w:rPr>
                <w:i/>
                <w:sz w:val="20"/>
              </w:rPr>
              <w:t>E-mail:</w:t>
            </w:r>
          </w:p>
        </w:tc>
        <w:tc>
          <w:tcPr>
            <w:tcW w:w="7513" w:type="dxa"/>
          </w:tcPr>
          <w:p w14:paraId="2EA71176" w14:textId="77777777" w:rsidR="00892F37" w:rsidRPr="00FA33C4" w:rsidRDefault="00333F4B" w:rsidP="0060010D">
            <w:pPr>
              <w:overflowPunct w:val="0"/>
              <w:autoSpaceDE w:val="0"/>
              <w:autoSpaceDN w:val="0"/>
              <w:adjustRightInd w:val="0"/>
              <w:textAlignment w:val="baseline"/>
              <w:rPr>
                <w:i/>
                <w:sz w:val="20"/>
                <w:szCs w:val="20"/>
              </w:rPr>
            </w:pPr>
            <w:hyperlink r:id="rId24" w:history="1">
              <w:r w:rsidR="00892F37">
                <w:rPr>
                  <w:i/>
                  <w:color w:val="0000FF"/>
                  <w:sz w:val="20"/>
                  <w:u w:val="single"/>
                </w:rPr>
                <w:t>Ana.Dumitrache@eesc.europa.eu</w:t>
              </w:r>
            </w:hyperlink>
          </w:p>
        </w:tc>
      </w:tr>
    </w:tbl>
    <w:p w14:paraId="4F3D4055" w14:textId="77777777" w:rsidR="007554BE" w:rsidRPr="00892F37" w:rsidRDefault="007554BE">
      <w:pPr>
        <w:pStyle w:val="ListParagraph"/>
        <w:ind w:left="567"/>
        <w:rPr>
          <w:lang w:val="en-GB"/>
        </w:rPr>
      </w:pPr>
    </w:p>
    <w:p w14:paraId="4982DDC2" w14:textId="5E500753" w:rsidR="000D43E1" w:rsidRDefault="000D43E1">
      <w:pPr>
        <w:jc w:val="left"/>
      </w:pPr>
      <w:r>
        <w:br w:type="page"/>
      </w:r>
    </w:p>
    <w:p w14:paraId="4982DDC5" w14:textId="7E69F68A" w:rsidR="004D7AC0" w:rsidRPr="000D43E1" w:rsidRDefault="004D7AC0" w:rsidP="0060010D">
      <w:pPr>
        <w:jc w:val="left"/>
        <w:rPr>
          <w:sz w:val="16"/>
          <w:szCs w:val="16"/>
        </w:rPr>
      </w:pPr>
    </w:p>
    <w:p w14:paraId="4982DDC6" w14:textId="77777777" w:rsidR="004D7AC0" w:rsidRDefault="004D7AC0" w:rsidP="0060010D">
      <w:pPr>
        <w:pStyle w:val="Heading1"/>
        <w:keepNext/>
        <w:keepLines/>
        <w:rPr>
          <w:b/>
        </w:rPr>
      </w:pPr>
      <w:bookmarkStart w:id="3" w:name="_Toc24617160"/>
      <w:bookmarkStart w:id="4" w:name="_Toc75527082"/>
      <w:bookmarkStart w:id="5" w:name="_Toc189572514"/>
      <w:r>
        <w:rPr>
          <w:b/>
        </w:rPr>
        <w:t>SECȚIUNEA PENTRU TRANSPORTURI, ENERGIE, INFRASTRUCTURĂ ȘI SOCIETATEA INFORMAȚIONALĂ</w:t>
      </w:r>
      <w:bookmarkEnd w:id="3"/>
      <w:bookmarkEnd w:id="4"/>
      <w:bookmarkEnd w:id="5"/>
    </w:p>
    <w:p w14:paraId="4982DDC7" w14:textId="04E3199A" w:rsidR="004D7AC0" w:rsidRDefault="004D7AC0" w:rsidP="0060010D">
      <w:pPr>
        <w:keepNext/>
        <w:keepLines/>
      </w:pPr>
    </w:p>
    <w:p w14:paraId="0D397292" w14:textId="0B4D4E83" w:rsidR="00EA3596" w:rsidRPr="00EA3596" w:rsidRDefault="00333F4B" w:rsidP="0060010D">
      <w:pPr>
        <w:keepNext/>
        <w:keepLines/>
        <w:widowControl w:val="0"/>
        <w:numPr>
          <w:ilvl w:val="0"/>
          <w:numId w:val="4"/>
        </w:numPr>
        <w:overflowPunct w:val="0"/>
        <w:autoSpaceDE w:val="0"/>
        <w:autoSpaceDN w:val="0"/>
        <w:adjustRightInd w:val="0"/>
        <w:ind w:left="266" w:hanging="266"/>
        <w:textAlignment w:val="baseline"/>
        <w:rPr>
          <w:b/>
          <w:u w:val="single"/>
        </w:rPr>
      </w:pPr>
      <w:hyperlink r:id="rId25" w:history="1">
        <w:r w:rsidR="00465FCD">
          <w:rPr>
            <w:b/>
            <w:i/>
            <w:color w:val="0000FF"/>
            <w:sz w:val="28"/>
            <w:u w:val="single"/>
          </w:rPr>
          <w:t>Viitorul aprovizionării cu energie electrică și al stabilirii prețului la energie electrică în UE</w:t>
        </w:r>
      </w:hyperlink>
    </w:p>
    <w:p w14:paraId="6FED0A47" w14:textId="77777777" w:rsidR="00EA3596" w:rsidRPr="00EA3596" w:rsidRDefault="00EA3596" w:rsidP="0060010D">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694"/>
        <w:gridCol w:w="7379"/>
      </w:tblGrid>
      <w:tr w:rsidR="00EA3596" w:rsidRPr="00FA33C4" w14:paraId="294163F6" w14:textId="77777777" w:rsidTr="0060010D">
        <w:tc>
          <w:tcPr>
            <w:tcW w:w="1701" w:type="dxa"/>
          </w:tcPr>
          <w:p w14:paraId="73B02B51" w14:textId="0A8DF9EF" w:rsidR="00EA3596" w:rsidRPr="00FA33C4" w:rsidRDefault="00EA3596">
            <w:pPr>
              <w:tabs>
                <w:tab w:val="center" w:pos="284"/>
              </w:tabs>
              <w:overflowPunct w:val="0"/>
              <w:autoSpaceDE w:val="0"/>
              <w:autoSpaceDN w:val="0"/>
              <w:adjustRightInd w:val="0"/>
              <w:ind w:left="266" w:hanging="266"/>
              <w:textAlignment w:val="baseline"/>
              <w:rPr>
                <w:b/>
                <w:sz w:val="20"/>
                <w:szCs w:val="20"/>
              </w:rPr>
            </w:pPr>
            <w:r>
              <w:rPr>
                <w:b/>
                <w:bCs/>
                <w:sz w:val="20"/>
              </w:rPr>
              <w:t>Raportor</w:t>
            </w:r>
            <w:r>
              <w:rPr>
                <w:sz w:val="20"/>
              </w:rPr>
              <w:t>:</w:t>
            </w:r>
          </w:p>
        </w:tc>
        <w:tc>
          <w:tcPr>
            <w:tcW w:w="7479" w:type="dxa"/>
          </w:tcPr>
          <w:p w14:paraId="487AC76C" w14:textId="1894B0D7" w:rsidR="00EA3596" w:rsidRPr="00FA33C4" w:rsidRDefault="00EA3596">
            <w:pPr>
              <w:tabs>
                <w:tab w:val="center" w:pos="284"/>
              </w:tabs>
              <w:overflowPunct w:val="0"/>
              <w:autoSpaceDE w:val="0"/>
              <w:autoSpaceDN w:val="0"/>
              <w:adjustRightInd w:val="0"/>
              <w:ind w:left="266" w:hanging="266"/>
              <w:textAlignment w:val="baseline"/>
              <w:rPr>
                <w:sz w:val="20"/>
                <w:szCs w:val="20"/>
              </w:rPr>
            </w:pPr>
            <w:r>
              <w:rPr>
                <w:sz w:val="20"/>
              </w:rPr>
              <w:t xml:space="preserve">Jan DIRX (Grupul „Organizații ale societății civile” </w:t>
            </w:r>
            <w:r w:rsidR="00E206D6">
              <w:rPr>
                <w:sz w:val="20"/>
              </w:rPr>
              <w:t>–</w:t>
            </w:r>
            <w:r>
              <w:rPr>
                <w:sz w:val="20"/>
              </w:rPr>
              <w:t xml:space="preserve"> NL)</w:t>
            </w:r>
          </w:p>
        </w:tc>
      </w:tr>
      <w:tr w:rsidR="00EA3596" w:rsidRPr="00FA33C4" w14:paraId="18FE22F6" w14:textId="77777777" w:rsidTr="0060010D">
        <w:tc>
          <w:tcPr>
            <w:tcW w:w="1701" w:type="dxa"/>
          </w:tcPr>
          <w:p w14:paraId="4CA49328" w14:textId="77777777" w:rsidR="00EA3596" w:rsidRPr="00FA33C4" w:rsidRDefault="00EA3596">
            <w:pPr>
              <w:tabs>
                <w:tab w:val="center" w:pos="284"/>
              </w:tabs>
              <w:overflowPunct w:val="0"/>
              <w:autoSpaceDE w:val="0"/>
              <w:autoSpaceDN w:val="0"/>
              <w:adjustRightInd w:val="0"/>
              <w:ind w:left="266" w:hanging="266"/>
              <w:textAlignment w:val="baseline"/>
              <w:rPr>
                <w:b/>
                <w:sz w:val="20"/>
                <w:szCs w:val="20"/>
              </w:rPr>
            </w:pPr>
            <w:r>
              <w:rPr>
                <w:b/>
                <w:sz w:val="20"/>
              </w:rPr>
              <w:t>Coraportor:</w:t>
            </w:r>
          </w:p>
        </w:tc>
        <w:tc>
          <w:tcPr>
            <w:tcW w:w="7479" w:type="dxa"/>
          </w:tcPr>
          <w:p w14:paraId="60AE479C" w14:textId="77777777" w:rsidR="00EA3596" w:rsidRPr="00FA33C4" w:rsidRDefault="00EA3596">
            <w:pPr>
              <w:tabs>
                <w:tab w:val="center" w:pos="284"/>
              </w:tabs>
              <w:overflowPunct w:val="0"/>
              <w:autoSpaceDE w:val="0"/>
              <w:autoSpaceDN w:val="0"/>
              <w:adjustRightInd w:val="0"/>
              <w:ind w:left="266" w:hanging="266"/>
              <w:textAlignment w:val="baseline"/>
              <w:rPr>
                <w:sz w:val="20"/>
                <w:szCs w:val="20"/>
              </w:rPr>
            </w:pPr>
            <w:r>
              <w:rPr>
                <w:sz w:val="20"/>
              </w:rPr>
              <w:t>Thomas KATTNIG (Grupul „Lucrători” – AT)</w:t>
            </w:r>
          </w:p>
        </w:tc>
      </w:tr>
      <w:tr w:rsidR="00EA3596" w:rsidRPr="00FA33C4" w14:paraId="752E26C2" w14:textId="77777777" w:rsidTr="0060010D">
        <w:tc>
          <w:tcPr>
            <w:tcW w:w="9180" w:type="dxa"/>
            <w:gridSpan w:val="2"/>
          </w:tcPr>
          <w:p w14:paraId="688FF16F" w14:textId="77777777" w:rsidR="00EA3596" w:rsidRPr="00FA33C4" w:rsidRDefault="00EA3596" w:rsidP="0060010D">
            <w:pPr>
              <w:tabs>
                <w:tab w:val="center" w:pos="284"/>
              </w:tabs>
              <w:overflowPunct w:val="0"/>
              <w:autoSpaceDE w:val="0"/>
              <w:autoSpaceDN w:val="0"/>
              <w:adjustRightInd w:val="0"/>
              <w:ind w:left="266" w:hanging="266"/>
              <w:textAlignment w:val="baseline"/>
              <w:rPr>
                <w:sz w:val="20"/>
                <w:szCs w:val="20"/>
              </w:rPr>
            </w:pPr>
          </w:p>
        </w:tc>
      </w:tr>
      <w:tr w:rsidR="00EA3596" w:rsidRPr="00FA33C4" w14:paraId="234C68A2" w14:textId="77777777" w:rsidTr="0060010D">
        <w:tc>
          <w:tcPr>
            <w:tcW w:w="1701" w:type="dxa"/>
          </w:tcPr>
          <w:p w14:paraId="0691CEDA" w14:textId="77777777" w:rsidR="00EA3596" w:rsidRPr="00FA33C4" w:rsidRDefault="00EA3596">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7479" w:type="dxa"/>
          </w:tcPr>
          <w:p w14:paraId="22B923BD" w14:textId="77777777" w:rsidR="00EA3596" w:rsidRPr="00FA33C4" w:rsidRDefault="00EA3596">
            <w:pPr>
              <w:tabs>
                <w:tab w:val="center" w:pos="284"/>
              </w:tabs>
              <w:overflowPunct w:val="0"/>
              <w:autoSpaceDE w:val="0"/>
              <w:autoSpaceDN w:val="0"/>
              <w:adjustRightInd w:val="0"/>
              <w:ind w:left="266" w:hanging="266"/>
              <w:textAlignment w:val="baseline"/>
              <w:rPr>
                <w:sz w:val="20"/>
                <w:szCs w:val="20"/>
              </w:rPr>
            </w:pPr>
            <w:r>
              <w:rPr>
                <w:sz w:val="20"/>
              </w:rPr>
              <w:t>aviz din proprie inițiativă</w:t>
            </w:r>
          </w:p>
          <w:p w14:paraId="339CD963" w14:textId="26FF9FD9" w:rsidR="00EA3596" w:rsidRPr="00FA33C4" w:rsidRDefault="00EA3596">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14:paraId="4556D522" w14:textId="77777777" w:rsidR="00EA3596" w:rsidRPr="00EA3596" w:rsidRDefault="00EA3596">
      <w:pPr>
        <w:keepNext/>
        <w:keepLines/>
        <w:tabs>
          <w:tab w:val="center" w:pos="284"/>
        </w:tabs>
        <w:overflowPunct w:val="0"/>
        <w:autoSpaceDE w:val="0"/>
        <w:autoSpaceDN w:val="0"/>
        <w:adjustRightInd w:val="0"/>
        <w:ind w:left="266" w:hanging="266"/>
        <w:textAlignment w:val="baseline"/>
        <w:rPr>
          <w:b/>
          <w:lang w:val="en-GB"/>
        </w:rPr>
      </w:pPr>
    </w:p>
    <w:p w14:paraId="2F3B61BA" w14:textId="77777777" w:rsidR="00EA3596" w:rsidRPr="00EA3596" w:rsidRDefault="00EA3596">
      <w:pPr>
        <w:keepNext/>
        <w:keepLines/>
        <w:tabs>
          <w:tab w:val="center" w:pos="284"/>
        </w:tabs>
        <w:overflowPunct w:val="0"/>
        <w:autoSpaceDE w:val="0"/>
        <w:autoSpaceDN w:val="0"/>
        <w:adjustRightInd w:val="0"/>
        <w:ind w:left="266" w:hanging="266"/>
        <w:textAlignment w:val="baseline"/>
        <w:rPr>
          <w:b/>
        </w:rPr>
      </w:pPr>
      <w:r>
        <w:rPr>
          <w:b/>
        </w:rPr>
        <w:t>Punctele principale:</w:t>
      </w:r>
    </w:p>
    <w:p w14:paraId="1420F763" w14:textId="77777777" w:rsidR="00EA3596" w:rsidRPr="00EA3596" w:rsidRDefault="00EA3596">
      <w:pPr>
        <w:keepNext/>
        <w:keepLines/>
        <w:tabs>
          <w:tab w:val="center" w:pos="284"/>
        </w:tabs>
        <w:overflowPunct w:val="0"/>
        <w:autoSpaceDE w:val="0"/>
        <w:autoSpaceDN w:val="0"/>
        <w:adjustRightInd w:val="0"/>
        <w:ind w:left="266" w:hanging="266"/>
        <w:textAlignment w:val="baseline"/>
        <w:rPr>
          <w:b/>
          <w:lang w:val="en-GB"/>
        </w:rPr>
      </w:pPr>
    </w:p>
    <w:p w14:paraId="4FBF4A22" w14:textId="77777777" w:rsidR="00EA3596" w:rsidRDefault="00EA3596">
      <w:pPr>
        <w:overflowPunct w:val="0"/>
        <w:autoSpaceDE w:val="0"/>
        <w:autoSpaceDN w:val="0"/>
        <w:adjustRightInd w:val="0"/>
        <w:textAlignment w:val="baseline"/>
        <w:rPr>
          <w:bCs/>
          <w:iCs/>
        </w:rPr>
      </w:pPr>
      <w:r>
        <w:t>CESE:</w:t>
      </w:r>
    </w:p>
    <w:p w14:paraId="788BEAE4" w14:textId="77777777" w:rsidR="00EA3596" w:rsidRPr="00EA3596" w:rsidRDefault="00EA3596" w:rsidP="0060010D">
      <w:pPr>
        <w:widowControl w:val="0"/>
        <w:numPr>
          <w:ilvl w:val="0"/>
          <w:numId w:val="29"/>
        </w:numPr>
        <w:overflowPunct w:val="0"/>
        <w:autoSpaceDE w:val="0"/>
        <w:autoSpaceDN w:val="0"/>
        <w:adjustRightInd w:val="0"/>
        <w:ind w:left="567" w:hanging="567"/>
        <w:textAlignment w:val="baseline"/>
        <w:rPr>
          <w:szCs w:val="20"/>
        </w:rPr>
      </w:pPr>
      <w:r>
        <w:t>este convins că piața energiei electrice ar trebui reformată astfel încât să îndeplinească obiectivul neutralității climatice până în 2050, combinat cu obiectivele de securitate a aprovizionării și prețuri stabile și accesibile, precum și să asigure dreptul la energie pentru protecția grupurilor vulnerabile;</w:t>
      </w:r>
    </w:p>
    <w:p w14:paraId="2ABF264A" w14:textId="77777777" w:rsidR="00EA3596" w:rsidRPr="00EA3596" w:rsidRDefault="00EA3596" w:rsidP="0060010D">
      <w:pPr>
        <w:widowControl w:val="0"/>
        <w:numPr>
          <w:ilvl w:val="0"/>
          <w:numId w:val="29"/>
        </w:numPr>
        <w:overflowPunct w:val="0"/>
        <w:autoSpaceDE w:val="0"/>
        <w:autoSpaceDN w:val="0"/>
        <w:adjustRightInd w:val="0"/>
        <w:ind w:left="567" w:hanging="567"/>
        <w:textAlignment w:val="baseline"/>
        <w:rPr>
          <w:szCs w:val="20"/>
        </w:rPr>
      </w:pPr>
      <w:r>
        <w:t xml:space="preserve">pledează pentru un model de reglementare guvernamentală, acolo unde este necesar, și pentru </w:t>
      </w:r>
      <w:proofErr w:type="spellStart"/>
      <w:r>
        <w:t>antreprenoriatul</w:t>
      </w:r>
      <w:proofErr w:type="spellEnd"/>
      <w:r>
        <w:t xml:space="preserve"> privat, acolo unde este posibil, ca un mecanism electronic care ar putea lua forma unei societăți înființate de guvern care va juca rolul de formator de piață;</w:t>
      </w:r>
    </w:p>
    <w:p w14:paraId="022CA94C" w14:textId="77777777" w:rsidR="00EA3596" w:rsidRPr="00EA3596" w:rsidRDefault="00EA3596" w:rsidP="0060010D">
      <w:pPr>
        <w:widowControl w:val="0"/>
        <w:numPr>
          <w:ilvl w:val="0"/>
          <w:numId w:val="29"/>
        </w:numPr>
        <w:overflowPunct w:val="0"/>
        <w:autoSpaceDE w:val="0"/>
        <w:autoSpaceDN w:val="0"/>
        <w:adjustRightInd w:val="0"/>
        <w:ind w:left="567" w:hanging="567"/>
        <w:textAlignment w:val="baseline"/>
        <w:rPr>
          <w:szCs w:val="20"/>
        </w:rPr>
      </w:pPr>
      <w:r>
        <w:t>consideră că generarea de electricitate la scară mică trebuie încurajată pentru a menține prețul energiei electrice la un nivel abordabil pentru consumatori și pentru a mări opțiunile de flexibilitate ale rețelelor;</w:t>
      </w:r>
    </w:p>
    <w:p w14:paraId="066775DF" w14:textId="77777777" w:rsidR="00EA3596" w:rsidRPr="00EA3596" w:rsidRDefault="00EA3596" w:rsidP="0060010D">
      <w:pPr>
        <w:widowControl w:val="0"/>
        <w:numPr>
          <w:ilvl w:val="0"/>
          <w:numId w:val="29"/>
        </w:numPr>
        <w:overflowPunct w:val="0"/>
        <w:autoSpaceDE w:val="0"/>
        <w:autoSpaceDN w:val="0"/>
        <w:adjustRightInd w:val="0"/>
        <w:ind w:left="567" w:hanging="567"/>
        <w:textAlignment w:val="baseline"/>
        <w:rPr>
          <w:szCs w:val="20"/>
        </w:rPr>
      </w:pPr>
      <w:r>
        <w:t>crede că odată cu creșterea preconizată a prețurilor, costul energiei electrice în perioada premergătoare anului 2030 și după acest an va impune guvernelor să își revizuiască politica de impozitare a furnizării de energie electrică pentru consumatori.</w:t>
      </w:r>
    </w:p>
    <w:p w14:paraId="4A219466" w14:textId="77777777" w:rsidR="00EA3596" w:rsidRPr="00EA3596" w:rsidRDefault="00EA3596" w:rsidP="0060010D">
      <w:pPr>
        <w:widowControl w:val="0"/>
        <w:overflowPunct w:val="0"/>
        <w:autoSpaceDE w:val="0"/>
        <w:autoSpaceDN w:val="0"/>
        <w:adjustRightInd w:val="0"/>
        <w:ind w:left="568"/>
        <w:textAlignment w:val="baseline"/>
        <w:rPr>
          <w:szCs w:val="20"/>
          <w:lang w:val="en-GB"/>
        </w:rPr>
      </w:pPr>
    </w:p>
    <w:tbl>
      <w:tblPr>
        <w:tblW w:w="9322" w:type="dxa"/>
        <w:tblLook w:val="04A0" w:firstRow="1" w:lastRow="0" w:firstColumn="1" w:lastColumn="0" w:noHBand="0" w:noVBand="1"/>
      </w:tblPr>
      <w:tblGrid>
        <w:gridCol w:w="1701"/>
        <w:gridCol w:w="7621"/>
      </w:tblGrid>
      <w:tr w:rsidR="00EA3596" w:rsidRPr="00FA33C4" w14:paraId="25FEBE48" w14:textId="77777777" w:rsidTr="00E206D6">
        <w:tc>
          <w:tcPr>
            <w:tcW w:w="1701" w:type="dxa"/>
          </w:tcPr>
          <w:p w14:paraId="0546FA38" w14:textId="77777777" w:rsidR="00EA3596" w:rsidRPr="00FA33C4" w:rsidRDefault="00EA3596" w:rsidP="0060010D">
            <w:pPr>
              <w:overflowPunct w:val="0"/>
              <w:autoSpaceDE w:val="0"/>
              <w:autoSpaceDN w:val="0"/>
              <w:adjustRightInd w:val="0"/>
              <w:textAlignment w:val="baseline"/>
              <w:rPr>
                <w:i/>
                <w:sz w:val="20"/>
                <w:szCs w:val="20"/>
              </w:rPr>
            </w:pPr>
            <w:r>
              <w:rPr>
                <w:b/>
                <w:bCs/>
                <w:i/>
                <w:sz w:val="20"/>
              </w:rPr>
              <w:t>Date de contact:</w:t>
            </w:r>
          </w:p>
        </w:tc>
        <w:tc>
          <w:tcPr>
            <w:tcW w:w="7621" w:type="dxa"/>
          </w:tcPr>
          <w:p w14:paraId="0EF9F37D" w14:textId="5AE33465" w:rsidR="00EA3596" w:rsidRPr="00FA33C4" w:rsidRDefault="00EA3596" w:rsidP="0060010D">
            <w:pPr>
              <w:overflowPunct w:val="0"/>
              <w:autoSpaceDE w:val="0"/>
              <w:autoSpaceDN w:val="0"/>
              <w:adjustRightInd w:val="0"/>
              <w:textAlignment w:val="baseline"/>
              <w:rPr>
                <w:i/>
                <w:sz w:val="20"/>
                <w:szCs w:val="20"/>
              </w:rPr>
            </w:pPr>
            <w:r>
              <w:rPr>
                <w:i/>
                <w:sz w:val="20"/>
              </w:rPr>
              <w:t>Maja Radman</w:t>
            </w:r>
          </w:p>
        </w:tc>
      </w:tr>
      <w:tr w:rsidR="00EA3596" w:rsidRPr="00FA33C4" w14:paraId="11BC37BF" w14:textId="77777777" w:rsidTr="00E206D6">
        <w:tc>
          <w:tcPr>
            <w:tcW w:w="1701" w:type="dxa"/>
          </w:tcPr>
          <w:p w14:paraId="38D688A7" w14:textId="77777777" w:rsidR="00EA3596" w:rsidRPr="00FA33C4" w:rsidRDefault="00EA3596" w:rsidP="0060010D">
            <w:pPr>
              <w:overflowPunct w:val="0"/>
              <w:autoSpaceDE w:val="0"/>
              <w:autoSpaceDN w:val="0"/>
              <w:adjustRightInd w:val="0"/>
              <w:textAlignment w:val="baseline"/>
              <w:rPr>
                <w:i/>
                <w:sz w:val="20"/>
                <w:szCs w:val="20"/>
              </w:rPr>
            </w:pPr>
            <w:r>
              <w:rPr>
                <w:i/>
                <w:sz w:val="20"/>
              </w:rPr>
              <w:t>Tel.:</w:t>
            </w:r>
          </w:p>
        </w:tc>
        <w:tc>
          <w:tcPr>
            <w:tcW w:w="7621" w:type="dxa"/>
          </w:tcPr>
          <w:p w14:paraId="194546DC" w14:textId="77777777" w:rsidR="00EA3596" w:rsidRPr="00FA33C4" w:rsidRDefault="00EA3596" w:rsidP="0060010D">
            <w:pPr>
              <w:overflowPunct w:val="0"/>
              <w:autoSpaceDE w:val="0"/>
              <w:autoSpaceDN w:val="0"/>
              <w:adjustRightInd w:val="0"/>
              <w:textAlignment w:val="baseline"/>
              <w:rPr>
                <w:i/>
                <w:sz w:val="20"/>
                <w:szCs w:val="20"/>
              </w:rPr>
            </w:pPr>
            <w:r>
              <w:rPr>
                <w:i/>
                <w:sz w:val="20"/>
              </w:rPr>
              <w:t>+32 25469051</w:t>
            </w:r>
          </w:p>
        </w:tc>
      </w:tr>
      <w:tr w:rsidR="00EA3596" w:rsidRPr="00FA33C4" w14:paraId="117E4CDE" w14:textId="77777777" w:rsidTr="00E206D6">
        <w:tc>
          <w:tcPr>
            <w:tcW w:w="1701" w:type="dxa"/>
          </w:tcPr>
          <w:p w14:paraId="7CB35B59" w14:textId="2FC9A36D" w:rsidR="00EA3596" w:rsidRPr="00FA33C4" w:rsidRDefault="002538AC" w:rsidP="0060010D">
            <w:pPr>
              <w:overflowPunct w:val="0"/>
              <w:autoSpaceDE w:val="0"/>
              <w:autoSpaceDN w:val="0"/>
              <w:adjustRightInd w:val="0"/>
              <w:textAlignment w:val="baseline"/>
              <w:rPr>
                <w:i/>
                <w:sz w:val="20"/>
                <w:szCs w:val="20"/>
              </w:rPr>
            </w:pPr>
            <w:r>
              <w:rPr>
                <w:i/>
                <w:sz w:val="20"/>
              </w:rPr>
              <w:t>E-mail:</w:t>
            </w:r>
          </w:p>
        </w:tc>
        <w:tc>
          <w:tcPr>
            <w:tcW w:w="7621" w:type="dxa"/>
          </w:tcPr>
          <w:p w14:paraId="07C451AF" w14:textId="77777777" w:rsidR="00EA3596" w:rsidRPr="00FA33C4" w:rsidRDefault="00333F4B" w:rsidP="0060010D">
            <w:pPr>
              <w:overflowPunct w:val="0"/>
              <w:autoSpaceDE w:val="0"/>
              <w:autoSpaceDN w:val="0"/>
              <w:adjustRightInd w:val="0"/>
              <w:textAlignment w:val="baseline"/>
              <w:rPr>
                <w:i/>
                <w:iCs/>
                <w:sz w:val="20"/>
                <w:szCs w:val="20"/>
              </w:rPr>
            </w:pPr>
            <w:hyperlink r:id="rId26" w:history="1">
              <w:r w:rsidR="00465FCD">
                <w:rPr>
                  <w:i/>
                  <w:color w:val="0000FF"/>
                  <w:sz w:val="20"/>
                  <w:u w:val="single"/>
                </w:rPr>
                <w:t>Maja.Radman@eesc.europa.eu</w:t>
              </w:r>
            </w:hyperlink>
          </w:p>
        </w:tc>
      </w:tr>
    </w:tbl>
    <w:p w14:paraId="2FA727E3" w14:textId="77777777" w:rsidR="007554BE" w:rsidRDefault="007554BE" w:rsidP="007554BE">
      <w:pPr>
        <w:jc w:val="left"/>
      </w:pPr>
    </w:p>
    <w:p w14:paraId="0F2E9BAF" w14:textId="6A72C993" w:rsidR="007554BE" w:rsidRDefault="007554BE" w:rsidP="007554BE">
      <w:pPr>
        <w:jc w:val="left"/>
      </w:pPr>
    </w:p>
    <w:p w14:paraId="50AC09AF" w14:textId="72FC4D05" w:rsidR="00E206D6" w:rsidRDefault="00E206D6" w:rsidP="007554BE">
      <w:pPr>
        <w:jc w:val="left"/>
      </w:pPr>
    </w:p>
    <w:p w14:paraId="5423BFD6" w14:textId="7A835ADE" w:rsidR="00E206D6" w:rsidRDefault="00E206D6" w:rsidP="007554BE">
      <w:pPr>
        <w:jc w:val="left"/>
      </w:pPr>
    </w:p>
    <w:p w14:paraId="1C41E698" w14:textId="27381715" w:rsidR="00E206D6" w:rsidRDefault="00E206D6" w:rsidP="007554BE">
      <w:pPr>
        <w:jc w:val="left"/>
      </w:pPr>
    </w:p>
    <w:p w14:paraId="2DDA4D82" w14:textId="2ADC35A4" w:rsidR="00E206D6" w:rsidRDefault="00E206D6" w:rsidP="007554BE">
      <w:pPr>
        <w:jc w:val="left"/>
      </w:pPr>
    </w:p>
    <w:p w14:paraId="5D029E02" w14:textId="48748CDD" w:rsidR="00E206D6" w:rsidRDefault="00E206D6" w:rsidP="007554BE">
      <w:pPr>
        <w:jc w:val="left"/>
      </w:pPr>
    </w:p>
    <w:p w14:paraId="3A4CE7D5" w14:textId="33669F49" w:rsidR="00E206D6" w:rsidRDefault="00E206D6" w:rsidP="007554BE">
      <w:pPr>
        <w:jc w:val="left"/>
      </w:pPr>
    </w:p>
    <w:p w14:paraId="02F9833F" w14:textId="77777777" w:rsidR="00E206D6" w:rsidRDefault="00E206D6" w:rsidP="007554BE">
      <w:pPr>
        <w:jc w:val="left"/>
      </w:pPr>
    </w:p>
    <w:p w14:paraId="23E4FA4E" w14:textId="658F4A09" w:rsidR="0020320E" w:rsidRPr="0020320E" w:rsidRDefault="00333F4B" w:rsidP="0060010D">
      <w:pPr>
        <w:keepNext/>
        <w:keepLines/>
        <w:widowControl w:val="0"/>
        <w:numPr>
          <w:ilvl w:val="0"/>
          <w:numId w:val="4"/>
        </w:numPr>
        <w:overflowPunct w:val="0"/>
        <w:autoSpaceDE w:val="0"/>
        <w:autoSpaceDN w:val="0"/>
        <w:adjustRightInd w:val="0"/>
        <w:ind w:hanging="567"/>
        <w:textAlignment w:val="baseline"/>
        <w:rPr>
          <w:b/>
          <w:u w:val="single"/>
        </w:rPr>
      </w:pPr>
      <w:hyperlink r:id="rId27" w:history="1">
        <w:r w:rsidR="00465FCD">
          <w:rPr>
            <w:b/>
            <w:i/>
            <w:color w:val="0000FF"/>
            <w:sz w:val="28"/>
            <w:u w:val="single"/>
          </w:rPr>
          <w:t>Către o strategie maritimă a UE: navigarea în viitor prin politici de investiții coordonate, inițiative legislative, dialog social și implicarea societății civile</w:t>
        </w:r>
      </w:hyperlink>
      <w:r w:rsidR="00465FCD">
        <w:t xml:space="preserve"> </w:t>
      </w:r>
    </w:p>
    <w:p w14:paraId="22635895" w14:textId="77777777" w:rsidR="0020320E" w:rsidRPr="0020320E" w:rsidRDefault="0020320E" w:rsidP="0060010D">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697"/>
        <w:gridCol w:w="7376"/>
      </w:tblGrid>
      <w:tr w:rsidR="0020320E" w:rsidRPr="00FA33C4" w14:paraId="18E926C0" w14:textId="77777777" w:rsidTr="0060010D">
        <w:tc>
          <w:tcPr>
            <w:tcW w:w="1701" w:type="dxa"/>
          </w:tcPr>
          <w:p w14:paraId="584A023A" w14:textId="77777777" w:rsidR="0020320E" w:rsidRPr="00FA33C4" w:rsidRDefault="0020320E">
            <w:pPr>
              <w:tabs>
                <w:tab w:val="center" w:pos="284"/>
              </w:tabs>
              <w:overflowPunct w:val="0"/>
              <w:autoSpaceDE w:val="0"/>
              <w:autoSpaceDN w:val="0"/>
              <w:adjustRightInd w:val="0"/>
              <w:ind w:left="266" w:hanging="266"/>
              <w:textAlignment w:val="baseline"/>
              <w:rPr>
                <w:b/>
                <w:sz w:val="20"/>
                <w:szCs w:val="20"/>
              </w:rPr>
            </w:pPr>
            <w:r>
              <w:rPr>
                <w:b/>
                <w:bCs/>
                <w:sz w:val="20"/>
              </w:rPr>
              <w:t>Raportor</w:t>
            </w:r>
            <w:r>
              <w:rPr>
                <w:sz w:val="20"/>
              </w:rPr>
              <w:t>:</w:t>
            </w:r>
            <w:r>
              <w:rPr>
                <w:b/>
                <w:sz w:val="20"/>
              </w:rPr>
              <w:t xml:space="preserve"> </w:t>
            </w:r>
          </w:p>
        </w:tc>
        <w:tc>
          <w:tcPr>
            <w:tcW w:w="7479" w:type="dxa"/>
          </w:tcPr>
          <w:p w14:paraId="2A444A75" w14:textId="45183960" w:rsidR="0020320E" w:rsidRPr="00FA33C4" w:rsidRDefault="0020320E">
            <w:pPr>
              <w:tabs>
                <w:tab w:val="center" w:pos="284"/>
              </w:tabs>
              <w:overflowPunct w:val="0"/>
              <w:autoSpaceDE w:val="0"/>
              <w:autoSpaceDN w:val="0"/>
              <w:adjustRightInd w:val="0"/>
              <w:ind w:left="266" w:hanging="266"/>
              <w:textAlignment w:val="baseline"/>
              <w:rPr>
                <w:sz w:val="20"/>
                <w:szCs w:val="20"/>
              </w:rPr>
            </w:pPr>
            <w:r>
              <w:rPr>
                <w:sz w:val="20"/>
              </w:rPr>
              <w:t>Ágnes CSER (Grupul „Organizații ale societății civile” – HU)</w:t>
            </w:r>
          </w:p>
        </w:tc>
      </w:tr>
      <w:tr w:rsidR="0020320E" w:rsidRPr="00FA33C4" w14:paraId="6DE89139" w14:textId="77777777" w:rsidTr="0060010D">
        <w:tc>
          <w:tcPr>
            <w:tcW w:w="1701" w:type="dxa"/>
          </w:tcPr>
          <w:p w14:paraId="438048B9" w14:textId="77777777" w:rsidR="0020320E" w:rsidRPr="00FA33C4" w:rsidRDefault="0020320E">
            <w:pPr>
              <w:tabs>
                <w:tab w:val="center" w:pos="284"/>
              </w:tabs>
              <w:overflowPunct w:val="0"/>
              <w:autoSpaceDE w:val="0"/>
              <w:autoSpaceDN w:val="0"/>
              <w:adjustRightInd w:val="0"/>
              <w:ind w:left="266" w:hanging="266"/>
              <w:textAlignment w:val="baseline"/>
              <w:rPr>
                <w:b/>
                <w:sz w:val="20"/>
                <w:szCs w:val="20"/>
              </w:rPr>
            </w:pPr>
            <w:r>
              <w:rPr>
                <w:b/>
                <w:sz w:val="20"/>
              </w:rPr>
              <w:t>Coraportoare:</w:t>
            </w:r>
          </w:p>
        </w:tc>
        <w:tc>
          <w:tcPr>
            <w:tcW w:w="7479" w:type="dxa"/>
          </w:tcPr>
          <w:p w14:paraId="2B72CB28" w14:textId="4D5DE640" w:rsidR="0020320E" w:rsidRPr="00FA33C4" w:rsidRDefault="0020320E">
            <w:pPr>
              <w:tabs>
                <w:tab w:val="center" w:pos="284"/>
              </w:tabs>
              <w:overflowPunct w:val="0"/>
              <w:autoSpaceDE w:val="0"/>
              <w:autoSpaceDN w:val="0"/>
              <w:adjustRightInd w:val="0"/>
              <w:ind w:left="266" w:hanging="266"/>
              <w:textAlignment w:val="baseline"/>
              <w:rPr>
                <w:sz w:val="20"/>
                <w:szCs w:val="20"/>
              </w:rPr>
            </w:pPr>
            <w:r>
              <w:rPr>
                <w:sz w:val="20"/>
              </w:rPr>
              <w:t>Tanja BUZEK (Grupul „Lucrători” – DE)</w:t>
            </w:r>
          </w:p>
        </w:tc>
      </w:tr>
      <w:tr w:rsidR="0020320E" w:rsidRPr="00FA33C4" w14:paraId="51879E6E" w14:textId="77777777" w:rsidTr="0060010D">
        <w:tc>
          <w:tcPr>
            <w:tcW w:w="9180" w:type="dxa"/>
            <w:gridSpan w:val="2"/>
          </w:tcPr>
          <w:p w14:paraId="0E1833CB" w14:textId="77777777" w:rsidR="0020320E" w:rsidRPr="00FA33C4" w:rsidRDefault="0020320E" w:rsidP="0060010D">
            <w:pPr>
              <w:tabs>
                <w:tab w:val="center" w:pos="284"/>
              </w:tabs>
              <w:overflowPunct w:val="0"/>
              <w:autoSpaceDE w:val="0"/>
              <w:autoSpaceDN w:val="0"/>
              <w:adjustRightInd w:val="0"/>
              <w:ind w:left="266" w:hanging="266"/>
              <w:textAlignment w:val="baseline"/>
              <w:rPr>
                <w:sz w:val="20"/>
                <w:szCs w:val="20"/>
                <w:lang w:val="nl-BE"/>
              </w:rPr>
            </w:pPr>
          </w:p>
        </w:tc>
      </w:tr>
      <w:tr w:rsidR="0020320E" w:rsidRPr="00FA33C4" w14:paraId="4E3C73DB" w14:textId="77777777" w:rsidTr="0060010D">
        <w:tc>
          <w:tcPr>
            <w:tcW w:w="1701" w:type="dxa"/>
          </w:tcPr>
          <w:p w14:paraId="5AD5B7D4" w14:textId="77777777" w:rsidR="0020320E" w:rsidRPr="00FA33C4" w:rsidRDefault="0020320E">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7479" w:type="dxa"/>
          </w:tcPr>
          <w:p w14:paraId="53FA1FFF" w14:textId="77777777" w:rsidR="0020320E" w:rsidRPr="00FA33C4" w:rsidRDefault="0020320E">
            <w:pPr>
              <w:tabs>
                <w:tab w:val="center" w:pos="284"/>
              </w:tabs>
              <w:overflowPunct w:val="0"/>
              <w:autoSpaceDE w:val="0"/>
              <w:autoSpaceDN w:val="0"/>
              <w:adjustRightInd w:val="0"/>
              <w:ind w:left="266" w:hanging="266"/>
              <w:textAlignment w:val="baseline"/>
              <w:rPr>
                <w:sz w:val="20"/>
                <w:szCs w:val="20"/>
              </w:rPr>
            </w:pPr>
            <w:r>
              <w:rPr>
                <w:sz w:val="20"/>
              </w:rPr>
              <w:t>aviz din proprie inițiativă</w:t>
            </w:r>
          </w:p>
          <w:p w14:paraId="3DAA6DA0" w14:textId="77777777" w:rsidR="0020320E" w:rsidRPr="00FA33C4" w:rsidRDefault="0020320E">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14:paraId="00358582" w14:textId="77777777" w:rsidR="0020320E" w:rsidRPr="0020320E" w:rsidRDefault="0020320E">
      <w:pPr>
        <w:tabs>
          <w:tab w:val="center" w:pos="284"/>
        </w:tabs>
        <w:overflowPunct w:val="0"/>
        <w:autoSpaceDE w:val="0"/>
        <w:autoSpaceDN w:val="0"/>
        <w:adjustRightInd w:val="0"/>
        <w:ind w:left="266" w:hanging="266"/>
        <w:textAlignment w:val="baseline"/>
        <w:rPr>
          <w:lang w:val="en-GB"/>
        </w:rPr>
      </w:pPr>
    </w:p>
    <w:p w14:paraId="204F83C0" w14:textId="77777777" w:rsidR="0020320E" w:rsidRPr="0020320E" w:rsidRDefault="0020320E">
      <w:pPr>
        <w:keepNext/>
        <w:keepLines/>
        <w:tabs>
          <w:tab w:val="center" w:pos="284"/>
        </w:tabs>
        <w:overflowPunct w:val="0"/>
        <w:autoSpaceDE w:val="0"/>
        <w:autoSpaceDN w:val="0"/>
        <w:adjustRightInd w:val="0"/>
        <w:ind w:left="266" w:hanging="266"/>
        <w:textAlignment w:val="baseline"/>
        <w:rPr>
          <w:b/>
        </w:rPr>
      </w:pPr>
      <w:r>
        <w:rPr>
          <w:b/>
        </w:rPr>
        <w:t>Punctele principale:</w:t>
      </w:r>
    </w:p>
    <w:p w14:paraId="257E2715" w14:textId="77777777" w:rsidR="0020320E" w:rsidRPr="0020320E" w:rsidRDefault="0020320E">
      <w:pPr>
        <w:keepNext/>
        <w:keepLines/>
        <w:tabs>
          <w:tab w:val="center" w:pos="284"/>
        </w:tabs>
        <w:overflowPunct w:val="0"/>
        <w:autoSpaceDE w:val="0"/>
        <w:autoSpaceDN w:val="0"/>
        <w:adjustRightInd w:val="0"/>
        <w:ind w:left="266" w:hanging="266"/>
        <w:textAlignment w:val="baseline"/>
        <w:rPr>
          <w:b/>
        </w:rPr>
      </w:pPr>
      <w:bookmarkStart w:id="6" w:name="_Hlk188970948"/>
    </w:p>
    <w:p w14:paraId="73AE19AE" w14:textId="77777777" w:rsidR="0020320E" w:rsidRDefault="0020320E">
      <w:pPr>
        <w:overflowPunct w:val="0"/>
        <w:autoSpaceDE w:val="0"/>
        <w:autoSpaceDN w:val="0"/>
        <w:adjustRightInd w:val="0"/>
        <w:textAlignment w:val="baseline"/>
        <w:rPr>
          <w:bCs/>
          <w:iCs/>
        </w:rPr>
      </w:pPr>
      <w:r>
        <w:t>CESE:</w:t>
      </w:r>
    </w:p>
    <w:p w14:paraId="791C2C3B" w14:textId="77777777" w:rsidR="0020320E" w:rsidRPr="0020320E" w:rsidRDefault="0020320E" w:rsidP="0060010D">
      <w:pPr>
        <w:widowControl w:val="0"/>
        <w:numPr>
          <w:ilvl w:val="0"/>
          <w:numId w:val="35"/>
        </w:numPr>
        <w:overflowPunct w:val="0"/>
        <w:autoSpaceDE w:val="0"/>
        <w:autoSpaceDN w:val="0"/>
        <w:adjustRightInd w:val="0"/>
        <w:ind w:left="567" w:hanging="567"/>
        <w:textAlignment w:val="baseline"/>
        <w:rPr>
          <w:szCs w:val="20"/>
        </w:rPr>
      </w:pPr>
      <w:bookmarkStart w:id="7" w:name="_Hlk188970778"/>
      <w:r>
        <w:t>solicită o nouă strategie maritimă a UE care să vizeze crearea unui spațiu maritim european pentru un transport maritim european mai competitiv și mai sustenabil din punct de vedere economic, ecologic și social, cu norme clare și transparente, inclusiv dimensiunea ocupării forței de muncă;</w:t>
      </w:r>
    </w:p>
    <w:p w14:paraId="48D9D5BC" w14:textId="77777777" w:rsidR="0020320E" w:rsidRPr="0020320E" w:rsidRDefault="0020320E" w:rsidP="0060010D">
      <w:pPr>
        <w:widowControl w:val="0"/>
        <w:numPr>
          <w:ilvl w:val="0"/>
          <w:numId w:val="35"/>
        </w:numPr>
        <w:overflowPunct w:val="0"/>
        <w:autoSpaceDE w:val="0"/>
        <w:autoSpaceDN w:val="0"/>
        <w:adjustRightInd w:val="0"/>
        <w:ind w:left="567" w:hanging="567"/>
        <w:textAlignment w:val="baseline"/>
        <w:rPr>
          <w:szCs w:val="20"/>
        </w:rPr>
      </w:pPr>
      <w:r>
        <w:t>solicită un plan de acțiune imediat care să reacționeze la activități ilicite de lungă durată, la amenințări noi și în continuă evoluție, cum ar fi operațiunile flotelor fantomă și concurența geopolitică tot mai mare, și să răspundă nevoilor actuale ale UE în materie de apărare, de relații internaționale și de politici comerciale;</w:t>
      </w:r>
      <w:bookmarkEnd w:id="7"/>
    </w:p>
    <w:p w14:paraId="67E96257" w14:textId="77777777" w:rsidR="0020320E" w:rsidRPr="0020320E" w:rsidRDefault="0020320E" w:rsidP="0060010D">
      <w:pPr>
        <w:widowControl w:val="0"/>
        <w:numPr>
          <w:ilvl w:val="0"/>
          <w:numId w:val="35"/>
        </w:numPr>
        <w:overflowPunct w:val="0"/>
        <w:autoSpaceDE w:val="0"/>
        <w:autoSpaceDN w:val="0"/>
        <w:adjustRightInd w:val="0"/>
        <w:ind w:left="567" w:hanging="567"/>
        <w:contextualSpacing/>
        <w:textAlignment w:val="baseline"/>
        <w:rPr>
          <w:rFonts w:ascii="Calibri" w:hAnsi="Calibri"/>
        </w:rPr>
      </w:pPr>
      <w:r>
        <w:t>pledează pentru condiții de concurență cu adevărat echitabile, în care navelor care nu respectă standardele nu trebuie să li se permită să opereze în apele europene, intrând în concurență cu navele care respectă cele mai înalte standarde.</w:t>
      </w:r>
    </w:p>
    <w:p w14:paraId="7F6E83A9" w14:textId="77777777" w:rsidR="0020320E" w:rsidRPr="0020320E" w:rsidRDefault="0020320E" w:rsidP="0060010D">
      <w:pPr>
        <w:widowControl w:val="0"/>
        <w:numPr>
          <w:ilvl w:val="0"/>
          <w:numId w:val="35"/>
        </w:numPr>
        <w:overflowPunct w:val="0"/>
        <w:autoSpaceDE w:val="0"/>
        <w:autoSpaceDN w:val="0"/>
        <w:adjustRightInd w:val="0"/>
        <w:ind w:left="567" w:hanging="567"/>
        <w:contextualSpacing/>
        <w:textAlignment w:val="baseline"/>
        <w:rPr>
          <w:rFonts w:ascii="Calibri" w:hAnsi="Calibri"/>
        </w:rPr>
      </w:pPr>
      <w:r>
        <w:t>subliniază necesitatea de a crea un mediu care să faciliteze întoarcerea transportului maritim controlat de UE sub pavilioanele naționale ale UE.</w:t>
      </w:r>
    </w:p>
    <w:p w14:paraId="4DBDE55A" w14:textId="77777777" w:rsidR="0020320E" w:rsidRPr="0020320E" w:rsidRDefault="0020320E" w:rsidP="0060010D">
      <w:pPr>
        <w:widowControl w:val="0"/>
        <w:numPr>
          <w:ilvl w:val="0"/>
          <w:numId w:val="35"/>
        </w:numPr>
        <w:overflowPunct w:val="0"/>
        <w:autoSpaceDE w:val="0"/>
        <w:autoSpaceDN w:val="0"/>
        <w:adjustRightInd w:val="0"/>
        <w:ind w:left="567" w:hanging="567"/>
        <w:contextualSpacing/>
        <w:textAlignment w:val="baseline"/>
      </w:pPr>
      <w:r>
        <w:t>subliniază importanța unui nou contract social, care să includă aplicarea eficientă a legislației existente în acest sector și voința politică de a întreprinde inițiative legislative obligatorii din punct de vedere juridic, care să ofere navigatorilor același nivel de protecție socială de care dispun persoanele care lucrează pe uscat.</w:t>
      </w:r>
    </w:p>
    <w:bookmarkEnd w:id="6"/>
    <w:p w14:paraId="09148A63" w14:textId="77777777" w:rsidR="0020320E" w:rsidRPr="0020320E" w:rsidRDefault="0020320E">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701"/>
        <w:gridCol w:w="7621"/>
      </w:tblGrid>
      <w:tr w:rsidR="0020320E" w:rsidRPr="00FA33C4" w14:paraId="2CB5D10F" w14:textId="77777777" w:rsidTr="00E206D6">
        <w:tc>
          <w:tcPr>
            <w:tcW w:w="1701" w:type="dxa"/>
          </w:tcPr>
          <w:p w14:paraId="740D9F86" w14:textId="77777777" w:rsidR="0020320E" w:rsidRPr="00FA33C4" w:rsidRDefault="0020320E" w:rsidP="0060010D">
            <w:pPr>
              <w:overflowPunct w:val="0"/>
              <w:autoSpaceDE w:val="0"/>
              <w:autoSpaceDN w:val="0"/>
              <w:adjustRightInd w:val="0"/>
              <w:textAlignment w:val="baseline"/>
              <w:rPr>
                <w:i/>
                <w:sz w:val="20"/>
                <w:szCs w:val="20"/>
              </w:rPr>
            </w:pPr>
            <w:r>
              <w:rPr>
                <w:b/>
                <w:i/>
                <w:sz w:val="20"/>
              </w:rPr>
              <w:t>Date de contact:</w:t>
            </w:r>
          </w:p>
        </w:tc>
        <w:tc>
          <w:tcPr>
            <w:tcW w:w="7621" w:type="dxa"/>
          </w:tcPr>
          <w:p w14:paraId="49ADD449" w14:textId="77777777" w:rsidR="0020320E" w:rsidRPr="00FA33C4" w:rsidRDefault="0020320E" w:rsidP="0060010D">
            <w:pPr>
              <w:overflowPunct w:val="0"/>
              <w:autoSpaceDE w:val="0"/>
              <w:autoSpaceDN w:val="0"/>
              <w:adjustRightInd w:val="0"/>
              <w:textAlignment w:val="baseline"/>
              <w:rPr>
                <w:i/>
                <w:sz w:val="20"/>
                <w:szCs w:val="20"/>
              </w:rPr>
            </w:pPr>
            <w:r>
              <w:rPr>
                <w:i/>
                <w:sz w:val="20"/>
              </w:rPr>
              <w:t>Aleksandra Sarman Grilc</w:t>
            </w:r>
          </w:p>
        </w:tc>
      </w:tr>
      <w:tr w:rsidR="0020320E" w:rsidRPr="00FA33C4" w14:paraId="1B816AB3" w14:textId="77777777" w:rsidTr="00E206D6">
        <w:tc>
          <w:tcPr>
            <w:tcW w:w="1701" w:type="dxa"/>
          </w:tcPr>
          <w:p w14:paraId="5621EC70" w14:textId="77777777" w:rsidR="0020320E" w:rsidRPr="00FA33C4" w:rsidRDefault="0020320E" w:rsidP="0060010D">
            <w:pPr>
              <w:overflowPunct w:val="0"/>
              <w:autoSpaceDE w:val="0"/>
              <w:autoSpaceDN w:val="0"/>
              <w:adjustRightInd w:val="0"/>
              <w:textAlignment w:val="baseline"/>
              <w:rPr>
                <w:i/>
                <w:sz w:val="20"/>
                <w:szCs w:val="20"/>
              </w:rPr>
            </w:pPr>
            <w:r>
              <w:rPr>
                <w:i/>
                <w:sz w:val="20"/>
              </w:rPr>
              <w:t>Tel.:</w:t>
            </w:r>
          </w:p>
        </w:tc>
        <w:tc>
          <w:tcPr>
            <w:tcW w:w="7621" w:type="dxa"/>
          </w:tcPr>
          <w:p w14:paraId="6E78632B" w14:textId="77777777" w:rsidR="0020320E" w:rsidRPr="00FA33C4" w:rsidRDefault="0020320E" w:rsidP="0060010D">
            <w:pPr>
              <w:overflowPunct w:val="0"/>
              <w:autoSpaceDE w:val="0"/>
              <w:autoSpaceDN w:val="0"/>
              <w:adjustRightInd w:val="0"/>
              <w:textAlignment w:val="baseline"/>
              <w:rPr>
                <w:i/>
                <w:sz w:val="20"/>
                <w:szCs w:val="20"/>
              </w:rPr>
            </w:pPr>
            <w:r>
              <w:rPr>
                <w:i/>
                <w:sz w:val="20"/>
              </w:rPr>
              <w:t>+32 25468333</w:t>
            </w:r>
          </w:p>
        </w:tc>
      </w:tr>
      <w:tr w:rsidR="0020320E" w:rsidRPr="00FA33C4" w14:paraId="15F5F4CB" w14:textId="77777777" w:rsidTr="00E206D6">
        <w:tc>
          <w:tcPr>
            <w:tcW w:w="1701" w:type="dxa"/>
          </w:tcPr>
          <w:p w14:paraId="4EE71517" w14:textId="5A868EB8" w:rsidR="0020320E" w:rsidRPr="00FA33C4" w:rsidRDefault="004E3508" w:rsidP="0060010D">
            <w:pPr>
              <w:overflowPunct w:val="0"/>
              <w:autoSpaceDE w:val="0"/>
              <w:autoSpaceDN w:val="0"/>
              <w:adjustRightInd w:val="0"/>
              <w:textAlignment w:val="baseline"/>
              <w:rPr>
                <w:i/>
                <w:sz w:val="20"/>
                <w:szCs w:val="20"/>
              </w:rPr>
            </w:pPr>
            <w:r>
              <w:rPr>
                <w:i/>
                <w:sz w:val="20"/>
              </w:rPr>
              <w:t>E-mail:</w:t>
            </w:r>
          </w:p>
        </w:tc>
        <w:tc>
          <w:tcPr>
            <w:tcW w:w="7621" w:type="dxa"/>
          </w:tcPr>
          <w:p w14:paraId="1220F8D0" w14:textId="77777777" w:rsidR="0020320E" w:rsidRPr="00FA33C4" w:rsidRDefault="00333F4B" w:rsidP="0060010D">
            <w:pPr>
              <w:overflowPunct w:val="0"/>
              <w:autoSpaceDE w:val="0"/>
              <w:autoSpaceDN w:val="0"/>
              <w:adjustRightInd w:val="0"/>
              <w:textAlignment w:val="baseline"/>
              <w:rPr>
                <w:i/>
                <w:iCs/>
                <w:sz w:val="20"/>
                <w:szCs w:val="20"/>
              </w:rPr>
            </w:pPr>
            <w:hyperlink r:id="rId28" w:history="1">
              <w:r w:rsidR="00465FCD">
                <w:rPr>
                  <w:i/>
                  <w:color w:val="0000FF"/>
                  <w:sz w:val="20"/>
                  <w:u w:val="single"/>
                </w:rPr>
                <w:t>Aleksandra.SarmanGrilc@eesc.europa.eu</w:t>
              </w:r>
            </w:hyperlink>
            <w:r w:rsidR="00465FCD">
              <w:t xml:space="preserve"> </w:t>
            </w:r>
          </w:p>
        </w:tc>
      </w:tr>
    </w:tbl>
    <w:p w14:paraId="4982DDEF" w14:textId="77777777" w:rsidR="004D7AC0" w:rsidRDefault="004D7AC0">
      <w:pPr>
        <w:pStyle w:val="ListParagraph"/>
        <w:ind w:left="0"/>
      </w:pPr>
    </w:p>
    <w:p w14:paraId="4982DDF0" w14:textId="77777777" w:rsidR="004D7AC0" w:rsidRDefault="004D7AC0">
      <w:pPr>
        <w:pStyle w:val="ListParagraph"/>
        <w:ind w:left="0"/>
      </w:pPr>
    </w:p>
    <w:p w14:paraId="4982DDF1" w14:textId="77777777" w:rsidR="004D7AC0" w:rsidRDefault="004D7AC0">
      <w:pPr>
        <w:pStyle w:val="ListParagraph"/>
        <w:ind w:left="0"/>
      </w:pPr>
    </w:p>
    <w:p w14:paraId="4982DDF2" w14:textId="77777777" w:rsidR="004D7AC0" w:rsidRDefault="004D7AC0" w:rsidP="0060010D">
      <w:pPr>
        <w:jc w:val="left"/>
      </w:pPr>
      <w:r>
        <w:br w:type="page"/>
      </w:r>
    </w:p>
    <w:p w14:paraId="4982DDF3" w14:textId="77777777" w:rsidR="004D7AC0" w:rsidRDefault="004D7AC0">
      <w:pPr>
        <w:pStyle w:val="Heading1"/>
        <w:rPr>
          <w:b/>
        </w:rPr>
      </w:pPr>
      <w:bookmarkStart w:id="8" w:name="_Toc75527083"/>
      <w:bookmarkStart w:id="9" w:name="_Toc189572515"/>
      <w:r>
        <w:rPr>
          <w:b/>
        </w:rPr>
        <w:lastRenderedPageBreak/>
        <w:t>SECȚIUNEA PENTRU PIAȚA UNICĂ, PRODUCȚIE ȘI CONSUM</w:t>
      </w:r>
      <w:bookmarkEnd w:id="8"/>
      <w:bookmarkEnd w:id="9"/>
    </w:p>
    <w:p w14:paraId="4982DDF4" w14:textId="77777777" w:rsidR="004D7AC0" w:rsidRDefault="004D7AC0"/>
    <w:p w14:paraId="7999FA16" w14:textId="12A5961E" w:rsidR="005B5258" w:rsidRPr="005B5258" w:rsidRDefault="00333F4B">
      <w:pPr>
        <w:widowControl w:val="0"/>
        <w:numPr>
          <w:ilvl w:val="0"/>
          <w:numId w:val="14"/>
        </w:numPr>
        <w:overflowPunct w:val="0"/>
        <w:autoSpaceDE w:val="0"/>
        <w:autoSpaceDN w:val="0"/>
        <w:adjustRightInd w:val="0"/>
        <w:ind w:hanging="567"/>
        <w:textAlignment w:val="baseline"/>
        <w:rPr>
          <w:sz w:val="20"/>
          <w:szCs w:val="20"/>
        </w:rPr>
      </w:pPr>
      <w:hyperlink r:id="rId29" w:history="1">
        <w:r w:rsidR="005B5258">
          <w:rPr>
            <w:b/>
            <w:i/>
            <w:color w:val="0000FF"/>
            <w:sz w:val="28"/>
            <w:u w:val="single"/>
          </w:rPr>
          <w:t>Echipamente de alimentare a vehiculelor electrice, distribuitoare de gaz comprimat și contoare de energie electrică, gaz și energie termică</w:t>
        </w:r>
      </w:hyperlink>
      <w:r w:rsidR="005B5258">
        <w:t xml:space="preserve"> </w:t>
      </w:r>
    </w:p>
    <w:p w14:paraId="231C2936" w14:textId="77777777" w:rsidR="005B5258" w:rsidRPr="005B5258" w:rsidRDefault="005B5258">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005B5258" w:rsidRPr="00FA33C4" w14:paraId="5540D175" w14:textId="77777777" w:rsidTr="0060010D">
        <w:tc>
          <w:tcPr>
            <w:tcW w:w="2235" w:type="dxa"/>
            <w:vMerge w:val="restart"/>
          </w:tcPr>
          <w:p w14:paraId="2614C17C" w14:textId="3FA02A79" w:rsidR="005B5258" w:rsidRPr="00FA33C4" w:rsidRDefault="005B5258">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7087" w:type="dxa"/>
          </w:tcPr>
          <w:p w14:paraId="6ED29998" w14:textId="675BD2B5" w:rsidR="00F02BB5" w:rsidRPr="00FA33C4" w:rsidRDefault="00F02BB5">
            <w:pPr>
              <w:tabs>
                <w:tab w:val="center" w:pos="284"/>
              </w:tabs>
              <w:overflowPunct w:val="0"/>
              <w:autoSpaceDE w:val="0"/>
              <w:autoSpaceDN w:val="0"/>
              <w:adjustRightInd w:val="0"/>
              <w:ind w:left="266" w:hanging="266"/>
              <w:textAlignment w:val="baseline"/>
              <w:rPr>
                <w:bCs/>
                <w:sz w:val="20"/>
                <w:szCs w:val="20"/>
              </w:rPr>
            </w:pPr>
            <w:r>
              <w:rPr>
                <w:sz w:val="20"/>
              </w:rPr>
              <w:t>aviz de categoria C</w:t>
            </w:r>
          </w:p>
          <w:p w14:paraId="054F7B7B" w14:textId="757CA6A1" w:rsidR="005B5258" w:rsidRPr="00FA33C4" w:rsidRDefault="005B5258">
            <w:pPr>
              <w:tabs>
                <w:tab w:val="center" w:pos="284"/>
              </w:tabs>
              <w:overflowPunct w:val="0"/>
              <w:autoSpaceDE w:val="0"/>
              <w:autoSpaceDN w:val="0"/>
              <w:adjustRightInd w:val="0"/>
              <w:ind w:left="266" w:hanging="266"/>
              <w:textAlignment w:val="baseline"/>
              <w:rPr>
                <w:sz w:val="20"/>
                <w:szCs w:val="20"/>
              </w:rPr>
            </w:pPr>
            <w:r>
              <w:rPr>
                <w:sz w:val="20"/>
              </w:rPr>
              <w:t>COM(2024) 561 final</w:t>
            </w:r>
          </w:p>
        </w:tc>
      </w:tr>
      <w:tr w:rsidR="005B5258" w:rsidRPr="00FA33C4" w14:paraId="01D59A37" w14:textId="77777777" w:rsidTr="0060010D">
        <w:tc>
          <w:tcPr>
            <w:tcW w:w="2235" w:type="dxa"/>
            <w:vMerge/>
          </w:tcPr>
          <w:p w14:paraId="32B0630D" w14:textId="77777777" w:rsidR="005B5258" w:rsidRPr="00FA33C4" w:rsidRDefault="005B5258">
            <w:pPr>
              <w:tabs>
                <w:tab w:val="center" w:pos="284"/>
              </w:tabs>
              <w:overflowPunct w:val="0"/>
              <w:autoSpaceDE w:val="0"/>
              <w:autoSpaceDN w:val="0"/>
              <w:adjustRightInd w:val="0"/>
              <w:ind w:left="266" w:hanging="266"/>
              <w:textAlignment w:val="baseline"/>
              <w:rPr>
                <w:b/>
                <w:sz w:val="20"/>
                <w:szCs w:val="20"/>
              </w:rPr>
            </w:pPr>
          </w:p>
        </w:tc>
        <w:tc>
          <w:tcPr>
            <w:tcW w:w="7087" w:type="dxa"/>
          </w:tcPr>
          <w:p w14:paraId="33D4B2A1" w14:textId="4A11755C" w:rsidR="005B5258" w:rsidRPr="00FA33C4" w:rsidRDefault="005B5258">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14:paraId="7A89EDA5" w14:textId="77777777" w:rsidR="005B5258" w:rsidRPr="005B5258" w:rsidRDefault="005B5258">
      <w:pPr>
        <w:tabs>
          <w:tab w:val="center" w:pos="284"/>
        </w:tabs>
        <w:overflowPunct w:val="0"/>
        <w:autoSpaceDE w:val="0"/>
        <w:autoSpaceDN w:val="0"/>
        <w:adjustRightInd w:val="0"/>
        <w:ind w:left="266" w:hanging="266"/>
        <w:textAlignment w:val="baseline"/>
        <w:rPr>
          <w:lang w:val="en-GB"/>
        </w:rPr>
      </w:pPr>
    </w:p>
    <w:p w14:paraId="186EBF98" w14:textId="77777777" w:rsidR="005B5258" w:rsidRPr="005B5258" w:rsidRDefault="005B5258">
      <w:pPr>
        <w:keepNext/>
        <w:keepLines/>
        <w:tabs>
          <w:tab w:val="center" w:pos="284"/>
        </w:tabs>
        <w:overflowPunct w:val="0"/>
        <w:autoSpaceDE w:val="0"/>
        <w:autoSpaceDN w:val="0"/>
        <w:adjustRightInd w:val="0"/>
        <w:ind w:left="266" w:hanging="266"/>
        <w:textAlignment w:val="baseline"/>
        <w:rPr>
          <w:b/>
        </w:rPr>
      </w:pPr>
      <w:r>
        <w:rPr>
          <w:b/>
        </w:rPr>
        <w:t>Punctele principale:</w:t>
      </w:r>
    </w:p>
    <w:p w14:paraId="6BB8DCF1" w14:textId="77777777" w:rsidR="005B5258" w:rsidRPr="005B5258" w:rsidRDefault="005B5258">
      <w:pPr>
        <w:keepNext/>
        <w:keepLines/>
        <w:tabs>
          <w:tab w:val="center" w:pos="284"/>
        </w:tabs>
        <w:overflowPunct w:val="0"/>
        <w:autoSpaceDE w:val="0"/>
        <w:autoSpaceDN w:val="0"/>
        <w:adjustRightInd w:val="0"/>
        <w:ind w:left="266" w:hanging="266"/>
        <w:textAlignment w:val="baseline"/>
        <w:rPr>
          <w:b/>
          <w:lang w:val="en-GB"/>
        </w:rPr>
      </w:pPr>
    </w:p>
    <w:p w14:paraId="2E0108A1" w14:textId="77777777" w:rsidR="005B5258" w:rsidRPr="005B5258" w:rsidRDefault="005B5258">
      <w:pPr>
        <w:overflowPunct w:val="0"/>
        <w:autoSpaceDE w:val="0"/>
        <w:autoSpaceDN w:val="0"/>
        <w:adjustRightInd w:val="0"/>
        <w:textAlignment w:val="baseline"/>
        <w:rPr>
          <w:bCs/>
          <w:iCs/>
        </w:rPr>
      </w:pPr>
      <w:r>
        <w:t>CESE a decis să emită un aviz favorabil cu privire la textul propus.</w:t>
      </w:r>
    </w:p>
    <w:p w14:paraId="4EB77E0C" w14:textId="77777777" w:rsidR="005B5258" w:rsidRPr="005B5258" w:rsidRDefault="005B5258">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701"/>
        <w:gridCol w:w="7621"/>
      </w:tblGrid>
      <w:tr w:rsidR="005B5258" w:rsidRPr="00FA33C4" w14:paraId="7838A103" w14:textId="77777777" w:rsidTr="00E206D6">
        <w:tc>
          <w:tcPr>
            <w:tcW w:w="1701" w:type="dxa"/>
          </w:tcPr>
          <w:p w14:paraId="706B817A" w14:textId="77777777" w:rsidR="005B5258" w:rsidRPr="00FA33C4" w:rsidRDefault="005B5258" w:rsidP="0060010D">
            <w:pPr>
              <w:overflowPunct w:val="0"/>
              <w:autoSpaceDE w:val="0"/>
              <w:autoSpaceDN w:val="0"/>
              <w:adjustRightInd w:val="0"/>
              <w:textAlignment w:val="baseline"/>
              <w:rPr>
                <w:i/>
                <w:sz w:val="20"/>
                <w:szCs w:val="20"/>
              </w:rPr>
            </w:pPr>
            <w:r>
              <w:rPr>
                <w:b/>
                <w:i/>
                <w:sz w:val="20"/>
              </w:rPr>
              <w:t>Date de contact:</w:t>
            </w:r>
          </w:p>
        </w:tc>
        <w:tc>
          <w:tcPr>
            <w:tcW w:w="7621" w:type="dxa"/>
          </w:tcPr>
          <w:p w14:paraId="67530D78" w14:textId="77777777" w:rsidR="005B5258" w:rsidRPr="00FA33C4" w:rsidRDefault="005B5258" w:rsidP="0060010D">
            <w:pPr>
              <w:overflowPunct w:val="0"/>
              <w:autoSpaceDE w:val="0"/>
              <w:autoSpaceDN w:val="0"/>
              <w:adjustRightInd w:val="0"/>
              <w:textAlignment w:val="baseline"/>
              <w:rPr>
                <w:i/>
                <w:sz w:val="20"/>
                <w:szCs w:val="20"/>
              </w:rPr>
            </w:pPr>
            <w:r>
              <w:rPr>
                <w:i/>
                <w:sz w:val="20"/>
              </w:rPr>
              <w:t>Alice Tétu</w:t>
            </w:r>
          </w:p>
        </w:tc>
      </w:tr>
      <w:tr w:rsidR="005B5258" w:rsidRPr="00FA33C4" w14:paraId="29FF2DCC" w14:textId="77777777" w:rsidTr="00E206D6">
        <w:tc>
          <w:tcPr>
            <w:tcW w:w="1701" w:type="dxa"/>
          </w:tcPr>
          <w:p w14:paraId="2F85E9ED" w14:textId="77777777" w:rsidR="005B5258" w:rsidRPr="00FA33C4" w:rsidRDefault="005B5258" w:rsidP="0060010D">
            <w:pPr>
              <w:overflowPunct w:val="0"/>
              <w:autoSpaceDE w:val="0"/>
              <w:autoSpaceDN w:val="0"/>
              <w:adjustRightInd w:val="0"/>
              <w:textAlignment w:val="baseline"/>
              <w:rPr>
                <w:i/>
                <w:sz w:val="20"/>
                <w:szCs w:val="20"/>
              </w:rPr>
            </w:pPr>
            <w:r>
              <w:rPr>
                <w:i/>
                <w:sz w:val="20"/>
              </w:rPr>
              <w:t>Tel.:</w:t>
            </w:r>
          </w:p>
        </w:tc>
        <w:tc>
          <w:tcPr>
            <w:tcW w:w="7621" w:type="dxa"/>
          </w:tcPr>
          <w:p w14:paraId="3F6BEA10" w14:textId="77777777" w:rsidR="005B5258" w:rsidRPr="00FA33C4" w:rsidRDefault="005B5258" w:rsidP="0060010D">
            <w:pPr>
              <w:overflowPunct w:val="0"/>
              <w:autoSpaceDE w:val="0"/>
              <w:autoSpaceDN w:val="0"/>
              <w:adjustRightInd w:val="0"/>
              <w:textAlignment w:val="baseline"/>
              <w:rPr>
                <w:i/>
                <w:sz w:val="20"/>
                <w:szCs w:val="20"/>
              </w:rPr>
            </w:pPr>
            <w:r>
              <w:rPr>
                <w:i/>
                <w:sz w:val="20"/>
              </w:rPr>
              <w:t>+ 32 25468286</w:t>
            </w:r>
          </w:p>
        </w:tc>
      </w:tr>
      <w:tr w:rsidR="005B5258" w:rsidRPr="00FA33C4" w14:paraId="1A19F622" w14:textId="77777777" w:rsidTr="00E206D6">
        <w:tc>
          <w:tcPr>
            <w:tcW w:w="1701" w:type="dxa"/>
          </w:tcPr>
          <w:p w14:paraId="3D8CB79D" w14:textId="1AD02277" w:rsidR="005B5258" w:rsidRPr="00FA33C4" w:rsidRDefault="00F02BB5" w:rsidP="0060010D">
            <w:pPr>
              <w:overflowPunct w:val="0"/>
              <w:autoSpaceDE w:val="0"/>
              <w:autoSpaceDN w:val="0"/>
              <w:adjustRightInd w:val="0"/>
              <w:textAlignment w:val="baseline"/>
              <w:rPr>
                <w:i/>
                <w:sz w:val="20"/>
                <w:szCs w:val="20"/>
              </w:rPr>
            </w:pPr>
            <w:r>
              <w:rPr>
                <w:i/>
                <w:sz w:val="20"/>
              </w:rPr>
              <w:t>E-mail:</w:t>
            </w:r>
          </w:p>
        </w:tc>
        <w:tc>
          <w:tcPr>
            <w:tcW w:w="7621" w:type="dxa"/>
          </w:tcPr>
          <w:p w14:paraId="5A6CC6F8" w14:textId="77777777" w:rsidR="005B5258" w:rsidRPr="00FA33C4" w:rsidRDefault="00333F4B" w:rsidP="0060010D">
            <w:pPr>
              <w:overflowPunct w:val="0"/>
              <w:autoSpaceDE w:val="0"/>
              <w:autoSpaceDN w:val="0"/>
              <w:adjustRightInd w:val="0"/>
              <w:textAlignment w:val="baseline"/>
              <w:rPr>
                <w:i/>
                <w:sz w:val="20"/>
                <w:szCs w:val="20"/>
              </w:rPr>
            </w:pPr>
            <w:hyperlink r:id="rId30" w:history="1">
              <w:r w:rsidR="00465FCD">
                <w:rPr>
                  <w:i/>
                  <w:color w:val="0000FF"/>
                  <w:sz w:val="20"/>
                  <w:u w:val="single"/>
                </w:rPr>
                <w:t>alice.tetu@eesc.europa.eu</w:t>
              </w:r>
            </w:hyperlink>
            <w:r w:rsidR="00465FCD">
              <w:t xml:space="preserve"> </w:t>
            </w:r>
          </w:p>
        </w:tc>
      </w:tr>
    </w:tbl>
    <w:p w14:paraId="7C08FFF5" w14:textId="77777777" w:rsidR="00EE160A" w:rsidRDefault="00EE160A" w:rsidP="00EE160A">
      <w:pPr>
        <w:jc w:val="left"/>
      </w:pPr>
    </w:p>
    <w:p w14:paraId="4982DE1C" w14:textId="3CD6FBC7" w:rsidR="0084417F" w:rsidRDefault="0084417F" w:rsidP="000D43E1">
      <w:pPr>
        <w:jc w:val="left"/>
      </w:pPr>
    </w:p>
    <w:p w14:paraId="1E85D6DD" w14:textId="245E2CB6" w:rsidR="000D43E1" w:rsidRPr="000D43E1" w:rsidRDefault="00333F4B" w:rsidP="000D43E1">
      <w:pPr>
        <w:pStyle w:val="ListParagraph"/>
        <w:numPr>
          <w:ilvl w:val="0"/>
          <w:numId w:val="59"/>
        </w:numPr>
        <w:ind w:left="567" w:hanging="567"/>
        <w:jc w:val="left"/>
        <w:rPr>
          <w:b/>
          <w:bCs/>
          <w:i/>
          <w:iCs/>
          <w:sz w:val="32"/>
          <w:szCs w:val="32"/>
        </w:rPr>
      </w:pPr>
      <w:hyperlink r:id="rId31" w:history="1">
        <w:r w:rsidR="00A51C0C">
          <w:rPr>
            <w:rStyle w:val="Hyperlink"/>
            <w:b/>
            <w:i/>
            <w:sz w:val="32"/>
          </w:rPr>
          <w:t xml:space="preserve">Cum pot fi sprijinite entitățile din economia socială în conformitate cu normele privind ajutoarele de stat: câteva reflecții în urma sugestiilor cuprinse în raportul întocmit de Enrico </w:t>
        </w:r>
        <w:proofErr w:type="spellStart"/>
        <w:r w:rsidR="00A51C0C">
          <w:rPr>
            <w:rStyle w:val="Hyperlink"/>
            <w:b/>
            <w:i/>
            <w:sz w:val="32"/>
          </w:rPr>
          <w:t>Letta</w:t>
        </w:r>
        <w:proofErr w:type="spellEnd"/>
      </w:hyperlink>
      <w:r w:rsidR="00A51C0C">
        <w:t xml:space="preserve"> </w:t>
      </w:r>
    </w:p>
    <w:p w14:paraId="1AF13DC1" w14:textId="77777777" w:rsidR="00BC6AA1" w:rsidRPr="0060010D" w:rsidRDefault="00BC6AA1">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490"/>
        <w:gridCol w:w="7583"/>
      </w:tblGrid>
      <w:tr w:rsidR="009B04E2" w:rsidRPr="00FA33C4" w14:paraId="6706979B" w14:textId="77777777" w:rsidTr="0060010D">
        <w:trPr>
          <w:trHeight w:val="279"/>
        </w:trPr>
        <w:tc>
          <w:tcPr>
            <w:tcW w:w="821" w:type="pct"/>
          </w:tcPr>
          <w:p w14:paraId="3F16C390" w14:textId="77777777" w:rsidR="009B04E2" w:rsidRPr="00FA33C4" w:rsidRDefault="009B04E2">
            <w:pPr>
              <w:tabs>
                <w:tab w:val="center" w:pos="284"/>
              </w:tabs>
              <w:overflowPunct w:val="0"/>
              <w:autoSpaceDE w:val="0"/>
              <w:autoSpaceDN w:val="0"/>
              <w:adjustRightInd w:val="0"/>
              <w:ind w:left="266" w:hanging="266"/>
              <w:textAlignment w:val="baseline"/>
              <w:rPr>
                <w:b/>
                <w:sz w:val="20"/>
                <w:szCs w:val="20"/>
              </w:rPr>
            </w:pPr>
            <w:r>
              <w:rPr>
                <w:b/>
                <w:bCs/>
                <w:sz w:val="20"/>
              </w:rPr>
              <w:t>Raportor</w:t>
            </w:r>
            <w:r>
              <w:rPr>
                <w:sz w:val="20"/>
              </w:rPr>
              <w:t>:</w:t>
            </w:r>
          </w:p>
        </w:tc>
        <w:tc>
          <w:tcPr>
            <w:tcW w:w="4179" w:type="pct"/>
          </w:tcPr>
          <w:p w14:paraId="67594706" w14:textId="3DC6F31E" w:rsidR="009B04E2" w:rsidRPr="00FA33C4" w:rsidRDefault="009B04E2">
            <w:pPr>
              <w:tabs>
                <w:tab w:val="center" w:pos="284"/>
              </w:tabs>
              <w:overflowPunct w:val="0"/>
              <w:autoSpaceDE w:val="0"/>
              <w:autoSpaceDN w:val="0"/>
              <w:adjustRightInd w:val="0"/>
              <w:ind w:left="266" w:hanging="266"/>
              <w:jc w:val="left"/>
              <w:textAlignment w:val="baseline"/>
              <w:rPr>
                <w:bCs/>
                <w:sz w:val="20"/>
                <w:szCs w:val="20"/>
              </w:rPr>
            </w:pPr>
            <w:r>
              <w:rPr>
                <w:sz w:val="20"/>
              </w:rPr>
              <w:t>Giuseppe GUERINI (Grupul „Organizații ale societății civile” - IT)</w:t>
            </w:r>
          </w:p>
        </w:tc>
      </w:tr>
      <w:tr w:rsidR="009B04E2" w:rsidRPr="00FA33C4" w14:paraId="3E8AE26E" w14:textId="77777777" w:rsidTr="0060010D">
        <w:trPr>
          <w:trHeight w:val="165"/>
        </w:trPr>
        <w:tc>
          <w:tcPr>
            <w:tcW w:w="5000" w:type="pct"/>
            <w:gridSpan w:val="2"/>
          </w:tcPr>
          <w:p w14:paraId="02F2FAC4" w14:textId="77777777" w:rsidR="009B04E2" w:rsidRPr="00FA33C4" w:rsidRDefault="009B04E2" w:rsidP="0060010D">
            <w:pPr>
              <w:tabs>
                <w:tab w:val="center" w:pos="284"/>
              </w:tabs>
              <w:overflowPunct w:val="0"/>
              <w:autoSpaceDE w:val="0"/>
              <w:autoSpaceDN w:val="0"/>
              <w:adjustRightInd w:val="0"/>
              <w:ind w:left="266" w:hanging="266"/>
              <w:textAlignment w:val="baseline"/>
              <w:rPr>
                <w:sz w:val="20"/>
                <w:szCs w:val="20"/>
              </w:rPr>
            </w:pPr>
          </w:p>
        </w:tc>
      </w:tr>
      <w:tr w:rsidR="009B04E2" w:rsidRPr="00FA33C4" w14:paraId="461881DC" w14:textId="77777777" w:rsidTr="0060010D">
        <w:trPr>
          <w:trHeight w:val="500"/>
        </w:trPr>
        <w:tc>
          <w:tcPr>
            <w:tcW w:w="821" w:type="pct"/>
          </w:tcPr>
          <w:p w14:paraId="711D7CC3" w14:textId="77777777" w:rsidR="009B04E2" w:rsidRPr="00FA33C4" w:rsidRDefault="009B04E2">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4179" w:type="pct"/>
          </w:tcPr>
          <w:p w14:paraId="13483DC7" w14:textId="77777777" w:rsidR="009B04E2" w:rsidRPr="00FA33C4" w:rsidRDefault="009B04E2">
            <w:pPr>
              <w:tabs>
                <w:tab w:val="center" w:pos="284"/>
              </w:tabs>
              <w:overflowPunct w:val="0"/>
              <w:autoSpaceDE w:val="0"/>
              <w:autoSpaceDN w:val="0"/>
              <w:adjustRightInd w:val="0"/>
              <w:ind w:left="266" w:hanging="266"/>
              <w:textAlignment w:val="baseline"/>
              <w:rPr>
                <w:sz w:val="20"/>
                <w:szCs w:val="20"/>
              </w:rPr>
            </w:pPr>
            <w:r>
              <w:rPr>
                <w:sz w:val="20"/>
              </w:rPr>
              <w:t>Aviz din proprie inițiativă</w:t>
            </w:r>
          </w:p>
          <w:p w14:paraId="5576B55D" w14:textId="77777777" w:rsidR="009B04E2" w:rsidRPr="00FA33C4" w:rsidRDefault="009B04E2">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14:paraId="10731C32" w14:textId="77777777" w:rsidR="00726351" w:rsidRDefault="00726351">
      <w:pPr>
        <w:keepNext/>
        <w:keepLines/>
        <w:tabs>
          <w:tab w:val="center" w:pos="284"/>
        </w:tabs>
        <w:overflowPunct w:val="0"/>
        <w:autoSpaceDE w:val="0"/>
        <w:autoSpaceDN w:val="0"/>
        <w:adjustRightInd w:val="0"/>
        <w:ind w:left="266" w:hanging="266"/>
        <w:textAlignment w:val="baseline"/>
        <w:rPr>
          <w:b/>
          <w:lang w:val="en-GB"/>
        </w:rPr>
      </w:pPr>
    </w:p>
    <w:p w14:paraId="56A16D26" w14:textId="6324A8F8" w:rsidR="009B04E2" w:rsidRPr="009B04E2" w:rsidRDefault="009B04E2">
      <w:pPr>
        <w:keepNext/>
        <w:keepLines/>
        <w:tabs>
          <w:tab w:val="center" w:pos="284"/>
        </w:tabs>
        <w:overflowPunct w:val="0"/>
        <w:autoSpaceDE w:val="0"/>
        <w:autoSpaceDN w:val="0"/>
        <w:adjustRightInd w:val="0"/>
        <w:ind w:left="266" w:hanging="266"/>
        <w:textAlignment w:val="baseline"/>
        <w:rPr>
          <w:b/>
        </w:rPr>
      </w:pPr>
      <w:r>
        <w:rPr>
          <w:b/>
        </w:rPr>
        <w:t>Punctele principale:</w:t>
      </w:r>
    </w:p>
    <w:p w14:paraId="09E53714" w14:textId="77777777" w:rsidR="009B04E2" w:rsidRPr="009B04E2" w:rsidRDefault="009B04E2">
      <w:pPr>
        <w:keepNext/>
        <w:keepLines/>
        <w:tabs>
          <w:tab w:val="center" w:pos="284"/>
        </w:tabs>
        <w:overflowPunct w:val="0"/>
        <w:autoSpaceDE w:val="0"/>
        <w:autoSpaceDN w:val="0"/>
        <w:adjustRightInd w:val="0"/>
        <w:ind w:left="266" w:hanging="266"/>
        <w:textAlignment w:val="baseline"/>
        <w:rPr>
          <w:b/>
          <w:sz w:val="16"/>
          <w:szCs w:val="16"/>
          <w:lang w:val="en-GB"/>
        </w:rPr>
      </w:pPr>
    </w:p>
    <w:p w14:paraId="397EBFCD" w14:textId="77777777" w:rsidR="009B04E2" w:rsidRPr="009B04E2" w:rsidRDefault="009B04E2">
      <w:pPr>
        <w:overflowPunct w:val="0"/>
        <w:autoSpaceDE w:val="0"/>
        <w:autoSpaceDN w:val="0"/>
        <w:adjustRightInd w:val="0"/>
        <w:textAlignment w:val="baseline"/>
        <w:rPr>
          <w:bCs/>
          <w:iCs/>
        </w:rPr>
      </w:pPr>
      <w:r>
        <w:t>CESE:</w:t>
      </w:r>
    </w:p>
    <w:p w14:paraId="279BECB5"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recomandă să se țină seama de importanța reconcilierii necesității unui sprijin public puternic pentru entitățile din economia socială ce îndeplinesc adesea funcții îndeplinite anterior de statele naționale cu normele europene privind ajutoarele de stat.</w:t>
      </w:r>
    </w:p>
    <w:p w14:paraId="23D4912E"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subliniază importanța unor entități din economia socială care să asigure răspunsuri concrete la nevoile sociale ale europenilor;</w:t>
      </w:r>
    </w:p>
    <w:p w14:paraId="2CD258BF"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observă că, în multe cazuri și situații, activitățile entităților din economia socială se bazează pe solidaritate, dimensiune care nu se încadrează în conceptul de activitate economică. În același timp, în numeroase cazuri, caracterul transfrontalier al activităților acestor entități în domeniul sănătății și în cel social trebuie considerat rezidual și de o asemenea dimensiune încât nu este de natură să afecteze substanțial concurența dintre statele membre;</w:t>
      </w:r>
    </w:p>
    <w:p w14:paraId="1CA3525C"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consideră că normele privind acordarea de ajutoare pentru a recruta lucrători defavorizați sau cu dizabilități prevăzute în Regulamentul general de exceptare pe categorii de ajutoare ar trebui consolidate și simplificate;</w:t>
      </w:r>
    </w:p>
    <w:p w14:paraId="409B4506" w14:textId="77777777" w:rsidR="009B04E2" w:rsidRPr="009B04E2" w:rsidRDefault="009B04E2" w:rsidP="00E206D6">
      <w:pPr>
        <w:keepNext/>
        <w:keepLines/>
        <w:widowControl w:val="0"/>
        <w:numPr>
          <w:ilvl w:val="0"/>
          <w:numId w:val="36"/>
        </w:numPr>
        <w:overflowPunct w:val="0"/>
        <w:autoSpaceDE w:val="0"/>
        <w:autoSpaceDN w:val="0"/>
        <w:adjustRightInd w:val="0"/>
        <w:ind w:left="567" w:hanging="567"/>
        <w:textAlignment w:val="baseline"/>
        <w:rPr>
          <w:bCs/>
          <w:iCs/>
        </w:rPr>
      </w:pPr>
      <w:r>
        <w:lastRenderedPageBreak/>
        <w:t xml:space="preserve">salută și propunerea suplimentară din raportul </w:t>
      </w:r>
      <w:proofErr w:type="spellStart"/>
      <w:r>
        <w:t>Letta</w:t>
      </w:r>
      <w:proofErr w:type="spellEnd"/>
      <w:r>
        <w:t xml:space="preserve"> privind necesitatea de a adapta cadrul juridic actual privind ajutoarele de stat, pentru a facilita un acces mai bun la credite și finanțare pentru întreprinderile din economia socială;</w:t>
      </w:r>
    </w:p>
    <w:p w14:paraId="1FB3DA76"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observă că autoritățile publice nu valorifică în mod corespunzător cadrul juridic privind ajutorul pentru serviciile de interes economic general;</w:t>
      </w:r>
    </w:p>
    <w:p w14:paraId="51D0AE31"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salută anunțul din Orientările politice ale viitoarei Comisii Europene, în care se afirmă că „vom revizui normele privind ajutoarele de stat pentru a permite adoptarea de măsuri de sprijin pentru locuințe, în special pentru asigurarea de locuințe sociale și eficiente din punct de vedere energetic la prețuri accesibile”;</w:t>
      </w:r>
    </w:p>
    <w:p w14:paraId="4DB77906" w14:textId="77777777" w:rsidR="009B04E2" w:rsidRPr="009B04E2" w:rsidRDefault="009B04E2" w:rsidP="0060010D">
      <w:pPr>
        <w:widowControl w:val="0"/>
        <w:numPr>
          <w:ilvl w:val="0"/>
          <w:numId w:val="36"/>
        </w:numPr>
        <w:overflowPunct w:val="0"/>
        <w:autoSpaceDE w:val="0"/>
        <w:autoSpaceDN w:val="0"/>
        <w:adjustRightInd w:val="0"/>
        <w:ind w:left="567" w:hanging="567"/>
        <w:textAlignment w:val="baseline"/>
        <w:rPr>
          <w:bCs/>
          <w:iCs/>
        </w:rPr>
      </w:pPr>
      <w:r>
        <w:t xml:space="preserve">îndeamnă Comisia Europeană să își continue eforturile de punere în aplicare a Planului de acțiune pentru economia socială, elaborat prin Foaia de parcurs de la </w:t>
      </w:r>
      <w:proofErr w:type="spellStart"/>
      <w:r>
        <w:t>Liège</w:t>
      </w:r>
      <w:proofErr w:type="spellEnd"/>
      <w:r>
        <w:t xml:space="preserve"> pentru economia socială și care îi deleagă în mod specific unuia dintre comisarii noului colegiu coordonarea punerii în aplicare.</w:t>
      </w:r>
    </w:p>
    <w:p w14:paraId="12AAB240" w14:textId="77777777" w:rsidR="009B04E2" w:rsidRPr="009B04E2" w:rsidRDefault="009B04E2">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1978"/>
        <w:gridCol w:w="7095"/>
      </w:tblGrid>
      <w:tr w:rsidR="009B04E2" w:rsidRPr="00FA33C4" w14:paraId="06061533" w14:textId="77777777" w:rsidTr="0060010D">
        <w:tc>
          <w:tcPr>
            <w:tcW w:w="1090" w:type="pct"/>
          </w:tcPr>
          <w:p w14:paraId="3984F746" w14:textId="77777777" w:rsidR="009B04E2" w:rsidRPr="00FA33C4" w:rsidRDefault="009B04E2" w:rsidP="0060010D">
            <w:pPr>
              <w:overflowPunct w:val="0"/>
              <w:autoSpaceDE w:val="0"/>
              <w:autoSpaceDN w:val="0"/>
              <w:adjustRightInd w:val="0"/>
              <w:textAlignment w:val="baseline"/>
              <w:rPr>
                <w:i/>
                <w:sz w:val="20"/>
                <w:szCs w:val="20"/>
              </w:rPr>
            </w:pPr>
            <w:r>
              <w:rPr>
                <w:b/>
                <w:i/>
                <w:sz w:val="20"/>
              </w:rPr>
              <w:t>Date de contact:</w:t>
            </w:r>
          </w:p>
        </w:tc>
        <w:tc>
          <w:tcPr>
            <w:tcW w:w="3910" w:type="pct"/>
          </w:tcPr>
          <w:p w14:paraId="3D0F10D8" w14:textId="77777777" w:rsidR="009B04E2" w:rsidRPr="00FA33C4" w:rsidRDefault="009B04E2" w:rsidP="0060010D">
            <w:pPr>
              <w:overflowPunct w:val="0"/>
              <w:autoSpaceDE w:val="0"/>
              <w:autoSpaceDN w:val="0"/>
              <w:adjustRightInd w:val="0"/>
              <w:textAlignment w:val="baseline"/>
              <w:rPr>
                <w:i/>
                <w:sz w:val="20"/>
                <w:szCs w:val="20"/>
              </w:rPr>
            </w:pPr>
            <w:proofErr w:type="spellStart"/>
            <w:r>
              <w:rPr>
                <w:i/>
                <w:sz w:val="20"/>
              </w:rPr>
              <w:t>Annalisa</w:t>
            </w:r>
            <w:proofErr w:type="spellEnd"/>
            <w:r>
              <w:rPr>
                <w:i/>
                <w:sz w:val="20"/>
              </w:rPr>
              <w:t xml:space="preserve"> </w:t>
            </w:r>
            <w:proofErr w:type="spellStart"/>
            <w:r>
              <w:rPr>
                <w:i/>
                <w:sz w:val="20"/>
              </w:rPr>
              <w:t>Tessarolo</w:t>
            </w:r>
            <w:proofErr w:type="spellEnd"/>
          </w:p>
        </w:tc>
      </w:tr>
      <w:tr w:rsidR="009B04E2" w:rsidRPr="00FA33C4" w14:paraId="6F2C0004" w14:textId="77777777" w:rsidTr="0060010D">
        <w:tc>
          <w:tcPr>
            <w:tcW w:w="1090" w:type="pct"/>
          </w:tcPr>
          <w:p w14:paraId="3267FA21" w14:textId="77777777" w:rsidR="009B04E2" w:rsidRPr="00FA33C4" w:rsidRDefault="009B04E2" w:rsidP="0060010D">
            <w:pPr>
              <w:overflowPunct w:val="0"/>
              <w:autoSpaceDE w:val="0"/>
              <w:autoSpaceDN w:val="0"/>
              <w:adjustRightInd w:val="0"/>
              <w:textAlignment w:val="baseline"/>
              <w:rPr>
                <w:i/>
                <w:sz w:val="20"/>
                <w:szCs w:val="20"/>
              </w:rPr>
            </w:pPr>
            <w:r>
              <w:rPr>
                <w:i/>
                <w:sz w:val="20"/>
              </w:rPr>
              <w:t>Tel.:</w:t>
            </w:r>
          </w:p>
        </w:tc>
        <w:tc>
          <w:tcPr>
            <w:tcW w:w="3910" w:type="pct"/>
          </w:tcPr>
          <w:p w14:paraId="59F38B18" w14:textId="77777777" w:rsidR="009B04E2" w:rsidRPr="00FA33C4" w:rsidRDefault="009B04E2" w:rsidP="0060010D">
            <w:pPr>
              <w:overflowPunct w:val="0"/>
              <w:autoSpaceDE w:val="0"/>
              <w:autoSpaceDN w:val="0"/>
              <w:adjustRightInd w:val="0"/>
              <w:textAlignment w:val="baseline"/>
              <w:rPr>
                <w:i/>
                <w:sz w:val="20"/>
                <w:szCs w:val="20"/>
              </w:rPr>
            </w:pPr>
            <w:r>
              <w:rPr>
                <w:i/>
                <w:sz w:val="20"/>
              </w:rPr>
              <w:t>+32 25469732</w:t>
            </w:r>
          </w:p>
        </w:tc>
      </w:tr>
      <w:tr w:rsidR="009B04E2" w:rsidRPr="00FA33C4" w14:paraId="20290266" w14:textId="77777777" w:rsidTr="0060010D">
        <w:tc>
          <w:tcPr>
            <w:tcW w:w="1090" w:type="pct"/>
          </w:tcPr>
          <w:p w14:paraId="060993AA" w14:textId="14698F1B" w:rsidR="009B04E2" w:rsidRPr="00FA33C4" w:rsidRDefault="00BD6AD8" w:rsidP="0060010D">
            <w:pPr>
              <w:overflowPunct w:val="0"/>
              <w:autoSpaceDE w:val="0"/>
              <w:autoSpaceDN w:val="0"/>
              <w:adjustRightInd w:val="0"/>
              <w:textAlignment w:val="baseline"/>
              <w:rPr>
                <w:i/>
                <w:sz w:val="20"/>
                <w:szCs w:val="20"/>
              </w:rPr>
            </w:pPr>
            <w:r>
              <w:rPr>
                <w:i/>
                <w:sz w:val="20"/>
              </w:rPr>
              <w:t>E-mail:</w:t>
            </w:r>
          </w:p>
        </w:tc>
        <w:tc>
          <w:tcPr>
            <w:tcW w:w="3910" w:type="pct"/>
          </w:tcPr>
          <w:p w14:paraId="38729E20" w14:textId="77777777" w:rsidR="009B04E2" w:rsidRPr="00FA33C4" w:rsidRDefault="00333F4B" w:rsidP="0060010D">
            <w:pPr>
              <w:overflowPunct w:val="0"/>
              <w:autoSpaceDE w:val="0"/>
              <w:autoSpaceDN w:val="0"/>
              <w:adjustRightInd w:val="0"/>
              <w:textAlignment w:val="baseline"/>
              <w:rPr>
                <w:i/>
                <w:sz w:val="20"/>
                <w:szCs w:val="20"/>
              </w:rPr>
            </w:pPr>
            <w:hyperlink r:id="rId32" w:history="1">
              <w:r w:rsidR="00465FCD">
                <w:rPr>
                  <w:i/>
                  <w:color w:val="0000FF"/>
                  <w:sz w:val="20"/>
                  <w:u w:val="single"/>
                </w:rPr>
                <w:t>Annalisa.Tessarolo@eesc.europa.eu</w:t>
              </w:r>
            </w:hyperlink>
          </w:p>
        </w:tc>
      </w:tr>
    </w:tbl>
    <w:p w14:paraId="46687114" w14:textId="6265E3D5" w:rsidR="004D7AC0" w:rsidRDefault="004D7AC0">
      <w:pPr>
        <w:pStyle w:val="ListParagraph"/>
        <w:ind w:left="0"/>
        <w:rPr>
          <w:lang w:val="en-GB"/>
        </w:rPr>
      </w:pPr>
    </w:p>
    <w:p w14:paraId="79E24043" w14:textId="77C83B07" w:rsidR="00EE160A" w:rsidRDefault="00EE160A">
      <w:pPr>
        <w:pStyle w:val="ListParagraph"/>
        <w:ind w:left="0"/>
        <w:rPr>
          <w:lang w:val="en-GB"/>
        </w:rPr>
      </w:pPr>
    </w:p>
    <w:p w14:paraId="578D82F0" w14:textId="1E2EC8F7" w:rsidR="00EE160A" w:rsidRPr="00EE160A" w:rsidRDefault="00333F4B" w:rsidP="00EE160A">
      <w:pPr>
        <w:pStyle w:val="ListParagraph"/>
        <w:numPr>
          <w:ilvl w:val="0"/>
          <w:numId w:val="53"/>
        </w:numPr>
        <w:ind w:left="567" w:hanging="567"/>
        <w:rPr>
          <w:b/>
          <w:bCs/>
          <w:i/>
          <w:iCs/>
          <w:sz w:val="32"/>
          <w:szCs w:val="32"/>
        </w:rPr>
      </w:pPr>
      <w:hyperlink r:id="rId33" w:history="1">
        <w:r w:rsidR="00A51C0C">
          <w:rPr>
            <w:rStyle w:val="Hyperlink"/>
            <w:b/>
            <w:i/>
            <w:sz w:val="32"/>
          </w:rPr>
          <w:t>O politică în domeniul concurenței în centrul competitivității UE</w:t>
        </w:r>
      </w:hyperlink>
    </w:p>
    <w:p w14:paraId="71324E36" w14:textId="77777777" w:rsidR="00EE160A" w:rsidRDefault="00EE160A">
      <w:pPr>
        <w:pStyle w:val="ListParagraph"/>
        <w:ind w:left="0"/>
        <w:rPr>
          <w:lang w:val="en-GB"/>
        </w:rPr>
      </w:pPr>
    </w:p>
    <w:tbl>
      <w:tblPr>
        <w:tblW w:w="5000" w:type="pct"/>
        <w:tblLook w:val="04A0" w:firstRow="1" w:lastRow="0" w:firstColumn="1" w:lastColumn="0" w:noHBand="0" w:noVBand="1"/>
      </w:tblPr>
      <w:tblGrid>
        <w:gridCol w:w="1978"/>
        <w:gridCol w:w="7095"/>
      </w:tblGrid>
      <w:tr w:rsidR="00B8503F" w:rsidRPr="00FA33C4" w14:paraId="6B4D5454" w14:textId="77777777" w:rsidTr="0060010D">
        <w:tc>
          <w:tcPr>
            <w:tcW w:w="1090" w:type="pct"/>
          </w:tcPr>
          <w:p w14:paraId="6C58656A" w14:textId="77777777" w:rsidR="00B8503F" w:rsidRPr="00FA33C4" w:rsidRDefault="00B8503F">
            <w:pPr>
              <w:tabs>
                <w:tab w:val="center" w:pos="284"/>
              </w:tabs>
              <w:overflowPunct w:val="0"/>
              <w:autoSpaceDE w:val="0"/>
              <w:autoSpaceDN w:val="0"/>
              <w:adjustRightInd w:val="0"/>
              <w:ind w:left="266" w:hanging="266"/>
              <w:textAlignment w:val="baseline"/>
              <w:rPr>
                <w:b/>
                <w:sz w:val="20"/>
                <w:szCs w:val="20"/>
              </w:rPr>
            </w:pPr>
            <w:r>
              <w:rPr>
                <w:b/>
                <w:bCs/>
                <w:sz w:val="20"/>
              </w:rPr>
              <w:t>Raportoare</w:t>
            </w:r>
            <w:r>
              <w:rPr>
                <w:sz w:val="20"/>
              </w:rPr>
              <w:t>:</w:t>
            </w:r>
          </w:p>
        </w:tc>
        <w:tc>
          <w:tcPr>
            <w:tcW w:w="3910" w:type="pct"/>
          </w:tcPr>
          <w:p w14:paraId="16378746" w14:textId="15A4AD8B" w:rsidR="00B8503F" w:rsidRPr="00FA33C4" w:rsidRDefault="00B8503F">
            <w:pPr>
              <w:tabs>
                <w:tab w:val="center" w:pos="284"/>
              </w:tabs>
              <w:overflowPunct w:val="0"/>
              <w:autoSpaceDE w:val="0"/>
              <w:autoSpaceDN w:val="0"/>
              <w:adjustRightInd w:val="0"/>
              <w:ind w:left="266" w:hanging="266"/>
              <w:textAlignment w:val="baseline"/>
              <w:rPr>
                <w:sz w:val="20"/>
                <w:szCs w:val="20"/>
              </w:rPr>
            </w:pPr>
            <w:r>
              <w:rPr>
                <w:sz w:val="20"/>
              </w:rPr>
              <w:t>Isabel YGLESIAS (Grupul „Angajatori” – ES)</w:t>
            </w:r>
          </w:p>
        </w:tc>
      </w:tr>
      <w:tr w:rsidR="00B8503F" w:rsidRPr="00FA33C4" w14:paraId="4275B663" w14:textId="77777777" w:rsidTr="0060010D">
        <w:tc>
          <w:tcPr>
            <w:tcW w:w="5000" w:type="pct"/>
            <w:gridSpan w:val="2"/>
          </w:tcPr>
          <w:p w14:paraId="10A91ACC" w14:textId="77777777" w:rsidR="00B8503F" w:rsidRPr="00FA33C4" w:rsidRDefault="00B8503F" w:rsidP="0060010D">
            <w:pPr>
              <w:tabs>
                <w:tab w:val="center" w:pos="284"/>
              </w:tabs>
              <w:overflowPunct w:val="0"/>
              <w:autoSpaceDE w:val="0"/>
              <w:autoSpaceDN w:val="0"/>
              <w:adjustRightInd w:val="0"/>
              <w:ind w:left="266" w:hanging="266"/>
              <w:textAlignment w:val="baseline"/>
              <w:rPr>
                <w:sz w:val="20"/>
                <w:szCs w:val="20"/>
              </w:rPr>
            </w:pPr>
          </w:p>
        </w:tc>
      </w:tr>
      <w:tr w:rsidR="00B8503F" w:rsidRPr="00FA33C4" w14:paraId="3DC3FE49" w14:textId="77777777" w:rsidTr="0060010D">
        <w:tc>
          <w:tcPr>
            <w:tcW w:w="1090" w:type="pct"/>
            <w:vMerge w:val="restart"/>
          </w:tcPr>
          <w:p w14:paraId="38E2C93C" w14:textId="77777777" w:rsidR="00B8503F" w:rsidRPr="00FA33C4" w:rsidRDefault="00B8503F">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3910" w:type="pct"/>
          </w:tcPr>
          <w:p w14:paraId="6F4ED165" w14:textId="77777777" w:rsidR="00B8503F" w:rsidRPr="00FA33C4" w:rsidRDefault="00B8503F">
            <w:pPr>
              <w:tabs>
                <w:tab w:val="center" w:pos="284"/>
              </w:tabs>
              <w:overflowPunct w:val="0"/>
              <w:autoSpaceDE w:val="0"/>
              <w:autoSpaceDN w:val="0"/>
              <w:adjustRightInd w:val="0"/>
              <w:ind w:left="266" w:hanging="266"/>
              <w:textAlignment w:val="baseline"/>
              <w:rPr>
                <w:sz w:val="20"/>
                <w:szCs w:val="20"/>
              </w:rPr>
            </w:pPr>
            <w:r>
              <w:rPr>
                <w:sz w:val="20"/>
              </w:rPr>
              <w:t>aviz din proprie inițiativă</w:t>
            </w:r>
          </w:p>
        </w:tc>
      </w:tr>
      <w:tr w:rsidR="00B8503F" w:rsidRPr="00FA33C4" w14:paraId="061DD36D" w14:textId="77777777" w:rsidTr="0060010D">
        <w:tc>
          <w:tcPr>
            <w:tcW w:w="1090" w:type="pct"/>
            <w:vMerge/>
          </w:tcPr>
          <w:p w14:paraId="22FF1442" w14:textId="77777777" w:rsidR="00B8503F" w:rsidRPr="00FA33C4" w:rsidRDefault="00B8503F">
            <w:pPr>
              <w:tabs>
                <w:tab w:val="center" w:pos="284"/>
              </w:tabs>
              <w:overflowPunct w:val="0"/>
              <w:autoSpaceDE w:val="0"/>
              <w:autoSpaceDN w:val="0"/>
              <w:adjustRightInd w:val="0"/>
              <w:ind w:left="266" w:hanging="266"/>
              <w:textAlignment w:val="baseline"/>
              <w:rPr>
                <w:b/>
                <w:sz w:val="20"/>
                <w:szCs w:val="20"/>
              </w:rPr>
            </w:pPr>
          </w:p>
        </w:tc>
        <w:tc>
          <w:tcPr>
            <w:tcW w:w="3910" w:type="pct"/>
          </w:tcPr>
          <w:p w14:paraId="2EB8E45F" w14:textId="77777777" w:rsidR="00B8503F" w:rsidRPr="00FA33C4" w:rsidRDefault="00B8503F">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14:paraId="4144B7F1" w14:textId="77777777" w:rsidR="00B8503F" w:rsidRPr="00B8503F" w:rsidRDefault="00B8503F">
      <w:pPr>
        <w:tabs>
          <w:tab w:val="center" w:pos="284"/>
        </w:tabs>
        <w:overflowPunct w:val="0"/>
        <w:autoSpaceDE w:val="0"/>
        <w:autoSpaceDN w:val="0"/>
        <w:adjustRightInd w:val="0"/>
        <w:ind w:left="266" w:hanging="266"/>
        <w:textAlignment w:val="baseline"/>
        <w:rPr>
          <w:lang w:val="en-GB"/>
        </w:rPr>
      </w:pPr>
    </w:p>
    <w:p w14:paraId="04516D00" w14:textId="77777777" w:rsidR="00B8503F" w:rsidRPr="00B8503F" w:rsidRDefault="00B8503F">
      <w:pPr>
        <w:keepNext/>
        <w:keepLines/>
        <w:tabs>
          <w:tab w:val="center" w:pos="284"/>
        </w:tabs>
        <w:overflowPunct w:val="0"/>
        <w:autoSpaceDE w:val="0"/>
        <w:autoSpaceDN w:val="0"/>
        <w:adjustRightInd w:val="0"/>
        <w:ind w:left="266" w:hanging="266"/>
        <w:textAlignment w:val="baseline"/>
        <w:rPr>
          <w:b/>
        </w:rPr>
      </w:pPr>
      <w:r>
        <w:rPr>
          <w:b/>
        </w:rPr>
        <w:t>Punctele principale:</w:t>
      </w:r>
    </w:p>
    <w:p w14:paraId="42CF4150" w14:textId="77777777" w:rsidR="00B8503F" w:rsidRPr="00B8503F" w:rsidRDefault="00B8503F">
      <w:pPr>
        <w:keepNext/>
        <w:keepLines/>
        <w:tabs>
          <w:tab w:val="center" w:pos="284"/>
        </w:tabs>
        <w:overflowPunct w:val="0"/>
        <w:autoSpaceDE w:val="0"/>
        <w:autoSpaceDN w:val="0"/>
        <w:adjustRightInd w:val="0"/>
        <w:ind w:left="266" w:hanging="266"/>
        <w:textAlignment w:val="baseline"/>
        <w:rPr>
          <w:b/>
          <w:lang w:val="en-GB"/>
        </w:rPr>
      </w:pPr>
    </w:p>
    <w:p w14:paraId="24096944" w14:textId="77777777" w:rsidR="00B8503F" w:rsidRDefault="00B8503F">
      <w:pPr>
        <w:overflowPunct w:val="0"/>
        <w:autoSpaceDE w:val="0"/>
        <w:autoSpaceDN w:val="0"/>
        <w:adjustRightInd w:val="0"/>
        <w:textAlignment w:val="baseline"/>
        <w:rPr>
          <w:bCs/>
          <w:iCs/>
        </w:rPr>
      </w:pPr>
      <w:r>
        <w:t>CESE:</w:t>
      </w:r>
    </w:p>
    <w:p w14:paraId="181808F5" w14:textId="77777777" w:rsidR="00B8503F" w:rsidRPr="00B8503F" w:rsidRDefault="00B8503F" w:rsidP="0060010D">
      <w:pPr>
        <w:widowControl w:val="0"/>
        <w:numPr>
          <w:ilvl w:val="0"/>
          <w:numId w:val="37"/>
        </w:numPr>
        <w:overflowPunct w:val="0"/>
        <w:autoSpaceDE w:val="0"/>
        <w:autoSpaceDN w:val="0"/>
        <w:adjustRightInd w:val="0"/>
        <w:ind w:left="567" w:hanging="567"/>
        <w:textAlignment w:val="baseline"/>
      </w:pPr>
      <w:r>
        <w:t xml:space="preserve">subliniază că </w:t>
      </w:r>
      <w:r>
        <w:rPr>
          <w:b/>
        </w:rPr>
        <w:t>ajutoarele de stat</w:t>
      </w:r>
      <w:r>
        <w:t xml:space="preserve"> pot sprijini în mod fiabil întreprinderile din UE în eforturile lor de tranziție, mobilizând investițiile masive necesare pentru atingerea acestui obiectiv colectiv. Pentru a evita impactul negativ asupra competitivității UE al dispersiei ajutoarelor de stat între statele membre, este esențial să se asigure că </w:t>
      </w:r>
      <w:r>
        <w:rPr>
          <w:b/>
        </w:rPr>
        <w:t>sprijinul public este utilizat cât mai eficient posibil, sporind efectele de propagare și consolidând lanțurile valorice europene</w:t>
      </w:r>
      <w:r>
        <w:t>;</w:t>
      </w:r>
    </w:p>
    <w:p w14:paraId="6D1C5BC5" w14:textId="77777777" w:rsidR="00B8503F" w:rsidRPr="00B8503F" w:rsidRDefault="00B8503F" w:rsidP="0060010D">
      <w:pPr>
        <w:widowControl w:val="0"/>
        <w:numPr>
          <w:ilvl w:val="0"/>
          <w:numId w:val="37"/>
        </w:numPr>
        <w:overflowPunct w:val="0"/>
        <w:autoSpaceDE w:val="0"/>
        <w:autoSpaceDN w:val="0"/>
        <w:adjustRightInd w:val="0"/>
        <w:ind w:left="567" w:hanging="567"/>
        <w:textAlignment w:val="baseline"/>
      </w:pPr>
      <w:r>
        <w:t xml:space="preserve">subliniază că </w:t>
      </w:r>
      <w:r>
        <w:rPr>
          <w:b/>
        </w:rPr>
        <w:t>evaluarea concentrărilor economice ar putea fi extinsă astfel încât să ia în considerare într-o mai mare măsură natura specifică a piețelor</w:t>
      </w:r>
      <w:r>
        <w:t xml:space="preserve"> în care investițiile în infrastructură, inovarea sau durabilitatea joacă un rol esențial. În plus, ar trebui pusă în aplicare o soluție care să permită controlul concentrărilor economice bazate pe inovare care, în prezent, nu intră sub incidența pragurilor prevăzute în Regulamentul privind concentrările economice al Comisiei. Concentrările economice nu ar trebui să fie utilizate niciodată pentru a apăra interesele naționale, iar în analiza acestor concentrări ar trebui să se ia în considerare punctele de vedere ale tuturor părților interesate;</w:t>
      </w:r>
    </w:p>
    <w:p w14:paraId="73F97A51" w14:textId="77777777" w:rsidR="00B8503F" w:rsidRPr="00B8503F" w:rsidRDefault="00B8503F" w:rsidP="0060010D">
      <w:pPr>
        <w:widowControl w:val="0"/>
        <w:numPr>
          <w:ilvl w:val="0"/>
          <w:numId w:val="37"/>
        </w:numPr>
        <w:overflowPunct w:val="0"/>
        <w:autoSpaceDE w:val="0"/>
        <w:autoSpaceDN w:val="0"/>
        <w:adjustRightInd w:val="0"/>
        <w:ind w:left="567" w:hanging="567"/>
        <w:textAlignment w:val="baseline"/>
      </w:pPr>
      <w:r>
        <w:t>recomandă ca revizuirea normelor privind proiectele importante de interes european comun (</w:t>
      </w:r>
      <w:r>
        <w:rPr>
          <w:b/>
        </w:rPr>
        <w:t>PIIEC</w:t>
      </w:r>
      <w:r>
        <w:t xml:space="preserve">) trebuie să ducă la crearea unui instrument cu </w:t>
      </w:r>
      <w:r>
        <w:rPr>
          <w:b/>
        </w:rPr>
        <w:t>o abordare europeană reală</w:t>
      </w:r>
      <w:r>
        <w:t>, care să garanteze că astfel de instrumente sunt adevărați factori de schimbare, iar Fondul european pentru competitivitate trebuie conceput și implementat dintr-o perspectivă europeană;</w:t>
      </w:r>
    </w:p>
    <w:p w14:paraId="44D6690A" w14:textId="77777777" w:rsidR="00B8503F" w:rsidRPr="00B8503F" w:rsidRDefault="00B8503F" w:rsidP="0060010D">
      <w:pPr>
        <w:widowControl w:val="0"/>
        <w:numPr>
          <w:ilvl w:val="0"/>
          <w:numId w:val="37"/>
        </w:numPr>
        <w:overflowPunct w:val="0"/>
        <w:autoSpaceDE w:val="0"/>
        <w:autoSpaceDN w:val="0"/>
        <w:adjustRightInd w:val="0"/>
        <w:ind w:left="567" w:hanging="567"/>
        <w:textAlignment w:val="baseline"/>
      </w:pPr>
      <w:r>
        <w:lastRenderedPageBreak/>
        <w:t xml:space="preserve">subliniază că întreprinderile au nevoie de vizibilitate și securitate juridică. Deși sunt dezvoltate noi abordări în materie de concurență, ar trebui să se depună eforturi suplimentare pentru </w:t>
      </w:r>
      <w:r>
        <w:rPr>
          <w:b/>
        </w:rPr>
        <w:t>a raționaliza procedurile antitrust, cele privind concentrările economice și cele privind ajutoarele de stat și pentru a crea orientări clare</w:t>
      </w:r>
      <w:r>
        <w:t>. Ar trebui să se acorde prioritate unei abordări bazate pe instrumentele deja existente, pentru aprofundarea pieței unice.</w:t>
      </w:r>
    </w:p>
    <w:p w14:paraId="708888F6" w14:textId="77777777" w:rsidR="00B8503F" w:rsidRPr="00B8503F" w:rsidRDefault="00B8503F">
      <w:pPr>
        <w:widowControl w:val="0"/>
        <w:overflowPunct w:val="0"/>
        <w:autoSpaceDE w:val="0"/>
        <w:autoSpaceDN w:val="0"/>
        <w:adjustRightInd w:val="0"/>
        <w:ind w:left="567" w:hanging="567"/>
        <w:textAlignment w:val="baseline"/>
        <w:rPr>
          <w:lang w:val="en-GB"/>
        </w:rPr>
      </w:pPr>
    </w:p>
    <w:tbl>
      <w:tblPr>
        <w:tblW w:w="4941" w:type="pct"/>
        <w:tblLook w:val="04A0" w:firstRow="1" w:lastRow="0" w:firstColumn="1" w:lastColumn="0" w:noHBand="0" w:noVBand="1"/>
      </w:tblPr>
      <w:tblGrid>
        <w:gridCol w:w="1985"/>
        <w:gridCol w:w="6981"/>
      </w:tblGrid>
      <w:tr w:rsidR="00B8503F" w:rsidRPr="00FA33C4" w14:paraId="6322D817" w14:textId="77777777" w:rsidTr="00FA33C4">
        <w:tc>
          <w:tcPr>
            <w:tcW w:w="1107" w:type="pct"/>
          </w:tcPr>
          <w:p w14:paraId="40FB2786" w14:textId="77777777" w:rsidR="00B8503F" w:rsidRPr="00FA33C4" w:rsidRDefault="00B8503F" w:rsidP="0060010D">
            <w:pPr>
              <w:overflowPunct w:val="0"/>
              <w:autoSpaceDE w:val="0"/>
              <w:autoSpaceDN w:val="0"/>
              <w:adjustRightInd w:val="0"/>
              <w:textAlignment w:val="baseline"/>
              <w:rPr>
                <w:i/>
                <w:sz w:val="20"/>
                <w:szCs w:val="20"/>
              </w:rPr>
            </w:pPr>
            <w:r>
              <w:rPr>
                <w:b/>
                <w:i/>
                <w:sz w:val="20"/>
              </w:rPr>
              <w:t>Date de contact:</w:t>
            </w:r>
          </w:p>
        </w:tc>
        <w:tc>
          <w:tcPr>
            <w:tcW w:w="3893" w:type="pct"/>
          </w:tcPr>
          <w:p w14:paraId="7E2817B8" w14:textId="77777777" w:rsidR="00B8503F" w:rsidRPr="00FA33C4" w:rsidRDefault="00B8503F" w:rsidP="0060010D">
            <w:pPr>
              <w:overflowPunct w:val="0"/>
              <w:autoSpaceDE w:val="0"/>
              <w:autoSpaceDN w:val="0"/>
              <w:adjustRightInd w:val="0"/>
              <w:textAlignment w:val="baseline"/>
              <w:rPr>
                <w:i/>
                <w:sz w:val="20"/>
                <w:szCs w:val="20"/>
              </w:rPr>
            </w:pPr>
            <w:r>
              <w:rPr>
                <w:i/>
                <w:sz w:val="20"/>
              </w:rPr>
              <w:t>Staffa Silvia</w:t>
            </w:r>
          </w:p>
        </w:tc>
      </w:tr>
      <w:tr w:rsidR="00B8503F" w:rsidRPr="00FA33C4" w14:paraId="69EE4A34" w14:textId="77777777" w:rsidTr="00FA33C4">
        <w:tc>
          <w:tcPr>
            <w:tcW w:w="1107" w:type="pct"/>
          </w:tcPr>
          <w:p w14:paraId="4AC8DA13" w14:textId="77777777" w:rsidR="00B8503F" w:rsidRPr="00FA33C4" w:rsidRDefault="00B8503F" w:rsidP="0060010D">
            <w:pPr>
              <w:overflowPunct w:val="0"/>
              <w:autoSpaceDE w:val="0"/>
              <w:autoSpaceDN w:val="0"/>
              <w:adjustRightInd w:val="0"/>
              <w:textAlignment w:val="baseline"/>
              <w:rPr>
                <w:i/>
                <w:sz w:val="20"/>
                <w:szCs w:val="20"/>
              </w:rPr>
            </w:pPr>
            <w:r>
              <w:rPr>
                <w:i/>
                <w:sz w:val="20"/>
              </w:rPr>
              <w:t>Tel.:</w:t>
            </w:r>
          </w:p>
        </w:tc>
        <w:tc>
          <w:tcPr>
            <w:tcW w:w="3893" w:type="pct"/>
          </w:tcPr>
          <w:p w14:paraId="1662DE13" w14:textId="77777777" w:rsidR="00B8503F" w:rsidRPr="00FA33C4" w:rsidRDefault="00B8503F" w:rsidP="0060010D">
            <w:pPr>
              <w:overflowPunct w:val="0"/>
              <w:autoSpaceDE w:val="0"/>
              <w:autoSpaceDN w:val="0"/>
              <w:adjustRightInd w:val="0"/>
              <w:textAlignment w:val="baseline"/>
              <w:rPr>
                <w:i/>
                <w:sz w:val="20"/>
                <w:szCs w:val="20"/>
              </w:rPr>
            </w:pPr>
            <w:r>
              <w:rPr>
                <w:i/>
                <w:sz w:val="20"/>
              </w:rPr>
              <w:t>+32 25468378</w:t>
            </w:r>
          </w:p>
        </w:tc>
      </w:tr>
      <w:tr w:rsidR="00B8503F" w:rsidRPr="00FA33C4" w14:paraId="29EEA00D" w14:textId="77777777" w:rsidTr="00FA33C4">
        <w:tc>
          <w:tcPr>
            <w:tcW w:w="1107" w:type="pct"/>
          </w:tcPr>
          <w:p w14:paraId="75A19BC8" w14:textId="69A27546" w:rsidR="00B8503F" w:rsidRPr="00FA33C4" w:rsidRDefault="006C0A65" w:rsidP="0060010D">
            <w:pPr>
              <w:overflowPunct w:val="0"/>
              <w:autoSpaceDE w:val="0"/>
              <w:autoSpaceDN w:val="0"/>
              <w:adjustRightInd w:val="0"/>
              <w:textAlignment w:val="baseline"/>
              <w:rPr>
                <w:i/>
                <w:sz w:val="20"/>
                <w:szCs w:val="20"/>
              </w:rPr>
            </w:pPr>
            <w:r>
              <w:rPr>
                <w:i/>
                <w:sz w:val="20"/>
              </w:rPr>
              <w:t>E-mail:</w:t>
            </w:r>
          </w:p>
        </w:tc>
        <w:tc>
          <w:tcPr>
            <w:tcW w:w="3893" w:type="pct"/>
          </w:tcPr>
          <w:p w14:paraId="53E24144" w14:textId="458B4EE3" w:rsidR="00B8503F" w:rsidRPr="00FA33C4" w:rsidRDefault="00333F4B" w:rsidP="0060010D">
            <w:pPr>
              <w:overflowPunct w:val="0"/>
              <w:autoSpaceDE w:val="0"/>
              <w:autoSpaceDN w:val="0"/>
              <w:adjustRightInd w:val="0"/>
              <w:textAlignment w:val="baseline"/>
              <w:rPr>
                <w:i/>
                <w:sz w:val="20"/>
                <w:szCs w:val="20"/>
              </w:rPr>
            </w:pPr>
            <w:hyperlink r:id="rId34" w:history="1">
              <w:r w:rsidR="00E206D6" w:rsidRPr="001457EA">
                <w:rPr>
                  <w:rStyle w:val="Hyperlink"/>
                  <w:i/>
                  <w:sz w:val="20"/>
                </w:rPr>
                <w:t>Silvia.Staffa@eesc.europa.eu</w:t>
              </w:r>
            </w:hyperlink>
            <w:r w:rsidR="00E206D6">
              <w:rPr>
                <w:i/>
                <w:sz w:val="20"/>
              </w:rPr>
              <w:t xml:space="preserve"> </w:t>
            </w:r>
          </w:p>
        </w:tc>
      </w:tr>
    </w:tbl>
    <w:p w14:paraId="4982DE1E" w14:textId="427EDE1A" w:rsidR="009B04E2" w:rsidRDefault="009B04E2" w:rsidP="0060010D">
      <w:pPr>
        <w:jc w:val="left"/>
      </w:pPr>
      <w:r>
        <w:br w:type="page"/>
      </w:r>
    </w:p>
    <w:p w14:paraId="4982DE1F" w14:textId="77777777" w:rsidR="004D7AC0" w:rsidRDefault="004D7AC0" w:rsidP="0060010D">
      <w:pPr>
        <w:pStyle w:val="Heading1"/>
        <w:keepNext/>
        <w:keepLines/>
        <w:rPr>
          <w:b/>
        </w:rPr>
      </w:pPr>
      <w:bookmarkStart w:id="10" w:name="_Toc189059540"/>
      <w:bookmarkStart w:id="11" w:name="_Toc70322234"/>
      <w:bookmarkStart w:id="12" w:name="_Toc75527084"/>
      <w:bookmarkStart w:id="13" w:name="_Toc189572516"/>
      <w:bookmarkEnd w:id="10"/>
      <w:r>
        <w:rPr>
          <w:b/>
        </w:rPr>
        <w:lastRenderedPageBreak/>
        <w:t>SECȚIUNEA PENTRU AGRICULTURĂ, DEZVOLTARE RURALĂ ȘI PROTECȚIA MEDIULUI</w:t>
      </w:r>
      <w:bookmarkEnd w:id="11"/>
      <w:bookmarkEnd w:id="12"/>
      <w:bookmarkEnd w:id="13"/>
    </w:p>
    <w:p w14:paraId="4982DE20" w14:textId="77777777" w:rsidR="004D7AC0" w:rsidRPr="00E206D6" w:rsidRDefault="004D7AC0" w:rsidP="0060010D">
      <w:pPr>
        <w:keepNext/>
        <w:keepLines/>
        <w:rPr>
          <w:sz w:val="16"/>
          <w:szCs w:val="16"/>
        </w:rPr>
      </w:pPr>
    </w:p>
    <w:p w14:paraId="3C73BBEB" w14:textId="03CD3A6D" w:rsidR="00D24919" w:rsidRPr="00D24919" w:rsidRDefault="00333F4B" w:rsidP="0060010D">
      <w:pPr>
        <w:keepNext/>
        <w:keepLines/>
        <w:widowControl w:val="0"/>
        <w:numPr>
          <w:ilvl w:val="0"/>
          <w:numId w:val="10"/>
        </w:numPr>
        <w:overflowPunct w:val="0"/>
        <w:autoSpaceDE w:val="0"/>
        <w:autoSpaceDN w:val="0"/>
        <w:adjustRightInd w:val="0"/>
        <w:ind w:left="567" w:hanging="567"/>
        <w:textAlignment w:val="baseline"/>
        <w:rPr>
          <w:b/>
          <w:sz w:val="18"/>
          <w:szCs w:val="18"/>
        </w:rPr>
      </w:pPr>
      <w:hyperlink r:id="rId35" w:history="1">
        <w:r w:rsidR="00F70422">
          <w:rPr>
            <w:rStyle w:val="Hyperlink"/>
            <w:b/>
            <w:i/>
            <w:sz w:val="28"/>
          </w:rPr>
          <w:t>Conservarea stocurilor de pește în raport cu țările care permit pescuitul nedurabil</w:t>
        </w:r>
      </w:hyperlink>
    </w:p>
    <w:p w14:paraId="3EFCF7F8" w14:textId="77777777" w:rsidR="00D24919" w:rsidRPr="00D24919" w:rsidRDefault="00D24919" w:rsidP="0060010D">
      <w:pPr>
        <w:keepNext/>
        <w:keepLines/>
        <w:widowControl w:val="0"/>
        <w:overflowPunct w:val="0"/>
        <w:autoSpaceDE w:val="0"/>
        <w:autoSpaceDN w:val="0"/>
        <w:adjustRightInd w:val="0"/>
        <w:ind w:left="266"/>
        <w:textAlignment w:val="baseline"/>
        <w:rPr>
          <w:b/>
          <w:sz w:val="18"/>
          <w:szCs w:val="18"/>
          <w:lang w:val="en-GB"/>
        </w:rPr>
      </w:pPr>
    </w:p>
    <w:tbl>
      <w:tblPr>
        <w:tblW w:w="5000" w:type="pct"/>
        <w:tblLook w:val="04A0" w:firstRow="1" w:lastRow="0" w:firstColumn="1" w:lastColumn="0" w:noHBand="0" w:noVBand="1"/>
      </w:tblPr>
      <w:tblGrid>
        <w:gridCol w:w="1524"/>
        <w:gridCol w:w="7549"/>
      </w:tblGrid>
      <w:tr w:rsidR="00D24919" w:rsidRPr="00FA33C4" w14:paraId="02FFF65B" w14:textId="77777777" w:rsidTr="0060010D">
        <w:trPr>
          <w:trHeight w:val="216"/>
        </w:trPr>
        <w:tc>
          <w:tcPr>
            <w:tcW w:w="840" w:type="pct"/>
          </w:tcPr>
          <w:p w14:paraId="09C1B785" w14:textId="77777777" w:rsidR="00D24919" w:rsidRPr="00FA33C4" w:rsidRDefault="00D24919" w:rsidP="00E206D6">
            <w:pPr>
              <w:tabs>
                <w:tab w:val="center" w:pos="284"/>
              </w:tabs>
              <w:overflowPunct w:val="0"/>
              <w:autoSpaceDE w:val="0"/>
              <w:autoSpaceDN w:val="0"/>
              <w:adjustRightInd w:val="0"/>
              <w:spacing w:line="264" w:lineRule="auto"/>
              <w:ind w:left="266" w:hanging="266"/>
              <w:textAlignment w:val="baseline"/>
              <w:rPr>
                <w:b/>
                <w:sz w:val="20"/>
                <w:szCs w:val="20"/>
              </w:rPr>
            </w:pPr>
            <w:r>
              <w:rPr>
                <w:b/>
                <w:bCs/>
                <w:sz w:val="20"/>
              </w:rPr>
              <w:t>Raportor</w:t>
            </w:r>
            <w:r>
              <w:rPr>
                <w:sz w:val="20"/>
              </w:rPr>
              <w:t>:</w:t>
            </w:r>
          </w:p>
        </w:tc>
        <w:tc>
          <w:tcPr>
            <w:tcW w:w="4160" w:type="pct"/>
          </w:tcPr>
          <w:p w14:paraId="67AA154C" w14:textId="77777777" w:rsidR="00D24919" w:rsidRPr="00FA33C4" w:rsidRDefault="00D24919" w:rsidP="00E206D6">
            <w:pPr>
              <w:tabs>
                <w:tab w:val="center" w:pos="284"/>
              </w:tabs>
              <w:overflowPunct w:val="0"/>
              <w:autoSpaceDE w:val="0"/>
              <w:autoSpaceDN w:val="0"/>
              <w:adjustRightInd w:val="0"/>
              <w:spacing w:line="264" w:lineRule="auto"/>
              <w:ind w:left="266" w:hanging="266"/>
              <w:textAlignment w:val="baseline"/>
              <w:rPr>
                <w:sz w:val="20"/>
                <w:szCs w:val="20"/>
              </w:rPr>
            </w:pPr>
            <w:r>
              <w:rPr>
                <w:sz w:val="20"/>
              </w:rPr>
              <w:t>Javier GARAT PÉREZ (Grupul „Organizații ale societății civile” – ES)</w:t>
            </w:r>
          </w:p>
        </w:tc>
      </w:tr>
      <w:tr w:rsidR="00465FCD" w:rsidRPr="00FA33C4" w14:paraId="4911FFB7" w14:textId="77777777" w:rsidTr="00E206D6">
        <w:trPr>
          <w:trHeight w:val="53"/>
        </w:trPr>
        <w:tc>
          <w:tcPr>
            <w:tcW w:w="840" w:type="pct"/>
          </w:tcPr>
          <w:p w14:paraId="2069D8BB" w14:textId="77777777" w:rsidR="00465FCD" w:rsidRPr="00E206D6" w:rsidRDefault="00465FCD" w:rsidP="00E206D6">
            <w:pPr>
              <w:tabs>
                <w:tab w:val="center" w:pos="284"/>
              </w:tabs>
              <w:overflowPunct w:val="0"/>
              <w:autoSpaceDE w:val="0"/>
              <w:autoSpaceDN w:val="0"/>
              <w:adjustRightInd w:val="0"/>
              <w:spacing w:line="264" w:lineRule="auto"/>
              <w:ind w:left="266" w:hanging="266"/>
              <w:textAlignment w:val="baseline"/>
              <w:rPr>
                <w:b/>
                <w:sz w:val="12"/>
                <w:szCs w:val="12"/>
              </w:rPr>
            </w:pPr>
          </w:p>
        </w:tc>
        <w:tc>
          <w:tcPr>
            <w:tcW w:w="4160" w:type="pct"/>
          </w:tcPr>
          <w:p w14:paraId="17AC53A8" w14:textId="77777777" w:rsidR="00465FCD" w:rsidRPr="00E206D6" w:rsidRDefault="00465FCD" w:rsidP="00E206D6">
            <w:pPr>
              <w:tabs>
                <w:tab w:val="center" w:pos="284"/>
              </w:tabs>
              <w:overflowPunct w:val="0"/>
              <w:autoSpaceDE w:val="0"/>
              <w:autoSpaceDN w:val="0"/>
              <w:adjustRightInd w:val="0"/>
              <w:spacing w:line="264" w:lineRule="auto"/>
              <w:ind w:left="266" w:hanging="266"/>
              <w:textAlignment w:val="baseline"/>
              <w:rPr>
                <w:sz w:val="12"/>
                <w:szCs w:val="12"/>
              </w:rPr>
            </w:pPr>
          </w:p>
        </w:tc>
      </w:tr>
      <w:tr w:rsidR="00D24919" w:rsidRPr="00FA33C4" w14:paraId="23D77389" w14:textId="77777777" w:rsidTr="0060010D">
        <w:trPr>
          <w:trHeight w:val="301"/>
        </w:trPr>
        <w:tc>
          <w:tcPr>
            <w:tcW w:w="840" w:type="pct"/>
          </w:tcPr>
          <w:p w14:paraId="309AAA32" w14:textId="77777777" w:rsidR="00D24919" w:rsidRPr="00FA33C4" w:rsidRDefault="00D24919" w:rsidP="00E206D6">
            <w:pPr>
              <w:tabs>
                <w:tab w:val="center" w:pos="284"/>
              </w:tabs>
              <w:overflowPunct w:val="0"/>
              <w:autoSpaceDE w:val="0"/>
              <w:autoSpaceDN w:val="0"/>
              <w:adjustRightInd w:val="0"/>
              <w:spacing w:line="264" w:lineRule="auto"/>
              <w:ind w:left="266" w:hanging="266"/>
              <w:textAlignment w:val="baseline"/>
              <w:rPr>
                <w:b/>
                <w:sz w:val="20"/>
                <w:szCs w:val="20"/>
              </w:rPr>
            </w:pPr>
            <w:r>
              <w:rPr>
                <w:b/>
                <w:bCs/>
                <w:sz w:val="20"/>
              </w:rPr>
              <w:t>Referință:</w:t>
            </w:r>
          </w:p>
        </w:tc>
        <w:tc>
          <w:tcPr>
            <w:tcW w:w="4160" w:type="pct"/>
          </w:tcPr>
          <w:p w14:paraId="1CFC571D" w14:textId="015863F1" w:rsidR="00435AEF" w:rsidRPr="00FA33C4" w:rsidRDefault="00435AEF" w:rsidP="00E206D6">
            <w:pPr>
              <w:tabs>
                <w:tab w:val="center" w:pos="284"/>
              </w:tabs>
              <w:overflowPunct w:val="0"/>
              <w:autoSpaceDE w:val="0"/>
              <w:autoSpaceDN w:val="0"/>
              <w:adjustRightInd w:val="0"/>
              <w:spacing w:line="264" w:lineRule="auto"/>
              <w:ind w:left="266" w:hanging="266"/>
              <w:textAlignment w:val="baseline"/>
              <w:rPr>
                <w:sz w:val="20"/>
                <w:szCs w:val="20"/>
              </w:rPr>
            </w:pPr>
            <w:r>
              <w:rPr>
                <w:sz w:val="20"/>
              </w:rPr>
              <w:t>COM(2024) 407 final</w:t>
            </w:r>
          </w:p>
          <w:p w14:paraId="38800F4B" w14:textId="5838FADA" w:rsidR="00D24919" w:rsidRPr="00FA33C4" w:rsidRDefault="00D24919" w:rsidP="00E206D6">
            <w:pPr>
              <w:tabs>
                <w:tab w:val="center" w:pos="284"/>
              </w:tabs>
              <w:overflowPunct w:val="0"/>
              <w:autoSpaceDE w:val="0"/>
              <w:autoSpaceDN w:val="0"/>
              <w:adjustRightInd w:val="0"/>
              <w:spacing w:line="264" w:lineRule="auto"/>
              <w:ind w:left="266" w:hanging="266"/>
              <w:textAlignment w:val="baseline"/>
              <w:rPr>
                <w:sz w:val="20"/>
                <w:szCs w:val="20"/>
              </w:rPr>
            </w:pPr>
            <w:r>
              <w:rPr>
                <w:sz w:val="20"/>
              </w:rPr>
              <w:t>EESC-2024-04192-00-00-AC</w:t>
            </w:r>
          </w:p>
        </w:tc>
      </w:tr>
    </w:tbl>
    <w:p w14:paraId="436FAD70" w14:textId="77777777" w:rsidR="00726351" w:rsidRPr="00E206D6" w:rsidRDefault="00726351">
      <w:pPr>
        <w:keepNext/>
        <w:keepLines/>
        <w:overflowPunct w:val="0"/>
        <w:autoSpaceDE w:val="0"/>
        <w:autoSpaceDN w:val="0"/>
        <w:adjustRightInd w:val="0"/>
        <w:ind w:left="266" w:hanging="266"/>
        <w:textAlignment w:val="baseline"/>
        <w:rPr>
          <w:b/>
          <w:sz w:val="18"/>
          <w:szCs w:val="18"/>
          <w:lang w:val="en-GB"/>
        </w:rPr>
      </w:pPr>
    </w:p>
    <w:p w14:paraId="2E7DAA98" w14:textId="1C59FDF0" w:rsidR="00D24919" w:rsidRPr="00D24919" w:rsidRDefault="00D24919">
      <w:pPr>
        <w:keepNext/>
        <w:keepLines/>
        <w:overflowPunct w:val="0"/>
        <w:autoSpaceDE w:val="0"/>
        <w:autoSpaceDN w:val="0"/>
        <w:adjustRightInd w:val="0"/>
        <w:ind w:left="266" w:hanging="266"/>
        <w:textAlignment w:val="baseline"/>
        <w:rPr>
          <w:b/>
        </w:rPr>
      </w:pPr>
      <w:r>
        <w:rPr>
          <w:b/>
        </w:rPr>
        <w:t>Punctele principale:</w:t>
      </w:r>
    </w:p>
    <w:p w14:paraId="26064889" w14:textId="77777777" w:rsidR="00D24919" w:rsidRPr="00E206D6" w:rsidRDefault="00D24919">
      <w:pPr>
        <w:keepNext/>
        <w:keepLines/>
        <w:tabs>
          <w:tab w:val="center" w:pos="284"/>
        </w:tabs>
        <w:overflowPunct w:val="0"/>
        <w:autoSpaceDE w:val="0"/>
        <w:autoSpaceDN w:val="0"/>
        <w:adjustRightInd w:val="0"/>
        <w:ind w:left="266" w:hanging="266"/>
        <w:textAlignment w:val="baseline"/>
        <w:rPr>
          <w:b/>
          <w:sz w:val="18"/>
          <w:szCs w:val="18"/>
          <w:lang w:val="en-GB"/>
        </w:rPr>
      </w:pPr>
    </w:p>
    <w:p w14:paraId="5A1975E7" w14:textId="77777777" w:rsidR="00D24919" w:rsidRPr="00D24919" w:rsidRDefault="00D24919">
      <w:pPr>
        <w:overflowPunct w:val="0"/>
        <w:autoSpaceDE w:val="0"/>
        <w:autoSpaceDN w:val="0"/>
        <w:adjustRightInd w:val="0"/>
        <w:textAlignment w:val="baseline"/>
        <w:rPr>
          <w:bCs/>
          <w:iCs/>
        </w:rPr>
      </w:pPr>
      <w:r>
        <w:t>CESE:</w:t>
      </w:r>
    </w:p>
    <w:p w14:paraId="5B86FB1D"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 xml:space="preserve">sprijină propunerea Comisiei de modificare a Regulamentului (UE) nr. 1026/2012 pentru a preveni practicile de pescuit </w:t>
      </w:r>
      <w:proofErr w:type="spellStart"/>
      <w:r>
        <w:t>nesustenabile</w:t>
      </w:r>
      <w:proofErr w:type="spellEnd"/>
      <w:r>
        <w:t xml:space="preserve"> și pentru a proteja interesele UE în domeniul pescuitului;</w:t>
      </w:r>
    </w:p>
    <w:p w14:paraId="645C6651"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 xml:space="preserve">solicită extinderea domeniului de aplicare pentru a include apele mediteraneene și internaționale, abordând practicile </w:t>
      </w:r>
      <w:proofErr w:type="spellStart"/>
      <w:r>
        <w:t>nesustenabile</w:t>
      </w:r>
      <w:proofErr w:type="spellEnd"/>
      <w:r>
        <w:t xml:space="preserve"> la nivel mondial;</w:t>
      </w:r>
    </w:p>
    <w:p w14:paraId="47CE2903"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îndeamnă Consiliul și Parlamentul European să accelereze adoptarea propunerii, sporind transparența și asigurându-se că țările din afara UE înțeleg circumstanțele eventualelor sancțiuni ale UE;</w:t>
      </w:r>
    </w:p>
    <w:p w14:paraId="4B082E08"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sprijină instrumentele consolidate ale UE pentru a impune măsuri restrictive, inclusiv interdicții la import, la nivel mondial și în conformitate cu orientările OMC, promovând practici de pescuit responsabile și tratamentul echitabil al tuturor flotelor;</w:t>
      </w:r>
    </w:p>
    <w:p w14:paraId="13DACFDC"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pledează pentru o concurență loială, corelând eforturile de combatere a pescuitului excesiv cu măsurile prevăzute în Regulamentul privind pescuitul ilegal, nedeclarat și nereglementat (INN);</w:t>
      </w:r>
    </w:p>
    <w:p w14:paraId="4C64F46D"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 xml:space="preserve">invită UE să intensifice cooperarea cu țările care exploatează stocurile </w:t>
      </w:r>
      <w:proofErr w:type="spellStart"/>
      <w:r>
        <w:t>transzonale</w:t>
      </w:r>
      <w:proofErr w:type="spellEnd"/>
      <w:r>
        <w:t xml:space="preserve"> și stocurile de pești mari migratori la nivel bilateral sau prin intermediul organizațiilor regionale de gestionare a pescuitului (ORGP), în conformitate cu UNCLOS și cu acordurile conexe;</w:t>
      </w:r>
    </w:p>
    <w:p w14:paraId="5801DAB4"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subliniază necesitatea de a aborda acțiunile agresive ale anumitor țări din afara UE, cum ar fi Norvegia, și recomandă alianțe strategice cu țări precum Islanda pentru a asigura o aprovizionare stabilă cu produse marine și pentru a consolida poziția UE în Atlanticul de Nord-Est;</w:t>
      </w:r>
    </w:p>
    <w:p w14:paraId="5A3014D0"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critică utilizarea limitată a mecanismului financiar al Spațiului Economic European (SEE) pentru a exercita presiuni asupra statelor de coastă din afara UE, cum ar fi Norvegia, pentru a respecta standardele internaționale de gestionare a pescuitului, solicitând condiții de acces pe piață și măsuri de punere în aplicare;</w:t>
      </w:r>
    </w:p>
    <w:p w14:paraId="019B5F36" w14:textId="09756051"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îndeamnă să se ia măsuri imediate în temeiul regulamentului revizuit pentru a aborda practicile neloiale ale Norvegiei, în special în ceea ce privește macroul și codul din Atlanticul de Nord</w:t>
      </w:r>
      <w:r w:rsidR="00E206D6">
        <w:noBreakHyphen/>
      </w:r>
      <w:r>
        <w:t>Vest;</w:t>
      </w:r>
    </w:p>
    <w:p w14:paraId="40A04075" w14:textId="77777777" w:rsidR="00D24919" w:rsidRPr="00D24919" w:rsidRDefault="00D24919" w:rsidP="0060010D">
      <w:pPr>
        <w:widowControl w:val="0"/>
        <w:numPr>
          <w:ilvl w:val="0"/>
          <w:numId w:val="38"/>
        </w:numPr>
        <w:overflowPunct w:val="0"/>
        <w:autoSpaceDE w:val="0"/>
        <w:autoSpaceDN w:val="0"/>
        <w:adjustRightInd w:val="0"/>
        <w:ind w:left="567" w:hanging="567"/>
        <w:contextualSpacing/>
        <w:textAlignment w:val="baseline"/>
      </w:pPr>
      <w:r>
        <w:t>solicită incluziune și transparență în negocierile cu statele de coastă, asigurând participarea activă a părților interesate la gestionarea pescuitului și la sancțiuni;</w:t>
      </w:r>
    </w:p>
    <w:p w14:paraId="5ED597ED" w14:textId="77777777" w:rsidR="00D24919" w:rsidRDefault="00D24919" w:rsidP="0060010D">
      <w:pPr>
        <w:widowControl w:val="0"/>
        <w:numPr>
          <w:ilvl w:val="0"/>
          <w:numId w:val="38"/>
        </w:numPr>
        <w:overflowPunct w:val="0"/>
        <w:autoSpaceDE w:val="0"/>
        <w:autoSpaceDN w:val="0"/>
        <w:adjustRightInd w:val="0"/>
        <w:ind w:left="567" w:hanging="567"/>
        <w:contextualSpacing/>
        <w:textAlignment w:val="baseline"/>
      </w:pPr>
      <w:r>
        <w:t>recomandă modificarea articolului 6 alineatul (1), pentru a impune notificarea imediată a consiliilor consultative relevante atunci când o țară poate fi identificată ca permițând pescuitul nedurabil.</w:t>
      </w:r>
    </w:p>
    <w:p w14:paraId="10263181" w14:textId="77777777" w:rsidR="008D05C8" w:rsidRPr="00E206D6" w:rsidRDefault="008D05C8" w:rsidP="0060010D">
      <w:pPr>
        <w:widowControl w:val="0"/>
        <w:overflowPunct w:val="0"/>
        <w:autoSpaceDE w:val="0"/>
        <w:autoSpaceDN w:val="0"/>
        <w:adjustRightInd w:val="0"/>
        <w:contextualSpacing/>
        <w:textAlignment w:val="baseline"/>
        <w:rPr>
          <w:sz w:val="18"/>
          <w:szCs w:val="18"/>
          <w:lang w:val="en-GB" w:eastAsia="zh-CN"/>
        </w:rPr>
      </w:pPr>
    </w:p>
    <w:tbl>
      <w:tblPr>
        <w:tblW w:w="9322" w:type="dxa"/>
        <w:tblLook w:val="04A0" w:firstRow="1" w:lastRow="0" w:firstColumn="1" w:lastColumn="0" w:noHBand="0" w:noVBand="1"/>
      </w:tblPr>
      <w:tblGrid>
        <w:gridCol w:w="2127"/>
        <w:gridCol w:w="7195"/>
      </w:tblGrid>
      <w:tr w:rsidR="00D24919" w:rsidRPr="00FA33C4" w14:paraId="235BE468" w14:textId="77777777" w:rsidTr="0060010D">
        <w:tc>
          <w:tcPr>
            <w:tcW w:w="2127" w:type="dxa"/>
          </w:tcPr>
          <w:p w14:paraId="43325915" w14:textId="77777777" w:rsidR="00D24919" w:rsidRPr="00FA33C4" w:rsidRDefault="00D24919" w:rsidP="00E206D6">
            <w:pPr>
              <w:overflowPunct w:val="0"/>
              <w:autoSpaceDE w:val="0"/>
              <w:autoSpaceDN w:val="0"/>
              <w:adjustRightInd w:val="0"/>
              <w:spacing w:line="264" w:lineRule="auto"/>
              <w:textAlignment w:val="baseline"/>
              <w:rPr>
                <w:i/>
                <w:sz w:val="20"/>
                <w:szCs w:val="20"/>
              </w:rPr>
            </w:pPr>
            <w:r>
              <w:rPr>
                <w:b/>
                <w:i/>
                <w:sz w:val="20"/>
              </w:rPr>
              <w:t xml:space="preserve">Date de contact: </w:t>
            </w:r>
          </w:p>
        </w:tc>
        <w:tc>
          <w:tcPr>
            <w:tcW w:w="7195" w:type="dxa"/>
          </w:tcPr>
          <w:p w14:paraId="7D904960" w14:textId="77777777" w:rsidR="00D24919" w:rsidRPr="00FA33C4" w:rsidRDefault="00D24919" w:rsidP="00E206D6">
            <w:pPr>
              <w:overflowPunct w:val="0"/>
              <w:autoSpaceDE w:val="0"/>
              <w:autoSpaceDN w:val="0"/>
              <w:adjustRightInd w:val="0"/>
              <w:spacing w:line="264" w:lineRule="auto"/>
              <w:textAlignment w:val="baseline"/>
              <w:rPr>
                <w:i/>
                <w:sz w:val="20"/>
                <w:szCs w:val="20"/>
              </w:rPr>
            </w:pPr>
            <w:r>
              <w:rPr>
                <w:i/>
                <w:sz w:val="20"/>
              </w:rPr>
              <w:t>Nicolas STENGER</w:t>
            </w:r>
          </w:p>
        </w:tc>
      </w:tr>
      <w:tr w:rsidR="00D24919" w:rsidRPr="00FA33C4" w14:paraId="47B5DDD6" w14:textId="77777777" w:rsidTr="0060010D">
        <w:tc>
          <w:tcPr>
            <w:tcW w:w="2127" w:type="dxa"/>
          </w:tcPr>
          <w:p w14:paraId="17563F6D" w14:textId="77777777" w:rsidR="00D24919" w:rsidRPr="00FA33C4" w:rsidRDefault="00D24919" w:rsidP="00E206D6">
            <w:pPr>
              <w:overflowPunct w:val="0"/>
              <w:autoSpaceDE w:val="0"/>
              <w:autoSpaceDN w:val="0"/>
              <w:adjustRightInd w:val="0"/>
              <w:spacing w:line="264" w:lineRule="auto"/>
              <w:textAlignment w:val="baseline"/>
              <w:rPr>
                <w:i/>
                <w:sz w:val="20"/>
                <w:szCs w:val="20"/>
              </w:rPr>
            </w:pPr>
            <w:r>
              <w:rPr>
                <w:i/>
                <w:sz w:val="20"/>
              </w:rPr>
              <w:t>Tel.:</w:t>
            </w:r>
          </w:p>
        </w:tc>
        <w:tc>
          <w:tcPr>
            <w:tcW w:w="7195" w:type="dxa"/>
          </w:tcPr>
          <w:p w14:paraId="62CC03AD" w14:textId="77777777" w:rsidR="00D24919" w:rsidRPr="00FA33C4" w:rsidRDefault="00D24919" w:rsidP="00E206D6">
            <w:pPr>
              <w:overflowPunct w:val="0"/>
              <w:autoSpaceDE w:val="0"/>
              <w:autoSpaceDN w:val="0"/>
              <w:adjustRightInd w:val="0"/>
              <w:spacing w:line="264" w:lineRule="auto"/>
              <w:textAlignment w:val="baseline"/>
              <w:rPr>
                <w:i/>
                <w:sz w:val="20"/>
                <w:szCs w:val="20"/>
              </w:rPr>
            </w:pPr>
            <w:r>
              <w:rPr>
                <w:i/>
                <w:sz w:val="20"/>
              </w:rPr>
              <w:t>+32 25468152</w:t>
            </w:r>
          </w:p>
        </w:tc>
      </w:tr>
      <w:tr w:rsidR="00D24919" w:rsidRPr="00FA33C4" w14:paraId="5094B071" w14:textId="77777777" w:rsidTr="0060010D">
        <w:tc>
          <w:tcPr>
            <w:tcW w:w="2127" w:type="dxa"/>
          </w:tcPr>
          <w:p w14:paraId="270C3A5A" w14:textId="734706FD" w:rsidR="00D24919" w:rsidRPr="00FA33C4" w:rsidRDefault="008D05C8" w:rsidP="00E206D6">
            <w:pPr>
              <w:overflowPunct w:val="0"/>
              <w:autoSpaceDE w:val="0"/>
              <w:autoSpaceDN w:val="0"/>
              <w:adjustRightInd w:val="0"/>
              <w:spacing w:line="264" w:lineRule="auto"/>
              <w:textAlignment w:val="baseline"/>
              <w:rPr>
                <w:i/>
                <w:sz w:val="20"/>
                <w:szCs w:val="20"/>
              </w:rPr>
            </w:pPr>
            <w:r>
              <w:rPr>
                <w:i/>
                <w:sz w:val="20"/>
              </w:rPr>
              <w:t>E-mail:</w:t>
            </w:r>
          </w:p>
        </w:tc>
        <w:tc>
          <w:tcPr>
            <w:tcW w:w="7195" w:type="dxa"/>
          </w:tcPr>
          <w:p w14:paraId="1B275FD8" w14:textId="77777777" w:rsidR="00D24919" w:rsidRPr="00FA33C4" w:rsidRDefault="00333F4B" w:rsidP="00E206D6">
            <w:pPr>
              <w:overflowPunct w:val="0"/>
              <w:autoSpaceDE w:val="0"/>
              <w:autoSpaceDN w:val="0"/>
              <w:adjustRightInd w:val="0"/>
              <w:spacing w:line="264" w:lineRule="auto"/>
              <w:textAlignment w:val="baseline"/>
              <w:rPr>
                <w:i/>
                <w:iCs/>
                <w:sz w:val="20"/>
                <w:szCs w:val="20"/>
              </w:rPr>
            </w:pPr>
            <w:hyperlink r:id="rId36" w:history="1">
              <w:r w:rsidR="00465FCD">
                <w:rPr>
                  <w:i/>
                  <w:color w:val="0000FF"/>
                  <w:sz w:val="20"/>
                  <w:u w:val="single"/>
                </w:rPr>
                <w:t>nicolas.stenger@eesc.europa.eu</w:t>
              </w:r>
            </w:hyperlink>
          </w:p>
        </w:tc>
      </w:tr>
    </w:tbl>
    <w:p w14:paraId="14026A78" w14:textId="4FAE1588" w:rsidR="007F5784" w:rsidRDefault="007F5784" w:rsidP="0060010D">
      <w:pPr>
        <w:pStyle w:val="Heading1"/>
        <w:keepNext/>
        <w:keepLines/>
        <w:rPr>
          <w:b/>
        </w:rPr>
      </w:pPr>
      <w:bookmarkStart w:id="14" w:name="_Toc189572517"/>
      <w:r>
        <w:rPr>
          <w:b/>
        </w:rPr>
        <w:lastRenderedPageBreak/>
        <w:t>SECȚIUNEA PENTRU RELAȚII EXTERNE</w:t>
      </w:r>
      <w:bookmarkEnd w:id="14"/>
    </w:p>
    <w:p w14:paraId="3BBB3E68" w14:textId="77777777" w:rsidR="007F5784" w:rsidRPr="00E206D6" w:rsidRDefault="007F5784" w:rsidP="0060010D">
      <w:pPr>
        <w:keepNext/>
        <w:keepLines/>
        <w:rPr>
          <w:sz w:val="16"/>
          <w:szCs w:val="16"/>
        </w:rPr>
      </w:pPr>
    </w:p>
    <w:p w14:paraId="29A16775" w14:textId="57A22188" w:rsidR="00C8173B" w:rsidRPr="00C8173B" w:rsidRDefault="00333F4B" w:rsidP="0060010D">
      <w:pPr>
        <w:keepNext/>
        <w:keepLines/>
        <w:widowControl w:val="0"/>
        <w:numPr>
          <w:ilvl w:val="0"/>
          <w:numId w:val="4"/>
        </w:numPr>
        <w:overflowPunct w:val="0"/>
        <w:autoSpaceDE w:val="0"/>
        <w:autoSpaceDN w:val="0"/>
        <w:adjustRightInd w:val="0"/>
        <w:ind w:hanging="567"/>
        <w:textAlignment w:val="baseline"/>
        <w:rPr>
          <w:b/>
          <w:bCs/>
          <w:i/>
          <w:iCs/>
          <w:sz w:val="28"/>
          <w:szCs w:val="28"/>
        </w:rPr>
      </w:pPr>
      <w:hyperlink r:id="rId37" w:history="1">
        <w:r w:rsidR="00C8173B">
          <w:rPr>
            <w:b/>
            <w:i/>
            <w:color w:val="0000FF"/>
            <w:sz w:val="28"/>
            <w:u w:val="single"/>
          </w:rPr>
          <w:t>Dezvoltarea strategiei europene pentru regiunea arctică (2024-2029), în dialog cu societatea civilă</w:t>
        </w:r>
      </w:hyperlink>
    </w:p>
    <w:p w14:paraId="27EAAC5C" w14:textId="77777777" w:rsidR="00C8173B" w:rsidRPr="00E206D6" w:rsidRDefault="00C8173B" w:rsidP="0060010D">
      <w:pPr>
        <w:keepNext/>
        <w:keepLines/>
        <w:tabs>
          <w:tab w:val="center" w:pos="284"/>
        </w:tabs>
        <w:overflowPunct w:val="0"/>
        <w:autoSpaceDE w:val="0"/>
        <w:autoSpaceDN w:val="0"/>
        <w:adjustRightInd w:val="0"/>
        <w:ind w:left="266" w:hanging="266"/>
        <w:textAlignment w:val="baseline"/>
        <w:rPr>
          <w:b/>
          <w:sz w:val="16"/>
          <w:szCs w:val="16"/>
          <w:lang w:val="en-GB"/>
        </w:rPr>
      </w:pPr>
    </w:p>
    <w:tbl>
      <w:tblPr>
        <w:tblW w:w="4941" w:type="pct"/>
        <w:tblLook w:val="04A0" w:firstRow="1" w:lastRow="0" w:firstColumn="1" w:lastColumn="0" w:noHBand="0" w:noVBand="1"/>
      </w:tblPr>
      <w:tblGrid>
        <w:gridCol w:w="1985"/>
        <w:gridCol w:w="6981"/>
      </w:tblGrid>
      <w:tr w:rsidR="00C8173B" w:rsidRPr="00FA33C4" w14:paraId="029C2A93" w14:textId="77777777" w:rsidTr="000B1858">
        <w:tc>
          <w:tcPr>
            <w:tcW w:w="1107" w:type="pct"/>
          </w:tcPr>
          <w:p w14:paraId="70E313F2" w14:textId="77777777" w:rsidR="00C8173B" w:rsidRPr="00FA33C4" w:rsidRDefault="00C8173B" w:rsidP="00E206D6">
            <w:pPr>
              <w:tabs>
                <w:tab w:val="center" w:pos="284"/>
              </w:tabs>
              <w:overflowPunct w:val="0"/>
              <w:autoSpaceDE w:val="0"/>
              <w:autoSpaceDN w:val="0"/>
              <w:adjustRightInd w:val="0"/>
              <w:spacing w:line="264" w:lineRule="auto"/>
              <w:ind w:left="266" w:hanging="266"/>
              <w:textAlignment w:val="baseline"/>
              <w:rPr>
                <w:b/>
                <w:sz w:val="20"/>
                <w:szCs w:val="20"/>
              </w:rPr>
            </w:pPr>
            <w:r>
              <w:rPr>
                <w:b/>
                <w:bCs/>
                <w:sz w:val="20"/>
              </w:rPr>
              <w:t>Raportor</w:t>
            </w:r>
            <w:r>
              <w:rPr>
                <w:sz w:val="20"/>
              </w:rPr>
              <w:t>:</w:t>
            </w:r>
          </w:p>
          <w:p w14:paraId="5281128A" w14:textId="77777777" w:rsidR="00C8173B" w:rsidRPr="00FA33C4" w:rsidRDefault="00C8173B" w:rsidP="00E206D6">
            <w:pPr>
              <w:tabs>
                <w:tab w:val="center" w:pos="284"/>
              </w:tabs>
              <w:overflowPunct w:val="0"/>
              <w:autoSpaceDE w:val="0"/>
              <w:autoSpaceDN w:val="0"/>
              <w:adjustRightInd w:val="0"/>
              <w:spacing w:line="264" w:lineRule="auto"/>
              <w:ind w:left="266" w:hanging="266"/>
              <w:textAlignment w:val="baseline"/>
              <w:rPr>
                <w:b/>
                <w:sz w:val="20"/>
                <w:szCs w:val="20"/>
              </w:rPr>
            </w:pPr>
            <w:r>
              <w:rPr>
                <w:b/>
                <w:sz w:val="20"/>
              </w:rPr>
              <w:t>Coraportor:</w:t>
            </w:r>
          </w:p>
        </w:tc>
        <w:tc>
          <w:tcPr>
            <w:tcW w:w="3893" w:type="pct"/>
          </w:tcPr>
          <w:p w14:paraId="3CB11A11" w14:textId="77777777" w:rsidR="00C8173B" w:rsidRPr="00FA33C4" w:rsidRDefault="00C8173B" w:rsidP="00E206D6">
            <w:pPr>
              <w:tabs>
                <w:tab w:val="center" w:pos="284"/>
              </w:tabs>
              <w:overflowPunct w:val="0"/>
              <w:autoSpaceDE w:val="0"/>
              <w:autoSpaceDN w:val="0"/>
              <w:adjustRightInd w:val="0"/>
              <w:spacing w:line="264" w:lineRule="auto"/>
              <w:ind w:left="266" w:hanging="266"/>
              <w:textAlignment w:val="baseline"/>
              <w:rPr>
                <w:sz w:val="20"/>
                <w:szCs w:val="20"/>
              </w:rPr>
            </w:pPr>
            <w:r>
              <w:rPr>
                <w:sz w:val="20"/>
              </w:rPr>
              <w:t>Anders LADEFOGED (Grupul „Angajatori” – DK)</w:t>
            </w:r>
          </w:p>
          <w:p w14:paraId="7141C129" w14:textId="704C1201" w:rsidR="00217685" w:rsidRPr="00FA33C4" w:rsidRDefault="00C8173B" w:rsidP="00E206D6">
            <w:pPr>
              <w:shd w:val="clear" w:color="auto" w:fill="FEFEFE"/>
              <w:spacing w:line="264" w:lineRule="auto"/>
              <w:jc w:val="left"/>
              <w:rPr>
                <w:sz w:val="20"/>
                <w:szCs w:val="20"/>
              </w:rPr>
            </w:pPr>
            <w:r>
              <w:rPr>
                <w:sz w:val="20"/>
              </w:rPr>
              <w:t xml:space="preserve">Christian MOOS (Grupul „Organizații ale societății civile” </w:t>
            </w:r>
            <w:r w:rsidR="00E206D6">
              <w:rPr>
                <w:sz w:val="20"/>
              </w:rPr>
              <w:t>–</w:t>
            </w:r>
            <w:r>
              <w:rPr>
                <w:sz w:val="20"/>
              </w:rPr>
              <w:t xml:space="preserve"> DE)</w:t>
            </w:r>
          </w:p>
        </w:tc>
      </w:tr>
      <w:tr w:rsidR="00C8173B" w:rsidRPr="00FA33C4" w14:paraId="4A9CE5B5" w14:textId="77777777" w:rsidTr="000B1858">
        <w:tc>
          <w:tcPr>
            <w:tcW w:w="5000" w:type="pct"/>
            <w:gridSpan w:val="2"/>
          </w:tcPr>
          <w:p w14:paraId="3C19F370" w14:textId="77777777" w:rsidR="00C8173B" w:rsidRPr="00E206D6" w:rsidRDefault="00C8173B" w:rsidP="00E206D6">
            <w:pPr>
              <w:tabs>
                <w:tab w:val="center" w:pos="284"/>
              </w:tabs>
              <w:overflowPunct w:val="0"/>
              <w:autoSpaceDE w:val="0"/>
              <w:autoSpaceDN w:val="0"/>
              <w:adjustRightInd w:val="0"/>
              <w:spacing w:line="264" w:lineRule="auto"/>
              <w:ind w:left="266" w:hanging="266"/>
              <w:textAlignment w:val="baseline"/>
              <w:rPr>
                <w:sz w:val="14"/>
                <w:szCs w:val="14"/>
              </w:rPr>
            </w:pPr>
          </w:p>
        </w:tc>
      </w:tr>
      <w:tr w:rsidR="00C8173B" w:rsidRPr="00FA33C4" w14:paraId="46314555" w14:textId="77777777" w:rsidTr="000B1858">
        <w:tc>
          <w:tcPr>
            <w:tcW w:w="1107" w:type="pct"/>
          </w:tcPr>
          <w:p w14:paraId="00252F51" w14:textId="77777777" w:rsidR="00C8173B" w:rsidRPr="00FA33C4" w:rsidRDefault="00C8173B" w:rsidP="00E206D6">
            <w:pPr>
              <w:tabs>
                <w:tab w:val="center" w:pos="284"/>
              </w:tabs>
              <w:overflowPunct w:val="0"/>
              <w:autoSpaceDE w:val="0"/>
              <w:autoSpaceDN w:val="0"/>
              <w:adjustRightInd w:val="0"/>
              <w:spacing w:line="264" w:lineRule="auto"/>
              <w:ind w:left="266" w:hanging="266"/>
              <w:textAlignment w:val="baseline"/>
              <w:rPr>
                <w:b/>
                <w:sz w:val="20"/>
                <w:szCs w:val="20"/>
              </w:rPr>
            </w:pPr>
            <w:r>
              <w:rPr>
                <w:b/>
                <w:bCs/>
                <w:sz w:val="20"/>
              </w:rPr>
              <w:t>Referință:</w:t>
            </w:r>
          </w:p>
        </w:tc>
        <w:tc>
          <w:tcPr>
            <w:tcW w:w="3893" w:type="pct"/>
          </w:tcPr>
          <w:p w14:paraId="103A511F" w14:textId="2925D730" w:rsidR="00B11B7E" w:rsidRPr="00FA33C4" w:rsidRDefault="00B11B7E" w:rsidP="00E206D6">
            <w:pPr>
              <w:tabs>
                <w:tab w:val="center" w:pos="284"/>
              </w:tabs>
              <w:overflowPunct w:val="0"/>
              <w:autoSpaceDE w:val="0"/>
              <w:autoSpaceDN w:val="0"/>
              <w:adjustRightInd w:val="0"/>
              <w:spacing w:line="264" w:lineRule="auto"/>
              <w:ind w:left="266" w:hanging="266"/>
              <w:jc w:val="left"/>
              <w:textAlignment w:val="baseline"/>
              <w:rPr>
                <w:sz w:val="20"/>
                <w:szCs w:val="20"/>
              </w:rPr>
            </w:pPr>
            <w:r>
              <w:rPr>
                <w:sz w:val="20"/>
              </w:rPr>
              <w:t>aviz din proprie inițiativă</w:t>
            </w:r>
          </w:p>
          <w:p w14:paraId="2D94F2BF" w14:textId="29469CDD" w:rsidR="00C8173B" w:rsidRPr="00FA33C4" w:rsidRDefault="00C8173B" w:rsidP="00E206D6">
            <w:pPr>
              <w:tabs>
                <w:tab w:val="center" w:pos="284"/>
              </w:tabs>
              <w:overflowPunct w:val="0"/>
              <w:autoSpaceDE w:val="0"/>
              <w:autoSpaceDN w:val="0"/>
              <w:adjustRightInd w:val="0"/>
              <w:spacing w:line="264" w:lineRule="auto"/>
              <w:ind w:left="266" w:hanging="266"/>
              <w:jc w:val="left"/>
              <w:textAlignment w:val="baseline"/>
              <w:rPr>
                <w:sz w:val="20"/>
                <w:szCs w:val="20"/>
              </w:rPr>
            </w:pPr>
            <w:r>
              <w:rPr>
                <w:sz w:val="20"/>
              </w:rPr>
              <w:t>EESC-2024-03182-00-00-AC</w:t>
            </w:r>
          </w:p>
        </w:tc>
      </w:tr>
    </w:tbl>
    <w:p w14:paraId="6B3D9BBA" w14:textId="77777777" w:rsidR="00C8173B" w:rsidRPr="00E206D6" w:rsidRDefault="00C8173B">
      <w:pPr>
        <w:tabs>
          <w:tab w:val="center" w:pos="284"/>
        </w:tabs>
        <w:overflowPunct w:val="0"/>
        <w:autoSpaceDE w:val="0"/>
        <w:autoSpaceDN w:val="0"/>
        <w:adjustRightInd w:val="0"/>
        <w:ind w:left="266" w:hanging="266"/>
        <w:textAlignment w:val="baseline"/>
        <w:rPr>
          <w:sz w:val="16"/>
          <w:szCs w:val="16"/>
          <w:lang w:val="en-GB"/>
        </w:rPr>
      </w:pPr>
    </w:p>
    <w:p w14:paraId="358C2435" w14:textId="77777777" w:rsidR="00C8173B" w:rsidRPr="00C8173B" w:rsidRDefault="00C8173B">
      <w:pPr>
        <w:keepNext/>
        <w:keepLines/>
        <w:tabs>
          <w:tab w:val="center" w:pos="284"/>
        </w:tabs>
        <w:overflowPunct w:val="0"/>
        <w:autoSpaceDE w:val="0"/>
        <w:autoSpaceDN w:val="0"/>
        <w:adjustRightInd w:val="0"/>
        <w:ind w:left="266" w:hanging="266"/>
        <w:textAlignment w:val="baseline"/>
        <w:rPr>
          <w:b/>
        </w:rPr>
      </w:pPr>
      <w:r>
        <w:rPr>
          <w:b/>
        </w:rPr>
        <w:t>Punctele principale:</w:t>
      </w:r>
    </w:p>
    <w:p w14:paraId="5C55E5FC" w14:textId="77777777" w:rsidR="00C8173B" w:rsidRPr="00E206D6" w:rsidRDefault="00C8173B">
      <w:pPr>
        <w:keepNext/>
        <w:keepLines/>
        <w:tabs>
          <w:tab w:val="center" w:pos="284"/>
        </w:tabs>
        <w:overflowPunct w:val="0"/>
        <w:autoSpaceDE w:val="0"/>
        <w:autoSpaceDN w:val="0"/>
        <w:adjustRightInd w:val="0"/>
        <w:ind w:left="266" w:hanging="266"/>
        <w:textAlignment w:val="baseline"/>
        <w:rPr>
          <w:b/>
          <w:sz w:val="16"/>
          <w:szCs w:val="16"/>
          <w:lang w:val="en-GB"/>
        </w:rPr>
      </w:pPr>
    </w:p>
    <w:p w14:paraId="6664E17E" w14:textId="77777777" w:rsidR="00C8173B" w:rsidRPr="00C8173B" w:rsidRDefault="00C8173B">
      <w:pPr>
        <w:overflowPunct w:val="0"/>
        <w:autoSpaceDE w:val="0"/>
        <w:autoSpaceDN w:val="0"/>
        <w:adjustRightInd w:val="0"/>
        <w:textAlignment w:val="baseline"/>
        <w:rPr>
          <w:bCs/>
          <w:iCs/>
        </w:rPr>
      </w:pPr>
      <w:r>
        <w:t>CESE:</w:t>
      </w:r>
    </w:p>
    <w:p w14:paraId="472B7CA9" w14:textId="77777777" w:rsidR="00C8173B" w:rsidRPr="007C1ABC" w:rsidRDefault="00C8173B" w:rsidP="0060010D">
      <w:pPr>
        <w:pStyle w:val="ListParagraph"/>
        <w:widowControl w:val="0"/>
        <w:numPr>
          <w:ilvl w:val="0"/>
          <w:numId w:val="39"/>
        </w:numPr>
        <w:overflowPunct w:val="0"/>
        <w:autoSpaceDE w:val="0"/>
        <w:autoSpaceDN w:val="0"/>
        <w:adjustRightInd w:val="0"/>
        <w:ind w:left="567" w:hanging="567"/>
        <w:textAlignment w:val="baseline"/>
      </w:pPr>
      <w:r>
        <w:t xml:space="preserve">subliniază că noul ciclu instituțional al UE oferă o oportunitate evidentă de a face un bilanț al politicii sale privind regiunea arctică. O politică actualizată ar permite UE să joace un rol mai important în promovarea unei regiuni arctice </w:t>
      </w:r>
      <w:proofErr w:type="spellStart"/>
      <w:r>
        <w:t>reziliente</w:t>
      </w:r>
      <w:proofErr w:type="spellEnd"/>
      <w:r>
        <w:t xml:space="preserve"> și prospere, promovând în același timp tranziția verde strategică a Europei, interesele în materie de securitate și respectarea drepturilor omului;</w:t>
      </w:r>
    </w:p>
    <w:p w14:paraId="6A5A29B9" w14:textId="77777777" w:rsidR="00C8173B" w:rsidRPr="007C1ABC" w:rsidRDefault="00C8173B" w:rsidP="0060010D">
      <w:pPr>
        <w:pStyle w:val="ListParagraph"/>
        <w:widowControl w:val="0"/>
        <w:numPr>
          <w:ilvl w:val="0"/>
          <w:numId w:val="39"/>
        </w:numPr>
        <w:overflowPunct w:val="0"/>
        <w:autoSpaceDE w:val="0"/>
        <w:autoSpaceDN w:val="0"/>
        <w:adjustRightInd w:val="0"/>
        <w:ind w:left="567" w:hanging="567"/>
        <w:textAlignment w:val="baseline"/>
      </w:pPr>
      <w:r>
        <w:t>subliniază necesitatea de a crește participarea societății civile la procesul decizional din regiunea arctică, deoarece sporește atât calitatea, cât și legitimitatea deciziilor de anvergură care au un impact asupra regiunii;</w:t>
      </w:r>
    </w:p>
    <w:p w14:paraId="1FFF7F3E" w14:textId="77777777" w:rsidR="00C8173B" w:rsidRPr="007C1ABC" w:rsidRDefault="00C8173B" w:rsidP="0060010D">
      <w:pPr>
        <w:pStyle w:val="ListParagraph"/>
        <w:widowControl w:val="0"/>
        <w:numPr>
          <w:ilvl w:val="0"/>
          <w:numId w:val="39"/>
        </w:numPr>
        <w:overflowPunct w:val="0"/>
        <w:autoSpaceDE w:val="0"/>
        <w:autoSpaceDN w:val="0"/>
        <w:adjustRightInd w:val="0"/>
        <w:ind w:left="567" w:hanging="567"/>
        <w:textAlignment w:val="baseline"/>
      </w:pPr>
      <w:r>
        <w:t>sugerează efectuarea unui bilanț sistematic ca parte a unei strategii actualizate a UE pentru a evalua percepția și utilizarea fondurilor și instrumentelor UE de către părțile interesate din regiunea arctică. Acest exercițiu ar trebui:</w:t>
      </w:r>
    </w:p>
    <w:p w14:paraId="27C1299E" w14:textId="77777777" w:rsidR="00C8173B" w:rsidRPr="007C1ABC" w:rsidRDefault="00C8173B" w:rsidP="0060010D">
      <w:pPr>
        <w:pStyle w:val="ListParagraph"/>
        <w:widowControl w:val="0"/>
        <w:numPr>
          <w:ilvl w:val="0"/>
          <w:numId w:val="45"/>
        </w:numPr>
        <w:overflowPunct w:val="0"/>
        <w:autoSpaceDE w:val="0"/>
        <w:autoSpaceDN w:val="0"/>
        <w:adjustRightInd w:val="0"/>
        <w:ind w:left="1134" w:hanging="567"/>
        <w:textAlignment w:val="baseline"/>
      </w:pPr>
      <w:r>
        <w:t>să valorifice contribuțiile diverșilor reprezentanți ai societății civile;</w:t>
      </w:r>
    </w:p>
    <w:p w14:paraId="38665FCD" w14:textId="77777777" w:rsidR="00C8173B" w:rsidRPr="007C1ABC" w:rsidRDefault="00C8173B" w:rsidP="0060010D">
      <w:pPr>
        <w:pStyle w:val="ListParagraph"/>
        <w:widowControl w:val="0"/>
        <w:numPr>
          <w:ilvl w:val="0"/>
          <w:numId w:val="45"/>
        </w:numPr>
        <w:overflowPunct w:val="0"/>
        <w:autoSpaceDE w:val="0"/>
        <w:autoSpaceDN w:val="0"/>
        <w:adjustRightInd w:val="0"/>
        <w:ind w:left="1134" w:hanging="567"/>
        <w:textAlignment w:val="baseline"/>
      </w:pPr>
      <w:r>
        <w:t>să vizează simplificarea procedurilor pentru beneficiari sau acordarea de asistență comunităților locale în gestionarea cerințelor;</w:t>
      </w:r>
    </w:p>
    <w:p w14:paraId="4A76074D" w14:textId="77777777" w:rsidR="00C8173B" w:rsidRPr="007C1ABC" w:rsidRDefault="00C8173B" w:rsidP="0060010D">
      <w:pPr>
        <w:pStyle w:val="ListParagraph"/>
        <w:widowControl w:val="0"/>
        <w:numPr>
          <w:ilvl w:val="0"/>
          <w:numId w:val="45"/>
        </w:numPr>
        <w:overflowPunct w:val="0"/>
        <w:autoSpaceDE w:val="0"/>
        <w:autoSpaceDN w:val="0"/>
        <w:adjustRightInd w:val="0"/>
        <w:ind w:left="1134" w:hanging="567"/>
        <w:textAlignment w:val="baseline"/>
      </w:pPr>
      <w:r>
        <w:t>să clarifice dacă există suficiente fonduri și programe adecvate pentru a sprijini obiectivele strategice ale UE în regiunea arctică.</w:t>
      </w:r>
    </w:p>
    <w:p w14:paraId="06FC79D8" w14:textId="52B90F69" w:rsidR="007C1ABC" w:rsidRDefault="00C8173B" w:rsidP="0060010D">
      <w:pPr>
        <w:widowControl w:val="0"/>
        <w:numPr>
          <w:ilvl w:val="0"/>
          <w:numId w:val="41"/>
        </w:numPr>
        <w:tabs>
          <w:tab w:val="clear" w:pos="720"/>
        </w:tabs>
        <w:overflowPunct w:val="0"/>
        <w:autoSpaceDE w:val="0"/>
        <w:autoSpaceDN w:val="0"/>
        <w:adjustRightInd w:val="0"/>
        <w:ind w:left="567" w:hanging="567"/>
        <w:textAlignment w:val="baseline"/>
      </w:pPr>
      <w:r>
        <w:t xml:space="preserve">să </w:t>
      </w:r>
      <w:proofErr w:type="spellStart"/>
      <w:r>
        <w:t>solice</w:t>
      </w:r>
      <w:proofErr w:type="spellEnd"/>
      <w:r>
        <w:t xml:space="preserve"> factorilor de decizie din regiunea arctică de la toate nivelurile să aplice în mod riguros obligațiile legale și să adopte cele mai bune practici pentru a include, a consulta și a capacita toate segmentele societății civile locale, inclusiv populațiile indigene;</w:t>
      </w:r>
    </w:p>
    <w:p w14:paraId="6387FF21" w14:textId="51DC2ECE" w:rsidR="00C8173B" w:rsidRPr="007C1ABC" w:rsidRDefault="00C8173B" w:rsidP="0060010D">
      <w:pPr>
        <w:widowControl w:val="0"/>
        <w:numPr>
          <w:ilvl w:val="0"/>
          <w:numId w:val="41"/>
        </w:numPr>
        <w:tabs>
          <w:tab w:val="clear" w:pos="720"/>
        </w:tabs>
        <w:overflowPunct w:val="0"/>
        <w:autoSpaceDE w:val="0"/>
        <w:autoSpaceDN w:val="0"/>
        <w:adjustRightInd w:val="0"/>
        <w:ind w:left="567" w:hanging="567"/>
        <w:textAlignment w:val="baseline"/>
      </w:pPr>
      <w:r>
        <w:t>subliniază că investițiile și proiectele ar trebui să aducă beneficii comunităților locale și ar trebui să se garanteze că toate părțile acestor comunități, inclusiv populațiile indigene, tinerii și femeile, au suficiente resurse pentru a lua parte la procesul decizional;</w:t>
      </w:r>
    </w:p>
    <w:p w14:paraId="7353903E" w14:textId="77777777" w:rsidR="00C8173B" w:rsidRPr="00C8173B" w:rsidRDefault="00C8173B" w:rsidP="0060010D">
      <w:pPr>
        <w:widowControl w:val="0"/>
        <w:numPr>
          <w:ilvl w:val="0"/>
          <w:numId w:val="41"/>
        </w:numPr>
        <w:tabs>
          <w:tab w:val="clear" w:pos="720"/>
        </w:tabs>
        <w:overflowPunct w:val="0"/>
        <w:autoSpaceDE w:val="0"/>
        <w:autoSpaceDN w:val="0"/>
        <w:adjustRightInd w:val="0"/>
        <w:ind w:left="567" w:hanging="567"/>
        <w:textAlignment w:val="baseline"/>
      </w:pPr>
      <w:r>
        <w:t>subliniază necesitatea urgentă de a raționaliza procesele de autorizare pentru proiectele legate de energia din surse regenerabile și extracția materiilor prime esențiale pentru tranziția verde. Aceste procese ar trebui să devină mai eficiente fără a compromite controlul de mediu sau socioeconomic;</w:t>
      </w:r>
    </w:p>
    <w:p w14:paraId="67D19302" w14:textId="77777777" w:rsidR="00C8173B" w:rsidRPr="00C8173B" w:rsidRDefault="00C8173B" w:rsidP="0060010D">
      <w:pPr>
        <w:widowControl w:val="0"/>
        <w:numPr>
          <w:ilvl w:val="0"/>
          <w:numId w:val="41"/>
        </w:numPr>
        <w:tabs>
          <w:tab w:val="clear" w:pos="720"/>
        </w:tabs>
        <w:overflowPunct w:val="0"/>
        <w:autoSpaceDE w:val="0"/>
        <w:autoSpaceDN w:val="0"/>
        <w:adjustRightInd w:val="0"/>
        <w:ind w:left="567" w:hanging="567"/>
        <w:textAlignment w:val="baseline"/>
      </w:pPr>
      <w:r>
        <w:t>recomandă intensificarea cooperării UE cu Groenlanda pentru a diversifica accesul la minereurile critice și pentru a promova un parteneriat bazat pe democrație, statul de drept și drepturile omului. Comitetul solicită să se acorde prioritate acestei cooperări în cadrul viitoarelor negocieri privind cadrul financiar multianual (CFM).</w:t>
      </w:r>
    </w:p>
    <w:p w14:paraId="6E01908F" w14:textId="77777777" w:rsidR="00C8173B" w:rsidRPr="00C8173B" w:rsidRDefault="00C8173B">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1978"/>
        <w:gridCol w:w="7095"/>
      </w:tblGrid>
      <w:tr w:rsidR="00C8173B" w:rsidRPr="00FA33C4" w14:paraId="31438F49" w14:textId="77777777" w:rsidTr="0060010D">
        <w:tc>
          <w:tcPr>
            <w:tcW w:w="1090" w:type="pct"/>
          </w:tcPr>
          <w:p w14:paraId="4D13C02D" w14:textId="77777777" w:rsidR="00C8173B" w:rsidRPr="00FA33C4" w:rsidRDefault="00C8173B" w:rsidP="0060010D">
            <w:pPr>
              <w:widowControl w:val="0"/>
              <w:overflowPunct w:val="0"/>
              <w:autoSpaceDE w:val="0"/>
              <w:autoSpaceDN w:val="0"/>
              <w:adjustRightInd w:val="0"/>
              <w:textAlignment w:val="baseline"/>
              <w:rPr>
                <w:i/>
                <w:sz w:val="20"/>
                <w:szCs w:val="20"/>
              </w:rPr>
            </w:pPr>
            <w:r>
              <w:rPr>
                <w:b/>
                <w:i/>
                <w:sz w:val="20"/>
              </w:rPr>
              <w:t>Date de contact:</w:t>
            </w:r>
          </w:p>
        </w:tc>
        <w:tc>
          <w:tcPr>
            <w:tcW w:w="3910" w:type="pct"/>
          </w:tcPr>
          <w:p w14:paraId="09C04C80" w14:textId="77777777" w:rsidR="00C8173B" w:rsidRPr="00FA33C4" w:rsidRDefault="00C8173B" w:rsidP="0060010D">
            <w:pPr>
              <w:widowControl w:val="0"/>
              <w:overflowPunct w:val="0"/>
              <w:autoSpaceDE w:val="0"/>
              <w:autoSpaceDN w:val="0"/>
              <w:adjustRightInd w:val="0"/>
              <w:textAlignment w:val="baseline"/>
              <w:rPr>
                <w:i/>
                <w:sz w:val="20"/>
                <w:szCs w:val="20"/>
              </w:rPr>
            </w:pPr>
            <w:r>
              <w:rPr>
                <w:i/>
                <w:sz w:val="20"/>
              </w:rPr>
              <w:t>Maarit Laurila</w:t>
            </w:r>
          </w:p>
        </w:tc>
      </w:tr>
      <w:tr w:rsidR="00C8173B" w:rsidRPr="00FA33C4" w14:paraId="0DD46053" w14:textId="77777777" w:rsidTr="0060010D">
        <w:tc>
          <w:tcPr>
            <w:tcW w:w="1090" w:type="pct"/>
          </w:tcPr>
          <w:p w14:paraId="07DCB39F" w14:textId="77777777" w:rsidR="00C8173B" w:rsidRPr="00FA33C4" w:rsidRDefault="00C8173B" w:rsidP="0060010D">
            <w:pPr>
              <w:widowControl w:val="0"/>
              <w:overflowPunct w:val="0"/>
              <w:autoSpaceDE w:val="0"/>
              <w:autoSpaceDN w:val="0"/>
              <w:adjustRightInd w:val="0"/>
              <w:textAlignment w:val="baseline"/>
              <w:rPr>
                <w:i/>
                <w:sz w:val="20"/>
                <w:szCs w:val="20"/>
              </w:rPr>
            </w:pPr>
            <w:r>
              <w:rPr>
                <w:i/>
                <w:sz w:val="20"/>
              </w:rPr>
              <w:t>Tel.:</w:t>
            </w:r>
          </w:p>
        </w:tc>
        <w:tc>
          <w:tcPr>
            <w:tcW w:w="3910" w:type="pct"/>
          </w:tcPr>
          <w:p w14:paraId="38E394E8" w14:textId="77777777" w:rsidR="00C8173B" w:rsidRPr="00FA33C4" w:rsidRDefault="00C8173B" w:rsidP="0060010D">
            <w:pPr>
              <w:widowControl w:val="0"/>
              <w:overflowPunct w:val="0"/>
              <w:autoSpaceDE w:val="0"/>
              <w:autoSpaceDN w:val="0"/>
              <w:adjustRightInd w:val="0"/>
              <w:textAlignment w:val="baseline"/>
              <w:rPr>
                <w:i/>
                <w:sz w:val="20"/>
                <w:szCs w:val="20"/>
              </w:rPr>
            </w:pPr>
            <w:r>
              <w:rPr>
                <w:i/>
                <w:sz w:val="20"/>
              </w:rPr>
              <w:t>+32 25469739</w:t>
            </w:r>
          </w:p>
        </w:tc>
      </w:tr>
      <w:tr w:rsidR="00C8173B" w:rsidRPr="00FA33C4" w14:paraId="0C60D958" w14:textId="77777777" w:rsidTr="0060010D">
        <w:tc>
          <w:tcPr>
            <w:tcW w:w="1090" w:type="pct"/>
          </w:tcPr>
          <w:p w14:paraId="2780140A" w14:textId="77777777" w:rsidR="00C8173B" w:rsidRPr="00FA33C4" w:rsidRDefault="00C8173B" w:rsidP="0060010D">
            <w:pPr>
              <w:widowControl w:val="0"/>
              <w:overflowPunct w:val="0"/>
              <w:autoSpaceDE w:val="0"/>
              <w:autoSpaceDN w:val="0"/>
              <w:adjustRightInd w:val="0"/>
              <w:textAlignment w:val="baseline"/>
              <w:rPr>
                <w:i/>
                <w:sz w:val="20"/>
                <w:szCs w:val="20"/>
              </w:rPr>
            </w:pPr>
            <w:r>
              <w:rPr>
                <w:i/>
                <w:sz w:val="20"/>
              </w:rPr>
              <w:t>E-mail:</w:t>
            </w:r>
          </w:p>
        </w:tc>
        <w:tc>
          <w:tcPr>
            <w:tcW w:w="3910" w:type="pct"/>
          </w:tcPr>
          <w:p w14:paraId="778D8CD6" w14:textId="77777777" w:rsidR="00C8173B" w:rsidRPr="00FA33C4" w:rsidRDefault="00333F4B" w:rsidP="0060010D">
            <w:pPr>
              <w:widowControl w:val="0"/>
              <w:overflowPunct w:val="0"/>
              <w:autoSpaceDE w:val="0"/>
              <w:autoSpaceDN w:val="0"/>
              <w:adjustRightInd w:val="0"/>
              <w:textAlignment w:val="baseline"/>
              <w:rPr>
                <w:i/>
                <w:iCs/>
                <w:sz w:val="20"/>
                <w:szCs w:val="20"/>
              </w:rPr>
            </w:pPr>
            <w:hyperlink r:id="rId38" w:history="1">
              <w:r w:rsidR="00C8173B">
                <w:rPr>
                  <w:i/>
                  <w:color w:val="0000FF"/>
                  <w:sz w:val="20"/>
                  <w:u w:val="single"/>
                </w:rPr>
                <w:t>Maarit.Laurila@eesc.europa.eu</w:t>
              </w:r>
            </w:hyperlink>
          </w:p>
        </w:tc>
      </w:tr>
    </w:tbl>
    <w:p w14:paraId="06CEF2CF" w14:textId="2A84E9E3" w:rsidR="00A33529" w:rsidRPr="00A33529" w:rsidRDefault="00333F4B" w:rsidP="00A33529">
      <w:pPr>
        <w:pStyle w:val="ListParagraph"/>
        <w:numPr>
          <w:ilvl w:val="0"/>
          <w:numId w:val="58"/>
        </w:numPr>
        <w:ind w:left="567" w:hanging="567"/>
        <w:rPr>
          <w:b/>
          <w:bCs/>
          <w:i/>
          <w:iCs/>
          <w:sz w:val="32"/>
          <w:szCs w:val="32"/>
        </w:rPr>
      </w:pPr>
      <w:hyperlink r:id="rId39" w:history="1">
        <w:r w:rsidR="00A51C0C">
          <w:rPr>
            <w:rStyle w:val="Hyperlink"/>
            <w:b/>
            <w:i/>
            <w:sz w:val="32"/>
          </w:rPr>
          <w:t>Implicarea tinerilor în dialogul social și civil în regiunea mediteraneeană</w:t>
        </w:r>
      </w:hyperlink>
    </w:p>
    <w:p w14:paraId="55DBB8C6" w14:textId="77777777" w:rsidR="003A4752" w:rsidRPr="003A4752" w:rsidRDefault="003A4752">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30"/>
        <w:gridCol w:w="7443"/>
      </w:tblGrid>
      <w:tr w:rsidR="003A4752" w:rsidRPr="00FA33C4" w14:paraId="55D7383C" w14:textId="77777777" w:rsidTr="00FA33C4">
        <w:tc>
          <w:tcPr>
            <w:tcW w:w="898" w:type="pct"/>
          </w:tcPr>
          <w:p w14:paraId="694C75F8" w14:textId="77777777" w:rsidR="003A4752" w:rsidRPr="00FA33C4" w:rsidRDefault="003A4752">
            <w:pPr>
              <w:tabs>
                <w:tab w:val="center" w:pos="284"/>
              </w:tabs>
              <w:overflowPunct w:val="0"/>
              <w:autoSpaceDE w:val="0"/>
              <w:autoSpaceDN w:val="0"/>
              <w:adjustRightInd w:val="0"/>
              <w:ind w:left="266" w:hanging="266"/>
              <w:textAlignment w:val="baseline"/>
              <w:rPr>
                <w:b/>
                <w:sz w:val="20"/>
                <w:szCs w:val="20"/>
              </w:rPr>
            </w:pPr>
            <w:r>
              <w:rPr>
                <w:b/>
                <w:bCs/>
                <w:sz w:val="20"/>
              </w:rPr>
              <w:t>Raportor</w:t>
            </w:r>
            <w:r>
              <w:rPr>
                <w:sz w:val="20"/>
              </w:rPr>
              <w:t>:</w:t>
            </w:r>
          </w:p>
        </w:tc>
        <w:tc>
          <w:tcPr>
            <w:tcW w:w="4102" w:type="pct"/>
          </w:tcPr>
          <w:p w14:paraId="35569678" w14:textId="28B927F4" w:rsidR="003A4752" w:rsidRPr="00FA33C4" w:rsidRDefault="003A4752">
            <w:pPr>
              <w:tabs>
                <w:tab w:val="center" w:pos="284"/>
              </w:tabs>
              <w:overflowPunct w:val="0"/>
              <w:autoSpaceDE w:val="0"/>
              <w:autoSpaceDN w:val="0"/>
              <w:adjustRightInd w:val="0"/>
              <w:ind w:left="266" w:hanging="266"/>
              <w:textAlignment w:val="baseline"/>
              <w:rPr>
                <w:sz w:val="20"/>
                <w:szCs w:val="20"/>
              </w:rPr>
            </w:pPr>
            <w:r>
              <w:rPr>
                <w:sz w:val="20"/>
              </w:rPr>
              <w:t>Thomas WAGNSONNER (Grupul „Lucrători” – AT)</w:t>
            </w:r>
          </w:p>
        </w:tc>
      </w:tr>
      <w:tr w:rsidR="003A4752" w:rsidRPr="00FA33C4" w14:paraId="07D7DB2B" w14:textId="77777777" w:rsidTr="00FA33C4">
        <w:tc>
          <w:tcPr>
            <w:tcW w:w="898" w:type="pct"/>
          </w:tcPr>
          <w:p w14:paraId="3C9529F1" w14:textId="77777777" w:rsidR="003A4752" w:rsidRPr="00FA33C4" w:rsidRDefault="003A4752">
            <w:pPr>
              <w:tabs>
                <w:tab w:val="center" w:pos="284"/>
              </w:tabs>
              <w:overflowPunct w:val="0"/>
              <w:autoSpaceDE w:val="0"/>
              <w:autoSpaceDN w:val="0"/>
              <w:adjustRightInd w:val="0"/>
              <w:ind w:left="266" w:hanging="266"/>
              <w:textAlignment w:val="baseline"/>
              <w:rPr>
                <w:b/>
                <w:sz w:val="20"/>
                <w:szCs w:val="20"/>
              </w:rPr>
            </w:pPr>
            <w:r>
              <w:rPr>
                <w:b/>
                <w:sz w:val="20"/>
              </w:rPr>
              <w:t>Coraportoare:</w:t>
            </w:r>
          </w:p>
        </w:tc>
        <w:tc>
          <w:tcPr>
            <w:tcW w:w="4102" w:type="pct"/>
          </w:tcPr>
          <w:p w14:paraId="4176DBB7" w14:textId="6D5B619F" w:rsidR="003A4752" w:rsidRPr="00FA33C4" w:rsidRDefault="003A4752">
            <w:pPr>
              <w:tabs>
                <w:tab w:val="center" w:pos="284"/>
              </w:tabs>
              <w:overflowPunct w:val="0"/>
              <w:autoSpaceDE w:val="0"/>
              <w:autoSpaceDN w:val="0"/>
              <w:adjustRightInd w:val="0"/>
              <w:ind w:left="266" w:hanging="266"/>
              <w:jc w:val="left"/>
              <w:textAlignment w:val="baseline"/>
              <w:rPr>
                <w:sz w:val="20"/>
                <w:szCs w:val="20"/>
              </w:rPr>
            </w:pPr>
            <w:r>
              <w:rPr>
                <w:sz w:val="20"/>
              </w:rPr>
              <w:t>Lidija PAVIĆ-ROGOŠIĆ (Grupul „Organizații ale societății civile” – HR)</w:t>
            </w:r>
          </w:p>
        </w:tc>
      </w:tr>
      <w:tr w:rsidR="003A4752" w:rsidRPr="00FA33C4" w14:paraId="326AD7BB" w14:textId="77777777" w:rsidTr="000B1858">
        <w:tc>
          <w:tcPr>
            <w:tcW w:w="5000" w:type="pct"/>
            <w:gridSpan w:val="2"/>
          </w:tcPr>
          <w:p w14:paraId="7EFFB25F" w14:textId="77777777" w:rsidR="003A4752" w:rsidRPr="00FA33C4" w:rsidRDefault="003A4752" w:rsidP="0060010D">
            <w:pPr>
              <w:tabs>
                <w:tab w:val="center" w:pos="284"/>
              </w:tabs>
              <w:overflowPunct w:val="0"/>
              <w:autoSpaceDE w:val="0"/>
              <w:autoSpaceDN w:val="0"/>
              <w:adjustRightInd w:val="0"/>
              <w:ind w:left="266" w:hanging="266"/>
              <w:textAlignment w:val="baseline"/>
              <w:rPr>
                <w:sz w:val="20"/>
                <w:szCs w:val="20"/>
              </w:rPr>
            </w:pPr>
          </w:p>
        </w:tc>
      </w:tr>
      <w:tr w:rsidR="003A4752" w:rsidRPr="00FA33C4" w14:paraId="6DFF7682" w14:textId="77777777" w:rsidTr="00FA33C4">
        <w:tc>
          <w:tcPr>
            <w:tcW w:w="898" w:type="pct"/>
          </w:tcPr>
          <w:p w14:paraId="47E2E618" w14:textId="77777777" w:rsidR="003A4752" w:rsidRPr="00FA33C4" w:rsidRDefault="003A4752">
            <w:pPr>
              <w:tabs>
                <w:tab w:val="center" w:pos="284"/>
              </w:tabs>
              <w:overflowPunct w:val="0"/>
              <w:autoSpaceDE w:val="0"/>
              <w:autoSpaceDN w:val="0"/>
              <w:adjustRightInd w:val="0"/>
              <w:ind w:left="266" w:hanging="266"/>
              <w:textAlignment w:val="baseline"/>
              <w:rPr>
                <w:b/>
                <w:sz w:val="20"/>
                <w:szCs w:val="20"/>
              </w:rPr>
            </w:pPr>
            <w:r>
              <w:rPr>
                <w:b/>
                <w:bCs/>
                <w:sz w:val="20"/>
              </w:rPr>
              <w:t>Referință:</w:t>
            </w:r>
          </w:p>
        </w:tc>
        <w:tc>
          <w:tcPr>
            <w:tcW w:w="4102" w:type="pct"/>
          </w:tcPr>
          <w:p w14:paraId="7CB48587" w14:textId="2F429D10" w:rsidR="00114D45" w:rsidRPr="00FA33C4" w:rsidRDefault="00114D45">
            <w:pPr>
              <w:tabs>
                <w:tab w:val="center" w:pos="284"/>
              </w:tabs>
              <w:overflowPunct w:val="0"/>
              <w:autoSpaceDE w:val="0"/>
              <w:autoSpaceDN w:val="0"/>
              <w:adjustRightInd w:val="0"/>
              <w:ind w:left="266" w:hanging="266"/>
              <w:textAlignment w:val="baseline"/>
              <w:rPr>
                <w:sz w:val="20"/>
                <w:szCs w:val="20"/>
              </w:rPr>
            </w:pPr>
            <w:r>
              <w:rPr>
                <w:sz w:val="20"/>
              </w:rPr>
              <w:t>aviz din proprie inițiativă</w:t>
            </w:r>
          </w:p>
          <w:p w14:paraId="66A1F34B" w14:textId="471DF6D3" w:rsidR="003A4752" w:rsidRPr="00FA33C4" w:rsidRDefault="003A4752">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14:paraId="7B401AD2" w14:textId="77777777" w:rsidR="003A4752" w:rsidRPr="003A4752" w:rsidRDefault="003A4752">
      <w:pPr>
        <w:keepNext/>
        <w:keepLines/>
        <w:tabs>
          <w:tab w:val="center" w:pos="284"/>
        </w:tabs>
        <w:overflowPunct w:val="0"/>
        <w:autoSpaceDE w:val="0"/>
        <w:autoSpaceDN w:val="0"/>
        <w:adjustRightInd w:val="0"/>
        <w:ind w:left="266" w:hanging="266"/>
        <w:textAlignment w:val="baseline"/>
        <w:rPr>
          <w:b/>
          <w:lang w:val="en-GB"/>
        </w:rPr>
      </w:pPr>
    </w:p>
    <w:p w14:paraId="6551D4C3" w14:textId="77777777" w:rsidR="003A4752" w:rsidRPr="003A4752" w:rsidRDefault="003A4752">
      <w:pPr>
        <w:keepNext/>
        <w:keepLines/>
        <w:tabs>
          <w:tab w:val="center" w:pos="284"/>
        </w:tabs>
        <w:overflowPunct w:val="0"/>
        <w:autoSpaceDE w:val="0"/>
        <w:autoSpaceDN w:val="0"/>
        <w:adjustRightInd w:val="0"/>
        <w:ind w:left="266" w:hanging="266"/>
        <w:textAlignment w:val="baseline"/>
        <w:rPr>
          <w:b/>
        </w:rPr>
      </w:pPr>
      <w:r>
        <w:rPr>
          <w:b/>
        </w:rPr>
        <w:t>Punctele principale:</w:t>
      </w:r>
    </w:p>
    <w:p w14:paraId="0F5C1B07" w14:textId="77777777" w:rsidR="003A4752" w:rsidRPr="003A4752" w:rsidRDefault="003A4752">
      <w:pPr>
        <w:keepNext/>
        <w:keepLines/>
        <w:tabs>
          <w:tab w:val="center" w:pos="284"/>
        </w:tabs>
        <w:overflowPunct w:val="0"/>
        <w:autoSpaceDE w:val="0"/>
        <w:autoSpaceDN w:val="0"/>
        <w:adjustRightInd w:val="0"/>
        <w:ind w:left="266" w:hanging="266"/>
        <w:textAlignment w:val="baseline"/>
        <w:rPr>
          <w:b/>
          <w:lang w:val="en-GB"/>
        </w:rPr>
      </w:pPr>
    </w:p>
    <w:p w14:paraId="5B859B61" w14:textId="77777777" w:rsidR="003A4752" w:rsidRPr="003A4752" w:rsidRDefault="003A4752">
      <w:pPr>
        <w:overflowPunct w:val="0"/>
        <w:autoSpaceDE w:val="0"/>
        <w:autoSpaceDN w:val="0"/>
        <w:adjustRightInd w:val="0"/>
        <w:textAlignment w:val="baseline"/>
        <w:rPr>
          <w:bCs/>
          <w:iCs/>
        </w:rPr>
      </w:pPr>
      <w:r>
        <w:t>CESE:</w:t>
      </w:r>
    </w:p>
    <w:p w14:paraId="2D65C8C3"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recomandă </w:t>
      </w:r>
      <w:r>
        <w:rPr>
          <w:b/>
        </w:rPr>
        <w:t>includerea reprezentanților tinerilor în fiecare activitate juridică axată pe tineret</w:t>
      </w:r>
      <w:r>
        <w:t xml:space="preserve"> și implicarea tinerilor în </w:t>
      </w:r>
      <w:r>
        <w:rPr>
          <w:b/>
        </w:rPr>
        <w:t>toate etapele procesului de elaborare a politicilor</w:t>
      </w:r>
      <w:r>
        <w:t xml:space="preserve">, de la procesul decizional la punerea în aplicare și evaluarea politicilor; </w:t>
      </w:r>
    </w:p>
    <w:p w14:paraId="34D3A028"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remarcă faptul că </w:t>
      </w:r>
      <w:r>
        <w:rPr>
          <w:b/>
        </w:rPr>
        <w:t xml:space="preserve">sistemele de învățământ ar trebui să promoveze </w:t>
      </w:r>
      <w:r>
        <w:t xml:space="preserve">mai ferm </w:t>
      </w:r>
      <w:r>
        <w:rPr>
          <w:b/>
        </w:rPr>
        <w:t>implicarea civică</w:t>
      </w:r>
      <w:r>
        <w:t xml:space="preserve"> prin </w:t>
      </w:r>
      <w:r>
        <w:rPr>
          <w:b/>
        </w:rPr>
        <w:t>procese participative</w:t>
      </w:r>
      <w:r>
        <w:t xml:space="preserve"> și să creeze </w:t>
      </w:r>
      <w:r>
        <w:rPr>
          <w:b/>
        </w:rPr>
        <w:t>ecosisteme de sprijin</w:t>
      </w:r>
      <w:r>
        <w:t xml:space="preserve"> pentru dobândirea seturilor de competențe adecvate, permițându-le tinerilor să se implice cu încredere în procesele instituționale.</w:t>
      </w:r>
    </w:p>
    <w:p w14:paraId="35B3E4AA"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consideră că </w:t>
      </w:r>
      <w:r>
        <w:rPr>
          <w:b/>
        </w:rPr>
        <w:t>societatea civilă și organizațiile partenerilor sociali ar trebui să sprijine</w:t>
      </w:r>
      <w:r>
        <w:t xml:space="preserve"> în continuare t</w:t>
      </w:r>
      <w:r>
        <w:rPr>
          <w:b/>
        </w:rPr>
        <w:t>inerii prin organizarea de ateliere de consolidare a capacităților</w:t>
      </w:r>
      <w:r>
        <w:t xml:space="preserve">, facilitând conectarea acestora cu resurse și oportunități de implicare; </w:t>
      </w:r>
    </w:p>
    <w:p w14:paraId="51582832"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subliniază </w:t>
      </w:r>
      <w:r>
        <w:rPr>
          <w:b/>
        </w:rPr>
        <w:t>importanța activităților de cercetare axate pe implicarea tinerilor pe piața muncii, în educație, în procesele participative</w:t>
      </w:r>
      <w:r>
        <w:t xml:space="preserve"> și în viața comunității; </w:t>
      </w:r>
    </w:p>
    <w:p w14:paraId="3E0AE938"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subliniază că </w:t>
      </w:r>
      <w:r>
        <w:rPr>
          <w:b/>
        </w:rPr>
        <w:t>încurajarea tinerilor lucrători</w:t>
      </w:r>
      <w:r>
        <w:t xml:space="preserve"> să participe la </w:t>
      </w:r>
      <w:r>
        <w:rPr>
          <w:b/>
        </w:rPr>
        <w:t>negocierile colective</w:t>
      </w:r>
      <w:r>
        <w:t xml:space="preserve"> și instituirea </w:t>
      </w:r>
      <w:r>
        <w:rPr>
          <w:b/>
        </w:rPr>
        <w:t>unor structuri reprezentative orientate spre tineret</w:t>
      </w:r>
      <w:r>
        <w:t xml:space="preserve"> </w:t>
      </w:r>
      <w:r>
        <w:rPr>
          <w:b/>
        </w:rPr>
        <w:t>la nivel de întreprindere</w:t>
      </w:r>
      <w:r>
        <w:t xml:space="preserve"> reprezintă o modalitate eficientă de integrare structurală a participării tinerilor în structurile de dialog social;</w:t>
      </w:r>
    </w:p>
    <w:p w14:paraId="43A1E821"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consideră că reprezentarea organizațiilor de tineret și a consiliilor de tineret în discuțiile cu autoritățile statului ar trebui sporită prin </w:t>
      </w:r>
      <w:r>
        <w:rPr>
          <w:b/>
        </w:rPr>
        <w:t>recunoașterea lucrătorilor de tineret ca actori-cheie în procesele de consultare</w:t>
      </w:r>
      <w:r>
        <w:t xml:space="preserve"> și prin punerea la dispoziția acestora a spațiului și a resurselor necesare pentru a aduce o contribuție eficace.</w:t>
      </w:r>
    </w:p>
    <w:p w14:paraId="4DE1EC8F"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subliniază că țările mediteraneene sunt adesea caracterizate de </w:t>
      </w:r>
      <w:r>
        <w:rPr>
          <w:b/>
        </w:rPr>
        <w:t>lipsa unor cadre adecvate pentru un dialog social eficace</w:t>
      </w:r>
      <w:r>
        <w:t xml:space="preserve"> și, prin urmare, subliniază necesitatea de a </w:t>
      </w:r>
      <w:r>
        <w:rPr>
          <w:b/>
        </w:rPr>
        <w:t>consolida dialogul social</w:t>
      </w:r>
      <w:r>
        <w:t xml:space="preserve">, în special </w:t>
      </w:r>
      <w:r>
        <w:rPr>
          <w:b/>
        </w:rPr>
        <w:t>la nivel național, sectorial și la nivel de întreprindere</w:t>
      </w:r>
      <w:r>
        <w:t xml:space="preserve">, prin punerea în aplicare deplină a principalelor </w:t>
      </w:r>
      <w:r>
        <w:rPr>
          <w:b/>
        </w:rPr>
        <w:t>convenții ale OIM privind dialogul social</w:t>
      </w:r>
      <w:r>
        <w:t>;</w:t>
      </w:r>
    </w:p>
    <w:p w14:paraId="6F3D10E6" w14:textId="77777777" w:rsidR="003A4752" w:rsidRPr="003A4752" w:rsidRDefault="003A4752" w:rsidP="0060010D">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invită Comisia Europeană să sprijine o a treia fază a </w:t>
      </w:r>
      <w:r>
        <w:rPr>
          <w:b/>
        </w:rPr>
        <w:t>proiectului de dialog social sud-mediteraneean (</w:t>
      </w:r>
      <w:proofErr w:type="spellStart"/>
      <w:r>
        <w:rPr>
          <w:b/>
        </w:rPr>
        <w:t>SOLiD</w:t>
      </w:r>
      <w:proofErr w:type="spellEnd"/>
      <w:r>
        <w:rPr>
          <w:b/>
        </w:rPr>
        <w:t>)</w:t>
      </w:r>
      <w:r>
        <w:t xml:space="preserve">, care ar trebui utilizată pentru </w:t>
      </w:r>
      <w:r>
        <w:rPr>
          <w:b/>
        </w:rPr>
        <w:t>elaborarea unei Carte a tineretului</w:t>
      </w:r>
      <w:r>
        <w:t xml:space="preserve">, explorând, în același timp, crearea unor </w:t>
      </w:r>
      <w:r>
        <w:rPr>
          <w:b/>
        </w:rPr>
        <w:t>mecanisme consultative axate pe tineret</w:t>
      </w:r>
      <w:r>
        <w:t>.</w:t>
      </w:r>
    </w:p>
    <w:p w14:paraId="1A78A7B9" w14:textId="77777777" w:rsidR="007B1DCA" w:rsidRPr="003A4752" w:rsidRDefault="007B1DCA">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560"/>
        <w:gridCol w:w="7406"/>
      </w:tblGrid>
      <w:tr w:rsidR="003A4752" w:rsidRPr="00FA33C4" w14:paraId="0620DBD9" w14:textId="77777777" w:rsidTr="00E206D6">
        <w:tc>
          <w:tcPr>
            <w:tcW w:w="870" w:type="pct"/>
          </w:tcPr>
          <w:p w14:paraId="05FFD1E7" w14:textId="77777777" w:rsidR="003A4752" w:rsidRPr="00FA33C4" w:rsidRDefault="003A4752" w:rsidP="0060010D">
            <w:pPr>
              <w:overflowPunct w:val="0"/>
              <w:autoSpaceDE w:val="0"/>
              <w:autoSpaceDN w:val="0"/>
              <w:adjustRightInd w:val="0"/>
              <w:textAlignment w:val="baseline"/>
              <w:rPr>
                <w:i/>
                <w:sz w:val="20"/>
                <w:szCs w:val="20"/>
              </w:rPr>
            </w:pPr>
            <w:r>
              <w:rPr>
                <w:b/>
                <w:i/>
                <w:sz w:val="20"/>
              </w:rPr>
              <w:t>Date de contact:</w:t>
            </w:r>
          </w:p>
        </w:tc>
        <w:tc>
          <w:tcPr>
            <w:tcW w:w="4130" w:type="pct"/>
          </w:tcPr>
          <w:p w14:paraId="42245014" w14:textId="77777777" w:rsidR="003A4752" w:rsidRPr="00FA33C4" w:rsidRDefault="003A4752" w:rsidP="0060010D">
            <w:pPr>
              <w:overflowPunct w:val="0"/>
              <w:autoSpaceDE w:val="0"/>
              <w:autoSpaceDN w:val="0"/>
              <w:adjustRightInd w:val="0"/>
              <w:textAlignment w:val="baseline"/>
              <w:rPr>
                <w:i/>
                <w:sz w:val="20"/>
                <w:szCs w:val="20"/>
              </w:rPr>
            </w:pPr>
            <w:r>
              <w:rPr>
                <w:i/>
                <w:sz w:val="20"/>
              </w:rPr>
              <w:t>Andreas Berger</w:t>
            </w:r>
          </w:p>
        </w:tc>
      </w:tr>
      <w:tr w:rsidR="003A4752" w:rsidRPr="00FA33C4" w14:paraId="486C6D3D" w14:textId="77777777" w:rsidTr="00E206D6">
        <w:tc>
          <w:tcPr>
            <w:tcW w:w="870" w:type="pct"/>
          </w:tcPr>
          <w:p w14:paraId="359EB95F" w14:textId="77777777" w:rsidR="003A4752" w:rsidRPr="00FA33C4" w:rsidRDefault="003A4752" w:rsidP="0060010D">
            <w:pPr>
              <w:overflowPunct w:val="0"/>
              <w:autoSpaceDE w:val="0"/>
              <w:autoSpaceDN w:val="0"/>
              <w:adjustRightInd w:val="0"/>
              <w:textAlignment w:val="baseline"/>
              <w:rPr>
                <w:i/>
                <w:sz w:val="20"/>
                <w:szCs w:val="20"/>
              </w:rPr>
            </w:pPr>
            <w:r>
              <w:rPr>
                <w:i/>
                <w:sz w:val="20"/>
              </w:rPr>
              <w:t>Tel.:</w:t>
            </w:r>
          </w:p>
        </w:tc>
        <w:tc>
          <w:tcPr>
            <w:tcW w:w="4130" w:type="pct"/>
          </w:tcPr>
          <w:p w14:paraId="253A4B6D" w14:textId="77777777" w:rsidR="003A4752" w:rsidRPr="00FA33C4" w:rsidRDefault="003A4752" w:rsidP="0060010D">
            <w:pPr>
              <w:overflowPunct w:val="0"/>
              <w:autoSpaceDE w:val="0"/>
              <w:autoSpaceDN w:val="0"/>
              <w:adjustRightInd w:val="0"/>
              <w:textAlignment w:val="baseline"/>
              <w:rPr>
                <w:i/>
                <w:sz w:val="20"/>
                <w:szCs w:val="20"/>
              </w:rPr>
            </w:pPr>
            <w:r>
              <w:rPr>
                <w:i/>
                <w:sz w:val="20"/>
              </w:rPr>
              <w:t>+32 25469062</w:t>
            </w:r>
          </w:p>
        </w:tc>
      </w:tr>
      <w:tr w:rsidR="003A4752" w:rsidRPr="00FA33C4" w14:paraId="081DE08D" w14:textId="77777777" w:rsidTr="00E206D6">
        <w:tc>
          <w:tcPr>
            <w:tcW w:w="870" w:type="pct"/>
          </w:tcPr>
          <w:p w14:paraId="02A7926F" w14:textId="77777777" w:rsidR="003A4752" w:rsidRPr="00FA33C4" w:rsidRDefault="003A4752" w:rsidP="0060010D">
            <w:pPr>
              <w:overflowPunct w:val="0"/>
              <w:autoSpaceDE w:val="0"/>
              <w:autoSpaceDN w:val="0"/>
              <w:adjustRightInd w:val="0"/>
              <w:textAlignment w:val="baseline"/>
              <w:rPr>
                <w:i/>
                <w:sz w:val="20"/>
                <w:szCs w:val="20"/>
              </w:rPr>
            </w:pPr>
            <w:r>
              <w:rPr>
                <w:i/>
                <w:sz w:val="20"/>
              </w:rPr>
              <w:t>E-mail:</w:t>
            </w:r>
          </w:p>
        </w:tc>
        <w:tc>
          <w:tcPr>
            <w:tcW w:w="4130" w:type="pct"/>
          </w:tcPr>
          <w:p w14:paraId="71A9548F" w14:textId="2420701F" w:rsidR="00B95DFE" w:rsidRPr="00FA33C4" w:rsidRDefault="00333F4B" w:rsidP="0060010D">
            <w:pPr>
              <w:overflowPunct w:val="0"/>
              <w:autoSpaceDE w:val="0"/>
              <w:autoSpaceDN w:val="0"/>
              <w:adjustRightInd w:val="0"/>
              <w:textAlignment w:val="baseline"/>
              <w:rPr>
                <w:i/>
                <w:sz w:val="20"/>
                <w:szCs w:val="20"/>
              </w:rPr>
            </w:pPr>
            <w:hyperlink r:id="rId40" w:history="1">
              <w:r w:rsidR="00465FCD">
                <w:rPr>
                  <w:i/>
                  <w:color w:val="0000FF"/>
                  <w:sz w:val="20"/>
                  <w:u w:val="single"/>
                </w:rPr>
                <w:t>Andreas.Berger@eesc.europa.eu</w:t>
              </w:r>
            </w:hyperlink>
          </w:p>
        </w:tc>
      </w:tr>
    </w:tbl>
    <w:p w14:paraId="2E28EF19" w14:textId="12AC3A26" w:rsidR="000D394D" w:rsidRDefault="00726351" w:rsidP="0060010D">
      <w:pPr>
        <w:jc w:val="center"/>
      </w:pPr>
      <w:r>
        <w:t>__________</w:t>
      </w:r>
    </w:p>
    <w:sectPr w:rsidR="000D394D" w:rsidSect="00EE160A">
      <w:headerReference w:type="even" r:id="rId41"/>
      <w:headerReference w:type="default" r:id="rId42"/>
      <w:footerReference w:type="even" r:id="rId43"/>
      <w:footerReference w:type="default" r:id="rId44"/>
      <w:headerReference w:type="first" r:id="rId45"/>
      <w:footerReference w:type="first" r:id="rId4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r w:rsidR="00333F4B">
      <w:fldChar w:fldCharType="begin"/>
    </w:r>
    <w:r w:rsidR="00333F4B">
      <w:instrText xml:space="preserve"> NUMPAGES </w:instrText>
    </w:r>
    <w:r w:rsidR="00333F4B">
      <w:fldChar w:fldCharType="separate"/>
    </w:r>
    <w:r w:rsidR="0060010D">
      <w:t>1</w:t>
    </w:r>
    <w:r w:rsidR="00333F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r w:rsidR="00333F4B">
      <w:fldChar w:fldCharType="begin"/>
    </w:r>
    <w:r w:rsidR="00333F4B">
      <w:instrText xml:space="preserve"> NUMPAGES </w:instrText>
    </w:r>
    <w:r w:rsidR="00333F4B">
      <w:fldChar w:fldCharType="separate"/>
    </w:r>
    <w:r>
      <w:t>20</w:t>
    </w:r>
    <w:r w:rsidR="00333F4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63DFF"/>
    <w:rsid w:val="000A6A5A"/>
    <w:rsid w:val="000B40B4"/>
    <w:rsid w:val="000D394D"/>
    <w:rsid w:val="000D43E1"/>
    <w:rsid w:val="000D533F"/>
    <w:rsid w:val="000E4936"/>
    <w:rsid w:val="00114D45"/>
    <w:rsid w:val="00116EE0"/>
    <w:rsid w:val="001208E1"/>
    <w:rsid w:val="00126764"/>
    <w:rsid w:val="00154A6C"/>
    <w:rsid w:val="00175F5A"/>
    <w:rsid w:val="001900C9"/>
    <w:rsid w:val="001C5762"/>
    <w:rsid w:val="001E391D"/>
    <w:rsid w:val="0020320E"/>
    <w:rsid w:val="00217685"/>
    <w:rsid w:val="00225BB6"/>
    <w:rsid w:val="00232656"/>
    <w:rsid w:val="00247F8B"/>
    <w:rsid w:val="002538AC"/>
    <w:rsid w:val="0027707F"/>
    <w:rsid w:val="00293191"/>
    <w:rsid w:val="002A5636"/>
    <w:rsid w:val="002B7981"/>
    <w:rsid w:val="002E05A2"/>
    <w:rsid w:val="003066BE"/>
    <w:rsid w:val="00321FDD"/>
    <w:rsid w:val="003227CC"/>
    <w:rsid w:val="00333F4B"/>
    <w:rsid w:val="00343F74"/>
    <w:rsid w:val="00392B2D"/>
    <w:rsid w:val="003A4752"/>
    <w:rsid w:val="003C2964"/>
    <w:rsid w:val="003F326D"/>
    <w:rsid w:val="003F79EF"/>
    <w:rsid w:val="0041135D"/>
    <w:rsid w:val="00421AAB"/>
    <w:rsid w:val="004229C4"/>
    <w:rsid w:val="004255DD"/>
    <w:rsid w:val="0043191A"/>
    <w:rsid w:val="00435AEF"/>
    <w:rsid w:val="00444504"/>
    <w:rsid w:val="00465FCD"/>
    <w:rsid w:val="00486DAE"/>
    <w:rsid w:val="004A5CD7"/>
    <w:rsid w:val="004D7AC0"/>
    <w:rsid w:val="004E3508"/>
    <w:rsid w:val="004E411F"/>
    <w:rsid w:val="004E7659"/>
    <w:rsid w:val="0052107B"/>
    <w:rsid w:val="00532089"/>
    <w:rsid w:val="005404CB"/>
    <w:rsid w:val="00586B4B"/>
    <w:rsid w:val="00593C9F"/>
    <w:rsid w:val="005A0BDA"/>
    <w:rsid w:val="005A3D14"/>
    <w:rsid w:val="005A4C58"/>
    <w:rsid w:val="005B5258"/>
    <w:rsid w:val="005B683F"/>
    <w:rsid w:val="005C66E1"/>
    <w:rsid w:val="005E7651"/>
    <w:rsid w:val="005F55DC"/>
    <w:rsid w:val="0060010D"/>
    <w:rsid w:val="00625CA3"/>
    <w:rsid w:val="00641262"/>
    <w:rsid w:val="00644EF3"/>
    <w:rsid w:val="0067428C"/>
    <w:rsid w:val="006B21A0"/>
    <w:rsid w:val="006C0A65"/>
    <w:rsid w:val="006C533B"/>
    <w:rsid w:val="006C6ECE"/>
    <w:rsid w:val="006D16C7"/>
    <w:rsid w:val="006D2C8A"/>
    <w:rsid w:val="006D2D64"/>
    <w:rsid w:val="006E2EF5"/>
    <w:rsid w:val="00720580"/>
    <w:rsid w:val="00726351"/>
    <w:rsid w:val="007448E4"/>
    <w:rsid w:val="00754027"/>
    <w:rsid w:val="007554BE"/>
    <w:rsid w:val="00766B1A"/>
    <w:rsid w:val="007A0BE6"/>
    <w:rsid w:val="007B1DCA"/>
    <w:rsid w:val="007C1ABC"/>
    <w:rsid w:val="007F5784"/>
    <w:rsid w:val="008011C6"/>
    <w:rsid w:val="00832938"/>
    <w:rsid w:val="00840FC8"/>
    <w:rsid w:val="0084417F"/>
    <w:rsid w:val="008452C8"/>
    <w:rsid w:val="00845F24"/>
    <w:rsid w:val="00850929"/>
    <w:rsid w:val="0086679E"/>
    <w:rsid w:val="008761FA"/>
    <w:rsid w:val="0088219D"/>
    <w:rsid w:val="00892F37"/>
    <w:rsid w:val="008B5FC5"/>
    <w:rsid w:val="008C7452"/>
    <w:rsid w:val="008D05C8"/>
    <w:rsid w:val="008D44E2"/>
    <w:rsid w:val="0090254F"/>
    <w:rsid w:val="009144BA"/>
    <w:rsid w:val="00941874"/>
    <w:rsid w:val="0094356F"/>
    <w:rsid w:val="00945147"/>
    <w:rsid w:val="009B04E2"/>
    <w:rsid w:val="00A073FB"/>
    <w:rsid w:val="00A20E9D"/>
    <w:rsid w:val="00A272B2"/>
    <w:rsid w:val="00A30FAD"/>
    <w:rsid w:val="00A33529"/>
    <w:rsid w:val="00A50553"/>
    <w:rsid w:val="00A5081E"/>
    <w:rsid w:val="00A512D0"/>
    <w:rsid w:val="00A51C0C"/>
    <w:rsid w:val="00A54106"/>
    <w:rsid w:val="00A71030"/>
    <w:rsid w:val="00A94349"/>
    <w:rsid w:val="00AC7540"/>
    <w:rsid w:val="00AE5791"/>
    <w:rsid w:val="00AF6DC1"/>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8173B"/>
    <w:rsid w:val="00C821A5"/>
    <w:rsid w:val="00D24919"/>
    <w:rsid w:val="00D26CB8"/>
    <w:rsid w:val="00D43613"/>
    <w:rsid w:val="00D63232"/>
    <w:rsid w:val="00D66820"/>
    <w:rsid w:val="00D7076A"/>
    <w:rsid w:val="00D7172A"/>
    <w:rsid w:val="00D81F5E"/>
    <w:rsid w:val="00D92269"/>
    <w:rsid w:val="00DC329C"/>
    <w:rsid w:val="00DE176A"/>
    <w:rsid w:val="00DE7710"/>
    <w:rsid w:val="00DF3AF5"/>
    <w:rsid w:val="00E00A6B"/>
    <w:rsid w:val="00E13806"/>
    <w:rsid w:val="00E16E3C"/>
    <w:rsid w:val="00E206D6"/>
    <w:rsid w:val="00E57BB9"/>
    <w:rsid w:val="00E77899"/>
    <w:rsid w:val="00EA3596"/>
    <w:rsid w:val="00EB5E2E"/>
    <w:rsid w:val="00EB629E"/>
    <w:rsid w:val="00EC0F9A"/>
    <w:rsid w:val="00EE160A"/>
    <w:rsid w:val="00EF40DB"/>
    <w:rsid w:val="00F02BB5"/>
    <w:rsid w:val="00F32059"/>
    <w:rsid w:val="00F54496"/>
    <w:rsid w:val="00F70422"/>
    <w:rsid w:val="00F83C17"/>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 w:type="character" w:styleId="UnresolvedMention">
    <w:name w:val="Unresolved Mention"/>
    <w:basedOn w:val="DefaultParagraphFont"/>
    <w:uiPriority w:val="99"/>
    <w:semiHidden/>
    <w:unhideWhenUsed/>
    <w:rsid w:val="00E2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ja.Radman@eesc.europa.eu" TargetMode="External"/><Relationship Id="rId39" Type="http://schemas.openxmlformats.org/officeDocument/2006/relationships/hyperlink" Target="https://www.eesc.europa.eu/ro/our-work/opinions-information-reports/opinions/youth-involvement-social-and-civil-dialogue-mediterranean-region" TargetMode="External"/><Relationship Id="rId3" Type="http://schemas.openxmlformats.org/officeDocument/2006/relationships/customXml" Target="../customXml/item3.xml"/><Relationship Id="rId21" Type="http://schemas.openxmlformats.org/officeDocument/2006/relationships/hyperlink" Target="mailto:Krisztina.PerlakyToth@eesc.europa.eu" TargetMode="External"/><Relationship Id="rId34" Type="http://schemas.openxmlformats.org/officeDocument/2006/relationships/hyperlink" Target="mailto:Silvia.Staffa@eesc.europa.eu"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ro/our-work/opinions-information-reports/opinions/future-supply-and-pricing-electricity-eu" TargetMode="External"/><Relationship Id="rId33" Type="http://schemas.openxmlformats.org/officeDocument/2006/relationships/hyperlink" Target="https://www.eesc.europa.eu/ro/our-work/opinions-information-reports/opinions/competition-policy-heart-eus-competitiveness" TargetMode="External"/><Relationship Id="rId38" Type="http://schemas.openxmlformats.org/officeDocument/2006/relationships/hyperlink" Target="mailto:Maarit.Laurila@eesc.europa.eu"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ro/our-work/opinions-information-reports/opinions/euro-area-economic-policy-2025" TargetMode="External"/><Relationship Id="rId29" Type="http://schemas.openxmlformats.org/officeDocument/2006/relationships/hyperlink" Target="https://www.eesc.europa.eu/ro/our-work/opinions-information-reports/opinions/towards-eu-maritime-strategy-navigating-future-through-coordinated-investment-policies-legislative-initiatives-social"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ro/our-work/opinions-information-reports/opinions/developing-europes-strategy-arctic-2024-29-dialogue-civil-society" TargetMode="External"/><Relationship Id="rId40" Type="http://schemas.openxmlformats.org/officeDocument/2006/relationships/hyperlink" Target="mailto:Andreas.Berg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ro/our-work/opinions-information-reports/opinions/pro-worker-ai-levers-harnessing-potential-and-mitigating-risks-ai-connection-employment-and-labour-market-policies" TargetMode="External"/><Relationship Id="rId28" Type="http://schemas.openxmlformats.org/officeDocument/2006/relationships/hyperlink" Target="mailto:Aleksandra.SarmanGrilc@eesc.europa.eu" TargetMode="External"/><Relationship Id="rId36" Type="http://schemas.openxmlformats.org/officeDocument/2006/relationships/hyperlink" Target="mailto:nicolas.stenger@eesc.europa.e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ro/our-work/opinions-information-reports/opinions/how-support-social-economy-entities-line-state-aid-rules-thoughts-following-suggestions-enrico-lettas-report"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ro/our-work/opinions-information-reports/opinions/evaluation-european-commissions-annual-reports-rule-law-european-union" TargetMode="External"/><Relationship Id="rId27" Type="http://schemas.openxmlformats.org/officeDocument/2006/relationships/hyperlink" Target="https://www.eesc.europa.eu/ro/our-work/opinions-information-reports/opinions/towards-eu-maritime-strategy-navigating-future-through-coordinated-investment-policies-legislative-initiatives-social" TargetMode="External"/><Relationship Id="rId30" Type="http://schemas.openxmlformats.org/officeDocument/2006/relationships/hyperlink" Target="mailto:alice.tetu@eesc.europa.eu" TargetMode="External"/><Relationship Id="rId35" Type="http://schemas.openxmlformats.org/officeDocument/2006/relationships/hyperlink" Target="https://www.eesc.europa.eu/ro/our-work/opinions-information-reports/opinions/conservation-fish-stocks-relation-countries-allowing-non-sustainable-fishing" TargetMode="External"/><Relationship Id="rId43" Type="http://schemas.openxmlformats.org/officeDocument/2006/relationships/footer" Target="foot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F7M6YNZUATRX-1659962339-4687</_dlc_DocId>
    <_dlc_DocIdUrl xmlns="59ace41b-6786-4ce3-be71-52c27066c6ef">
      <Url>http://dm/eesc/2024/_layouts/15/DocIdRedir.aspx?ID=F7M6YNZUATRX-1659962339-4687</Url>
      <Description>F7M6YNZUATRX-1659962339-4687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2025-02-04T12:00:00+00:00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Soldan Aureliana Cristiana</DisplayName>
        <AccountId>1536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708AF7-873A-4495-9F88-2AB01E1A41C0}">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91e51ac0-4aa1-4d5e-9a67-017d481be00b"/>
  </ds:schemaRefs>
</ds:datastoreItem>
</file>

<file path=customXml/itemProps2.xml><?xml version="1.0" encoding="utf-8"?>
<ds:datastoreItem xmlns:ds="http://schemas.openxmlformats.org/officeDocument/2006/customXml" ds:itemID="{6F700687-6A69-48E6-9CF1-33755261A014}">
  <ds:schemaRefs>
    <ds:schemaRef ds:uri="http://schemas.microsoft.com/sharepoint/v3/contenttype/forms"/>
  </ds:schemaRefs>
</ds:datastoreItem>
</file>

<file path=customXml/itemProps3.xml><?xml version="1.0" encoding="utf-8"?>
<ds:datastoreItem xmlns:ds="http://schemas.openxmlformats.org/officeDocument/2006/customXml" ds:itemID="{A0C05A84-3D92-47C1-A829-7C603697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91e51ac0-4aa1-4d5e-9a67-017d481b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CC303-554B-477A-A133-52BE220DD8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4621</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Reumatul avizelor - a 593-a sesiune plenară - ianuarie 2025</dc:title>
  <dc:subject>TCD</dc:subject>
  <dc:creator>Nieddu Emma</dc:creator>
  <cp:keywords>EESC-2024-04576-00-00-TCD-TRA-EN</cp:keywords>
  <dc:description>Rapporteur:  - Original language: EN - Date of document: 04-02-2025 - Date of meeting: 30-26-2025 14:30 - External documents:  - Administrator: MME TAMASAUSKIENE Julija</dc:description>
  <cp:lastModifiedBy>Lepouttre Koenraad</cp:lastModifiedBy>
  <cp:revision>2</cp:revision>
  <dcterms:created xsi:type="dcterms:W3CDTF">2025-02-04T14:15:00Z</dcterms:created>
  <dcterms:modified xsi:type="dcterms:W3CDTF">2025-02-04T14:15:00Z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5b18e2ff-efb5-44dd-ac3d-abbd521c7768</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37;#RO|feb747a2-64cd-4299-af12-4833ddc30497;#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13;#TCD|cd9d6eb6-3f4f-424a-b2d1-57c9d450eaaf</vt:lpwstr>
  </property>
  <property fmtid="{D5CDD505-2E9C-101B-9397-08002B2CF9AE}" pid="20" name="RequestingService">
    <vt:lpwstr>Greffe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2025-02-26T12:00:00Z</vt:filetime>
  </property>
  <property fmtid="{D5CDD505-2E9C-101B-9397-08002B2CF9AE}" pid="27" name="AvailableTranslations_0">
    <vt:lpwstr>LV|46f7e311-5d9f-4663-b433-18aeccb7ace7;BG|1a1b3951-7821-4e6a-85f5-5673fc08bd2c;IT|0774613c-01ed-4e5d-a25d-11d2388de825;FR|d2afafd3-4c81-4f60-8f52-ee33f2f54ff3;PL|1e03da61-4678-4e07-b136-b5024ca9197b;EN|f2175f21-25d7-44a3-96da-d6a61b075e1b;EL|6d4f4d51-af9b-4650-94b4-4276bee85c91;SK|46d9fce0-ef79-4f71-b89b-cd6aa82426b8;ES|e7a6b05b-ae16-40c8-add9-68b64b03aeba;HR|2f555653-ed1a-4fe6-8362-9082d95989e5;PT|50ccc04a-eadd-42ae-a0cb-acaf45f812ba;NL|55c6556c-b4f4-441d-9acf-c498d4f838bd;ET|ff6c3f4c-b02c-4c3c-ab07-2c37995a7a0a;DA|5d49c027-8956-412b-aa16-e85a0f96ad0e;SL|98a412ae-eb01-49e9-ae3d-585a81724cfc;LT|a7ff5ce7-6123-4f68-865a-a57c31810414;SV|c2ed69e7-a339-43d7-8f22-d93680a92aa0;FI|87606a43-d45f-42d6-b8c9-e1a3457db5b7;DE|f6b31e5a-26fa-4935-b661-318e46daf27e;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710</vt:i4>
  </property>
  <property fmtid="{D5CDD505-2E9C-101B-9397-08002B2CF9AE}" pid="35" name="DocumentLanguage">
    <vt:lpwstr>37;#RO|feb747a2-64cd-4299-af12-4833ddc30497</vt:lpwstr>
  </property>
</Properties>
</file>