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7554BE" w:rsidRDefault="002E6E14" w14:paraId="4982DD4D" w14:textId="197C1680">
      <w:pPr>
        <w:jc w:val="center"/>
      </w:pPr>
      <w:r>
        <w:rPr>
          <w:noProof/>
        </w:rPr>
        <w:drawing>
          <wp:inline distT="0" distB="0" distL="0" distR="0" wp14:anchorId="4CE1CA6C" wp14:editId="7B0C1484">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4877DA6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LV</w:t>
                      </w:r>
                    </w:p>
                  </w:txbxContent>
                </v:textbox>
                <w10:wrap anchorx="page" anchory="page"/>
              </v:shape>
            </w:pict>
          </mc:Fallback>
        </mc:AlternateContent>
      </w:r>
    </w:p>
    <w:p w:rsidR="004D7AC0" w:rsidP="007554BE" w:rsidRDefault="004D7AC0" w14:paraId="4982DD4E" w14:textId="77777777"/>
    <w:p w:rsidR="004D7AC0" w:rsidP="007554BE" w:rsidRDefault="004D7AC0" w14:paraId="4982DD4F" w14:textId="5BDAC6B5">
      <w:pPr>
        <w:jc w:val="right"/>
      </w:pPr>
      <w:r>
        <w:t>Briselē, 2025. gada 4. februārī</w:t>
      </w:r>
    </w:p>
    <w:p w:rsidR="004D7AC0" w:rsidRDefault="004D7AC0" w14:paraId="4982DD50" w14:textId="77777777"/>
    <w:p w:rsidR="004D7AC0" w:rsidRDefault="004D7AC0" w14:paraId="4982DD51" w14:textId="77777777"/>
    <w:p w:rsidR="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RDefault="006C6ECE" w14:paraId="4982DD53" w14:textId="48249AC4">
            <w:pPr>
              <w:snapToGrid w:val="0"/>
              <w:jc w:val="center"/>
              <w:rPr>
                <w:b/>
                <w:sz w:val="32"/>
                <w:szCs w:val="32"/>
              </w:rPr>
            </w:pPr>
            <w:r>
              <w:rPr>
                <w:b/>
                <w:sz w:val="32"/>
              </w:rPr>
              <w:t>593. PLENĀRĀ SESIJA</w:t>
            </w:r>
          </w:p>
          <w:p w:rsidR="003066BE" w:rsidRDefault="003066BE" w14:paraId="4982DD54" w14:textId="77777777">
            <w:pPr>
              <w:snapToGrid w:val="0"/>
              <w:jc w:val="center"/>
              <w:rPr>
                <w:b/>
                <w:sz w:val="32"/>
                <w:szCs w:val="32"/>
              </w:rPr>
            </w:pPr>
          </w:p>
          <w:p w:rsidR="003066BE" w:rsidRDefault="00850929" w14:paraId="4982DD55" w14:textId="3F522473">
            <w:pPr>
              <w:snapToGrid w:val="0"/>
              <w:jc w:val="center"/>
              <w:rPr>
                <w:b/>
                <w:sz w:val="32"/>
                <w:szCs w:val="32"/>
              </w:rPr>
            </w:pPr>
            <w:r>
              <w:rPr>
                <w:b/>
                <w:sz w:val="32"/>
              </w:rPr>
              <w:t>2025. gada 22. un 23. janvārī</w:t>
            </w:r>
          </w:p>
          <w:p w:rsidR="003066BE" w:rsidRDefault="003066BE" w14:paraId="4982DD56" w14:textId="77777777">
            <w:pPr>
              <w:snapToGrid w:val="0"/>
              <w:jc w:val="center"/>
              <w:rPr>
                <w:b/>
                <w:sz w:val="32"/>
                <w:szCs w:val="32"/>
              </w:rPr>
            </w:pPr>
          </w:p>
          <w:p w:rsidRPr="0081153B" w:rsidR="004D7AC0" w:rsidRDefault="00754027" w14:paraId="4982DD57" w14:textId="5A35E792">
            <w:pPr>
              <w:snapToGrid w:val="0"/>
              <w:jc w:val="center"/>
              <w:rPr>
                <w:rFonts w:eastAsia="MS Mincho"/>
                <w:b/>
                <w:sz w:val="32"/>
                <w:szCs w:val="32"/>
              </w:rPr>
            </w:pPr>
            <w:r>
              <w:rPr>
                <w:b/>
                <w:sz w:val="32"/>
              </w:rPr>
              <w:t>PIEŅEMTO ATZINUMU UN REZOLŪCIJU, KĀ ARĪ INFORMATĪVO / NOVĒRTĒJUMA ZIŅOJUMU KOPSAVILKUMS</w:t>
            </w:r>
          </w:p>
          <w:p w:rsidR="004D7AC0"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RDefault="004D7AC0" w14:paraId="05F5C867" w14:textId="77777777">
            <w:pPr>
              <w:snapToGrid w:val="0"/>
              <w:jc w:val="center"/>
            </w:pPr>
            <w:r>
              <w:t>Šis dokuments visās oficiālajās Eiropas Savienības valodās ir pieejams EESK tīmekļa vietnē:</w:t>
            </w:r>
          </w:p>
          <w:p w:rsidR="00726351" w:rsidRDefault="00726351" w14:paraId="65F2BC50" w14:textId="77777777">
            <w:pPr>
              <w:snapToGrid w:val="0"/>
              <w:jc w:val="center"/>
            </w:pPr>
          </w:p>
          <w:p w:rsidRPr="0081153B" w:rsidR="004D7AC0" w:rsidRDefault="00E61064" w14:paraId="4982DD5A" w14:textId="4D4D220C">
            <w:pPr>
              <w:snapToGrid w:val="0"/>
              <w:jc w:val="center"/>
            </w:pPr>
            <w:hyperlink w:history="1" r:id="rId12">
              <w:r w:rsidR="002E6E14">
                <w:rPr>
                  <w:rStyle w:val="Hyperlink"/>
                </w:rPr>
                <w:t>https://www.eesc.europa.eu/lv/our-work/opinions-information-reports/plenary-session-summaries</w:t>
              </w:r>
            </w:hyperlink>
          </w:p>
          <w:p w:rsidRPr="0081153B" w:rsidR="004D7AC0" w:rsidRDefault="004D7AC0" w14:paraId="4982DD5B" w14:textId="77777777">
            <w:pPr>
              <w:snapToGrid w:val="0"/>
              <w:jc w:val="center"/>
            </w:pPr>
          </w:p>
          <w:p w:rsidRPr="0081153B" w:rsidR="004D7AC0" w:rsidRDefault="004D7AC0" w14:paraId="4982DD5C" w14:textId="77777777">
            <w:pPr>
              <w:snapToGrid w:val="0"/>
              <w:jc w:val="center"/>
              <w:rPr>
                <w:rFonts w:eastAsia="SimSun"/>
              </w:rPr>
            </w:pPr>
          </w:p>
          <w:p w:rsidR="00726351" w:rsidRDefault="004D7AC0" w14:paraId="64A40D96" w14:textId="77777777">
            <w:pPr>
              <w:snapToGrid w:val="0"/>
              <w:jc w:val="center"/>
            </w:pPr>
            <w:r>
              <w:t>Ar atzinumiem var iepazīties tiešsaistē, izmantojot EESK meklētājprogrammu:</w:t>
            </w:r>
          </w:p>
          <w:p w:rsidR="00726351" w:rsidRDefault="00726351" w14:paraId="0E196128" w14:textId="77777777">
            <w:pPr>
              <w:snapToGrid w:val="0"/>
              <w:jc w:val="center"/>
            </w:pPr>
          </w:p>
          <w:p w:rsidRPr="00044561" w:rsidR="004D7AC0" w:rsidRDefault="00E61064" w14:paraId="4982DD5D" w14:textId="23201122">
            <w:pPr>
              <w:snapToGrid w:val="0"/>
              <w:jc w:val="center"/>
            </w:pPr>
            <w:hyperlink w:history="1" r:id="rId13">
              <w:r w:rsidR="002E6E14">
                <w:rPr>
                  <w:rStyle w:val="Hyperlink"/>
                </w:rPr>
                <w:t>https://dmsearch.eesc.europa.eu/search/opinion</w:t>
              </w:r>
            </w:hyperlink>
          </w:p>
          <w:p w:rsidRPr="00044561" w:rsidR="004D7AC0" w:rsidRDefault="004D7AC0" w14:paraId="4982DD5E" w14:textId="77777777">
            <w:pPr>
              <w:snapToGrid w:val="0"/>
              <w:jc w:val="center"/>
            </w:pPr>
          </w:p>
        </w:tc>
      </w:tr>
    </w:tbl>
    <w:p w:rsidR="004D7AC0" w:rsidRDefault="004D7AC0" w14:paraId="4982DD60" w14:textId="77777777"/>
    <w:p w:rsidR="004D7AC0" w:rsidRDefault="004D7AC0" w14:paraId="4982DD61" w14:textId="77777777"/>
    <w:p w:rsidR="004D7AC0" w:rsidRDefault="004D7AC0" w14:paraId="4982DD62" w14:textId="77777777">
      <w:pPr>
        <w:sectPr w:rsidR="004D7AC0" w:rsidSect="00EE16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RDefault="004D7AC0" w14:paraId="4982DD63" w14:textId="77777777">
      <w:pPr>
        <w:rPr>
          <w:b/>
        </w:rPr>
      </w:pPr>
      <w:r>
        <w:rPr>
          <w:b/>
        </w:rPr>
        <w:lastRenderedPageBreak/>
        <w:t>Satura rādītājs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60010D" w:rsidRDefault="004D7AC0" w14:paraId="4982DD64" w14:textId="77777777">
          <w:pPr>
            <w:pStyle w:val="TOCHeading"/>
            <w:spacing w:before="0" w:line="288" w:lineRule="auto"/>
            <w:rPr>
              <w:rFonts w:ascii="Times New Roman" w:hAnsi="Times New Roman" w:cs="Times New Roman"/>
              <w:color w:val="auto"/>
              <w:sz w:val="22"/>
              <w:szCs w:val="22"/>
            </w:rPr>
          </w:pPr>
        </w:p>
        <w:p w:rsidR="000562B8" w:rsidP="000562B8" w:rsidRDefault="004D7AC0" w14:paraId="26B84012" w14:textId="7A5E0BB7">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9562590">
            <w:r w:rsidRPr="005E3F9D" w:rsidR="000562B8">
              <w:rPr>
                <w:rStyle w:val="Hyperlink"/>
                <w:bCs/>
                <w:noProof/>
              </w:rPr>
              <w:t>1.</w:t>
            </w:r>
            <w:r w:rsidR="000562B8">
              <w:rPr>
                <w:rFonts w:asciiTheme="minorHAnsi" w:hAnsiTheme="minorHAnsi" w:eastAsiaTheme="minorEastAsia" w:cstheme="minorBidi"/>
                <w:noProof/>
                <w:lang w:val="en-US"/>
              </w:rPr>
              <w:tab/>
            </w:r>
            <w:r w:rsidRPr="005E3F9D" w:rsidR="000562B8">
              <w:rPr>
                <w:rStyle w:val="Hyperlink"/>
                <w:b/>
                <w:noProof/>
              </w:rPr>
              <w:t>EKONOMIKAS UN MONETĀRĀ SAVIENĪBA, EKONOMISKĀ UN SOCIĀLĀ KOHĒZIJA</w:t>
            </w:r>
            <w:r w:rsidR="000562B8">
              <w:rPr>
                <w:noProof/>
                <w:webHidden/>
              </w:rPr>
              <w:tab/>
            </w:r>
            <w:r w:rsidR="000562B8">
              <w:rPr>
                <w:noProof/>
                <w:webHidden/>
              </w:rPr>
              <w:fldChar w:fldCharType="begin"/>
            </w:r>
            <w:r w:rsidR="000562B8">
              <w:rPr>
                <w:noProof/>
                <w:webHidden/>
              </w:rPr>
              <w:instrText xml:space="preserve"> PAGEREF _Toc189562590 \h </w:instrText>
            </w:r>
            <w:r w:rsidR="000562B8">
              <w:rPr>
                <w:noProof/>
                <w:webHidden/>
              </w:rPr>
            </w:r>
            <w:r w:rsidR="000562B8">
              <w:rPr>
                <w:noProof/>
                <w:webHidden/>
              </w:rPr>
              <w:fldChar w:fldCharType="separate"/>
            </w:r>
            <w:r w:rsidR="000562B8">
              <w:rPr>
                <w:noProof/>
                <w:webHidden/>
              </w:rPr>
              <w:t>3</w:t>
            </w:r>
            <w:r w:rsidR="000562B8">
              <w:rPr>
                <w:noProof/>
                <w:webHidden/>
              </w:rPr>
              <w:fldChar w:fldCharType="end"/>
            </w:r>
          </w:hyperlink>
        </w:p>
        <w:p w:rsidR="000562B8" w:rsidP="000562B8" w:rsidRDefault="000562B8" w14:paraId="057EA92A" w14:textId="76A05576">
          <w:pPr>
            <w:pStyle w:val="TOC1"/>
            <w:rPr>
              <w:rFonts w:asciiTheme="minorHAnsi" w:hAnsiTheme="minorHAnsi" w:eastAsiaTheme="minorEastAsia" w:cstheme="minorBidi"/>
              <w:noProof/>
              <w:lang w:val="en-US"/>
            </w:rPr>
          </w:pPr>
          <w:hyperlink w:history="1" w:anchor="_Toc189562591">
            <w:r w:rsidRPr="005E3F9D">
              <w:rPr>
                <w:rStyle w:val="Hyperlink"/>
                <w:bCs/>
                <w:noProof/>
              </w:rPr>
              <w:t>2.</w:t>
            </w:r>
            <w:r>
              <w:rPr>
                <w:rFonts w:asciiTheme="minorHAnsi" w:hAnsiTheme="minorHAnsi" w:eastAsiaTheme="minorEastAsia" w:cstheme="minorBidi"/>
                <w:noProof/>
                <w:lang w:val="en-US"/>
              </w:rPr>
              <w:tab/>
            </w:r>
            <w:r w:rsidRPr="005E3F9D">
              <w:rPr>
                <w:rStyle w:val="Hyperlink"/>
                <w:b/>
                <w:noProof/>
              </w:rPr>
              <w:t>NODARBINĀTĪBA, SOCIĀLĀS LIETAS UN PILSONISKUMS</w:t>
            </w:r>
            <w:r>
              <w:rPr>
                <w:noProof/>
                <w:webHidden/>
              </w:rPr>
              <w:tab/>
            </w:r>
            <w:r>
              <w:rPr>
                <w:noProof/>
                <w:webHidden/>
              </w:rPr>
              <w:fldChar w:fldCharType="begin"/>
            </w:r>
            <w:r>
              <w:rPr>
                <w:noProof/>
                <w:webHidden/>
              </w:rPr>
              <w:instrText xml:space="preserve"> PAGEREF _Toc189562591 \h </w:instrText>
            </w:r>
            <w:r>
              <w:rPr>
                <w:noProof/>
                <w:webHidden/>
              </w:rPr>
            </w:r>
            <w:r>
              <w:rPr>
                <w:noProof/>
                <w:webHidden/>
              </w:rPr>
              <w:fldChar w:fldCharType="separate"/>
            </w:r>
            <w:r>
              <w:rPr>
                <w:noProof/>
                <w:webHidden/>
              </w:rPr>
              <w:t>4</w:t>
            </w:r>
            <w:r>
              <w:rPr>
                <w:noProof/>
                <w:webHidden/>
              </w:rPr>
              <w:fldChar w:fldCharType="end"/>
            </w:r>
          </w:hyperlink>
        </w:p>
        <w:p w:rsidR="000562B8" w:rsidP="000562B8" w:rsidRDefault="000562B8" w14:paraId="672C73B1" w14:textId="4BEBD5E2">
          <w:pPr>
            <w:pStyle w:val="TOC1"/>
            <w:rPr>
              <w:rFonts w:asciiTheme="minorHAnsi" w:hAnsiTheme="minorHAnsi" w:eastAsiaTheme="minorEastAsia" w:cstheme="minorBidi"/>
              <w:noProof/>
              <w:lang w:val="en-US"/>
            </w:rPr>
          </w:pPr>
          <w:hyperlink w:history="1" w:anchor="_Toc189562592">
            <w:r w:rsidRPr="005E3F9D">
              <w:rPr>
                <w:rStyle w:val="Hyperlink"/>
                <w:bCs/>
                <w:noProof/>
              </w:rPr>
              <w:t>3.</w:t>
            </w:r>
            <w:r>
              <w:rPr>
                <w:rFonts w:asciiTheme="minorHAnsi" w:hAnsiTheme="minorHAnsi" w:eastAsiaTheme="minorEastAsia" w:cstheme="minorBidi"/>
                <w:noProof/>
                <w:lang w:val="en-US"/>
              </w:rPr>
              <w:tab/>
            </w:r>
            <w:r w:rsidRPr="005E3F9D">
              <w:rPr>
                <w:rStyle w:val="Hyperlink"/>
                <w:b/>
                <w:noProof/>
              </w:rPr>
              <w:t>TRANSPORTS, ENERĢĒTIKA, INFRASTRUKTŪRA UN INFORMĀCIJAS SABIEDRĪBA</w:t>
            </w:r>
            <w:r>
              <w:rPr>
                <w:noProof/>
                <w:webHidden/>
              </w:rPr>
              <w:tab/>
            </w:r>
            <w:r>
              <w:rPr>
                <w:noProof/>
                <w:webHidden/>
              </w:rPr>
              <w:fldChar w:fldCharType="begin"/>
            </w:r>
            <w:r>
              <w:rPr>
                <w:noProof/>
                <w:webHidden/>
              </w:rPr>
              <w:instrText xml:space="preserve"> PAGEREF _Toc189562592 \h </w:instrText>
            </w:r>
            <w:r>
              <w:rPr>
                <w:noProof/>
                <w:webHidden/>
              </w:rPr>
            </w:r>
            <w:r>
              <w:rPr>
                <w:noProof/>
                <w:webHidden/>
              </w:rPr>
              <w:fldChar w:fldCharType="separate"/>
            </w:r>
            <w:r>
              <w:rPr>
                <w:noProof/>
                <w:webHidden/>
              </w:rPr>
              <w:t>7</w:t>
            </w:r>
            <w:r>
              <w:rPr>
                <w:noProof/>
                <w:webHidden/>
              </w:rPr>
              <w:fldChar w:fldCharType="end"/>
            </w:r>
          </w:hyperlink>
        </w:p>
        <w:p w:rsidR="000562B8" w:rsidP="000562B8" w:rsidRDefault="000562B8" w14:paraId="2F5F396C" w14:textId="7199E304">
          <w:pPr>
            <w:pStyle w:val="TOC1"/>
            <w:rPr>
              <w:rFonts w:asciiTheme="minorHAnsi" w:hAnsiTheme="minorHAnsi" w:eastAsiaTheme="minorEastAsia" w:cstheme="minorBidi"/>
              <w:noProof/>
              <w:lang w:val="en-US"/>
            </w:rPr>
          </w:pPr>
          <w:hyperlink w:history="1" w:anchor="_Toc189562593">
            <w:r w:rsidRPr="005E3F9D">
              <w:rPr>
                <w:rStyle w:val="Hyperlink"/>
                <w:bCs/>
                <w:noProof/>
              </w:rPr>
              <w:t>4.</w:t>
            </w:r>
            <w:r>
              <w:rPr>
                <w:rFonts w:asciiTheme="minorHAnsi" w:hAnsiTheme="minorHAnsi" w:eastAsiaTheme="minorEastAsia" w:cstheme="minorBidi"/>
                <w:noProof/>
                <w:lang w:val="en-US"/>
              </w:rPr>
              <w:tab/>
            </w:r>
            <w:r w:rsidRPr="005E3F9D">
              <w:rPr>
                <w:rStyle w:val="Hyperlink"/>
                <w:b/>
                <w:noProof/>
              </w:rPr>
              <w:t>VIENOTAIS TIRGUS, RAŽOŠANA UN PATĒRIŅŠ</w:t>
            </w:r>
            <w:r>
              <w:rPr>
                <w:noProof/>
                <w:webHidden/>
              </w:rPr>
              <w:tab/>
            </w:r>
            <w:r>
              <w:rPr>
                <w:noProof/>
                <w:webHidden/>
              </w:rPr>
              <w:fldChar w:fldCharType="begin"/>
            </w:r>
            <w:r>
              <w:rPr>
                <w:noProof/>
                <w:webHidden/>
              </w:rPr>
              <w:instrText xml:space="preserve"> PAGEREF _Toc189562593 \h </w:instrText>
            </w:r>
            <w:r>
              <w:rPr>
                <w:noProof/>
                <w:webHidden/>
              </w:rPr>
            </w:r>
            <w:r>
              <w:rPr>
                <w:noProof/>
                <w:webHidden/>
              </w:rPr>
              <w:fldChar w:fldCharType="separate"/>
            </w:r>
            <w:r>
              <w:rPr>
                <w:noProof/>
                <w:webHidden/>
              </w:rPr>
              <w:t>9</w:t>
            </w:r>
            <w:r>
              <w:rPr>
                <w:noProof/>
                <w:webHidden/>
              </w:rPr>
              <w:fldChar w:fldCharType="end"/>
            </w:r>
          </w:hyperlink>
        </w:p>
        <w:p w:rsidR="000562B8" w:rsidP="000562B8" w:rsidRDefault="000562B8" w14:paraId="732AC231" w14:textId="14B90FE3">
          <w:pPr>
            <w:pStyle w:val="TOC1"/>
            <w:rPr>
              <w:rFonts w:asciiTheme="minorHAnsi" w:hAnsiTheme="minorHAnsi" w:eastAsiaTheme="minorEastAsia" w:cstheme="minorBidi"/>
              <w:noProof/>
              <w:lang w:val="en-US"/>
            </w:rPr>
          </w:pPr>
          <w:hyperlink w:history="1" w:anchor="_Toc189562594">
            <w:r w:rsidRPr="005E3F9D">
              <w:rPr>
                <w:rStyle w:val="Hyperlink"/>
                <w:bCs/>
                <w:noProof/>
              </w:rPr>
              <w:t>5.</w:t>
            </w:r>
            <w:r>
              <w:rPr>
                <w:rFonts w:asciiTheme="minorHAnsi" w:hAnsiTheme="minorHAnsi" w:eastAsiaTheme="minorEastAsia" w:cstheme="minorBidi"/>
                <w:noProof/>
                <w:lang w:val="en-US"/>
              </w:rPr>
              <w:tab/>
            </w:r>
            <w:r w:rsidRPr="005E3F9D">
              <w:rPr>
                <w:rStyle w:val="Hyperlink"/>
                <w:b/>
                <w:noProof/>
              </w:rPr>
              <w:t>LAUKSAIMNIECĪBA, LAUKU ATTĪSTĪBA UN VIDE</w:t>
            </w:r>
            <w:r>
              <w:rPr>
                <w:noProof/>
                <w:webHidden/>
              </w:rPr>
              <w:tab/>
            </w:r>
            <w:r>
              <w:rPr>
                <w:noProof/>
                <w:webHidden/>
              </w:rPr>
              <w:fldChar w:fldCharType="begin"/>
            </w:r>
            <w:r>
              <w:rPr>
                <w:noProof/>
                <w:webHidden/>
              </w:rPr>
              <w:instrText xml:space="preserve"> PAGEREF _Toc189562594 \h </w:instrText>
            </w:r>
            <w:r>
              <w:rPr>
                <w:noProof/>
                <w:webHidden/>
              </w:rPr>
            </w:r>
            <w:r>
              <w:rPr>
                <w:noProof/>
                <w:webHidden/>
              </w:rPr>
              <w:fldChar w:fldCharType="separate"/>
            </w:r>
            <w:r>
              <w:rPr>
                <w:noProof/>
                <w:webHidden/>
              </w:rPr>
              <w:t>11</w:t>
            </w:r>
            <w:r>
              <w:rPr>
                <w:noProof/>
                <w:webHidden/>
              </w:rPr>
              <w:fldChar w:fldCharType="end"/>
            </w:r>
          </w:hyperlink>
        </w:p>
        <w:p w:rsidR="000562B8" w:rsidP="000562B8" w:rsidRDefault="000562B8" w14:paraId="4A68C976" w14:textId="2D2A2BDA">
          <w:pPr>
            <w:pStyle w:val="TOC1"/>
            <w:rPr>
              <w:rFonts w:asciiTheme="minorHAnsi" w:hAnsiTheme="minorHAnsi" w:eastAsiaTheme="minorEastAsia" w:cstheme="minorBidi"/>
              <w:noProof/>
              <w:lang w:val="en-US"/>
            </w:rPr>
          </w:pPr>
          <w:hyperlink w:history="1" w:anchor="_Toc189562595">
            <w:r w:rsidRPr="005E3F9D">
              <w:rPr>
                <w:rStyle w:val="Hyperlink"/>
                <w:bCs/>
                <w:noProof/>
              </w:rPr>
              <w:t>6.</w:t>
            </w:r>
            <w:r>
              <w:rPr>
                <w:rFonts w:asciiTheme="minorHAnsi" w:hAnsiTheme="minorHAnsi" w:eastAsiaTheme="minorEastAsia" w:cstheme="minorBidi"/>
                <w:noProof/>
                <w:lang w:val="en-US"/>
              </w:rPr>
              <w:tab/>
            </w:r>
            <w:r w:rsidRPr="005E3F9D">
              <w:rPr>
                <w:rStyle w:val="Hyperlink"/>
                <w:b/>
                <w:noProof/>
              </w:rPr>
              <w:t>ĀRĒJĀS ATTIECĪBAS</w:t>
            </w:r>
            <w:r>
              <w:rPr>
                <w:noProof/>
                <w:webHidden/>
              </w:rPr>
              <w:tab/>
            </w:r>
            <w:r>
              <w:rPr>
                <w:noProof/>
                <w:webHidden/>
              </w:rPr>
              <w:fldChar w:fldCharType="begin"/>
            </w:r>
            <w:r>
              <w:rPr>
                <w:noProof/>
                <w:webHidden/>
              </w:rPr>
              <w:instrText xml:space="preserve"> PAGEREF _Toc189562595 \h </w:instrText>
            </w:r>
            <w:r>
              <w:rPr>
                <w:noProof/>
                <w:webHidden/>
              </w:rPr>
            </w:r>
            <w:r>
              <w:rPr>
                <w:noProof/>
                <w:webHidden/>
              </w:rPr>
              <w:fldChar w:fldCharType="separate"/>
            </w:r>
            <w:r>
              <w:rPr>
                <w:noProof/>
                <w:webHidden/>
              </w:rPr>
              <w:t>12</w:t>
            </w:r>
            <w:r>
              <w:rPr>
                <w:noProof/>
                <w:webHidden/>
              </w:rPr>
              <w:fldChar w:fldCharType="end"/>
            </w:r>
          </w:hyperlink>
        </w:p>
        <w:p w:rsidR="004D7AC0" w:rsidRDefault="004D7AC0" w14:paraId="4982DD6A" w14:textId="310590DB">
          <w:r>
            <w:rPr>
              <w:b/>
            </w:rPr>
            <w:fldChar w:fldCharType="end"/>
          </w:r>
        </w:p>
      </w:sdtContent>
    </w:sdt>
    <w:p w:rsidR="004D7AC0" w:rsidRDefault="004D7AC0" w14:paraId="4982DD6B" w14:textId="77777777"/>
    <w:p w:rsidR="004D7AC0" w:rsidP="0060010D" w:rsidRDefault="004D7AC0" w14:paraId="4982DD6C" w14:textId="77777777">
      <w:pPr>
        <w:jc w:val="left"/>
      </w:pPr>
      <w:r>
        <w:br w:type="page"/>
      </w:r>
    </w:p>
    <w:p w:rsidR="004D7AC0" w:rsidRDefault="004D7AC0" w14:paraId="4982DD6D" w14:textId="77777777">
      <w:pPr>
        <w:pStyle w:val="Heading1"/>
        <w:rPr>
          <w:b/>
        </w:rPr>
      </w:pPr>
      <w:bookmarkStart w:name="_Toc189562590" w:id="0"/>
      <w:r>
        <w:rPr>
          <w:b/>
        </w:rPr>
        <w:lastRenderedPageBreak/>
        <w:t>EKONOMIKAS UN MONETĀRĀ SAVIENĪBA, EKONOMISKĀ UN SOCIĀLĀ KOHĒZIJA</w:t>
      </w:r>
      <w:bookmarkEnd w:id="0"/>
    </w:p>
    <w:p w:rsidR="004D7AC0" w:rsidRDefault="004D7AC0" w14:paraId="4982DD6E" w14:textId="77777777"/>
    <w:p w:rsidRPr="00116EE0" w:rsidR="00116EE0" w:rsidP="0060010D" w:rsidRDefault="00E61064" w14:paraId="687378ED" w14:textId="56C9F723">
      <w:pPr>
        <w:widowControl w:val="0"/>
        <w:numPr>
          <w:ilvl w:val="0"/>
          <w:numId w:val="4"/>
        </w:numPr>
        <w:overflowPunct w:val="0"/>
        <w:autoSpaceDE w:val="0"/>
        <w:autoSpaceDN w:val="0"/>
        <w:adjustRightInd w:val="0"/>
        <w:ind w:hanging="567"/>
        <w:textAlignment w:val="baseline"/>
        <w:rPr>
          <w:b/>
          <w:i/>
          <w:iCs/>
          <w:sz w:val="28"/>
          <w:szCs w:val="28"/>
        </w:rPr>
      </w:pPr>
      <w:hyperlink w:history="1" r:id="rId20">
        <w:r w:rsidR="00465FCD">
          <w:rPr>
            <w:b/>
            <w:i/>
            <w:color w:val="0000FF"/>
            <w:sz w:val="28"/>
            <w:u w:val="single"/>
          </w:rPr>
          <w:t>Eurozonas ekonomikas politika (2025)</w:t>
        </w:r>
      </w:hyperlink>
    </w:p>
    <w:p w:rsidRPr="00116EE0" w:rsidR="00116EE0" w:rsidRDefault="00116EE0" w14:paraId="30F305D3" w14:textId="77777777">
      <w:pPr>
        <w:widowControl w:val="0"/>
        <w:overflowPunct w:val="0"/>
        <w:autoSpaceDE w:val="0"/>
        <w:autoSpaceDN w:val="0"/>
        <w:adjustRightInd w:val="0"/>
        <w:ind w:left="284"/>
        <w:textAlignment w:val="baseline"/>
        <w:rPr>
          <w:b/>
          <w:i/>
          <w:iCs/>
          <w:sz w:val="20"/>
          <w:szCs w:val="20"/>
          <w:lang w:val="it-IT"/>
        </w:rPr>
      </w:pPr>
    </w:p>
    <w:tbl>
      <w:tblPr>
        <w:tblW w:w="0" w:type="auto"/>
        <w:tblLook w:val="04A0" w:firstRow="1" w:lastRow="0" w:firstColumn="1" w:lastColumn="0" w:noHBand="0" w:noVBand="1"/>
      </w:tblPr>
      <w:tblGrid>
        <w:gridCol w:w="1701"/>
        <w:gridCol w:w="7479"/>
      </w:tblGrid>
      <w:tr w:rsidRPr="00FA33C4" w:rsidR="00116EE0" w:rsidTr="0060010D" w14:paraId="16FBB640" w14:textId="77777777">
        <w:tc>
          <w:tcPr>
            <w:tcW w:w="1701" w:type="dxa"/>
          </w:tcPr>
          <w:p w:rsidRPr="00FA33C4" w:rsidR="00116EE0" w:rsidRDefault="00116EE0" w14:paraId="24898722" w14:textId="1D1AF101">
            <w:pPr>
              <w:tabs>
                <w:tab w:val="center" w:pos="284"/>
              </w:tabs>
              <w:overflowPunct w:val="0"/>
              <w:autoSpaceDE w:val="0"/>
              <w:autoSpaceDN w:val="0"/>
              <w:adjustRightInd w:val="0"/>
              <w:ind w:left="266" w:hanging="266"/>
              <w:textAlignment w:val="baseline"/>
              <w:rPr>
                <w:b/>
                <w:sz w:val="20"/>
                <w:szCs w:val="20"/>
              </w:rPr>
            </w:pPr>
            <w:r>
              <w:rPr>
                <w:b/>
                <w:sz w:val="20"/>
              </w:rPr>
              <w:t>Ziņotājs</w:t>
            </w:r>
          </w:p>
        </w:tc>
        <w:tc>
          <w:tcPr>
            <w:tcW w:w="7479" w:type="dxa"/>
          </w:tcPr>
          <w:p w:rsidRPr="00FA33C4" w:rsidR="00116EE0" w:rsidRDefault="00116EE0" w14:paraId="0AD7E1BD" w14:textId="6403C7A4">
            <w:pPr>
              <w:tabs>
                <w:tab w:val="center" w:pos="284"/>
              </w:tabs>
              <w:overflowPunct w:val="0"/>
              <w:autoSpaceDE w:val="0"/>
              <w:autoSpaceDN w:val="0"/>
              <w:adjustRightInd w:val="0"/>
              <w:ind w:left="266" w:hanging="266"/>
              <w:textAlignment w:val="baseline"/>
              <w:rPr>
                <w:bCs/>
                <w:sz w:val="20"/>
                <w:szCs w:val="20"/>
              </w:rPr>
            </w:pPr>
            <w:proofErr w:type="spellStart"/>
            <w:r>
              <w:rPr>
                <w:sz w:val="20"/>
              </w:rPr>
              <w:t>Juraj</w:t>
            </w:r>
            <w:proofErr w:type="spellEnd"/>
            <w:r>
              <w:rPr>
                <w:sz w:val="20"/>
              </w:rPr>
              <w:t xml:space="preserve"> SIPKO (Pilsoniskās sabiedrības organizāciju grupa – SK)</w:t>
            </w:r>
          </w:p>
        </w:tc>
      </w:tr>
      <w:tr w:rsidRPr="00FA33C4" w:rsidR="00116EE0" w:rsidTr="0060010D" w14:paraId="6F5F7528" w14:textId="77777777">
        <w:tc>
          <w:tcPr>
            <w:tcW w:w="9180" w:type="dxa"/>
            <w:gridSpan w:val="2"/>
          </w:tcPr>
          <w:p w:rsidRPr="00FA33C4" w:rsidR="00116EE0" w:rsidP="0060010D" w:rsidRDefault="00116EE0" w14:paraId="518B7DA1" w14:textId="77777777">
            <w:pPr>
              <w:tabs>
                <w:tab w:val="center" w:pos="284"/>
              </w:tabs>
              <w:overflowPunct w:val="0"/>
              <w:autoSpaceDE w:val="0"/>
              <w:autoSpaceDN w:val="0"/>
              <w:adjustRightInd w:val="0"/>
              <w:ind w:left="266" w:hanging="266"/>
              <w:textAlignment w:val="baseline"/>
              <w:rPr>
                <w:sz w:val="20"/>
                <w:szCs w:val="20"/>
              </w:rPr>
            </w:pPr>
          </w:p>
        </w:tc>
      </w:tr>
      <w:tr w:rsidRPr="00FA33C4" w:rsidR="00116EE0" w:rsidTr="0060010D" w14:paraId="0C336C40" w14:textId="77777777">
        <w:tc>
          <w:tcPr>
            <w:tcW w:w="1701" w:type="dxa"/>
          </w:tcPr>
          <w:p w:rsidRPr="00FA33C4" w:rsidR="00116EE0" w:rsidRDefault="00116EE0" w14:paraId="3C1E8069"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7479" w:type="dxa"/>
          </w:tcPr>
          <w:p w:rsidRPr="00FA33C4" w:rsidR="00116EE0" w:rsidRDefault="00116EE0" w14:paraId="7930FFCD" w14:textId="77777777">
            <w:pPr>
              <w:tabs>
                <w:tab w:val="center" w:pos="284"/>
              </w:tabs>
              <w:overflowPunct w:val="0"/>
              <w:autoSpaceDE w:val="0"/>
              <w:autoSpaceDN w:val="0"/>
              <w:adjustRightInd w:val="0"/>
              <w:ind w:left="266" w:hanging="266"/>
              <w:textAlignment w:val="baseline"/>
              <w:rPr>
                <w:sz w:val="20"/>
                <w:szCs w:val="20"/>
              </w:rPr>
            </w:pPr>
            <w:r>
              <w:rPr>
                <w:sz w:val="20"/>
              </w:rPr>
              <w:t xml:space="preserve">COM(2024) 704 </w:t>
            </w:r>
            <w:proofErr w:type="spellStart"/>
            <w:r>
              <w:rPr>
                <w:sz w:val="20"/>
              </w:rPr>
              <w:t>final</w:t>
            </w:r>
            <w:proofErr w:type="spellEnd"/>
          </w:p>
          <w:p w:rsidRPr="00FA33C4" w:rsidR="00116EE0" w:rsidRDefault="00116EE0" w14:paraId="67D25C7F" w14:textId="000ECDB3">
            <w:pPr>
              <w:tabs>
                <w:tab w:val="center" w:pos="284"/>
              </w:tabs>
              <w:overflowPunct w:val="0"/>
              <w:autoSpaceDE w:val="0"/>
              <w:autoSpaceDN w:val="0"/>
              <w:adjustRightInd w:val="0"/>
              <w:ind w:left="266" w:hanging="266"/>
              <w:textAlignment w:val="baseline"/>
              <w:rPr>
                <w:sz w:val="20"/>
                <w:szCs w:val="20"/>
              </w:rPr>
            </w:pPr>
            <w:r>
              <w:rPr>
                <w:sz w:val="20"/>
              </w:rPr>
              <w:t>EESC-2024-03910-00-00-AC</w:t>
            </w:r>
          </w:p>
        </w:tc>
      </w:tr>
    </w:tbl>
    <w:p w:rsidR="007554BE" w:rsidP="007554BE" w:rsidRDefault="007554BE" w14:paraId="206FC47C" w14:textId="77777777">
      <w:pPr>
        <w:keepNext/>
        <w:keepLines/>
        <w:tabs>
          <w:tab w:val="center" w:pos="284"/>
        </w:tabs>
        <w:overflowPunct w:val="0"/>
        <w:autoSpaceDE w:val="0"/>
        <w:autoSpaceDN w:val="0"/>
        <w:adjustRightInd w:val="0"/>
        <w:ind w:left="266" w:hanging="266"/>
        <w:textAlignment w:val="baseline"/>
        <w:rPr>
          <w:b/>
          <w:lang w:val="en-GB"/>
        </w:rPr>
      </w:pPr>
    </w:p>
    <w:p w:rsidR="00116EE0" w:rsidP="0060010D" w:rsidRDefault="00116EE0" w14:paraId="2BCC8D3F" w14:textId="63E6985B">
      <w:pPr>
        <w:keepNext/>
        <w:keepLines/>
        <w:tabs>
          <w:tab w:val="center" w:pos="284"/>
        </w:tabs>
        <w:overflowPunct w:val="0"/>
        <w:autoSpaceDE w:val="0"/>
        <w:autoSpaceDN w:val="0"/>
        <w:adjustRightInd w:val="0"/>
        <w:ind w:left="266" w:hanging="266"/>
        <w:textAlignment w:val="baseline"/>
        <w:rPr>
          <w:b/>
        </w:rPr>
      </w:pPr>
      <w:r>
        <w:rPr>
          <w:b/>
        </w:rPr>
        <w:t>Galvenās nostādnes</w:t>
      </w:r>
    </w:p>
    <w:p w:rsidRPr="00116EE0" w:rsidR="00E16E3C" w:rsidP="0060010D" w:rsidRDefault="00E16E3C" w14:paraId="021996D7" w14:textId="77777777">
      <w:pPr>
        <w:keepNext/>
        <w:keepLines/>
        <w:tabs>
          <w:tab w:val="center" w:pos="284"/>
        </w:tabs>
        <w:overflowPunct w:val="0"/>
        <w:autoSpaceDE w:val="0"/>
        <w:autoSpaceDN w:val="0"/>
        <w:adjustRightInd w:val="0"/>
        <w:ind w:left="266" w:hanging="266"/>
        <w:textAlignment w:val="baseline"/>
        <w:rPr>
          <w:b/>
          <w:lang w:val="en-GB"/>
        </w:rPr>
      </w:pPr>
    </w:p>
    <w:p w:rsidR="00116EE0" w:rsidP="0060010D" w:rsidRDefault="00116EE0" w14:paraId="615373FD" w14:textId="77777777">
      <w:pPr>
        <w:overflowPunct w:val="0"/>
        <w:autoSpaceDE w:val="0"/>
        <w:autoSpaceDN w:val="0"/>
        <w:adjustRightInd w:val="0"/>
        <w:textAlignment w:val="baseline"/>
        <w:rPr>
          <w:bCs/>
          <w:iCs/>
        </w:rPr>
      </w:pPr>
      <w:r>
        <w:t>EESK:</w:t>
      </w:r>
    </w:p>
    <w:p w:rsidRPr="00EE160A" w:rsidR="00116EE0" w:rsidP="0060010D" w:rsidRDefault="00116EE0" w14:paraId="5995A366" w14:textId="77777777">
      <w:pPr>
        <w:pStyle w:val="ListParagraph"/>
        <w:numPr>
          <w:ilvl w:val="0"/>
          <w:numId w:val="55"/>
        </w:numPr>
        <w:ind w:left="567" w:hanging="567"/>
      </w:pPr>
      <w:r>
        <w:t>aicina steidzami veikt gan ekonomikas politikas pasākumus, kas nodrošinātu ekonomikas un sistēmisko noturību, gan pasākumus, kuri panāktu ilgtspējīgu un noturīgu ekonomikas izaugsmi eurozonā, it īpaši salīdzinājumā ar tās lielākajiem konkurentiem pasaules ekonomikā;</w:t>
      </w:r>
    </w:p>
    <w:p w:rsidRPr="00EE160A" w:rsidR="00116EE0" w:rsidP="0060010D" w:rsidRDefault="00116EE0" w14:paraId="5CAA6EDF" w14:textId="77777777">
      <w:pPr>
        <w:pStyle w:val="ListParagraph"/>
        <w:numPr>
          <w:ilvl w:val="0"/>
          <w:numId w:val="55"/>
        </w:numPr>
        <w:ind w:left="567" w:hanging="567"/>
      </w:pPr>
      <w:r>
        <w:t>iesaka padziļināt iekšējo tirgu, nekavējoties pieņemt un ieviest pasākumus kopīgi koordinētai rūpniecības politikai, kā arī valstu strukturālajām reformām. Jārisina pārmērīgu administratīvo un regulatīvo pasākumu jautājums;</w:t>
      </w:r>
    </w:p>
    <w:p w:rsidRPr="00EE160A" w:rsidR="00116EE0" w:rsidP="0060010D" w:rsidRDefault="00116EE0" w14:paraId="116C53A8" w14:textId="77777777">
      <w:pPr>
        <w:pStyle w:val="ListParagraph"/>
        <w:numPr>
          <w:ilvl w:val="0"/>
          <w:numId w:val="55"/>
        </w:numPr>
        <w:ind w:left="567" w:hanging="567"/>
      </w:pPr>
      <w:r>
        <w:t>norāda, ka fiskālās stabilitātes nodrošināšana ir visnotaļ jāsaista ar nepieciešamību piešķirt līdzekļus ne tikai ekonomiskās labklājības atjaunošanai, bet arī tāpēc, ka tas ir sabiedrības interesēs;</w:t>
      </w:r>
    </w:p>
    <w:p w:rsidRPr="00EE160A" w:rsidR="00116EE0" w:rsidP="0060010D" w:rsidRDefault="00116EE0" w14:paraId="03D20410" w14:textId="77777777">
      <w:pPr>
        <w:pStyle w:val="ListParagraph"/>
        <w:numPr>
          <w:ilvl w:val="0"/>
          <w:numId w:val="55"/>
        </w:numPr>
        <w:ind w:left="567" w:hanging="567"/>
      </w:pPr>
      <w:r>
        <w:t xml:space="preserve">atbalsta to, ka uzmanība tiek koncentrēta uz konkurētspējas palielināšanu, it īpaši novēršot investīciju nepietiekamību salīdzinājumā ar ASV un citiem lielākajiem konkurentiem pasaules ekonomikā, kā arī uz apstākļu radīšanu </w:t>
      </w:r>
      <w:proofErr w:type="spellStart"/>
      <w:r>
        <w:t>iespējkapitālam</w:t>
      </w:r>
      <w:proofErr w:type="spellEnd"/>
      <w:r>
        <w:t xml:space="preserve">, it īpaši, lai atbalstītu </w:t>
      </w:r>
      <w:proofErr w:type="spellStart"/>
      <w:r>
        <w:t>jaunuzņēmumus</w:t>
      </w:r>
      <w:proofErr w:type="spellEnd"/>
      <w:r>
        <w:t xml:space="preserve"> un paplašinātu firmas un uzņēmumus;</w:t>
      </w:r>
    </w:p>
    <w:p w:rsidRPr="00EE160A" w:rsidR="00116EE0" w:rsidP="0060010D" w:rsidRDefault="00116EE0" w14:paraId="2AF29DD9" w14:textId="77777777">
      <w:pPr>
        <w:pStyle w:val="ListParagraph"/>
        <w:numPr>
          <w:ilvl w:val="0"/>
          <w:numId w:val="55"/>
        </w:numPr>
        <w:ind w:left="567" w:hanging="567"/>
      </w:pPr>
      <w:r>
        <w:t>uzskata, ka eurozonas dalībvalstu ekonomikas politikas mērķis ir ne tikai stabilitāte, ilgtspēja un svarīgāko makroekonomisko rādītāju precizēšana, bet arī – un galvenokārt – padziļinātas strukturālās un institucionālās reformas;</w:t>
      </w:r>
    </w:p>
    <w:p w:rsidRPr="00EE160A" w:rsidR="00116EE0" w:rsidP="0060010D" w:rsidRDefault="00116EE0" w14:paraId="389E64F9" w14:textId="77777777">
      <w:pPr>
        <w:pStyle w:val="ListParagraph"/>
        <w:numPr>
          <w:ilvl w:val="0"/>
          <w:numId w:val="55"/>
        </w:numPr>
        <w:ind w:left="567" w:hanging="567"/>
      </w:pPr>
      <w:r>
        <w:t>norāda, ka tādēļ ir jāpārskata institucionālie un leģislatīvie pasākumi attiecībā uz darba tirgus elastīgumu, reālo algu pieaugumu un darba ražīgumu, jāstiprina sociālais nodrošinājums, atbalstot iekļaušanu un piekļuvi mājokļiem;</w:t>
      </w:r>
    </w:p>
    <w:p w:rsidRPr="00EE160A" w:rsidR="00116EE0" w:rsidP="0060010D" w:rsidRDefault="00116EE0" w14:paraId="2F9487D0" w14:textId="77777777">
      <w:pPr>
        <w:pStyle w:val="ListParagraph"/>
        <w:numPr>
          <w:ilvl w:val="0"/>
          <w:numId w:val="55"/>
        </w:numPr>
        <w:ind w:left="567" w:hanging="567"/>
      </w:pPr>
      <w:r>
        <w:t>norāda: ņemot vērā, ka ir nepieciešami lielāki izdevumi, lai finansētu pārkārtošanos, aizsardzību un novecojošu sabiedrību, un rodas lielāki izdevumi par aizņēmumu izmaksu segšanu un parāda apkalpošanu, ir svarīgi nodrošināt uzticamu vidēja termiņa fiskālo sistēmu;</w:t>
      </w:r>
    </w:p>
    <w:p w:rsidRPr="00EE160A" w:rsidR="00116EE0" w:rsidP="0060010D" w:rsidRDefault="00116EE0" w14:paraId="702B0ADB" w14:textId="77777777">
      <w:pPr>
        <w:pStyle w:val="ListParagraph"/>
        <w:numPr>
          <w:ilvl w:val="0"/>
          <w:numId w:val="55"/>
        </w:numPr>
        <w:ind w:left="567" w:hanging="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atbalsta Komisijas centienus uzlabot publisko finanšu efektivitāti kopumā un samazināt nodokļu oāzēs turētās naudas apjomu. EESK atbalsta arī G20 valstu plānus attiecībā uz uzņēmumu ienākuma nodokli;</w:t>
      </w:r>
    </w:p>
    <w:p w:rsidRPr="00EE160A" w:rsidR="00116EE0" w:rsidP="0060010D" w:rsidRDefault="00116EE0" w14:paraId="3E4C5AA9" w14:textId="77777777">
      <w:pPr>
        <w:pStyle w:val="ListParagraph"/>
        <w:numPr>
          <w:ilvl w:val="0"/>
          <w:numId w:val="55"/>
        </w:numPr>
        <w:ind w:left="567" w:hanging="567"/>
      </w:pPr>
      <w:r>
        <w:t xml:space="preserve">uzsver, ka, pieņemot un ieviešot atsevišķus pasākumus, ir vajadzīga papildu </w:t>
      </w:r>
      <w:proofErr w:type="spellStart"/>
      <w:r>
        <w:t>pārskatatbildība</w:t>
      </w:r>
      <w:proofErr w:type="spellEnd"/>
      <w:r>
        <w:t xml:space="preserve"> un apņemšanās. Lai risinātu gaidāmās ārkārtējās problēmas, visām kompetentajām un atbildīgajām pusēm vairāk nekā jebkad agrāk būs jāiesaistās dialogā un jāsadarbojas, lai virzītu eurozonas ekonomiku uz ilgtspēju un noturību.</w:t>
      </w:r>
    </w:p>
    <w:p w:rsidRPr="00116EE0" w:rsidR="00116EE0" w:rsidRDefault="00116EE0" w14:paraId="123EDCD7"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595"/>
        <w:gridCol w:w="7694"/>
      </w:tblGrid>
      <w:tr w:rsidRPr="00FA33C4" w:rsidR="00116EE0" w:rsidTr="0060010D" w14:paraId="34B87149" w14:textId="77777777">
        <w:tc>
          <w:tcPr>
            <w:tcW w:w="1418" w:type="dxa"/>
          </w:tcPr>
          <w:p w:rsidRPr="00FA33C4" w:rsidR="00116EE0" w:rsidP="0060010D" w:rsidRDefault="00116EE0" w14:paraId="10AAD69C" w14:textId="77777777">
            <w:pPr>
              <w:overflowPunct w:val="0"/>
              <w:autoSpaceDE w:val="0"/>
              <w:autoSpaceDN w:val="0"/>
              <w:adjustRightInd w:val="0"/>
              <w:textAlignment w:val="baseline"/>
              <w:rPr>
                <w:i/>
                <w:sz w:val="20"/>
                <w:szCs w:val="20"/>
              </w:rPr>
            </w:pPr>
            <w:r>
              <w:rPr>
                <w:b/>
                <w:i/>
                <w:sz w:val="20"/>
              </w:rPr>
              <w:t>Kontaktpersona:</w:t>
            </w:r>
          </w:p>
        </w:tc>
        <w:tc>
          <w:tcPr>
            <w:tcW w:w="7762" w:type="dxa"/>
          </w:tcPr>
          <w:p w:rsidRPr="00FA33C4" w:rsidR="00116EE0" w:rsidP="0060010D" w:rsidRDefault="00116EE0" w14:paraId="04F7E27C" w14:textId="52F60DD0">
            <w:pPr>
              <w:overflowPunct w:val="0"/>
              <w:autoSpaceDE w:val="0"/>
              <w:autoSpaceDN w:val="0"/>
              <w:adjustRightInd w:val="0"/>
              <w:textAlignment w:val="baseline"/>
              <w:rPr>
                <w:i/>
                <w:sz w:val="20"/>
                <w:szCs w:val="20"/>
              </w:rPr>
            </w:pPr>
            <w:proofErr w:type="spellStart"/>
            <w:r>
              <w:rPr>
                <w:i/>
                <w:sz w:val="20"/>
              </w:rPr>
              <w:t>Krisztina</w:t>
            </w:r>
            <w:proofErr w:type="spellEnd"/>
            <w:r>
              <w:rPr>
                <w:i/>
                <w:sz w:val="20"/>
              </w:rPr>
              <w:t xml:space="preserve"> </w:t>
            </w:r>
            <w:proofErr w:type="spellStart"/>
            <w:r>
              <w:rPr>
                <w:i/>
                <w:sz w:val="20"/>
              </w:rPr>
              <w:t>Perlaky-Tóth</w:t>
            </w:r>
            <w:proofErr w:type="spellEnd"/>
          </w:p>
        </w:tc>
      </w:tr>
      <w:tr w:rsidRPr="00FA33C4" w:rsidR="00116EE0" w:rsidTr="0060010D" w14:paraId="70EB9029" w14:textId="77777777">
        <w:tc>
          <w:tcPr>
            <w:tcW w:w="1418" w:type="dxa"/>
          </w:tcPr>
          <w:p w:rsidRPr="00FA33C4" w:rsidR="00116EE0" w:rsidP="0060010D" w:rsidRDefault="00116EE0" w14:paraId="22DEC6E0" w14:textId="77777777">
            <w:pPr>
              <w:overflowPunct w:val="0"/>
              <w:autoSpaceDE w:val="0"/>
              <w:autoSpaceDN w:val="0"/>
              <w:adjustRightInd w:val="0"/>
              <w:textAlignment w:val="baseline"/>
              <w:rPr>
                <w:i/>
                <w:sz w:val="20"/>
                <w:szCs w:val="20"/>
              </w:rPr>
            </w:pPr>
            <w:r>
              <w:rPr>
                <w:i/>
                <w:sz w:val="20"/>
              </w:rPr>
              <w:t>Tālr.:</w:t>
            </w:r>
          </w:p>
        </w:tc>
        <w:tc>
          <w:tcPr>
            <w:tcW w:w="7762" w:type="dxa"/>
          </w:tcPr>
          <w:p w:rsidRPr="00FA33C4" w:rsidR="00116EE0" w:rsidP="0060010D" w:rsidRDefault="00116EE0" w14:paraId="5780528B" w14:textId="77777777">
            <w:pPr>
              <w:overflowPunct w:val="0"/>
              <w:autoSpaceDE w:val="0"/>
              <w:autoSpaceDN w:val="0"/>
              <w:adjustRightInd w:val="0"/>
              <w:textAlignment w:val="baseline"/>
              <w:rPr>
                <w:i/>
                <w:sz w:val="20"/>
                <w:szCs w:val="20"/>
              </w:rPr>
            </w:pPr>
            <w:r>
              <w:rPr>
                <w:i/>
                <w:sz w:val="20"/>
              </w:rPr>
              <w:t>+32 2</w:t>
            </w:r>
            <w:r>
              <w:rPr>
                <w:sz w:val="20"/>
              </w:rPr>
              <w:t xml:space="preserve"> </w:t>
            </w:r>
            <w:r>
              <w:rPr>
                <w:i/>
                <w:sz w:val="20"/>
              </w:rPr>
              <w:t>5469740</w:t>
            </w:r>
          </w:p>
        </w:tc>
      </w:tr>
      <w:tr w:rsidRPr="00FA33C4" w:rsidR="00116EE0" w:rsidTr="0060010D" w14:paraId="507765C2" w14:textId="77777777">
        <w:tc>
          <w:tcPr>
            <w:tcW w:w="1418" w:type="dxa"/>
          </w:tcPr>
          <w:p w:rsidRPr="00FA33C4" w:rsidR="00116EE0" w:rsidP="0060010D" w:rsidRDefault="00E16E3C" w14:paraId="180663CB" w14:textId="447CD0D6">
            <w:pPr>
              <w:overflowPunct w:val="0"/>
              <w:autoSpaceDE w:val="0"/>
              <w:autoSpaceDN w:val="0"/>
              <w:adjustRightInd w:val="0"/>
              <w:textAlignment w:val="baseline"/>
              <w:rPr>
                <w:i/>
                <w:sz w:val="20"/>
                <w:szCs w:val="20"/>
              </w:rPr>
            </w:pPr>
            <w:r>
              <w:rPr>
                <w:i/>
                <w:sz w:val="20"/>
              </w:rPr>
              <w:t>E-pasts:</w:t>
            </w:r>
          </w:p>
        </w:tc>
        <w:tc>
          <w:tcPr>
            <w:tcW w:w="7762" w:type="dxa"/>
          </w:tcPr>
          <w:p w:rsidRPr="00FA33C4" w:rsidR="00116EE0" w:rsidP="0060010D" w:rsidRDefault="00E61064" w14:paraId="482F0FA1" w14:textId="036474EB">
            <w:pPr>
              <w:overflowPunct w:val="0"/>
              <w:autoSpaceDE w:val="0"/>
              <w:autoSpaceDN w:val="0"/>
              <w:adjustRightInd w:val="0"/>
              <w:textAlignment w:val="baseline"/>
              <w:rPr>
                <w:i/>
                <w:sz w:val="20"/>
                <w:szCs w:val="20"/>
              </w:rPr>
            </w:pPr>
            <w:hyperlink w:history="1" r:id="rId21">
              <w:r w:rsidR="00465FCD">
                <w:rPr>
                  <w:i/>
                  <w:color w:val="0000FF"/>
                  <w:sz w:val="20"/>
                  <w:u w:val="single"/>
                </w:rPr>
                <w:t>Krisztina.PerlakyToth@eesc.europa.eu</w:t>
              </w:r>
            </w:hyperlink>
          </w:p>
        </w:tc>
      </w:tr>
    </w:tbl>
    <w:p w:rsidR="004D7AC0" w:rsidP="0060010D" w:rsidRDefault="004D7AC0" w14:paraId="4982DD99" w14:textId="77777777">
      <w:pPr>
        <w:pStyle w:val="Heading1"/>
        <w:keepNext/>
        <w:keepLines/>
        <w:rPr>
          <w:b/>
        </w:rPr>
      </w:pPr>
      <w:bookmarkStart w:name="_Toc75527081" w:id="1"/>
      <w:bookmarkStart w:name="_Toc189562591" w:id="2"/>
      <w:r>
        <w:rPr>
          <w:b/>
        </w:rPr>
        <w:lastRenderedPageBreak/>
        <w:t>NODARBINĀTĪBA, SOCIĀLĀS LIETAS UN PILSONISKUMS</w:t>
      </w:r>
      <w:bookmarkEnd w:id="1"/>
      <w:bookmarkEnd w:id="2"/>
    </w:p>
    <w:p w:rsidR="004D7AC0" w:rsidP="0060010D" w:rsidRDefault="004D7AC0" w14:paraId="4982DD9A" w14:textId="77777777">
      <w:pPr>
        <w:keepNext/>
        <w:keepLines/>
      </w:pPr>
    </w:p>
    <w:p w:rsidRPr="0060010D" w:rsidR="008D44E2" w:rsidRDefault="00E61064" w14:paraId="66967C58" w14:textId="0B242FE9">
      <w:pPr>
        <w:widowControl w:val="0"/>
        <w:numPr>
          <w:ilvl w:val="0"/>
          <w:numId w:val="6"/>
        </w:numPr>
        <w:overflowPunct w:val="0"/>
        <w:autoSpaceDE w:val="0"/>
        <w:autoSpaceDN w:val="0"/>
        <w:adjustRightInd w:val="0"/>
        <w:ind w:left="567" w:hanging="567"/>
        <w:textAlignment w:val="baseline"/>
      </w:pPr>
      <w:hyperlink w:history="1" r:id="rId22">
        <w:r w:rsidR="008D44E2">
          <w:rPr>
            <w:b/>
            <w:i/>
            <w:color w:val="0000FF"/>
            <w:sz w:val="28"/>
            <w:u w:val="single"/>
          </w:rPr>
          <w:t>Eiropas Komisijas gada ziņojumi par tiesiskumu Eiropas Savienībā – novērtējums</w:t>
        </w:r>
      </w:hyperlink>
    </w:p>
    <w:p w:rsidRPr="0060010D" w:rsidR="008D44E2" w:rsidRDefault="008D44E2" w14:paraId="362D2C36" w14:textId="77777777">
      <w:pPr>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701"/>
        <w:gridCol w:w="7479"/>
      </w:tblGrid>
      <w:tr w:rsidRPr="00FA33C4" w:rsidR="008D44E2" w:rsidTr="0060010D" w14:paraId="123F4EAC" w14:textId="77777777">
        <w:tc>
          <w:tcPr>
            <w:tcW w:w="1701" w:type="dxa"/>
          </w:tcPr>
          <w:p w:rsidRPr="00FA33C4" w:rsidR="008D44E2" w:rsidRDefault="008D44E2" w14:paraId="45032CB6" w14:textId="35AA7DC0">
            <w:pPr>
              <w:tabs>
                <w:tab w:val="center" w:pos="284"/>
              </w:tabs>
              <w:overflowPunct w:val="0"/>
              <w:autoSpaceDE w:val="0"/>
              <w:autoSpaceDN w:val="0"/>
              <w:adjustRightInd w:val="0"/>
              <w:ind w:left="567" w:hanging="567"/>
              <w:textAlignment w:val="baseline"/>
              <w:rPr>
                <w:b/>
                <w:sz w:val="20"/>
                <w:szCs w:val="20"/>
              </w:rPr>
            </w:pPr>
            <w:r>
              <w:rPr>
                <w:b/>
                <w:sz w:val="20"/>
              </w:rPr>
              <w:t>Ziņotāja</w:t>
            </w:r>
          </w:p>
        </w:tc>
        <w:tc>
          <w:tcPr>
            <w:tcW w:w="7479" w:type="dxa"/>
          </w:tcPr>
          <w:p w:rsidRPr="00FA33C4" w:rsidR="008D44E2" w:rsidP="0060010D" w:rsidRDefault="008D44E2" w14:paraId="4624F106" w14:textId="6AF8BAEA">
            <w:pPr>
              <w:overflowPunct w:val="0"/>
              <w:autoSpaceDE w:val="0"/>
              <w:autoSpaceDN w:val="0"/>
              <w:adjustRightInd w:val="0"/>
              <w:textAlignment w:val="baseline"/>
              <w:rPr>
                <w:sz w:val="20"/>
                <w:szCs w:val="20"/>
              </w:rPr>
            </w:pPr>
            <w:proofErr w:type="spellStart"/>
            <w:r>
              <w:rPr>
                <w:sz w:val="20"/>
              </w:rPr>
              <w:t>Özlem</w:t>
            </w:r>
            <w:proofErr w:type="spellEnd"/>
            <w:r>
              <w:rPr>
                <w:sz w:val="20"/>
              </w:rPr>
              <w:t xml:space="preserve"> YILDIRIM (Darba ņēmēju grupa – FR)</w:t>
            </w:r>
          </w:p>
        </w:tc>
      </w:tr>
      <w:tr w:rsidRPr="00FA33C4" w:rsidR="008D44E2" w:rsidTr="0060010D" w14:paraId="25438929" w14:textId="77777777">
        <w:tc>
          <w:tcPr>
            <w:tcW w:w="1701" w:type="dxa"/>
          </w:tcPr>
          <w:p w:rsidRPr="00FA33C4" w:rsidR="008D44E2" w:rsidRDefault="008D44E2" w14:paraId="21B9C7A5" w14:textId="77777777">
            <w:pPr>
              <w:tabs>
                <w:tab w:val="center" w:pos="284"/>
              </w:tabs>
              <w:overflowPunct w:val="0"/>
              <w:autoSpaceDE w:val="0"/>
              <w:autoSpaceDN w:val="0"/>
              <w:adjustRightInd w:val="0"/>
              <w:ind w:left="567" w:hanging="567"/>
              <w:textAlignment w:val="baseline"/>
              <w:rPr>
                <w:b/>
                <w:sz w:val="20"/>
                <w:szCs w:val="20"/>
              </w:rPr>
            </w:pPr>
            <w:r>
              <w:rPr>
                <w:b/>
                <w:sz w:val="20"/>
              </w:rPr>
              <w:t>Līdzziņotājs</w:t>
            </w:r>
          </w:p>
        </w:tc>
        <w:tc>
          <w:tcPr>
            <w:tcW w:w="7479" w:type="dxa"/>
          </w:tcPr>
          <w:p w:rsidRPr="00FA33C4" w:rsidR="008D44E2" w:rsidRDefault="008D44E2" w14:paraId="6F2CD064" w14:textId="632788C2">
            <w:pPr>
              <w:overflowPunct w:val="0"/>
              <w:autoSpaceDE w:val="0"/>
              <w:autoSpaceDN w:val="0"/>
              <w:adjustRightInd w:val="0"/>
              <w:textAlignment w:val="baseline"/>
              <w:rPr>
                <w:sz w:val="20"/>
                <w:szCs w:val="20"/>
              </w:rPr>
            </w:pPr>
            <w:r>
              <w:rPr>
                <w:sz w:val="20"/>
              </w:rPr>
              <w:t>Christian MOOS (Pilsoniskās sabiedrības organizāciju grupa – DE)</w:t>
            </w:r>
          </w:p>
        </w:tc>
      </w:tr>
      <w:tr w:rsidRPr="00FA33C4" w:rsidR="007554BE" w:rsidTr="0060010D" w14:paraId="1AF3DB80" w14:textId="77777777">
        <w:tc>
          <w:tcPr>
            <w:tcW w:w="1701" w:type="dxa"/>
          </w:tcPr>
          <w:p w:rsidRPr="00FA33C4" w:rsidR="007554BE" w:rsidP="007554BE" w:rsidRDefault="007554BE" w14:paraId="73A58438" w14:textId="77777777">
            <w:pPr>
              <w:tabs>
                <w:tab w:val="center" w:pos="284"/>
              </w:tabs>
              <w:overflowPunct w:val="0"/>
              <w:autoSpaceDE w:val="0"/>
              <w:autoSpaceDN w:val="0"/>
              <w:adjustRightInd w:val="0"/>
              <w:ind w:left="567" w:hanging="567"/>
              <w:textAlignment w:val="baseline"/>
              <w:rPr>
                <w:b/>
                <w:sz w:val="20"/>
                <w:szCs w:val="20"/>
                <w:lang w:val="fr-FR"/>
              </w:rPr>
            </w:pPr>
          </w:p>
        </w:tc>
        <w:tc>
          <w:tcPr>
            <w:tcW w:w="7479" w:type="dxa"/>
          </w:tcPr>
          <w:p w:rsidRPr="00FA33C4" w:rsidR="007554BE" w:rsidP="007554BE" w:rsidRDefault="007554BE" w14:paraId="2FCE5DDE" w14:textId="77777777">
            <w:pPr>
              <w:overflowPunct w:val="0"/>
              <w:autoSpaceDE w:val="0"/>
              <w:autoSpaceDN w:val="0"/>
              <w:adjustRightInd w:val="0"/>
              <w:textAlignment w:val="baseline"/>
              <w:rPr>
                <w:sz w:val="20"/>
                <w:szCs w:val="20"/>
                <w:lang w:val="es-ES"/>
              </w:rPr>
            </w:pPr>
          </w:p>
        </w:tc>
      </w:tr>
      <w:tr w:rsidRPr="00FA33C4" w:rsidR="008D44E2" w:rsidTr="0060010D" w14:paraId="02690065" w14:textId="77777777">
        <w:tc>
          <w:tcPr>
            <w:tcW w:w="1701" w:type="dxa"/>
          </w:tcPr>
          <w:p w:rsidRPr="00FA33C4" w:rsidR="008D44E2" w:rsidRDefault="008D44E2" w14:paraId="2B578688" w14:textId="77777777">
            <w:pPr>
              <w:tabs>
                <w:tab w:val="center" w:pos="284"/>
              </w:tabs>
              <w:overflowPunct w:val="0"/>
              <w:autoSpaceDE w:val="0"/>
              <w:autoSpaceDN w:val="0"/>
              <w:adjustRightInd w:val="0"/>
              <w:ind w:left="567" w:hanging="567"/>
              <w:textAlignment w:val="baseline"/>
              <w:rPr>
                <w:b/>
                <w:sz w:val="20"/>
                <w:szCs w:val="20"/>
              </w:rPr>
            </w:pPr>
            <w:r>
              <w:rPr>
                <w:b/>
                <w:sz w:val="20"/>
              </w:rPr>
              <w:t>Atsauces</w:t>
            </w:r>
          </w:p>
        </w:tc>
        <w:tc>
          <w:tcPr>
            <w:tcW w:w="7479" w:type="dxa"/>
          </w:tcPr>
          <w:p w:rsidRPr="0060010D" w:rsidR="00EF40DB" w:rsidRDefault="00EF40DB" w14:paraId="37A59977" w14:textId="60E9D28B">
            <w:pPr>
              <w:tabs>
                <w:tab w:val="center" w:pos="284"/>
              </w:tabs>
              <w:overflowPunct w:val="0"/>
              <w:autoSpaceDE w:val="0"/>
              <w:autoSpaceDN w:val="0"/>
              <w:adjustRightInd w:val="0"/>
              <w:ind w:left="567" w:hanging="567"/>
              <w:textAlignment w:val="baseline"/>
              <w:rPr>
                <w:sz w:val="20"/>
                <w:szCs w:val="20"/>
              </w:rPr>
            </w:pPr>
            <w:r>
              <w:rPr>
                <w:sz w:val="20"/>
              </w:rPr>
              <w:t>Pašiniciatīvas atzinums</w:t>
            </w:r>
          </w:p>
          <w:p w:rsidRPr="0060010D" w:rsidR="008D44E2" w:rsidRDefault="008D44E2" w14:paraId="57D0DADC" w14:textId="763DB069">
            <w:pPr>
              <w:tabs>
                <w:tab w:val="center" w:pos="284"/>
              </w:tabs>
              <w:overflowPunct w:val="0"/>
              <w:autoSpaceDE w:val="0"/>
              <w:autoSpaceDN w:val="0"/>
              <w:adjustRightInd w:val="0"/>
              <w:ind w:left="567" w:hanging="567"/>
              <w:textAlignment w:val="baseline"/>
              <w:rPr>
                <w:sz w:val="20"/>
                <w:szCs w:val="20"/>
              </w:rPr>
            </w:pPr>
            <w:r>
              <w:rPr>
                <w:sz w:val="20"/>
              </w:rPr>
              <w:t>EESC-2024-01961-00-00-AC</w:t>
            </w:r>
          </w:p>
        </w:tc>
      </w:tr>
    </w:tbl>
    <w:p w:rsidRPr="008D44E2" w:rsidR="008D44E2" w:rsidRDefault="008D44E2" w14:paraId="1140C756" w14:textId="77777777">
      <w:pPr>
        <w:keepNext/>
        <w:keepLines/>
        <w:tabs>
          <w:tab w:val="center" w:pos="284"/>
        </w:tabs>
        <w:overflowPunct w:val="0"/>
        <w:autoSpaceDE w:val="0"/>
        <w:autoSpaceDN w:val="0"/>
        <w:adjustRightInd w:val="0"/>
        <w:ind w:left="266" w:hanging="266"/>
        <w:textAlignment w:val="baseline"/>
        <w:rPr>
          <w:b/>
          <w:lang w:val="en-GB"/>
        </w:rPr>
      </w:pPr>
    </w:p>
    <w:p w:rsidRPr="008D44E2" w:rsidR="008D44E2" w:rsidRDefault="008D44E2" w14:paraId="7D2BDAE6"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8D44E2" w:rsidR="008D44E2" w:rsidRDefault="008D44E2" w14:paraId="1679A44A" w14:textId="77777777">
      <w:pPr>
        <w:overflowPunct w:val="0"/>
        <w:autoSpaceDE w:val="0"/>
        <w:autoSpaceDN w:val="0"/>
        <w:adjustRightInd w:val="0"/>
        <w:textAlignment w:val="baseline"/>
        <w:rPr>
          <w:szCs w:val="20"/>
          <w:lang w:val="en-GB"/>
        </w:rPr>
      </w:pPr>
    </w:p>
    <w:p w:rsidR="008D44E2" w:rsidP="0027707F" w:rsidRDefault="008D44E2" w14:paraId="53A072BD" w14:textId="77777777">
      <w:r>
        <w:t>EESK:</w:t>
      </w:r>
    </w:p>
    <w:p w:rsidR="00EE160A" w:rsidP="00EE160A" w:rsidRDefault="00EE160A" w14:paraId="2D981745" w14:textId="5A481290">
      <w:pPr>
        <w:pStyle w:val="ListParagraph"/>
        <w:numPr>
          <w:ilvl w:val="0"/>
          <w:numId w:val="57"/>
        </w:numPr>
        <w:ind w:left="567" w:hanging="567"/>
      </w:pPr>
      <w:r>
        <w:t>nosoda cilvēktiesību, tiesiskuma un demokrātijas pasliktināšanos. Tā uzteic Eiropas Komisiju par tās izstrādāto tiesiskuma instrumentu kopumu. Gada ziņojumi par tiesiskumu liecina par progresu, taču EESK norāda uz dažiem pastāvīgiem trūkumiem un aicina veikt turpmākus uzlabojumus;</w:t>
      </w:r>
    </w:p>
    <w:p w:rsidRPr="00EE160A" w:rsidR="008D44E2" w:rsidP="0060010D" w:rsidRDefault="008D44E2" w14:paraId="41DD115E" w14:textId="3CF567B3">
      <w:pPr>
        <w:pStyle w:val="ListParagraph"/>
        <w:numPr>
          <w:ilvl w:val="0"/>
          <w:numId w:val="57"/>
        </w:numPr>
        <w:ind w:left="567" w:hanging="567"/>
      </w:pPr>
      <w:r>
        <w:t>ieteic Komisijai, arī ar EESK atbalstu, nodrošināt jēgpilnu pilsoniskās sabiedrības iesaistīšanu gan ziņojuma sagatavošanā, gan turpmākajos posmos nacionālajā līmenī, lai garantētu ieinteresēto personu aktīvu līdzdalību un ieinteresētību;</w:t>
      </w:r>
    </w:p>
    <w:p w:rsidRPr="00EE160A" w:rsidR="008D44E2" w:rsidP="0060010D" w:rsidRDefault="008D44E2" w14:paraId="58F02A8C" w14:textId="77777777">
      <w:pPr>
        <w:pStyle w:val="ListParagraph"/>
        <w:numPr>
          <w:ilvl w:val="0"/>
          <w:numId w:val="57"/>
        </w:numPr>
        <w:ind w:left="567" w:hanging="567"/>
      </w:pPr>
      <w:r>
        <w:t>iesaka Komisijai izmantot niansētāku analītisko pieeju, un šajā nolūkā iesaistīt neatkarīgus ekspertus, veikt apmeklējumus uz vietas un novērtējumā izmantot tiešāku valodu;</w:t>
      </w:r>
    </w:p>
    <w:p w:rsidRPr="00EE160A" w:rsidR="008D44E2" w:rsidP="0060010D" w:rsidRDefault="008D44E2" w14:paraId="109D302D" w14:textId="77777777">
      <w:pPr>
        <w:pStyle w:val="ListParagraph"/>
        <w:numPr>
          <w:ilvl w:val="0"/>
          <w:numId w:val="57"/>
        </w:numPr>
        <w:ind w:left="567" w:hanging="567"/>
      </w:pPr>
      <w:r>
        <w:t>iesaka ikgadējā ziņojumā par tiesiskumu paplašināt sadaļu par pilsoniskās sabiedrības organizācijām, lai sniegtu novērtējumu, kas balstīts uz objektīviem kritērijiem un pārredzamu dialogu ar pilsoniskās sabiedrības dalībniekiem;</w:t>
      </w:r>
    </w:p>
    <w:p w:rsidRPr="00EE160A" w:rsidR="008D44E2" w:rsidP="0060010D" w:rsidRDefault="008D44E2" w14:paraId="794DF6BA" w14:textId="77777777">
      <w:pPr>
        <w:pStyle w:val="ListParagraph"/>
        <w:numPr>
          <w:ilvl w:val="0"/>
          <w:numId w:val="57"/>
        </w:numPr>
        <w:ind w:left="567" w:hanging="567"/>
      </w:pPr>
      <w:r>
        <w:t>iesaka Komisijai izstrādāt precīzākus un izmērāmus konkrētām valstīm adresētus ieteikumus ar skaidriem kritērijiem, rādītājiem un termiņiem. Tā aicina veikt rūpīgāku turpmāku novērtējumu par šo ieteikumu īstenošanu, sniedzot pārredzamu izklāstu, tostarp par to, kuras dalībvalstis nav ievērojušas kritērijus un termiņus, un mudina Komisiju piešķirt ziņojumam lielāku lomu citu tiesiskuma mehānismu iedarbināšanā gadījumos, ja konkrētām valstīm adresētie ieteikumi netiek īstenoti;</w:t>
      </w:r>
    </w:p>
    <w:p w:rsidRPr="00EE160A" w:rsidR="008D44E2" w:rsidP="0060010D" w:rsidRDefault="008D44E2" w14:paraId="3EFF293E" w14:textId="77777777">
      <w:pPr>
        <w:pStyle w:val="ListParagraph"/>
        <w:numPr>
          <w:ilvl w:val="0"/>
          <w:numId w:val="57"/>
        </w:numPr>
        <w:ind w:left="567" w:hanging="567"/>
      </w:pPr>
      <w:r>
        <w:t>iesaka Komisijai vienkāršot ziņojumu valodu, lai padarītu tos pieejamākus plašai sabiedrībai un žurnālistiem, un ierosināt visaptverošu komunikācijas stratēģiju, lai palielinātu informētību par pamattiesībām un tiesiskumu;</w:t>
      </w:r>
    </w:p>
    <w:p w:rsidRPr="00EE160A" w:rsidR="008D44E2" w:rsidP="0060010D" w:rsidRDefault="008D44E2" w14:paraId="5DDE0A1C" w14:textId="77777777">
      <w:pPr>
        <w:pStyle w:val="ListParagraph"/>
        <w:numPr>
          <w:ilvl w:val="0"/>
          <w:numId w:val="57"/>
        </w:numPr>
        <w:ind w:left="567" w:hanging="567"/>
      </w:pPr>
      <w:r>
        <w:t xml:space="preserve">ar interesi ņemt vērā Komisijas priekšsēdētājas nodomu izveidot pilsoniskās sabiedrības platformu un atkārtoti uzsver, ka kvalitatīvs dialogs neaprobežojas tikai ar apspriešanos. EESK ir jāpiedalās pārvaldībā un jābūt svarīgam dalībniekam ikvienā šādā platformā, jo Komiteja ir uz Līgumu balstīta struktūra, kuras uzdevums ir apspriesties ar uzņēmumu apvienībām, arodbiedrībām un organizētu pilsonisko sabiedrību. </w:t>
      </w:r>
    </w:p>
    <w:p w:rsidRPr="008D44E2" w:rsidR="008D44E2" w:rsidP="0027707F" w:rsidRDefault="008D44E2" w14:paraId="2A36C52A" w14:textId="77777777">
      <w:pPr>
        <w:rPr>
          <w:lang w:val="en-GB"/>
        </w:rPr>
      </w:pPr>
    </w:p>
    <w:tbl>
      <w:tblPr>
        <w:tblW w:w="4941" w:type="pct"/>
        <w:tblLook w:val="04A0" w:firstRow="1" w:lastRow="0" w:firstColumn="1" w:lastColumn="0" w:noHBand="0" w:noVBand="1"/>
      </w:tblPr>
      <w:tblGrid>
        <w:gridCol w:w="2032"/>
        <w:gridCol w:w="7147"/>
      </w:tblGrid>
      <w:tr w:rsidRPr="00FA33C4" w:rsidR="008D44E2" w:rsidTr="0060010D" w14:paraId="6CC6C850" w14:textId="77777777">
        <w:trPr>
          <w:trHeight w:val="60"/>
        </w:trPr>
        <w:tc>
          <w:tcPr>
            <w:tcW w:w="1107" w:type="pct"/>
            <w:hideMark/>
          </w:tcPr>
          <w:p w:rsidRPr="00FA33C4" w:rsidR="008D44E2" w:rsidRDefault="008D44E2" w14:paraId="1236B2CE" w14:textId="77777777">
            <w:pPr>
              <w:overflowPunct w:val="0"/>
              <w:autoSpaceDE w:val="0"/>
              <w:autoSpaceDN w:val="0"/>
              <w:adjustRightInd w:val="0"/>
              <w:textAlignment w:val="baseline"/>
              <w:rPr>
                <w:i/>
                <w:sz w:val="20"/>
                <w:szCs w:val="20"/>
              </w:rPr>
            </w:pPr>
            <w:r>
              <w:rPr>
                <w:b/>
                <w:i/>
                <w:sz w:val="20"/>
              </w:rPr>
              <w:t>Kontaktpersona:</w:t>
            </w:r>
          </w:p>
        </w:tc>
        <w:tc>
          <w:tcPr>
            <w:tcW w:w="3893" w:type="pct"/>
            <w:hideMark/>
          </w:tcPr>
          <w:p w:rsidRPr="00FA33C4" w:rsidR="008D44E2" w:rsidRDefault="008D44E2" w14:paraId="57763471" w14:textId="77777777">
            <w:pPr>
              <w:overflowPunct w:val="0"/>
              <w:autoSpaceDE w:val="0"/>
              <w:autoSpaceDN w:val="0"/>
              <w:adjustRightInd w:val="0"/>
              <w:textAlignment w:val="baseline"/>
              <w:rPr>
                <w:i/>
                <w:sz w:val="20"/>
                <w:szCs w:val="20"/>
              </w:rPr>
            </w:pPr>
            <w:proofErr w:type="spellStart"/>
            <w:r>
              <w:rPr>
                <w:i/>
                <w:sz w:val="20"/>
              </w:rPr>
              <w:t>June</w:t>
            </w:r>
            <w:proofErr w:type="spellEnd"/>
            <w:r>
              <w:rPr>
                <w:i/>
                <w:sz w:val="20"/>
              </w:rPr>
              <w:t xml:space="preserve"> </w:t>
            </w:r>
            <w:proofErr w:type="spellStart"/>
            <w:r>
              <w:rPr>
                <w:i/>
                <w:sz w:val="20"/>
              </w:rPr>
              <w:t>Bedaton</w:t>
            </w:r>
            <w:proofErr w:type="spellEnd"/>
          </w:p>
        </w:tc>
      </w:tr>
      <w:tr w:rsidRPr="00FA33C4" w:rsidR="008D44E2" w:rsidTr="0060010D" w14:paraId="14276645" w14:textId="77777777">
        <w:tc>
          <w:tcPr>
            <w:tcW w:w="1107" w:type="pct"/>
            <w:hideMark/>
          </w:tcPr>
          <w:p w:rsidRPr="00FA33C4" w:rsidR="008D44E2" w:rsidRDefault="008D44E2" w14:paraId="20FF892B" w14:textId="77777777">
            <w:pPr>
              <w:overflowPunct w:val="0"/>
              <w:autoSpaceDE w:val="0"/>
              <w:autoSpaceDN w:val="0"/>
              <w:adjustRightInd w:val="0"/>
              <w:textAlignment w:val="baseline"/>
              <w:rPr>
                <w:i/>
                <w:sz w:val="20"/>
                <w:szCs w:val="20"/>
              </w:rPr>
            </w:pPr>
            <w:r>
              <w:rPr>
                <w:i/>
                <w:sz w:val="20"/>
              </w:rPr>
              <w:t>Tālr.:</w:t>
            </w:r>
          </w:p>
        </w:tc>
        <w:tc>
          <w:tcPr>
            <w:tcW w:w="3893" w:type="pct"/>
            <w:hideMark/>
          </w:tcPr>
          <w:p w:rsidRPr="00FA33C4" w:rsidR="008D44E2" w:rsidRDefault="008D44E2" w14:paraId="063E03E0" w14:textId="77777777">
            <w:pPr>
              <w:overflowPunct w:val="0"/>
              <w:autoSpaceDE w:val="0"/>
              <w:autoSpaceDN w:val="0"/>
              <w:adjustRightInd w:val="0"/>
              <w:textAlignment w:val="baseline"/>
              <w:rPr>
                <w:i/>
                <w:sz w:val="20"/>
                <w:szCs w:val="20"/>
              </w:rPr>
            </w:pPr>
            <w:r>
              <w:rPr>
                <w:i/>
                <w:sz w:val="20"/>
              </w:rPr>
              <w:t>+32 25468134</w:t>
            </w:r>
          </w:p>
        </w:tc>
      </w:tr>
      <w:tr w:rsidRPr="00FA33C4" w:rsidR="008D44E2" w:rsidTr="0060010D" w14:paraId="31D1E30B" w14:textId="77777777">
        <w:tc>
          <w:tcPr>
            <w:tcW w:w="1107" w:type="pct"/>
            <w:hideMark/>
          </w:tcPr>
          <w:p w:rsidRPr="00FA33C4" w:rsidR="008D44E2" w:rsidRDefault="000A6A5A" w14:paraId="468B19E4" w14:textId="7EB66E16">
            <w:pPr>
              <w:overflowPunct w:val="0"/>
              <w:autoSpaceDE w:val="0"/>
              <w:autoSpaceDN w:val="0"/>
              <w:adjustRightInd w:val="0"/>
              <w:textAlignment w:val="baseline"/>
              <w:rPr>
                <w:i/>
                <w:sz w:val="20"/>
                <w:szCs w:val="20"/>
              </w:rPr>
            </w:pPr>
            <w:r>
              <w:rPr>
                <w:i/>
                <w:sz w:val="20"/>
              </w:rPr>
              <w:t>E-pasts:</w:t>
            </w:r>
          </w:p>
        </w:tc>
        <w:tc>
          <w:tcPr>
            <w:tcW w:w="3893" w:type="pct"/>
            <w:hideMark/>
          </w:tcPr>
          <w:p w:rsidRPr="00FA33C4" w:rsidR="008D44E2" w:rsidRDefault="008D44E2" w14:paraId="616D1BD7" w14:textId="77777777">
            <w:pPr>
              <w:overflowPunct w:val="0"/>
              <w:autoSpaceDE w:val="0"/>
              <w:autoSpaceDN w:val="0"/>
              <w:adjustRightInd w:val="0"/>
              <w:textAlignment w:val="baseline"/>
              <w:rPr>
                <w:i/>
                <w:sz w:val="20"/>
                <w:szCs w:val="20"/>
              </w:rPr>
            </w:pPr>
            <w:r>
              <w:rPr>
                <w:i/>
                <w:sz w:val="20"/>
              </w:rPr>
              <w:t>June.Bedaton@eesc.europa.eu</w:t>
            </w:r>
          </w:p>
        </w:tc>
      </w:tr>
    </w:tbl>
    <w:p w:rsidRPr="00EE160A" w:rsidR="00726351" w:rsidRDefault="00726351" w14:paraId="483DFF7E" w14:textId="77777777">
      <w:pPr>
        <w:jc w:val="left"/>
      </w:pPr>
    </w:p>
    <w:p w:rsidRPr="00EE160A" w:rsidR="000B40B4" w:rsidP="0060010D" w:rsidRDefault="000B40B4" w14:paraId="1B3AE897" w14:textId="4C7BE647">
      <w:pPr>
        <w:jc w:val="left"/>
      </w:pPr>
      <w:r>
        <w:br w:type="page"/>
      </w:r>
    </w:p>
    <w:p w:rsidRPr="0060010D" w:rsidR="00892F37" w:rsidRDefault="00E61064" w14:paraId="01CD4F6D" w14:textId="37AA4C9C">
      <w:pPr>
        <w:keepNext/>
        <w:keepLines/>
        <w:widowControl w:val="0"/>
        <w:numPr>
          <w:ilvl w:val="0"/>
          <w:numId w:val="6"/>
        </w:numPr>
        <w:overflowPunct w:val="0"/>
        <w:autoSpaceDE w:val="0"/>
        <w:autoSpaceDN w:val="0"/>
        <w:adjustRightInd w:val="0"/>
        <w:ind w:left="567" w:hanging="567"/>
        <w:textAlignment w:val="baseline"/>
        <w:rPr>
          <w:b/>
        </w:rPr>
      </w:pPr>
      <w:hyperlink w:history="1" r:id="rId23">
        <w:r w:rsidR="002E6E14">
          <w:rPr>
            <w:b/>
            <w:i/>
            <w:color w:val="0000FF"/>
            <w:sz w:val="28"/>
            <w:u w:val="single"/>
          </w:rPr>
          <w:t>Darba ņēmējiem labvēlīgs mākslīgais intelekts: sviras MI potenciāla izmantošanai un risku mazināšanai saistībā ar nodarbinātības un darba tirgus politiku</w:t>
        </w:r>
      </w:hyperlink>
    </w:p>
    <w:p w:rsidRPr="0060010D" w:rsidR="00726351" w:rsidP="0060010D" w:rsidRDefault="00726351" w14:paraId="4672B116" w14:textId="77777777">
      <w:pPr>
        <w:keepNext/>
        <w:keepLines/>
        <w:widowControl w:val="0"/>
        <w:overflowPunct w:val="0"/>
        <w:autoSpaceDE w:val="0"/>
        <w:autoSpaceDN w:val="0"/>
        <w:adjustRightInd w:val="0"/>
        <w:ind w:left="567"/>
        <w:textAlignment w:val="baseline"/>
        <w:rPr>
          <w:b/>
          <w:lang w:val="en-GB"/>
        </w:rPr>
      </w:pPr>
    </w:p>
    <w:tbl>
      <w:tblPr>
        <w:tblW w:w="0" w:type="auto"/>
        <w:tblInd w:w="108" w:type="dxa"/>
        <w:tblLook w:val="04A0" w:firstRow="1" w:lastRow="0" w:firstColumn="1" w:lastColumn="0" w:noHBand="0" w:noVBand="1"/>
      </w:tblPr>
      <w:tblGrid>
        <w:gridCol w:w="1548"/>
        <w:gridCol w:w="7633"/>
      </w:tblGrid>
      <w:tr w:rsidRPr="00FA33C4" w:rsidR="00892F37" w:rsidTr="00C716D8" w14:paraId="5E6AB028" w14:textId="77777777">
        <w:tc>
          <w:tcPr>
            <w:tcW w:w="1593" w:type="dxa"/>
          </w:tcPr>
          <w:p w:rsidRPr="00FA33C4" w:rsidR="00892F37" w:rsidRDefault="00892F37" w14:paraId="3204FBC0" w14:textId="77777777">
            <w:pPr>
              <w:tabs>
                <w:tab w:val="center" w:pos="284"/>
              </w:tabs>
              <w:overflowPunct w:val="0"/>
              <w:autoSpaceDE w:val="0"/>
              <w:autoSpaceDN w:val="0"/>
              <w:adjustRightInd w:val="0"/>
              <w:ind w:left="-109"/>
              <w:textAlignment w:val="baseline"/>
              <w:rPr>
                <w:b/>
                <w:sz w:val="20"/>
                <w:szCs w:val="20"/>
              </w:rPr>
            </w:pPr>
            <w:r>
              <w:rPr>
                <w:b/>
                <w:sz w:val="20"/>
              </w:rPr>
              <w:t>Ziņotāja</w:t>
            </w:r>
          </w:p>
        </w:tc>
        <w:tc>
          <w:tcPr>
            <w:tcW w:w="8046" w:type="dxa"/>
          </w:tcPr>
          <w:p w:rsidRPr="00FA33C4" w:rsidR="001900C9" w:rsidRDefault="00892F37" w14:paraId="043ACA2C" w14:textId="1B49D803">
            <w:pPr>
              <w:overflowPunct w:val="0"/>
              <w:autoSpaceDE w:val="0"/>
              <w:autoSpaceDN w:val="0"/>
              <w:adjustRightInd w:val="0"/>
              <w:textAlignment w:val="baseline"/>
              <w:rPr>
                <w:sz w:val="20"/>
                <w:szCs w:val="20"/>
              </w:rPr>
            </w:pPr>
            <w:r>
              <w:rPr>
                <w:sz w:val="20"/>
              </w:rPr>
              <w:t>Franca SALIS-MADINIER (Darba ņēmēju grupa – FR)</w:t>
            </w:r>
          </w:p>
        </w:tc>
      </w:tr>
      <w:tr w:rsidRPr="00FA33C4" w:rsidR="007554BE" w:rsidTr="00C716D8" w14:paraId="073D521C" w14:textId="77777777">
        <w:tc>
          <w:tcPr>
            <w:tcW w:w="1593" w:type="dxa"/>
          </w:tcPr>
          <w:p w:rsidRPr="00FA33C4" w:rsidR="007554BE" w:rsidP="007554BE" w:rsidRDefault="007554BE" w14:paraId="5CB8AF2B" w14:textId="77777777">
            <w:pPr>
              <w:tabs>
                <w:tab w:val="center" w:pos="284"/>
              </w:tabs>
              <w:overflowPunct w:val="0"/>
              <w:autoSpaceDE w:val="0"/>
              <w:autoSpaceDN w:val="0"/>
              <w:adjustRightInd w:val="0"/>
              <w:ind w:left="-109"/>
              <w:textAlignment w:val="baseline"/>
              <w:rPr>
                <w:b/>
                <w:sz w:val="20"/>
                <w:szCs w:val="20"/>
              </w:rPr>
            </w:pPr>
          </w:p>
        </w:tc>
        <w:tc>
          <w:tcPr>
            <w:tcW w:w="8046" w:type="dxa"/>
          </w:tcPr>
          <w:p w:rsidRPr="00FA33C4" w:rsidR="007554BE" w:rsidP="007554BE" w:rsidRDefault="007554BE" w14:paraId="3424EA4D" w14:textId="77777777">
            <w:pPr>
              <w:overflowPunct w:val="0"/>
              <w:autoSpaceDE w:val="0"/>
              <w:autoSpaceDN w:val="0"/>
              <w:adjustRightInd w:val="0"/>
              <w:textAlignment w:val="baseline"/>
              <w:rPr>
                <w:sz w:val="20"/>
                <w:szCs w:val="20"/>
              </w:rPr>
            </w:pPr>
          </w:p>
        </w:tc>
      </w:tr>
      <w:tr w:rsidRPr="00FA33C4" w:rsidR="00892F37" w:rsidTr="00C716D8" w14:paraId="7CC41633" w14:textId="77777777">
        <w:tc>
          <w:tcPr>
            <w:tcW w:w="1593" w:type="dxa"/>
          </w:tcPr>
          <w:p w:rsidRPr="00FA33C4" w:rsidR="00892F37" w:rsidRDefault="00892F37" w14:paraId="3DF4D4E2" w14:textId="77777777">
            <w:pPr>
              <w:tabs>
                <w:tab w:val="center" w:pos="284"/>
              </w:tabs>
              <w:overflowPunct w:val="0"/>
              <w:autoSpaceDE w:val="0"/>
              <w:autoSpaceDN w:val="0"/>
              <w:adjustRightInd w:val="0"/>
              <w:ind w:left="-109"/>
              <w:textAlignment w:val="baseline"/>
              <w:rPr>
                <w:b/>
                <w:sz w:val="20"/>
                <w:szCs w:val="20"/>
              </w:rPr>
            </w:pPr>
            <w:r>
              <w:rPr>
                <w:b/>
                <w:sz w:val="20"/>
              </w:rPr>
              <w:t>Atsauces</w:t>
            </w:r>
          </w:p>
        </w:tc>
        <w:tc>
          <w:tcPr>
            <w:tcW w:w="8046" w:type="dxa"/>
          </w:tcPr>
          <w:p w:rsidRPr="0060010D" w:rsidR="001900C9" w:rsidRDefault="001900C9" w14:paraId="55BA3B3E" w14:textId="03F243FE">
            <w:pPr>
              <w:tabs>
                <w:tab w:val="center" w:pos="284"/>
              </w:tabs>
              <w:overflowPunct w:val="0"/>
              <w:autoSpaceDE w:val="0"/>
              <w:autoSpaceDN w:val="0"/>
              <w:adjustRightInd w:val="0"/>
              <w:textAlignment w:val="baseline"/>
              <w:rPr>
                <w:sz w:val="20"/>
                <w:szCs w:val="20"/>
              </w:rPr>
            </w:pPr>
            <w:r>
              <w:rPr>
                <w:sz w:val="20"/>
              </w:rPr>
              <w:t>Pašiniciatīvas atzinums</w:t>
            </w:r>
          </w:p>
          <w:p w:rsidRPr="0060010D" w:rsidR="00892F37" w:rsidRDefault="00892F37" w14:paraId="7497C095" w14:textId="32327B8A">
            <w:pPr>
              <w:tabs>
                <w:tab w:val="center" w:pos="284"/>
              </w:tabs>
              <w:overflowPunct w:val="0"/>
              <w:autoSpaceDE w:val="0"/>
              <w:autoSpaceDN w:val="0"/>
              <w:adjustRightInd w:val="0"/>
              <w:textAlignment w:val="baseline"/>
              <w:rPr>
                <w:sz w:val="20"/>
                <w:szCs w:val="20"/>
              </w:rPr>
            </w:pPr>
            <w:r>
              <w:rPr>
                <w:sz w:val="20"/>
              </w:rPr>
              <w:t>EESC-2024-01024-00-00-AC-TRA</w:t>
            </w:r>
          </w:p>
        </w:tc>
      </w:tr>
    </w:tbl>
    <w:p w:rsidRPr="00892F37" w:rsidR="00892F37" w:rsidRDefault="00892F37" w14:paraId="0994AF52" w14:textId="77777777">
      <w:pPr>
        <w:keepNext/>
        <w:keepLines/>
        <w:tabs>
          <w:tab w:val="center" w:pos="0"/>
        </w:tabs>
        <w:overflowPunct w:val="0"/>
        <w:autoSpaceDE w:val="0"/>
        <w:autoSpaceDN w:val="0"/>
        <w:adjustRightInd w:val="0"/>
        <w:textAlignment w:val="baseline"/>
        <w:rPr>
          <w:b/>
          <w:lang w:val="en-GB"/>
        </w:rPr>
      </w:pPr>
    </w:p>
    <w:p w:rsidRPr="00892F37" w:rsidR="00892F37" w:rsidRDefault="00892F37" w14:paraId="28169BF5" w14:textId="77777777">
      <w:pPr>
        <w:keepNext/>
        <w:keepLines/>
        <w:tabs>
          <w:tab w:val="center" w:pos="0"/>
        </w:tabs>
        <w:overflowPunct w:val="0"/>
        <w:autoSpaceDE w:val="0"/>
        <w:autoSpaceDN w:val="0"/>
        <w:adjustRightInd w:val="0"/>
        <w:textAlignment w:val="baseline"/>
        <w:rPr>
          <w:b/>
        </w:rPr>
      </w:pPr>
      <w:r>
        <w:rPr>
          <w:b/>
        </w:rPr>
        <w:t>Galvenās nostādnes</w:t>
      </w:r>
    </w:p>
    <w:p w:rsidRPr="00892F37" w:rsidR="00892F37" w:rsidRDefault="00892F37" w14:paraId="0669BE34" w14:textId="77777777">
      <w:pPr>
        <w:overflowPunct w:val="0"/>
        <w:autoSpaceDE w:val="0"/>
        <w:autoSpaceDN w:val="0"/>
        <w:adjustRightInd w:val="0"/>
        <w:textAlignment w:val="baseline"/>
        <w:rPr>
          <w:szCs w:val="20"/>
          <w:lang w:val="en-GB"/>
        </w:rPr>
      </w:pPr>
    </w:p>
    <w:p w:rsidR="00892F37" w:rsidP="0060010D" w:rsidRDefault="00892F37" w14:paraId="21B28D36" w14:textId="77777777">
      <w:pPr>
        <w:overflowPunct w:val="0"/>
        <w:autoSpaceDE w:val="0"/>
        <w:autoSpaceDN w:val="0"/>
        <w:adjustRightInd w:val="0"/>
        <w:textAlignment w:val="baseline"/>
        <w:rPr>
          <w:szCs w:val="20"/>
        </w:rPr>
      </w:pPr>
      <w:r>
        <w:t>EESK:</w:t>
      </w:r>
    </w:p>
    <w:p w:rsidRPr="00892F37" w:rsidR="00892F37" w:rsidP="0060010D" w:rsidRDefault="00892F37" w14:paraId="59E00C8F" w14:textId="77777777">
      <w:pPr>
        <w:pStyle w:val="ListParagraph"/>
        <w:numPr>
          <w:ilvl w:val="1"/>
          <w:numId w:val="47"/>
        </w:numPr>
        <w:ind w:left="567" w:hanging="567"/>
      </w:pPr>
      <w:r>
        <w:t>uzskata, ka sociālajam dialogam un darba ņēmēju iesaistei ir izšķiroši nozīmīga loma darba ņēmēju pamattiesību saglabāšanā un “uzticama” MI popularizēšanā darba pasaulē. Viena no MI sistēmu risku un kaitīgās ietekmes mazināšanas svirām ir darba ņēmēju un viņu pārstāvju ciešāka iesaiste;</w:t>
      </w:r>
    </w:p>
    <w:p w:rsidRPr="00EE160A" w:rsidR="00892F37" w:rsidP="0060010D" w:rsidRDefault="00892F37" w14:paraId="034EAFC8" w14:textId="77777777">
      <w:pPr>
        <w:pStyle w:val="ListParagraph"/>
        <w:numPr>
          <w:ilvl w:val="0"/>
          <w:numId w:val="47"/>
        </w:numPr>
        <w:ind w:left="567" w:hanging="567"/>
        <w:rPr>
          <w:szCs w:val="20"/>
        </w:rPr>
      </w:pPr>
      <w:r>
        <w:t>uzstāj, ka ar leģislatīvām vai citām iniciatīvām, ar kurām tiek pielāgoti pašreizējie tiesību akti, būtu jānovērš nepilnības darba ņēmēju tiesību aizsardzībā darbavietā un jānodrošina, ka visā cilvēka un mašīnas mijiedarbībā kontroli saglabā cilvēks;</w:t>
      </w:r>
    </w:p>
    <w:p w:rsidRPr="00EE160A" w:rsidR="00892F37" w:rsidP="0060010D" w:rsidRDefault="00892F37" w14:paraId="7CBA395C" w14:textId="77777777">
      <w:pPr>
        <w:pStyle w:val="ListParagraph"/>
        <w:numPr>
          <w:ilvl w:val="0"/>
          <w:numId w:val="47"/>
        </w:numPr>
        <w:ind w:left="567" w:hanging="567"/>
        <w:rPr>
          <w:szCs w:val="20"/>
        </w:rPr>
      </w:pPr>
      <w:r>
        <w:t>uzskata, ka ES pašreizējās tiesību normas, kas attiecas uz MI izmantošanu darbavietā, būtu jāpapildina ar skaidriem norādījumiem;</w:t>
      </w:r>
    </w:p>
    <w:p w:rsidRPr="00EE160A" w:rsidR="00892F37" w:rsidP="0060010D" w:rsidRDefault="00892F37" w14:paraId="0F3776FD" w14:textId="77777777">
      <w:pPr>
        <w:pStyle w:val="ListParagraph"/>
        <w:numPr>
          <w:ilvl w:val="0"/>
          <w:numId w:val="47"/>
        </w:numPr>
        <w:ind w:left="567" w:hanging="567"/>
        <w:rPr>
          <w:szCs w:val="20"/>
        </w:rPr>
      </w:pPr>
      <w:r>
        <w:t>atbalsta MI akta 4. panta ātru īstenošanu, lai darbiniekiem nodrošinātu iespējas pārvaldīt MI rīkus;</w:t>
      </w:r>
    </w:p>
    <w:p w:rsidRPr="00EE160A" w:rsidR="00892F37" w:rsidP="0060010D" w:rsidRDefault="00892F37" w14:paraId="5DDC75FD" w14:textId="77777777">
      <w:pPr>
        <w:pStyle w:val="ListParagraph"/>
        <w:numPr>
          <w:ilvl w:val="0"/>
          <w:numId w:val="47"/>
        </w:numPr>
        <w:ind w:left="567" w:hanging="567"/>
        <w:rPr>
          <w:szCs w:val="20"/>
        </w:rPr>
      </w:pPr>
      <w:r>
        <w:t>uzskata, ka publiskajām iestādēm ir jāīsteno gan darba ņēmējiem, gan iedzīvotājiem kā tādiem paredzētas prasmju pilnveides iniciatīvas, lai nodrošinātu, ka mākslīgā intelekta sistēmas uzlabo cilvēku sniegumu, nevis viņus aizstāj;</w:t>
      </w:r>
    </w:p>
    <w:p w:rsidRPr="00EE160A" w:rsidR="00892F37" w:rsidP="0060010D" w:rsidRDefault="00892F37" w14:paraId="6DA75FF2" w14:textId="77777777">
      <w:pPr>
        <w:pStyle w:val="ListParagraph"/>
        <w:numPr>
          <w:ilvl w:val="0"/>
          <w:numId w:val="47"/>
        </w:numPr>
        <w:ind w:left="567" w:hanging="567"/>
        <w:rPr>
          <w:szCs w:val="20"/>
        </w:rPr>
      </w:pPr>
      <w:r>
        <w:t xml:space="preserve">stingri aicina īstenot pastiprinātu sociālo dialogu par MI sistēmu ieviešanu, pamatojoties uz </w:t>
      </w:r>
      <w:proofErr w:type="spellStart"/>
      <w:r>
        <w:rPr>
          <w:i/>
          <w:iCs/>
        </w:rPr>
        <w:t>ad</w:t>
      </w:r>
      <w:proofErr w:type="spellEnd"/>
      <w:r>
        <w:rPr>
          <w:i/>
          <w:iCs/>
        </w:rPr>
        <w:t xml:space="preserve"> </w:t>
      </w:r>
      <w:proofErr w:type="spellStart"/>
      <w:r>
        <w:rPr>
          <w:i/>
          <w:iCs/>
        </w:rPr>
        <w:t>hoc</w:t>
      </w:r>
      <w:proofErr w:type="spellEnd"/>
      <w:r>
        <w:t xml:space="preserve"> ES juridisku instrumentu, kurā būtu ietverti noteikumi, ar kuriem efektīvāk sasniegt šādus mērķus:</w:t>
      </w:r>
    </w:p>
    <w:p w:rsidRPr="00EE160A" w:rsidR="00892F37" w:rsidP="0060010D" w:rsidRDefault="00892F37" w14:paraId="4918BC7A" w14:textId="2DD0356B">
      <w:pPr>
        <w:pStyle w:val="ListParagraph"/>
        <w:numPr>
          <w:ilvl w:val="0"/>
          <w:numId w:val="48"/>
        </w:numPr>
        <w:ind w:left="851" w:hanging="284"/>
        <w:rPr>
          <w:szCs w:val="20"/>
        </w:rPr>
      </w:pPr>
      <w:r>
        <w:t>nodrošināt Vispārīgās datu aizsardzības regulas (VDAR) 88. panta izpildi;</w:t>
      </w:r>
    </w:p>
    <w:p w:rsidRPr="00EE160A" w:rsidR="00892F37" w:rsidP="0060010D" w:rsidRDefault="00892F37" w14:paraId="55036E02" w14:textId="7AF0AEAC">
      <w:pPr>
        <w:pStyle w:val="ListParagraph"/>
        <w:numPr>
          <w:ilvl w:val="0"/>
          <w:numId w:val="48"/>
        </w:numPr>
        <w:ind w:left="851" w:hanging="284"/>
        <w:rPr>
          <w:szCs w:val="20"/>
        </w:rPr>
      </w:pPr>
      <w:r>
        <w:t>paplašināt Platformu darba direktīvas noteikumu darbības jomu, lai risinātu problēmas, ko visiem darba ņēmējiem rada algoritmiskās pārvaldības sistēmas;</w:t>
      </w:r>
    </w:p>
    <w:p w:rsidRPr="00EE160A" w:rsidR="00892F37" w:rsidP="0060010D" w:rsidRDefault="00892F37" w14:paraId="7FA02CD2" w14:textId="77777777">
      <w:pPr>
        <w:pStyle w:val="ListParagraph"/>
        <w:numPr>
          <w:ilvl w:val="0"/>
          <w:numId w:val="48"/>
        </w:numPr>
        <w:ind w:left="851" w:hanging="284"/>
        <w:rPr>
          <w:szCs w:val="20"/>
        </w:rPr>
      </w:pPr>
      <w:r>
        <w:t>stiprināt noteikumus, kas piemērojami saskaņā ar Direktīvu 2002/14/EK gadījumos, kad tiek ieviestas augsta riska MI sistēmas, un sniegt skaidrus norādījumus par noteikumiem, kas ietverti ES Direktīvā 89/391 par drošību un veselības aizsardzību darbā;</w:t>
      </w:r>
    </w:p>
    <w:p w:rsidRPr="00EE160A" w:rsidR="00892F37" w:rsidP="0060010D" w:rsidRDefault="00892F37" w14:paraId="3EE47C49" w14:textId="77777777">
      <w:pPr>
        <w:pStyle w:val="ListParagraph"/>
        <w:numPr>
          <w:ilvl w:val="0"/>
          <w:numId w:val="48"/>
        </w:numPr>
        <w:ind w:left="851" w:hanging="284"/>
        <w:rPr>
          <w:szCs w:val="20"/>
        </w:rPr>
      </w:pPr>
      <w:r>
        <w:t>plašāk izziņot novērtējumus par ietekmi uz datu aizsardzību, adresējot tos arī darba ņēmēju pārstāvjiem, kā noteikts Platformu darba direktīvā;</w:t>
      </w:r>
    </w:p>
    <w:p w:rsidRPr="00EE160A" w:rsidR="00892F37" w:rsidP="0060010D" w:rsidRDefault="00892F37" w14:paraId="5E80CA12" w14:textId="77777777">
      <w:pPr>
        <w:pStyle w:val="ListParagraph"/>
        <w:numPr>
          <w:ilvl w:val="0"/>
          <w:numId w:val="48"/>
        </w:numPr>
        <w:ind w:left="851" w:hanging="284"/>
        <w:rPr>
          <w:szCs w:val="20"/>
        </w:rPr>
      </w:pPr>
      <w:r>
        <w:t xml:space="preserve">sniegt </w:t>
      </w:r>
      <w:proofErr w:type="spellStart"/>
      <w:r>
        <w:rPr>
          <w:i/>
          <w:iCs/>
        </w:rPr>
        <w:t>ex</w:t>
      </w:r>
      <w:proofErr w:type="spellEnd"/>
      <w:r>
        <w:rPr>
          <w:i/>
          <w:iCs/>
        </w:rPr>
        <w:t xml:space="preserve"> </w:t>
      </w:r>
      <w:proofErr w:type="spellStart"/>
      <w:r>
        <w:rPr>
          <w:i/>
          <w:iCs/>
        </w:rPr>
        <w:t>ante</w:t>
      </w:r>
      <w:proofErr w:type="spellEnd"/>
      <w:r>
        <w:t xml:space="preserve"> ietekmes uz pamattiesībām novērtējumus, kas jāveic nodrošinātājiem pirms augsta riska sistēmu ieviešanas;</w:t>
      </w:r>
    </w:p>
    <w:p w:rsidRPr="00EE160A" w:rsidR="00892F37" w:rsidP="0060010D" w:rsidRDefault="00892F37" w14:paraId="0DD4EE4E" w14:textId="77777777">
      <w:pPr>
        <w:pStyle w:val="ListParagraph"/>
        <w:numPr>
          <w:ilvl w:val="0"/>
          <w:numId w:val="48"/>
        </w:numPr>
        <w:ind w:left="851" w:hanging="284"/>
        <w:rPr>
          <w:szCs w:val="20"/>
        </w:rPr>
      </w:pPr>
      <w:r>
        <w:t>izstrādāt skaidras vadlīnijas, kā var izmantot “smilškastes” un testēšanu reālos apstākļos.</w:t>
      </w:r>
    </w:p>
    <w:p w:rsidR="000D43E1" w:rsidP="00EE160A" w:rsidRDefault="000D43E1" w14:paraId="7CF59E6C" w14:textId="77777777">
      <w:pPr>
        <w:rPr>
          <w:bCs/>
          <w:lang w:val="en-GB"/>
        </w:rPr>
      </w:pPr>
    </w:p>
    <w:p w:rsidRPr="00892F37" w:rsidR="00892F37" w:rsidP="00EE160A" w:rsidRDefault="00892F37" w14:paraId="0285FD8F" w14:textId="2B55283E">
      <w:pPr>
        <w:rPr>
          <w:bCs/>
          <w:szCs w:val="20"/>
        </w:rPr>
      </w:pPr>
      <w:r>
        <w:t>Atšķirīgo viedokļu dēļ EESK Darba devēju grupas locekļi iesniedza pretatzinumu. EESK pretatzinumu noraidīja (ar 112 balsīm par, 136 balsīm pret un 11 atturoties), taču, tā kā saskaņā ar EESK Reglamentu tas saņēma vairāk nekā vienu ceturto daļu nodoto balsu, tas ir pievienots atzinumam.</w:t>
      </w:r>
    </w:p>
    <w:tbl>
      <w:tblPr>
        <w:tblW w:w="0" w:type="auto"/>
        <w:tblInd w:w="-142" w:type="dxa"/>
        <w:tblLook w:val="04A0" w:firstRow="1" w:lastRow="0" w:firstColumn="1" w:lastColumn="0" w:noHBand="0" w:noVBand="1"/>
      </w:tblPr>
      <w:tblGrid>
        <w:gridCol w:w="1595"/>
        <w:gridCol w:w="7836"/>
      </w:tblGrid>
      <w:tr w:rsidRPr="00FA33C4" w:rsidR="00892F37" w:rsidTr="0010406A" w14:paraId="4508FF0D" w14:textId="77777777">
        <w:tc>
          <w:tcPr>
            <w:tcW w:w="1595" w:type="dxa"/>
          </w:tcPr>
          <w:p w:rsidRPr="00FA33C4" w:rsidR="00892F37" w:rsidP="0060010D" w:rsidRDefault="00892F37" w14:paraId="331D957C" w14:textId="77777777">
            <w:pPr>
              <w:overflowPunct w:val="0"/>
              <w:autoSpaceDE w:val="0"/>
              <w:autoSpaceDN w:val="0"/>
              <w:adjustRightInd w:val="0"/>
              <w:textAlignment w:val="baseline"/>
              <w:rPr>
                <w:i/>
                <w:sz w:val="20"/>
                <w:szCs w:val="20"/>
              </w:rPr>
            </w:pPr>
            <w:r>
              <w:rPr>
                <w:b/>
                <w:i/>
                <w:sz w:val="20"/>
              </w:rPr>
              <w:lastRenderedPageBreak/>
              <w:t>Kontaktpersona:</w:t>
            </w:r>
          </w:p>
        </w:tc>
        <w:tc>
          <w:tcPr>
            <w:tcW w:w="7836" w:type="dxa"/>
          </w:tcPr>
          <w:p w:rsidRPr="00FA33C4" w:rsidR="00892F37" w:rsidP="0060010D" w:rsidRDefault="00892F37" w14:paraId="10FC95BC" w14:textId="77777777">
            <w:pPr>
              <w:overflowPunct w:val="0"/>
              <w:autoSpaceDE w:val="0"/>
              <w:autoSpaceDN w:val="0"/>
              <w:adjustRightInd w:val="0"/>
              <w:ind w:hanging="12"/>
              <w:textAlignment w:val="baseline"/>
              <w:rPr>
                <w:i/>
                <w:sz w:val="20"/>
                <w:szCs w:val="20"/>
              </w:rPr>
            </w:pPr>
            <w:proofErr w:type="spellStart"/>
            <w:r>
              <w:rPr>
                <w:i/>
                <w:sz w:val="20"/>
              </w:rPr>
              <w:t>Ana</w:t>
            </w:r>
            <w:proofErr w:type="spellEnd"/>
            <w:r>
              <w:rPr>
                <w:i/>
                <w:sz w:val="20"/>
              </w:rPr>
              <w:t xml:space="preserve"> </w:t>
            </w:r>
            <w:proofErr w:type="spellStart"/>
            <w:r>
              <w:rPr>
                <w:i/>
                <w:sz w:val="20"/>
              </w:rPr>
              <w:t>Dumitrache</w:t>
            </w:r>
            <w:proofErr w:type="spellEnd"/>
          </w:p>
        </w:tc>
      </w:tr>
      <w:tr w:rsidRPr="00FA33C4" w:rsidR="00892F37" w:rsidTr="0010406A" w14:paraId="574BBACD" w14:textId="77777777">
        <w:tc>
          <w:tcPr>
            <w:tcW w:w="1595" w:type="dxa"/>
          </w:tcPr>
          <w:p w:rsidRPr="00FA33C4" w:rsidR="00892F37" w:rsidP="0060010D" w:rsidRDefault="00892F37" w14:paraId="052D6094" w14:textId="77777777">
            <w:pPr>
              <w:overflowPunct w:val="0"/>
              <w:autoSpaceDE w:val="0"/>
              <w:autoSpaceDN w:val="0"/>
              <w:adjustRightInd w:val="0"/>
              <w:textAlignment w:val="baseline"/>
              <w:rPr>
                <w:i/>
                <w:sz w:val="20"/>
                <w:szCs w:val="20"/>
              </w:rPr>
            </w:pPr>
            <w:r>
              <w:rPr>
                <w:i/>
                <w:sz w:val="20"/>
              </w:rPr>
              <w:t>Tālr.:</w:t>
            </w:r>
          </w:p>
        </w:tc>
        <w:tc>
          <w:tcPr>
            <w:tcW w:w="7836" w:type="dxa"/>
          </w:tcPr>
          <w:p w:rsidRPr="00FA33C4" w:rsidR="00892F37" w:rsidP="0060010D" w:rsidRDefault="00892F37" w14:paraId="38DED2DA" w14:textId="77777777">
            <w:pPr>
              <w:overflowPunct w:val="0"/>
              <w:autoSpaceDE w:val="0"/>
              <w:autoSpaceDN w:val="0"/>
              <w:adjustRightInd w:val="0"/>
              <w:textAlignment w:val="baseline"/>
              <w:rPr>
                <w:i/>
                <w:sz w:val="20"/>
                <w:szCs w:val="20"/>
              </w:rPr>
            </w:pPr>
            <w:r>
              <w:rPr>
                <w:i/>
                <w:sz w:val="20"/>
              </w:rPr>
              <w:t>+32 2546 8</w:t>
            </w:r>
            <w:r>
              <w:rPr>
                <w:sz w:val="20"/>
              </w:rPr>
              <w:t>131</w:t>
            </w:r>
          </w:p>
        </w:tc>
      </w:tr>
      <w:tr w:rsidRPr="00FA33C4" w:rsidR="00892F37" w:rsidTr="0010406A" w14:paraId="5A55B807" w14:textId="77777777">
        <w:tc>
          <w:tcPr>
            <w:tcW w:w="1595" w:type="dxa"/>
          </w:tcPr>
          <w:p w:rsidRPr="00FA33C4" w:rsidR="00892F37" w:rsidP="0060010D" w:rsidRDefault="00892F37" w14:paraId="0F4A40DD" w14:textId="77777777">
            <w:pPr>
              <w:overflowPunct w:val="0"/>
              <w:autoSpaceDE w:val="0"/>
              <w:autoSpaceDN w:val="0"/>
              <w:adjustRightInd w:val="0"/>
              <w:textAlignment w:val="baseline"/>
              <w:rPr>
                <w:i/>
                <w:sz w:val="20"/>
                <w:szCs w:val="20"/>
              </w:rPr>
            </w:pPr>
            <w:r>
              <w:rPr>
                <w:i/>
                <w:sz w:val="20"/>
              </w:rPr>
              <w:t>E-pasts:</w:t>
            </w:r>
          </w:p>
        </w:tc>
        <w:tc>
          <w:tcPr>
            <w:tcW w:w="7836" w:type="dxa"/>
          </w:tcPr>
          <w:p w:rsidRPr="00FA33C4" w:rsidR="00892F37" w:rsidP="0060010D" w:rsidRDefault="00E61064" w14:paraId="2EA71176" w14:textId="77777777">
            <w:pPr>
              <w:overflowPunct w:val="0"/>
              <w:autoSpaceDE w:val="0"/>
              <w:autoSpaceDN w:val="0"/>
              <w:adjustRightInd w:val="0"/>
              <w:textAlignment w:val="baseline"/>
              <w:rPr>
                <w:i/>
                <w:sz w:val="20"/>
                <w:szCs w:val="20"/>
              </w:rPr>
            </w:pPr>
            <w:hyperlink w:history="1" r:id="rId24">
              <w:r w:rsidR="00892F37">
                <w:rPr>
                  <w:i/>
                  <w:color w:val="0000FF"/>
                  <w:sz w:val="20"/>
                  <w:u w:val="single"/>
                </w:rPr>
                <w:t>Ana.Dumitrache@eesc.europa.eu</w:t>
              </w:r>
            </w:hyperlink>
          </w:p>
        </w:tc>
      </w:tr>
    </w:tbl>
    <w:p w:rsidRPr="00892F37" w:rsidR="007554BE" w:rsidRDefault="007554BE" w14:paraId="4F3D4055" w14:textId="77777777">
      <w:pPr>
        <w:pStyle w:val="ListParagraph"/>
        <w:ind w:left="567"/>
        <w:rPr>
          <w:lang w:val="en-GB"/>
        </w:rPr>
      </w:pPr>
    </w:p>
    <w:p w:rsidR="000D43E1" w:rsidRDefault="000D43E1" w14:paraId="4982DDC2" w14:textId="5E500753">
      <w:pPr>
        <w:jc w:val="left"/>
      </w:pPr>
      <w:r>
        <w:br w:type="page"/>
      </w:r>
    </w:p>
    <w:p w:rsidR="004D7AC0" w:rsidP="0060010D" w:rsidRDefault="004D7AC0" w14:paraId="4982DDC6" w14:textId="77777777">
      <w:pPr>
        <w:pStyle w:val="Heading1"/>
        <w:keepNext/>
        <w:keepLines/>
        <w:rPr>
          <w:b/>
        </w:rPr>
      </w:pPr>
      <w:bookmarkStart w:name="_Toc24617160" w:id="3"/>
      <w:bookmarkStart w:name="_Toc75527082" w:id="4"/>
      <w:bookmarkStart w:name="_Toc189562592" w:id="5"/>
      <w:r>
        <w:rPr>
          <w:b/>
        </w:rPr>
        <w:lastRenderedPageBreak/>
        <w:t>TRANSPORTS, ENERĢĒTIKA, INFRASTRUKTŪRA UN INFORMĀCIJAS SABIEDRĪBA</w:t>
      </w:r>
      <w:bookmarkEnd w:id="3"/>
      <w:bookmarkEnd w:id="4"/>
      <w:bookmarkEnd w:id="5"/>
    </w:p>
    <w:p w:rsidR="004D7AC0" w:rsidP="0060010D" w:rsidRDefault="004D7AC0" w14:paraId="4982DDC7" w14:textId="04E3199A">
      <w:pPr>
        <w:keepNext/>
        <w:keepLines/>
      </w:pPr>
    </w:p>
    <w:p w:rsidRPr="00EA3596" w:rsidR="00EA3596" w:rsidP="0060010D" w:rsidRDefault="00E61064" w14:paraId="0D397292" w14:textId="0B4D4E83">
      <w:pPr>
        <w:keepNext/>
        <w:keepLines/>
        <w:widowControl w:val="0"/>
        <w:numPr>
          <w:ilvl w:val="0"/>
          <w:numId w:val="4"/>
        </w:numPr>
        <w:overflowPunct w:val="0"/>
        <w:autoSpaceDE w:val="0"/>
        <w:autoSpaceDN w:val="0"/>
        <w:adjustRightInd w:val="0"/>
        <w:ind w:left="266" w:hanging="266"/>
        <w:textAlignment w:val="baseline"/>
        <w:rPr>
          <w:b/>
          <w:u w:val="single"/>
        </w:rPr>
      </w:pPr>
      <w:hyperlink w:history="1" r:id="rId25">
        <w:r w:rsidR="00465FCD">
          <w:rPr>
            <w:b/>
            <w:i/>
            <w:color w:val="0000FF"/>
            <w:sz w:val="28"/>
            <w:u w:val="single"/>
          </w:rPr>
          <w:t>Elektroapgāde un elektroenerģijas cenas nākotnē Eiropas Savienībā</w:t>
        </w:r>
      </w:hyperlink>
    </w:p>
    <w:p w:rsidRPr="00EA3596" w:rsidR="00EA3596" w:rsidP="0060010D" w:rsidRDefault="00EA3596" w14:paraId="6FED0A47"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EA3596" w:rsidTr="0060010D" w14:paraId="294163F6" w14:textId="77777777">
        <w:tc>
          <w:tcPr>
            <w:tcW w:w="1701" w:type="dxa"/>
          </w:tcPr>
          <w:p w:rsidRPr="00FA33C4" w:rsidR="00EA3596" w:rsidRDefault="00EA3596" w14:paraId="73B02B51" w14:textId="0A8DF9EF">
            <w:pPr>
              <w:tabs>
                <w:tab w:val="center" w:pos="284"/>
              </w:tabs>
              <w:overflowPunct w:val="0"/>
              <w:autoSpaceDE w:val="0"/>
              <w:autoSpaceDN w:val="0"/>
              <w:adjustRightInd w:val="0"/>
              <w:ind w:left="266" w:hanging="266"/>
              <w:textAlignment w:val="baseline"/>
              <w:rPr>
                <w:b/>
                <w:sz w:val="20"/>
                <w:szCs w:val="20"/>
              </w:rPr>
            </w:pPr>
            <w:r>
              <w:rPr>
                <w:b/>
                <w:sz w:val="20"/>
              </w:rPr>
              <w:t>Ziņotājs</w:t>
            </w:r>
          </w:p>
        </w:tc>
        <w:tc>
          <w:tcPr>
            <w:tcW w:w="7479" w:type="dxa"/>
          </w:tcPr>
          <w:p w:rsidRPr="00FA33C4" w:rsidR="00EA3596" w:rsidRDefault="00EA3596" w14:paraId="487AC76C"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Jan</w:t>
            </w:r>
            <w:proofErr w:type="spellEnd"/>
            <w:r>
              <w:rPr>
                <w:sz w:val="20"/>
              </w:rPr>
              <w:t xml:space="preserve"> DIRX (Pilsoniskās sabiedrības organizāciju grupa – NL)</w:t>
            </w:r>
          </w:p>
        </w:tc>
      </w:tr>
      <w:tr w:rsidRPr="00FA33C4" w:rsidR="00EA3596" w:rsidTr="0060010D" w14:paraId="18FE22F6" w14:textId="77777777">
        <w:tc>
          <w:tcPr>
            <w:tcW w:w="1701" w:type="dxa"/>
          </w:tcPr>
          <w:p w:rsidRPr="00FA33C4" w:rsidR="00EA3596" w:rsidRDefault="00EA3596" w14:paraId="4CA49328" w14:textId="77777777">
            <w:pPr>
              <w:tabs>
                <w:tab w:val="center" w:pos="284"/>
              </w:tabs>
              <w:overflowPunct w:val="0"/>
              <w:autoSpaceDE w:val="0"/>
              <w:autoSpaceDN w:val="0"/>
              <w:adjustRightInd w:val="0"/>
              <w:ind w:left="266" w:hanging="266"/>
              <w:textAlignment w:val="baseline"/>
              <w:rPr>
                <w:b/>
                <w:sz w:val="20"/>
                <w:szCs w:val="20"/>
              </w:rPr>
            </w:pPr>
            <w:r>
              <w:rPr>
                <w:b/>
                <w:sz w:val="20"/>
              </w:rPr>
              <w:t>Līdzziņotājs</w:t>
            </w:r>
          </w:p>
        </w:tc>
        <w:tc>
          <w:tcPr>
            <w:tcW w:w="7479" w:type="dxa"/>
          </w:tcPr>
          <w:p w:rsidRPr="00FA33C4" w:rsidR="00EA3596" w:rsidRDefault="00EA3596" w14:paraId="60AE479C"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Thomas</w:t>
            </w:r>
            <w:proofErr w:type="spellEnd"/>
            <w:r>
              <w:rPr>
                <w:sz w:val="20"/>
              </w:rPr>
              <w:t xml:space="preserve"> KATTNIG (Darba ņēmēju grupa – AT)</w:t>
            </w:r>
          </w:p>
        </w:tc>
      </w:tr>
      <w:tr w:rsidRPr="00FA33C4" w:rsidR="00EA3596" w:rsidTr="0060010D" w14:paraId="752E26C2" w14:textId="77777777">
        <w:tc>
          <w:tcPr>
            <w:tcW w:w="9180" w:type="dxa"/>
            <w:gridSpan w:val="2"/>
          </w:tcPr>
          <w:p w:rsidRPr="00FA33C4" w:rsidR="00EA3596" w:rsidP="0060010D" w:rsidRDefault="00EA3596" w14:paraId="688FF16F" w14:textId="77777777">
            <w:pPr>
              <w:tabs>
                <w:tab w:val="center" w:pos="284"/>
              </w:tabs>
              <w:overflowPunct w:val="0"/>
              <w:autoSpaceDE w:val="0"/>
              <w:autoSpaceDN w:val="0"/>
              <w:adjustRightInd w:val="0"/>
              <w:ind w:left="266" w:hanging="266"/>
              <w:textAlignment w:val="baseline"/>
              <w:rPr>
                <w:sz w:val="20"/>
                <w:szCs w:val="20"/>
              </w:rPr>
            </w:pPr>
          </w:p>
        </w:tc>
      </w:tr>
      <w:tr w:rsidRPr="00FA33C4" w:rsidR="00EA3596" w:rsidTr="0060010D" w14:paraId="234C68A2" w14:textId="77777777">
        <w:tc>
          <w:tcPr>
            <w:tcW w:w="1701" w:type="dxa"/>
          </w:tcPr>
          <w:p w:rsidRPr="00FA33C4" w:rsidR="00EA3596" w:rsidRDefault="00EA3596" w14:paraId="0691CEDA"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7479" w:type="dxa"/>
          </w:tcPr>
          <w:p w:rsidRPr="00FA33C4" w:rsidR="00EA3596" w:rsidRDefault="00EA3596" w14:paraId="22B923BD" w14:textId="77777777">
            <w:pPr>
              <w:tabs>
                <w:tab w:val="center" w:pos="284"/>
              </w:tabs>
              <w:overflowPunct w:val="0"/>
              <w:autoSpaceDE w:val="0"/>
              <w:autoSpaceDN w:val="0"/>
              <w:adjustRightInd w:val="0"/>
              <w:ind w:left="266" w:hanging="266"/>
              <w:textAlignment w:val="baseline"/>
              <w:rPr>
                <w:sz w:val="20"/>
                <w:szCs w:val="20"/>
              </w:rPr>
            </w:pPr>
            <w:r>
              <w:rPr>
                <w:sz w:val="20"/>
              </w:rPr>
              <w:t>Pašiniciatīvas atzinums</w:t>
            </w:r>
          </w:p>
          <w:p w:rsidRPr="00FA33C4" w:rsidR="00EA3596" w:rsidRDefault="00EA3596" w14:paraId="339CD963" w14:textId="26FF9FD9">
            <w:pPr>
              <w:tabs>
                <w:tab w:val="center" w:pos="284"/>
              </w:tabs>
              <w:overflowPunct w:val="0"/>
              <w:autoSpaceDE w:val="0"/>
              <w:autoSpaceDN w:val="0"/>
              <w:adjustRightInd w:val="0"/>
              <w:ind w:left="266" w:hanging="266"/>
              <w:textAlignment w:val="baseline"/>
              <w:rPr>
                <w:sz w:val="20"/>
                <w:szCs w:val="20"/>
              </w:rPr>
            </w:pPr>
            <w:r>
              <w:rPr>
                <w:sz w:val="20"/>
              </w:rPr>
              <w:t>EESC-2024-00983-00-00-AC</w:t>
            </w:r>
          </w:p>
        </w:tc>
      </w:tr>
    </w:tbl>
    <w:p w:rsidRPr="00EA3596" w:rsidR="00EA3596" w:rsidRDefault="00EA3596" w14:paraId="4556D522" w14:textId="77777777">
      <w:pPr>
        <w:keepNext/>
        <w:keepLines/>
        <w:tabs>
          <w:tab w:val="center" w:pos="284"/>
        </w:tabs>
        <w:overflowPunct w:val="0"/>
        <w:autoSpaceDE w:val="0"/>
        <w:autoSpaceDN w:val="0"/>
        <w:adjustRightInd w:val="0"/>
        <w:ind w:left="266" w:hanging="266"/>
        <w:textAlignment w:val="baseline"/>
        <w:rPr>
          <w:b/>
          <w:lang w:val="en-GB"/>
        </w:rPr>
      </w:pPr>
    </w:p>
    <w:p w:rsidRPr="00EA3596" w:rsidR="00EA3596" w:rsidRDefault="00EA3596" w14:paraId="2F3B61BA"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EA3596" w:rsidR="00EA3596" w:rsidRDefault="00EA3596" w14:paraId="1420F763" w14:textId="77777777">
      <w:pPr>
        <w:keepNext/>
        <w:keepLines/>
        <w:tabs>
          <w:tab w:val="center" w:pos="284"/>
        </w:tabs>
        <w:overflowPunct w:val="0"/>
        <w:autoSpaceDE w:val="0"/>
        <w:autoSpaceDN w:val="0"/>
        <w:adjustRightInd w:val="0"/>
        <w:ind w:left="266" w:hanging="266"/>
        <w:textAlignment w:val="baseline"/>
        <w:rPr>
          <w:b/>
          <w:lang w:val="en-GB"/>
        </w:rPr>
      </w:pPr>
    </w:p>
    <w:p w:rsidR="00EA3596" w:rsidRDefault="00EA3596" w14:paraId="4FBF4A22" w14:textId="77777777">
      <w:pPr>
        <w:overflowPunct w:val="0"/>
        <w:autoSpaceDE w:val="0"/>
        <w:autoSpaceDN w:val="0"/>
        <w:adjustRightInd w:val="0"/>
        <w:textAlignment w:val="baseline"/>
        <w:rPr>
          <w:bCs/>
          <w:iCs/>
        </w:rPr>
      </w:pPr>
      <w:r>
        <w:t>EESK:</w:t>
      </w:r>
    </w:p>
    <w:p w:rsidRPr="00EA3596" w:rsidR="00EA3596" w:rsidP="0060010D" w:rsidRDefault="00EA3596" w14:paraId="788BEAE4" w14:textId="77777777">
      <w:pPr>
        <w:widowControl w:val="0"/>
        <w:numPr>
          <w:ilvl w:val="0"/>
          <w:numId w:val="29"/>
        </w:numPr>
        <w:overflowPunct w:val="0"/>
        <w:autoSpaceDE w:val="0"/>
        <w:autoSpaceDN w:val="0"/>
        <w:adjustRightInd w:val="0"/>
        <w:ind w:left="567" w:hanging="567"/>
        <w:textAlignment w:val="baseline"/>
        <w:rPr>
          <w:szCs w:val="20"/>
        </w:rPr>
      </w:pPr>
      <w:r>
        <w:t>pauž pārliecību, ka elektroenerģijas tirgus būtu jāreformē tā, lai tas atbilstu mērķim līdz 2050. gadam panākt klimatneitralitāti, līdztekus piegādes drošības un stabilu un pieejamu cenu mērķiem, kā arī nodrošinātu tiesības uz enerģiju neaizsargātu grupu aizsardzībai;</w:t>
      </w:r>
    </w:p>
    <w:p w:rsidRPr="00EA3596" w:rsidR="00EA3596" w:rsidP="0060010D" w:rsidRDefault="00EA3596" w14:paraId="2ABF264A" w14:textId="77777777">
      <w:pPr>
        <w:widowControl w:val="0"/>
        <w:numPr>
          <w:ilvl w:val="0"/>
          <w:numId w:val="29"/>
        </w:numPr>
        <w:overflowPunct w:val="0"/>
        <w:autoSpaceDE w:val="0"/>
        <w:autoSpaceDN w:val="0"/>
        <w:adjustRightInd w:val="0"/>
        <w:ind w:left="567" w:hanging="567"/>
        <w:textAlignment w:val="baseline"/>
        <w:rPr>
          <w:szCs w:val="20"/>
        </w:rPr>
      </w:pPr>
      <w:r>
        <w:t>atbalsta valdības regulējuma modeli, kur tas nepieciešams, un privāto uzņēmējdarbību, kur tas iespējams, kā e-mehānismu, kas varētu būt valdības izveidots uzņēmums, kuram būs tirgus veidotāja loma;</w:t>
      </w:r>
    </w:p>
    <w:p w:rsidRPr="00EA3596" w:rsidR="00EA3596" w:rsidP="0060010D" w:rsidRDefault="00EA3596" w14:paraId="022CA94C" w14:textId="77777777">
      <w:pPr>
        <w:widowControl w:val="0"/>
        <w:numPr>
          <w:ilvl w:val="0"/>
          <w:numId w:val="29"/>
        </w:numPr>
        <w:overflowPunct w:val="0"/>
        <w:autoSpaceDE w:val="0"/>
        <w:autoSpaceDN w:val="0"/>
        <w:adjustRightInd w:val="0"/>
        <w:ind w:left="567" w:hanging="567"/>
        <w:textAlignment w:val="baseline"/>
        <w:rPr>
          <w:szCs w:val="20"/>
        </w:rPr>
      </w:pPr>
      <w:r>
        <w:t>uzskata: lai saglabātu patērētājiem pieejamu elektroenerģijas cenu un palielinātu tīklu elastības iespējas, ir jāatbalsta elektroenerģijas ražošana mazā mērogā;</w:t>
      </w:r>
    </w:p>
    <w:p w:rsidRPr="00EA3596" w:rsidR="00EA3596" w:rsidP="0060010D" w:rsidRDefault="00EA3596" w14:paraId="066775DF" w14:textId="77777777">
      <w:pPr>
        <w:widowControl w:val="0"/>
        <w:numPr>
          <w:ilvl w:val="0"/>
          <w:numId w:val="29"/>
        </w:numPr>
        <w:overflowPunct w:val="0"/>
        <w:autoSpaceDE w:val="0"/>
        <w:autoSpaceDN w:val="0"/>
        <w:adjustRightInd w:val="0"/>
        <w:ind w:left="567" w:hanging="567"/>
        <w:textAlignment w:val="baseline"/>
        <w:rPr>
          <w:szCs w:val="20"/>
        </w:rPr>
      </w:pPr>
      <w:r>
        <w:t>uzskata: ņemot vērā gaidāmo enerģijas cenu pieaugumu, elektroenerģijas izmaksas laikposmā līdz 2030. gadam un pēc tam liks valdībām pārskatīt savu politiku attiecībā uz nodokļu uzlikšanu elektroenerģijas piegādei patērētājiem.</w:t>
      </w:r>
    </w:p>
    <w:p w:rsidRPr="00EA3596" w:rsidR="00EA3596" w:rsidP="0060010D" w:rsidRDefault="00EA3596" w14:paraId="4A219466" w14:textId="77777777">
      <w:pPr>
        <w:widowControl w:val="0"/>
        <w:overflowPunct w:val="0"/>
        <w:autoSpaceDE w:val="0"/>
        <w:autoSpaceDN w:val="0"/>
        <w:adjustRightInd w:val="0"/>
        <w:ind w:left="568"/>
        <w:textAlignment w:val="baseline"/>
        <w:rPr>
          <w:szCs w:val="20"/>
          <w:lang w:val="en-GB"/>
        </w:rPr>
      </w:pPr>
    </w:p>
    <w:tbl>
      <w:tblPr>
        <w:tblW w:w="9322" w:type="dxa"/>
        <w:tblLook w:val="04A0" w:firstRow="1" w:lastRow="0" w:firstColumn="1" w:lastColumn="0" w:noHBand="0" w:noVBand="1"/>
      </w:tblPr>
      <w:tblGrid>
        <w:gridCol w:w="1595"/>
        <w:gridCol w:w="7727"/>
      </w:tblGrid>
      <w:tr w:rsidRPr="00FA33C4" w:rsidR="00EA3596" w:rsidTr="0060010D" w14:paraId="25FEBE48" w14:textId="77777777">
        <w:tc>
          <w:tcPr>
            <w:tcW w:w="1418" w:type="dxa"/>
          </w:tcPr>
          <w:p w:rsidRPr="00FA33C4" w:rsidR="00EA3596" w:rsidP="0060010D" w:rsidRDefault="00EA3596" w14:paraId="0546FA38" w14:textId="77777777">
            <w:pPr>
              <w:overflowPunct w:val="0"/>
              <w:autoSpaceDE w:val="0"/>
              <w:autoSpaceDN w:val="0"/>
              <w:adjustRightInd w:val="0"/>
              <w:textAlignment w:val="baseline"/>
              <w:rPr>
                <w:i/>
                <w:sz w:val="20"/>
                <w:szCs w:val="20"/>
              </w:rPr>
            </w:pPr>
            <w:r>
              <w:rPr>
                <w:b/>
                <w:i/>
                <w:sz w:val="20"/>
              </w:rPr>
              <w:t>Kontaktpersona:</w:t>
            </w:r>
          </w:p>
        </w:tc>
        <w:tc>
          <w:tcPr>
            <w:tcW w:w="7904" w:type="dxa"/>
          </w:tcPr>
          <w:p w:rsidRPr="00FA33C4" w:rsidR="00EA3596" w:rsidP="0060010D" w:rsidRDefault="00EA3596" w14:paraId="0EF9F37D" w14:textId="5AE33465">
            <w:pPr>
              <w:overflowPunct w:val="0"/>
              <w:autoSpaceDE w:val="0"/>
              <w:autoSpaceDN w:val="0"/>
              <w:adjustRightInd w:val="0"/>
              <w:textAlignment w:val="baseline"/>
              <w:rPr>
                <w:i/>
                <w:sz w:val="20"/>
                <w:szCs w:val="20"/>
              </w:rPr>
            </w:pPr>
            <w:proofErr w:type="spellStart"/>
            <w:r>
              <w:rPr>
                <w:i/>
                <w:sz w:val="20"/>
              </w:rPr>
              <w:t>Maja</w:t>
            </w:r>
            <w:proofErr w:type="spellEnd"/>
            <w:r>
              <w:rPr>
                <w:i/>
                <w:sz w:val="20"/>
              </w:rPr>
              <w:t xml:space="preserve"> </w:t>
            </w:r>
            <w:proofErr w:type="spellStart"/>
            <w:r>
              <w:rPr>
                <w:i/>
                <w:sz w:val="20"/>
              </w:rPr>
              <w:t>Radman</w:t>
            </w:r>
            <w:proofErr w:type="spellEnd"/>
          </w:p>
        </w:tc>
      </w:tr>
      <w:tr w:rsidRPr="00FA33C4" w:rsidR="00EA3596" w:rsidTr="0060010D" w14:paraId="11BC37BF" w14:textId="77777777">
        <w:tc>
          <w:tcPr>
            <w:tcW w:w="1418" w:type="dxa"/>
          </w:tcPr>
          <w:p w:rsidRPr="00FA33C4" w:rsidR="00EA3596" w:rsidP="0060010D" w:rsidRDefault="00EA3596" w14:paraId="38D688A7" w14:textId="77777777">
            <w:pPr>
              <w:overflowPunct w:val="0"/>
              <w:autoSpaceDE w:val="0"/>
              <w:autoSpaceDN w:val="0"/>
              <w:adjustRightInd w:val="0"/>
              <w:textAlignment w:val="baseline"/>
              <w:rPr>
                <w:i/>
                <w:sz w:val="20"/>
                <w:szCs w:val="20"/>
              </w:rPr>
            </w:pPr>
            <w:r>
              <w:rPr>
                <w:i/>
                <w:sz w:val="20"/>
              </w:rPr>
              <w:t>Tālr.:</w:t>
            </w:r>
          </w:p>
        </w:tc>
        <w:tc>
          <w:tcPr>
            <w:tcW w:w="7904" w:type="dxa"/>
          </w:tcPr>
          <w:p w:rsidRPr="00FA33C4" w:rsidR="00EA3596" w:rsidP="0060010D" w:rsidRDefault="00EA3596" w14:paraId="194546DC" w14:textId="77777777">
            <w:pPr>
              <w:overflowPunct w:val="0"/>
              <w:autoSpaceDE w:val="0"/>
              <w:autoSpaceDN w:val="0"/>
              <w:adjustRightInd w:val="0"/>
              <w:textAlignment w:val="baseline"/>
              <w:rPr>
                <w:i/>
                <w:sz w:val="20"/>
                <w:szCs w:val="20"/>
              </w:rPr>
            </w:pPr>
            <w:r>
              <w:rPr>
                <w:i/>
                <w:sz w:val="20"/>
              </w:rPr>
              <w:t>+32 25469051</w:t>
            </w:r>
          </w:p>
        </w:tc>
      </w:tr>
      <w:tr w:rsidRPr="00FA33C4" w:rsidR="00EA3596" w:rsidTr="0060010D" w14:paraId="117E4CDE" w14:textId="77777777">
        <w:tc>
          <w:tcPr>
            <w:tcW w:w="1418" w:type="dxa"/>
          </w:tcPr>
          <w:p w:rsidRPr="00FA33C4" w:rsidR="00EA3596" w:rsidP="0060010D" w:rsidRDefault="002538AC" w14:paraId="7CB35B59" w14:textId="2FC9A36D">
            <w:pPr>
              <w:overflowPunct w:val="0"/>
              <w:autoSpaceDE w:val="0"/>
              <w:autoSpaceDN w:val="0"/>
              <w:adjustRightInd w:val="0"/>
              <w:textAlignment w:val="baseline"/>
              <w:rPr>
                <w:i/>
                <w:sz w:val="20"/>
                <w:szCs w:val="20"/>
              </w:rPr>
            </w:pPr>
            <w:r>
              <w:rPr>
                <w:i/>
                <w:sz w:val="20"/>
              </w:rPr>
              <w:t>E-pasts:</w:t>
            </w:r>
          </w:p>
        </w:tc>
        <w:tc>
          <w:tcPr>
            <w:tcW w:w="7904" w:type="dxa"/>
          </w:tcPr>
          <w:p w:rsidRPr="00FA33C4" w:rsidR="00EA3596" w:rsidP="0060010D" w:rsidRDefault="00E61064" w14:paraId="07C451AF" w14:textId="77777777">
            <w:pPr>
              <w:overflowPunct w:val="0"/>
              <w:autoSpaceDE w:val="0"/>
              <w:autoSpaceDN w:val="0"/>
              <w:adjustRightInd w:val="0"/>
              <w:textAlignment w:val="baseline"/>
              <w:rPr>
                <w:i/>
                <w:iCs/>
                <w:sz w:val="20"/>
                <w:szCs w:val="20"/>
              </w:rPr>
            </w:pPr>
            <w:hyperlink w:history="1" r:id="rId26">
              <w:r w:rsidR="00465FCD">
                <w:rPr>
                  <w:i/>
                  <w:color w:val="0000FF"/>
                  <w:sz w:val="20"/>
                  <w:u w:val="single"/>
                </w:rPr>
                <w:t>Maja.Radman@eesc.europa.eu</w:t>
              </w:r>
            </w:hyperlink>
          </w:p>
        </w:tc>
      </w:tr>
    </w:tbl>
    <w:p w:rsidR="007554BE" w:rsidP="007554BE" w:rsidRDefault="007554BE" w14:paraId="2FA727E3" w14:textId="77777777">
      <w:pPr>
        <w:jc w:val="left"/>
      </w:pPr>
    </w:p>
    <w:p w:rsidR="007554BE" w:rsidP="007554BE" w:rsidRDefault="007554BE" w14:paraId="0F2E9BAF" w14:textId="77777777">
      <w:pPr>
        <w:jc w:val="left"/>
      </w:pPr>
    </w:p>
    <w:p w:rsidRPr="0020320E" w:rsidR="0020320E" w:rsidP="0060010D" w:rsidRDefault="00E61064" w14:paraId="23E4FA4E" w14:textId="658F4A09">
      <w:pPr>
        <w:keepNext/>
        <w:keepLines/>
        <w:widowControl w:val="0"/>
        <w:numPr>
          <w:ilvl w:val="0"/>
          <w:numId w:val="4"/>
        </w:numPr>
        <w:overflowPunct w:val="0"/>
        <w:autoSpaceDE w:val="0"/>
        <w:autoSpaceDN w:val="0"/>
        <w:adjustRightInd w:val="0"/>
        <w:ind w:hanging="567"/>
        <w:textAlignment w:val="baseline"/>
        <w:rPr>
          <w:b/>
          <w:u w:val="single"/>
        </w:rPr>
      </w:pPr>
      <w:hyperlink w:history="1" r:id="rId27">
        <w:r w:rsidR="00465FCD">
          <w:rPr>
            <w:b/>
            <w:i/>
            <w:color w:val="0000FF"/>
            <w:sz w:val="28"/>
            <w:u w:val="single"/>
          </w:rPr>
          <w:t>Ceļā uz ES jūrlietu stratēģiju: kurss uz nākotni ar koordinētu ieguldījumu politiku, likumdošanas iniciatīvām, sociālo dialogu un pilsoniskās sabiedrības iesaisti</w:t>
        </w:r>
      </w:hyperlink>
    </w:p>
    <w:p w:rsidRPr="0020320E" w:rsidR="0020320E" w:rsidP="0060010D" w:rsidRDefault="0020320E" w14:paraId="22635895"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20320E" w:rsidTr="0060010D" w14:paraId="18E926C0" w14:textId="77777777">
        <w:tc>
          <w:tcPr>
            <w:tcW w:w="1701" w:type="dxa"/>
          </w:tcPr>
          <w:p w:rsidRPr="00FA33C4" w:rsidR="0020320E" w:rsidRDefault="0020320E" w14:paraId="584A023A" w14:textId="77777777">
            <w:pPr>
              <w:tabs>
                <w:tab w:val="center" w:pos="284"/>
              </w:tabs>
              <w:overflowPunct w:val="0"/>
              <w:autoSpaceDE w:val="0"/>
              <w:autoSpaceDN w:val="0"/>
              <w:adjustRightInd w:val="0"/>
              <w:ind w:left="266" w:hanging="266"/>
              <w:textAlignment w:val="baseline"/>
              <w:rPr>
                <w:b/>
                <w:sz w:val="20"/>
                <w:szCs w:val="20"/>
              </w:rPr>
            </w:pPr>
            <w:r>
              <w:rPr>
                <w:b/>
                <w:sz w:val="20"/>
              </w:rPr>
              <w:t xml:space="preserve">Ziņotāja </w:t>
            </w:r>
          </w:p>
        </w:tc>
        <w:tc>
          <w:tcPr>
            <w:tcW w:w="7479" w:type="dxa"/>
          </w:tcPr>
          <w:p w:rsidRPr="00FA33C4" w:rsidR="0020320E" w:rsidRDefault="0020320E" w14:paraId="2A444A75" w14:textId="45183960">
            <w:pPr>
              <w:tabs>
                <w:tab w:val="center" w:pos="284"/>
              </w:tabs>
              <w:overflowPunct w:val="0"/>
              <w:autoSpaceDE w:val="0"/>
              <w:autoSpaceDN w:val="0"/>
              <w:adjustRightInd w:val="0"/>
              <w:ind w:left="266" w:hanging="266"/>
              <w:textAlignment w:val="baseline"/>
              <w:rPr>
                <w:sz w:val="20"/>
                <w:szCs w:val="20"/>
              </w:rPr>
            </w:pPr>
            <w:proofErr w:type="spellStart"/>
            <w:r>
              <w:rPr>
                <w:sz w:val="20"/>
              </w:rPr>
              <w:t>Ágnes</w:t>
            </w:r>
            <w:proofErr w:type="spellEnd"/>
            <w:r>
              <w:rPr>
                <w:sz w:val="20"/>
              </w:rPr>
              <w:t xml:space="preserve"> CSER (Pilsoniskās sabiedrības organizāciju grupa – HU)</w:t>
            </w:r>
          </w:p>
        </w:tc>
      </w:tr>
      <w:tr w:rsidRPr="00FA33C4" w:rsidR="0020320E" w:rsidTr="0060010D" w14:paraId="6DE89139" w14:textId="77777777">
        <w:tc>
          <w:tcPr>
            <w:tcW w:w="1701" w:type="dxa"/>
          </w:tcPr>
          <w:p w:rsidRPr="00FA33C4" w:rsidR="0020320E" w:rsidRDefault="0020320E" w14:paraId="438048B9" w14:textId="77777777">
            <w:pPr>
              <w:tabs>
                <w:tab w:val="center" w:pos="284"/>
              </w:tabs>
              <w:overflowPunct w:val="0"/>
              <w:autoSpaceDE w:val="0"/>
              <w:autoSpaceDN w:val="0"/>
              <w:adjustRightInd w:val="0"/>
              <w:ind w:left="266" w:hanging="266"/>
              <w:textAlignment w:val="baseline"/>
              <w:rPr>
                <w:b/>
                <w:sz w:val="20"/>
                <w:szCs w:val="20"/>
              </w:rPr>
            </w:pPr>
            <w:r>
              <w:rPr>
                <w:b/>
                <w:sz w:val="20"/>
              </w:rPr>
              <w:t>Līdzziņotāja</w:t>
            </w:r>
          </w:p>
        </w:tc>
        <w:tc>
          <w:tcPr>
            <w:tcW w:w="7479" w:type="dxa"/>
          </w:tcPr>
          <w:p w:rsidRPr="00FA33C4" w:rsidR="0020320E" w:rsidRDefault="0020320E" w14:paraId="2B72CB28" w14:textId="4D5DE640">
            <w:pPr>
              <w:tabs>
                <w:tab w:val="center" w:pos="284"/>
              </w:tabs>
              <w:overflowPunct w:val="0"/>
              <w:autoSpaceDE w:val="0"/>
              <w:autoSpaceDN w:val="0"/>
              <w:adjustRightInd w:val="0"/>
              <w:ind w:left="266" w:hanging="266"/>
              <w:textAlignment w:val="baseline"/>
              <w:rPr>
                <w:sz w:val="20"/>
                <w:szCs w:val="20"/>
              </w:rPr>
            </w:pPr>
            <w:proofErr w:type="spellStart"/>
            <w:r>
              <w:rPr>
                <w:sz w:val="20"/>
              </w:rPr>
              <w:t>Tanja</w:t>
            </w:r>
            <w:proofErr w:type="spellEnd"/>
            <w:r>
              <w:rPr>
                <w:sz w:val="20"/>
              </w:rPr>
              <w:t> BUZEK (Darba ņēmēju grupa – DE)</w:t>
            </w:r>
          </w:p>
        </w:tc>
      </w:tr>
      <w:tr w:rsidRPr="00FA33C4" w:rsidR="0020320E" w:rsidTr="0060010D" w14:paraId="51879E6E" w14:textId="77777777">
        <w:tc>
          <w:tcPr>
            <w:tcW w:w="9180" w:type="dxa"/>
            <w:gridSpan w:val="2"/>
          </w:tcPr>
          <w:p w:rsidRPr="00FA33C4" w:rsidR="0020320E" w:rsidP="0060010D" w:rsidRDefault="0020320E" w14:paraId="0E1833CB" w14:textId="77777777">
            <w:pPr>
              <w:tabs>
                <w:tab w:val="center" w:pos="284"/>
              </w:tabs>
              <w:overflowPunct w:val="0"/>
              <w:autoSpaceDE w:val="0"/>
              <w:autoSpaceDN w:val="0"/>
              <w:adjustRightInd w:val="0"/>
              <w:ind w:left="266" w:hanging="266"/>
              <w:textAlignment w:val="baseline"/>
              <w:rPr>
                <w:sz w:val="20"/>
                <w:szCs w:val="20"/>
                <w:lang w:val="nl-BE"/>
              </w:rPr>
            </w:pPr>
          </w:p>
        </w:tc>
      </w:tr>
      <w:tr w:rsidRPr="00FA33C4" w:rsidR="0020320E" w:rsidTr="0060010D" w14:paraId="4E3C73DB" w14:textId="77777777">
        <w:tc>
          <w:tcPr>
            <w:tcW w:w="1701" w:type="dxa"/>
          </w:tcPr>
          <w:p w:rsidRPr="00FA33C4" w:rsidR="0020320E" w:rsidRDefault="0020320E" w14:paraId="5AD5B7D4"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7479" w:type="dxa"/>
          </w:tcPr>
          <w:p w:rsidRPr="00FA33C4" w:rsidR="0020320E" w:rsidRDefault="0020320E" w14:paraId="53FA1FFF" w14:textId="77777777">
            <w:pPr>
              <w:tabs>
                <w:tab w:val="center" w:pos="284"/>
              </w:tabs>
              <w:overflowPunct w:val="0"/>
              <w:autoSpaceDE w:val="0"/>
              <w:autoSpaceDN w:val="0"/>
              <w:adjustRightInd w:val="0"/>
              <w:ind w:left="266" w:hanging="266"/>
              <w:textAlignment w:val="baseline"/>
              <w:rPr>
                <w:sz w:val="20"/>
                <w:szCs w:val="20"/>
              </w:rPr>
            </w:pPr>
            <w:r>
              <w:rPr>
                <w:sz w:val="20"/>
              </w:rPr>
              <w:t>Pašiniciatīvas atzinums</w:t>
            </w:r>
          </w:p>
          <w:p w:rsidRPr="00FA33C4" w:rsidR="0020320E" w:rsidRDefault="0020320E" w14:paraId="3DAA6DA0" w14:textId="77777777">
            <w:pPr>
              <w:tabs>
                <w:tab w:val="center" w:pos="284"/>
              </w:tabs>
              <w:overflowPunct w:val="0"/>
              <w:autoSpaceDE w:val="0"/>
              <w:autoSpaceDN w:val="0"/>
              <w:adjustRightInd w:val="0"/>
              <w:ind w:left="266" w:hanging="266"/>
              <w:textAlignment w:val="baseline"/>
              <w:rPr>
                <w:sz w:val="20"/>
                <w:szCs w:val="20"/>
              </w:rPr>
            </w:pPr>
            <w:r>
              <w:rPr>
                <w:sz w:val="20"/>
              </w:rPr>
              <w:t>EESC-2024-00720-00-00-AC</w:t>
            </w:r>
          </w:p>
        </w:tc>
      </w:tr>
    </w:tbl>
    <w:p w:rsidRPr="0020320E" w:rsidR="0020320E" w:rsidRDefault="0020320E" w14:paraId="00358582" w14:textId="77777777">
      <w:pPr>
        <w:tabs>
          <w:tab w:val="center" w:pos="284"/>
        </w:tabs>
        <w:overflowPunct w:val="0"/>
        <w:autoSpaceDE w:val="0"/>
        <w:autoSpaceDN w:val="0"/>
        <w:adjustRightInd w:val="0"/>
        <w:ind w:left="266" w:hanging="266"/>
        <w:textAlignment w:val="baseline"/>
        <w:rPr>
          <w:lang w:val="en-GB"/>
        </w:rPr>
      </w:pPr>
    </w:p>
    <w:p w:rsidRPr="0020320E" w:rsidR="0020320E" w:rsidRDefault="0020320E" w14:paraId="204F83C0"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20320E" w:rsidR="0020320E" w:rsidRDefault="0020320E" w14:paraId="257E2715" w14:textId="77777777">
      <w:pPr>
        <w:keepNext/>
        <w:keepLines/>
        <w:tabs>
          <w:tab w:val="center" w:pos="284"/>
        </w:tabs>
        <w:overflowPunct w:val="0"/>
        <w:autoSpaceDE w:val="0"/>
        <w:autoSpaceDN w:val="0"/>
        <w:adjustRightInd w:val="0"/>
        <w:ind w:left="266" w:hanging="266"/>
        <w:textAlignment w:val="baseline"/>
        <w:rPr>
          <w:b/>
        </w:rPr>
      </w:pPr>
      <w:bookmarkStart w:name="_Hlk188970948" w:id="6"/>
    </w:p>
    <w:p w:rsidR="0020320E" w:rsidRDefault="0020320E" w14:paraId="73AE19AE" w14:textId="77777777">
      <w:pPr>
        <w:overflowPunct w:val="0"/>
        <w:autoSpaceDE w:val="0"/>
        <w:autoSpaceDN w:val="0"/>
        <w:adjustRightInd w:val="0"/>
        <w:textAlignment w:val="baseline"/>
        <w:rPr>
          <w:bCs/>
          <w:iCs/>
        </w:rPr>
      </w:pPr>
      <w:r>
        <w:t>EESK:</w:t>
      </w:r>
    </w:p>
    <w:p w:rsidRPr="0020320E" w:rsidR="0020320E" w:rsidP="0060010D" w:rsidRDefault="0020320E" w14:paraId="791C2C3B" w14:textId="77777777">
      <w:pPr>
        <w:widowControl w:val="0"/>
        <w:numPr>
          <w:ilvl w:val="0"/>
          <w:numId w:val="35"/>
        </w:numPr>
        <w:overflowPunct w:val="0"/>
        <w:autoSpaceDE w:val="0"/>
        <w:autoSpaceDN w:val="0"/>
        <w:adjustRightInd w:val="0"/>
        <w:ind w:left="567" w:hanging="567"/>
        <w:textAlignment w:val="baseline"/>
        <w:rPr>
          <w:szCs w:val="20"/>
        </w:rPr>
      </w:pPr>
      <w:bookmarkStart w:name="_Hlk188970778" w:id="7"/>
      <w:r>
        <w:t xml:space="preserve">aicina izstrādāt jaunu ES jūrniecības stratēģiju, kuras mērķis būtu izveidot Eiropas jūras telpu konkurētspējīgākai un ekonomiski, </w:t>
      </w:r>
      <w:proofErr w:type="spellStart"/>
      <w:r>
        <w:t>vidiski</w:t>
      </w:r>
      <w:proofErr w:type="spellEnd"/>
      <w:r>
        <w:t xml:space="preserve"> un sociāli ilgtspējīgākai ES kuģniecībai ar skaidriem </w:t>
      </w:r>
      <w:r>
        <w:lastRenderedPageBreak/>
        <w:t>un pārredzamiem noteikumiem, un kas ietvertu nodarbinātības dimensiju;</w:t>
      </w:r>
    </w:p>
    <w:p w:rsidRPr="0020320E" w:rsidR="0020320E" w:rsidP="0060010D" w:rsidRDefault="0020320E" w14:paraId="48D9D5BC" w14:textId="77777777">
      <w:pPr>
        <w:widowControl w:val="0"/>
        <w:numPr>
          <w:ilvl w:val="0"/>
          <w:numId w:val="35"/>
        </w:numPr>
        <w:overflowPunct w:val="0"/>
        <w:autoSpaceDE w:val="0"/>
        <w:autoSpaceDN w:val="0"/>
        <w:adjustRightInd w:val="0"/>
        <w:ind w:left="567" w:hanging="567"/>
        <w:textAlignment w:val="baseline"/>
        <w:rPr>
          <w:szCs w:val="20"/>
        </w:rPr>
      </w:pPr>
      <w:r>
        <w:t xml:space="preserve">ir vajadzīgs tūlītējs rīcības plāns, kas reaģētu uz ilgstošajām nelikumīgajām darbībām, jaunajiem un mainīgajiem draudiem, piemēram, uz ēnu </w:t>
      </w:r>
      <w:proofErr w:type="spellStart"/>
      <w:r>
        <w:t>flotu</w:t>
      </w:r>
      <w:proofErr w:type="spellEnd"/>
      <w:r>
        <w:t xml:space="preserve"> darbību un augošu ģeopolitisko konkurenci un kas atbilstu pašreizējām ES aizsardzības, starptautisko attiecību un tirdzniecības politikas vajadzībām;</w:t>
      </w:r>
      <w:bookmarkEnd w:id="7"/>
    </w:p>
    <w:p w:rsidRPr="0020320E" w:rsidR="0020320E" w:rsidP="0060010D" w:rsidRDefault="0020320E" w14:paraId="67E96257"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iestājas par patiesi vienlīdzīgiem konkurences apstākļiem, proti, standartiem neatbilstošus kuģus nedrīkst ļaut ekspluatēt Eiropas ūdeņos, kur tie konkurē ar kuģiem, kas reģistrēti augstas veiktspējas un vadošos reģistros;</w:t>
      </w:r>
    </w:p>
    <w:p w:rsidRPr="0020320E" w:rsidR="0020320E" w:rsidP="0060010D" w:rsidRDefault="0020320E" w14:paraId="7F6E83A9"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uzsver, ka ir jārada labvēlīga vide ES kontrolētās tonnāžas karoga maiņai atpakaļ uz ES valstu karogiem;</w:t>
      </w:r>
    </w:p>
    <w:p w:rsidRPr="0020320E" w:rsidR="0020320E" w:rsidP="0060010D" w:rsidRDefault="0020320E" w14:paraId="4DBDE55A" w14:textId="77777777">
      <w:pPr>
        <w:widowControl w:val="0"/>
        <w:numPr>
          <w:ilvl w:val="0"/>
          <w:numId w:val="35"/>
        </w:numPr>
        <w:overflowPunct w:val="0"/>
        <w:autoSpaceDE w:val="0"/>
        <w:autoSpaceDN w:val="0"/>
        <w:adjustRightInd w:val="0"/>
        <w:ind w:left="567" w:hanging="567"/>
        <w:contextualSpacing/>
        <w:textAlignment w:val="baseline"/>
      </w:pPr>
      <w:r>
        <w:t>uzsver tāda jauna sociālā līguma nozīmi, kas ietvertu šajā nozarē spēkā esošo tiesību aktu efektīvu īstenošanu un politisko gribu uzņemties juridiski saistošas likumdošanas iniciatīvas, kas jūrniekiem piedāvātu tādu pašu sociālās aizsardzības līmeni kā cilvēkiem, kuri strādā krastā.</w:t>
      </w:r>
    </w:p>
    <w:bookmarkEnd w:id="6"/>
    <w:p w:rsidRPr="0020320E" w:rsidR="0020320E" w:rsidRDefault="0020320E" w14:paraId="09148A63"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528"/>
        <w:gridCol w:w="7794"/>
      </w:tblGrid>
      <w:tr w:rsidRPr="00FA33C4" w:rsidR="0020320E" w:rsidTr="0060010D" w14:paraId="2CB5D10F" w14:textId="77777777">
        <w:tc>
          <w:tcPr>
            <w:tcW w:w="1418" w:type="dxa"/>
          </w:tcPr>
          <w:p w:rsidRPr="00FA33C4" w:rsidR="0020320E" w:rsidP="0060010D" w:rsidRDefault="0020320E" w14:paraId="740D9F86" w14:textId="77777777">
            <w:pPr>
              <w:overflowPunct w:val="0"/>
              <w:autoSpaceDE w:val="0"/>
              <w:autoSpaceDN w:val="0"/>
              <w:adjustRightInd w:val="0"/>
              <w:textAlignment w:val="baseline"/>
              <w:rPr>
                <w:i/>
                <w:sz w:val="20"/>
                <w:szCs w:val="20"/>
              </w:rPr>
            </w:pPr>
            <w:r>
              <w:rPr>
                <w:b/>
                <w:i/>
                <w:sz w:val="20"/>
              </w:rPr>
              <w:t>Kontaktpersona</w:t>
            </w:r>
          </w:p>
        </w:tc>
        <w:tc>
          <w:tcPr>
            <w:tcW w:w="7904" w:type="dxa"/>
          </w:tcPr>
          <w:p w:rsidRPr="00FA33C4" w:rsidR="0020320E" w:rsidP="0060010D" w:rsidRDefault="0020320E" w14:paraId="49ADD449" w14:textId="77777777">
            <w:pPr>
              <w:overflowPunct w:val="0"/>
              <w:autoSpaceDE w:val="0"/>
              <w:autoSpaceDN w:val="0"/>
              <w:adjustRightInd w:val="0"/>
              <w:textAlignment w:val="baseline"/>
              <w:rPr>
                <w:i/>
                <w:sz w:val="20"/>
                <w:szCs w:val="20"/>
              </w:rPr>
            </w:pPr>
            <w:r>
              <w:rPr>
                <w:i/>
                <w:sz w:val="20"/>
              </w:rPr>
              <w:t xml:space="preserve">Aleksandra </w:t>
            </w:r>
            <w:proofErr w:type="spellStart"/>
            <w:r>
              <w:rPr>
                <w:i/>
                <w:sz w:val="20"/>
              </w:rPr>
              <w:t>Sarman</w:t>
            </w:r>
            <w:proofErr w:type="spellEnd"/>
            <w:r>
              <w:rPr>
                <w:i/>
                <w:sz w:val="20"/>
              </w:rPr>
              <w:t xml:space="preserve"> </w:t>
            </w:r>
            <w:proofErr w:type="spellStart"/>
            <w:r>
              <w:rPr>
                <w:i/>
                <w:sz w:val="20"/>
              </w:rPr>
              <w:t>Grilc</w:t>
            </w:r>
            <w:proofErr w:type="spellEnd"/>
          </w:p>
        </w:tc>
      </w:tr>
      <w:tr w:rsidRPr="00FA33C4" w:rsidR="0020320E" w:rsidTr="0060010D" w14:paraId="1B816AB3" w14:textId="77777777">
        <w:tc>
          <w:tcPr>
            <w:tcW w:w="1418" w:type="dxa"/>
          </w:tcPr>
          <w:p w:rsidRPr="00FA33C4" w:rsidR="0020320E" w:rsidP="0060010D" w:rsidRDefault="0020320E" w14:paraId="5621EC70" w14:textId="77777777">
            <w:pPr>
              <w:overflowPunct w:val="0"/>
              <w:autoSpaceDE w:val="0"/>
              <w:autoSpaceDN w:val="0"/>
              <w:adjustRightInd w:val="0"/>
              <w:textAlignment w:val="baseline"/>
              <w:rPr>
                <w:i/>
                <w:sz w:val="20"/>
                <w:szCs w:val="20"/>
              </w:rPr>
            </w:pPr>
            <w:r>
              <w:rPr>
                <w:i/>
                <w:sz w:val="20"/>
              </w:rPr>
              <w:t>Tālr.:</w:t>
            </w:r>
          </w:p>
        </w:tc>
        <w:tc>
          <w:tcPr>
            <w:tcW w:w="7904" w:type="dxa"/>
          </w:tcPr>
          <w:p w:rsidRPr="00FA33C4" w:rsidR="0020320E" w:rsidP="0060010D" w:rsidRDefault="0020320E" w14:paraId="6E78632B" w14:textId="77777777">
            <w:pPr>
              <w:overflowPunct w:val="0"/>
              <w:autoSpaceDE w:val="0"/>
              <w:autoSpaceDN w:val="0"/>
              <w:adjustRightInd w:val="0"/>
              <w:textAlignment w:val="baseline"/>
              <w:rPr>
                <w:i/>
                <w:sz w:val="20"/>
                <w:szCs w:val="20"/>
              </w:rPr>
            </w:pPr>
            <w:r>
              <w:rPr>
                <w:i/>
                <w:sz w:val="20"/>
              </w:rPr>
              <w:t>+32 25468333</w:t>
            </w:r>
          </w:p>
        </w:tc>
      </w:tr>
      <w:tr w:rsidRPr="00FA33C4" w:rsidR="0020320E" w:rsidTr="0060010D" w14:paraId="15F5F4CB" w14:textId="77777777">
        <w:tc>
          <w:tcPr>
            <w:tcW w:w="1418" w:type="dxa"/>
          </w:tcPr>
          <w:p w:rsidRPr="00FA33C4" w:rsidR="0020320E" w:rsidP="0060010D" w:rsidRDefault="004E3508" w14:paraId="4EE71517" w14:textId="5A868EB8">
            <w:pPr>
              <w:overflowPunct w:val="0"/>
              <w:autoSpaceDE w:val="0"/>
              <w:autoSpaceDN w:val="0"/>
              <w:adjustRightInd w:val="0"/>
              <w:textAlignment w:val="baseline"/>
              <w:rPr>
                <w:i/>
                <w:sz w:val="20"/>
                <w:szCs w:val="20"/>
              </w:rPr>
            </w:pPr>
            <w:r>
              <w:rPr>
                <w:i/>
                <w:sz w:val="20"/>
              </w:rPr>
              <w:t>E-pasts:</w:t>
            </w:r>
          </w:p>
        </w:tc>
        <w:tc>
          <w:tcPr>
            <w:tcW w:w="7904" w:type="dxa"/>
          </w:tcPr>
          <w:p w:rsidRPr="00FA33C4" w:rsidR="0020320E" w:rsidP="0060010D" w:rsidRDefault="00E61064" w14:paraId="1220F8D0" w14:textId="77777777">
            <w:pPr>
              <w:overflowPunct w:val="0"/>
              <w:autoSpaceDE w:val="0"/>
              <w:autoSpaceDN w:val="0"/>
              <w:adjustRightInd w:val="0"/>
              <w:textAlignment w:val="baseline"/>
              <w:rPr>
                <w:i/>
                <w:iCs/>
                <w:sz w:val="20"/>
                <w:szCs w:val="20"/>
              </w:rPr>
            </w:pPr>
            <w:hyperlink w:history="1" r:id="rId28">
              <w:r w:rsidR="00465FCD">
                <w:rPr>
                  <w:i/>
                  <w:color w:val="0000FF"/>
                  <w:sz w:val="20"/>
                  <w:u w:val="single"/>
                </w:rPr>
                <w:t>Aleksandra.SarmanGrilc@eesc.europa.eu</w:t>
              </w:r>
            </w:hyperlink>
          </w:p>
        </w:tc>
      </w:tr>
    </w:tbl>
    <w:p w:rsidR="004D7AC0" w:rsidRDefault="004D7AC0" w14:paraId="4982DDEF" w14:textId="77777777">
      <w:pPr>
        <w:pStyle w:val="ListParagraph"/>
        <w:ind w:left="0"/>
      </w:pPr>
    </w:p>
    <w:p w:rsidR="004D7AC0" w:rsidRDefault="004D7AC0" w14:paraId="4982DDF0" w14:textId="77777777">
      <w:pPr>
        <w:pStyle w:val="ListParagraph"/>
        <w:ind w:left="0"/>
      </w:pPr>
    </w:p>
    <w:p w:rsidR="004D7AC0" w:rsidRDefault="004D7AC0" w14:paraId="4982DDF1" w14:textId="77777777">
      <w:pPr>
        <w:pStyle w:val="ListParagraph"/>
        <w:ind w:left="0"/>
      </w:pPr>
    </w:p>
    <w:p w:rsidR="004D7AC0" w:rsidP="0060010D" w:rsidRDefault="004D7AC0" w14:paraId="4982DDF2" w14:textId="77777777">
      <w:pPr>
        <w:jc w:val="left"/>
      </w:pPr>
      <w:r>
        <w:br w:type="page"/>
      </w:r>
    </w:p>
    <w:p w:rsidR="004D7AC0" w:rsidRDefault="004D7AC0" w14:paraId="4982DDF3" w14:textId="77777777">
      <w:pPr>
        <w:pStyle w:val="Heading1"/>
        <w:rPr>
          <w:b/>
        </w:rPr>
      </w:pPr>
      <w:bookmarkStart w:name="_Toc75527083" w:id="8"/>
      <w:bookmarkStart w:name="_Toc189562593" w:id="9"/>
      <w:r>
        <w:rPr>
          <w:b/>
        </w:rPr>
        <w:lastRenderedPageBreak/>
        <w:t>VIENOTAIS TIRGUS, RAŽOŠANA UN PATĒRIŅŠ</w:t>
      </w:r>
      <w:bookmarkEnd w:id="8"/>
      <w:bookmarkEnd w:id="9"/>
    </w:p>
    <w:p w:rsidR="004D7AC0" w:rsidRDefault="004D7AC0" w14:paraId="4982DDF4" w14:textId="77777777"/>
    <w:p w:rsidRPr="005B5258" w:rsidR="005B5258" w:rsidRDefault="00E61064" w14:paraId="7999FA16" w14:textId="12A5961E">
      <w:pPr>
        <w:widowControl w:val="0"/>
        <w:numPr>
          <w:ilvl w:val="0"/>
          <w:numId w:val="14"/>
        </w:numPr>
        <w:overflowPunct w:val="0"/>
        <w:autoSpaceDE w:val="0"/>
        <w:autoSpaceDN w:val="0"/>
        <w:adjustRightInd w:val="0"/>
        <w:ind w:hanging="567"/>
        <w:textAlignment w:val="baseline"/>
        <w:rPr>
          <w:sz w:val="20"/>
          <w:szCs w:val="20"/>
        </w:rPr>
      </w:pPr>
      <w:hyperlink w:history="1" r:id="rId29">
        <w:r w:rsidR="005B5258">
          <w:rPr>
            <w:b/>
            <w:i/>
            <w:color w:val="0000FF"/>
            <w:sz w:val="28"/>
            <w:u w:val="single"/>
          </w:rPr>
          <w:t>Elektrisku transportlīdzekļu uzlādes iekārtas, saspiestas gāzes uzpildes iekārtas un elektroenerģijas, gāzes un siltumenerģijas skaitītāji</w:t>
        </w:r>
      </w:hyperlink>
    </w:p>
    <w:p w:rsidRPr="005B5258" w:rsidR="005B5258" w:rsidRDefault="005B5258" w14:paraId="231C293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235"/>
        <w:gridCol w:w="7087"/>
      </w:tblGrid>
      <w:tr w:rsidRPr="00FA33C4" w:rsidR="005B5258" w:rsidTr="0060010D" w14:paraId="5540D175" w14:textId="77777777">
        <w:tc>
          <w:tcPr>
            <w:tcW w:w="2235" w:type="dxa"/>
            <w:vMerge w:val="restart"/>
          </w:tcPr>
          <w:p w:rsidRPr="00FA33C4" w:rsidR="005B5258" w:rsidRDefault="005B5258" w14:paraId="2614C17C" w14:textId="3FA02A79">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7087" w:type="dxa"/>
          </w:tcPr>
          <w:p w:rsidRPr="00FA33C4" w:rsidR="00F02BB5" w:rsidRDefault="00F02BB5" w14:paraId="6ED29998" w14:textId="675BD2B5">
            <w:pPr>
              <w:tabs>
                <w:tab w:val="center" w:pos="284"/>
              </w:tabs>
              <w:overflowPunct w:val="0"/>
              <w:autoSpaceDE w:val="0"/>
              <w:autoSpaceDN w:val="0"/>
              <w:adjustRightInd w:val="0"/>
              <w:ind w:left="266" w:hanging="266"/>
              <w:textAlignment w:val="baseline"/>
              <w:rPr>
                <w:bCs/>
                <w:sz w:val="20"/>
                <w:szCs w:val="20"/>
              </w:rPr>
            </w:pPr>
            <w:r>
              <w:rPr>
                <w:sz w:val="20"/>
              </w:rPr>
              <w:t>C kategorijas atzinums</w:t>
            </w:r>
          </w:p>
          <w:p w:rsidRPr="00FA33C4" w:rsidR="005B5258" w:rsidRDefault="005B5258" w14:paraId="054F7B7B" w14:textId="757CA6A1">
            <w:pPr>
              <w:tabs>
                <w:tab w:val="center" w:pos="284"/>
              </w:tabs>
              <w:overflowPunct w:val="0"/>
              <w:autoSpaceDE w:val="0"/>
              <w:autoSpaceDN w:val="0"/>
              <w:adjustRightInd w:val="0"/>
              <w:ind w:left="266" w:hanging="266"/>
              <w:textAlignment w:val="baseline"/>
              <w:rPr>
                <w:sz w:val="20"/>
                <w:szCs w:val="20"/>
              </w:rPr>
            </w:pPr>
            <w:r>
              <w:rPr>
                <w:sz w:val="20"/>
              </w:rPr>
              <w:t xml:space="preserve">COM(2024) 561 </w:t>
            </w:r>
            <w:proofErr w:type="spellStart"/>
            <w:r>
              <w:rPr>
                <w:sz w:val="20"/>
              </w:rPr>
              <w:t>final</w:t>
            </w:r>
            <w:proofErr w:type="spellEnd"/>
          </w:p>
        </w:tc>
      </w:tr>
      <w:tr w:rsidRPr="00FA33C4" w:rsidR="005B5258" w:rsidTr="0060010D" w14:paraId="01D59A37" w14:textId="77777777">
        <w:tc>
          <w:tcPr>
            <w:tcW w:w="2235" w:type="dxa"/>
            <w:vMerge/>
          </w:tcPr>
          <w:p w:rsidRPr="00FA33C4" w:rsidR="005B5258" w:rsidRDefault="005B5258" w14:paraId="32B0630D" w14:textId="77777777">
            <w:pPr>
              <w:tabs>
                <w:tab w:val="center" w:pos="284"/>
              </w:tabs>
              <w:overflowPunct w:val="0"/>
              <w:autoSpaceDE w:val="0"/>
              <w:autoSpaceDN w:val="0"/>
              <w:adjustRightInd w:val="0"/>
              <w:ind w:left="266" w:hanging="266"/>
              <w:textAlignment w:val="baseline"/>
              <w:rPr>
                <w:b/>
                <w:sz w:val="20"/>
                <w:szCs w:val="20"/>
              </w:rPr>
            </w:pPr>
          </w:p>
        </w:tc>
        <w:tc>
          <w:tcPr>
            <w:tcW w:w="7087" w:type="dxa"/>
          </w:tcPr>
          <w:p w:rsidRPr="00FA33C4" w:rsidR="005B5258" w:rsidRDefault="005B5258" w14:paraId="33D4B2A1" w14:textId="4A11755C">
            <w:pPr>
              <w:tabs>
                <w:tab w:val="center" w:pos="284"/>
              </w:tabs>
              <w:overflowPunct w:val="0"/>
              <w:autoSpaceDE w:val="0"/>
              <w:autoSpaceDN w:val="0"/>
              <w:adjustRightInd w:val="0"/>
              <w:ind w:left="266" w:hanging="266"/>
              <w:textAlignment w:val="baseline"/>
              <w:rPr>
                <w:sz w:val="20"/>
                <w:szCs w:val="20"/>
              </w:rPr>
            </w:pPr>
            <w:r>
              <w:rPr>
                <w:sz w:val="20"/>
              </w:rPr>
              <w:t>EESC-2025-00177-00-00-AC</w:t>
            </w:r>
          </w:p>
        </w:tc>
      </w:tr>
    </w:tbl>
    <w:p w:rsidRPr="005B5258" w:rsidR="005B5258" w:rsidRDefault="005B5258" w14:paraId="7A89EDA5" w14:textId="77777777">
      <w:pPr>
        <w:tabs>
          <w:tab w:val="center" w:pos="284"/>
        </w:tabs>
        <w:overflowPunct w:val="0"/>
        <w:autoSpaceDE w:val="0"/>
        <w:autoSpaceDN w:val="0"/>
        <w:adjustRightInd w:val="0"/>
        <w:ind w:left="266" w:hanging="266"/>
        <w:textAlignment w:val="baseline"/>
        <w:rPr>
          <w:lang w:val="en-GB"/>
        </w:rPr>
      </w:pPr>
    </w:p>
    <w:p w:rsidRPr="005B5258" w:rsidR="005B5258" w:rsidRDefault="005B5258" w14:paraId="186EBF98"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5B5258" w:rsidR="005B5258" w:rsidRDefault="005B5258" w14:paraId="6BB8DCF1" w14:textId="77777777">
      <w:pPr>
        <w:keepNext/>
        <w:keepLines/>
        <w:tabs>
          <w:tab w:val="center" w:pos="284"/>
        </w:tabs>
        <w:overflowPunct w:val="0"/>
        <w:autoSpaceDE w:val="0"/>
        <w:autoSpaceDN w:val="0"/>
        <w:adjustRightInd w:val="0"/>
        <w:ind w:left="266" w:hanging="266"/>
        <w:textAlignment w:val="baseline"/>
        <w:rPr>
          <w:b/>
          <w:lang w:val="en-GB"/>
        </w:rPr>
      </w:pPr>
    </w:p>
    <w:p w:rsidRPr="005B5258" w:rsidR="005B5258" w:rsidRDefault="005B5258" w14:paraId="2E0108A1" w14:textId="77777777">
      <w:pPr>
        <w:overflowPunct w:val="0"/>
        <w:autoSpaceDE w:val="0"/>
        <w:autoSpaceDN w:val="0"/>
        <w:adjustRightInd w:val="0"/>
        <w:textAlignment w:val="baseline"/>
        <w:rPr>
          <w:bCs/>
          <w:iCs/>
        </w:rPr>
      </w:pPr>
      <w:r>
        <w:t>EESK ir pieņēmusi lēmumu sniegt atzinumu, kurā atbalstīts ierosinātais dokuments.</w:t>
      </w:r>
    </w:p>
    <w:p w:rsidRPr="005B5258" w:rsidR="005B5258" w:rsidRDefault="005B5258" w14:paraId="4EB77E0C"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595"/>
        <w:gridCol w:w="7727"/>
      </w:tblGrid>
      <w:tr w:rsidRPr="00FA33C4" w:rsidR="005B5258" w:rsidTr="0060010D" w14:paraId="7838A103" w14:textId="77777777">
        <w:tc>
          <w:tcPr>
            <w:tcW w:w="1418" w:type="dxa"/>
          </w:tcPr>
          <w:p w:rsidRPr="00FA33C4" w:rsidR="005B5258" w:rsidP="0060010D" w:rsidRDefault="005B5258" w14:paraId="706B817A" w14:textId="77777777">
            <w:pPr>
              <w:overflowPunct w:val="0"/>
              <w:autoSpaceDE w:val="0"/>
              <w:autoSpaceDN w:val="0"/>
              <w:adjustRightInd w:val="0"/>
              <w:textAlignment w:val="baseline"/>
              <w:rPr>
                <w:i/>
                <w:sz w:val="20"/>
                <w:szCs w:val="20"/>
              </w:rPr>
            </w:pPr>
            <w:r>
              <w:rPr>
                <w:b/>
                <w:i/>
                <w:sz w:val="20"/>
              </w:rPr>
              <w:t>Kontaktpersona:</w:t>
            </w:r>
          </w:p>
        </w:tc>
        <w:tc>
          <w:tcPr>
            <w:tcW w:w="7904" w:type="dxa"/>
          </w:tcPr>
          <w:p w:rsidRPr="00FA33C4" w:rsidR="005B5258" w:rsidP="0060010D" w:rsidRDefault="005B5258" w14:paraId="67530D78" w14:textId="77777777">
            <w:pPr>
              <w:overflowPunct w:val="0"/>
              <w:autoSpaceDE w:val="0"/>
              <w:autoSpaceDN w:val="0"/>
              <w:adjustRightInd w:val="0"/>
              <w:textAlignment w:val="baseline"/>
              <w:rPr>
                <w:i/>
                <w:sz w:val="20"/>
                <w:szCs w:val="20"/>
              </w:rPr>
            </w:pPr>
            <w:proofErr w:type="spellStart"/>
            <w:r>
              <w:rPr>
                <w:i/>
                <w:sz w:val="20"/>
              </w:rPr>
              <w:t>Alice</w:t>
            </w:r>
            <w:proofErr w:type="spellEnd"/>
            <w:r>
              <w:rPr>
                <w:i/>
                <w:sz w:val="20"/>
              </w:rPr>
              <w:t xml:space="preserve"> </w:t>
            </w:r>
            <w:proofErr w:type="spellStart"/>
            <w:r>
              <w:rPr>
                <w:i/>
                <w:sz w:val="20"/>
              </w:rPr>
              <w:t>Tétu</w:t>
            </w:r>
            <w:proofErr w:type="spellEnd"/>
          </w:p>
        </w:tc>
      </w:tr>
      <w:tr w:rsidRPr="00FA33C4" w:rsidR="005B5258" w:rsidTr="0060010D" w14:paraId="29FF2DCC" w14:textId="77777777">
        <w:tc>
          <w:tcPr>
            <w:tcW w:w="1418" w:type="dxa"/>
          </w:tcPr>
          <w:p w:rsidRPr="00FA33C4" w:rsidR="005B5258" w:rsidP="0060010D" w:rsidRDefault="005B5258" w14:paraId="2F85E9ED" w14:textId="77777777">
            <w:pPr>
              <w:overflowPunct w:val="0"/>
              <w:autoSpaceDE w:val="0"/>
              <w:autoSpaceDN w:val="0"/>
              <w:adjustRightInd w:val="0"/>
              <w:textAlignment w:val="baseline"/>
              <w:rPr>
                <w:i/>
                <w:sz w:val="20"/>
                <w:szCs w:val="20"/>
              </w:rPr>
            </w:pPr>
            <w:r>
              <w:rPr>
                <w:i/>
                <w:sz w:val="20"/>
              </w:rPr>
              <w:t>Tālr.:</w:t>
            </w:r>
          </w:p>
        </w:tc>
        <w:tc>
          <w:tcPr>
            <w:tcW w:w="7904" w:type="dxa"/>
          </w:tcPr>
          <w:p w:rsidRPr="00FA33C4" w:rsidR="005B5258" w:rsidP="0060010D" w:rsidRDefault="005B5258" w14:paraId="3F6BEA10" w14:textId="77777777">
            <w:pPr>
              <w:overflowPunct w:val="0"/>
              <w:autoSpaceDE w:val="0"/>
              <w:autoSpaceDN w:val="0"/>
              <w:adjustRightInd w:val="0"/>
              <w:textAlignment w:val="baseline"/>
              <w:rPr>
                <w:i/>
                <w:sz w:val="20"/>
                <w:szCs w:val="20"/>
              </w:rPr>
            </w:pPr>
            <w:r>
              <w:rPr>
                <w:i/>
                <w:sz w:val="20"/>
              </w:rPr>
              <w:t>+ 32 25468286</w:t>
            </w:r>
          </w:p>
        </w:tc>
      </w:tr>
      <w:tr w:rsidRPr="00FA33C4" w:rsidR="005B5258" w:rsidTr="0060010D" w14:paraId="1A19F622" w14:textId="77777777">
        <w:tc>
          <w:tcPr>
            <w:tcW w:w="1418" w:type="dxa"/>
          </w:tcPr>
          <w:p w:rsidRPr="00FA33C4" w:rsidR="005B5258" w:rsidP="0060010D" w:rsidRDefault="00F02BB5" w14:paraId="3D8CB79D" w14:textId="1AD02277">
            <w:pPr>
              <w:overflowPunct w:val="0"/>
              <w:autoSpaceDE w:val="0"/>
              <w:autoSpaceDN w:val="0"/>
              <w:adjustRightInd w:val="0"/>
              <w:textAlignment w:val="baseline"/>
              <w:rPr>
                <w:i/>
                <w:sz w:val="20"/>
                <w:szCs w:val="20"/>
              </w:rPr>
            </w:pPr>
            <w:r>
              <w:rPr>
                <w:i/>
                <w:sz w:val="20"/>
              </w:rPr>
              <w:t>E-pasts:</w:t>
            </w:r>
          </w:p>
        </w:tc>
        <w:tc>
          <w:tcPr>
            <w:tcW w:w="7904" w:type="dxa"/>
          </w:tcPr>
          <w:p w:rsidRPr="00FA33C4" w:rsidR="005B5258" w:rsidP="0060010D" w:rsidRDefault="00E61064" w14:paraId="5A6CC6F8" w14:textId="77777777">
            <w:pPr>
              <w:overflowPunct w:val="0"/>
              <w:autoSpaceDE w:val="0"/>
              <w:autoSpaceDN w:val="0"/>
              <w:adjustRightInd w:val="0"/>
              <w:textAlignment w:val="baseline"/>
              <w:rPr>
                <w:i/>
                <w:sz w:val="20"/>
                <w:szCs w:val="20"/>
              </w:rPr>
            </w:pPr>
            <w:hyperlink w:history="1" r:id="rId30">
              <w:r w:rsidR="00465FCD">
                <w:rPr>
                  <w:i/>
                  <w:color w:val="0000FF"/>
                  <w:sz w:val="20"/>
                  <w:u w:val="single"/>
                </w:rPr>
                <w:t>Alice.Tetu@eesc.europa.eu</w:t>
              </w:r>
            </w:hyperlink>
          </w:p>
        </w:tc>
      </w:tr>
    </w:tbl>
    <w:p w:rsidR="00EE160A" w:rsidP="00EE160A" w:rsidRDefault="00EE160A" w14:paraId="7C08FFF5" w14:textId="77777777">
      <w:pPr>
        <w:jc w:val="left"/>
      </w:pPr>
    </w:p>
    <w:p w:rsidR="0084417F" w:rsidP="000D43E1" w:rsidRDefault="0084417F" w14:paraId="4982DE1C" w14:textId="3CD6FBC7">
      <w:pPr>
        <w:jc w:val="left"/>
      </w:pPr>
    </w:p>
    <w:p w:rsidRPr="000D43E1" w:rsidR="000D43E1" w:rsidP="000D43E1" w:rsidRDefault="00E61064" w14:paraId="1E85D6DD" w14:textId="245E2CB6">
      <w:pPr>
        <w:pStyle w:val="ListParagraph"/>
        <w:numPr>
          <w:ilvl w:val="0"/>
          <w:numId w:val="59"/>
        </w:numPr>
        <w:ind w:left="567" w:hanging="567"/>
        <w:jc w:val="left"/>
        <w:rPr>
          <w:b/>
          <w:bCs/>
          <w:i/>
          <w:iCs/>
          <w:sz w:val="32"/>
          <w:szCs w:val="32"/>
        </w:rPr>
      </w:pPr>
      <w:hyperlink w:history="1" r:id="rId31">
        <w:r w:rsidR="002E6E14">
          <w:rPr>
            <w:rStyle w:val="Hyperlink"/>
            <w:b/>
            <w:i/>
            <w:sz w:val="32"/>
          </w:rPr>
          <w:t xml:space="preserve">Kā atbalstīt sociālās ekonomikas struktūras saskaņā ar valsts atbalsta noteikumiem: pārdomas pēc ieteikumiem no </w:t>
        </w:r>
        <w:proofErr w:type="spellStart"/>
        <w:r w:rsidR="002E6E14">
          <w:rPr>
            <w:rStyle w:val="Hyperlink"/>
            <w:b/>
            <w:i/>
            <w:iCs/>
            <w:sz w:val="32"/>
          </w:rPr>
          <w:t>Enrico</w:t>
        </w:r>
        <w:proofErr w:type="spellEnd"/>
        <w:r w:rsidR="002E6E14">
          <w:rPr>
            <w:rStyle w:val="Hyperlink"/>
            <w:b/>
            <w:i/>
            <w:iCs/>
            <w:sz w:val="32"/>
          </w:rPr>
          <w:t> </w:t>
        </w:r>
        <w:proofErr w:type="spellStart"/>
        <w:r w:rsidR="002E6E14">
          <w:rPr>
            <w:rStyle w:val="Hyperlink"/>
            <w:b/>
            <w:i/>
            <w:iCs/>
            <w:sz w:val="32"/>
          </w:rPr>
          <w:t>Letta</w:t>
        </w:r>
        <w:proofErr w:type="spellEnd"/>
        <w:r w:rsidR="002E6E14">
          <w:rPr>
            <w:rStyle w:val="Hyperlink"/>
            <w:b/>
            <w:i/>
            <w:sz w:val="32"/>
          </w:rPr>
          <w:t xml:space="preserve"> ziņojuma</w:t>
        </w:r>
      </w:hyperlink>
    </w:p>
    <w:p w:rsidRPr="0060010D" w:rsidR="00BC6AA1" w:rsidRDefault="00BC6AA1" w14:paraId="1AF13DC1"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25"/>
        <w:gridCol w:w="7764"/>
      </w:tblGrid>
      <w:tr w:rsidRPr="00FA33C4" w:rsidR="009B04E2" w:rsidTr="0060010D" w14:paraId="6706979B" w14:textId="77777777">
        <w:trPr>
          <w:trHeight w:val="279"/>
        </w:trPr>
        <w:tc>
          <w:tcPr>
            <w:tcW w:w="821" w:type="pct"/>
          </w:tcPr>
          <w:p w:rsidRPr="00FA33C4" w:rsidR="009B04E2" w:rsidRDefault="009B04E2" w14:paraId="3F16C390" w14:textId="77777777">
            <w:pPr>
              <w:tabs>
                <w:tab w:val="center" w:pos="284"/>
              </w:tabs>
              <w:overflowPunct w:val="0"/>
              <w:autoSpaceDE w:val="0"/>
              <w:autoSpaceDN w:val="0"/>
              <w:adjustRightInd w:val="0"/>
              <w:ind w:left="266" w:hanging="266"/>
              <w:textAlignment w:val="baseline"/>
              <w:rPr>
                <w:b/>
                <w:sz w:val="20"/>
                <w:szCs w:val="20"/>
              </w:rPr>
            </w:pPr>
            <w:r>
              <w:rPr>
                <w:b/>
                <w:sz w:val="20"/>
              </w:rPr>
              <w:t>Ziņotājs</w:t>
            </w:r>
          </w:p>
        </w:tc>
        <w:tc>
          <w:tcPr>
            <w:tcW w:w="4179" w:type="pct"/>
          </w:tcPr>
          <w:p w:rsidRPr="00FA33C4" w:rsidR="009B04E2" w:rsidRDefault="009B04E2" w14:paraId="67594706" w14:textId="3DC6F31E">
            <w:pPr>
              <w:tabs>
                <w:tab w:val="center" w:pos="284"/>
              </w:tabs>
              <w:overflowPunct w:val="0"/>
              <w:autoSpaceDE w:val="0"/>
              <w:autoSpaceDN w:val="0"/>
              <w:adjustRightInd w:val="0"/>
              <w:ind w:left="266" w:hanging="266"/>
              <w:jc w:val="left"/>
              <w:textAlignment w:val="baseline"/>
              <w:rPr>
                <w:bCs/>
                <w:sz w:val="20"/>
                <w:szCs w:val="20"/>
              </w:rPr>
            </w:pPr>
            <w:proofErr w:type="spellStart"/>
            <w:r>
              <w:rPr>
                <w:sz w:val="20"/>
              </w:rPr>
              <w:t>Giuseppe</w:t>
            </w:r>
            <w:proofErr w:type="spellEnd"/>
            <w:r>
              <w:rPr>
                <w:sz w:val="20"/>
              </w:rPr>
              <w:t xml:space="preserve"> GUERINI (Pilsoniskās sabiedrības organizāciju grupa – IT)</w:t>
            </w:r>
          </w:p>
        </w:tc>
      </w:tr>
      <w:tr w:rsidRPr="00FA33C4" w:rsidR="009B04E2" w:rsidTr="0060010D" w14:paraId="3E8AE26E" w14:textId="77777777">
        <w:trPr>
          <w:trHeight w:val="165"/>
        </w:trPr>
        <w:tc>
          <w:tcPr>
            <w:tcW w:w="5000" w:type="pct"/>
            <w:gridSpan w:val="2"/>
          </w:tcPr>
          <w:p w:rsidRPr="00FA33C4" w:rsidR="009B04E2" w:rsidP="0060010D" w:rsidRDefault="009B04E2" w14:paraId="02F2FAC4" w14:textId="77777777">
            <w:pPr>
              <w:tabs>
                <w:tab w:val="center" w:pos="284"/>
              </w:tabs>
              <w:overflowPunct w:val="0"/>
              <w:autoSpaceDE w:val="0"/>
              <w:autoSpaceDN w:val="0"/>
              <w:adjustRightInd w:val="0"/>
              <w:ind w:left="266" w:hanging="266"/>
              <w:textAlignment w:val="baseline"/>
              <w:rPr>
                <w:sz w:val="20"/>
                <w:szCs w:val="20"/>
              </w:rPr>
            </w:pPr>
          </w:p>
        </w:tc>
      </w:tr>
      <w:tr w:rsidRPr="00FA33C4" w:rsidR="009B04E2" w:rsidTr="0060010D" w14:paraId="461881DC" w14:textId="77777777">
        <w:trPr>
          <w:trHeight w:val="500"/>
        </w:trPr>
        <w:tc>
          <w:tcPr>
            <w:tcW w:w="821" w:type="pct"/>
          </w:tcPr>
          <w:p w:rsidRPr="00FA33C4" w:rsidR="009B04E2" w:rsidRDefault="009B04E2" w14:paraId="711D7CC3"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4179" w:type="pct"/>
          </w:tcPr>
          <w:p w:rsidRPr="00FA33C4" w:rsidR="009B04E2" w:rsidRDefault="009B04E2" w14:paraId="13483DC7" w14:textId="77777777">
            <w:pPr>
              <w:tabs>
                <w:tab w:val="center" w:pos="284"/>
              </w:tabs>
              <w:overflowPunct w:val="0"/>
              <w:autoSpaceDE w:val="0"/>
              <w:autoSpaceDN w:val="0"/>
              <w:adjustRightInd w:val="0"/>
              <w:ind w:left="266" w:hanging="266"/>
              <w:textAlignment w:val="baseline"/>
              <w:rPr>
                <w:sz w:val="20"/>
                <w:szCs w:val="20"/>
              </w:rPr>
            </w:pPr>
            <w:r>
              <w:rPr>
                <w:sz w:val="20"/>
              </w:rPr>
              <w:t>Pašiniciatīvas atzinums</w:t>
            </w:r>
          </w:p>
          <w:p w:rsidRPr="00FA33C4" w:rsidR="009B04E2" w:rsidRDefault="009B04E2" w14:paraId="5576B55D" w14:textId="77777777">
            <w:pPr>
              <w:tabs>
                <w:tab w:val="center" w:pos="284"/>
              </w:tabs>
              <w:overflowPunct w:val="0"/>
              <w:autoSpaceDE w:val="0"/>
              <w:autoSpaceDN w:val="0"/>
              <w:adjustRightInd w:val="0"/>
              <w:ind w:left="266" w:hanging="266"/>
              <w:textAlignment w:val="baseline"/>
              <w:rPr>
                <w:sz w:val="20"/>
                <w:szCs w:val="20"/>
              </w:rPr>
            </w:pPr>
            <w:r>
              <w:rPr>
                <w:sz w:val="20"/>
              </w:rPr>
              <w:t>EESC-2024-03043-00-00-AC</w:t>
            </w:r>
          </w:p>
        </w:tc>
      </w:tr>
    </w:tbl>
    <w:p w:rsidR="00726351" w:rsidRDefault="00726351" w14:paraId="10731C32" w14:textId="77777777">
      <w:pPr>
        <w:keepNext/>
        <w:keepLines/>
        <w:tabs>
          <w:tab w:val="center" w:pos="284"/>
        </w:tabs>
        <w:overflowPunct w:val="0"/>
        <w:autoSpaceDE w:val="0"/>
        <w:autoSpaceDN w:val="0"/>
        <w:adjustRightInd w:val="0"/>
        <w:ind w:left="266" w:hanging="266"/>
        <w:textAlignment w:val="baseline"/>
        <w:rPr>
          <w:b/>
          <w:lang w:val="en-GB"/>
        </w:rPr>
      </w:pPr>
    </w:p>
    <w:p w:rsidRPr="009B04E2" w:rsidR="009B04E2" w:rsidRDefault="009B04E2" w14:paraId="56A16D26" w14:textId="6324A8F8">
      <w:pPr>
        <w:keepNext/>
        <w:keepLines/>
        <w:tabs>
          <w:tab w:val="center" w:pos="284"/>
        </w:tabs>
        <w:overflowPunct w:val="0"/>
        <w:autoSpaceDE w:val="0"/>
        <w:autoSpaceDN w:val="0"/>
        <w:adjustRightInd w:val="0"/>
        <w:ind w:left="266" w:hanging="266"/>
        <w:textAlignment w:val="baseline"/>
        <w:rPr>
          <w:b/>
        </w:rPr>
      </w:pPr>
      <w:r>
        <w:rPr>
          <w:b/>
        </w:rPr>
        <w:t>Galvenās nostādnes</w:t>
      </w:r>
    </w:p>
    <w:p w:rsidRPr="009B04E2" w:rsidR="009B04E2" w:rsidRDefault="009B04E2" w14:paraId="09E53714"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9B04E2" w:rsidR="009B04E2" w:rsidRDefault="009B04E2" w14:paraId="397EBFCD" w14:textId="77777777">
      <w:pPr>
        <w:overflowPunct w:val="0"/>
        <w:autoSpaceDE w:val="0"/>
        <w:autoSpaceDN w:val="0"/>
        <w:adjustRightInd w:val="0"/>
        <w:textAlignment w:val="baseline"/>
        <w:rPr>
          <w:bCs/>
          <w:iCs/>
        </w:rPr>
      </w:pPr>
      <w:r>
        <w:t>EESK:</w:t>
      </w:r>
    </w:p>
    <w:p w:rsidRPr="009B04E2" w:rsidR="009B04E2" w:rsidP="0060010D" w:rsidRDefault="009B04E2" w14:paraId="279BECB5" w14:textId="77777777">
      <w:pPr>
        <w:widowControl w:val="0"/>
        <w:numPr>
          <w:ilvl w:val="0"/>
          <w:numId w:val="36"/>
        </w:numPr>
        <w:overflowPunct w:val="0"/>
        <w:autoSpaceDE w:val="0"/>
        <w:autoSpaceDN w:val="0"/>
        <w:adjustRightInd w:val="0"/>
        <w:ind w:left="567" w:hanging="567"/>
        <w:textAlignment w:val="baseline"/>
        <w:rPr>
          <w:bCs/>
          <w:iCs/>
        </w:rPr>
      </w:pPr>
      <w:r>
        <w:t>uzsver, ka svarīgi ir saskaņot nepieciešamību pēc spēcīga publiskā atbalsta sociālās ekonomikas struktūrām, kuras bieži vien pilda funkcijas, ko agrāk pildījušas valstis, ar ES Pamatnostādnēm par valsts atbalstu;</w:t>
      </w:r>
    </w:p>
    <w:p w:rsidRPr="009B04E2" w:rsidR="009B04E2" w:rsidP="0060010D" w:rsidRDefault="009B04E2" w14:paraId="23D4912E" w14:textId="77777777">
      <w:pPr>
        <w:widowControl w:val="0"/>
        <w:numPr>
          <w:ilvl w:val="0"/>
          <w:numId w:val="36"/>
        </w:numPr>
        <w:overflowPunct w:val="0"/>
        <w:autoSpaceDE w:val="0"/>
        <w:autoSpaceDN w:val="0"/>
        <w:adjustRightInd w:val="0"/>
        <w:ind w:left="567" w:hanging="567"/>
        <w:textAlignment w:val="baseline"/>
        <w:rPr>
          <w:bCs/>
          <w:iCs/>
        </w:rPr>
      </w:pPr>
      <w:r>
        <w:t>uzsver sociālās ekonomikas struktūru nozīmi konkrētu risinājumu nodrošināšanā ES iedzīvotāju sociālajām vajadzībām;</w:t>
      </w:r>
    </w:p>
    <w:p w:rsidRPr="009B04E2" w:rsidR="009B04E2" w:rsidP="0060010D" w:rsidRDefault="009B04E2" w14:paraId="2CD258BF" w14:textId="77777777">
      <w:pPr>
        <w:widowControl w:val="0"/>
        <w:numPr>
          <w:ilvl w:val="0"/>
          <w:numId w:val="36"/>
        </w:numPr>
        <w:overflowPunct w:val="0"/>
        <w:autoSpaceDE w:val="0"/>
        <w:autoSpaceDN w:val="0"/>
        <w:adjustRightInd w:val="0"/>
        <w:ind w:left="567" w:hanging="567"/>
        <w:textAlignment w:val="baseline"/>
        <w:rPr>
          <w:bCs/>
          <w:iCs/>
        </w:rPr>
      </w:pPr>
      <w:r>
        <w:t>norāda, ka vairākos gadījumos un situācijās sociālās ekonomikas struktūru darbība ir balstīta uz solidaritātes matricu. Tajā pašā laikā daudzos gadījumos šo struktūru pārrobežu darbība sociālajā un veselības aprūpes jomā uzskatāma par nenozīmīgu, un tā nav tik liela, lai būtiski ietekmētu konkurenci starp dalībvalstīm;</w:t>
      </w:r>
    </w:p>
    <w:p w:rsidRPr="009B04E2" w:rsidR="009B04E2" w:rsidP="0060010D" w:rsidRDefault="009B04E2" w14:paraId="1CA3525C" w14:textId="77777777">
      <w:pPr>
        <w:widowControl w:val="0"/>
        <w:numPr>
          <w:ilvl w:val="0"/>
          <w:numId w:val="36"/>
        </w:numPr>
        <w:overflowPunct w:val="0"/>
        <w:autoSpaceDE w:val="0"/>
        <w:autoSpaceDN w:val="0"/>
        <w:adjustRightInd w:val="0"/>
        <w:ind w:left="567" w:hanging="567"/>
        <w:textAlignment w:val="baseline"/>
        <w:rPr>
          <w:bCs/>
          <w:iCs/>
        </w:rPr>
      </w:pPr>
      <w:r>
        <w:t>uzskata, ka būtu jāpastiprina un jāvienkāršo Vispārējā atbrīvojuma regulā izklāstītie noteikumi par atbalsta piešķiršanu nelabvēlīgā situācijā esošu darba ņēmēju vai darba ņēmēju ar invaliditāti pieņemšanai darbā;</w:t>
      </w:r>
    </w:p>
    <w:p w:rsidRPr="009B04E2" w:rsidR="009B04E2" w:rsidP="0060010D" w:rsidRDefault="009B04E2" w14:paraId="409B4506" w14:textId="77777777">
      <w:pPr>
        <w:widowControl w:val="0"/>
        <w:numPr>
          <w:ilvl w:val="0"/>
          <w:numId w:val="36"/>
        </w:numPr>
        <w:overflowPunct w:val="0"/>
        <w:autoSpaceDE w:val="0"/>
        <w:autoSpaceDN w:val="0"/>
        <w:adjustRightInd w:val="0"/>
        <w:ind w:left="567" w:hanging="567"/>
        <w:textAlignment w:val="baseline"/>
        <w:rPr>
          <w:bCs/>
          <w:iCs/>
        </w:rPr>
      </w:pPr>
      <w:r>
        <w:t xml:space="preserve">atzinīgi vērtē </w:t>
      </w:r>
      <w:proofErr w:type="spellStart"/>
      <w:r>
        <w:rPr>
          <w:i/>
          <w:iCs/>
        </w:rPr>
        <w:t>Letta</w:t>
      </w:r>
      <w:proofErr w:type="spellEnd"/>
      <w:r>
        <w:t xml:space="preserve"> ziņojumā iekļauto papildu priekšlikumu par nepieciešamību pašreizējo tiesisko regulējumu valsts atbalsta jomā pielāgot tā, lai sociālās ekonomikas uzņēmumiem sekmētu labāku piekļuvi kredītiem un finansējumam;</w:t>
      </w:r>
    </w:p>
    <w:p w:rsidRPr="009B04E2" w:rsidR="009B04E2" w:rsidP="0060010D" w:rsidRDefault="009B04E2" w14:paraId="1FB3DA76" w14:textId="77777777">
      <w:pPr>
        <w:widowControl w:val="0"/>
        <w:numPr>
          <w:ilvl w:val="0"/>
          <w:numId w:val="36"/>
        </w:numPr>
        <w:overflowPunct w:val="0"/>
        <w:autoSpaceDE w:val="0"/>
        <w:autoSpaceDN w:val="0"/>
        <w:adjustRightInd w:val="0"/>
        <w:ind w:left="567" w:hanging="567"/>
        <w:textAlignment w:val="baseline"/>
        <w:rPr>
          <w:bCs/>
          <w:iCs/>
        </w:rPr>
      </w:pPr>
      <w:r>
        <w:lastRenderedPageBreak/>
        <w:t>norāda, ka publiskās iestādes pienācīgi neizmanto tiesisko regulējumu par atbalstu vispārējas tautsaimnieciskas nozīmes pakalpojumiem;</w:t>
      </w:r>
    </w:p>
    <w:p w:rsidRPr="009B04E2" w:rsidR="009B04E2" w:rsidP="0060010D" w:rsidRDefault="009B04E2" w14:paraId="51D0AE31" w14:textId="77777777">
      <w:pPr>
        <w:widowControl w:val="0"/>
        <w:numPr>
          <w:ilvl w:val="0"/>
          <w:numId w:val="36"/>
        </w:numPr>
        <w:overflowPunct w:val="0"/>
        <w:autoSpaceDE w:val="0"/>
        <w:autoSpaceDN w:val="0"/>
        <w:adjustRightInd w:val="0"/>
        <w:ind w:left="567" w:hanging="567"/>
        <w:textAlignment w:val="baseline"/>
        <w:rPr>
          <w:bCs/>
          <w:iCs/>
        </w:rPr>
      </w:pPr>
      <w:r>
        <w:t>atzinīgi vērtē nākamās Eiropas Komisijas politikas pamatnostādnes, kurās paziņots, ka “mēs arī pārskatīsim mūsu valsts atbalsta noteikumus, lai nodrošinātu mājokļu atbalsta pasākumus, it īpaši attiecībā uz cenas ziņā pieejamiem energoefektīviem un sociāliem mājokļiem”;</w:t>
      </w:r>
    </w:p>
    <w:p w:rsidRPr="009B04E2" w:rsidR="009B04E2" w:rsidP="0060010D" w:rsidRDefault="009B04E2" w14:paraId="4DB77906" w14:textId="77777777">
      <w:pPr>
        <w:widowControl w:val="0"/>
        <w:numPr>
          <w:ilvl w:val="0"/>
          <w:numId w:val="36"/>
        </w:numPr>
        <w:overflowPunct w:val="0"/>
        <w:autoSpaceDE w:val="0"/>
        <w:autoSpaceDN w:val="0"/>
        <w:adjustRightInd w:val="0"/>
        <w:ind w:left="567" w:hanging="567"/>
        <w:textAlignment w:val="baseline"/>
        <w:rPr>
          <w:bCs/>
          <w:iCs/>
        </w:rPr>
      </w:pPr>
      <w:r>
        <w:t xml:space="preserve">mudina Eiropas Komisiju turpināt centienus īstenot Sociālās ekonomikas rīcības plānu saskaņā ar </w:t>
      </w:r>
      <w:proofErr w:type="spellStart"/>
      <w:r>
        <w:rPr>
          <w:i/>
          <w:iCs/>
        </w:rPr>
        <w:t>Liège</w:t>
      </w:r>
      <w:proofErr w:type="spellEnd"/>
      <w:r>
        <w:rPr>
          <w:i/>
          <w:iCs/>
        </w:rPr>
        <w:t xml:space="preserve"> </w:t>
      </w:r>
      <w:proofErr w:type="spellStart"/>
      <w:r>
        <w:rPr>
          <w:i/>
          <w:iCs/>
        </w:rPr>
        <w:t>Roadmap</w:t>
      </w:r>
      <w:proofErr w:type="spellEnd"/>
      <w:r>
        <w:rPr>
          <w:i/>
          <w:iCs/>
        </w:rPr>
        <w:t xml:space="preserve"> </w:t>
      </w:r>
      <w:proofErr w:type="spellStart"/>
      <w:r>
        <w:rPr>
          <w:i/>
          <w:iCs/>
        </w:rPr>
        <w:t>for</w:t>
      </w:r>
      <w:proofErr w:type="spellEnd"/>
      <w:r>
        <w:rPr>
          <w:i/>
          <w:iCs/>
        </w:rPr>
        <w:t xml:space="preserve"> </w:t>
      </w:r>
      <w:proofErr w:type="spellStart"/>
      <w:r>
        <w:rPr>
          <w:i/>
          <w:iCs/>
        </w:rPr>
        <w:t>Social</w:t>
      </w:r>
      <w:proofErr w:type="spellEnd"/>
      <w:r>
        <w:rPr>
          <w:i/>
          <w:iCs/>
        </w:rPr>
        <w:t xml:space="preserve"> </w:t>
      </w:r>
      <w:proofErr w:type="spellStart"/>
      <w:r>
        <w:rPr>
          <w:i/>
          <w:iCs/>
        </w:rPr>
        <w:t>Economy</w:t>
      </w:r>
      <w:proofErr w:type="spellEnd"/>
      <w:r>
        <w:t xml:space="preserve"> (</w:t>
      </w:r>
      <w:proofErr w:type="spellStart"/>
      <w:r>
        <w:t>Ljēžas</w:t>
      </w:r>
      <w:proofErr w:type="spellEnd"/>
      <w:r>
        <w:t xml:space="preserve"> ceļvedi sociālajai ekonomikai), un tā īstenošanas koordinēšana tika deleģēta vienam no jaunās kolēģijas komisāriem.</w:t>
      </w:r>
    </w:p>
    <w:p w:rsidRPr="009B04E2" w:rsidR="009B04E2" w:rsidRDefault="009B04E2" w14:paraId="12AAB240"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9B04E2" w:rsidTr="0060010D" w14:paraId="06061533" w14:textId="77777777">
        <w:tc>
          <w:tcPr>
            <w:tcW w:w="1090" w:type="pct"/>
          </w:tcPr>
          <w:p w:rsidRPr="00FA33C4" w:rsidR="009B04E2" w:rsidP="0060010D" w:rsidRDefault="009B04E2" w14:paraId="3984F746" w14:textId="77777777">
            <w:pPr>
              <w:overflowPunct w:val="0"/>
              <w:autoSpaceDE w:val="0"/>
              <w:autoSpaceDN w:val="0"/>
              <w:adjustRightInd w:val="0"/>
              <w:textAlignment w:val="baseline"/>
              <w:rPr>
                <w:i/>
                <w:sz w:val="20"/>
                <w:szCs w:val="20"/>
              </w:rPr>
            </w:pPr>
            <w:r>
              <w:rPr>
                <w:b/>
                <w:i/>
                <w:sz w:val="20"/>
              </w:rPr>
              <w:t>Kontaktpersona:</w:t>
            </w:r>
          </w:p>
        </w:tc>
        <w:tc>
          <w:tcPr>
            <w:tcW w:w="3910" w:type="pct"/>
          </w:tcPr>
          <w:p w:rsidRPr="00FA33C4" w:rsidR="009B04E2" w:rsidP="0060010D" w:rsidRDefault="009B04E2" w14:paraId="3D0F10D8" w14:textId="77777777">
            <w:pPr>
              <w:overflowPunct w:val="0"/>
              <w:autoSpaceDE w:val="0"/>
              <w:autoSpaceDN w:val="0"/>
              <w:adjustRightInd w:val="0"/>
              <w:textAlignment w:val="baseline"/>
              <w:rPr>
                <w:i/>
                <w:sz w:val="20"/>
                <w:szCs w:val="20"/>
              </w:rPr>
            </w:pPr>
            <w:proofErr w:type="spellStart"/>
            <w:r>
              <w:rPr>
                <w:i/>
                <w:sz w:val="20"/>
              </w:rPr>
              <w:t>Annalisa</w:t>
            </w:r>
            <w:proofErr w:type="spellEnd"/>
            <w:r>
              <w:rPr>
                <w:i/>
                <w:sz w:val="20"/>
              </w:rPr>
              <w:t xml:space="preserve"> </w:t>
            </w:r>
            <w:proofErr w:type="spellStart"/>
            <w:r>
              <w:rPr>
                <w:i/>
                <w:sz w:val="20"/>
              </w:rPr>
              <w:t>Tessarolo</w:t>
            </w:r>
            <w:proofErr w:type="spellEnd"/>
          </w:p>
        </w:tc>
      </w:tr>
      <w:tr w:rsidRPr="00FA33C4" w:rsidR="009B04E2" w:rsidTr="0060010D" w14:paraId="6F2C0004" w14:textId="77777777">
        <w:tc>
          <w:tcPr>
            <w:tcW w:w="1090" w:type="pct"/>
          </w:tcPr>
          <w:p w:rsidRPr="00FA33C4" w:rsidR="009B04E2" w:rsidP="0060010D" w:rsidRDefault="009B04E2" w14:paraId="3267FA21" w14:textId="77777777">
            <w:pPr>
              <w:overflowPunct w:val="0"/>
              <w:autoSpaceDE w:val="0"/>
              <w:autoSpaceDN w:val="0"/>
              <w:adjustRightInd w:val="0"/>
              <w:textAlignment w:val="baseline"/>
              <w:rPr>
                <w:i/>
                <w:sz w:val="20"/>
                <w:szCs w:val="20"/>
              </w:rPr>
            </w:pPr>
            <w:r>
              <w:rPr>
                <w:i/>
                <w:sz w:val="20"/>
              </w:rPr>
              <w:t>Tālr.:</w:t>
            </w:r>
          </w:p>
        </w:tc>
        <w:tc>
          <w:tcPr>
            <w:tcW w:w="3910" w:type="pct"/>
          </w:tcPr>
          <w:p w:rsidRPr="00FA33C4" w:rsidR="009B04E2" w:rsidP="0060010D" w:rsidRDefault="009B04E2" w14:paraId="59F38B18" w14:textId="77777777">
            <w:pPr>
              <w:overflowPunct w:val="0"/>
              <w:autoSpaceDE w:val="0"/>
              <w:autoSpaceDN w:val="0"/>
              <w:adjustRightInd w:val="0"/>
              <w:textAlignment w:val="baseline"/>
              <w:rPr>
                <w:i/>
                <w:sz w:val="20"/>
                <w:szCs w:val="20"/>
              </w:rPr>
            </w:pPr>
            <w:r>
              <w:rPr>
                <w:i/>
                <w:sz w:val="20"/>
              </w:rPr>
              <w:t>+32 25469732</w:t>
            </w:r>
          </w:p>
        </w:tc>
      </w:tr>
      <w:tr w:rsidRPr="00FA33C4" w:rsidR="009B04E2" w:rsidTr="0060010D" w14:paraId="20290266" w14:textId="77777777">
        <w:tc>
          <w:tcPr>
            <w:tcW w:w="1090" w:type="pct"/>
          </w:tcPr>
          <w:p w:rsidRPr="00FA33C4" w:rsidR="009B04E2" w:rsidP="0060010D" w:rsidRDefault="00BD6AD8" w14:paraId="060993AA" w14:textId="14698F1B">
            <w:pPr>
              <w:overflowPunct w:val="0"/>
              <w:autoSpaceDE w:val="0"/>
              <w:autoSpaceDN w:val="0"/>
              <w:adjustRightInd w:val="0"/>
              <w:textAlignment w:val="baseline"/>
              <w:rPr>
                <w:i/>
                <w:sz w:val="20"/>
                <w:szCs w:val="20"/>
              </w:rPr>
            </w:pPr>
            <w:r>
              <w:rPr>
                <w:i/>
                <w:sz w:val="20"/>
              </w:rPr>
              <w:t>E-pasts:</w:t>
            </w:r>
          </w:p>
        </w:tc>
        <w:tc>
          <w:tcPr>
            <w:tcW w:w="3910" w:type="pct"/>
          </w:tcPr>
          <w:p w:rsidRPr="00FA33C4" w:rsidR="009B04E2" w:rsidP="0060010D" w:rsidRDefault="00E61064" w14:paraId="38729E20" w14:textId="77777777">
            <w:pPr>
              <w:overflowPunct w:val="0"/>
              <w:autoSpaceDE w:val="0"/>
              <w:autoSpaceDN w:val="0"/>
              <w:adjustRightInd w:val="0"/>
              <w:textAlignment w:val="baseline"/>
              <w:rPr>
                <w:i/>
                <w:sz w:val="20"/>
                <w:szCs w:val="20"/>
              </w:rPr>
            </w:pPr>
            <w:hyperlink w:history="1" r:id="rId32">
              <w:r w:rsidR="00465FCD">
                <w:rPr>
                  <w:i/>
                  <w:color w:val="0000FF"/>
                  <w:sz w:val="20"/>
                  <w:u w:val="single"/>
                </w:rPr>
                <w:t>Annalisa.Tessarolo@eesc.europa.eu</w:t>
              </w:r>
            </w:hyperlink>
          </w:p>
        </w:tc>
      </w:tr>
    </w:tbl>
    <w:p w:rsidR="004D7AC0" w:rsidRDefault="004D7AC0" w14:paraId="46687114" w14:textId="6265E3D5">
      <w:pPr>
        <w:pStyle w:val="ListParagraph"/>
        <w:ind w:left="0"/>
        <w:rPr>
          <w:lang w:val="en-GB"/>
        </w:rPr>
      </w:pPr>
    </w:p>
    <w:p w:rsidRPr="0010406A" w:rsidR="00EE160A" w:rsidRDefault="00EE160A" w14:paraId="79E24043" w14:textId="77C83B07">
      <w:pPr>
        <w:pStyle w:val="ListParagraph"/>
        <w:ind w:left="0"/>
        <w:rPr>
          <w:sz w:val="8"/>
          <w:szCs w:val="8"/>
          <w:lang w:val="en-GB"/>
        </w:rPr>
      </w:pPr>
    </w:p>
    <w:p w:rsidRPr="00EE160A" w:rsidR="00EE160A" w:rsidP="00EE160A" w:rsidRDefault="00E61064" w14:paraId="578D82F0" w14:textId="1E2EC8F7">
      <w:pPr>
        <w:pStyle w:val="ListParagraph"/>
        <w:numPr>
          <w:ilvl w:val="0"/>
          <w:numId w:val="53"/>
        </w:numPr>
        <w:ind w:left="567" w:hanging="567"/>
        <w:rPr>
          <w:b/>
          <w:bCs/>
          <w:i/>
          <w:iCs/>
          <w:sz w:val="32"/>
          <w:szCs w:val="32"/>
        </w:rPr>
      </w:pPr>
      <w:hyperlink w:history="1" r:id="rId33">
        <w:r w:rsidR="002E6E14">
          <w:rPr>
            <w:rStyle w:val="Hyperlink"/>
            <w:b/>
            <w:i/>
            <w:sz w:val="32"/>
          </w:rPr>
          <w:t>Konkurences politika ES konkurētspējas pamatā</w:t>
        </w:r>
      </w:hyperlink>
    </w:p>
    <w:p w:rsidR="00EE160A" w:rsidRDefault="00EE160A" w14:paraId="71324E36" w14:textId="77777777">
      <w:pPr>
        <w:pStyle w:val="ListParagraph"/>
        <w:ind w:left="0"/>
        <w:rPr>
          <w:lang w:val="en-GB"/>
        </w:rPr>
      </w:pPr>
    </w:p>
    <w:tbl>
      <w:tblPr>
        <w:tblW w:w="5000" w:type="pct"/>
        <w:tblLook w:val="04A0" w:firstRow="1" w:lastRow="0" w:firstColumn="1" w:lastColumn="0" w:noHBand="0" w:noVBand="1"/>
      </w:tblPr>
      <w:tblGrid>
        <w:gridCol w:w="2025"/>
        <w:gridCol w:w="7264"/>
      </w:tblGrid>
      <w:tr w:rsidRPr="00FA33C4" w:rsidR="00B8503F" w:rsidTr="0060010D" w14:paraId="6B4D5454" w14:textId="77777777">
        <w:tc>
          <w:tcPr>
            <w:tcW w:w="1090" w:type="pct"/>
          </w:tcPr>
          <w:p w:rsidRPr="00FA33C4" w:rsidR="00B8503F" w:rsidRDefault="00B8503F" w14:paraId="6C58656A" w14:textId="77777777">
            <w:pPr>
              <w:tabs>
                <w:tab w:val="center" w:pos="284"/>
              </w:tabs>
              <w:overflowPunct w:val="0"/>
              <w:autoSpaceDE w:val="0"/>
              <w:autoSpaceDN w:val="0"/>
              <w:adjustRightInd w:val="0"/>
              <w:ind w:left="266" w:hanging="266"/>
              <w:textAlignment w:val="baseline"/>
              <w:rPr>
                <w:b/>
                <w:sz w:val="20"/>
                <w:szCs w:val="20"/>
              </w:rPr>
            </w:pPr>
            <w:r>
              <w:rPr>
                <w:b/>
                <w:sz w:val="20"/>
              </w:rPr>
              <w:t>Ziņotāja</w:t>
            </w:r>
          </w:p>
        </w:tc>
        <w:tc>
          <w:tcPr>
            <w:tcW w:w="3910" w:type="pct"/>
          </w:tcPr>
          <w:p w:rsidRPr="00FA33C4" w:rsidR="00B8503F" w:rsidRDefault="00B8503F" w14:paraId="16378746" w14:textId="15A4AD8B">
            <w:pPr>
              <w:tabs>
                <w:tab w:val="center" w:pos="284"/>
              </w:tabs>
              <w:overflowPunct w:val="0"/>
              <w:autoSpaceDE w:val="0"/>
              <w:autoSpaceDN w:val="0"/>
              <w:adjustRightInd w:val="0"/>
              <w:ind w:left="266" w:hanging="266"/>
              <w:textAlignment w:val="baseline"/>
              <w:rPr>
                <w:sz w:val="20"/>
                <w:szCs w:val="20"/>
              </w:rPr>
            </w:pPr>
            <w:r>
              <w:rPr>
                <w:sz w:val="20"/>
              </w:rPr>
              <w:t>Isabel YGLESIAS (Darba devēju grupa – ES)</w:t>
            </w:r>
          </w:p>
        </w:tc>
      </w:tr>
      <w:tr w:rsidRPr="00FA33C4" w:rsidR="00B8503F" w:rsidTr="0060010D" w14:paraId="4275B663" w14:textId="77777777">
        <w:tc>
          <w:tcPr>
            <w:tcW w:w="5000" w:type="pct"/>
            <w:gridSpan w:val="2"/>
          </w:tcPr>
          <w:p w:rsidRPr="00FA33C4" w:rsidR="00B8503F" w:rsidP="0060010D" w:rsidRDefault="00B8503F" w14:paraId="10A91ACC" w14:textId="77777777">
            <w:pPr>
              <w:tabs>
                <w:tab w:val="center" w:pos="284"/>
              </w:tabs>
              <w:overflowPunct w:val="0"/>
              <w:autoSpaceDE w:val="0"/>
              <w:autoSpaceDN w:val="0"/>
              <w:adjustRightInd w:val="0"/>
              <w:ind w:left="266" w:hanging="266"/>
              <w:textAlignment w:val="baseline"/>
              <w:rPr>
                <w:sz w:val="20"/>
                <w:szCs w:val="20"/>
              </w:rPr>
            </w:pPr>
          </w:p>
        </w:tc>
      </w:tr>
      <w:tr w:rsidRPr="00FA33C4" w:rsidR="00B8503F" w:rsidTr="0060010D" w14:paraId="3DC3FE49" w14:textId="77777777">
        <w:tc>
          <w:tcPr>
            <w:tcW w:w="1090" w:type="pct"/>
            <w:vMerge w:val="restart"/>
          </w:tcPr>
          <w:p w:rsidRPr="00FA33C4" w:rsidR="00B8503F" w:rsidRDefault="00B8503F" w14:paraId="38E2C93C"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3910" w:type="pct"/>
          </w:tcPr>
          <w:p w:rsidRPr="00FA33C4" w:rsidR="00B8503F" w:rsidRDefault="00B8503F" w14:paraId="6F4ED165" w14:textId="77777777">
            <w:pPr>
              <w:tabs>
                <w:tab w:val="center" w:pos="284"/>
              </w:tabs>
              <w:overflowPunct w:val="0"/>
              <w:autoSpaceDE w:val="0"/>
              <w:autoSpaceDN w:val="0"/>
              <w:adjustRightInd w:val="0"/>
              <w:ind w:left="266" w:hanging="266"/>
              <w:textAlignment w:val="baseline"/>
              <w:rPr>
                <w:sz w:val="20"/>
                <w:szCs w:val="20"/>
              </w:rPr>
            </w:pPr>
            <w:r>
              <w:rPr>
                <w:sz w:val="20"/>
              </w:rPr>
              <w:t>Pašiniciatīvas atzinums</w:t>
            </w:r>
          </w:p>
        </w:tc>
      </w:tr>
      <w:tr w:rsidRPr="00FA33C4" w:rsidR="00B8503F" w:rsidTr="0060010D" w14:paraId="061DD36D" w14:textId="77777777">
        <w:tc>
          <w:tcPr>
            <w:tcW w:w="1090" w:type="pct"/>
            <w:vMerge/>
          </w:tcPr>
          <w:p w:rsidRPr="00FA33C4" w:rsidR="00B8503F" w:rsidRDefault="00B8503F" w14:paraId="22FF1442" w14:textId="77777777">
            <w:pPr>
              <w:tabs>
                <w:tab w:val="center" w:pos="284"/>
              </w:tabs>
              <w:overflowPunct w:val="0"/>
              <w:autoSpaceDE w:val="0"/>
              <w:autoSpaceDN w:val="0"/>
              <w:adjustRightInd w:val="0"/>
              <w:ind w:left="266" w:hanging="266"/>
              <w:textAlignment w:val="baseline"/>
              <w:rPr>
                <w:b/>
                <w:sz w:val="20"/>
                <w:szCs w:val="20"/>
              </w:rPr>
            </w:pPr>
          </w:p>
        </w:tc>
        <w:tc>
          <w:tcPr>
            <w:tcW w:w="3910" w:type="pct"/>
          </w:tcPr>
          <w:p w:rsidRPr="00FA33C4" w:rsidR="00B8503F" w:rsidRDefault="00B8503F" w14:paraId="2EB8E45F" w14:textId="77777777">
            <w:pPr>
              <w:tabs>
                <w:tab w:val="center" w:pos="284"/>
              </w:tabs>
              <w:overflowPunct w:val="0"/>
              <w:autoSpaceDE w:val="0"/>
              <w:autoSpaceDN w:val="0"/>
              <w:adjustRightInd w:val="0"/>
              <w:ind w:left="266" w:hanging="266"/>
              <w:textAlignment w:val="baseline"/>
              <w:rPr>
                <w:sz w:val="20"/>
                <w:szCs w:val="20"/>
              </w:rPr>
            </w:pPr>
            <w:r>
              <w:rPr>
                <w:sz w:val="20"/>
              </w:rPr>
              <w:t>EESC-2024-01027-00-00-AC</w:t>
            </w:r>
          </w:p>
        </w:tc>
      </w:tr>
    </w:tbl>
    <w:p w:rsidRPr="00B8503F" w:rsidR="00B8503F" w:rsidRDefault="00B8503F" w14:paraId="4144B7F1" w14:textId="77777777">
      <w:pPr>
        <w:tabs>
          <w:tab w:val="center" w:pos="284"/>
        </w:tabs>
        <w:overflowPunct w:val="0"/>
        <w:autoSpaceDE w:val="0"/>
        <w:autoSpaceDN w:val="0"/>
        <w:adjustRightInd w:val="0"/>
        <w:ind w:left="266" w:hanging="266"/>
        <w:textAlignment w:val="baseline"/>
        <w:rPr>
          <w:lang w:val="en-GB"/>
        </w:rPr>
      </w:pPr>
    </w:p>
    <w:p w:rsidRPr="00B8503F" w:rsidR="00B8503F" w:rsidRDefault="00B8503F" w14:paraId="04516D00"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B8503F" w:rsidR="00B8503F" w:rsidRDefault="00B8503F" w14:paraId="42CF4150" w14:textId="77777777">
      <w:pPr>
        <w:keepNext/>
        <w:keepLines/>
        <w:tabs>
          <w:tab w:val="center" w:pos="284"/>
        </w:tabs>
        <w:overflowPunct w:val="0"/>
        <w:autoSpaceDE w:val="0"/>
        <w:autoSpaceDN w:val="0"/>
        <w:adjustRightInd w:val="0"/>
        <w:ind w:left="266" w:hanging="266"/>
        <w:textAlignment w:val="baseline"/>
        <w:rPr>
          <w:b/>
          <w:lang w:val="en-GB"/>
        </w:rPr>
      </w:pPr>
    </w:p>
    <w:p w:rsidR="00B8503F" w:rsidRDefault="00B8503F" w14:paraId="24096944" w14:textId="77777777">
      <w:pPr>
        <w:overflowPunct w:val="0"/>
        <w:autoSpaceDE w:val="0"/>
        <w:autoSpaceDN w:val="0"/>
        <w:adjustRightInd w:val="0"/>
        <w:textAlignment w:val="baseline"/>
        <w:rPr>
          <w:bCs/>
          <w:iCs/>
        </w:rPr>
      </w:pPr>
      <w:r>
        <w:t>EESK:</w:t>
      </w:r>
    </w:p>
    <w:p w:rsidRPr="00B8503F" w:rsidR="00B8503F" w:rsidP="0060010D" w:rsidRDefault="00B8503F" w14:paraId="181808F5" w14:textId="77777777">
      <w:pPr>
        <w:widowControl w:val="0"/>
        <w:numPr>
          <w:ilvl w:val="0"/>
          <w:numId w:val="37"/>
        </w:numPr>
        <w:overflowPunct w:val="0"/>
        <w:autoSpaceDE w:val="0"/>
        <w:autoSpaceDN w:val="0"/>
        <w:adjustRightInd w:val="0"/>
        <w:ind w:left="567" w:hanging="567"/>
        <w:textAlignment w:val="baseline"/>
      </w:pPr>
      <w:r>
        <w:t xml:space="preserve">uzsver, ka </w:t>
      </w:r>
      <w:r>
        <w:rPr>
          <w:b/>
        </w:rPr>
        <w:t>valsts atbalsts</w:t>
      </w:r>
      <w:r>
        <w:t xml:space="preserve"> var uzticami palīdzēt ES uzņēmumiem to pārkārtošanās centienos, piesaistot apjomīgās investīcijas, kas vajadzīgas šā kolektīvā mērķa sasniegšanai. Lai izvairītos no negatīvās ietekmes uz ES konkurētspēju, ko rada valsts atbalsta izkliede starp dalībvalstīm, ir būtiski nodrošināt, ka </w:t>
      </w:r>
      <w:r>
        <w:rPr>
          <w:b/>
        </w:rPr>
        <w:t>publiskais atbalsts tiek izmantots pēc iespējas efektīvāk, veicinot plašāku ietekmi un stiprinot Eiropas vērtības ķēdes</w:t>
      </w:r>
      <w:r>
        <w:t>;</w:t>
      </w:r>
    </w:p>
    <w:p w:rsidRPr="00B8503F" w:rsidR="00B8503F" w:rsidP="0060010D" w:rsidRDefault="00B8503F" w14:paraId="6D1C5BC5" w14:textId="77777777">
      <w:pPr>
        <w:widowControl w:val="0"/>
        <w:numPr>
          <w:ilvl w:val="0"/>
          <w:numId w:val="37"/>
        </w:numPr>
        <w:overflowPunct w:val="0"/>
        <w:autoSpaceDE w:val="0"/>
        <w:autoSpaceDN w:val="0"/>
        <w:adjustRightInd w:val="0"/>
        <w:ind w:left="567" w:hanging="567"/>
        <w:textAlignment w:val="baseline"/>
      </w:pPr>
      <w:r>
        <w:t xml:space="preserve">uzsver, ka </w:t>
      </w:r>
      <w:r>
        <w:rPr>
          <w:b/>
        </w:rPr>
        <w:t>apvienošanās kontroli apvienošanās novērtējuma attīstībā varētu tikt vairāk ņemtas vērā tirgu īpatnības</w:t>
      </w:r>
      <w:r>
        <w:t>, kuros izšķiroša loma ir ieguldījumiem infrastruktūrā, inovācijai vai ilgtspējai. Turklāt būtu jāievieš risinājums, kas ļautu kontrolēt uz inovācijām balstītu apvienošanos, uz kuru pašlaik neattiecas Komisijas Apvienošanās regulā noteiktās robežvērtības. Apvienošanos nekad nevajadzētu izmantot, lai aizstāvētu valstu intereses, un apvienošanās analīzē būtu jāņem vērā visu ieinteresēto personu viedokļi;</w:t>
      </w:r>
    </w:p>
    <w:p w:rsidRPr="00B8503F" w:rsidR="00B8503F" w:rsidP="0060010D" w:rsidRDefault="00B8503F" w14:paraId="73F97A51" w14:textId="77777777">
      <w:pPr>
        <w:widowControl w:val="0"/>
        <w:numPr>
          <w:ilvl w:val="0"/>
          <w:numId w:val="37"/>
        </w:numPr>
        <w:overflowPunct w:val="0"/>
        <w:autoSpaceDE w:val="0"/>
        <w:autoSpaceDN w:val="0"/>
        <w:adjustRightInd w:val="0"/>
        <w:ind w:left="567" w:hanging="567"/>
        <w:textAlignment w:val="baseline"/>
      </w:pPr>
      <w:r>
        <w:t>iesaka, ka, pārskatot noteikumus par svarīgiem projektiem visas Eiropas interesēs (</w:t>
      </w:r>
      <w:r>
        <w:rPr>
          <w:b/>
          <w:i/>
          <w:iCs/>
        </w:rPr>
        <w:t>IPCEI</w:t>
      </w:r>
      <w:r>
        <w:t xml:space="preserve">), ir jāveido instruments ar </w:t>
      </w:r>
      <w:r>
        <w:rPr>
          <w:b/>
        </w:rPr>
        <w:t>patiesu Eiropas pieeju</w:t>
      </w:r>
      <w:r>
        <w:t>, kas nodrošina, ka šādi instrumenti patiešām rada pārmaiņas un ka Eiropas Konkurētspējas fonds ir izveidots un ieviests ar Eiropas perspektīvu;</w:t>
      </w:r>
    </w:p>
    <w:p w:rsidRPr="00B8503F" w:rsidR="00B8503F" w:rsidP="0060010D" w:rsidRDefault="00B8503F" w14:paraId="44D6690A" w14:textId="77777777">
      <w:pPr>
        <w:widowControl w:val="0"/>
        <w:numPr>
          <w:ilvl w:val="0"/>
          <w:numId w:val="37"/>
        </w:numPr>
        <w:overflowPunct w:val="0"/>
        <w:autoSpaceDE w:val="0"/>
        <w:autoSpaceDN w:val="0"/>
        <w:adjustRightInd w:val="0"/>
        <w:ind w:left="567" w:hanging="567"/>
        <w:textAlignment w:val="baseline"/>
      </w:pPr>
      <w:r>
        <w:t xml:space="preserve">norāda, ka uzņēmumiem ir vajadzīga redzamība un juridiskā noteiktība. Lai gan tiek izstrādātas jaunas konkurences pieejas, būtu jāpieliek papildu pūles, lai </w:t>
      </w:r>
      <w:r>
        <w:rPr>
          <w:b/>
        </w:rPr>
        <w:t>racionalizētu pretmonopola, apvienošanās un valsts atbalsta procedūras un radītu skaidras pamatnostādnes</w:t>
      </w:r>
      <w:r>
        <w:t>. Par prioritāti būtu jānosaka pieeja, kuras pamatā ir jau esošie instrumenti vienotā tirgus padziļināšanai.</w:t>
      </w:r>
    </w:p>
    <w:p w:rsidRPr="00B8503F" w:rsidR="00B8503F" w:rsidRDefault="00B8503F" w14:paraId="708888F6" w14:textId="77777777">
      <w:pPr>
        <w:widowControl w:val="0"/>
        <w:overflowPunct w:val="0"/>
        <w:autoSpaceDE w:val="0"/>
        <w:autoSpaceDN w:val="0"/>
        <w:adjustRightInd w:val="0"/>
        <w:ind w:left="567" w:hanging="567"/>
        <w:textAlignment w:val="baseline"/>
        <w:rPr>
          <w:lang w:val="en-GB"/>
        </w:rPr>
      </w:pPr>
    </w:p>
    <w:tbl>
      <w:tblPr>
        <w:tblW w:w="4941" w:type="pct"/>
        <w:tblLook w:val="04A0" w:firstRow="1" w:lastRow="0" w:firstColumn="1" w:lastColumn="0" w:noHBand="0" w:noVBand="1"/>
      </w:tblPr>
      <w:tblGrid>
        <w:gridCol w:w="2032"/>
        <w:gridCol w:w="7147"/>
      </w:tblGrid>
      <w:tr w:rsidRPr="00FA33C4" w:rsidR="00B8503F" w:rsidTr="00FA33C4" w14:paraId="6322D817" w14:textId="77777777">
        <w:tc>
          <w:tcPr>
            <w:tcW w:w="1107" w:type="pct"/>
          </w:tcPr>
          <w:p w:rsidRPr="00FA33C4" w:rsidR="00B8503F" w:rsidP="0060010D" w:rsidRDefault="00B8503F" w14:paraId="40FB2786" w14:textId="77777777">
            <w:pPr>
              <w:overflowPunct w:val="0"/>
              <w:autoSpaceDE w:val="0"/>
              <w:autoSpaceDN w:val="0"/>
              <w:adjustRightInd w:val="0"/>
              <w:textAlignment w:val="baseline"/>
              <w:rPr>
                <w:i/>
                <w:sz w:val="20"/>
                <w:szCs w:val="20"/>
              </w:rPr>
            </w:pPr>
            <w:r>
              <w:rPr>
                <w:b/>
                <w:i/>
                <w:sz w:val="20"/>
              </w:rPr>
              <w:t>Kontaktpersona:</w:t>
            </w:r>
          </w:p>
        </w:tc>
        <w:tc>
          <w:tcPr>
            <w:tcW w:w="3893" w:type="pct"/>
          </w:tcPr>
          <w:p w:rsidRPr="00FA33C4" w:rsidR="00B8503F" w:rsidP="0060010D" w:rsidRDefault="00B8503F" w14:paraId="7E2817B8" w14:textId="77777777">
            <w:pPr>
              <w:overflowPunct w:val="0"/>
              <w:autoSpaceDE w:val="0"/>
              <w:autoSpaceDN w:val="0"/>
              <w:adjustRightInd w:val="0"/>
              <w:textAlignment w:val="baseline"/>
              <w:rPr>
                <w:i/>
                <w:sz w:val="20"/>
                <w:szCs w:val="20"/>
              </w:rPr>
            </w:pPr>
            <w:proofErr w:type="spellStart"/>
            <w:r>
              <w:rPr>
                <w:i/>
                <w:sz w:val="20"/>
              </w:rPr>
              <w:t>Staffa</w:t>
            </w:r>
            <w:proofErr w:type="spellEnd"/>
            <w:r>
              <w:rPr>
                <w:i/>
                <w:sz w:val="20"/>
              </w:rPr>
              <w:t xml:space="preserve"> Silvia</w:t>
            </w:r>
          </w:p>
        </w:tc>
      </w:tr>
      <w:tr w:rsidRPr="00FA33C4" w:rsidR="00B8503F" w:rsidTr="00FA33C4" w14:paraId="69EE4A34" w14:textId="77777777">
        <w:tc>
          <w:tcPr>
            <w:tcW w:w="1107" w:type="pct"/>
          </w:tcPr>
          <w:p w:rsidRPr="00FA33C4" w:rsidR="00B8503F" w:rsidP="0060010D" w:rsidRDefault="00B8503F" w14:paraId="4AC8DA13" w14:textId="77777777">
            <w:pPr>
              <w:overflowPunct w:val="0"/>
              <w:autoSpaceDE w:val="0"/>
              <w:autoSpaceDN w:val="0"/>
              <w:adjustRightInd w:val="0"/>
              <w:textAlignment w:val="baseline"/>
              <w:rPr>
                <w:i/>
                <w:sz w:val="20"/>
                <w:szCs w:val="20"/>
              </w:rPr>
            </w:pPr>
            <w:r>
              <w:rPr>
                <w:i/>
                <w:sz w:val="20"/>
              </w:rPr>
              <w:t>Tālr.:</w:t>
            </w:r>
          </w:p>
        </w:tc>
        <w:tc>
          <w:tcPr>
            <w:tcW w:w="3893" w:type="pct"/>
          </w:tcPr>
          <w:p w:rsidRPr="00FA33C4" w:rsidR="00B8503F" w:rsidP="0060010D" w:rsidRDefault="00B8503F" w14:paraId="1662DE13" w14:textId="77777777">
            <w:pPr>
              <w:overflowPunct w:val="0"/>
              <w:autoSpaceDE w:val="0"/>
              <w:autoSpaceDN w:val="0"/>
              <w:adjustRightInd w:val="0"/>
              <w:textAlignment w:val="baseline"/>
              <w:rPr>
                <w:i/>
                <w:sz w:val="20"/>
                <w:szCs w:val="20"/>
              </w:rPr>
            </w:pPr>
            <w:r>
              <w:rPr>
                <w:i/>
                <w:sz w:val="20"/>
              </w:rPr>
              <w:t>+32 25468378</w:t>
            </w:r>
          </w:p>
        </w:tc>
      </w:tr>
      <w:tr w:rsidRPr="00FA33C4" w:rsidR="00B8503F" w:rsidTr="00FA33C4" w14:paraId="29EEA00D" w14:textId="77777777">
        <w:tc>
          <w:tcPr>
            <w:tcW w:w="1107" w:type="pct"/>
          </w:tcPr>
          <w:p w:rsidRPr="00FA33C4" w:rsidR="00B8503F" w:rsidP="0060010D" w:rsidRDefault="006C0A65" w14:paraId="75A19BC8" w14:textId="69A27546">
            <w:pPr>
              <w:overflowPunct w:val="0"/>
              <w:autoSpaceDE w:val="0"/>
              <w:autoSpaceDN w:val="0"/>
              <w:adjustRightInd w:val="0"/>
              <w:textAlignment w:val="baseline"/>
              <w:rPr>
                <w:i/>
                <w:sz w:val="20"/>
                <w:szCs w:val="20"/>
              </w:rPr>
            </w:pPr>
            <w:r>
              <w:rPr>
                <w:i/>
                <w:sz w:val="20"/>
              </w:rPr>
              <w:t>E-pasts:</w:t>
            </w:r>
          </w:p>
        </w:tc>
        <w:tc>
          <w:tcPr>
            <w:tcW w:w="3893" w:type="pct"/>
          </w:tcPr>
          <w:p w:rsidRPr="00FA33C4" w:rsidR="00B8503F" w:rsidP="0060010D" w:rsidRDefault="00B8503F" w14:paraId="53E24144" w14:textId="77777777">
            <w:pPr>
              <w:overflowPunct w:val="0"/>
              <w:autoSpaceDE w:val="0"/>
              <w:autoSpaceDN w:val="0"/>
              <w:adjustRightInd w:val="0"/>
              <w:textAlignment w:val="baseline"/>
              <w:rPr>
                <w:i/>
                <w:sz w:val="20"/>
                <w:szCs w:val="20"/>
              </w:rPr>
            </w:pPr>
            <w:r>
              <w:rPr>
                <w:i/>
                <w:sz w:val="20"/>
              </w:rPr>
              <w:t>Silvia.Staffa@eesc.europa.eu</w:t>
            </w:r>
          </w:p>
        </w:tc>
      </w:tr>
    </w:tbl>
    <w:p w:rsidR="004D7AC0" w:rsidP="0060010D" w:rsidRDefault="004D7AC0" w14:paraId="4982DE1F" w14:textId="77777777">
      <w:pPr>
        <w:pStyle w:val="Heading1"/>
        <w:keepNext/>
        <w:keepLines/>
        <w:rPr>
          <w:b/>
        </w:rPr>
      </w:pPr>
      <w:bookmarkStart w:name="_Toc189059540" w:id="10"/>
      <w:bookmarkStart w:name="_Toc70322234" w:id="11"/>
      <w:bookmarkStart w:name="_Toc75527084" w:id="12"/>
      <w:bookmarkStart w:name="_Toc189562594" w:id="13"/>
      <w:bookmarkEnd w:id="10"/>
      <w:r>
        <w:rPr>
          <w:b/>
        </w:rPr>
        <w:lastRenderedPageBreak/>
        <w:t>LAUKSAIMNIECĪBA, LAUKU ATTĪSTĪBA UN VIDE</w:t>
      </w:r>
      <w:bookmarkEnd w:id="11"/>
      <w:bookmarkEnd w:id="12"/>
      <w:bookmarkEnd w:id="13"/>
    </w:p>
    <w:p w:rsidR="004D7AC0" w:rsidP="0060010D" w:rsidRDefault="004D7AC0" w14:paraId="4982DE20" w14:textId="77777777">
      <w:pPr>
        <w:keepNext/>
        <w:keepLines/>
      </w:pPr>
    </w:p>
    <w:p w:rsidRPr="00D24919" w:rsidR="00D24919" w:rsidP="0060010D" w:rsidRDefault="00E61064" w14:paraId="3C73BBEB" w14:textId="03CD3A6D">
      <w:pPr>
        <w:keepNext/>
        <w:keepLines/>
        <w:widowControl w:val="0"/>
        <w:numPr>
          <w:ilvl w:val="0"/>
          <w:numId w:val="10"/>
        </w:numPr>
        <w:overflowPunct w:val="0"/>
        <w:autoSpaceDE w:val="0"/>
        <w:autoSpaceDN w:val="0"/>
        <w:adjustRightInd w:val="0"/>
        <w:ind w:left="567" w:hanging="567"/>
        <w:textAlignment w:val="baseline"/>
        <w:rPr>
          <w:b/>
          <w:sz w:val="18"/>
          <w:szCs w:val="18"/>
        </w:rPr>
      </w:pPr>
      <w:hyperlink w:history="1" r:id="rId34">
        <w:r w:rsidR="00F70422">
          <w:rPr>
            <w:rStyle w:val="Hyperlink"/>
            <w:b/>
            <w:i/>
            <w:sz w:val="28"/>
          </w:rPr>
          <w:t>Zivju krājumu saglabāšana attiecībā uz valstīm, kas atļauj neilgtspējīgu zveju</w:t>
        </w:r>
      </w:hyperlink>
    </w:p>
    <w:p w:rsidRPr="00D24919" w:rsidR="00D24919" w:rsidP="0060010D" w:rsidRDefault="00D24919" w14:paraId="3EFCF7F8" w14:textId="77777777">
      <w:pPr>
        <w:keepNext/>
        <w:keepLines/>
        <w:widowControl w:val="0"/>
        <w:overflowPunct w:val="0"/>
        <w:autoSpaceDE w:val="0"/>
        <w:autoSpaceDN w:val="0"/>
        <w:adjustRightInd w:val="0"/>
        <w:ind w:left="266"/>
        <w:textAlignment w:val="baseline"/>
        <w:rPr>
          <w:b/>
          <w:sz w:val="18"/>
          <w:szCs w:val="18"/>
          <w:lang w:val="en-GB"/>
        </w:rPr>
      </w:pPr>
    </w:p>
    <w:tbl>
      <w:tblPr>
        <w:tblW w:w="5000" w:type="pct"/>
        <w:tblLook w:val="04A0" w:firstRow="1" w:lastRow="0" w:firstColumn="1" w:lastColumn="0" w:noHBand="0" w:noVBand="1"/>
      </w:tblPr>
      <w:tblGrid>
        <w:gridCol w:w="1561"/>
        <w:gridCol w:w="7728"/>
      </w:tblGrid>
      <w:tr w:rsidRPr="00FA33C4" w:rsidR="00D24919" w:rsidTr="0060010D" w14:paraId="02FFF65B" w14:textId="77777777">
        <w:trPr>
          <w:trHeight w:val="216"/>
        </w:trPr>
        <w:tc>
          <w:tcPr>
            <w:tcW w:w="840" w:type="pct"/>
          </w:tcPr>
          <w:p w:rsidRPr="00FA33C4" w:rsidR="00D24919" w:rsidRDefault="00D24919" w14:paraId="09C1B785" w14:textId="77777777">
            <w:pPr>
              <w:tabs>
                <w:tab w:val="center" w:pos="284"/>
              </w:tabs>
              <w:overflowPunct w:val="0"/>
              <w:autoSpaceDE w:val="0"/>
              <w:autoSpaceDN w:val="0"/>
              <w:adjustRightInd w:val="0"/>
              <w:ind w:left="266" w:hanging="266"/>
              <w:textAlignment w:val="baseline"/>
              <w:rPr>
                <w:b/>
                <w:sz w:val="20"/>
                <w:szCs w:val="20"/>
              </w:rPr>
            </w:pPr>
            <w:r>
              <w:rPr>
                <w:b/>
                <w:sz w:val="20"/>
              </w:rPr>
              <w:t>Ziņotājs</w:t>
            </w:r>
          </w:p>
        </w:tc>
        <w:tc>
          <w:tcPr>
            <w:tcW w:w="4160" w:type="pct"/>
          </w:tcPr>
          <w:p w:rsidRPr="00FA33C4" w:rsidR="00D24919" w:rsidRDefault="00D24919" w14:paraId="67AA154C" w14:textId="77777777">
            <w:pPr>
              <w:tabs>
                <w:tab w:val="center" w:pos="284"/>
              </w:tabs>
              <w:overflowPunct w:val="0"/>
              <w:autoSpaceDE w:val="0"/>
              <w:autoSpaceDN w:val="0"/>
              <w:adjustRightInd w:val="0"/>
              <w:ind w:left="266" w:hanging="266"/>
              <w:textAlignment w:val="baseline"/>
              <w:rPr>
                <w:sz w:val="20"/>
                <w:szCs w:val="20"/>
              </w:rPr>
            </w:pPr>
            <w:proofErr w:type="spellStart"/>
            <w:r>
              <w:rPr>
                <w:sz w:val="20"/>
              </w:rPr>
              <w:t>Javier</w:t>
            </w:r>
            <w:proofErr w:type="spellEnd"/>
            <w:r>
              <w:rPr>
                <w:sz w:val="20"/>
              </w:rPr>
              <w:t xml:space="preserve"> GARAT PÉREZ (Pilsoniskās sabiedrības organizāciju grupa – ES)</w:t>
            </w:r>
          </w:p>
        </w:tc>
      </w:tr>
      <w:tr w:rsidRPr="00FA33C4" w:rsidR="00465FCD" w:rsidTr="0060010D" w14:paraId="4911FFB7" w14:textId="77777777">
        <w:trPr>
          <w:trHeight w:val="216"/>
        </w:trPr>
        <w:tc>
          <w:tcPr>
            <w:tcW w:w="840" w:type="pct"/>
          </w:tcPr>
          <w:p w:rsidRPr="00FA33C4" w:rsidR="00465FCD" w:rsidP="007554BE" w:rsidRDefault="00465FCD" w14:paraId="2069D8BB" w14:textId="77777777">
            <w:pPr>
              <w:tabs>
                <w:tab w:val="center" w:pos="284"/>
              </w:tabs>
              <w:overflowPunct w:val="0"/>
              <w:autoSpaceDE w:val="0"/>
              <w:autoSpaceDN w:val="0"/>
              <w:adjustRightInd w:val="0"/>
              <w:ind w:left="266" w:hanging="266"/>
              <w:textAlignment w:val="baseline"/>
              <w:rPr>
                <w:b/>
                <w:sz w:val="20"/>
                <w:szCs w:val="20"/>
              </w:rPr>
            </w:pPr>
          </w:p>
        </w:tc>
        <w:tc>
          <w:tcPr>
            <w:tcW w:w="4160" w:type="pct"/>
          </w:tcPr>
          <w:p w:rsidRPr="00FA33C4" w:rsidR="00465FCD" w:rsidP="007554BE" w:rsidRDefault="00465FCD" w14:paraId="17AC53A8" w14:textId="77777777">
            <w:pPr>
              <w:tabs>
                <w:tab w:val="center" w:pos="284"/>
              </w:tabs>
              <w:overflowPunct w:val="0"/>
              <w:autoSpaceDE w:val="0"/>
              <w:autoSpaceDN w:val="0"/>
              <w:adjustRightInd w:val="0"/>
              <w:ind w:left="266" w:hanging="266"/>
              <w:textAlignment w:val="baseline"/>
              <w:rPr>
                <w:sz w:val="20"/>
                <w:szCs w:val="20"/>
              </w:rPr>
            </w:pPr>
          </w:p>
        </w:tc>
      </w:tr>
      <w:tr w:rsidRPr="00FA33C4" w:rsidR="00D24919" w:rsidTr="0060010D" w14:paraId="23D77389" w14:textId="77777777">
        <w:trPr>
          <w:trHeight w:val="301"/>
        </w:trPr>
        <w:tc>
          <w:tcPr>
            <w:tcW w:w="840" w:type="pct"/>
          </w:tcPr>
          <w:p w:rsidRPr="00FA33C4" w:rsidR="00D24919" w:rsidRDefault="00D24919" w14:paraId="309AAA32"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4160" w:type="pct"/>
          </w:tcPr>
          <w:p w:rsidRPr="00FA33C4" w:rsidR="00435AEF" w:rsidRDefault="00435AEF" w14:paraId="1CFC571D" w14:textId="015863F1">
            <w:pPr>
              <w:tabs>
                <w:tab w:val="center" w:pos="284"/>
              </w:tabs>
              <w:overflowPunct w:val="0"/>
              <w:autoSpaceDE w:val="0"/>
              <w:autoSpaceDN w:val="0"/>
              <w:adjustRightInd w:val="0"/>
              <w:ind w:left="266" w:hanging="266"/>
              <w:textAlignment w:val="baseline"/>
              <w:rPr>
                <w:sz w:val="20"/>
                <w:szCs w:val="20"/>
              </w:rPr>
            </w:pPr>
            <w:r>
              <w:rPr>
                <w:sz w:val="20"/>
              </w:rPr>
              <w:t xml:space="preserve">COM(2024) 407 </w:t>
            </w:r>
            <w:proofErr w:type="spellStart"/>
            <w:r>
              <w:rPr>
                <w:sz w:val="20"/>
              </w:rPr>
              <w:t>final</w:t>
            </w:r>
            <w:proofErr w:type="spellEnd"/>
          </w:p>
          <w:p w:rsidRPr="00FA33C4" w:rsidR="00D24919" w:rsidRDefault="00D24919" w14:paraId="38800F4B" w14:textId="5838FADA">
            <w:pPr>
              <w:tabs>
                <w:tab w:val="center" w:pos="284"/>
              </w:tabs>
              <w:overflowPunct w:val="0"/>
              <w:autoSpaceDE w:val="0"/>
              <w:autoSpaceDN w:val="0"/>
              <w:adjustRightInd w:val="0"/>
              <w:ind w:left="266" w:hanging="266"/>
              <w:textAlignment w:val="baseline"/>
              <w:rPr>
                <w:sz w:val="20"/>
                <w:szCs w:val="20"/>
              </w:rPr>
            </w:pPr>
            <w:r>
              <w:rPr>
                <w:sz w:val="20"/>
              </w:rPr>
              <w:t>EESC-2024-04192-00-00-AC</w:t>
            </w:r>
          </w:p>
        </w:tc>
      </w:tr>
    </w:tbl>
    <w:p w:rsidR="00726351" w:rsidRDefault="00726351" w14:paraId="436FAD70" w14:textId="77777777">
      <w:pPr>
        <w:keepNext/>
        <w:keepLines/>
        <w:overflowPunct w:val="0"/>
        <w:autoSpaceDE w:val="0"/>
        <w:autoSpaceDN w:val="0"/>
        <w:adjustRightInd w:val="0"/>
        <w:ind w:left="266" w:hanging="266"/>
        <w:textAlignment w:val="baseline"/>
        <w:rPr>
          <w:b/>
          <w:lang w:val="en-GB"/>
        </w:rPr>
      </w:pPr>
    </w:p>
    <w:p w:rsidRPr="00D24919" w:rsidR="00D24919" w:rsidRDefault="00D24919" w14:paraId="2E7DAA98" w14:textId="1C59FDF0">
      <w:pPr>
        <w:keepNext/>
        <w:keepLines/>
        <w:overflowPunct w:val="0"/>
        <w:autoSpaceDE w:val="0"/>
        <w:autoSpaceDN w:val="0"/>
        <w:adjustRightInd w:val="0"/>
        <w:ind w:left="266" w:hanging="266"/>
        <w:textAlignment w:val="baseline"/>
        <w:rPr>
          <w:b/>
        </w:rPr>
      </w:pPr>
      <w:r>
        <w:rPr>
          <w:b/>
        </w:rPr>
        <w:t>Galvenās nostādnes</w:t>
      </w:r>
    </w:p>
    <w:p w:rsidRPr="00D24919" w:rsidR="00D24919" w:rsidRDefault="00D24919" w14:paraId="26064889" w14:textId="77777777">
      <w:pPr>
        <w:keepNext/>
        <w:keepLines/>
        <w:tabs>
          <w:tab w:val="center" w:pos="284"/>
        </w:tabs>
        <w:overflowPunct w:val="0"/>
        <w:autoSpaceDE w:val="0"/>
        <w:autoSpaceDN w:val="0"/>
        <w:adjustRightInd w:val="0"/>
        <w:ind w:left="266" w:hanging="266"/>
        <w:textAlignment w:val="baseline"/>
        <w:rPr>
          <w:b/>
          <w:lang w:val="en-GB"/>
        </w:rPr>
      </w:pPr>
    </w:p>
    <w:p w:rsidRPr="00D24919" w:rsidR="00D24919" w:rsidRDefault="00D24919" w14:paraId="5A1975E7" w14:textId="77777777">
      <w:pPr>
        <w:overflowPunct w:val="0"/>
        <w:autoSpaceDE w:val="0"/>
        <w:autoSpaceDN w:val="0"/>
        <w:adjustRightInd w:val="0"/>
        <w:textAlignment w:val="baseline"/>
        <w:rPr>
          <w:bCs/>
          <w:iCs/>
        </w:rPr>
      </w:pPr>
      <w:r>
        <w:t>EESK:</w:t>
      </w:r>
    </w:p>
    <w:p w:rsidRPr="00D24919" w:rsidR="00D24919" w:rsidP="0060010D" w:rsidRDefault="00D24919" w14:paraId="5B86FB1D" w14:textId="77777777">
      <w:pPr>
        <w:widowControl w:val="0"/>
        <w:numPr>
          <w:ilvl w:val="0"/>
          <w:numId w:val="38"/>
        </w:numPr>
        <w:overflowPunct w:val="0"/>
        <w:autoSpaceDE w:val="0"/>
        <w:autoSpaceDN w:val="0"/>
        <w:adjustRightInd w:val="0"/>
        <w:ind w:left="567" w:hanging="567"/>
        <w:contextualSpacing/>
        <w:textAlignment w:val="baseline"/>
      </w:pPr>
      <w:r>
        <w:t xml:space="preserve">atbalsta Komisijas priekšlikumu grozīt Regulu (ES) Nr. 1026/2012, lai stiprinātu noteikumus, kas vērsti pret </w:t>
      </w:r>
      <w:proofErr w:type="spellStart"/>
      <w:r>
        <w:t>ilgtnespējīgu</w:t>
      </w:r>
      <w:proofErr w:type="spellEnd"/>
      <w:r>
        <w:t xml:space="preserve"> zvejas praksi un aizsargātu Eiropas Savienības zvejas intereses;</w:t>
      </w:r>
    </w:p>
    <w:p w:rsidRPr="00D24919" w:rsidR="00D24919" w:rsidP="0060010D" w:rsidRDefault="00D24919" w14:paraId="645C6651" w14:textId="77777777">
      <w:pPr>
        <w:widowControl w:val="0"/>
        <w:numPr>
          <w:ilvl w:val="0"/>
          <w:numId w:val="38"/>
        </w:numPr>
        <w:overflowPunct w:val="0"/>
        <w:autoSpaceDE w:val="0"/>
        <w:autoSpaceDN w:val="0"/>
        <w:adjustRightInd w:val="0"/>
        <w:ind w:left="567" w:hanging="567"/>
        <w:contextualSpacing/>
        <w:textAlignment w:val="baseline"/>
      </w:pPr>
      <w:r>
        <w:t xml:space="preserve">aicina paplašināt darbības jomu, iekļaujot tajā Vidusjūras un starptautiskos ūdeņus, visā pasaulē novēršot </w:t>
      </w:r>
      <w:proofErr w:type="spellStart"/>
      <w:r>
        <w:t>ilgtnespējīgu</w:t>
      </w:r>
      <w:proofErr w:type="spellEnd"/>
      <w:r>
        <w:t xml:space="preserve"> praksi;</w:t>
      </w:r>
    </w:p>
    <w:p w:rsidRPr="00D24919" w:rsidR="00D24919" w:rsidP="0060010D" w:rsidRDefault="00D24919" w14:paraId="47CE2903" w14:textId="77777777">
      <w:pPr>
        <w:widowControl w:val="0"/>
        <w:numPr>
          <w:ilvl w:val="0"/>
          <w:numId w:val="38"/>
        </w:numPr>
        <w:overflowPunct w:val="0"/>
        <w:autoSpaceDE w:val="0"/>
        <w:autoSpaceDN w:val="0"/>
        <w:adjustRightInd w:val="0"/>
        <w:ind w:left="567" w:hanging="567"/>
        <w:contextualSpacing/>
        <w:textAlignment w:val="baseline"/>
      </w:pPr>
      <w:r>
        <w:t>mudina Padomi un Eiropas Parlamentu paātrināt priekšlikuma pieņemšanu, palielinot pārredzamību un nodrošinot, ka trešās valstis izprot iespējamos ES sankciju piemērošanas apstākļus;</w:t>
      </w:r>
    </w:p>
    <w:p w:rsidRPr="00D24919" w:rsidR="00D24919" w:rsidP="0060010D" w:rsidRDefault="00D24919" w14:paraId="4B082E08" w14:textId="77777777">
      <w:pPr>
        <w:widowControl w:val="0"/>
        <w:numPr>
          <w:ilvl w:val="0"/>
          <w:numId w:val="38"/>
        </w:numPr>
        <w:overflowPunct w:val="0"/>
        <w:autoSpaceDE w:val="0"/>
        <w:autoSpaceDN w:val="0"/>
        <w:adjustRightInd w:val="0"/>
        <w:ind w:left="567" w:hanging="567"/>
        <w:contextualSpacing/>
        <w:textAlignment w:val="baseline"/>
      </w:pPr>
      <w:r>
        <w:t>atbalsta pastiprinātus ES instrumentus ierobežojošu pasākumu, tostarp importa aizliegumu, noteikšanai pasaules mērogā un saskaņā ar PTO pamatnostādnēm, veicinot atbildīgu zvejas praksi un taisnīgu attieksmi pret visām flotēm;</w:t>
      </w:r>
    </w:p>
    <w:p w:rsidRPr="00D24919" w:rsidR="00D24919" w:rsidP="0060010D" w:rsidRDefault="00D24919" w14:paraId="13DACFDC" w14:textId="77777777">
      <w:pPr>
        <w:widowControl w:val="0"/>
        <w:numPr>
          <w:ilvl w:val="0"/>
          <w:numId w:val="38"/>
        </w:numPr>
        <w:overflowPunct w:val="0"/>
        <w:autoSpaceDE w:val="0"/>
        <w:autoSpaceDN w:val="0"/>
        <w:adjustRightInd w:val="0"/>
        <w:ind w:left="567" w:hanging="567"/>
        <w:contextualSpacing/>
        <w:textAlignment w:val="baseline"/>
      </w:pPr>
      <w:r>
        <w:t xml:space="preserve">atbalsta godīgu konkurenci, sasaistot </w:t>
      </w:r>
      <w:proofErr w:type="spellStart"/>
      <w:r>
        <w:t>pārzvejas</w:t>
      </w:r>
      <w:proofErr w:type="spellEnd"/>
      <w:r>
        <w:t xml:space="preserve"> apkarošanas centienus ar pasākumiem, kas paredzēti Regulā par nelegālu, nereģistrētu un neregulētu (NNN) zveju;</w:t>
      </w:r>
    </w:p>
    <w:p w:rsidRPr="00D24919" w:rsidR="00D24919" w:rsidP="0060010D" w:rsidRDefault="00D24919" w14:paraId="4C64F46D" w14:textId="77777777">
      <w:pPr>
        <w:widowControl w:val="0"/>
        <w:numPr>
          <w:ilvl w:val="0"/>
          <w:numId w:val="38"/>
        </w:numPr>
        <w:overflowPunct w:val="0"/>
        <w:autoSpaceDE w:val="0"/>
        <w:autoSpaceDN w:val="0"/>
        <w:adjustRightInd w:val="0"/>
        <w:ind w:left="567" w:hanging="567"/>
        <w:contextualSpacing/>
        <w:textAlignment w:val="baseline"/>
      </w:pPr>
      <w:r>
        <w:t>aicina ES pastiprināt sadarbību ar valstīm, kuras izmanto mainīgas dislokācijas un tālu migrējošo zivju sugu krājumus, divpusēji vai ar reģionālo zvejniecības pārvaldības organizāciju (RZPO) starpniecību saskaņā ar UNCLOS un ar to saistītajiem nolīgumiem;</w:t>
      </w:r>
    </w:p>
    <w:p w:rsidRPr="00D24919" w:rsidR="00D24919" w:rsidP="0060010D" w:rsidRDefault="00D24919" w14:paraId="5801DAB4" w14:textId="77777777">
      <w:pPr>
        <w:widowControl w:val="0"/>
        <w:numPr>
          <w:ilvl w:val="0"/>
          <w:numId w:val="38"/>
        </w:numPr>
        <w:overflowPunct w:val="0"/>
        <w:autoSpaceDE w:val="0"/>
        <w:autoSpaceDN w:val="0"/>
        <w:adjustRightInd w:val="0"/>
        <w:ind w:left="567" w:hanging="567"/>
        <w:contextualSpacing/>
        <w:textAlignment w:val="baseline"/>
      </w:pPr>
      <w:r>
        <w:t>uzsver, ka ir jāpievēršas dažu trešo valstu, piemēram, Norvēģijas, agresīvām darbībām, un iesaka veidot stratēģiskas alianses ar tādām valstīm kā Islande, lai nodrošinātu jūras produktu stabilu piegādi un stiprinātu ES pozīciju Atlantijas okeāna ziemeļaustrumu daļā;</w:t>
      </w:r>
    </w:p>
    <w:p w:rsidRPr="00D24919" w:rsidR="00D24919" w:rsidP="0060010D" w:rsidRDefault="00D24919" w14:paraId="5A3014D0" w14:textId="77777777">
      <w:pPr>
        <w:widowControl w:val="0"/>
        <w:numPr>
          <w:ilvl w:val="0"/>
          <w:numId w:val="38"/>
        </w:numPr>
        <w:overflowPunct w:val="0"/>
        <w:autoSpaceDE w:val="0"/>
        <w:autoSpaceDN w:val="0"/>
        <w:adjustRightInd w:val="0"/>
        <w:ind w:left="567" w:hanging="567"/>
        <w:contextualSpacing/>
        <w:textAlignment w:val="baseline"/>
      </w:pPr>
      <w:r>
        <w:t>pauž kritiku par Eiropas Ekonomikas zonas (EEZ) finanšu mehānisma ierobežoto izmantošanu, lai piespiestu trešās piekrastes valstis, piemēram, Norvēģiju, ievērot starptautiskos zivsaimniecības pārvaldības standartus, pieprasot tirgus piekļuves nosacījumus un izpildes pasākumus;</w:t>
      </w:r>
    </w:p>
    <w:p w:rsidRPr="00D24919" w:rsidR="00D24919" w:rsidP="0060010D" w:rsidRDefault="00D24919" w14:paraId="019B5F36" w14:textId="77777777">
      <w:pPr>
        <w:widowControl w:val="0"/>
        <w:numPr>
          <w:ilvl w:val="0"/>
          <w:numId w:val="38"/>
        </w:numPr>
        <w:overflowPunct w:val="0"/>
        <w:autoSpaceDE w:val="0"/>
        <w:autoSpaceDN w:val="0"/>
        <w:adjustRightInd w:val="0"/>
        <w:ind w:left="567" w:hanging="567"/>
        <w:contextualSpacing/>
        <w:textAlignment w:val="baseline"/>
      </w:pPr>
      <w:r>
        <w:t>mudina nekavējoties rīkoties saskaņā ar pārskatīto regulu, lai novērstu Norvēģijas negodīgo praksi, it īpaši attiecībā uz makreli un mencām Atlantijas okeāna ziemeļrietumu daļā;</w:t>
      </w:r>
    </w:p>
    <w:p w:rsidRPr="00D24919" w:rsidR="00D24919" w:rsidP="0060010D" w:rsidRDefault="00D24919" w14:paraId="40A04075" w14:textId="77777777">
      <w:pPr>
        <w:widowControl w:val="0"/>
        <w:numPr>
          <w:ilvl w:val="0"/>
          <w:numId w:val="38"/>
        </w:numPr>
        <w:overflowPunct w:val="0"/>
        <w:autoSpaceDE w:val="0"/>
        <w:autoSpaceDN w:val="0"/>
        <w:adjustRightInd w:val="0"/>
        <w:ind w:left="567" w:hanging="567"/>
        <w:contextualSpacing/>
        <w:textAlignment w:val="baseline"/>
      </w:pPr>
      <w:r>
        <w:t xml:space="preserve">aicina sarunās ar piekrastes valstīm panākt </w:t>
      </w:r>
      <w:proofErr w:type="spellStart"/>
      <w:r>
        <w:t>iekļautību</w:t>
      </w:r>
      <w:proofErr w:type="spellEnd"/>
      <w:r>
        <w:t xml:space="preserve"> un pārredzamību, nodrošinot ieinteresēto personu aktīvu līdzdalību zvejniecības pārvaldībā un soda sankciju noteikšanā;</w:t>
      </w:r>
    </w:p>
    <w:p w:rsidR="00D24919" w:rsidP="0060010D" w:rsidRDefault="00D24919" w14:paraId="5ED597ED" w14:textId="77777777">
      <w:pPr>
        <w:widowControl w:val="0"/>
        <w:numPr>
          <w:ilvl w:val="0"/>
          <w:numId w:val="38"/>
        </w:numPr>
        <w:overflowPunct w:val="0"/>
        <w:autoSpaceDE w:val="0"/>
        <w:autoSpaceDN w:val="0"/>
        <w:adjustRightInd w:val="0"/>
        <w:ind w:left="567" w:hanging="567"/>
        <w:contextualSpacing/>
        <w:textAlignment w:val="baseline"/>
      </w:pPr>
      <w:r>
        <w:t xml:space="preserve">iesaka grozīt 6. panta 1. punktu, lai pieprasītu nekavējoties paziņot attiecīgajām konsultatīvajām padomēm, ja var konstatēt, ka valsts atļauj </w:t>
      </w:r>
      <w:proofErr w:type="spellStart"/>
      <w:r>
        <w:t>ilgtnespējīgu</w:t>
      </w:r>
      <w:proofErr w:type="spellEnd"/>
      <w:r>
        <w:t xml:space="preserve"> zveju.</w:t>
      </w:r>
    </w:p>
    <w:p w:rsidRPr="00D24919" w:rsidR="008D05C8" w:rsidP="0060010D" w:rsidRDefault="008D05C8" w14:paraId="10263181" w14:textId="77777777">
      <w:pPr>
        <w:widowControl w:val="0"/>
        <w:overflowPunct w:val="0"/>
        <w:autoSpaceDE w:val="0"/>
        <w:autoSpaceDN w:val="0"/>
        <w:adjustRightInd w:val="0"/>
        <w:contextualSpacing/>
        <w:textAlignment w:val="baseline"/>
        <w:rPr>
          <w:lang w:val="en-GB" w:eastAsia="zh-CN"/>
        </w:rPr>
      </w:pPr>
    </w:p>
    <w:tbl>
      <w:tblPr>
        <w:tblW w:w="9322" w:type="dxa"/>
        <w:tblLook w:val="04A0" w:firstRow="1" w:lastRow="0" w:firstColumn="1" w:lastColumn="0" w:noHBand="0" w:noVBand="1"/>
      </w:tblPr>
      <w:tblGrid>
        <w:gridCol w:w="2127"/>
        <w:gridCol w:w="7195"/>
      </w:tblGrid>
      <w:tr w:rsidRPr="00FA33C4" w:rsidR="00D24919" w:rsidTr="0060010D" w14:paraId="235BE468" w14:textId="77777777">
        <w:tc>
          <w:tcPr>
            <w:tcW w:w="2127" w:type="dxa"/>
          </w:tcPr>
          <w:p w:rsidRPr="00FA33C4" w:rsidR="00D24919" w:rsidP="0060010D" w:rsidRDefault="00D24919" w14:paraId="43325915" w14:textId="77777777">
            <w:pPr>
              <w:overflowPunct w:val="0"/>
              <w:autoSpaceDE w:val="0"/>
              <w:autoSpaceDN w:val="0"/>
              <w:adjustRightInd w:val="0"/>
              <w:textAlignment w:val="baseline"/>
              <w:rPr>
                <w:i/>
                <w:sz w:val="20"/>
                <w:szCs w:val="20"/>
              </w:rPr>
            </w:pPr>
            <w:r>
              <w:rPr>
                <w:b/>
                <w:i/>
                <w:sz w:val="20"/>
              </w:rPr>
              <w:t xml:space="preserve">Kontaktpersona: </w:t>
            </w:r>
          </w:p>
        </w:tc>
        <w:tc>
          <w:tcPr>
            <w:tcW w:w="7195" w:type="dxa"/>
          </w:tcPr>
          <w:p w:rsidRPr="00FA33C4" w:rsidR="00D24919" w:rsidP="0060010D" w:rsidRDefault="00D24919" w14:paraId="7D904960" w14:textId="77777777">
            <w:pPr>
              <w:overflowPunct w:val="0"/>
              <w:autoSpaceDE w:val="0"/>
              <w:autoSpaceDN w:val="0"/>
              <w:adjustRightInd w:val="0"/>
              <w:textAlignment w:val="baseline"/>
              <w:rPr>
                <w:i/>
                <w:sz w:val="20"/>
                <w:szCs w:val="20"/>
              </w:rPr>
            </w:pPr>
            <w:proofErr w:type="spellStart"/>
            <w:r>
              <w:rPr>
                <w:i/>
                <w:sz w:val="20"/>
              </w:rPr>
              <w:t>Nicolas</w:t>
            </w:r>
            <w:proofErr w:type="spellEnd"/>
            <w:r>
              <w:rPr>
                <w:i/>
                <w:sz w:val="20"/>
              </w:rPr>
              <w:t xml:space="preserve"> </w:t>
            </w:r>
            <w:proofErr w:type="spellStart"/>
            <w:r>
              <w:rPr>
                <w:i/>
                <w:sz w:val="20"/>
              </w:rPr>
              <w:t>Stenger</w:t>
            </w:r>
            <w:proofErr w:type="spellEnd"/>
          </w:p>
        </w:tc>
      </w:tr>
      <w:tr w:rsidRPr="00FA33C4" w:rsidR="00D24919" w:rsidTr="0060010D" w14:paraId="47B5DDD6" w14:textId="77777777">
        <w:tc>
          <w:tcPr>
            <w:tcW w:w="2127" w:type="dxa"/>
          </w:tcPr>
          <w:p w:rsidRPr="00FA33C4" w:rsidR="00D24919" w:rsidP="0060010D" w:rsidRDefault="00D24919" w14:paraId="17563F6D" w14:textId="77777777">
            <w:pPr>
              <w:overflowPunct w:val="0"/>
              <w:autoSpaceDE w:val="0"/>
              <w:autoSpaceDN w:val="0"/>
              <w:adjustRightInd w:val="0"/>
              <w:textAlignment w:val="baseline"/>
              <w:rPr>
                <w:i/>
                <w:sz w:val="20"/>
                <w:szCs w:val="20"/>
              </w:rPr>
            </w:pPr>
            <w:r>
              <w:rPr>
                <w:i/>
                <w:sz w:val="20"/>
              </w:rPr>
              <w:t>Tālr.:</w:t>
            </w:r>
          </w:p>
        </w:tc>
        <w:tc>
          <w:tcPr>
            <w:tcW w:w="7195" w:type="dxa"/>
          </w:tcPr>
          <w:p w:rsidRPr="00FA33C4" w:rsidR="00D24919" w:rsidP="0060010D" w:rsidRDefault="00D24919" w14:paraId="62CC03AD" w14:textId="77777777">
            <w:pPr>
              <w:overflowPunct w:val="0"/>
              <w:autoSpaceDE w:val="0"/>
              <w:autoSpaceDN w:val="0"/>
              <w:adjustRightInd w:val="0"/>
              <w:textAlignment w:val="baseline"/>
              <w:rPr>
                <w:i/>
                <w:sz w:val="20"/>
                <w:szCs w:val="20"/>
              </w:rPr>
            </w:pPr>
            <w:r>
              <w:rPr>
                <w:i/>
                <w:sz w:val="20"/>
              </w:rPr>
              <w:t>+32 25468152</w:t>
            </w:r>
          </w:p>
        </w:tc>
      </w:tr>
      <w:tr w:rsidRPr="00FA33C4" w:rsidR="00D24919" w:rsidTr="0060010D" w14:paraId="5094B071" w14:textId="77777777">
        <w:tc>
          <w:tcPr>
            <w:tcW w:w="2127" w:type="dxa"/>
          </w:tcPr>
          <w:p w:rsidRPr="00FA33C4" w:rsidR="00D24919" w:rsidP="0060010D" w:rsidRDefault="008D05C8" w14:paraId="270C3A5A" w14:textId="734706FD">
            <w:pPr>
              <w:overflowPunct w:val="0"/>
              <w:autoSpaceDE w:val="0"/>
              <w:autoSpaceDN w:val="0"/>
              <w:adjustRightInd w:val="0"/>
              <w:textAlignment w:val="baseline"/>
              <w:rPr>
                <w:i/>
                <w:sz w:val="20"/>
                <w:szCs w:val="20"/>
              </w:rPr>
            </w:pPr>
            <w:r>
              <w:rPr>
                <w:i/>
                <w:sz w:val="20"/>
              </w:rPr>
              <w:t>E-pasts:</w:t>
            </w:r>
          </w:p>
        </w:tc>
        <w:tc>
          <w:tcPr>
            <w:tcW w:w="7195" w:type="dxa"/>
          </w:tcPr>
          <w:p w:rsidRPr="00FA33C4" w:rsidR="00D24919" w:rsidP="0060010D" w:rsidRDefault="00E61064" w14:paraId="1B275FD8" w14:textId="77777777">
            <w:pPr>
              <w:overflowPunct w:val="0"/>
              <w:autoSpaceDE w:val="0"/>
              <w:autoSpaceDN w:val="0"/>
              <w:adjustRightInd w:val="0"/>
              <w:textAlignment w:val="baseline"/>
              <w:rPr>
                <w:i/>
                <w:iCs/>
                <w:sz w:val="20"/>
                <w:szCs w:val="20"/>
              </w:rPr>
            </w:pPr>
            <w:hyperlink w:history="1" r:id="rId35">
              <w:r w:rsidR="00465FCD">
                <w:rPr>
                  <w:i/>
                  <w:color w:val="0000FF"/>
                  <w:sz w:val="20"/>
                  <w:u w:val="single"/>
                </w:rPr>
                <w:t>Nicolas.Stenger@eesc.europa.eu</w:t>
              </w:r>
            </w:hyperlink>
          </w:p>
        </w:tc>
      </w:tr>
    </w:tbl>
    <w:p w:rsidR="007F5784" w:rsidP="0060010D" w:rsidRDefault="007F5784" w14:paraId="715DB2BD" w14:textId="06E41C3D">
      <w:pPr>
        <w:jc w:val="left"/>
      </w:pPr>
    </w:p>
    <w:p w:rsidR="007F5784" w:rsidP="0060010D" w:rsidRDefault="007F5784" w14:paraId="14026A78" w14:textId="4FAE1588">
      <w:pPr>
        <w:pStyle w:val="Heading1"/>
        <w:keepNext/>
        <w:keepLines/>
        <w:rPr>
          <w:b/>
        </w:rPr>
      </w:pPr>
      <w:bookmarkStart w:name="_Toc189562595" w:id="14"/>
      <w:r>
        <w:rPr>
          <w:b/>
        </w:rPr>
        <w:lastRenderedPageBreak/>
        <w:t>ĀRĒJĀS ATTIECĪBAS</w:t>
      </w:r>
      <w:bookmarkEnd w:id="14"/>
    </w:p>
    <w:p w:rsidR="007F5784" w:rsidP="0060010D" w:rsidRDefault="007F5784" w14:paraId="3BBB3E68" w14:textId="77777777">
      <w:pPr>
        <w:keepNext/>
        <w:keepLines/>
      </w:pPr>
    </w:p>
    <w:p w:rsidRPr="00C8173B" w:rsidR="00C8173B" w:rsidP="0060010D" w:rsidRDefault="00E61064" w14:paraId="29A16775" w14:textId="57A22188">
      <w:pPr>
        <w:keepNext/>
        <w:keepLines/>
        <w:widowControl w:val="0"/>
        <w:numPr>
          <w:ilvl w:val="0"/>
          <w:numId w:val="4"/>
        </w:numPr>
        <w:overflowPunct w:val="0"/>
        <w:autoSpaceDE w:val="0"/>
        <w:autoSpaceDN w:val="0"/>
        <w:adjustRightInd w:val="0"/>
        <w:ind w:hanging="567"/>
        <w:textAlignment w:val="baseline"/>
        <w:rPr>
          <w:b/>
          <w:bCs/>
          <w:i/>
          <w:iCs/>
          <w:sz w:val="28"/>
          <w:szCs w:val="28"/>
        </w:rPr>
      </w:pPr>
      <w:hyperlink w:history="1" r:id="rId36">
        <w:r w:rsidR="00C8173B">
          <w:rPr>
            <w:b/>
            <w:i/>
            <w:color w:val="0000FF"/>
            <w:sz w:val="28"/>
            <w:u w:val="single"/>
          </w:rPr>
          <w:t>Eiropas stratēģijas Arktikai (2024–2029) izstrāde dialogā ar pilsonisko sabiedrību (pašiniciatīvas ziņojums)</w:t>
        </w:r>
      </w:hyperlink>
    </w:p>
    <w:p w:rsidRPr="00C8173B" w:rsidR="00C8173B" w:rsidP="0060010D" w:rsidRDefault="00C8173B" w14:paraId="27EAAC5C" w14:textId="77777777">
      <w:pPr>
        <w:keepNext/>
        <w:keepLines/>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FA33C4" w:rsidR="00C8173B" w:rsidTr="000B1858" w14:paraId="029C2A93" w14:textId="77777777">
        <w:tc>
          <w:tcPr>
            <w:tcW w:w="1107" w:type="pct"/>
          </w:tcPr>
          <w:p w:rsidRPr="00FA33C4" w:rsidR="00C8173B" w:rsidRDefault="00C8173B" w14:paraId="70E313F2" w14:textId="77777777">
            <w:pPr>
              <w:tabs>
                <w:tab w:val="center" w:pos="284"/>
              </w:tabs>
              <w:overflowPunct w:val="0"/>
              <w:autoSpaceDE w:val="0"/>
              <w:autoSpaceDN w:val="0"/>
              <w:adjustRightInd w:val="0"/>
              <w:ind w:left="266" w:hanging="266"/>
              <w:textAlignment w:val="baseline"/>
              <w:rPr>
                <w:b/>
                <w:sz w:val="20"/>
                <w:szCs w:val="20"/>
              </w:rPr>
            </w:pPr>
            <w:r>
              <w:rPr>
                <w:b/>
                <w:sz w:val="20"/>
              </w:rPr>
              <w:t>Ziņotājs</w:t>
            </w:r>
          </w:p>
          <w:p w:rsidRPr="00FA33C4" w:rsidR="00C8173B" w:rsidRDefault="00C8173B" w14:paraId="5281128A" w14:textId="77777777">
            <w:pPr>
              <w:tabs>
                <w:tab w:val="center" w:pos="284"/>
              </w:tabs>
              <w:overflowPunct w:val="0"/>
              <w:autoSpaceDE w:val="0"/>
              <w:autoSpaceDN w:val="0"/>
              <w:adjustRightInd w:val="0"/>
              <w:ind w:left="266" w:hanging="266"/>
              <w:textAlignment w:val="baseline"/>
              <w:rPr>
                <w:b/>
                <w:sz w:val="20"/>
                <w:szCs w:val="20"/>
              </w:rPr>
            </w:pPr>
            <w:r>
              <w:rPr>
                <w:b/>
                <w:sz w:val="20"/>
              </w:rPr>
              <w:t>Līdzziņotājs</w:t>
            </w:r>
          </w:p>
        </w:tc>
        <w:tc>
          <w:tcPr>
            <w:tcW w:w="3893" w:type="pct"/>
          </w:tcPr>
          <w:p w:rsidRPr="00FA33C4" w:rsidR="00C8173B" w:rsidRDefault="00C8173B" w14:paraId="3CB11A11" w14:textId="77777777">
            <w:pPr>
              <w:tabs>
                <w:tab w:val="center" w:pos="284"/>
              </w:tabs>
              <w:overflowPunct w:val="0"/>
              <w:autoSpaceDE w:val="0"/>
              <w:autoSpaceDN w:val="0"/>
              <w:adjustRightInd w:val="0"/>
              <w:ind w:left="266" w:hanging="266"/>
              <w:textAlignment w:val="baseline"/>
              <w:rPr>
                <w:sz w:val="20"/>
                <w:szCs w:val="20"/>
              </w:rPr>
            </w:pPr>
            <w:r>
              <w:rPr>
                <w:b/>
                <w:sz w:val="20"/>
              </w:rPr>
              <w:t>Anders LADEFOGED (</w:t>
            </w:r>
            <w:r>
              <w:rPr>
                <w:sz w:val="20"/>
              </w:rPr>
              <w:t>Darba devēju grupa – DA)</w:t>
            </w:r>
          </w:p>
          <w:p w:rsidRPr="00FA33C4" w:rsidR="00217685" w:rsidP="0060010D" w:rsidRDefault="00C8173B" w14:paraId="7141C129" w14:textId="066B055A">
            <w:pPr>
              <w:shd w:val="clear" w:color="auto" w:fill="FEFEFE"/>
              <w:jc w:val="left"/>
              <w:rPr>
                <w:sz w:val="20"/>
                <w:szCs w:val="20"/>
              </w:rPr>
            </w:pPr>
            <w:r>
              <w:rPr>
                <w:b/>
                <w:sz w:val="20"/>
              </w:rPr>
              <w:t>Christian MOOS</w:t>
            </w:r>
            <w:r>
              <w:rPr>
                <w:sz w:val="20"/>
              </w:rPr>
              <w:t xml:space="preserve"> (Pilsoniskās sabiedrības organizāciju grupa – DE)</w:t>
            </w:r>
          </w:p>
        </w:tc>
      </w:tr>
      <w:tr w:rsidRPr="00FA33C4" w:rsidR="00C8173B" w:rsidTr="000B1858" w14:paraId="4A9CE5B5" w14:textId="77777777">
        <w:tc>
          <w:tcPr>
            <w:tcW w:w="5000" w:type="pct"/>
            <w:gridSpan w:val="2"/>
          </w:tcPr>
          <w:p w:rsidRPr="00FA33C4" w:rsidR="00C8173B" w:rsidP="0060010D" w:rsidRDefault="00C8173B" w14:paraId="3C19F370" w14:textId="77777777">
            <w:pPr>
              <w:tabs>
                <w:tab w:val="center" w:pos="284"/>
              </w:tabs>
              <w:overflowPunct w:val="0"/>
              <w:autoSpaceDE w:val="0"/>
              <w:autoSpaceDN w:val="0"/>
              <w:adjustRightInd w:val="0"/>
              <w:ind w:left="266" w:hanging="266"/>
              <w:textAlignment w:val="baseline"/>
              <w:rPr>
                <w:sz w:val="20"/>
                <w:szCs w:val="20"/>
              </w:rPr>
            </w:pPr>
          </w:p>
        </w:tc>
      </w:tr>
      <w:tr w:rsidRPr="00FA33C4" w:rsidR="00C8173B" w:rsidTr="000B1858" w14:paraId="46314555" w14:textId="77777777">
        <w:tc>
          <w:tcPr>
            <w:tcW w:w="1107" w:type="pct"/>
          </w:tcPr>
          <w:p w:rsidRPr="00FA33C4" w:rsidR="00C8173B" w:rsidRDefault="00C8173B" w14:paraId="00252F51"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3893" w:type="pct"/>
          </w:tcPr>
          <w:p w:rsidRPr="00FA33C4" w:rsidR="00B11B7E" w:rsidRDefault="00B11B7E" w14:paraId="103A511F" w14:textId="2925D730">
            <w:pPr>
              <w:tabs>
                <w:tab w:val="center" w:pos="284"/>
              </w:tabs>
              <w:overflowPunct w:val="0"/>
              <w:autoSpaceDE w:val="0"/>
              <w:autoSpaceDN w:val="0"/>
              <w:adjustRightInd w:val="0"/>
              <w:ind w:left="266" w:hanging="266"/>
              <w:jc w:val="left"/>
              <w:textAlignment w:val="baseline"/>
              <w:rPr>
                <w:sz w:val="20"/>
                <w:szCs w:val="20"/>
              </w:rPr>
            </w:pPr>
            <w:r>
              <w:rPr>
                <w:sz w:val="20"/>
              </w:rPr>
              <w:t>Pašiniciatīvas atzinums</w:t>
            </w:r>
          </w:p>
          <w:p w:rsidRPr="00FA33C4" w:rsidR="00C8173B" w:rsidRDefault="00C8173B" w14:paraId="2D94F2BF" w14:textId="29469CDD">
            <w:pPr>
              <w:tabs>
                <w:tab w:val="center" w:pos="284"/>
              </w:tabs>
              <w:overflowPunct w:val="0"/>
              <w:autoSpaceDE w:val="0"/>
              <w:autoSpaceDN w:val="0"/>
              <w:adjustRightInd w:val="0"/>
              <w:ind w:left="266" w:hanging="266"/>
              <w:jc w:val="left"/>
              <w:textAlignment w:val="baseline"/>
              <w:rPr>
                <w:sz w:val="20"/>
                <w:szCs w:val="20"/>
              </w:rPr>
            </w:pPr>
            <w:r>
              <w:rPr>
                <w:sz w:val="20"/>
              </w:rPr>
              <w:t>EESC-2024-03182-00-00-AC</w:t>
            </w:r>
          </w:p>
        </w:tc>
      </w:tr>
    </w:tbl>
    <w:p w:rsidRPr="00C8173B" w:rsidR="00C8173B" w:rsidRDefault="00C8173B" w14:paraId="6B3D9BBA" w14:textId="77777777">
      <w:pPr>
        <w:tabs>
          <w:tab w:val="center" w:pos="284"/>
        </w:tabs>
        <w:overflowPunct w:val="0"/>
        <w:autoSpaceDE w:val="0"/>
        <w:autoSpaceDN w:val="0"/>
        <w:adjustRightInd w:val="0"/>
        <w:ind w:left="266" w:hanging="266"/>
        <w:textAlignment w:val="baseline"/>
        <w:rPr>
          <w:lang w:val="en-GB"/>
        </w:rPr>
      </w:pPr>
    </w:p>
    <w:p w:rsidRPr="00C8173B" w:rsidR="00C8173B" w:rsidRDefault="00C8173B" w14:paraId="358C2435"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C8173B" w:rsidR="00C8173B" w:rsidRDefault="00C8173B" w14:paraId="5C55E5FC" w14:textId="77777777">
      <w:pPr>
        <w:keepNext/>
        <w:keepLines/>
        <w:tabs>
          <w:tab w:val="center" w:pos="284"/>
        </w:tabs>
        <w:overflowPunct w:val="0"/>
        <w:autoSpaceDE w:val="0"/>
        <w:autoSpaceDN w:val="0"/>
        <w:adjustRightInd w:val="0"/>
        <w:ind w:left="266" w:hanging="266"/>
        <w:textAlignment w:val="baseline"/>
        <w:rPr>
          <w:b/>
          <w:lang w:val="en-GB"/>
        </w:rPr>
      </w:pPr>
    </w:p>
    <w:p w:rsidRPr="00C8173B" w:rsidR="00C8173B" w:rsidRDefault="00C8173B" w14:paraId="6664E17E" w14:textId="77777777">
      <w:pPr>
        <w:overflowPunct w:val="0"/>
        <w:autoSpaceDE w:val="0"/>
        <w:autoSpaceDN w:val="0"/>
        <w:adjustRightInd w:val="0"/>
        <w:textAlignment w:val="baseline"/>
        <w:rPr>
          <w:bCs/>
          <w:iCs/>
        </w:rPr>
      </w:pPr>
      <w:r>
        <w:t>EESK:</w:t>
      </w:r>
    </w:p>
    <w:p w:rsidRPr="007C1ABC" w:rsidR="00C8173B" w:rsidP="0060010D" w:rsidRDefault="00C8173B" w14:paraId="472B7CA9" w14:textId="77777777">
      <w:pPr>
        <w:pStyle w:val="ListParagraph"/>
        <w:widowControl w:val="0"/>
        <w:numPr>
          <w:ilvl w:val="0"/>
          <w:numId w:val="39"/>
        </w:numPr>
        <w:overflowPunct w:val="0"/>
        <w:autoSpaceDE w:val="0"/>
        <w:autoSpaceDN w:val="0"/>
        <w:adjustRightInd w:val="0"/>
        <w:ind w:left="567" w:hanging="567"/>
        <w:textAlignment w:val="baseline"/>
      </w:pPr>
      <w:r>
        <w:rPr>
          <w:sz w:val="24"/>
        </w:rPr>
        <w:t>uzsver</w:t>
      </w:r>
      <w:r>
        <w:t>, ka jaunā iestāžu darba cikla sākumā pašsaprotami būtu izvērtēt tās Arktikas politiku. Atjaunināta politika ļautu ES uzņemties lielāku lomu noturīgas un pārtikušas Arktikas veidošanā, vienlaikus veicinot Eiropas stratēģisko zaļo pārkārtošanos, drošības intereses un cilvēktiesību respektēšanu;</w:t>
      </w:r>
    </w:p>
    <w:p w:rsidRPr="007C1ABC" w:rsidR="00C8173B" w:rsidP="0060010D" w:rsidRDefault="00C8173B" w14:paraId="6A5A29B9" w14:textId="77777777">
      <w:pPr>
        <w:pStyle w:val="ListParagraph"/>
        <w:widowControl w:val="0"/>
        <w:numPr>
          <w:ilvl w:val="0"/>
          <w:numId w:val="39"/>
        </w:numPr>
        <w:overflowPunct w:val="0"/>
        <w:autoSpaceDE w:val="0"/>
        <w:autoSpaceDN w:val="0"/>
        <w:adjustRightInd w:val="0"/>
        <w:ind w:left="567" w:hanging="567"/>
        <w:textAlignment w:val="baseline"/>
      </w:pPr>
      <w:r>
        <w:rPr>
          <w:sz w:val="24"/>
        </w:rPr>
        <w:t>akcentē</w:t>
      </w:r>
      <w:r>
        <w:t>, ka ir jāpalielina pilsoniskās sabiedrības līdzdalība Arktikas lēmumu pieņemšanā, jo tā uzlabo reģiona tālejošu lēmumu kvalitāti un leģitimitāti;</w:t>
      </w:r>
    </w:p>
    <w:p w:rsidRPr="007C1ABC" w:rsidR="00C8173B" w:rsidP="0060010D" w:rsidRDefault="00C8173B" w14:paraId="1FFF7F3E" w14:textId="77777777">
      <w:pPr>
        <w:pStyle w:val="ListParagraph"/>
        <w:widowControl w:val="0"/>
        <w:numPr>
          <w:ilvl w:val="0"/>
          <w:numId w:val="39"/>
        </w:numPr>
        <w:overflowPunct w:val="0"/>
        <w:autoSpaceDE w:val="0"/>
        <w:autoSpaceDN w:val="0"/>
        <w:adjustRightInd w:val="0"/>
        <w:ind w:left="567" w:hanging="567"/>
        <w:textAlignment w:val="baseline"/>
      </w:pPr>
      <w:r>
        <w:rPr>
          <w:sz w:val="24"/>
        </w:rPr>
        <w:t>ierosina</w:t>
      </w:r>
      <w:r>
        <w:t>, atjauninot ES stratēģiju, arī paredzēt, ka sistemātiski jāizvērtē, kā Arktikas jautājumos ieinteresētās personas uztver un praksē izmanto ES līdzekļus un instrumentus. Šādai atjaunināšanai vajadzētu:</w:t>
      </w:r>
    </w:p>
    <w:p w:rsidRPr="007C1ABC" w:rsidR="00C8173B" w:rsidP="0060010D" w:rsidRDefault="00C8173B" w14:paraId="27C1299E" w14:textId="77777777">
      <w:pPr>
        <w:pStyle w:val="ListParagraph"/>
        <w:widowControl w:val="0"/>
        <w:numPr>
          <w:ilvl w:val="0"/>
          <w:numId w:val="45"/>
        </w:numPr>
        <w:overflowPunct w:val="0"/>
        <w:autoSpaceDE w:val="0"/>
        <w:autoSpaceDN w:val="0"/>
        <w:adjustRightInd w:val="0"/>
        <w:ind w:left="1134" w:hanging="567"/>
        <w:textAlignment w:val="baseline"/>
      </w:pPr>
      <w:r>
        <w:t>balstīties uz dažādu pilsoniskās sabiedrības pārstāvju ieguldījumu;</w:t>
      </w:r>
    </w:p>
    <w:p w:rsidRPr="007C1ABC" w:rsidR="00C8173B" w:rsidP="0060010D" w:rsidRDefault="00C8173B" w14:paraId="38665FCD" w14:textId="77777777">
      <w:pPr>
        <w:pStyle w:val="ListParagraph"/>
        <w:widowControl w:val="0"/>
        <w:numPr>
          <w:ilvl w:val="0"/>
          <w:numId w:val="45"/>
        </w:numPr>
        <w:overflowPunct w:val="0"/>
        <w:autoSpaceDE w:val="0"/>
        <w:autoSpaceDN w:val="0"/>
        <w:adjustRightInd w:val="0"/>
        <w:ind w:left="1134" w:hanging="567"/>
        <w:textAlignment w:val="baseline"/>
      </w:pPr>
      <w:r>
        <w:t>vienkāršot procedūras atbalsta saņēmējiem vai sniegt palīdzību vietējām kopienām prasību izpildē;</w:t>
      </w:r>
    </w:p>
    <w:p w:rsidRPr="007C1ABC" w:rsidR="00C8173B" w:rsidP="0060010D" w:rsidRDefault="00C8173B" w14:paraId="4A76074D" w14:textId="77777777">
      <w:pPr>
        <w:pStyle w:val="ListParagraph"/>
        <w:widowControl w:val="0"/>
        <w:numPr>
          <w:ilvl w:val="0"/>
          <w:numId w:val="45"/>
        </w:numPr>
        <w:overflowPunct w:val="0"/>
        <w:autoSpaceDE w:val="0"/>
        <w:autoSpaceDN w:val="0"/>
        <w:adjustRightInd w:val="0"/>
        <w:ind w:left="1134" w:hanging="567"/>
        <w:textAlignment w:val="baseline"/>
      </w:pPr>
      <w:r>
        <w:t>noskaidrot, vai pietiek līdzekļu un vai paredzētas pareizās programmas, lai atbalstītu ES stratēģisko mērķu sasniegšanu Arktikā;</w:t>
      </w:r>
    </w:p>
    <w:p w:rsidR="007C1ABC" w:rsidP="0060010D" w:rsidRDefault="00C8173B" w14:paraId="06FC79D8" w14:textId="52B90F69">
      <w:pPr>
        <w:widowControl w:val="0"/>
        <w:numPr>
          <w:ilvl w:val="0"/>
          <w:numId w:val="41"/>
        </w:numPr>
        <w:tabs>
          <w:tab w:val="clear" w:pos="720"/>
        </w:tabs>
        <w:overflowPunct w:val="0"/>
        <w:autoSpaceDE w:val="0"/>
        <w:autoSpaceDN w:val="0"/>
        <w:adjustRightInd w:val="0"/>
        <w:ind w:left="567" w:hanging="567"/>
        <w:textAlignment w:val="baseline"/>
      </w:pPr>
      <w:r>
        <w:rPr>
          <w:sz w:val="24"/>
        </w:rPr>
        <w:t>aicina</w:t>
      </w:r>
      <w:r>
        <w:t xml:space="preserve"> Arktikas lēmumu pieņēmējus visos līmeņos stingri piemērot juridiskās saistības un pieņemt paraugpraksi, lai iekļautu, konsultētu un spēcinātu visas vietējās pilsoniskās sabiedrības grupas, tostarp pirmiedzīvotājus;</w:t>
      </w:r>
    </w:p>
    <w:p w:rsidRPr="007C1ABC" w:rsidR="00C8173B" w:rsidP="0060010D" w:rsidRDefault="00C8173B" w14:paraId="6387FF21" w14:textId="51DC2ECE">
      <w:pPr>
        <w:widowControl w:val="0"/>
        <w:numPr>
          <w:ilvl w:val="0"/>
          <w:numId w:val="41"/>
        </w:numPr>
        <w:tabs>
          <w:tab w:val="clear" w:pos="720"/>
        </w:tabs>
        <w:overflowPunct w:val="0"/>
        <w:autoSpaceDE w:val="0"/>
        <w:autoSpaceDN w:val="0"/>
        <w:adjustRightInd w:val="0"/>
        <w:ind w:left="567" w:hanging="567"/>
        <w:textAlignment w:val="baseline"/>
      </w:pPr>
      <w:r>
        <w:t>uzsver, ka ieguldījumiem un projektiem būtu jāsniedz labums vietējām kopienām, un būtu jānodrošina, ka visām šo kopienu grupām, tostarp pirmiedzīvotājiem, jauniešiem un sievietēm, ir pietiekami resursi, lai piedalītos lēmumu pieņemšanas procesā;</w:t>
      </w:r>
    </w:p>
    <w:p w:rsidRPr="00C8173B" w:rsidR="00C8173B" w:rsidP="0060010D" w:rsidRDefault="00C8173B" w14:paraId="7353903E" w14:textId="77777777">
      <w:pPr>
        <w:widowControl w:val="0"/>
        <w:numPr>
          <w:ilvl w:val="0"/>
          <w:numId w:val="41"/>
        </w:numPr>
        <w:tabs>
          <w:tab w:val="clear" w:pos="720"/>
        </w:tabs>
        <w:overflowPunct w:val="0"/>
        <w:autoSpaceDE w:val="0"/>
        <w:autoSpaceDN w:val="0"/>
        <w:adjustRightInd w:val="0"/>
        <w:ind w:left="567" w:hanging="567"/>
        <w:textAlignment w:val="baseline"/>
      </w:pPr>
      <w:r>
        <w:rPr>
          <w:sz w:val="24"/>
        </w:rPr>
        <w:t>uzsver</w:t>
      </w:r>
      <w:r>
        <w:t>, ka steidzami ir jāracionalizē atļauju piešķiršanas procedūras projektiem, kas saistīti ar atjaunīgo enerģiju un zaļās pārkārtošanās procesam vajadzīgo izejvielu ieguvi. Šīs procedūras būtu jāpadara efektīvākas, neapdraudot vides vai sociālekonomisko pārbaudi;</w:t>
      </w:r>
    </w:p>
    <w:p w:rsidRPr="00C8173B" w:rsidR="00C8173B" w:rsidP="0060010D" w:rsidRDefault="00C8173B" w14:paraId="67D19302" w14:textId="77777777">
      <w:pPr>
        <w:widowControl w:val="0"/>
        <w:numPr>
          <w:ilvl w:val="0"/>
          <w:numId w:val="41"/>
        </w:numPr>
        <w:tabs>
          <w:tab w:val="clear" w:pos="720"/>
        </w:tabs>
        <w:overflowPunct w:val="0"/>
        <w:autoSpaceDE w:val="0"/>
        <w:autoSpaceDN w:val="0"/>
        <w:adjustRightInd w:val="0"/>
        <w:ind w:left="567" w:hanging="567"/>
        <w:textAlignment w:val="baseline"/>
      </w:pPr>
      <w:r>
        <w:rPr>
          <w:sz w:val="24"/>
        </w:rPr>
        <w:t>iesaka</w:t>
      </w:r>
      <w:r>
        <w:t xml:space="preserve"> pastiprināt ES sadarbību ar Grenlandi, lai dažādotu piekļuvi kritiski svarīgiem izrakteņiem un veicinātu partnerību, kuras pamatā ir demokrātija, tiesiskums un cilvēktiesības. Komiteja mudina šo sadarbību izvirzīt par prioritāti nākamajās sarunās par daudzgadu finanšu shēmu (DFS).</w:t>
      </w:r>
    </w:p>
    <w:p w:rsidRPr="00C8173B" w:rsidR="00C8173B" w:rsidRDefault="00C8173B" w14:paraId="6E01908F"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C8173B" w:rsidTr="0060010D" w14:paraId="31438F49" w14:textId="77777777">
        <w:tc>
          <w:tcPr>
            <w:tcW w:w="1090" w:type="pct"/>
          </w:tcPr>
          <w:p w:rsidRPr="00FA33C4" w:rsidR="00C8173B" w:rsidP="0060010D" w:rsidRDefault="00C8173B" w14:paraId="4D13C02D" w14:textId="77777777">
            <w:pPr>
              <w:widowControl w:val="0"/>
              <w:overflowPunct w:val="0"/>
              <w:autoSpaceDE w:val="0"/>
              <w:autoSpaceDN w:val="0"/>
              <w:adjustRightInd w:val="0"/>
              <w:textAlignment w:val="baseline"/>
              <w:rPr>
                <w:i/>
                <w:sz w:val="20"/>
                <w:szCs w:val="20"/>
              </w:rPr>
            </w:pPr>
            <w:r>
              <w:rPr>
                <w:b/>
                <w:i/>
                <w:sz w:val="20"/>
              </w:rPr>
              <w:t>Kontaktpersona</w:t>
            </w:r>
          </w:p>
        </w:tc>
        <w:tc>
          <w:tcPr>
            <w:tcW w:w="3910" w:type="pct"/>
          </w:tcPr>
          <w:p w:rsidRPr="00FA33C4" w:rsidR="00C8173B" w:rsidP="0060010D" w:rsidRDefault="00C8173B" w14:paraId="09C04C80" w14:textId="77777777">
            <w:pPr>
              <w:widowControl w:val="0"/>
              <w:overflowPunct w:val="0"/>
              <w:autoSpaceDE w:val="0"/>
              <w:autoSpaceDN w:val="0"/>
              <w:adjustRightInd w:val="0"/>
              <w:textAlignment w:val="baseline"/>
              <w:rPr>
                <w:i/>
                <w:sz w:val="20"/>
                <w:szCs w:val="20"/>
              </w:rPr>
            </w:pPr>
            <w:proofErr w:type="spellStart"/>
            <w:r>
              <w:rPr>
                <w:i/>
                <w:sz w:val="20"/>
              </w:rPr>
              <w:t>Maarit</w:t>
            </w:r>
            <w:proofErr w:type="spellEnd"/>
            <w:r>
              <w:rPr>
                <w:i/>
                <w:sz w:val="20"/>
              </w:rPr>
              <w:t xml:space="preserve"> </w:t>
            </w:r>
            <w:proofErr w:type="spellStart"/>
            <w:r>
              <w:rPr>
                <w:i/>
                <w:sz w:val="20"/>
              </w:rPr>
              <w:t>Laurila</w:t>
            </w:r>
            <w:proofErr w:type="spellEnd"/>
          </w:p>
        </w:tc>
      </w:tr>
      <w:tr w:rsidRPr="00FA33C4" w:rsidR="00C8173B" w:rsidTr="0060010D" w14:paraId="0DD46053" w14:textId="77777777">
        <w:tc>
          <w:tcPr>
            <w:tcW w:w="1090" w:type="pct"/>
          </w:tcPr>
          <w:p w:rsidRPr="00FA33C4" w:rsidR="00C8173B" w:rsidP="0060010D" w:rsidRDefault="00C8173B" w14:paraId="07DCB39F" w14:textId="77777777">
            <w:pPr>
              <w:widowControl w:val="0"/>
              <w:overflowPunct w:val="0"/>
              <w:autoSpaceDE w:val="0"/>
              <w:autoSpaceDN w:val="0"/>
              <w:adjustRightInd w:val="0"/>
              <w:textAlignment w:val="baseline"/>
              <w:rPr>
                <w:i/>
                <w:sz w:val="20"/>
                <w:szCs w:val="20"/>
              </w:rPr>
            </w:pPr>
            <w:r>
              <w:rPr>
                <w:i/>
                <w:sz w:val="20"/>
              </w:rPr>
              <w:t>Tālr.:</w:t>
            </w:r>
          </w:p>
        </w:tc>
        <w:tc>
          <w:tcPr>
            <w:tcW w:w="3910" w:type="pct"/>
          </w:tcPr>
          <w:p w:rsidRPr="00FA33C4" w:rsidR="00C8173B" w:rsidP="0060010D" w:rsidRDefault="00C8173B" w14:paraId="38E394E8" w14:textId="77777777">
            <w:pPr>
              <w:widowControl w:val="0"/>
              <w:overflowPunct w:val="0"/>
              <w:autoSpaceDE w:val="0"/>
              <w:autoSpaceDN w:val="0"/>
              <w:adjustRightInd w:val="0"/>
              <w:textAlignment w:val="baseline"/>
              <w:rPr>
                <w:i/>
                <w:sz w:val="20"/>
                <w:szCs w:val="20"/>
              </w:rPr>
            </w:pPr>
            <w:r>
              <w:rPr>
                <w:i/>
                <w:sz w:val="20"/>
              </w:rPr>
              <w:t>+32 25469739</w:t>
            </w:r>
          </w:p>
        </w:tc>
      </w:tr>
      <w:tr w:rsidRPr="00FA33C4" w:rsidR="00C8173B" w:rsidTr="0060010D" w14:paraId="0C60D958" w14:textId="77777777">
        <w:tc>
          <w:tcPr>
            <w:tcW w:w="1090" w:type="pct"/>
          </w:tcPr>
          <w:p w:rsidRPr="00FA33C4" w:rsidR="00C8173B" w:rsidP="0060010D" w:rsidRDefault="00C8173B" w14:paraId="2780140A" w14:textId="77777777">
            <w:pPr>
              <w:widowControl w:val="0"/>
              <w:overflowPunct w:val="0"/>
              <w:autoSpaceDE w:val="0"/>
              <w:autoSpaceDN w:val="0"/>
              <w:adjustRightInd w:val="0"/>
              <w:textAlignment w:val="baseline"/>
              <w:rPr>
                <w:i/>
                <w:sz w:val="20"/>
                <w:szCs w:val="20"/>
              </w:rPr>
            </w:pPr>
            <w:r>
              <w:rPr>
                <w:i/>
                <w:sz w:val="20"/>
              </w:rPr>
              <w:t>E-pasts:</w:t>
            </w:r>
          </w:p>
        </w:tc>
        <w:tc>
          <w:tcPr>
            <w:tcW w:w="3910" w:type="pct"/>
          </w:tcPr>
          <w:p w:rsidRPr="00FA33C4" w:rsidR="00C8173B" w:rsidP="0060010D" w:rsidRDefault="00E61064" w14:paraId="778D8CD6" w14:textId="77777777">
            <w:pPr>
              <w:widowControl w:val="0"/>
              <w:overflowPunct w:val="0"/>
              <w:autoSpaceDE w:val="0"/>
              <w:autoSpaceDN w:val="0"/>
              <w:adjustRightInd w:val="0"/>
              <w:textAlignment w:val="baseline"/>
              <w:rPr>
                <w:i/>
                <w:iCs/>
                <w:sz w:val="20"/>
                <w:szCs w:val="20"/>
              </w:rPr>
            </w:pPr>
            <w:hyperlink w:history="1" r:id="rId37">
              <w:r w:rsidR="00C8173B">
                <w:rPr>
                  <w:i/>
                  <w:color w:val="0000FF"/>
                  <w:sz w:val="20"/>
                  <w:u w:val="single"/>
                </w:rPr>
                <w:t>Maarit.Laurila@eesc.europa.eu</w:t>
              </w:r>
            </w:hyperlink>
          </w:p>
        </w:tc>
      </w:tr>
    </w:tbl>
    <w:p w:rsidRPr="00A33529" w:rsidR="00A33529" w:rsidP="00A33529" w:rsidRDefault="00E61064" w14:paraId="06CEF2CF" w14:textId="2A84E9E3">
      <w:pPr>
        <w:pStyle w:val="ListParagraph"/>
        <w:numPr>
          <w:ilvl w:val="0"/>
          <w:numId w:val="58"/>
        </w:numPr>
        <w:ind w:left="567" w:hanging="567"/>
        <w:rPr>
          <w:b/>
          <w:bCs/>
          <w:i/>
          <w:iCs/>
          <w:sz w:val="32"/>
          <w:szCs w:val="32"/>
        </w:rPr>
      </w:pPr>
      <w:hyperlink w:history="1" r:id="rId38">
        <w:r w:rsidR="002E6E14">
          <w:rPr>
            <w:rStyle w:val="Hyperlink"/>
            <w:b/>
            <w:i/>
            <w:sz w:val="32"/>
          </w:rPr>
          <w:t>Jauniešu iesaistīšana sociālajā un pilsoniskajā dialogā Vidusjūras reģionā</w:t>
        </w:r>
      </w:hyperlink>
    </w:p>
    <w:p w:rsidRPr="003A4752" w:rsidR="003A4752" w:rsidRDefault="003A4752" w14:paraId="55DBB8C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68"/>
        <w:gridCol w:w="7621"/>
      </w:tblGrid>
      <w:tr w:rsidRPr="00FA33C4" w:rsidR="003A4752" w:rsidTr="00FA33C4" w14:paraId="55D7383C" w14:textId="77777777">
        <w:tc>
          <w:tcPr>
            <w:tcW w:w="898" w:type="pct"/>
          </w:tcPr>
          <w:p w:rsidRPr="00FA33C4" w:rsidR="003A4752" w:rsidRDefault="003A4752" w14:paraId="694C75F8" w14:textId="77777777">
            <w:pPr>
              <w:tabs>
                <w:tab w:val="center" w:pos="284"/>
              </w:tabs>
              <w:overflowPunct w:val="0"/>
              <w:autoSpaceDE w:val="0"/>
              <w:autoSpaceDN w:val="0"/>
              <w:adjustRightInd w:val="0"/>
              <w:ind w:left="266" w:hanging="266"/>
              <w:textAlignment w:val="baseline"/>
              <w:rPr>
                <w:b/>
                <w:sz w:val="20"/>
                <w:szCs w:val="20"/>
              </w:rPr>
            </w:pPr>
            <w:r>
              <w:rPr>
                <w:b/>
                <w:sz w:val="20"/>
              </w:rPr>
              <w:t>Ziņotājs</w:t>
            </w:r>
          </w:p>
        </w:tc>
        <w:tc>
          <w:tcPr>
            <w:tcW w:w="4102" w:type="pct"/>
          </w:tcPr>
          <w:p w:rsidRPr="00FA33C4" w:rsidR="003A4752" w:rsidRDefault="003A4752" w14:paraId="35569678" w14:textId="28B927F4">
            <w:pPr>
              <w:tabs>
                <w:tab w:val="center" w:pos="284"/>
              </w:tabs>
              <w:overflowPunct w:val="0"/>
              <w:autoSpaceDE w:val="0"/>
              <w:autoSpaceDN w:val="0"/>
              <w:adjustRightInd w:val="0"/>
              <w:ind w:left="266" w:hanging="266"/>
              <w:textAlignment w:val="baseline"/>
              <w:rPr>
                <w:sz w:val="20"/>
                <w:szCs w:val="20"/>
              </w:rPr>
            </w:pPr>
            <w:proofErr w:type="spellStart"/>
            <w:r>
              <w:rPr>
                <w:sz w:val="20"/>
              </w:rPr>
              <w:t>Thomas</w:t>
            </w:r>
            <w:proofErr w:type="spellEnd"/>
            <w:r>
              <w:rPr>
                <w:sz w:val="20"/>
              </w:rPr>
              <w:t xml:space="preserve"> WAGNSONNER (Darba ņēmēju grupa – AT)</w:t>
            </w:r>
          </w:p>
        </w:tc>
      </w:tr>
      <w:tr w:rsidRPr="00FA33C4" w:rsidR="003A4752" w:rsidTr="00FA33C4" w14:paraId="07D7DB2B" w14:textId="77777777">
        <w:tc>
          <w:tcPr>
            <w:tcW w:w="898" w:type="pct"/>
          </w:tcPr>
          <w:p w:rsidRPr="00FA33C4" w:rsidR="003A4752" w:rsidRDefault="003A4752" w14:paraId="3C9529F1" w14:textId="77777777">
            <w:pPr>
              <w:tabs>
                <w:tab w:val="center" w:pos="284"/>
              </w:tabs>
              <w:overflowPunct w:val="0"/>
              <w:autoSpaceDE w:val="0"/>
              <w:autoSpaceDN w:val="0"/>
              <w:adjustRightInd w:val="0"/>
              <w:ind w:left="266" w:hanging="266"/>
              <w:textAlignment w:val="baseline"/>
              <w:rPr>
                <w:b/>
                <w:sz w:val="20"/>
                <w:szCs w:val="20"/>
              </w:rPr>
            </w:pPr>
            <w:r>
              <w:rPr>
                <w:b/>
                <w:sz w:val="20"/>
              </w:rPr>
              <w:t>Līdzziņotāja</w:t>
            </w:r>
          </w:p>
        </w:tc>
        <w:tc>
          <w:tcPr>
            <w:tcW w:w="4102" w:type="pct"/>
          </w:tcPr>
          <w:p w:rsidRPr="00FA33C4" w:rsidR="003A4752" w:rsidRDefault="003A4752" w14:paraId="4176DBB7" w14:textId="6D5B619F">
            <w:pPr>
              <w:tabs>
                <w:tab w:val="center" w:pos="284"/>
              </w:tabs>
              <w:overflowPunct w:val="0"/>
              <w:autoSpaceDE w:val="0"/>
              <w:autoSpaceDN w:val="0"/>
              <w:adjustRightInd w:val="0"/>
              <w:ind w:left="266" w:hanging="266"/>
              <w:jc w:val="left"/>
              <w:textAlignment w:val="baseline"/>
              <w:rPr>
                <w:sz w:val="20"/>
                <w:szCs w:val="20"/>
              </w:rPr>
            </w:pPr>
            <w:r>
              <w:rPr>
                <w:sz w:val="20"/>
              </w:rPr>
              <w:t>Lidija PAVIĆ-ROGOŠIĆ (Pilsoniskās sabiedrības organizāciju grupa – HR)</w:t>
            </w:r>
          </w:p>
        </w:tc>
      </w:tr>
      <w:tr w:rsidRPr="00FA33C4" w:rsidR="003A4752" w:rsidTr="000B1858" w14:paraId="326AD7BB" w14:textId="77777777">
        <w:tc>
          <w:tcPr>
            <w:tcW w:w="5000" w:type="pct"/>
            <w:gridSpan w:val="2"/>
          </w:tcPr>
          <w:p w:rsidRPr="00FA33C4" w:rsidR="003A4752" w:rsidP="0060010D" w:rsidRDefault="003A4752" w14:paraId="7EFFB25F" w14:textId="77777777">
            <w:pPr>
              <w:tabs>
                <w:tab w:val="center" w:pos="284"/>
              </w:tabs>
              <w:overflowPunct w:val="0"/>
              <w:autoSpaceDE w:val="0"/>
              <w:autoSpaceDN w:val="0"/>
              <w:adjustRightInd w:val="0"/>
              <w:ind w:left="266" w:hanging="266"/>
              <w:textAlignment w:val="baseline"/>
              <w:rPr>
                <w:sz w:val="20"/>
                <w:szCs w:val="20"/>
              </w:rPr>
            </w:pPr>
          </w:p>
        </w:tc>
      </w:tr>
      <w:tr w:rsidRPr="00FA33C4" w:rsidR="003A4752" w:rsidTr="00FA33C4" w14:paraId="6DFF7682" w14:textId="77777777">
        <w:tc>
          <w:tcPr>
            <w:tcW w:w="898" w:type="pct"/>
          </w:tcPr>
          <w:p w:rsidRPr="00FA33C4" w:rsidR="003A4752" w:rsidRDefault="003A4752" w14:paraId="47E2E618" w14:textId="77777777">
            <w:pPr>
              <w:tabs>
                <w:tab w:val="center" w:pos="284"/>
              </w:tabs>
              <w:overflowPunct w:val="0"/>
              <w:autoSpaceDE w:val="0"/>
              <w:autoSpaceDN w:val="0"/>
              <w:adjustRightInd w:val="0"/>
              <w:ind w:left="266" w:hanging="266"/>
              <w:textAlignment w:val="baseline"/>
              <w:rPr>
                <w:b/>
                <w:sz w:val="20"/>
                <w:szCs w:val="20"/>
              </w:rPr>
            </w:pPr>
            <w:r>
              <w:rPr>
                <w:b/>
                <w:sz w:val="20"/>
              </w:rPr>
              <w:t>Atsauces</w:t>
            </w:r>
          </w:p>
        </w:tc>
        <w:tc>
          <w:tcPr>
            <w:tcW w:w="4102" w:type="pct"/>
          </w:tcPr>
          <w:p w:rsidRPr="00FA33C4" w:rsidR="00114D45" w:rsidRDefault="00114D45" w14:paraId="7CB48587" w14:textId="2F429D10">
            <w:pPr>
              <w:tabs>
                <w:tab w:val="center" w:pos="284"/>
              </w:tabs>
              <w:overflowPunct w:val="0"/>
              <w:autoSpaceDE w:val="0"/>
              <w:autoSpaceDN w:val="0"/>
              <w:adjustRightInd w:val="0"/>
              <w:ind w:left="266" w:hanging="266"/>
              <w:textAlignment w:val="baseline"/>
              <w:rPr>
                <w:sz w:val="20"/>
                <w:szCs w:val="20"/>
              </w:rPr>
            </w:pPr>
            <w:r>
              <w:rPr>
                <w:sz w:val="20"/>
              </w:rPr>
              <w:t>Pašiniciatīvas atzinums</w:t>
            </w:r>
          </w:p>
          <w:p w:rsidRPr="00FA33C4" w:rsidR="003A4752" w:rsidRDefault="003A4752" w14:paraId="66A1F34B" w14:textId="471DF6D3">
            <w:pPr>
              <w:tabs>
                <w:tab w:val="center" w:pos="284"/>
              </w:tabs>
              <w:overflowPunct w:val="0"/>
              <w:autoSpaceDE w:val="0"/>
              <w:autoSpaceDN w:val="0"/>
              <w:adjustRightInd w:val="0"/>
              <w:ind w:left="266" w:hanging="266"/>
              <w:textAlignment w:val="baseline"/>
              <w:rPr>
                <w:sz w:val="20"/>
                <w:szCs w:val="20"/>
              </w:rPr>
            </w:pPr>
            <w:r>
              <w:rPr>
                <w:sz w:val="20"/>
              </w:rPr>
              <w:t>EESC-2024-00515-00-00-AC</w:t>
            </w:r>
          </w:p>
        </w:tc>
      </w:tr>
    </w:tbl>
    <w:p w:rsidRPr="003A4752" w:rsidR="003A4752" w:rsidRDefault="003A4752" w14:paraId="7B401AD2"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6551D4C3"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3A4752" w:rsidR="003A4752" w:rsidRDefault="003A4752" w14:paraId="0F5C1B07"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5B859B61" w14:textId="77777777">
      <w:pPr>
        <w:overflowPunct w:val="0"/>
        <w:autoSpaceDE w:val="0"/>
        <w:autoSpaceDN w:val="0"/>
        <w:adjustRightInd w:val="0"/>
        <w:textAlignment w:val="baseline"/>
        <w:rPr>
          <w:bCs/>
          <w:iCs/>
        </w:rPr>
      </w:pPr>
      <w:r>
        <w:t>EESK:</w:t>
      </w:r>
    </w:p>
    <w:p w:rsidRPr="003A4752" w:rsidR="003A4752" w:rsidP="0060010D" w:rsidRDefault="003A4752" w14:paraId="2D65C8C3"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iesaka </w:t>
      </w:r>
      <w:r>
        <w:rPr>
          <w:b/>
        </w:rPr>
        <w:t>iekļaut jaunatnes pārstāvjus visās uz jaunatni vērstās juridiska rakstura darbībās</w:t>
      </w:r>
      <w:r>
        <w:t xml:space="preserve"> un iesaistīt jauniešus </w:t>
      </w:r>
      <w:r>
        <w:rPr>
          <w:b/>
        </w:rPr>
        <w:t>visos politikas veidošanas procesa posmos</w:t>
      </w:r>
      <w:r>
        <w:t xml:space="preserve">, sākot ar lēmumu pieņemšanu un beidzot ar politikas īstenošanu un novērtēšanu; </w:t>
      </w:r>
    </w:p>
    <w:p w:rsidRPr="003A4752" w:rsidR="003A4752" w:rsidP="0060010D" w:rsidRDefault="003A4752" w14:paraId="34D3A02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norāda, ka </w:t>
      </w:r>
      <w:r>
        <w:rPr>
          <w:b/>
        </w:rPr>
        <w:t>izglītības sistēmām būtu</w:t>
      </w:r>
      <w:r>
        <w:t xml:space="preserve"> aktīvāk </w:t>
      </w:r>
      <w:r>
        <w:rPr>
          <w:b/>
        </w:rPr>
        <w:t>jāveicina pilsoniskā līdzdalība</w:t>
      </w:r>
      <w:r>
        <w:t>, izmantojot</w:t>
      </w:r>
      <w:r>
        <w:rPr>
          <w:b/>
        </w:rPr>
        <w:t xml:space="preserve"> līdzdalības procesus</w:t>
      </w:r>
      <w:r>
        <w:t xml:space="preserve">, un jārada </w:t>
      </w:r>
      <w:r>
        <w:rPr>
          <w:b/>
        </w:rPr>
        <w:t>atbalstošas ekosistēmas</w:t>
      </w:r>
      <w:r>
        <w:t xml:space="preserve"> atbilstošu prasmju apguvei, lai jauniešiem dotu iespēju pārliecinoši iesaistīties institucionālajos procesos;</w:t>
      </w:r>
    </w:p>
    <w:p w:rsidRPr="003A4752" w:rsidR="003A4752" w:rsidP="0060010D" w:rsidRDefault="003A4752" w14:paraId="35B3E4AA"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uzskata, ka </w:t>
      </w:r>
      <w:r>
        <w:rPr>
          <w:b/>
        </w:rPr>
        <w:t>pilsoniskajai sabiedrībai</w:t>
      </w:r>
      <w:r>
        <w:t xml:space="preserve"> un </w:t>
      </w:r>
      <w:r>
        <w:rPr>
          <w:b/>
        </w:rPr>
        <w:t>sociālo partneru organizācijām</w:t>
      </w:r>
      <w:r>
        <w:t xml:space="preserve"> </w:t>
      </w:r>
      <w:r>
        <w:rPr>
          <w:b/>
        </w:rPr>
        <w:t xml:space="preserve">būtu </w:t>
      </w:r>
      <w:r>
        <w:t xml:space="preserve">jāturpina </w:t>
      </w:r>
      <w:r>
        <w:rPr>
          <w:b/>
        </w:rPr>
        <w:t>atbalstīt jauniešus</w:t>
      </w:r>
      <w:r>
        <w:t xml:space="preserve">, nodrošinot </w:t>
      </w:r>
      <w:r>
        <w:rPr>
          <w:b/>
        </w:rPr>
        <w:t>spēju veidošanas seminārus</w:t>
      </w:r>
      <w:r>
        <w:t xml:space="preserve">, lai viņiem būtu vieglāk atrast līdzekļus un iesaistīšanās iespējas; </w:t>
      </w:r>
    </w:p>
    <w:p w:rsidRPr="003A4752" w:rsidR="003A4752" w:rsidP="0060010D" w:rsidRDefault="003A4752" w14:paraId="51582832"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uzsver, cik </w:t>
      </w:r>
      <w:r>
        <w:rPr>
          <w:b/>
        </w:rPr>
        <w:t>svarīgi ir pētniecības pasākumi</w:t>
      </w:r>
      <w:r>
        <w:t xml:space="preserve">, kas vērsti uz </w:t>
      </w:r>
      <w:r>
        <w:rPr>
          <w:b/>
        </w:rPr>
        <w:t>jauniešu iesaistīšanos darba tirgū</w:t>
      </w:r>
      <w:r>
        <w:t xml:space="preserve">, </w:t>
      </w:r>
      <w:r>
        <w:rPr>
          <w:b/>
        </w:rPr>
        <w:t>izglītībā</w:t>
      </w:r>
      <w:r>
        <w:t xml:space="preserve">, </w:t>
      </w:r>
      <w:r>
        <w:rPr>
          <w:b/>
        </w:rPr>
        <w:t>līdzdalības procesos</w:t>
      </w:r>
      <w:r>
        <w:t xml:space="preserve"> un kopienas dzīvē; </w:t>
      </w:r>
    </w:p>
    <w:p w:rsidRPr="003A4752" w:rsidR="003A4752" w:rsidP="0060010D" w:rsidRDefault="003A4752" w14:paraId="3E0AE93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uzsver, ka efektīvs veids, kā strukturāli iekļaut jauniešu līdzdalību sociālā dialoga struktūrās, ir </w:t>
      </w:r>
      <w:r>
        <w:rPr>
          <w:b/>
        </w:rPr>
        <w:t>mudināt jauniešus piedalīties koplīguma sarunās</w:t>
      </w:r>
      <w:r>
        <w:t xml:space="preserve"> un veidot</w:t>
      </w:r>
      <w:r>
        <w:rPr>
          <w:b/>
        </w:rPr>
        <w:t xml:space="preserve"> uz jauniešiem vērstas pārstāvības struktūras uzņēmumu līmenī</w:t>
      </w:r>
      <w:r>
        <w:t>;</w:t>
      </w:r>
    </w:p>
    <w:p w:rsidRPr="003A4752" w:rsidR="003A4752" w:rsidP="0060010D" w:rsidRDefault="003A4752" w14:paraId="43A1E821"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uzsver, ka būtu jāpalielina jauniešu organizāciju un jaunatnes padomju pārstāvība sarunās ar valsts iestādēm, </w:t>
      </w:r>
      <w:r>
        <w:rPr>
          <w:b/>
        </w:rPr>
        <w:t>atzīstot jaunatnes darbiniekus par nozīmīgiem dalībniekiem apspriežu procesos</w:t>
      </w:r>
      <w:r>
        <w:t xml:space="preserve"> un nodrošinot viņiem nepieciešamo telpu un līdzekļus efektīva ieguldījuma sniegšanai;</w:t>
      </w:r>
    </w:p>
    <w:p w:rsidRPr="003A4752" w:rsidR="003A4752" w:rsidP="0060010D" w:rsidRDefault="003A4752" w14:paraId="4DE1EC8F"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uzsver, ka Vidusjūras reģiona valstīm bieži vien </w:t>
      </w:r>
      <w:r>
        <w:rPr>
          <w:b/>
        </w:rPr>
        <w:t>trūkst atbilstošu sistēmu efektīvam sociālajam dialogam</w:t>
      </w:r>
      <w:r>
        <w:t xml:space="preserve">, un tādēļ uzsver nepieciešamību </w:t>
      </w:r>
      <w:r>
        <w:rPr>
          <w:b/>
        </w:rPr>
        <w:t>stiprināt sociālo dialogu</w:t>
      </w:r>
      <w:r>
        <w:t xml:space="preserve">, it īpaši </w:t>
      </w:r>
      <w:r>
        <w:rPr>
          <w:b/>
        </w:rPr>
        <w:t>valstu, nozaru un uzņēmumu līmenī</w:t>
      </w:r>
      <w:r>
        <w:t xml:space="preserve">, pilnībā īstenojot galvenās </w:t>
      </w:r>
      <w:r>
        <w:rPr>
          <w:b/>
        </w:rPr>
        <w:t>SDO konvencijas par sociālo dialogu</w:t>
      </w:r>
      <w:r>
        <w:t>;</w:t>
      </w:r>
    </w:p>
    <w:p w:rsidRPr="003A4752" w:rsidR="003A4752" w:rsidP="0060010D" w:rsidRDefault="003A4752" w14:paraId="6F3D10E6"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aicina Eiropas Komisiju atbalstīt </w:t>
      </w:r>
      <w:r>
        <w:rPr>
          <w:b/>
        </w:rPr>
        <w:t>Vidusjūras dienvidu reģiona sociālā dialoga (</w:t>
      </w:r>
      <w:proofErr w:type="spellStart"/>
      <w:r>
        <w:rPr>
          <w:b/>
        </w:rPr>
        <w:t>SOLiD</w:t>
      </w:r>
      <w:proofErr w:type="spellEnd"/>
      <w:r>
        <w:rPr>
          <w:b/>
        </w:rPr>
        <w:t>) projekta</w:t>
      </w:r>
      <w:r>
        <w:t xml:space="preserve"> trešo posmu, kas būtu jāizmanto, lai </w:t>
      </w:r>
      <w:r>
        <w:rPr>
          <w:b/>
        </w:rPr>
        <w:t>izstrādātu Jaunatnes hartu</w:t>
      </w:r>
      <w:r>
        <w:t xml:space="preserve">, vienlaikus arī izpētot iespējas izveidot </w:t>
      </w:r>
      <w:r>
        <w:rPr>
          <w:b/>
        </w:rPr>
        <w:t>uz jaunatni vērstus konsultāciju mehānismus</w:t>
      </w:r>
      <w:r>
        <w:t>.</w:t>
      </w:r>
    </w:p>
    <w:p w:rsidRPr="003A4752" w:rsidR="007B1DCA" w:rsidRDefault="007B1DCA" w14:paraId="1A78A7B9" w14:textId="77777777">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595"/>
        <w:gridCol w:w="7584"/>
      </w:tblGrid>
      <w:tr w:rsidRPr="00FA33C4" w:rsidR="003A4752" w:rsidTr="0060010D" w14:paraId="0620DBD9" w14:textId="77777777">
        <w:tc>
          <w:tcPr>
            <w:tcW w:w="677" w:type="pct"/>
          </w:tcPr>
          <w:p w:rsidRPr="00FA33C4" w:rsidR="003A4752" w:rsidP="0060010D" w:rsidRDefault="003A4752" w14:paraId="05FFD1E7" w14:textId="77777777">
            <w:pPr>
              <w:overflowPunct w:val="0"/>
              <w:autoSpaceDE w:val="0"/>
              <w:autoSpaceDN w:val="0"/>
              <w:adjustRightInd w:val="0"/>
              <w:textAlignment w:val="baseline"/>
              <w:rPr>
                <w:i/>
                <w:sz w:val="20"/>
                <w:szCs w:val="20"/>
              </w:rPr>
            </w:pPr>
            <w:r>
              <w:rPr>
                <w:b/>
                <w:i/>
                <w:sz w:val="20"/>
              </w:rPr>
              <w:t>Kontaktpersona:</w:t>
            </w:r>
          </w:p>
        </w:tc>
        <w:tc>
          <w:tcPr>
            <w:tcW w:w="4323" w:type="pct"/>
          </w:tcPr>
          <w:p w:rsidRPr="00FA33C4" w:rsidR="003A4752" w:rsidP="0060010D" w:rsidRDefault="003A4752" w14:paraId="42245014" w14:textId="77777777">
            <w:pPr>
              <w:overflowPunct w:val="0"/>
              <w:autoSpaceDE w:val="0"/>
              <w:autoSpaceDN w:val="0"/>
              <w:adjustRightInd w:val="0"/>
              <w:textAlignment w:val="baseline"/>
              <w:rPr>
                <w:i/>
                <w:sz w:val="20"/>
                <w:szCs w:val="20"/>
              </w:rPr>
            </w:pPr>
            <w:r>
              <w:rPr>
                <w:i/>
                <w:sz w:val="20"/>
              </w:rPr>
              <w:t>Andreas Berger</w:t>
            </w:r>
          </w:p>
        </w:tc>
      </w:tr>
      <w:tr w:rsidRPr="00FA33C4" w:rsidR="003A4752" w:rsidTr="0060010D" w14:paraId="486C6D3D" w14:textId="77777777">
        <w:tc>
          <w:tcPr>
            <w:tcW w:w="677" w:type="pct"/>
          </w:tcPr>
          <w:p w:rsidRPr="00FA33C4" w:rsidR="003A4752" w:rsidP="0060010D" w:rsidRDefault="003A4752" w14:paraId="359EB95F" w14:textId="77777777">
            <w:pPr>
              <w:overflowPunct w:val="0"/>
              <w:autoSpaceDE w:val="0"/>
              <w:autoSpaceDN w:val="0"/>
              <w:adjustRightInd w:val="0"/>
              <w:textAlignment w:val="baseline"/>
              <w:rPr>
                <w:i/>
                <w:sz w:val="20"/>
                <w:szCs w:val="20"/>
              </w:rPr>
            </w:pPr>
            <w:r>
              <w:rPr>
                <w:i/>
                <w:sz w:val="20"/>
              </w:rPr>
              <w:t>Tālr.:</w:t>
            </w:r>
          </w:p>
        </w:tc>
        <w:tc>
          <w:tcPr>
            <w:tcW w:w="4323" w:type="pct"/>
          </w:tcPr>
          <w:p w:rsidRPr="00FA33C4" w:rsidR="003A4752" w:rsidP="0060010D" w:rsidRDefault="003A4752" w14:paraId="253A4B6D" w14:textId="77777777">
            <w:pPr>
              <w:overflowPunct w:val="0"/>
              <w:autoSpaceDE w:val="0"/>
              <w:autoSpaceDN w:val="0"/>
              <w:adjustRightInd w:val="0"/>
              <w:textAlignment w:val="baseline"/>
              <w:rPr>
                <w:i/>
                <w:sz w:val="20"/>
                <w:szCs w:val="20"/>
              </w:rPr>
            </w:pPr>
            <w:r>
              <w:rPr>
                <w:i/>
                <w:sz w:val="20"/>
              </w:rPr>
              <w:t>+32 25469062</w:t>
            </w:r>
          </w:p>
        </w:tc>
      </w:tr>
      <w:tr w:rsidRPr="00FA33C4" w:rsidR="003A4752" w:rsidTr="0060010D" w14:paraId="081DE08D" w14:textId="77777777">
        <w:tc>
          <w:tcPr>
            <w:tcW w:w="677" w:type="pct"/>
          </w:tcPr>
          <w:p w:rsidRPr="00FA33C4" w:rsidR="003A4752" w:rsidP="0060010D" w:rsidRDefault="003A4752" w14:paraId="02A7926F" w14:textId="77777777">
            <w:pPr>
              <w:overflowPunct w:val="0"/>
              <w:autoSpaceDE w:val="0"/>
              <w:autoSpaceDN w:val="0"/>
              <w:adjustRightInd w:val="0"/>
              <w:textAlignment w:val="baseline"/>
              <w:rPr>
                <w:i/>
                <w:sz w:val="20"/>
                <w:szCs w:val="20"/>
              </w:rPr>
            </w:pPr>
            <w:r>
              <w:rPr>
                <w:i/>
                <w:sz w:val="20"/>
              </w:rPr>
              <w:t>E-pasts:</w:t>
            </w:r>
          </w:p>
        </w:tc>
        <w:tc>
          <w:tcPr>
            <w:tcW w:w="4323" w:type="pct"/>
          </w:tcPr>
          <w:p w:rsidRPr="00FA33C4" w:rsidR="00B95DFE" w:rsidP="0060010D" w:rsidRDefault="00E61064" w14:paraId="71A9548F" w14:textId="2420701F">
            <w:pPr>
              <w:overflowPunct w:val="0"/>
              <w:autoSpaceDE w:val="0"/>
              <w:autoSpaceDN w:val="0"/>
              <w:adjustRightInd w:val="0"/>
              <w:textAlignment w:val="baseline"/>
              <w:rPr>
                <w:i/>
                <w:sz w:val="20"/>
                <w:szCs w:val="20"/>
              </w:rPr>
            </w:pPr>
            <w:hyperlink w:history="1" r:id="rId39">
              <w:r w:rsidR="00465FCD">
                <w:rPr>
                  <w:i/>
                  <w:color w:val="0000FF"/>
                  <w:sz w:val="20"/>
                  <w:u w:val="single"/>
                </w:rPr>
                <w:t>Andreas.Berger@eesc.europa.eu</w:t>
              </w:r>
            </w:hyperlink>
          </w:p>
        </w:tc>
      </w:tr>
    </w:tbl>
    <w:p w:rsidR="000D394D" w:rsidP="0060010D" w:rsidRDefault="00726351" w14:paraId="2E28EF19" w14:textId="12AC3A26">
      <w:pPr>
        <w:jc w:val="center"/>
      </w:pPr>
      <w:r>
        <w:t>_____________</w:t>
      </w:r>
    </w:p>
    <w:sectPr w:rsidR="000D394D" w:rsidSect="00EE160A">
      <w:headerReference w:type="even" r:id="rId40"/>
      <w:headerReference w:type="default" r:id="rId41"/>
      <w:footerReference w:type="even" r:id="rId42"/>
      <w:footerReference w:type="default" r:id="rId43"/>
      <w:headerReference w:type="first" r:id="rId44"/>
      <w:footerReference w:type="first" r:id="rId4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485" w14:textId="77777777" w:rsidR="00F70422" w:rsidRDefault="00F7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fldSimple w:instr=" NUMPAGES ">
      <w:r w:rsidR="0060010D">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793" w14:textId="77777777" w:rsidR="00F70422" w:rsidRDefault="00F7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fldSimple w:instr=" NUMPAGES ">
      <w:r>
        <w:t>20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B65" w14:textId="77777777" w:rsidR="00F70422" w:rsidRDefault="00F7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9BA" w14:textId="77777777" w:rsidR="00F70422" w:rsidRDefault="00F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CB9" w14:textId="77777777" w:rsidR="00F70422" w:rsidRDefault="00F7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C97AF652"/>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7A6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00962DD"/>
    <w:multiLevelType w:val="hybridMultilevel"/>
    <w:tmpl w:val="7E96C0B4"/>
    <w:lvl w:ilvl="0" w:tplc="72BE522E">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BCA"/>
    <w:multiLevelType w:val="hybridMultilevel"/>
    <w:tmpl w:val="D7E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21077"/>
    <w:multiLevelType w:val="hybridMultilevel"/>
    <w:tmpl w:val="B37C1456"/>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3"/>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39"/>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6"/>
  </w:num>
  <w:num w:numId="16">
    <w:abstractNumId w:val="25"/>
  </w:num>
  <w:num w:numId="17">
    <w:abstractNumId w:val="47"/>
  </w:num>
  <w:num w:numId="18">
    <w:abstractNumId w:val="37"/>
  </w:num>
  <w:num w:numId="19">
    <w:abstractNumId w:val="31"/>
  </w:num>
  <w:num w:numId="20">
    <w:abstractNumId w:val="26"/>
  </w:num>
  <w:num w:numId="21">
    <w:abstractNumId w:val="43"/>
  </w:num>
  <w:num w:numId="22">
    <w:abstractNumId w:val="30"/>
  </w:num>
  <w:num w:numId="23">
    <w:abstractNumId w:val="14"/>
  </w:num>
  <w:num w:numId="24">
    <w:abstractNumId w:val="19"/>
  </w:num>
  <w:num w:numId="25">
    <w:abstractNumId w:val="34"/>
  </w:num>
  <w:num w:numId="26">
    <w:abstractNumId w:val="13"/>
  </w:num>
  <w:num w:numId="27">
    <w:abstractNumId w:val="54"/>
  </w:num>
  <w:num w:numId="28">
    <w:abstractNumId w:val="10"/>
  </w:num>
  <w:num w:numId="29">
    <w:abstractNumId w:val="32"/>
  </w:num>
  <w:num w:numId="30">
    <w:abstractNumId w:val="41"/>
  </w:num>
  <w:num w:numId="31">
    <w:abstractNumId w:val="22"/>
  </w:num>
  <w:num w:numId="32">
    <w:abstractNumId w:val="53"/>
  </w:num>
  <w:num w:numId="33">
    <w:abstractNumId w:val="23"/>
  </w:num>
  <w:num w:numId="34">
    <w:abstractNumId w:val="21"/>
  </w:num>
  <w:num w:numId="35">
    <w:abstractNumId w:val="52"/>
  </w:num>
  <w:num w:numId="36">
    <w:abstractNumId w:val="36"/>
  </w:num>
  <w:num w:numId="37">
    <w:abstractNumId w:val="42"/>
  </w:num>
  <w:num w:numId="38">
    <w:abstractNumId w:val="55"/>
  </w:num>
  <w:num w:numId="39">
    <w:abstractNumId w:val="7"/>
  </w:num>
  <w:num w:numId="40">
    <w:abstractNumId w:val="40"/>
  </w:num>
  <w:num w:numId="41">
    <w:abstractNumId w:val="38"/>
  </w:num>
  <w:num w:numId="42">
    <w:abstractNumId w:val="9"/>
  </w:num>
  <w:num w:numId="43">
    <w:abstractNumId w:val="24"/>
  </w:num>
  <w:num w:numId="44">
    <w:abstractNumId w:val="3"/>
  </w:num>
  <w:num w:numId="45">
    <w:abstractNumId w:val="20"/>
  </w:num>
  <w:num w:numId="46">
    <w:abstractNumId w:val="51"/>
  </w:num>
  <w:num w:numId="47">
    <w:abstractNumId w:val="12"/>
  </w:num>
  <w:num w:numId="48">
    <w:abstractNumId w:val="48"/>
  </w:num>
  <w:num w:numId="49">
    <w:abstractNumId w:val="29"/>
  </w:num>
  <w:num w:numId="50">
    <w:abstractNumId w:val="4"/>
  </w:num>
  <w:num w:numId="51">
    <w:abstractNumId w:val="5"/>
  </w:num>
  <w:num w:numId="52">
    <w:abstractNumId w:val="2"/>
  </w:num>
  <w:num w:numId="53">
    <w:abstractNumId w:val="50"/>
  </w:num>
  <w:num w:numId="54">
    <w:abstractNumId w:val="17"/>
  </w:num>
  <w:num w:numId="55">
    <w:abstractNumId w:val="27"/>
  </w:num>
  <w:num w:numId="56">
    <w:abstractNumId w:val="45"/>
  </w:num>
  <w:num w:numId="57">
    <w:abstractNumId w:val="35"/>
  </w:num>
  <w:num w:numId="58">
    <w:abstractNumId w:val="28"/>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562B8"/>
    <w:rsid w:val="00063DFF"/>
    <w:rsid w:val="000A6A5A"/>
    <w:rsid w:val="000B40B4"/>
    <w:rsid w:val="000D394D"/>
    <w:rsid w:val="000D43E1"/>
    <w:rsid w:val="000D533F"/>
    <w:rsid w:val="000E4936"/>
    <w:rsid w:val="0010406A"/>
    <w:rsid w:val="00114D45"/>
    <w:rsid w:val="00116EE0"/>
    <w:rsid w:val="001208E1"/>
    <w:rsid w:val="00126764"/>
    <w:rsid w:val="00154A6C"/>
    <w:rsid w:val="00175F5A"/>
    <w:rsid w:val="001900C9"/>
    <w:rsid w:val="001C5762"/>
    <w:rsid w:val="001E391D"/>
    <w:rsid w:val="0020320E"/>
    <w:rsid w:val="00217685"/>
    <w:rsid w:val="00225BB6"/>
    <w:rsid w:val="00232656"/>
    <w:rsid w:val="00247F8B"/>
    <w:rsid w:val="002538AC"/>
    <w:rsid w:val="0027707F"/>
    <w:rsid w:val="00293191"/>
    <w:rsid w:val="002A5636"/>
    <w:rsid w:val="002B7981"/>
    <w:rsid w:val="002E05A2"/>
    <w:rsid w:val="002E6E14"/>
    <w:rsid w:val="003066BE"/>
    <w:rsid w:val="00321FDD"/>
    <w:rsid w:val="003227CC"/>
    <w:rsid w:val="00343F74"/>
    <w:rsid w:val="00392B2D"/>
    <w:rsid w:val="003A4752"/>
    <w:rsid w:val="003C2964"/>
    <w:rsid w:val="003F326D"/>
    <w:rsid w:val="003F79EF"/>
    <w:rsid w:val="0041135D"/>
    <w:rsid w:val="00421AAB"/>
    <w:rsid w:val="004229C4"/>
    <w:rsid w:val="004255DD"/>
    <w:rsid w:val="0043191A"/>
    <w:rsid w:val="00435AEF"/>
    <w:rsid w:val="00444504"/>
    <w:rsid w:val="00465FCD"/>
    <w:rsid w:val="00486DAE"/>
    <w:rsid w:val="004A5CD7"/>
    <w:rsid w:val="004D7AC0"/>
    <w:rsid w:val="004E3508"/>
    <w:rsid w:val="004E411F"/>
    <w:rsid w:val="0052107B"/>
    <w:rsid w:val="00532089"/>
    <w:rsid w:val="005404CB"/>
    <w:rsid w:val="00586B4B"/>
    <w:rsid w:val="00593C9F"/>
    <w:rsid w:val="005A0BDA"/>
    <w:rsid w:val="005A3D14"/>
    <w:rsid w:val="005A4C58"/>
    <w:rsid w:val="005B5258"/>
    <w:rsid w:val="005C66E1"/>
    <w:rsid w:val="005E7651"/>
    <w:rsid w:val="005F55DC"/>
    <w:rsid w:val="0060010D"/>
    <w:rsid w:val="00625CA3"/>
    <w:rsid w:val="00641262"/>
    <w:rsid w:val="0067428C"/>
    <w:rsid w:val="006B21A0"/>
    <w:rsid w:val="006C0A65"/>
    <w:rsid w:val="006C533B"/>
    <w:rsid w:val="006C6ECE"/>
    <w:rsid w:val="006D16C7"/>
    <w:rsid w:val="006D2C8A"/>
    <w:rsid w:val="006D2D64"/>
    <w:rsid w:val="006E2EF5"/>
    <w:rsid w:val="00720580"/>
    <w:rsid w:val="00726351"/>
    <w:rsid w:val="007448E4"/>
    <w:rsid w:val="00754027"/>
    <w:rsid w:val="007554BE"/>
    <w:rsid w:val="00766B1A"/>
    <w:rsid w:val="007A0BE6"/>
    <w:rsid w:val="007A730A"/>
    <w:rsid w:val="007B1DCA"/>
    <w:rsid w:val="007C1ABC"/>
    <w:rsid w:val="007F5784"/>
    <w:rsid w:val="00832938"/>
    <w:rsid w:val="00840FC8"/>
    <w:rsid w:val="0084417F"/>
    <w:rsid w:val="008452C8"/>
    <w:rsid w:val="00845F24"/>
    <w:rsid w:val="00850929"/>
    <w:rsid w:val="0086679E"/>
    <w:rsid w:val="008761FA"/>
    <w:rsid w:val="0088219D"/>
    <w:rsid w:val="00892F37"/>
    <w:rsid w:val="008B5FC5"/>
    <w:rsid w:val="008C7452"/>
    <w:rsid w:val="008D05C8"/>
    <w:rsid w:val="008D44E2"/>
    <w:rsid w:val="0090254F"/>
    <w:rsid w:val="009144BA"/>
    <w:rsid w:val="00941874"/>
    <w:rsid w:val="0094356F"/>
    <w:rsid w:val="00945147"/>
    <w:rsid w:val="009B04E2"/>
    <w:rsid w:val="00A073FB"/>
    <w:rsid w:val="00A20E9D"/>
    <w:rsid w:val="00A272B2"/>
    <w:rsid w:val="00A30FAD"/>
    <w:rsid w:val="00A33529"/>
    <w:rsid w:val="00A50553"/>
    <w:rsid w:val="00A5081E"/>
    <w:rsid w:val="00A512D0"/>
    <w:rsid w:val="00A71030"/>
    <w:rsid w:val="00A94349"/>
    <w:rsid w:val="00AC7540"/>
    <w:rsid w:val="00AE5791"/>
    <w:rsid w:val="00AF6DC1"/>
    <w:rsid w:val="00B11B7E"/>
    <w:rsid w:val="00B16AE4"/>
    <w:rsid w:val="00B203DA"/>
    <w:rsid w:val="00B47C02"/>
    <w:rsid w:val="00B518C9"/>
    <w:rsid w:val="00B80EC0"/>
    <w:rsid w:val="00B8503F"/>
    <w:rsid w:val="00B87220"/>
    <w:rsid w:val="00B95DFE"/>
    <w:rsid w:val="00B97319"/>
    <w:rsid w:val="00BA081D"/>
    <w:rsid w:val="00BA2F3D"/>
    <w:rsid w:val="00BA327E"/>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C67"/>
    <w:rsid w:val="00C3059A"/>
    <w:rsid w:val="00C4084F"/>
    <w:rsid w:val="00C417FE"/>
    <w:rsid w:val="00C8173B"/>
    <w:rsid w:val="00C821A5"/>
    <w:rsid w:val="00D24919"/>
    <w:rsid w:val="00D26CB8"/>
    <w:rsid w:val="00D43492"/>
    <w:rsid w:val="00D43613"/>
    <w:rsid w:val="00D63232"/>
    <w:rsid w:val="00D66820"/>
    <w:rsid w:val="00D7076A"/>
    <w:rsid w:val="00D7172A"/>
    <w:rsid w:val="00D81F5E"/>
    <w:rsid w:val="00D92269"/>
    <w:rsid w:val="00DC329C"/>
    <w:rsid w:val="00DE176A"/>
    <w:rsid w:val="00DE7710"/>
    <w:rsid w:val="00E00A6B"/>
    <w:rsid w:val="00E13806"/>
    <w:rsid w:val="00E16E3C"/>
    <w:rsid w:val="00E57BB9"/>
    <w:rsid w:val="00E61064"/>
    <w:rsid w:val="00E77899"/>
    <w:rsid w:val="00EA3596"/>
    <w:rsid w:val="00EB5E2E"/>
    <w:rsid w:val="00EB629E"/>
    <w:rsid w:val="00EC0F9A"/>
    <w:rsid w:val="00EE160A"/>
    <w:rsid w:val="00EF40DB"/>
    <w:rsid w:val="00F02BB5"/>
    <w:rsid w:val="00F54496"/>
    <w:rsid w:val="00F70422"/>
    <w:rsid w:val="00F83C17"/>
    <w:rsid w:val="00F96D7F"/>
    <w:rsid w:val="00FA33C4"/>
    <w:rsid w:val="00FA4B28"/>
    <w:rsid w:val="00FA7854"/>
    <w:rsid w:val="00FC456F"/>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0562B8"/>
    <w:pPr>
      <w:tabs>
        <w:tab w:val="left" w:pos="440"/>
        <w:tab w:val="right" w:leader="dot" w:pos="9063"/>
      </w:tabs>
      <w:spacing w:after="100"/>
      <w:jc w:val="left"/>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ja.Radman@eesc.europa.eu" TargetMode="External"/><Relationship Id="rId39" Type="http://schemas.openxmlformats.org/officeDocument/2006/relationships/hyperlink" Target="mailto:Andreas.Berger@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https://www.eesc.europa.eu/lv/our-work/opinions-information-reports/opinions/conservation-fish-stocks-relation-countries-allowing-non-sustainable-fishing" TargetMode="External"/><Relationship Id="rId42" Type="http://schemas.openxmlformats.org/officeDocument/2006/relationships/footer" Target="footer4.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lv/our-work/opinions-information-reports/opinions/electric-vehicle-supply-equipment-compressed-gas-dispensers-and-electricity-gas-and-thermal-energy-meters"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a.Dumitrache@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mailto:Maarit.Laurila@eesc.europa.e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lv/our-work/opinions-information-reports/opinions/pro-worker-ai-levers-harnessing-potential-and-mitigating-risks-ai-connection-employment-and-labour-market-policies" TargetMode="External"/><Relationship Id="rId28" Type="http://schemas.openxmlformats.org/officeDocument/2006/relationships/hyperlink" Target="mailto:Aleksandra.SarmanGrilc@eesc.europa.eu" TargetMode="External"/><Relationship Id="rId36" Type="http://schemas.openxmlformats.org/officeDocument/2006/relationships/hyperlink" Target="https://www.eesc.europa.eu/lv/our-work/opinions-information-reports/opinions/developing-europes-strategy-arctic-2024-29-dialogue-civil-society"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lv/our-work/opinions-information-reports/opinions/how-support-social-economy-entities-line-state-aid-rules-thoughts-following-suggestions-enrico-lettas-report" TargetMode="External"/><Relationship Id="rId44" Type="http://schemas.openxmlformats.org/officeDocument/2006/relationships/header" Target="header6.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lv/our-work/opinions-information-reports/opinions/evaluation-european-commissions-annual-reports-rule-law-european-union" TargetMode="External"/><Relationship Id="rId27" Type="http://schemas.openxmlformats.org/officeDocument/2006/relationships/hyperlink" Target="https://www.eesc.europa.eu/lv/our-work/opinions-information-reports/opinions/towards-eu-maritime-strategy-navigating-future-through-coordinated-investment-policies-legislative-initiatives-social" TargetMode="External"/><Relationship Id="rId30" Type="http://schemas.openxmlformats.org/officeDocument/2006/relationships/hyperlink" Target="mailto:Alice.Tetu@eesc.europa.eu" TargetMode="External"/><Relationship Id="rId35" Type="http://schemas.openxmlformats.org/officeDocument/2006/relationships/hyperlink" Target="mailto:Nicolas.Stenger@eesc.europa.eu" TargetMode="External"/><Relationship Id="rId43" Type="http://schemas.openxmlformats.org/officeDocument/2006/relationships/footer" Target="footer5.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l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lv/our-work/opinions-information-reports/opinions/future-supply-and-pricing-electricity-eu" TargetMode="External"/><Relationship Id="rId33" Type="http://schemas.openxmlformats.org/officeDocument/2006/relationships/hyperlink" Target="https://www.eesc.europa.eu/lv/our-work/opinions-information-reports/opinions/competition-policy-heart-eus-competitiveness" TargetMode="External"/><Relationship Id="rId38" Type="http://schemas.openxmlformats.org/officeDocument/2006/relationships/hyperlink" Target="https://www.eesc.europa.eu/lv/our-work/opinions-information-reports/opinions/youth-involvement-social-and-civil-dialogue-mediterranean-region" TargetMode="External"/><Relationship Id="rId46" Type="http://schemas.openxmlformats.org/officeDocument/2006/relationships/fontTable" Target="fontTable.xml"/><Relationship Id="rId20" Type="http://schemas.openxmlformats.org/officeDocument/2006/relationships/hyperlink" Target="https://www.eesc.europa.eu/lv/our-work/opinions-information-reports/opinions/euro-area-economic-policy-2025"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F7M6YNZUATRX-1659962339-4680</_dlc_DocId>
    <_dlc_DocIdUrl xmlns="59ace41b-6786-4ce3-be71-52c27066c6ef">
      <Url>http://dm/eesc/2024/_layouts/15/DocIdRedir.aspx?ID=F7M6YNZUATRX-1659962339-4680</Url>
      <Description>F7M6YNZUATRX-1659962339-4680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2025-02-04T12:00:00+00:00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Skubina Ieva</DisplayName>
        <AccountId>1554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47B5E-9EDF-48A4-A3ED-C3EE6ED5B04F}"/>
</file>

<file path=customXml/itemProps2.xml><?xml version="1.0" encoding="utf-8"?>
<ds:datastoreItem xmlns:ds="http://schemas.openxmlformats.org/officeDocument/2006/customXml" ds:itemID="{30D95D94-3E63-4022-9766-49C7885FB885}"/>
</file>

<file path=customXml/itemProps3.xml><?xml version="1.0" encoding="utf-8"?>
<ds:datastoreItem xmlns:ds="http://schemas.openxmlformats.org/officeDocument/2006/customXml" ds:itemID="{E046BA94-77CC-4A8C-9DEF-870695B46477}"/>
</file>

<file path=customXml/itemProps4.xml><?xml version="1.0" encoding="utf-8"?>
<ds:datastoreItem xmlns:ds="http://schemas.openxmlformats.org/officeDocument/2006/customXml" ds:itemID="{B3F1900C-17A7-4BB6-8F36-75390A2214F0}"/>
</file>

<file path=docProps/app.xml><?xml version="1.0" encoding="utf-8"?>
<Properties xmlns="http://schemas.openxmlformats.org/officeDocument/2006/extended-properties" xmlns:vt="http://schemas.openxmlformats.org/officeDocument/2006/docPropsVTypes">
  <Template>Normal.dotm</Template>
  <TotalTime>0</TotalTime>
  <Pages>13</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Atzinumu kopsavilkums - 593. plenārsesija  2025. gada janvāris</dc:title>
  <dc:subject>TCD</dc:subject>
  <dc:creator>Nieddu Emma</dc:creator>
  <cp:keywords>EESC-2024-04576-00-00-TCD-TRA-EN</cp:keywords>
  <dc:description>Rapporteur:  - Original language: EN - Date of document: 04/02/2025 - Date of meeting: 30/26/2025 14:30 - External documents:  - Administrator: MME TAMASAUSKIENE Julija</dc:description>
  <cp:lastModifiedBy>Skubina Ieva</cp:lastModifiedBy>
  <cp:revision>20</cp:revision>
  <dcterms:created xsi:type="dcterms:W3CDTF">2025-01-29T15:08:00Z</dcterms:created>
  <dcterms:modified xsi:type="dcterms:W3CDTF">2025-02-04T10:57:00Z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16eb42e6-b79e-4098-b84f-0d33944d3ea0</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BG|1a1b3951-7821-4e6a-85f5-5673fc08bd2c;IT|0774613c-01ed-4e5d-a25d-11d2388de825;FR|d2afafd3-4c81-4f60-8f52-ee33f2f54ff3;PL|1e03da61-4678-4e07-b136-b5024ca9197b;EN|f2175f21-25d7-44a3-96da-d6a61b075e1b;EL|6d4f4d51-af9b-4650-94b4-4276bee85c91;SK|46d9fce0-ef79-4f71-b89b-cd6aa82426b8;ES|e7a6b05b-ae16-40c8-add9-68b64b03aeba;HR|2f555653-ed1a-4fe6-8362-9082d95989e5;PT|50ccc04a-eadd-42ae-a0cb-acaf45f812ba;NL|55c6556c-b4f4-441d-9acf-c498d4f838bd;DA|5d49c027-8956-412b-aa16-e85a0f96ad0e;SL|98a412ae-eb01-49e9-ae3d-585a81724cfc;LT|a7ff5ce7-6123-4f68-865a-a57c31810414;SV|c2ed69e7-a339-43d7-8f22-d93680a92aa0;FI|87606a43-d45f-42d6-b8c9-e1a3457db5b7;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31;#NL|55c6556c-b4f4-441d-9acf-c498d4f838bd;#30;#HR|2f555653-ed1a-4fe6-8362-9082d95989e5;#29;#EL|6d4f4d51-af9b-4650-94b4-4276bee85c91;#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28;#LV|46f7e311-5d9f-4663-b433-18aeccb7ace7</vt:lpwstr>
  </property>
</Properties>
</file>