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7554BE" w:rsidRDefault="00C26477" w14:paraId="4982DD4D" w14:textId="2865D63A">
      <w:pPr>
        <w:jc w:val="center"/>
      </w:pPr>
      <w:r>
        <w:rPr>
          <w:noProof/>
        </w:rPr>
        <w:drawing>
          <wp:inline distT="0" distB="0" distL="0" distR="0" wp14:anchorId="33A63C3D" wp14:editId="69637AAB">
            <wp:extent cx="1792605" cy="1239520"/>
            <wp:effectExtent l="0" t="0" r="0" b="0"/>
            <wp:docPr id="1" name="Picture 1" title="EESCLogo_HU"/>
            <wp:cNvGraphicFramePr/>
            <a:graphic xmlns:a="http://schemas.openxmlformats.org/drawingml/2006/main">
              <a:graphicData uri="http://schemas.openxmlformats.org/drawingml/2006/picture">
                <pic:pic xmlns:pic="http://schemas.openxmlformats.org/drawingml/2006/picture">
                  <pic:nvPicPr>
                    <pic:cNvPr id="1" name="Picture 1" title="EESCLogo_H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65D83C52"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004D7AC0" w:rsidP="007554BE" w:rsidRDefault="004D7AC0" w14:paraId="4982DD4E" w14:textId="77777777"/>
    <w:p w:rsidR="004D7AC0" w:rsidP="007554BE" w:rsidRDefault="004D7AC0" w14:paraId="4982DD4F" w14:textId="5BDAC6B5">
      <w:pPr>
        <w:jc w:val="right"/>
      </w:pPr>
      <w:r>
        <w:t>Brüsszel, 2025. február 4.</w:t>
      </w:r>
    </w:p>
    <w:p w:rsidR="004D7AC0" w:rsidRDefault="004D7AC0" w14:paraId="4982DD50" w14:textId="77777777"/>
    <w:p w:rsidR="004D7AC0" w:rsidRDefault="004D7AC0" w14:paraId="4982DD51" w14:textId="77777777"/>
    <w:p w:rsidR="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RDefault="006C6ECE" w14:paraId="4982DD53" w14:textId="48249AC4">
            <w:pPr>
              <w:snapToGrid w:val="0"/>
              <w:jc w:val="center"/>
              <w:rPr>
                <w:b/>
                <w:sz w:val="32"/>
                <w:szCs w:val="32"/>
              </w:rPr>
            </w:pPr>
            <w:r>
              <w:rPr>
                <w:b/>
                <w:sz w:val="32"/>
              </w:rPr>
              <w:t>593. PLENÁRIS ÜLÉSSZAK</w:t>
            </w:r>
          </w:p>
          <w:p w:rsidR="003066BE" w:rsidRDefault="003066BE" w14:paraId="4982DD54" w14:textId="77777777">
            <w:pPr>
              <w:snapToGrid w:val="0"/>
              <w:jc w:val="center"/>
              <w:rPr>
                <w:b/>
                <w:sz w:val="32"/>
                <w:szCs w:val="32"/>
              </w:rPr>
            </w:pPr>
          </w:p>
          <w:p w:rsidR="003066BE" w:rsidRDefault="00850929" w14:paraId="4982DD55" w14:textId="3F522473">
            <w:pPr>
              <w:snapToGrid w:val="0"/>
              <w:jc w:val="center"/>
              <w:rPr>
                <w:b/>
                <w:sz w:val="32"/>
                <w:szCs w:val="32"/>
              </w:rPr>
            </w:pPr>
            <w:r>
              <w:rPr>
                <w:b/>
                <w:sz w:val="32"/>
              </w:rPr>
              <w:t>2025. január 22. és 23.</w:t>
            </w:r>
          </w:p>
          <w:p w:rsidR="003066BE" w:rsidRDefault="003066BE" w14:paraId="4982DD56" w14:textId="77777777">
            <w:pPr>
              <w:snapToGrid w:val="0"/>
              <w:jc w:val="center"/>
              <w:rPr>
                <w:b/>
                <w:sz w:val="32"/>
                <w:szCs w:val="32"/>
              </w:rPr>
            </w:pPr>
          </w:p>
          <w:p w:rsidRPr="0081153B" w:rsidR="004D7AC0" w:rsidRDefault="00754027" w14:paraId="4982DD57" w14:textId="5A35E792">
            <w:pPr>
              <w:snapToGrid w:val="0"/>
              <w:jc w:val="center"/>
              <w:rPr>
                <w:rFonts w:eastAsia="MS Mincho"/>
                <w:b/>
                <w:sz w:val="32"/>
                <w:szCs w:val="32"/>
              </w:rPr>
            </w:pPr>
            <w:r>
              <w:rPr>
                <w:b/>
                <w:sz w:val="32"/>
              </w:rPr>
              <w:t>AZ ELFOGADOTT VÉLEMÉNYEK, ÁLLÁSFOGLALÁSOK ÉS TÁJÉKOZTATÓ/ÉRTÉKELŐ JELENTÉSEK ÖSSZEFOGLALÁSA</w:t>
            </w:r>
          </w:p>
          <w:p w:rsidR="004D7AC0"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RDefault="004D7AC0" w14:paraId="05F5C867" w14:textId="77777777">
            <w:pPr>
              <w:snapToGrid w:val="0"/>
              <w:jc w:val="center"/>
            </w:pPr>
            <w:r>
              <w:t>Ez a dokumentum az Európai Unió valamennyi hivatalos nyelvén elérhető az EGSZB honlapján:</w:t>
            </w:r>
          </w:p>
          <w:p w:rsidR="00726351" w:rsidRDefault="00726351" w14:paraId="65F2BC50" w14:textId="77777777">
            <w:pPr>
              <w:snapToGrid w:val="0"/>
              <w:jc w:val="center"/>
            </w:pPr>
          </w:p>
          <w:p w:rsidRPr="0081153B" w:rsidR="004D7AC0" w:rsidRDefault="00F1338F" w14:paraId="4982DD5A" w14:textId="4D4D220C">
            <w:pPr>
              <w:snapToGrid w:val="0"/>
              <w:jc w:val="center"/>
            </w:pPr>
            <w:hyperlink w:history="1" r:id="rId12">
              <w:r w:rsidR="00C26477">
                <w:rPr>
                  <w:rStyle w:val="Hyperlink"/>
                </w:rPr>
                <w:t>https://www.eesc.europa.eu/hu/our-work/opinions-information-reports/plenary-session-summaries</w:t>
              </w:r>
            </w:hyperlink>
          </w:p>
          <w:p w:rsidRPr="0081153B" w:rsidR="004D7AC0" w:rsidRDefault="004D7AC0" w14:paraId="4982DD5B" w14:textId="77777777">
            <w:pPr>
              <w:snapToGrid w:val="0"/>
              <w:jc w:val="center"/>
            </w:pPr>
          </w:p>
          <w:p w:rsidRPr="0081153B" w:rsidR="004D7AC0" w:rsidRDefault="004D7AC0" w14:paraId="4982DD5C" w14:textId="77777777">
            <w:pPr>
              <w:snapToGrid w:val="0"/>
              <w:jc w:val="center"/>
              <w:rPr>
                <w:rFonts w:eastAsia="SimSun"/>
              </w:rPr>
            </w:pPr>
          </w:p>
          <w:p w:rsidR="00726351" w:rsidRDefault="004D7AC0" w14:paraId="64A40D96" w14:textId="77777777">
            <w:pPr>
              <w:snapToGrid w:val="0"/>
              <w:jc w:val="center"/>
            </w:pPr>
            <w:r>
              <w:t>A felsorolt vélemények online az EGSZB keresőrendszerén keresztül érhetők el:</w:t>
            </w:r>
          </w:p>
          <w:p w:rsidR="00726351" w:rsidRDefault="00726351" w14:paraId="0E196128" w14:textId="77777777">
            <w:pPr>
              <w:snapToGrid w:val="0"/>
              <w:jc w:val="center"/>
            </w:pPr>
          </w:p>
          <w:p w:rsidRPr="00044561" w:rsidR="004D7AC0" w:rsidRDefault="00F1338F" w14:paraId="4982DD5D" w14:textId="23201122">
            <w:pPr>
              <w:snapToGrid w:val="0"/>
              <w:jc w:val="center"/>
            </w:pPr>
            <w:hyperlink w:history="1" r:id="rId13">
              <w:r w:rsidR="00C26477">
                <w:rPr>
                  <w:rStyle w:val="Hyperlink"/>
                </w:rPr>
                <w:t>https://dmsearch.eesc.europa.eu/search/opinion</w:t>
              </w:r>
            </w:hyperlink>
          </w:p>
          <w:p w:rsidRPr="00044561" w:rsidR="004D7AC0" w:rsidRDefault="004D7AC0" w14:paraId="4982DD5E" w14:textId="77777777">
            <w:pPr>
              <w:snapToGrid w:val="0"/>
              <w:jc w:val="center"/>
            </w:pPr>
          </w:p>
        </w:tc>
      </w:tr>
    </w:tbl>
    <w:p w:rsidR="004D7AC0" w:rsidRDefault="004D7AC0" w14:paraId="4982DD60" w14:textId="77777777"/>
    <w:p w:rsidR="004D7AC0" w:rsidRDefault="004D7AC0" w14:paraId="4982DD61" w14:textId="77777777"/>
    <w:p w:rsidR="004D7AC0" w:rsidRDefault="004D7AC0" w14:paraId="4982DD62" w14:textId="77777777">
      <w:pPr>
        <w:sectPr w:rsidR="004D7AC0" w:rsidSect="00EE16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RDefault="004D7AC0" w14:paraId="4982DD63" w14:textId="77777777">
      <w:pPr>
        <w:rPr>
          <w:b/>
        </w:rPr>
      </w:pPr>
      <w:r>
        <w:rPr>
          <w:b/>
        </w:rPr>
        <w:lastRenderedPageBreak/>
        <w:t>Tartalomjegyzék</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60010D" w:rsidRDefault="004D7AC0" w14:paraId="4982DD64" w14:textId="77777777">
          <w:pPr>
            <w:pStyle w:val="TOCHeading"/>
            <w:spacing w:before="0" w:line="288" w:lineRule="auto"/>
            <w:rPr>
              <w:rFonts w:ascii="Times New Roman" w:hAnsi="Times New Roman" w:cs="Times New Roman"/>
              <w:color w:val="auto"/>
              <w:sz w:val="22"/>
              <w:szCs w:val="22"/>
            </w:rPr>
          </w:pPr>
        </w:p>
        <w:p w:rsidR="00F27A97" w:rsidRDefault="004D7AC0" w14:paraId="60CDBC09" w14:textId="21650028">
          <w:pPr>
            <w:pStyle w:val="TOC1"/>
            <w:tabs>
              <w:tab w:val="left" w:pos="440"/>
              <w:tab w:val="right" w:leader="dot" w:pos="9063"/>
            </w:tabs>
            <w:rPr>
              <w:rFonts w:cs="Mangal" w:asciiTheme="minorHAnsi" w:hAnsiTheme="minorHAnsi" w:eastAsiaTheme="minorEastAsia"/>
              <w:noProof/>
              <w:szCs w:val="20"/>
              <w:lang w:val="fr-BE" w:eastAsia="fr-BE" w:bidi="ne-IN"/>
            </w:rPr>
          </w:pPr>
          <w:r>
            <w:fldChar w:fldCharType="begin"/>
          </w:r>
          <w:r>
            <w:instrText xml:space="preserve"> TOC \o "1-3" \h \z \u </w:instrText>
          </w:r>
          <w:r>
            <w:fldChar w:fldCharType="separate"/>
          </w:r>
          <w:hyperlink w:history="1" w:anchor="_Toc189560694">
            <w:r w:rsidRPr="00E96B0A" w:rsidR="00F27A97">
              <w:rPr>
                <w:rStyle w:val="Hyperlink"/>
                <w:bCs/>
                <w:noProof/>
              </w:rPr>
              <w:t>1.</w:t>
            </w:r>
            <w:r w:rsidR="00F27A97">
              <w:rPr>
                <w:rFonts w:cs="Mangal" w:asciiTheme="minorHAnsi" w:hAnsiTheme="minorHAnsi" w:eastAsiaTheme="minorEastAsia"/>
                <w:noProof/>
                <w:szCs w:val="20"/>
                <w:lang w:val="fr-BE" w:eastAsia="fr-BE" w:bidi="ne-IN"/>
              </w:rPr>
              <w:tab/>
            </w:r>
            <w:r w:rsidRPr="00E96B0A" w:rsidR="00F27A97">
              <w:rPr>
                <w:rStyle w:val="Hyperlink"/>
                <w:b/>
                <w:noProof/>
              </w:rPr>
              <w:t>GAZDASÁGI ÉS MONETÁRIS UNIÓ, GAZDASÁGI ÉS TÁRSADALMI KOHÉZIÓ</w:t>
            </w:r>
            <w:r w:rsidR="00F27A97">
              <w:rPr>
                <w:noProof/>
                <w:webHidden/>
              </w:rPr>
              <w:tab/>
            </w:r>
            <w:r w:rsidR="00F27A97">
              <w:rPr>
                <w:noProof/>
                <w:webHidden/>
              </w:rPr>
              <w:fldChar w:fldCharType="begin"/>
            </w:r>
            <w:r w:rsidR="00F27A97">
              <w:rPr>
                <w:noProof/>
                <w:webHidden/>
              </w:rPr>
              <w:instrText xml:space="preserve"> PAGEREF _Toc189560694 \h </w:instrText>
            </w:r>
            <w:r w:rsidR="00F27A97">
              <w:rPr>
                <w:noProof/>
                <w:webHidden/>
              </w:rPr>
            </w:r>
            <w:r w:rsidR="00F27A97">
              <w:rPr>
                <w:noProof/>
                <w:webHidden/>
              </w:rPr>
              <w:fldChar w:fldCharType="separate"/>
            </w:r>
            <w:r w:rsidR="00D73C76">
              <w:rPr>
                <w:noProof/>
                <w:webHidden/>
              </w:rPr>
              <w:t>3</w:t>
            </w:r>
            <w:r w:rsidR="00F27A97">
              <w:rPr>
                <w:noProof/>
                <w:webHidden/>
              </w:rPr>
              <w:fldChar w:fldCharType="end"/>
            </w:r>
          </w:hyperlink>
        </w:p>
        <w:p w:rsidR="00F27A97" w:rsidRDefault="00F1338F" w14:paraId="4FB38627" w14:textId="01C73A6F">
          <w:pPr>
            <w:pStyle w:val="TOC1"/>
            <w:tabs>
              <w:tab w:val="left" w:pos="440"/>
              <w:tab w:val="right" w:leader="dot" w:pos="9063"/>
            </w:tabs>
            <w:rPr>
              <w:rFonts w:cs="Mangal" w:asciiTheme="minorHAnsi" w:hAnsiTheme="minorHAnsi" w:eastAsiaTheme="minorEastAsia"/>
              <w:noProof/>
              <w:szCs w:val="20"/>
              <w:lang w:val="fr-BE" w:eastAsia="fr-BE" w:bidi="ne-IN"/>
            </w:rPr>
          </w:pPr>
          <w:hyperlink w:history="1" w:anchor="_Toc189560695">
            <w:r w:rsidRPr="00E96B0A" w:rsidR="00F27A97">
              <w:rPr>
                <w:rStyle w:val="Hyperlink"/>
                <w:bCs/>
                <w:noProof/>
              </w:rPr>
              <w:t>2.</w:t>
            </w:r>
            <w:r w:rsidR="00F27A97">
              <w:rPr>
                <w:rFonts w:cs="Mangal" w:asciiTheme="minorHAnsi" w:hAnsiTheme="minorHAnsi" w:eastAsiaTheme="minorEastAsia"/>
                <w:noProof/>
                <w:szCs w:val="20"/>
                <w:lang w:val="fr-BE" w:eastAsia="fr-BE" w:bidi="ne-IN"/>
              </w:rPr>
              <w:tab/>
            </w:r>
            <w:r w:rsidRPr="00E96B0A" w:rsidR="00F27A97">
              <w:rPr>
                <w:rStyle w:val="Hyperlink"/>
                <w:b/>
                <w:noProof/>
              </w:rPr>
              <w:t>FOGLALKOZTATÁS- ÉS SZOCIÁLPOLITIKA, UNIÓS POLGÁRSÁG</w:t>
            </w:r>
            <w:r w:rsidR="00F27A97">
              <w:rPr>
                <w:noProof/>
                <w:webHidden/>
              </w:rPr>
              <w:tab/>
            </w:r>
            <w:r w:rsidR="00F27A97">
              <w:rPr>
                <w:noProof/>
                <w:webHidden/>
              </w:rPr>
              <w:fldChar w:fldCharType="begin"/>
            </w:r>
            <w:r w:rsidR="00F27A97">
              <w:rPr>
                <w:noProof/>
                <w:webHidden/>
              </w:rPr>
              <w:instrText xml:space="preserve"> PAGEREF _Toc189560695 \h </w:instrText>
            </w:r>
            <w:r w:rsidR="00F27A97">
              <w:rPr>
                <w:noProof/>
                <w:webHidden/>
              </w:rPr>
            </w:r>
            <w:r w:rsidR="00F27A97">
              <w:rPr>
                <w:noProof/>
                <w:webHidden/>
              </w:rPr>
              <w:fldChar w:fldCharType="separate"/>
            </w:r>
            <w:r w:rsidR="00D73C76">
              <w:rPr>
                <w:noProof/>
                <w:webHidden/>
              </w:rPr>
              <w:t>5</w:t>
            </w:r>
            <w:r w:rsidR="00F27A97">
              <w:rPr>
                <w:noProof/>
                <w:webHidden/>
              </w:rPr>
              <w:fldChar w:fldCharType="end"/>
            </w:r>
          </w:hyperlink>
        </w:p>
        <w:p w:rsidR="00F27A97" w:rsidRDefault="00F1338F" w14:paraId="352E5AB0" w14:textId="12E91B8B">
          <w:pPr>
            <w:pStyle w:val="TOC1"/>
            <w:tabs>
              <w:tab w:val="left" w:pos="440"/>
              <w:tab w:val="right" w:leader="dot" w:pos="9063"/>
            </w:tabs>
            <w:rPr>
              <w:rFonts w:cs="Mangal" w:asciiTheme="minorHAnsi" w:hAnsiTheme="minorHAnsi" w:eastAsiaTheme="minorEastAsia"/>
              <w:noProof/>
              <w:szCs w:val="20"/>
              <w:lang w:val="fr-BE" w:eastAsia="fr-BE" w:bidi="ne-IN"/>
            </w:rPr>
          </w:pPr>
          <w:hyperlink w:history="1" w:anchor="_Toc189560696">
            <w:r w:rsidRPr="00E96B0A" w:rsidR="00F27A97">
              <w:rPr>
                <w:rStyle w:val="Hyperlink"/>
                <w:bCs/>
                <w:noProof/>
              </w:rPr>
              <w:t>3.</w:t>
            </w:r>
            <w:r w:rsidR="00F27A97">
              <w:rPr>
                <w:rFonts w:cs="Mangal" w:asciiTheme="minorHAnsi" w:hAnsiTheme="minorHAnsi" w:eastAsiaTheme="minorEastAsia"/>
                <w:noProof/>
                <w:szCs w:val="20"/>
                <w:lang w:val="fr-BE" w:eastAsia="fr-BE" w:bidi="ne-IN"/>
              </w:rPr>
              <w:tab/>
            </w:r>
            <w:r w:rsidRPr="00E96B0A" w:rsidR="00F27A97">
              <w:rPr>
                <w:rStyle w:val="Hyperlink"/>
                <w:b/>
                <w:noProof/>
              </w:rPr>
              <w:t>KÖZLEKEDÉS, ENERGIA, INFRASTRUKTÚRA ÉS INFORMÁCIÓS TÁRSADALOM</w:t>
            </w:r>
            <w:r w:rsidR="00F27A97">
              <w:rPr>
                <w:noProof/>
                <w:webHidden/>
              </w:rPr>
              <w:tab/>
            </w:r>
            <w:r w:rsidR="00F27A97">
              <w:rPr>
                <w:noProof/>
                <w:webHidden/>
              </w:rPr>
              <w:fldChar w:fldCharType="begin"/>
            </w:r>
            <w:r w:rsidR="00F27A97">
              <w:rPr>
                <w:noProof/>
                <w:webHidden/>
              </w:rPr>
              <w:instrText xml:space="preserve"> PAGEREF _Toc189560696 \h </w:instrText>
            </w:r>
            <w:r w:rsidR="00F27A97">
              <w:rPr>
                <w:noProof/>
                <w:webHidden/>
              </w:rPr>
            </w:r>
            <w:r w:rsidR="00F27A97">
              <w:rPr>
                <w:noProof/>
                <w:webHidden/>
              </w:rPr>
              <w:fldChar w:fldCharType="separate"/>
            </w:r>
            <w:r w:rsidR="00D73C76">
              <w:rPr>
                <w:noProof/>
                <w:webHidden/>
              </w:rPr>
              <w:t>8</w:t>
            </w:r>
            <w:r w:rsidR="00F27A97">
              <w:rPr>
                <w:noProof/>
                <w:webHidden/>
              </w:rPr>
              <w:fldChar w:fldCharType="end"/>
            </w:r>
          </w:hyperlink>
        </w:p>
        <w:p w:rsidR="00F27A97" w:rsidRDefault="00F1338F" w14:paraId="4E59E794" w14:textId="0933EB0D">
          <w:pPr>
            <w:pStyle w:val="TOC1"/>
            <w:tabs>
              <w:tab w:val="left" w:pos="440"/>
              <w:tab w:val="right" w:leader="dot" w:pos="9063"/>
            </w:tabs>
            <w:rPr>
              <w:rFonts w:cs="Mangal" w:asciiTheme="minorHAnsi" w:hAnsiTheme="minorHAnsi" w:eastAsiaTheme="minorEastAsia"/>
              <w:noProof/>
              <w:szCs w:val="20"/>
              <w:lang w:val="fr-BE" w:eastAsia="fr-BE" w:bidi="ne-IN"/>
            </w:rPr>
          </w:pPr>
          <w:hyperlink w:history="1" w:anchor="_Toc189560697">
            <w:r w:rsidRPr="00E96B0A" w:rsidR="00F27A97">
              <w:rPr>
                <w:rStyle w:val="Hyperlink"/>
                <w:bCs/>
                <w:noProof/>
              </w:rPr>
              <w:t>4.</w:t>
            </w:r>
            <w:r w:rsidR="00F27A97">
              <w:rPr>
                <w:rFonts w:cs="Mangal" w:asciiTheme="minorHAnsi" w:hAnsiTheme="minorHAnsi" w:eastAsiaTheme="minorEastAsia"/>
                <w:noProof/>
                <w:szCs w:val="20"/>
                <w:lang w:val="fr-BE" w:eastAsia="fr-BE" w:bidi="ne-IN"/>
              </w:rPr>
              <w:tab/>
            </w:r>
            <w:r w:rsidRPr="00E96B0A" w:rsidR="00F27A97">
              <w:rPr>
                <w:rStyle w:val="Hyperlink"/>
                <w:b/>
                <w:noProof/>
              </w:rPr>
              <w:t>EGYSÉGES PIAC, TERMELÉS ÉS FOGYASZTÁS</w:t>
            </w:r>
            <w:r w:rsidR="00F27A97">
              <w:rPr>
                <w:noProof/>
                <w:webHidden/>
              </w:rPr>
              <w:tab/>
            </w:r>
            <w:r w:rsidR="00F27A97">
              <w:rPr>
                <w:noProof/>
                <w:webHidden/>
              </w:rPr>
              <w:fldChar w:fldCharType="begin"/>
            </w:r>
            <w:r w:rsidR="00F27A97">
              <w:rPr>
                <w:noProof/>
                <w:webHidden/>
              </w:rPr>
              <w:instrText xml:space="preserve"> PAGEREF _Toc189560697 \h </w:instrText>
            </w:r>
            <w:r w:rsidR="00F27A97">
              <w:rPr>
                <w:noProof/>
                <w:webHidden/>
              </w:rPr>
            </w:r>
            <w:r w:rsidR="00F27A97">
              <w:rPr>
                <w:noProof/>
                <w:webHidden/>
              </w:rPr>
              <w:fldChar w:fldCharType="separate"/>
            </w:r>
            <w:r w:rsidR="00D73C76">
              <w:rPr>
                <w:noProof/>
                <w:webHidden/>
              </w:rPr>
              <w:t>10</w:t>
            </w:r>
            <w:r w:rsidR="00F27A97">
              <w:rPr>
                <w:noProof/>
                <w:webHidden/>
              </w:rPr>
              <w:fldChar w:fldCharType="end"/>
            </w:r>
          </w:hyperlink>
        </w:p>
        <w:p w:rsidR="00F27A97" w:rsidRDefault="00F1338F" w14:paraId="6A160A34" w14:textId="020D8785">
          <w:pPr>
            <w:pStyle w:val="TOC1"/>
            <w:tabs>
              <w:tab w:val="left" w:pos="440"/>
              <w:tab w:val="right" w:leader="dot" w:pos="9063"/>
            </w:tabs>
            <w:rPr>
              <w:rFonts w:cs="Mangal" w:asciiTheme="minorHAnsi" w:hAnsiTheme="minorHAnsi" w:eastAsiaTheme="minorEastAsia"/>
              <w:noProof/>
              <w:szCs w:val="20"/>
              <w:lang w:val="fr-BE" w:eastAsia="fr-BE" w:bidi="ne-IN"/>
            </w:rPr>
          </w:pPr>
          <w:hyperlink w:history="1" w:anchor="_Toc189560698">
            <w:r w:rsidRPr="00E96B0A" w:rsidR="00F27A97">
              <w:rPr>
                <w:rStyle w:val="Hyperlink"/>
                <w:bCs/>
                <w:noProof/>
              </w:rPr>
              <w:t>5.</w:t>
            </w:r>
            <w:r w:rsidR="00F27A97">
              <w:rPr>
                <w:rFonts w:cs="Mangal" w:asciiTheme="minorHAnsi" w:hAnsiTheme="minorHAnsi" w:eastAsiaTheme="minorEastAsia"/>
                <w:noProof/>
                <w:szCs w:val="20"/>
                <w:lang w:val="fr-BE" w:eastAsia="fr-BE" w:bidi="ne-IN"/>
              </w:rPr>
              <w:tab/>
            </w:r>
            <w:r w:rsidRPr="00E96B0A" w:rsidR="00F27A97">
              <w:rPr>
                <w:rStyle w:val="Hyperlink"/>
                <w:b/>
                <w:noProof/>
              </w:rPr>
              <w:t>MEZŐGAZDASÁG, VIDÉKFEJLESZTÉS ÉS KÖRNYEZETVÉDELEM</w:t>
            </w:r>
            <w:r w:rsidR="00F27A97">
              <w:rPr>
                <w:noProof/>
                <w:webHidden/>
              </w:rPr>
              <w:tab/>
            </w:r>
            <w:r w:rsidR="00F27A97">
              <w:rPr>
                <w:noProof/>
                <w:webHidden/>
              </w:rPr>
              <w:fldChar w:fldCharType="begin"/>
            </w:r>
            <w:r w:rsidR="00F27A97">
              <w:rPr>
                <w:noProof/>
                <w:webHidden/>
              </w:rPr>
              <w:instrText xml:space="preserve"> PAGEREF _Toc189560698 \h </w:instrText>
            </w:r>
            <w:r w:rsidR="00F27A97">
              <w:rPr>
                <w:noProof/>
                <w:webHidden/>
              </w:rPr>
            </w:r>
            <w:r w:rsidR="00F27A97">
              <w:rPr>
                <w:noProof/>
                <w:webHidden/>
              </w:rPr>
              <w:fldChar w:fldCharType="separate"/>
            </w:r>
            <w:r w:rsidR="00D73C76">
              <w:rPr>
                <w:noProof/>
                <w:webHidden/>
              </w:rPr>
              <w:t>13</w:t>
            </w:r>
            <w:r w:rsidR="00F27A97">
              <w:rPr>
                <w:noProof/>
                <w:webHidden/>
              </w:rPr>
              <w:fldChar w:fldCharType="end"/>
            </w:r>
          </w:hyperlink>
        </w:p>
        <w:p w:rsidR="00F27A97" w:rsidRDefault="00F1338F" w14:paraId="6A926D3E" w14:textId="1E4FEF47">
          <w:pPr>
            <w:pStyle w:val="TOC1"/>
            <w:tabs>
              <w:tab w:val="left" w:pos="440"/>
              <w:tab w:val="right" w:leader="dot" w:pos="9063"/>
            </w:tabs>
            <w:rPr>
              <w:rFonts w:cs="Mangal" w:asciiTheme="minorHAnsi" w:hAnsiTheme="minorHAnsi" w:eastAsiaTheme="minorEastAsia"/>
              <w:noProof/>
              <w:szCs w:val="20"/>
              <w:lang w:val="fr-BE" w:eastAsia="fr-BE" w:bidi="ne-IN"/>
            </w:rPr>
          </w:pPr>
          <w:hyperlink w:history="1" w:anchor="_Toc189560699">
            <w:r w:rsidRPr="00E96B0A" w:rsidR="00F27A97">
              <w:rPr>
                <w:rStyle w:val="Hyperlink"/>
                <w:bCs/>
                <w:noProof/>
              </w:rPr>
              <w:t>6.</w:t>
            </w:r>
            <w:r w:rsidR="00F27A97">
              <w:rPr>
                <w:rFonts w:cs="Mangal" w:asciiTheme="minorHAnsi" w:hAnsiTheme="minorHAnsi" w:eastAsiaTheme="minorEastAsia"/>
                <w:noProof/>
                <w:szCs w:val="20"/>
                <w:lang w:val="fr-BE" w:eastAsia="fr-BE" w:bidi="ne-IN"/>
              </w:rPr>
              <w:tab/>
            </w:r>
            <w:r w:rsidRPr="00E96B0A" w:rsidR="00F27A97">
              <w:rPr>
                <w:rStyle w:val="Hyperlink"/>
                <w:b/>
                <w:noProof/>
              </w:rPr>
              <w:t>KÜLKAPCSOLATOK</w:t>
            </w:r>
            <w:r w:rsidR="00F27A97">
              <w:rPr>
                <w:noProof/>
                <w:webHidden/>
              </w:rPr>
              <w:tab/>
            </w:r>
            <w:r w:rsidR="00F27A97">
              <w:rPr>
                <w:noProof/>
                <w:webHidden/>
              </w:rPr>
              <w:fldChar w:fldCharType="begin"/>
            </w:r>
            <w:r w:rsidR="00F27A97">
              <w:rPr>
                <w:noProof/>
                <w:webHidden/>
              </w:rPr>
              <w:instrText xml:space="preserve"> PAGEREF _Toc189560699 \h </w:instrText>
            </w:r>
            <w:r w:rsidR="00F27A97">
              <w:rPr>
                <w:noProof/>
                <w:webHidden/>
              </w:rPr>
            </w:r>
            <w:r w:rsidR="00F27A97">
              <w:rPr>
                <w:noProof/>
                <w:webHidden/>
              </w:rPr>
              <w:fldChar w:fldCharType="separate"/>
            </w:r>
            <w:r w:rsidR="00D73C76">
              <w:rPr>
                <w:noProof/>
                <w:webHidden/>
              </w:rPr>
              <w:t>15</w:t>
            </w:r>
            <w:r w:rsidR="00F27A97">
              <w:rPr>
                <w:noProof/>
                <w:webHidden/>
              </w:rPr>
              <w:fldChar w:fldCharType="end"/>
            </w:r>
          </w:hyperlink>
        </w:p>
        <w:p w:rsidR="004D7AC0" w:rsidRDefault="004D7AC0" w14:paraId="4982DD6A" w14:textId="0E75C323">
          <w:r>
            <w:rPr>
              <w:b/>
            </w:rPr>
            <w:fldChar w:fldCharType="end"/>
          </w:r>
        </w:p>
      </w:sdtContent>
    </w:sdt>
    <w:p w:rsidR="004D7AC0" w:rsidRDefault="004D7AC0" w14:paraId="4982DD6B" w14:textId="77777777"/>
    <w:p w:rsidR="004D7AC0" w:rsidP="0060010D" w:rsidRDefault="004D7AC0" w14:paraId="4982DD6C" w14:textId="77777777">
      <w:pPr>
        <w:jc w:val="left"/>
      </w:pPr>
      <w:r>
        <w:br w:type="page"/>
      </w:r>
    </w:p>
    <w:p w:rsidR="004D7AC0" w:rsidRDefault="004D7AC0" w14:paraId="4982DD6D" w14:textId="77777777">
      <w:pPr>
        <w:pStyle w:val="Heading1"/>
        <w:rPr>
          <w:b/>
        </w:rPr>
      </w:pPr>
      <w:bookmarkStart w:name="_Toc189560694" w:id="0"/>
      <w:r>
        <w:rPr>
          <w:b/>
        </w:rPr>
        <w:lastRenderedPageBreak/>
        <w:t>GAZDASÁGI ÉS MONETÁRIS UNIÓ, GAZDASÁGI ÉS TÁRSADALMI KOHÉZIÓ</w:t>
      </w:r>
      <w:bookmarkEnd w:id="0"/>
    </w:p>
    <w:p w:rsidR="004D7AC0" w:rsidRDefault="004D7AC0" w14:paraId="4982DD6E" w14:textId="77777777"/>
    <w:p w:rsidRPr="00116EE0" w:rsidR="00116EE0" w:rsidP="0060010D" w:rsidRDefault="00F1338F" w14:paraId="687378ED" w14:textId="56C9F723">
      <w:pPr>
        <w:widowControl w:val="0"/>
        <w:numPr>
          <w:ilvl w:val="0"/>
          <w:numId w:val="4"/>
        </w:numPr>
        <w:overflowPunct w:val="0"/>
        <w:autoSpaceDE w:val="0"/>
        <w:autoSpaceDN w:val="0"/>
        <w:adjustRightInd w:val="0"/>
        <w:ind w:hanging="567"/>
        <w:textAlignment w:val="baseline"/>
        <w:rPr>
          <w:b/>
          <w:i/>
          <w:iCs/>
          <w:sz w:val="28"/>
          <w:szCs w:val="28"/>
        </w:rPr>
      </w:pPr>
      <w:hyperlink w:history="1" r:id="rId20">
        <w:r w:rsidR="00465FCD">
          <w:rPr>
            <w:b/>
            <w:i/>
            <w:color w:val="0000FF"/>
            <w:sz w:val="28"/>
            <w:u w:val="single"/>
          </w:rPr>
          <w:t>Az euroövezet gazdaságpolitikája (2025)</w:t>
        </w:r>
      </w:hyperlink>
    </w:p>
    <w:p w:rsidRPr="00F27A97" w:rsidR="00116EE0" w:rsidRDefault="00116EE0" w14:paraId="30F305D3" w14:textId="77777777">
      <w:pPr>
        <w:widowControl w:val="0"/>
        <w:overflowPunct w:val="0"/>
        <w:autoSpaceDE w:val="0"/>
        <w:autoSpaceDN w:val="0"/>
        <w:adjustRightInd w:val="0"/>
        <w:ind w:left="284"/>
        <w:textAlignment w:val="baseline"/>
        <w:rPr>
          <w:b/>
          <w:i/>
          <w:iCs/>
          <w:sz w:val="16"/>
          <w:szCs w:val="16"/>
          <w:lang w:val="it-IT"/>
        </w:rPr>
      </w:pPr>
    </w:p>
    <w:tbl>
      <w:tblPr>
        <w:tblW w:w="0" w:type="auto"/>
        <w:tblLook w:val="04A0" w:firstRow="1" w:lastRow="0" w:firstColumn="1" w:lastColumn="0" w:noHBand="0" w:noVBand="1"/>
      </w:tblPr>
      <w:tblGrid>
        <w:gridCol w:w="1701"/>
        <w:gridCol w:w="7479"/>
      </w:tblGrid>
      <w:tr w:rsidRPr="00FA33C4" w:rsidR="00116EE0" w:rsidTr="0060010D" w14:paraId="16FBB640" w14:textId="77777777">
        <w:tc>
          <w:tcPr>
            <w:tcW w:w="1701" w:type="dxa"/>
          </w:tcPr>
          <w:p w:rsidRPr="00FA33C4" w:rsidR="00116EE0" w:rsidRDefault="00116EE0" w14:paraId="24898722" w14:textId="1D1AF101">
            <w:pPr>
              <w:tabs>
                <w:tab w:val="center" w:pos="284"/>
              </w:tabs>
              <w:overflowPunct w:val="0"/>
              <w:autoSpaceDE w:val="0"/>
              <w:autoSpaceDN w:val="0"/>
              <w:adjustRightInd w:val="0"/>
              <w:ind w:left="266" w:hanging="266"/>
              <w:textAlignment w:val="baseline"/>
              <w:rPr>
                <w:b/>
                <w:sz w:val="20"/>
                <w:szCs w:val="20"/>
              </w:rPr>
            </w:pPr>
            <w:r>
              <w:rPr>
                <w:b/>
                <w:sz w:val="20"/>
              </w:rPr>
              <w:t>Előadó:</w:t>
            </w:r>
          </w:p>
        </w:tc>
        <w:tc>
          <w:tcPr>
            <w:tcW w:w="7479" w:type="dxa"/>
          </w:tcPr>
          <w:p w:rsidRPr="00FA33C4" w:rsidR="00116EE0" w:rsidRDefault="00116EE0" w14:paraId="0AD7E1BD" w14:textId="6403C7A4">
            <w:pPr>
              <w:tabs>
                <w:tab w:val="center" w:pos="284"/>
              </w:tabs>
              <w:overflowPunct w:val="0"/>
              <w:autoSpaceDE w:val="0"/>
              <w:autoSpaceDN w:val="0"/>
              <w:adjustRightInd w:val="0"/>
              <w:ind w:left="266" w:hanging="266"/>
              <w:textAlignment w:val="baseline"/>
              <w:rPr>
                <w:bCs/>
                <w:sz w:val="20"/>
                <w:szCs w:val="20"/>
              </w:rPr>
            </w:pPr>
            <w:r>
              <w:rPr>
                <w:sz w:val="20"/>
              </w:rPr>
              <w:t>Juraj SIPKO (Civil társadalmi szervezetek csoportja/SK)</w:t>
            </w:r>
          </w:p>
        </w:tc>
      </w:tr>
      <w:tr w:rsidRPr="00FA33C4" w:rsidR="00116EE0" w:rsidTr="0060010D" w14:paraId="6F5F7528" w14:textId="77777777">
        <w:tc>
          <w:tcPr>
            <w:tcW w:w="9180" w:type="dxa"/>
            <w:gridSpan w:val="2"/>
          </w:tcPr>
          <w:p w:rsidRPr="00FA33C4" w:rsidR="00116EE0" w:rsidP="0060010D" w:rsidRDefault="00116EE0" w14:paraId="518B7DA1" w14:textId="77777777">
            <w:pPr>
              <w:tabs>
                <w:tab w:val="center" w:pos="284"/>
              </w:tabs>
              <w:overflowPunct w:val="0"/>
              <w:autoSpaceDE w:val="0"/>
              <w:autoSpaceDN w:val="0"/>
              <w:adjustRightInd w:val="0"/>
              <w:ind w:left="266" w:hanging="266"/>
              <w:textAlignment w:val="baseline"/>
              <w:rPr>
                <w:sz w:val="20"/>
                <w:szCs w:val="20"/>
              </w:rPr>
            </w:pPr>
          </w:p>
        </w:tc>
      </w:tr>
      <w:tr w:rsidRPr="00FA33C4" w:rsidR="00116EE0" w:rsidTr="0060010D" w14:paraId="0C336C40" w14:textId="77777777">
        <w:tc>
          <w:tcPr>
            <w:tcW w:w="1701" w:type="dxa"/>
          </w:tcPr>
          <w:p w:rsidRPr="00FA33C4" w:rsidR="00116EE0" w:rsidRDefault="00116EE0" w14:paraId="3C1E8069"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7479" w:type="dxa"/>
          </w:tcPr>
          <w:p w:rsidRPr="00FA33C4" w:rsidR="00116EE0" w:rsidRDefault="00116EE0" w14:paraId="7930FFCD" w14:textId="77777777">
            <w:pPr>
              <w:tabs>
                <w:tab w:val="center" w:pos="284"/>
              </w:tabs>
              <w:overflowPunct w:val="0"/>
              <w:autoSpaceDE w:val="0"/>
              <w:autoSpaceDN w:val="0"/>
              <w:adjustRightInd w:val="0"/>
              <w:ind w:left="266" w:hanging="266"/>
              <w:textAlignment w:val="baseline"/>
              <w:rPr>
                <w:sz w:val="20"/>
                <w:szCs w:val="20"/>
              </w:rPr>
            </w:pPr>
            <w:r>
              <w:rPr>
                <w:sz w:val="20"/>
              </w:rPr>
              <w:t>COM(2024) 704 final</w:t>
            </w:r>
          </w:p>
          <w:p w:rsidRPr="00FA33C4" w:rsidR="00116EE0" w:rsidRDefault="00116EE0" w14:paraId="67D25C7F" w14:textId="000ECDB3">
            <w:pPr>
              <w:tabs>
                <w:tab w:val="center" w:pos="284"/>
              </w:tabs>
              <w:overflowPunct w:val="0"/>
              <w:autoSpaceDE w:val="0"/>
              <w:autoSpaceDN w:val="0"/>
              <w:adjustRightInd w:val="0"/>
              <w:ind w:left="266" w:hanging="266"/>
              <w:textAlignment w:val="baseline"/>
              <w:rPr>
                <w:sz w:val="20"/>
                <w:szCs w:val="20"/>
              </w:rPr>
            </w:pPr>
            <w:r>
              <w:rPr>
                <w:sz w:val="20"/>
              </w:rPr>
              <w:t>EESC-2024-03910-00-00-AC</w:t>
            </w:r>
          </w:p>
        </w:tc>
      </w:tr>
    </w:tbl>
    <w:p w:rsidRPr="00F27A97" w:rsidR="007554BE" w:rsidP="007554BE" w:rsidRDefault="007554BE" w14:paraId="206FC47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116EE0" w:rsidP="0060010D" w:rsidRDefault="00116EE0" w14:paraId="2BCC8D3F" w14:textId="63E6985B">
      <w:pPr>
        <w:keepNext/>
        <w:keepLines/>
        <w:tabs>
          <w:tab w:val="center" w:pos="284"/>
        </w:tabs>
        <w:overflowPunct w:val="0"/>
        <w:autoSpaceDE w:val="0"/>
        <w:autoSpaceDN w:val="0"/>
        <w:adjustRightInd w:val="0"/>
        <w:ind w:left="266" w:hanging="266"/>
        <w:textAlignment w:val="baseline"/>
        <w:rPr>
          <w:b/>
        </w:rPr>
      </w:pPr>
      <w:r>
        <w:rPr>
          <w:b/>
        </w:rPr>
        <w:t>Főbb pontok</w:t>
      </w:r>
    </w:p>
    <w:p w:rsidRPr="00F27A97" w:rsidR="00E16E3C" w:rsidP="0060010D" w:rsidRDefault="00E16E3C" w14:paraId="021996D7"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116EE0" w:rsidP="0060010D" w:rsidRDefault="00116EE0" w14:paraId="615373FD" w14:textId="77777777">
      <w:pPr>
        <w:overflowPunct w:val="0"/>
        <w:autoSpaceDE w:val="0"/>
        <w:autoSpaceDN w:val="0"/>
        <w:adjustRightInd w:val="0"/>
        <w:textAlignment w:val="baseline"/>
        <w:rPr>
          <w:bCs/>
          <w:iCs/>
        </w:rPr>
      </w:pPr>
      <w:r>
        <w:t>Az EGSZB:</w:t>
      </w:r>
    </w:p>
    <w:p w:rsidRPr="00EE160A" w:rsidR="00116EE0" w:rsidP="00F27A97" w:rsidRDefault="00116EE0" w14:paraId="5995A366" w14:textId="77777777">
      <w:pPr>
        <w:pStyle w:val="ListParagraph"/>
        <w:numPr>
          <w:ilvl w:val="0"/>
          <w:numId w:val="60"/>
        </w:numPr>
      </w:pPr>
      <w:r>
        <w:t>sürgős gazdaságpolitikai intézkedéseket szorgalmaz a gazdasági és rendszerszintű ellenálló képesség biztosítása érdekében, valamint olyan intézkedéseket kér, amelyek biztosítják a fenntartható és reziliens gazdasági növekedést az euroövezetben, különösen ha szem előtt tartjuk az euroövezet legnagyobb globális gazdasági versenytársait,</w:t>
      </w:r>
    </w:p>
    <w:p w:rsidRPr="00EE160A" w:rsidR="00116EE0" w:rsidP="00F27A97" w:rsidRDefault="00116EE0" w14:paraId="5CAA6EDF" w14:textId="77777777">
      <w:pPr>
        <w:pStyle w:val="ListParagraph"/>
        <w:numPr>
          <w:ilvl w:val="0"/>
          <w:numId w:val="60"/>
        </w:numPr>
      </w:pPr>
      <w:r>
        <w:t>javasolja, hogy mélyítsék el a belső piacot, fogadjanak el és vezessenek be intézkedéseket egy közösen koordinált iparpolitika érdekében, valamint haladéktalanul fogadjanak el és hajtsanak végre nemzeti strukturális reformokat. Foglalkozni kell a túlzott adminisztratív és szabályozási intézkedésekkel,</w:t>
      </w:r>
    </w:p>
    <w:p w:rsidRPr="00EE160A" w:rsidR="00116EE0" w:rsidP="00F27A97" w:rsidRDefault="00116EE0" w14:paraId="116C53A8" w14:textId="77777777">
      <w:pPr>
        <w:pStyle w:val="ListParagraph"/>
        <w:numPr>
          <w:ilvl w:val="0"/>
          <w:numId w:val="60"/>
        </w:numPr>
      </w:pPr>
      <w:r>
        <w:t>rámutat arra, hogy úgy tűnik, hogy össze kell kapcsolni a költségvetési fenntarthatóság biztosítását azzal, hogy pénzeszközöket kell felszabadítani – nemcsak azért, hogy helyreállítsuk a gazdasági jólétet, hanem azért is, mert ez közérdeket szolgál,</w:t>
      </w:r>
    </w:p>
    <w:p w:rsidRPr="00EE160A" w:rsidR="00116EE0" w:rsidP="00F27A97" w:rsidRDefault="00116EE0" w14:paraId="03D20410" w14:textId="77777777">
      <w:pPr>
        <w:pStyle w:val="ListParagraph"/>
        <w:numPr>
          <w:ilvl w:val="0"/>
          <w:numId w:val="60"/>
        </w:numPr>
      </w:pPr>
      <w:r>
        <w:t>támogatja, hogy a versenyképesség növelésére helyezzék a hangsúlyt, különösen azzal, hogy felszámolják az Egyesült Államokkal és a világgazdaság más jelentős versenytársaival szembeni beruházási hiányt. Azt is támogatja, hogy megteremtsék a kockázati tőke feltételeit, különösen az induló vállalkozások támogatása, valamint az egyes vállalatok növelése érdekében,</w:t>
      </w:r>
    </w:p>
    <w:p w:rsidRPr="00EE160A" w:rsidR="00116EE0" w:rsidP="00F27A97" w:rsidRDefault="00116EE0" w14:paraId="2AF29DD9" w14:textId="77777777">
      <w:pPr>
        <w:pStyle w:val="ListParagraph"/>
        <w:numPr>
          <w:ilvl w:val="0"/>
          <w:numId w:val="60"/>
        </w:numPr>
      </w:pPr>
      <w:r>
        <w:t>úgy véli, hogy az euroövezeti tagállamok gazdaságpolitikája nemcsak a stabilitásról, a fenntarthatóságról és a kulcsfontosságú makrogazdasági mutatók finomhangolásáról szól, hanem mindenekelőtt mélyreható strukturális és intézményi reformokról is,</w:t>
      </w:r>
    </w:p>
    <w:p w:rsidRPr="00EE160A" w:rsidR="00116EE0" w:rsidP="00F27A97" w:rsidRDefault="00116EE0" w14:paraId="389E64F9" w14:textId="77777777">
      <w:pPr>
        <w:pStyle w:val="ListParagraph"/>
        <w:numPr>
          <w:ilvl w:val="0"/>
          <w:numId w:val="60"/>
        </w:numPr>
      </w:pPr>
      <w:r>
        <w:t>rámutat, hogy ezért felül kell vizsgálni a munkaerőpiac rugalmasságára, a reálbér-növekedésre és a munkatermelékenységre irányuló intézményi és jogalkotási intézkedéseket, valamint meg kell erősíteni a szociális biztonságot, támogatva a befogadást és a lakhatáshoz való hozzáférést,</w:t>
      </w:r>
    </w:p>
    <w:p w:rsidRPr="00EE160A" w:rsidR="00116EE0" w:rsidP="00F27A97" w:rsidRDefault="00116EE0" w14:paraId="2F9487D0" w14:textId="77777777">
      <w:pPr>
        <w:pStyle w:val="ListParagraph"/>
        <w:numPr>
          <w:ilvl w:val="0"/>
          <w:numId w:val="60"/>
        </w:numPr>
      </w:pPr>
      <w:r>
        <w:t>megjegyzi, hogy az átállás és a védelem finanszírozása, illetve a népesség elöregedése miatti magasabb kiadások miatt, valamint a hitelfelvételi költségek és a szolgáltatási adósság fedezésére fordított megnövekedett kiadások miatt, fontos, hogy hiteles középtávú költségvetési keretet lehessen biztosítani,</w:t>
      </w:r>
    </w:p>
    <w:p w:rsidRPr="00EE160A" w:rsidR="00116EE0" w:rsidP="00F27A97" w:rsidRDefault="00116EE0" w14:paraId="702B0ADB" w14:textId="77777777">
      <w:pPr>
        <w:pStyle w:val="ListParagraph"/>
        <w:numPr>
          <w:ilvl w:val="0"/>
          <w:numId w:val="60"/>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támogatja az Európai Bizottság arra irányuló erőfeszítéseit, hogy összességében hatékonyabbá tegye az államháztartást, és csökkentse az adóparadicsomokban tartott pénzösszegeket. Az EGSZB támogatja a G20-ak társasági adóra vonatkozó terveit is,</w:t>
      </w:r>
    </w:p>
    <w:p w:rsidRPr="00EE160A" w:rsidR="00116EE0" w:rsidP="00F27A97" w:rsidRDefault="00116EE0" w14:paraId="3E4C5AA9" w14:textId="77777777">
      <w:pPr>
        <w:pStyle w:val="ListParagraph"/>
        <w:numPr>
          <w:ilvl w:val="0"/>
          <w:numId w:val="60"/>
        </w:numPr>
      </w:pPr>
      <w:r>
        <w:t>hangsúlyozza, hogy az egyedi intézkedések elfogadása és végrehajtása során további elszámoltathatóságra és elkötelezettségre van szükség. Az előttünk álló rendkívüli kihívások kezelése érdekében valamennyi illetékes és felelős félnek minden eddiginél nagyobb mértékben törekednie kell a párbeszédre és az együttműködésre, hogy az euroövezet gazdaságai fenntartható és reziliens pályára álljanak.</w:t>
      </w:r>
    </w:p>
    <w:p w:rsidRPr="00116EE0" w:rsidR="00116EE0" w:rsidRDefault="00116EE0" w14:paraId="123EDCD7"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418"/>
        <w:gridCol w:w="7762"/>
      </w:tblGrid>
      <w:tr w:rsidRPr="00FA33C4" w:rsidR="00116EE0" w:rsidTr="0060010D" w14:paraId="34B87149" w14:textId="77777777">
        <w:tc>
          <w:tcPr>
            <w:tcW w:w="1418" w:type="dxa"/>
          </w:tcPr>
          <w:p w:rsidRPr="00FA33C4" w:rsidR="00116EE0" w:rsidP="0060010D" w:rsidRDefault="00116EE0" w14:paraId="10AAD69C" w14:textId="77777777">
            <w:pPr>
              <w:overflowPunct w:val="0"/>
              <w:autoSpaceDE w:val="0"/>
              <w:autoSpaceDN w:val="0"/>
              <w:adjustRightInd w:val="0"/>
              <w:textAlignment w:val="baseline"/>
              <w:rPr>
                <w:i/>
                <w:sz w:val="20"/>
                <w:szCs w:val="20"/>
              </w:rPr>
            </w:pPr>
            <w:r>
              <w:rPr>
                <w:b/>
                <w:bCs/>
                <w:i/>
                <w:sz w:val="20"/>
              </w:rPr>
              <w:t>Kapcsolat:</w:t>
            </w:r>
          </w:p>
        </w:tc>
        <w:tc>
          <w:tcPr>
            <w:tcW w:w="7762" w:type="dxa"/>
          </w:tcPr>
          <w:p w:rsidRPr="00FA33C4" w:rsidR="00116EE0" w:rsidP="0060010D" w:rsidRDefault="00116EE0" w14:paraId="04F7E27C" w14:textId="52F60DD0">
            <w:pPr>
              <w:overflowPunct w:val="0"/>
              <w:autoSpaceDE w:val="0"/>
              <w:autoSpaceDN w:val="0"/>
              <w:adjustRightInd w:val="0"/>
              <w:textAlignment w:val="baseline"/>
              <w:rPr>
                <w:i/>
                <w:sz w:val="20"/>
                <w:szCs w:val="20"/>
              </w:rPr>
            </w:pPr>
            <w:r>
              <w:rPr>
                <w:i/>
                <w:sz w:val="20"/>
              </w:rPr>
              <w:t>Perlaky-Tóth Krisztina</w:t>
            </w:r>
          </w:p>
        </w:tc>
      </w:tr>
      <w:tr w:rsidRPr="00FA33C4" w:rsidR="00116EE0" w:rsidTr="0060010D" w14:paraId="70EB9029" w14:textId="77777777">
        <w:tc>
          <w:tcPr>
            <w:tcW w:w="1418" w:type="dxa"/>
          </w:tcPr>
          <w:p w:rsidRPr="00FA33C4" w:rsidR="00116EE0" w:rsidP="0060010D" w:rsidRDefault="00116EE0" w14:paraId="22DEC6E0" w14:textId="77777777">
            <w:pPr>
              <w:overflowPunct w:val="0"/>
              <w:autoSpaceDE w:val="0"/>
              <w:autoSpaceDN w:val="0"/>
              <w:adjustRightInd w:val="0"/>
              <w:textAlignment w:val="baseline"/>
              <w:rPr>
                <w:i/>
                <w:sz w:val="20"/>
                <w:szCs w:val="20"/>
              </w:rPr>
            </w:pPr>
            <w:r>
              <w:rPr>
                <w:i/>
                <w:sz w:val="20"/>
              </w:rPr>
              <w:t>Tel.:</w:t>
            </w:r>
          </w:p>
        </w:tc>
        <w:tc>
          <w:tcPr>
            <w:tcW w:w="7762" w:type="dxa"/>
          </w:tcPr>
          <w:p w:rsidRPr="00FA33C4" w:rsidR="00116EE0" w:rsidP="0060010D" w:rsidRDefault="00116EE0" w14:paraId="5780528B" w14:textId="77777777">
            <w:pPr>
              <w:overflowPunct w:val="0"/>
              <w:autoSpaceDE w:val="0"/>
              <w:autoSpaceDN w:val="0"/>
              <w:adjustRightInd w:val="0"/>
              <w:textAlignment w:val="baseline"/>
              <w:rPr>
                <w:i/>
                <w:sz w:val="20"/>
                <w:szCs w:val="20"/>
              </w:rPr>
            </w:pPr>
            <w:r>
              <w:rPr>
                <w:i/>
                <w:sz w:val="20"/>
              </w:rPr>
              <w:t>+32 2</w:t>
            </w:r>
            <w:r>
              <w:rPr>
                <w:sz w:val="20"/>
              </w:rPr>
              <w:t xml:space="preserve"> </w:t>
            </w:r>
            <w:r>
              <w:rPr>
                <w:i/>
                <w:sz w:val="20"/>
              </w:rPr>
              <w:t>5469740</w:t>
            </w:r>
          </w:p>
        </w:tc>
      </w:tr>
      <w:tr w:rsidRPr="00FA33C4" w:rsidR="00116EE0" w:rsidTr="0060010D" w14:paraId="507765C2" w14:textId="77777777">
        <w:tc>
          <w:tcPr>
            <w:tcW w:w="1418" w:type="dxa"/>
          </w:tcPr>
          <w:p w:rsidRPr="00FA33C4" w:rsidR="00116EE0" w:rsidP="0060010D" w:rsidRDefault="00E16E3C" w14:paraId="180663CB" w14:textId="447CD0D6">
            <w:pPr>
              <w:overflowPunct w:val="0"/>
              <w:autoSpaceDE w:val="0"/>
              <w:autoSpaceDN w:val="0"/>
              <w:adjustRightInd w:val="0"/>
              <w:textAlignment w:val="baseline"/>
              <w:rPr>
                <w:i/>
                <w:sz w:val="20"/>
                <w:szCs w:val="20"/>
              </w:rPr>
            </w:pPr>
            <w:r>
              <w:rPr>
                <w:i/>
                <w:sz w:val="20"/>
              </w:rPr>
              <w:t>E-mail:</w:t>
            </w:r>
          </w:p>
        </w:tc>
        <w:tc>
          <w:tcPr>
            <w:tcW w:w="7762" w:type="dxa"/>
          </w:tcPr>
          <w:p w:rsidRPr="00FA33C4" w:rsidR="00116EE0" w:rsidP="0060010D" w:rsidRDefault="00F1338F" w14:paraId="482F0FA1" w14:textId="036474EB">
            <w:pPr>
              <w:overflowPunct w:val="0"/>
              <w:autoSpaceDE w:val="0"/>
              <w:autoSpaceDN w:val="0"/>
              <w:adjustRightInd w:val="0"/>
              <w:textAlignment w:val="baseline"/>
              <w:rPr>
                <w:i/>
                <w:sz w:val="20"/>
                <w:szCs w:val="20"/>
              </w:rPr>
            </w:pPr>
            <w:hyperlink w:history="1" r:id="rId21">
              <w:r w:rsidR="00465FCD">
                <w:rPr>
                  <w:i/>
                  <w:color w:val="0000FF"/>
                  <w:sz w:val="20"/>
                  <w:u w:val="single"/>
                </w:rPr>
                <w:t>Krisztina.PerlakyToth@eesc.europa.eu</w:t>
              </w:r>
            </w:hyperlink>
          </w:p>
        </w:tc>
      </w:tr>
    </w:tbl>
    <w:p w:rsidR="00D73C76" w:rsidP="0060010D" w:rsidRDefault="00D73C76" w14:paraId="4982DD98" w14:textId="48F19DAB">
      <w:pPr>
        <w:jc w:val="left"/>
      </w:pPr>
    </w:p>
    <w:p w:rsidR="00D73C76" w:rsidRDefault="00D73C76" w14:paraId="783A92C4" w14:textId="77777777">
      <w:pPr>
        <w:spacing w:after="160" w:line="259" w:lineRule="auto"/>
        <w:jc w:val="left"/>
      </w:pPr>
      <w:r>
        <w:br w:type="page"/>
      </w:r>
    </w:p>
    <w:p w:rsidR="004D7AC0" w:rsidP="0060010D" w:rsidRDefault="004D7AC0" w14:paraId="36BE989D" w14:textId="77777777">
      <w:pPr>
        <w:jc w:val="left"/>
      </w:pPr>
    </w:p>
    <w:p w:rsidR="004D7AC0" w:rsidP="0060010D" w:rsidRDefault="004D7AC0" w14:paraId="4982DD99" w14:textId="77777777">
      <w:pPr>
        <w:pStyle w:val="Heading1"/>
        <w:keepNext/>
        <w:keepLines/>
        <w:rPr>
          <w:b/>
        </w:rPr>
      </w:pPr>
      <w:bookmarkStart w:name="_Toc75527081" w:id="1"/>
      <w:bookmarkStart w:name="_Toc189560695" w:id="2"/>
      <w:r>
        <w:rPr>
          <w:b/>
        </w:rPr>
        <w:t>FOGLALKOZTATÁS- ÉS SZOCIÁLPOLITIKA, UNIÓS POLGÁRSÁG</w:t>
      </w:r>
      <w:bookmarkEnd w:id="1"/>
      <w:bookmarkEnd w:id="2"/>
    </w:p>
    <w:p w:rsidR="004D7AC0" w:rsidP="0060010D" w:rsidRDefault="004D7AC0" w14:paraId="4982DD9A" w14:textId="77777777">
      <w:pPr>
        <w:keepNext/>
        <w:keepLines/>
      </w:pPr>
    </w:p>
    <w:p w:rsidRPr="0060010D" w:rsidR="008D44E2" w:rsidRDefault="00F1338F" w14:paraId="66967C58" w14:textId="0B242FE9">
      <w:pPr>
        <w:widowControl w:val="0"/>
        <w:numPr>
          <w:ilvl w:val="0"/>
          <w:numId w:val="6"/>
        </w:numPr>
        <w:overflowPunct w:val="0"/>
        <w:autoSpaceDE w:val="0"/>
        <w:autoSpaceDN w:val="0"/>
        <w:adjustRightInd w:val="0"/>
        <w:ind w:left="567" w:hanging="567"/>
        <w:textAlignment w:val="baseline"/>
      </w:pPr>
      <w:hyperlink w:history="1" r:id="rId22">
        <w:r w:rsidR="008D44E2">
          <w:rPr>
            <w:b/>
            <w:i/>
            <w:color w:val="0000FF"/>
            <w:sz w:val="28"/>
            <w:u w:val="single"/>
          </w:rPr>
          <w:t>Az Európai Bizottság „A jogállamiság helyzete az Európai Unióban” című éves jelentéseinek értékelése</w:t>
        </w:r>
      </w:hyperlink>
    </w:p>
    <w:p w:rsidRPr="0060010D" w:rsidR="008D44E2" w:rsidRDefault="008D44E2" w14:paraId="362D2C36" w14:textId="77777777">
      <w:pPr>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701"/>
        <w:gridCol w:w="7479"/>
      </w:tblGrid>
      <w:tr w:rsidRPr="00FA33C4" w:rsidR="008D44E2" w:rsidTr="0060010D" w14:paraId="123F4EAC" w14:textId="77777777">
        <w:tc>
          <w:tcPr>
            <w:tcW w:w="1701" w:type="dxa"/>
          </w:tcPr>
          <w:p w:rsidRPr="00FA33C4" w:rsidR="008D44E2" w:rsidRDefault="008D44E2" w14:paraId="45032CB6" w14:textId="35AA7DC0">
            <w:pPr>
              <w:tabs>
                <w:tab w:val="center" w:pos="284"/>
              </w:tabs>
              <w:overflowPunct w:val="0"/>
              <w:autoSpaceDE w:val="0"/>
              <w:autoSpaceDN w:val="0"/>
              <w:adjustRightInd w:val="0"/>
              <w:ind w:left="567" w:hanging="567"/>
              <w:textAlignment w:val="baseline"/>
              <w:rPr>
                <w:b/>
                <w:sz w:val="20"/>
                <w:szCs w:val="20"/>
              </w:rPr>
            </w:pPr>
            <w:r>
              <w:rPr>
                <w:b/>
                <w:sz w:val="20"/>
              </w:rPr>
              <w:t>Előadó:</w:t>
            </w:r>
          </w:p>
        </w:tc>
        <w:tc>
          <w:tcPr>
            <w:tcW w:w="7479" w:type="dxa"/>
          </w:tcPr>
          <w:p w:rsidRPr="00FA33C4" w:rsidR="008D44E2" w:rsidP="0060010D" w:rsidRDefault="008D44E2" w14:paraId="4624F106" w14:textId="6AF8BAEA">
            <w:pPr>
              <w:overflowPunct w:val="0"/>
              <w:autoSpaceDE w:val="0"/>
              <w:autoSpaceDN w:val="0"/>
              <w:adjustRightInd w:val="0"/>
              <w:textAlignment w:val="baseline"/>
              <w:rPr>
                <w:sz w:val="20"/>
                <w:szCs w:val="20"/>
              </w:rPr>
            </w:pPr>
            <w:r>
              <w:rPr>
                <w:sz w:val="20"/>
              </w:rPr>
              <w:t>Özlem YILDIRIM (Munkavállalók/FR)</w:t>
            </w:r>
          </w:p>
        </w:tc>
      </w:tr>
      <w:tr w:rsidRPr="00FA33C4" w:rsidR="008D44E2" w:rsidTr="0060010D" w14:paraId="25438929" w14:textId="77777777">
        <w:tc>
          <w:tcPr>
            <w:tcW w:w="1701" w:type="dxa"/>
          </w:tcPr>
          <w:p w:rsidRPr="00FA33C4" w:rsidR="008D44E2" w:rsidRDefault="008D44E2" w14:paraId="21B9C7A5" w14:textId="77777777">
            <w:pPr>
              <w:tabs>
                <w:tab w:val="center" w:pos="284"/>
              </w:tabs>
              <w:overflowPunct w:val="0"/>
              <w:autoSpaceDE w:val="0"/>
              <w:autoSpaceDN w:val="0"/>
              <w:adjustRightInd w:val="0"/>
              <w:ind w:left="567" w:hanging="567"/>
              <w:textAlignment w:val="baseline"/>
              <w:rPr>
                <w:b/>
                <w:sz w:val="20"/>
                <w:szCs w:val="20"/>
              </w:rPr>
            </w:pPr>
            <w:r>
              <w:rPr>
                <w:b/>
                <w:sz w:val="20"/>
              </w:rPr>
              <w:t>Társelőadó:</w:t>
            </w:r>
          </w:p>
        </w:tc>
        <w:tc>
          <w:tcPr>
            <w:tcW w:w="7479" w:type="dxa"/>
          </w:tcPr>
          <w:p w:rsidRPr="00FA33C4" w:rsidR="008D44E2" w:rsidRDefault="008D44E2" w14:paraId="6F2CD064" w14:textId="632788C2">
            <w:pPr>
              <w:overflowPunct w:val="0"/>
              <w:autoSpaceDE w:val="0"/>
              <w:autoSpaceDN w:val="0"/>
              <w:adjustRightInd w:val="0"/>
              <w:textAlignment w:val="baseline"/>
              <w:rPr>
                <w:sz w:val="20"/>
                <w:szCs w:val="20"/>
              </w:rPr>
            </w:pPr>
            <w:r>
              <w:rPr>
                <w:sz w:val="20"/>
              </w:rPr>
              <w:t>Christian MOOS (Civil társadalmi szervezetek/DE)</w:t>
            </w:r>
          </w:p>
        </w:tc>
      </w:tr>
      <w:tr w:rsidRPr="00FA33C4" w:rsidR="007554BE" w:rsidTr="0060010D" w14:paraId="1AF3DB80" w14:textId="77777777">
        <w:tc>
          <w:tcPr>
            <w:tcW w:w="1701" w:type="dxa"/>
          </w:tcPr>
          <w:p w:rsidRPr="00FA33C4" w:rsidR="007554BE" w:rsidP="007554BE" w:rsidRDefault="007554BE" w14:paraId="73A58438" w14:textId="77777777">
            <w:pPr>
              <w:tabs>
                <w:tab w:val="center" w:pos="284"/>
              </w:tabs>
              <w:overflowPunct w:val="0"/>
              <w:autoSpaceDE w:val="0"/>
              <w:autoSpaceDN w:val="0"/>
              <w:adjustRightInd w:val="0"/>
              <w:ind w:left="567" w:hanging="567"/>
              <w:textAlignment w:val="baseline"/>
              <w:rPr>
                <w:b/>
                <w:sz w:val="20"/>
                <w:szCs w:val="20"/>
                <w:lang w:val="fr-FR"/>
              </w:rPr>
            </w:pPr>
          </w:p>
        </w:tc>
        <w:tc>
          <w:tcPr>
            <w:tcW w:w="7479" w:type="dxa"/>
          </w:tcPr>
          <w:p w:rsidRPr="00FA33C4" w:rsidR="007554BE" w:rsidP="007554BE" w:rsidRDefault="007554BE" w14:paraId="2FCE5DDE" w14:textId="77777777">
            <w:pPr>
              <w:overflowPunct w:val="0"/>
              <w:autoSpaceDE w:val="0"/>
              <w:autoSpaceDN w:val="0"/>
              <w:adjustRightInd w:val="0"/>
              <w:textAlignment w:val="baseline"/>
              <w:rPr>
                <w:sz w:val="20"/>
                <w:szCs w:val="20"/>
                <w:lang w:val="es-ES"/>
              </w:rPr>
            </w:pPr>
          </w:p>
        </w:tc>
      </w:tr>
      <w:tr w:rsidRPr="00FA33C4" w:rsidR="008D44E2" w:rsidTr="0060010D" w14:paraId="02690065" w14:textId="77777777">
        <w:tc>
          <w:tcPr>
            <w:tcW w:w="1701" w:type="dxa"/>
          </w:tcPr>
          <w:p w:rsidRPr="00FA33C4" w:rsidR="008D44E2" w:rsidRDefault="008D44E2" w14:paraId="2B578688" w14:textId="77777777">
            <w:pPr>
              <w:tabs>
                <w:tab w:val="center" w:pos="284"/>
              </w:tabs>
              <w:overflowPunct w:val="0"/>
              <w:autoSpaceDE w:val="0"/>
              <w:autoSpaceDN w:val="0"/>
              <w:adjustRightInd w:val="0"/>
              <w:ind w:left="567" w:hanging="567"/>
              <w:textAlignment w:val="baseline"/>
              <w:rPr>
                <w:b/>
                <w:sz w:val="20"/>
                <w:szCs w:val="20"/>
              </w:rPr>
            </w:pPr>
            <w:r>
              <w:rPr>
                <w:b/>
                <w:sz w:val="20"/>
              </w:rPr>
              <w:t>Hivatkozás(ok):</w:t>
            </w:r>
          </w:p>
        </w:tc>
        <w:tc>
          <w:tcPr>
            <w:tcW w:w="7479" w:type="dxa"/>
          </w:tcPr>
          <w:p w:rsidRPr="0060010D" w:rsidR="00EF40DB" w:rsidRDefault="00EF40DB" w14:paraId="37A59977" w14:textId="60E9D28B">
            <w:pPr>
              <w:tabs>
                <w:tab w:val="center" w:pos="284"/>
              </w:tabs>
              <w:overflowPunct w:val="0"/>
              <w:autoSpaceDE w:val="0"/>
              <w:autoSpaceDN w:val="0"/>
              <w:adjustRightInd w:val="0"/>
              <w:ind w:left="567" w:hanging="567"/>
              <w:textAlignment w:val="baseline"/>
              <w:rPr>
                <w:sz w:val="20"/>
                <w:szCs w:val="20"/>
              </w:rPr>
            </w:pPr>
            <w:r>
              <w:rPr>
                <w:sz w:val="20"/>
              </w:rPr>
              <w:t>Saját kezdeményezésű vélemény</w:t>
            </w:r>
          </w:p>
          <w:p w:rsidRPr="0060010D" w:rsidR="008D44E2" w:rsidRDefault="008D44E2" w14:paraId="57D0DADC" w14:textId="763DB069">
            <w:pPr>
              <w:tabs>
                <w:tab w:val="center" w:pos="284"/>
              </w:tabs>
              <w:overflowPunct w:val="0"/>
              <w:autoSpaceDE w:val="0"/>
              <w:autoSpaceDN w:val="0"/>
              <w:adjustRightInd w:val="0"/>
              <w:ind w:left="567" w:hanging="567"/>
              <w:textAlignment w:val="baseline"/>
              <w:rPr>
                <w:sz w:val="20"/>
                <w:szCs w:val="20"/>
              </w:rPr>
            </w:pPr>
            <w:r>
              <w:rPr>
                <w:sz w:val="20"/>
              </w:rPr>
              <w:t>EESC-2024-01961-00-00-AC</w:t>
            </w:r>
          </w:p>
        </w:tc>
      </w:tr>
    </w:tbl>
    <w:p w:rsidRPr="008D44E2" w:rsidR="008D44E2" w:rsidRDefault="008D44E2" w14:paraId="1140C756" w14:textId="77777777">
      <w:pPr>
        <w:keepNext/>
        <w:keepLines/>
        <w:tabs>
          <w:tab w:val="center" w:pos="284"/>
        </w:tabs>
        <w:overflowPunct w:val="0"/>
        <w:autoSpaceDE w:val="0"/>
        <w:autoSpaceDN w:val="0"/>
        <w:adjustRightInd w:val="0"/>
        <w:ind w:left="266" w:hanging="266"/>
        <w:textAlignment w:val="baseline"/>
        <w:rPr>
          <w:b/>
          <w:lang w:val="en-GB"/>
        </w:rPr>
      </w:pPr>
    </w:p>
    <w:p w:rsidRPr="008D44E2" w:rsidR="008D44E2" w:rsidRDefault="008D44E2" w14:paraId="7D2BDAE6"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8D44E2" w:rsidR="008D44E2" w:rsidRDefault="008D44E2" w14:paraId="1679A44A" w14:textId="77777777">
      <w:pPr>
        <w:overflowPunct w:val="0"/>
        <w:autoSpaceDE w:val="0"/>
        <w:autoSpaceDN w:val="0"/>
        <w:adjustRightInd w:val="0"/>
        <w:textAlignment w:val="baseline"/>
        <w:rPr>
          <w:szCs w:val="20"/>
          <w:lang w:val="en-GB"/>
        </w:rPr>
      </w:pPr>
    </w:p>
    <w:p w:rsidR="008D44E2" w:rsidP="0027707F" w:rsidRDefault="008D44E2" w14:paraId="53A072BD" w14:textId="77777777">
      <w:r>
        <w:t>Az EGSZB:</w:t>
      </w:r>
    </w:p>
    <w:p w:rsidR="00EE160A" w:rsidP="00EE160A" w:rsidRDefault="00EE160A" w14:paraId="2D981745" w14:textId="5A481290">
      <w:pPr>
        <w:pStyle w:val="ListParagraph"/>
        <w:numPr>
          <w:ilvl w:val="0"/>
          <w:numId w:val="57"/>
        </w:numPr>
        <w:ind w:left="567" w:hanging="567"/>
      </w:pPr>
      <w:r>
        <w:t>elítéli az emberi jogok, a jogállamiság és a demokrácia helyzetének romlását. Elismerését fejezi ki az Európai Bizottságnak a jogállamisági eszköztáráért. Az éves jogállamisági jelentések előrelépést jelentenek, de az EGSZB megjegyzi, hogy továbbra is vannak hiányosságok, és további javításokat szorgalmaz,</w:t>
      </w:r>
    </w:p>
    <w:p w:rsidRPr="00EE160A" w:rsidR="008D44E2" w:rsidP="0060010D" w:rsidRDefault="008D44E2" w14:paraId="41DD115E" w14:textId="3CF567B3">
      <w:pPr>
        <w:pStyle w:val="ListParagraph"/>
        <w:numPr>
          <w:ilvl w:val="0"/>
          <w:numId w:val="57"/>
        </w:numPr>
        <w:ind w:left="567" w:hanging="567"/>
      </w:pPr>
      <w:r>
        <w:t>az érdekelt felek aktív részvételének és elszámoltathatóságának biztosítása érdekében azt ajánlja, hogy az Európai Bizottság részben az EGSZB közreműködésével biztosítsa a civil társadalom érdemi bevonását a jelentés nemzeti szintű előkészítési és nyomonkövetési szakaszába,</w:t>
      </w:r>
    </w:p>
    <w:p w:rsidRPr="00EE160A" w:rsidR="008D44E2" w:rsidP="0060010D" w:rsidRDefault="008D44E2" w14:paraId="58F02A8C" w14:textId="77777777">
      <w:pPr>
        <w:pStyle w:val="ListParagraph"/>
        <w:numPr>
          <w:ilvl w:val="0"/>
          <w:numId w:val="57"/>
        </w:numPr>
        <w:ind w:left="567" w:hanging="567"/>
      </w:pPr>
      <w:r>
        <w:t>azt ajánlja az Európai Bizottságnak, hogy alkalmazzon árnyaltabb elemzési megközelítést, független szakértők bevonásával, helyszíni látogatások szervezésével és az értékelés során egyértelműbb nyelvezet használatával,</w:t>
      </w:r>
    </w:p>
    <w:p w:rsidRPr="00EE160A" w:rsidR="008D44E2" w:rsidP="0060010D" w:rsidRDefault="008D44E2" w14:paraId="109D302D" w14:textId="77777777">
      <w:pPr>
        <w:pStyle w:val="ListParagraph"/>
        <w:numPr>
          <w:ilvl w:val="0"/>
          <w:numId w:val="57"/>
        </w:numPr>
        <w:ind w:left="567" w:hanging="567"/>
      </w:pPr>
      <w:r>
        <w:t>azt ajánlja, hogy az éves jogállamisági jelentésnek a civil társadalmi szervezetekkel foglalkozó szakaszát bővítsék ki annak érdekében, hogy az objektív referenciaértékeken és a civil társadalmi szervezetekkel folytatott átlátható párbeszéden alapuló értékelést nyújtson,</w:t>
      </w:r>
    </w:p>
    <w:p w:rsidRPr="00EE160A" w:rsidR="008D44E2" w:rsidP="0060010D" w:rsidRDefault="008D44E2" w14:paraId="794DF6BA" w14:textId="77777777">
      <w:pPr>
        <w:pStyle w:val="ListParagraph"/>
        <w:numPr>
          <w:ilvl w:val="0"/>
          <w:numId w:val="57"/>
        </w:numPr>
        <w:ind w:left="567" w:hanging="567"/>
      </w:pPr>
      <w:r>
        <w:t>azt tanácsolja az Európai Bizottságnak, hogy dolgozzon ki pontosabb és mérhetőbb országspecifikus ajánlásokat, egyértelmű referenciaértékekkel, mutatókkal és határidőkkel. Kéri ezen ajánlások végrehajtásának alaposabb nyomon követését, az eredmények átlátható ismertetésével, beleértve azt is, hogy mely tagállamok nem teljesítették a referenciaértékeket és a határidőket, és sürgeti az Európai Bizottságot, hogy adjon nagyobb szerepet a jelentésnek a többi jogállamisági mechanizmus beindításában, ha az országspecifikus ajánlásokat nem hajtják végre,</w:t>
      </w:r>
    </w:p>
    <w:p w:rsidRPr="00EE160A" w:rsidR="008D44E2" w:rsidP="0060010D" w:rsidRDefault="008D44E2" w14:paraId="3EFF293E" w14:textId="77777777">
      <w:pPr>
        <w:pStyle w:val="ListParagraph"/>
        <w:numPr>
          <w:ilvl w:val="0"/>
          <w:numId w:val="57"/>
        </w:numPr>
        <w:ind w:left="567" w:hanging="567"/>
      </w:pPr>
      <w:r>
        <w:t>azt ajánlja, hogy az Európai Bizottság egyszerűsítse a jelentések nyelvezetét, hogy azok érthetőbbek legyenek a nagyközönség és az újságírók számára, és javasoljon átfogó kommunikációs stratégiát az alapvető jogokkal és a jogállamisággal kapcsolatos tudatosság növelésére,</w:t>
      </w:r>
    </w:p>
    <w:p w:rsidRPr="00EE160A" w:rsidR="008D44E2" w:rsidP="0060010D" w:rsidRDefault="008D44E2" w14:paraId="5DDE0A1C" w14:textId="77777777">
      <w:pPr>
        <w:pStyle w:val="ListParagraph"/>
        <w:numPr>
          <w:ilvl w:val="0"/>
          <w:numId w:val="57"/>
        </w:numPr>
        <w:ind w:left="567" w:hanging="567"/>
      </w:pPr>
      <w:r>
        <w:t xml:space="preserve">érdeklődéssel nyugtázza, hogy az Európai Bizottság elnöke civil társadalmi platformot szándékozik létrehozni, és megismétli, hogy a minőségi párbeszéd jóval több, mint puszta konzultáció. Az EGSZB-nek részt kell vennie az irányításban, és kulcsszerepet kell játszania minden ilyen platformban, a Szerződés szerint ugyanis az EGSZB az a testület, melynek feladata, hogy konzultáljon a vállalkozói szövetségekkel, a szakszervezetekkel és a szervezett civil társadalommal. </w:t>
      </w:r>
    </w:p>
    <w:p w:rsidRPr="008D44E2" w:rsidR="008D44E2" w:rsidP="0027707F" w:rsidRDefault="008D44E2" w14:paraId="2A36C52A" w14:textId="77777777">
      <w:pPr>
        <w:rPr>
          <w:lang w:val="en-GB"/>
        </w:rPr>
      </w:pPr>
    </w:p>
    <w:tbl>
      <w:tblPr>
        <w:tblW w:w="4941" w:type="pct"/>
        <w:tblLook w:val="04A0" w:firstRow="1" w:lastRow="0" w:firstColumn="1" w:lastColumn="0" w:noHBand="0" w:noVBand="1"/>
      </w:tblPr>
      <w:tblGrid>
        <w:gridCol w:w="2032"/>
        <w:gridCol w:w="7147"/>
      </w:tblGrid>
      <w:tr w:rsidRPr="00FA33C4" w:rsidR="008D44E2" w:rsidTr="0060010D" w14:paraId="6CC6C850" w14:textId="77777777">
        <w:trPr>
          <w:trHeight w:val="60"/>
        </w:trPr>
        <w:tc>
          <w:tcPr>
            <w:tcW w:w="1107" w:type="pct"/>
            <w:hideMark/>
          </w:tcPr>
          <w:p w:rsidRPr="00FA33C4" w:rsidR="008D44E2" w:rsidRDefault="008D44E2" w14:paraId="1236B2CE" w14:textId="77777777">
            <w:pPr>
              <w:overflowPunct w:val="0"/>
              <w:autoSpaceDE w:val="0"/>
              <w:autoSpaceDN w:val="0"/>
              <w:adjustRightInd w:val="0"/>
              <w:textAlignment w:val="baseline"/>
              <w:rPr>
                <w:i/>
                <w:sz w:val="20"/>
                <w:szCs w:val="20"/>
              </w:rPr>
            </w:pPr>
            <w:r>
              <w:rPr>
                <w:b/>
                <w:i/>
                <w:sz w:val="20"/>
              </w:rPr>
              <w:t>Kapcsolattartó:</w:t>
            </w:r>
          </w:p>
        </w:tc>
        <w:tc>
          <w:tcPr>
            <w:tcW w:w="3893" w:type="pct"/>
            <w:hideMark/>
          </w:tcPr>
          <w:p w:rsidRPr="00FA33C4" w:rsidR="008D44E2" w:rsidRDefault="008D44E2" w14:paraId="57763471" w14:textId="77777777">
            <w:pPr>
              <w:overflowPunct w:val="0"/>
              <w:autoSpaceDE w:val="0"/>
              <w:autoSpaceDN w:val="0"/>
              <w:adjustRightInd w:val="0"/>
              <w:textAlignment w:val="baseline"/>
              <w:rPr>
                <w:i/>
                <w:sz w:val="20"/>
                <w:szCs w:val="20"/>
              </w:rPr>
            </w:pPr>
            <w:r>
              <w:rPr>
                <w:i/>
                <w:sz w:val="20"/>
              </w:rPr>
              <w:t>June Bedaton</w:t>
            </w:r>
          </w:p>
        </w:tc>
      </w:tr>
      <w:tr w:rsidRPr="00FA33C4" w:rsidR="008D44E2" w:rsidTr="0060010D" w14:paraId="14276645" w14:textId="77777777">
        <w:tc>
          <w:tcPr>
            <w:tcW w:w="1107" w:type="pct"/>
            <w:hideMark/>
          </w:tcPr>
          <w:p w:rsidRPr="00FA33C4" w:rsidR="008D44E2" w:rsidRDefault="008D44E2" w14:paraId="20FF892B" w14:textId="77777777">
            <w:pPr>
              <w:overflowPunct w:val="0"/>
              <w:autoSpaceDE w:val="0"/>
              <w:autoSpaceDN w:val="0"/>
              <w:adjustRightInd w:val="0"/>
              <w:textAlignment w:val="baseline"/>
              <w:rPr>
                <w:i/>
                <w:sz w:val="20"/>
                <w:szCs w:val="20"/>
              </w:rPr>
            </w:pPr>
            <w:r>
              <w:rPr>
                <w:i/>
                <w:sz w:val="20"/>
              </w:rPr>
              <w:t>Tel.:</w:t>
            </w:r>
          </w:p>
        </w:tc>
        <w:tc>
          <w:tcPr>
            <w:tcW w:w="3893" w:type="pct"/>
            <w:hideMark/>
          </w:tcPr>
          <w:p w:rsidRPr="00FA33C4" w:rsidR="008D44E2" w:rsidRDefault="008D44E2" w14:paraId="063E03E0" w14:textId="77777777">
            <w:pPr>
              <w:overflowPunct w:val="0"/>
              <w:autoSpaceDE w:val="0"/>
              <w:autoSpaceDN w:val="0"/>
              <w:adjustRightInd w:val="0"/>
              <w:textAlignment w:val="baseline"/>
              <w:rPr>
                <w:i/>
                <w:sz w:val="20"/>
                <w:szCs w:val="20"/>
              </w:rPr>
            </w:pPr>
            <w:r>
              <w:rPr>
                <w:i/>
                <w:sz w:val="20"/>
              </w:rPr>
              <w:t>+32 25468134</w:t>
            </w:r>
          </w:p>
        </w:tc>
      </w:tr>
      <w:tr w:rsidRPr="00FA33C4" w:rsidR="008D44E2" w:rsidTr="0060010D" w14:paraId="31D1E30B" w14:textId="77777777">
        <w:tc>
          <w:tcPr>
            <w:tcW w:w="1107" w:type="pct"/>
            <w:hideMark/>
          </w:tcPr>
          <w:p w:rsidRPr="00FA33C4" w:rsidR="008D44E2" w:rsidRDefault="000A6A5A" w14:paraId="468B19E4" w14:textId="7EB66E16">
            <w:pPr>
              <w:overflowPunct w:val="0"/>
              <w:autoSpaceDE w:val="0"/>
              <w:autoSpaceDN w:val="0"/>
              <w:adjustRightInd w:val="0"/>
              <w:textAlignment w:val="baseline"/>
              <w:rPr>
                <w:i/>
                <w:sz w:val="20"/>
                <w:szCs w:val="20"/>
              </w:rPr>
            </w:pPr>
            <w:r>
              <w:rPr>
                <w:i/>
                <w:sz w:val="20"/>
              </w:rPr>
              <w:t>E-mail:</w:t>
            </w:r>
          </w:p>
        </w:tc>
        <w:tc>
          <w:tcPr>
            <w:tcW w:w="3893" w:type="pct"/>
            <w:hideMark/>
          </w:tcPr>
          <w:p w:rsidRPr="00FA33C4" w:rsidR="008D44E2" w:rsidRDefault="008D44E2" w14:paraId="616D1BD7" w14:textId="77777777">
            <w:pPr>
              <w:overflowPunct w:val="0"/>
              <w:autoSpaceDE w:val="0"/>
              <w:autoSpaceDN w:val="0"/>
              <w:adjustRightInd w:val="0"/>
              <w:textAlignment w:val="baseline"/>
              <w:rPr>
                <w:i/>
                <w:sz w:val="20"/>
                <w:szCs w:val="20"/>
              </w:rPr>
            </w:pPr>
            <w:r>
              <w:rPr>
                <w:i/>
                <w:sz w:val="20"/>
              </w:rPr>
              <w:t>June.Bedaton@eesc.europa.eu</w:t>
            </w:r>
          </w:p>
        </w:tc>
      </w:tr>
    </w:tbl>
    <w:p w:rsidRPr="00EE160A" w:rsidR="00726351" w:rsidRDefault="00726351" w14:paraId="483DFF7E" w14:textId="77777777">
      <w:pPr>
        <w:jc w:val="left"/>
      </w:pPr>
    </w:p>
    <w:p w:rsidRPr="0060010D" w:rsidR="00892F37" w:rsidRDefault="00F1338F" w14:paraId="01CD4F6D" w14:textId="37AA4C9C">
      <w:pPr>
        <w:keepNext/>
        <w:keepLines/>
        <w:widowControl w:val="0"/>
        <w:numPr>
          <w:ilvl w:val="0"/>
          <w:numId w:val="6"/>
        </w:numPr>
        <w:overflowPunct w:val="0"/>
        <w:autoSpaceDE w:val="0"/>
        <w:autoSpaceDN w:val="0"/>
        <w:adjustRightInd w:val="0"/>
        <w:ind w:left="567" w:hanging="567"/>
        <w:textAlignment w:val="baseline"/>
        <w:rPr>
          <w:b/>
        </w:rPr>
      </w:pPr>
      <w:hyperlink w:history="1" r:id="rId23">
        <w:r w:rsidR="00C26477">
          <w:rPr>
            <w:b/>
            <w:i/>
            <w:color w:val="0000FF"/>
            <w:sz w:val="28"/>
            <w:u w:val="single"/>
          </w:rPr>
          <w:t>A munkavállalókat támogató mesterséges intelligencia, amely elősegíti az MI-ben rejlő lehetőségek kihasználását és a kockázatok csökkentését a foglalkoztatási és munkaerőpiaci politikák összefüggésében</w:t>
        </w:r>
      </w:hyperlink>
    </w:p>
    <w:p w:rsidRPr="0060010D" w:rsidR="00726351" w:rsidP="0060010D" w:rsidRDefault="00726351" w14:paraId="4672B116" w14:textId="77777777">
      <w:pPr>
        <w:keepNext/>
        <w:keepLines/>
        <w:widowControl w:val="0"/>
        <w:overflowPunct w:val="0"/>
        <w:autoSpaceDE w:val="0"/>
        <w:autoSpaceDN w:val="0"/>
        <w:adjustRightInd w:val="0"/>
        <w:ind w:left="567"/>
        <w:textAlignment w:val="baseline"/>
        <w:rPr>
          <w:b/>
          <w:lang w:val="en-GB"/>
        </w:rPr>
      </w:pPr>
    </w:p>
    <w:tbl>
      <w:tblPr>
        <w:tblW w:w="0" w:type="auto"/>
        <w:tblInd w:w="108" w:type="dxa"/>
        <w:tblLook w:val="04A0" w:firstRow="1" w:lastRow="0" w:firstColumn="1" w:lastColumn="0" w:noHBand="0" w:noVBand="1"/>
      </w:tblPr>
      <w:tblGrid>
        <w:gridCol w:w="1575"/>
        <w:gridCol w:w="7606"/>
      </w:tblGrid>
      <w:tr w:rsidRPr="00FA33C4" w:rsidR="00892F37" w:rsidTr="00C716D8" w14:paraId="5E6AB028" w14:textId="77777777">
        <w:tc>
          <w:tcPr>
            <w:tcW w:w="1593" w:type="dxa"/>
          </w:tcPr>
          <w:p w:rsidRPr="00FA33C4" w:rsidR="00892F37" w:rsidRDefault="00892F37" w14:paraId="3204FBC0" w14:textId="77777777">
            <w:pPr>
              <w:tabs>
                <w:tab w:val="center" w:pos="284"/>
              </w:tabs>
              <w:overflowPunct w:val="0"/>
              <w:autoSpaceDE w:val="0"/>
              <w:autoSpaceDN w:val="0"/>
              <w:adjustRightInd w:val="0"/>
              <w:ind w:left="-109"/>
              <w:textAlignment w:val="baseline"/>
              <w:rPr>
                <w:b/>
                <w:sz w:val="20"/>
                <w:szCs w:val="20"/>
              </w:rPr>
            </w:pPr>
            <w:r>
              <w:rPr>
                <w:b/>
                <w:sz w:val="20"/>
              </w:rPr>
              <w:t>Előadó:</w:t>
            </w:r>
          </w:p>
        </w:tc>
        <w:tc>
          <w:tcPr>
            <w:tcW w:w="8046" w:type="dxa"/>
          </w:tcPr>
          <w:p w:rsidRPr="00FA33C4" w:rsidR="001900C9" w:rsidRDefault="00892F37" w14:paraId="043ACA2C" w14:textId="1B49D803">
            <w:pPr>
              <w:overflowPunct w:val="0"/>
              <w:autoSpaceDE w:val="0"/>
              <w:autoSpaceDN w:val="0"/>
              <w:adjustRightInd w:val="0"/>
              <w:textAlignment w:val="baseline"/>
              <w:rPr>
                <w:sz w:val="20"/>
                <w:szCs w:val="20"/>
              </w:rPr>
            </w:pPr>
            <w:r>
              <w:rPr>
                <w:sz w:val="20"/>
              </w:rPr>
              <w:t>Franca SALIS-MADINIER (Munkavállalók/FR)</w:t>
            </w:r>
          </w:p>
        </w:tc>
      </w:tr>
      <w:tr w:rsidRPr="00FA33C4" w:rsidR="007554BE" w:rsidTr="00C716D8" w14:paraId="073D521C" w14:textId="77777777">
        <w:tc>
          <w:tcPr>
            <w:tcW w:w="1593" w:type="dxa"/>
          </w:tcPr>
          <w:p w:rsidRPr="00FA33C4" w:rsidR="007554BE" w:rsidP="007554BE" w:rsidRDefault="007554BE" w14:paraId="5CB8AF2B" w14:textId="77777777">
            <w:pPr>
              <w:tabs>
                <w:tab w:val="center" w:pos="284"/>
              </w:tabs>
              <w:overflowPunct w:val="0"/>
              <w:autoSpaceDE w:val="0"/>
              <w:autoSpaceDN w:val="0"/>
              <w:adjustRightInd w:val="0"/>
              <w:ind w:left="-109"/>
              <w:textAlignment w:val="baseline"/>
              <w:rPr>
                <w:b/>
                <w:sz w:val="20"/>
                <w:szCs w:val="20"/>
              </w:rPr>
            </w:pPr>
          </w:p>
        </w:tc>
        <w:tc>
          <w:tcPr>
            <w:tcW w:w="8046" w:type="dxa"/>
          </w:tcPr>
          <w:p w:rsidRPr="00FA33C4" w:rsidR="007554BE" w:rsidP="007554BE" w:rsidRDefault="007554BE" w14:paraId="3424EA4D" w14:textId="77777777">
            <w:pPr>
              <w:overflowPunct w:val="0"/>
              <w:autoSpaceDE w:val="0"/>
              <w:autoSpaceDN w:val="0"/>
              <w:adjustRightInd w:val="0"/>
              <w:textAlignment w:val="baseline"/>
              <w:rPr>
                <w:sz w:val="20"/>
                <w:szCs w:val="20"/>
              </w:rPr>
            </w:pPr>
          </w:p>
        </w:tc>
      </w:tr>
      <w:tr w:rsidRPr="00FA33C4" w:rsidR="00892F37" w:rsidTr="00C716D8" w14:paraId="7CC41633" w14:textId="77777777">
        <w:tc>
          <w:tcPr>
            <w:tcW w:w="1593" w:type="dxa"/>
          </w:tcPr>
          <w:p w:rsidRPr="00FA33C4" w:rsidR="00892F37" w:rsidRDefault="00892F37" w14:paraId="3DF4D4E2" w14:textId="77777777">
            <w:pPr>
              <w:tabs>
                <w:tab w:val="center" w:pos="284"/>
              </w:tabs>
              <w:overflowPunct w:val="0"/>
              <w:autoSpaceDE w:val="0"/>
              <w:autoSpaceDN w:val="0"/>
              <w:adjustRightInd w:val="0"/>
              <w:ind w:left="-109"/>
              <w:textAlignment w:val="baseline"/>
              <w:rPr>
                <w:b/>
                <w:sz w:val="20"/>
                <w:szCs w:val="20"/>
              </w:rPr>
            </w:pPr>
            <w:r>
              <w:rPr>
                <w:b/>
                <w:sz w:val="20"/>
              </w:rPr>
              <w:t>Hivatkozások:</w:t>
            </w:r>
          </w:p>
        </w:tc>
        <w:tc>
          <w:tcPr>
            <w:tcW w:w="8046" w:type="dxa"/>
          </w:tcPr>
          <w:p w:rsidRPr="0060010D" w:rsidR="001900C9" w:rsidRDefault="001900C9" w14:paraId="55BA3B3E" w14:textId="03F243FE">
            <w:pPr>
              <w:tabs>
                <w:tab w:val="center" w:pos="284"/>
              </w:tabs>
              <w:overflowPunct w:val="0"/>
              <w:autoSpaceDE w:val="0"/>
              <w:autoSpaceDN w:val="0"/>
              <w:adjustRightInd w:val="0"/>
              <w:textAlignment w:val="baseline"/>
              <w:rPr>
                <w:sz w:val="20"/>
                <w:szCs w:val="20"/>
              </w:rPr>
            </w:pPr>
            <w:r>
              <w:rPr>
                <w:sz w:val="20"/>
              </w:rPr>
              <w:t>Saját kezdeményezésű vélemény</w:t>
            </w:r>
          </w:p>
          <w:p w:rsidRPr="0060010D" w:rsidR="00892F37" w:rsidRDefault="00892F37" w14:paraId="7497C095" w14:textId="32327B8A">
            <w:pPr>
              <w:tabs>
                <w:tab w:val="center" w:pos="284"/>
              </w:tabs>
              <w:overflowPunct w:val="0"/>
              <w:autoSpaceDE w:val="0"/>
              <w:autoSpaceDN w:val="0"/>
              <w:adjustRightInd w:val="0"/>
              <w:textAlignment w:val="baseline"/>
              <w:rPr>
                <w:sz w:val="20"/>
                <w:szCs w:val="20"/>
              </w:rPr>
            </w:pPr>
            <w:r>
              <w:rPr>
                <w:sz w:val="20"/>
              </w:rPr>
              <w:t>EESC-2024-01024-00-00-AC-TRA</w:t>
            </w:r>
          </w:p>
        </w:tc>
      </w:tr>
    </w:tbl>
    <w:p w:rsidRPr="00892F37" w:rsidR="00892F37" w:rsidRDefault="00892F37" w14:paraId="0994AF52" w14:textId="77777777">
      <w:pPr>
        <w:keepNext/>
        <w:keepLines/>
        <w:tabs>
          <w:tab w:val="center" w:pos="0"/>
        </w:tabs>
        <w:overflowPunct w:val="0"/>
        <w:autoSpaceDE w:val="0"/>
        <w:autoSpaceDN w:val="0"/>
        <w:adjustRightInd w:val="0"/>
        <w:textAlignment w:val="baseline"/>
        <w:rPr>
          <w:b/>
          <w:lang w:val="en-GB"/>
        </w:rPr>
      </w:pPr>
    </w:p>
    <w:p w:rsidRPr="00892F37" w:rsidR="00892F37" w:rsidRDefault="00892F37" w14:paraId="28169BF5" w14:textId="77777777">
      <w:pPr>
        <w:keepNext/>
        <w:keepLines/>
        <w:tabs>
          <w:tab w:val="center" w:pos="0"/>
        </w:tabs>
        <w:overflowPunct w:val="0"/>
        <w:autoSpaceDE w:val="0"/>
        <w:autoSpaceDN w:val="0"/>
        <w:adjustRightInd w:val="0"/>
        <w:textAlignment w:val="baseline"/>
        <w:rPr>
          <w:b/>
        </w:rPr>
      </w:pPr>
      <w:r>
        <w:rPr>
          <w:b/>
        </w:rPr>
        <w:t>Főbb pontok</w:t>
      </w:r>
    </w:p>
    <w:p w:rsidRPr="00892F37" w:rsidR="00892F37" w:rsidRDefault="00892F37" w14:paraId="0669BE34" w14:textId="77777777">
      <w:pPr>
        <w:overflowPunct w:val="0"/>
        <w:autoSpaceDE w:val="0"/>
        <w:autoSpaceDN w:val="0"/>
        <w:adjustRightInd w:val="0"/>
        <w:textAlignment w:val="baseline"/>
        <w:rPr>
          <w:szCs w:val="20"/>
          <w:lang w:val="en-GB"/>
        </w:rPr>
      </w:pPr>
    </w:p>
    <w:p w:rsidR="00892F37" w:rsidP="0060010D" w:rsidRDefault="00892F37" w14:paraId="21B28D36" w14:textId="77777777">
      <w:pPr>
        <w:overflowPunct w:val="0"/>
        <w:autoSpaceDE w:val="0"/>
        <w:autoSpaceDN w:val="0"/>
        <w:adjustRightInd w:val="0"/>
        <w:textAlignment w:val="baseline"/>
        <w:rPr>
          <w:szCs w:val="20"/>
        </w:rPr>
      </w:pPr>
      <w:r>
        <w:t>Az EGSZB:</w:t>
      </w:r>
    </w:p>
    <w:p w:rsidRPr="00892F37" w:rsidR="00892F37" w:rsidP="0060010D" w:rsidRDefault="00892F37" w14:paraId="59E00C8F" w14:textId="77777777">
      <w:pPr>
        <w:pStyle w:val="ListParagraph"/>
        <w:numPr>
          <w:ilvl w:val="1"/>
          <w:numId w:val="47"/>
        </w:numPr>
        <w:ind w:left="567" w:hanging="567"/>
      </w:pPr>
      <w:r>
        <w:t>úgy véli, hogy a szociális párbeszéd és a munkavállalók bevonása döntő szerepet játszik a munkavállalók alapvető jogainak megőrzésében és a munka világában alkalmazott „megbízható” mesterséges intelligencia előmozdításában. Az is segíthet minimálisra csökkenteni az MI-rendszerek kockázatait és káros hatásait, ha erőteljesebben bevonják a munkavállalókat és a képviselőiket,</w:t>
      </w:r>
    </w:p>
    <w:p w:rsidRPr="00EE160A" w:rsidR="00892F37" w:rsidP="0060010D" w:rsidRDefault="00892F37" w14:paraId="034EAFC8" w14:textId="77777777">
      <w:pPr>
        <w:pStyle w:val="ListParagraph"/>
        <w:numPr>
          <w:ilvl w:val="0"/>
          <w:numId w:val="47"/>
        </w:numPr>
        <w:ind w:left="567" w:hanging="567"/>
        <w:rPr>
          <w:szCs w:val="20"/>
        </w:rPr>
      </w:pPr>
      <w:r>
        <w:t>kitart amellett, hogy a jogalkotási kezdeményezéseknek vagy bármely egyéb, a meglévő jogszabályok kiigazítását célzó kezdeményezésnek foglalkozniuk kell a munkavállalói jogok munkahelyi védelme terén fennálló hiányosságokkal, és biztosítaniuk kell, hogy az emberek továbbra is az ellenőrzésük alatt tarthassanak minden ember és gép közötti interakciót,</w:t>
      </w:r>
    </w:p>
    <w:p w:rsidRPr="00EE160A" w:rsidR="00892F37" w:rsidP="0060010D" w:rsidRDefault="00892F37" w14:paraId="7CBA395C" w14:textId="77777777">
      <w:pPr>
        <w:pStyle w:val="ListParagraph"/>
        <w:numPr>
          <w:ilvl w:val="0"/>
          <w:numId w:val="47"/>
        </w:numPr>
        <w:ind w:left="567" w:hanging="567"/>
        <w:rPr>
          <w:szCs w:val="20"/>
        </w:rPr>
      </w:pPr>
      <w:r>
        <w:t>úgy véli, hogy a mesterséges intelligencia munkahelyi használatára vonatkozó uniós jogi rendelkezéseket konkrét iránymutatással kell alátámasztani,</w:t>
      </w:r>
    </w:p>
    <w:p w:rsidRPr="00EE160A" w:rsidR="00892F37" w:rsidP="0060010D" w:rsidRDefault="00892F37" w14:paraId="0F3776FD" w14:textId="77777777">
      <w:pPr>
        <w:pStyle w:val="ListParagraph"/>
        <w:numPr>
          <w:ilvl w:val="0"/>
          <w:numId w:val="47"/>
        </w:numPr>
        <w:ind w:left="567" w:hanging="567"/>
        <w:rPr>
          <w:szCs w:val="20"/>
        </w:rPr>
      </w:pPr>
      <w:r>
        <w:t>támogatja a mesterséges intelligenciáról szóló jogszabály 4. cikkének mielőbbi végrehajtását, hogy a munkavállalók elsajátíthassák a mesterséges intelligencia eszközeinek kezelését,</w:t>
      </w:r>
    </w:p>
    <w:p w:rsidRPr="00EE160A" w:rsidR="00892F37" w:rsidP="0060010D" w:rsidRDefault="00892F37" w14:paraId="5DDC75FD" w14:textId="77777777">
      <w:pPr>
        <w:pStyle w:val="ListParagraph"/>
        <w:numPr>
          <w:ilvl w:val="0"/>
          <w:numId w:val="47"/>
        </w:numPr>
        <w:ind w:left="567" w:hanging="567"/>
        <w:rPr>
          <w:szCs w:val="20"/>
        </w:rPr>
      </w:pPr>
      <w:r>
        <w:t>úgy véli, hogy a hatóságoknak kezdeményezéseket kell indítaniuk a munkavállalók és a polgárok készségeinek fejlesztésére, hogy a mesterségesintelligencia-rendszerek ne helyettesítsék, hanem fokozzák az emberi teljesítményt,</w:t>
      </w:r>
    </w:p>
    <w:p w:rsidRPr="00EE160A" w:rsidR="00892F37" w:rsidP="0060010D" w:rsidRDefault="00892F37" w14:paraId="6DA75FF2" w14:textId="77777777">
      <w:pPr>
        <w:pStyle w:val="ListParagraph"/>
        <w:numPr>
          <w:ilvl w:val="0"/>
          <w:numId w:val="47"/>
        </w:numPr>
        <w:ind w:left="567" w:hanging="567"/>
        <w:rPr>
          <w:szCs w:val="20"/>
        </w:rPr>
      </w:pPr>
      <w:r>
        <w:t>nyomatékosan kéri, hogy folytassanak megerősített szociális párbeszédet az MI-rendszerek bevezetéséről, méghozzá egy olyan ad hoc uniós eszköz alapján, amely rendelkezéseket tartalmaz a következők hatékonyabb megvalósítása tekintetében:</w:t>
      </w:r>
    </w:p>
    <w:p w:rsidRPr="00EE160A" w:rsidR="00892F37" w:rsidP="0060010D" w:rsidRDefault="00892F37" w14:paraId="4918BC7A" w14:textId="2DD0356B">
      <w:pPr>
        <w:pStyle w:val="ListParagraph"/>
        <w:numPr>
          <w:ilvl w:val="0"/>
          <w:numId w:val="48"/>
        </w:numPr>
        <w:ind w:left="851" w:hanging="284"/>
        <w:rPr>
          <w:szCs w:val="20"/>
        </w:rPr>
      </w:pPr>
      <w:r>
        <w:t>az általános adatvédelmi rendelet 88. cikke érvényesítésének lehetővé tétele,</w:t>
      </w:r>
    </w:p>
    <w:p w:rsidRPr="00EE160A" w:rsidR="00892F37" w:rsidP="0060010D" w:rsidRDefault="00892F37" w14:paraId="55036E02" w14:textId="7AF0AEAC">
      <w:pPr>
        <w:pStyle w:val="ListParagraph"/>
        <w:numPr>
          <w:ilvl w:val="0"/>
          <w:numId w:val="48"/>
        </w:numPr>
        <w:ind w:left="851" w:hanging="284"/>
        <w:rPr>
          <w:szCs w:val="20"/>
        </w:rPr>
      </w:pPr>
      <w:r>
        <w:t>a platformalapú munkavégzésről szóló irányelvben foglalt rendelkezések hatályának kiterjesztése, hogy kezelni lehessen azokat a kihívásokat, amelyeket az algoritmikus irányítási rendszerek támasztanak minden munkavállalóval szemben,</w:t>
      </w:r>
    </w:p>
    <w:p w:rsidRPr="00EE160A" w:rsidR="00892F37" w:rsidP="0060010D" w:rsidRDefault="00892F37" w14:paraId="7FA02CD2" w14:textId="77777777">
      <w:pPr>
        <w:pStyle w:val="ListParagraph"/>
        <w:numPr>
          <w:ilvl w:val="0"/>
          <w:numId w:val="48"/>
        </w:numPr>
        <w:ind w:left="851" w:hanging="284"/>
        <w:rPr>
          <w:szCs w:val="20"/>
        </w:rPr>
      </w:pPr>
      <w:r>
        <w:t>a magas kockázatú MI-rendszerek bevezetésekor a 2002/14/EK irányelv alapján alkalmazandó szabályok megerősítése, valamint iránymutatás nyújtása a munkahelyi egészségvédelemről és biztonságról szóló 89/391/EU irányelv rendelkezéseihez,</w:t>
      </w:r>
    </w:p>
    <w:p w:rsidRPr="00EE160A" w:rsidR="00892F37" w:rsidP="0060010D" w:rsidRDefault="00892F37" w14:paraId="3EE47C49" w14:textId="77777777">
      <w:pPr>
        <w:pStyle w:val="ListParagraph"/>
        <w:numPr>
          <w:ilvl w:val="0"/>
          <w:numId w:val="48"/>
        </w:numPr>
        <w:ind w:left="851" w:hanging="284"/>
        <w:rPr>
          <w:szCs w:val="20"/>
        </w:rPr>
      </w:pPr>
      <w:r>
        <w:t>az adatvédelmi hatásvizsgálatról való tájékoztatás kiterjesztése a munkavállalók képviselőire, ahogy azt a platformalapú munkavégzésről szóló irányelv is rögzíti,</w:t>
      </w:r>
    </w:p>
    <w:p w:rsidRPr="00EE160A" w:rsidR="00892F37" w:rsidP="0060010D" w:rsidRDefault="00892F37" w14:paraId="5E80CA12" w14:textId="77777777">
      <w:pPr>
        <w:pStyle w:val="ListParagraph"/>
        <w:numPr>
          <w:ilvl w:val="0"/>
          <w:numId w:val="48"/>
        </w:numPr>
        <w:ind w:left="851" w:hanging="284"/>
        <w:rPr>
          <w:szCs w:val="20"/>
        </w:rPr>
      </w:pPr>
      <w:r>
        <w:t>előzetes alapjogi hatásvizsgálatok biztosítása, amelyeket a szolgáltatóknak a magas kockázatú rendszerek bevezetése előtt el kell végezniük, valamint</w:t>
      </w:r>
    </w:p>
    <w:p w:rsidRPr="00EE160A" w:rsidR="00892F37" w:rsidP="0060010D" w:rsidRDefault="00892F37" w14:paraId="0DD4EE4E" w14:textId="77777777">
      <w:pPr>
        <w:pStyle w:val="ListParagraph"/>
        <w:numPr>
          <w:ilvl w:val="0"/>
          <w:numId w:val="48"/>
        </w:numPr>
        <w:ind w:left="851" w:hanging="284"/>
        <w:rPr>
          <w:szCs w:val="20"/>
        </w:rPr>
      </w:pPr>
      <w:r>
        <w:t>azzal kapcsolatos egyértelmű iránymutatások kidolgozása, hogy miként használhatók a tesztkörnyezetek és a valós tesztelési körülmények.</w:t>
      </w:r>
    </w:p>
    <w:p w:rsidR="000D43E1" w:rsidP="00EE160A" w:rsidRDefault="000D43E1" w14:paraId="7CF59E6C" w14:textId="77777777">
      <w:pPr>
        <w:rPr>
          <w:bCs/>
          <w:lang w:val="en-GB"/>
        </w:rPr>
      </w:pPr>
    </w:p>
    <w:p w:rsidRPr="00892F37" w:rsidR="00892F37" w:rsidP="00EE160A" w:rsidRDefault="00892F37" w14:paraId="0285FD8F" w14:textId="2B55283E">
      <w:pPr>
        <w:rPr>
          <w:bCs/>
          <w:szCs w:val="20"/>
        </w:rPr>
      </w:pPr>
      <w:r>
        <w:t>Az eltérő álláspontok miatt az EGSZB Munkáltatók csoportjának tagjai ellenvéleményt terjesztettek elő. Az ellenvéleményt az EGSZB (112 szavazattal/136 ellenében/11 tartózkodás mellett) elutasította, de mivel az az EGSZB eljárási szabályzatával összhangban a leadott szavazatok több mint egynegyedét kapta, mellékeljük a véleményhez.</w:t>
      </w:r>
    </w:p>
    <w:p w:rsidRPr="00892F37" w:rsidR="00892F37" w:rsidP="0060010D" w:rsidRDefault="00892F37" w14:paraId="695D15E3" w14:textId="77777777">
      <w:pPr>
        <w:overflowPunct w:val="0"/>
        <w:autoSpaceDE w:val="0"/>
        <w:autoSpaceDN w:val="0"/>
        <w:adjustRightInd w:val="0"/>
        <w:textAlignment w:val="baseline"/>
        <w:rPr>
          <w:szCs w:val="20"/>
          <w:lang w:val="en-GB"/>
        </w:rPr>
      </w:pPr>
    </w:p>
    <w:tbl>
      <w:tblPr>
        <w:tblW w:w="0" w:type="auto"/>
        <w:tblInd w:w="-142" w:type="dxa"/>
        <w:tblLook w:val="04A0" w:firstRow="1" w:lastRow="0" w:firstColumn="1" w:lastColumn="0" w:noHBand="0" w:noVBand="1"/>
      </w:tblPr>
      <w:tblGrid>
        <w:gridCol w:w="1483"/>
        <w:gridCol w:w="7948"/>
      </w:tblGrid>
      <w:tr w:rsidRPr="00FA33C4" w:rsidR="00892F37" w:rsidTr="0060010D" w14:paraId="4508FF0D" w14:textId="77777777">
        <w:tc>
          <w:tcPr>
            <w:tcW w:w="1102" w:type="dxa"/>
          </w:tcPr>
          <w:p w:rsidRPr="00FA33C4" w:rsidR="00892F37" w:rsidP="0060010D" w:rsidRDefault="00892F37" w14:paraId="331D957C" w14:textId="77777777">
            <w:pPr>
              <w:overflowPunct w:val="0"/>
              <w:autoSpaceDE w:val="0"/>
              <w:autoSpaceDN w:val="0"/>
              <w:adjustRightInd w:val="0"/>
              <w:textAlignment w:val="baseline"/>
              <w:rPr>
                <w:i/>
                <w:sz w:val="20"/>
                <w:szCs w:val="20"/>
              </w:rPr>
            </w:pPr>
            <w:r>
              <w:rPr>
                <w:b/>
                <w:i/>
                <w:sz w:val="20"/>
              </w:rPr>
              <w:t>Kapcsolattartó:</w:t>
            </w:r>
          </w:p>
        </w:tc>
        <w:tc>
          <w:tcPr>
            <w:tcW w:w="8220" w:type="dxa"/>
          </w:tcPr>
          <w:p w:rsidRPr="00FA33C4" w:rsidR="00892F37" w:rsidP="0060010D" w:rsidRDefault="00892F37" w14:paraId="10FC95BC" w14:textId="77777777">
            <w:pPr>
              <w:overflowPunct w:val="0"/>
              <w:autoSpaceDE w:val="0"/>
              <w:autoSpaceDN w:val="0"/>
              <w:adjustRightInd w:val="0"/>
              <w:ind w:hanging="12"/>
              <w:textAlignment w:val="baseline"/>
              <w:rPr>
                <w:i/>
                <w:sz w:val="20"/>
                <w:szCs w:val="20"/>
              </w:rPr>
            </w:pPr>
            <w:r>
              <w:rPr>
                <w:i/>
                <w:sz w:val="20"/>
              </w:rPr>
              <w:t>Ana Dumitrache</w:t>
            </w:r>
          </w:p>
        </w:tc>
      </w:tr>
      <w:tr w:rsidRPr="00FA33C4" w:rsidR="00892F37" w:rsidTr="0060010D" w14:paraId="574BBACD" w14:textId="77777777">
        <w:tc>
          <w:tcPr>
            <w:tcW w:w="1102" w:type="dxa"/>
          </w:tcPr>
          <w:p w:rsidRPr="00FA33C4" w:rsidR="00892F37" w:rsidP="0060010D" w:rsidRDefault="00892F37" w14:paraId="052D6094" w14:textId="77777777">
            <w:pPr>
              <w:overflowPunct w:val="0"/>
              <w:autoSpaceDE w:val="0"/>
              <w:autoSpaceDN w:val="0"/>
              <w:adjustRightInd w:val="0"/>
              <w:textAlignment w:val="baseline"/>
              <w:rPr>
                <w:i/>
                <w:sz w:val="20"/>
                <w:szCs w:val="20"/>
              </w:rPr>
            </w:pPr>
            <w:r>
              <w:rPr>
                <w:i/>
                <w:sz w:val="20"/>
              </w:rPr>
              <w:t>Tel.:</w:t>
            </w:r>
          </w:p>
        </w:tc>
        <w:tc>
          <w:tcPr>
            <w:tcW w:w="8220" w:type="dxa"/>
          </w:tcPr>
          <w:p w:rsidRPr="00FA33C4" w:rsidR="00892F37" w:rsidP="0060010D" w:rsidRDefault="00892F37" w14:paraId="38DED2DA" w14:textId="77777777">
            <w:pPr>
              <w:overflowPunct w:val="0"/>
              <w:autoSpaceDE w:val="0"/>
              <w:autoSpaceDN w:val="0"/>
              <w:adjustRightInd w:val="0"/>
              <w:textAlignment w:val="baseline"/>
              <w:rPr>
                <w:i/>
                <w:sz w:val="20"/>
                <w:szCs w:val="20"/>
              </w:rPr>
            </w:pPr>
            <w:r>
              <w:rPr>
                <w:i/>
                <w:sz w:val="20"/>
              </w:rPr>
              <w:t>+32 2546 8</w:t>
            </w:r>
            <w:r>
              <w:rPr>
                <w:sz w:val="20"/>
              </w:rPr>
              <w:t>131</w:t>
            </w:r>
          </w:p>
        </w:tc>
      </w:tr>
      <w:tr w:rsidRPr="00FA33C4" w:rsidR="00892F37" w:rsidTr="0060010D" w14:paraId="5A55B807" w14:textId="77777777">
        <w:tc>
          <w:tcPr>
            <w:tcW w:w="1102" w:type="dxa"/>
          </w:tcPr>
          <w:p w:rsidRPr="00FA33C4" w:rsidR="00892F37" w:rsidP="0060010D" w:rsidRDefault="00892F37" w14:paraId="0F4A40DD" w14:textId="77777777">
            <w:pPr>
              <w:overflowPunct w:val="0"/>
              <w:autoSpaceDE w:val="0"/>
              <w:autoSpaceDN w:val="0"/>
              <w:adjustRightInd w:val="0"/>
              <w:textAlignment w:val="baseline"/>
              <w:rPr>
                <w:i/>
                <w:sz w:val="20"/>
                <w:szCs w:val="20"/>
              </w:rPr>
            </w:pPr>
            <w:r>
              <w:rPr>
                <w:i/>
                <w:sz w:val="20"/>
              </w:rPr>
              <w:t>E-mail:</w:t>
            </w:r>
          </w:p>
        </w:tc>
        <w:tc>
          <w:tcPr>
            <w:tcW w:w="8220" w:type="dxa"/>
          </w:tcPr>
          <w:p w:rsidRPr="00FA33C4" w:rsidR="00892F37" w:rsidP="0060010D" w:rsidRDefault="00F1338F" w14:paraId="2EA71176" w14:textId="77777777">
            <w:pPr>
              <w:overflowPunct w:val="0"/>
              <w:autoSpaceDE w:val="0"/>
              <w:autoSpaceDN w:val="0"/>
              <w:adjustRightInd w:val="0"/>
              <w:textAlignment w:val="baseline"/>
              <w:rPr>
                <w:i/>
                <w:sz w:val="20"/>
                <w:szCs w:val="20"/>
              </w:rPr>
            </w:pPr>
            <w:hyperlink w:history="1" r:id="rId24">
              <w:r w:rsidR="00892F37">
                <w:rPr>
                  <w:i/>
                  <w:color w:val="0000FF"/>
                  <w:sz w:val="20"/>
                  <w:u w:val="single"/>
                </w:rPr>
                <w:t>Ana.Dumitrache@eesc.europa.eu</w:t>
              </w:r>
            </w:hyperlink>
          </w:p>
        </w:tc>
      </w:tr>
    </w:tbl>
    <w:p w:rsidRPr="00892F37" w:rsidR="007554BE" w:rsidRDefault="007554BE" w14:paraId="4F3D4055" w14:textId="77777777">
      <w:pPr>
        <w:pStyle w:val="ListParagraph"/>
        <w:ind w:left="567"/>
        <w:rPr>
          <w:lang w:val="en-GB"/>
        </w:rPr>
      </w:pPr>
    </w:p>
    <w:p w:rsidR="000D43E1" w:rsidRDefault="000D43E1" w14:paraId="4982DDC2" w14:textId="5E500753">
      <w:pPr>
        <w:jc w:val="left"/>
      </w:pPr>
      <w:r>
        <w:br w:type="page"/>
      </w:r>
    </w:p>
    <w:p w:rsidR="004D7AC0" w:rsidP="0060010D" w:rsidRDefault="004D7AC0" w14:paraId="4982DDC6" w14:textId="77777777">
      <w:pPr>
        <w:pStyle w:val="Heading1"/>
        <w:keepNext/>
        <w:keepLines/>
        <w:rPr>
          <w:b/>
        </w:rPr>
      </w:pPr>
      <w:bookmarkStart w:name="_Toc24617160" w:id="3"/>
      <w:bookmarkStart w:name="_Toc75527082" w:id="4"/>
      <w:bookmarkStart w:name="_Toc189560696" w:id="5"/>
      <w:r>
        <w:rPr>
          <w:b/>
        </w:rPr>
        <w:t>KÖZLEKEDÉS, ENERGIA, INFRASTRUKTÚRA ÉS INFORMÁCIÓS TÁRSADALOM</w:t>
      </w:r>
      <w:bookmarkEnd w:id="3"/>
      <w:bookmarkEnd w:id="4"/>
      <w:bookmarkEnd w:id="5"/>
    </w:p>
    <w:p w:rsidR="004D7AC0" w:rsidP="0060010D" w:rsidRDefault="004D7AC0" w14:paraId="4982DDC7" w14:textId="04E3199A">
      <w:pPr>
        <w:keepNext/>
        <w:keepLines/>
      </w:pPr>
    </w:p>
    <w:p w:rsidRPr="00EA3596" w:rsidR="00EA3596" w:rsidP="0060010D" w:rsidRDefault="00F1338F" w14:paraId="0D397292" w14:textId="0B4D4E83">
      <w:pPr>
        <w:keepNext/>
        <w:keepLines/>
        <w:widowControl w:val="0"/>
        <w:numPr>
          <w:ilvl w:val="0"/>
          <w:numId w:val="4"/>
        </w:numPr>
        <w:overflowPunct w:val="0"/>
        <w:autoSpaceDE w:val="0"/>
        <w:autoSpaceDN w:val="0"/>
        <w:adjustRightInd w:val="0"/>
        <w:ind w:left="266" w:hanging="266"/>
        <w:textAlignment w:val="baseline"/>
        <w:rPr>
          <w:b/>
          <w:u w:val="single"/>
        </w:rPr>
      </w:pPr>
      <w:hyperlink w:history="1" r:id="rId25">
        <w:r w:rsidR="00465FCD">
          <w:rPr>
            <w:b/>
            <w:i/>
            <w:color w:val="0000FF"/>
            <w:sz w:val="28"/>
            <w:u w:val="single"/>
          </w:rPr>
          <w:t>A villamosenergia-ellátás és -árazás jövője az EU-ban</w:t>
        </w:r>
      </w:hyperlink>
    </w:p>
    <w:p w:rsidRPr="00EA3596" w:rsidR="00EA3596" w:rsidP="0060010D" w:rsidRDefault="00EA3596" w14:paraId="6FED0A47"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EA3596" w:rsidTr="0060010D" w14:paraId="294163F6" w14:textId="77777777">
        <w:tc>
          <w:tcPr>
            <w:tcW w:w="1701" w:type="dxa"/>
          </w:tcPr>
          <w:p w:rsidRPr="00FA33C4" w:rsidR="00EA3596" w:rsidRDefault="00EA3596" w14:paraId="73B02B51" w14:textId="0A8DF9EF">
            <w:pPr>
              <w:tabs>
                <w:tab w:val="center" w:pos="284"/>
              </w:tabs>
              <w:overflowPunct w:val="0"/>
              <w:autoSpaceDE w:val="0"/>
              <w:autoSpaceDN w:val="0"/>
              <w:adjustRightInd w:val="0"/>
              <w:ind w:left="266" w:hanging="266"/>
              <w:textAlignment w:val="baseline"/>
              <w:rPr>
                <w:b/>
                <w:sz w:val="20"/>
                <w:szCs w:val="20"/>
              </w:rPr>
            </w:pPr>
            <w:r>
              <w:rPr>
                <w:b/>
                <w:sz w:val="20"/>
              </w:rPr>
              <w:t>Előadó:</w:t>
            </w:r>
          </w:p>
        </w:tc>
        <w:tc>
          <w:tcPr>
            <w:tcW w:w="7479" w:type="dxa"/>
          </w:tcPr>
          <w:p w:rsidRPr="00FA33C4" w:rsidR="00EA3596" w:rsidRDefault="00EA3596" w14:paraId="487AC76C" w14:textId="77777777">
            <w:pPr>
              <w:tabs>
                <w:tab w:val="center" w:pos="284"/>
              </w:tabs>
              <w:overflowPunct w:val="0"/>
              <w:autoSpaceDE w:val="0"/>
              <w:autoSpaceDN w:val="0"/>
              <w:adjustRightInd w:val="0"/>
              <w:ind w:left="266" w:hanging="266"/>
              <w:textAlignment w:val="baseline"/>
              <w:rPr>
                <w:sz w:val="20"/>
                <w:szCs w:val="20"/>
              </w:rPr>
            </w:pPr>
            <w:r>
              <w:rPr>
                <w:sz w:val="20"/>
              </w:rPr>
              <w:t>Jan DIRX (Civil társadalmi szervezetek/NL)</w:t>
            </w:r>
          </w:p>
        </w:tc>
      </w:tr>
      <w:tr w:rsidRPr="00FA33C4" w:rsidR="00EA3596" w:rsidTr="0060010D" w14:paraId="18FE22F6" w14:textId="77777777">
        <w:tc>
          <w:tcPr>
            <w:tcW w:w="1701" w:type="dxa"/>
          </w:tcPr>
          <w:p w:rsidRPr="00FA33C4" w:rsidR="00EA3596" w:rsidRDefault="00EA3596" w14:paraId="4CA49328" w14:textId="77777777">
            <w:pPr>
              <w:tabs>
                <w:tab w:val="center" w:pos="284"/>
              </w:tabs>
              <w:overflowPunct w:val="0"/>
              <w:autoSpaceDE w:val="0"/>
              <w:autoSpaceDN w:val="0"/>
              <w:adjustRightInd w:val="0"/>
              <w:ind w:left="266" w:hanging="266"/>
              <w:textAlignment w:val="baseline"/>
              <w:rPr>
                <w:b/>
                <w:sz w:val="20"/>
                <w:szCs w:val="20"/>
              </w:rPr>
            </w:pPr>
            <w:r>
              <w:rPr>
                <w:b/>
                <w:sz w:val="20"/>
              </w:rPr>
              <w:t>Társelőadó:</w:t>
            </w:r>
          </w:p>
        </w:tc>
        <w:tc>
          <w:tcPr>
            <w:tcW w:w="7479" w:type="dxa"/>
          </w:tcPr>
          <w:p w:rsidRPr="00FA33C4" w:rsidR="00EA3596" w:rsidRDefault="00EA3596" w14:paraId="60AE479C" w14:textId="77777777">
            <w:pPr>
              <w:tabs>
                <w:tab w:val="center" w:pos="284"/>
              </w:tabs>
              <w:overflowPunct w:val="0"/>
              <w:autoSpaceDE w:val="0"/>
              <w:autoSpaceDN w:val="0"/>
              <w:adjustRightInd w:val="0"/>
              <w:ind w:left="266" w:hanging="266"/>
              <w:textAlignment w:val="baseline"/>
              <w:rPr>
                <w:sz w:val="20"/>
                <w:szCs w:val="20"/>
              </w:rPr>
            </w:pPr>
            <w:r>
              <w:rPr>
                <w:sz w:val="20"/>
              </w:rPr>
              <w:t>Thomas KATTNIG (Munkavállalók csoportja/AT)</w:t>
            </w:r>
          </w:p>
        </w:tc>
      </w:tr>
      <w:tr w:rsidRPr="00FA33C4" w:rsidR="00EA3596" w:rsidTr="0060010D" w14:paraId="752E26C2" w14:textId="77777777">
        <w:tc>
          <w:tcPr>
            <w:tcW w:w="9180" w:type="dxa"/>
            <w:gridSpan w:val="2"/>
          </w:tcPr>
          <w:p w:rsidRPr="00FA33C4" w:rsidR="00EA3596" w:rsidP="0060010D" w:rsidRDefault="00EA3596" w14:paraId="688FF16F" w14:textId="77777777">
            <w:pPr>
              <w:tabs>
                <w:tab w:val="center" w:pos="284"/>
              </w:tabs>
              <w:overflowPunct w:val="0"/>
              <w:autoSpaceDE w:val="0"/>
              <w:autoSpaceDN w:val="0"/>
              <w:adjustRightInd w:val="0"/>
              <w:ind w:left="266" w:hanging="266"/>
              <w:textAlignment w:val="baseline"/>
              <w:rPr>
                <w:sz w:val="20"/>
                <w:szCs w:val="20"/>
              </w:rPr>
            </w:pPr>
          </w:p>
        </w:tc>
      </w:tr>
      <w:tr w:rsidRPr="00FA33C4" w:rsidR="00EA3596" w:rsidTr="0060010D" w14:paraId="234C68A2" w14:textId="77777777">
        <w:tc>
          <w:tcPr>
            <w:tcW w:w="1701" w:type="dxa"/>
          </w:tcPr>
          <w:p w:rsidRPr="00FA33C4" w:rsidR="00EA3596" w:rsidRDefault="00EA3596" w14:paraId="0691CEDA"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7479" w:type="dxa"/>
          </w:tcPr>
          <w:p w:rsidRPr="00FA33C4" w:rsidR="00EA3596" w:rsidRDefault="00EA3596" w14:paraId="22B923BD" w14:textId="77777777">
            <w:pPr>
              <w:tabs>
                <w:tab w:val="center" w:pos="284"/>
              </w:tabs>
              <w:overflowPunct w:val="0"/>
              <w:autoSpaceDE w:val="0"/>
              <w:autoSpaceDN w:val="0"/>
              <w:adjustRightInd w:val="0"/>
              <w:ind w:left="266" w:hanging="266"/>
              <w:textAlignment w:val="baseline"/>
              <w:rPr>
                <w:sz w:val="20"/>
                <w:szCs w:val="20"/>
              </w:rPr>
            </w:pPr>
            <w:r>
              <w:rPr>
                <w:sz w:val="20"/>
              </w:rPr>
              <w:t>Saját kezdeményezésű vélemény</w:t>
            </w:r>
          </w:p>
          <w:p w:rsidRPr="00FA33C4" w:rsidR="00EA3596" w:rsidRDefault="00EA3596" w14:paraId="339CD963" w14:textId="26FF9FD9">
            <w:pPr>
              <w:tabs>
                <w:tab w:val="center" w:pos="284"/>
              </w:tabs>
              <w:overflowPunct w:val="0"/>
              <w:autoSpaceDE w:val="0"/>
              <w:autoSpaceDN w:val="0"/>
              <w:adjustRightInd w:val="0"/>
              <w:ind w:left="266" w:hanging="266"/>
              <w:textAlignment w:val="baseline"/>
              <w:rPr>
                <w:sz w:val="20"/>
                <w:szCs w:val="20"/>
              </w:rPr>
            </w:pPr>
            <w:r>
              <w:rPr>
                <w:sz w:val="20"/>
              </w:rPr>
              <w:t>EESC-2024-00983-00-00-AC</w:t>
            </w:r>
          </w:p>
        </w:tc>
      </w:tr>
    </w:tbl>
    <w:p w:rsidRPr="00EA3596" w:rsidR="00EA3596" w:rsidRDefault="00EA3596" w14:paraId="4556D522" w14:textId="77777777">
      <w:pPr>
        <w:keepNext/>
        <w:keepLines/>
        <w:tabs>
          <w:tab w:val="center" w:pos="284"/>
        </w:tabs>
        <w:overflowPunct w:val="0"/>
        <w:autoSpaceDE w:val="0"/>
        <w:autoSpaceDN w:val="0"/>
        <w:adjustRightInd w:val="0"/>
        <w:ind w:left="266" w:hanging="266"/>
        <w:textAlignment w:val="baseline"/>
        <w:rPr>
          <w:b/>
          <w:lang w:val="en-GB"/>
        </w:rPr>
      </w:pPr>
    </w:p>
    <w:p w:rsidRPr="00EA3596" w:rsidR="00EA3596" w:rsidRDefault="00EA3596" w14:paraId="2F3B61B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EA3596" w:rsidR="00EA3596" w:rsidRDefault="00EA3596" w14:paraId="1420F763" w14:textId="77777777">
      <w:pPr>
        <w:keepNext/>
        <w:keepLines/>
        <w:tabs>
          <w:tab w:val="center" w:pos="284"/>
        </w:tabs>
        <w:overflowPunct w:val="0"/>
        <w:autoSpaceDE w:val="0"/>
        <w:autoSpaceDN w:val="0"/>
        <w:adjustRightInd w:val="0"/>
        <w:ind w:left="266" w:hanging="266"/>
        <w:textAlignment w:val="baseline"/>
        <w:rPr>
          <w:b/>
          <w:lang w:val="en-GB"/>
        </w:rPr>
      </w:pPr>
    </w:p>
    <w:p w:rsidR="00EA3596" w:rsidRDefault="00EA3596" w14:paraId="4FBF4A22" w14:textId="77777777">
      <w:pPr>
        <w:overflowPunct w:val="0"/>
        <w:autoSpaceDE w:val="0"/>
        <w:autoSpaceDN w:val="0"/>
        <w:adjustRightInd w:val="0"/>
        <w:textAlignment w:val="baseline"/>
        <w:rPr>
          <w:bCs/>
          <w:iCs/>
        </w:rPr>
      </w:pPr>
      <w:r>
        <w:t>Az EGSZB:</w:t>
      </w:r>
    </w:p>
    <w:p w:rsidRPr="00EA3596" w:rsidR="00EA3596" w:rsidP="0060010D" w:rsidRDefault="00EA3596" w14:paraId="788BEAE4" w14:textId="77777777">
      <w:pPr>
        <w:widowControl w:val="0"/>
        <w:numPr>
          <w:ilvl w:val="0"/>
          <w:numId w:val="29"/>
        </w:numPr>
        <w:overflowPunct w:val="0"/>
        <w:autoSpaceDE w:val="0"/>
        <w:autoSpaceDN w:val="0"/>
        <w:adjustRightInd w:val="0"/>
        <w:ind w:left="567" w:hanging="567"/>
        <w:textAlignment w:val="baseline"/>
        <w:rPr>
          <w:szCs w:val="20"/>
        </w:rPr>
      </w:pPr>
      <w:r>
        <w:t>meg van győződve arról, hogy a villamosenergia-piac reformja során arra kell törekedni, hogy a piac megfeleljen a 2050-ig megvalósítandó klímasemlegességi célkitűzésnek, és emellett az ellátás biztonságára, valamint a stabil és megfizethető árakra vonatkozó célkitűzéseket is szem előtt kell tartani, valamint a kiszolgáltatott helyzetű csoportok védelme érdekében az biztosítani kell az energiához való jogot,</w:t>
      </w:r>
    </w:p>
    <w:p w:rsidRPr="00EA3596" w:rsidR="00EA3596" w:rsidP="0060010D" w:rsidRDefault="00EA3596" w14:paraId="2ABF264A" w14:textId="77777777">
      <w:pPr>
        <w:widowControl w:val="0"/>
        <w:numPr>
          <w:ilvl w:val="0"/>
          <w:numId w:val="29"/>
        </w:numPr>
        <w:overflowPunct w:val="0"/>
        <w:autoSpaceDE w:val="0"/>
        <w:autoSpaceDN w:val="0"/>
        <w:adjustRightInd w:val="0"/>
        <w:ind w:left="567" w:hanging="567"/>
        <w:textAlignment w:val="baseline"/>
        <w:rPr>
          <w:szCs w:val="20"/>
        </w:rPr>
      </w:pPr>
      <w:r>
        <w:t>egy olyan modellt szorgalmaz, amely szükség esetén kormányzati szabályozással, és lehetőség szerint magánvállalkozások bevonásával működik – konkrétan egy olyan e-eszközt, amely a kormány által létrehozott vállalat formáját öltheti, és amely árjegyzői szerepet fog játszani,</w:t>
      </w:r>
    </w:p>
    <w:p w:rsidRPr="00EA3596" w:rsidR="00EA3596" w:rsidP="0060010D" w:rsidRDefault="00EA3596" w14:paraId="022CA94C" w14:textId="77777777">
      <w:pPr>
        <w:widowControl w:val="0"/>
        <w:numPr>
          <w:ilvl w:val="0"/>
          <w:numId w:val="29"/>
        </w:numPr>
        <w:overflowPunct w:val="0"/>
        <w:autoSpaceDE w:val="0"/>
        <w:autoSpaceDN w:val="0"/>
        <w:adjustRightInd w:val="0"/>
        <w:ind w:left="567" w:hanging="567"/>
        <w:textAlignment w:val="baseline"/>
        <w:rPr>
          <w:szCs w:val="20"/>
        </w:rPr>
      </w:pPr>
      <w:r>
        <w:t>úgy véli, hogy ösztönözni kell a kisléptékű villamosenergia-termelést annak érdekében, hogy a villamos energia ára megfizethető maradjon a fogyasztók számára, valamint bővíteni lehessen a hálózatok rugalmassági lehetőségeit,</w:t>
      </w:r>
    </w:p>
    <w:p w:rsidRPr="00EA3596" w:rsidR="00EA3596" w:rsidP="0060010D" w:rsidRDefault="00EA3596" w14:paraId="066775DF" w14:textId="77777777">
      <w:pPr>
        <w:widowControl w:val="0"/>
        <w:numPr>
          <w:ilvl w:val="0"/>
          <w:numId w:val="29"/>
        </w:numPr>
        <w:overflowPunct w:val="0"/>
        <w:autoSpaceDE w:val="0"/>
        <w:autoSpaceDN w:val="0"/>
        <w:adjustRightInd w:val="0"/>
        <w:ind w:left="567" w:hanging="567"/>
        <w:textAlignment w:val="baseline"/>
        <w:rPr>
          <w:szCs w:val="20"/>
        </w:rPr>
      </w:pPr>
      <w:r>
        <w:t>véleménye szerint mivel az árak várhatóan növekednek, a 2030-ig terjedő és az azt követő időszakban a villamosenergia-költségek arra fogják kényszeríteni a kormányokat, hogy felülvizsgálják a fogyasztók áramellátásával kapcsolatban felszámított adókra vonatkozó politikájukat.</w:t>
      </w:r>
    </w:p>
    <w:p w:rsidRPr="00EA3596" w:rsidR="00EA3596" w:rsidP="0060010D" w:rsidRDefault="00EA3596" w14:paraId="4A219466" w14:textId="77777777">
      <w:pPr>
        <w:widowControl w:val="0"/>
        <w:overflowPunct w:val="0"/>
        <w:autoSpaceDE w:val="0"/>
        <w:autoSpaceDN w:val="0"/>
        <w:adjustRightInd w:val="0"/>
        <w:ind w:left="568"/>
        <w:textAlignment w:val="baseline"/>
        <w:rPr>
          <w:szCs w:val="20"/>
          <w:lang w:val="en-GB"/>
        </w:rPr>
      </w:pPr>
    </w:p>
    <w:tbl>
      <w:tblPr>
        <w:tblW w:w="9322" w:type="dxa"/>
        <w:tblLook w:val="04A0" w:firstRow="1" w:lastRow="0" w:firstColumn="1" w:lastColumn="0" w:noHBand="0" w:noVBand="1"/>
      </w:tblPr>
      <w:tblGrid>
        <w:gridCol w:w="1483"/>
        <w:gridCol w:w="7839"/>
      </w:tblGrid>
      <w:tr w:rsidRPr="00FA33C4" w:rsidR="00EA3596" w:rsidTr="0060010D" w14:paraId="25FEBE48" w14:textId="77777777">
        <w:tc>
          <w:tcPr>
            <w:tcW w:w="1418" w:type="dxa"/>
          </w:tcPr>
          <w:p w:rsidRPr="00FA33C4" w:rsidR="00EA3596" w:rsidP="0060010D" w:rsidRDefault="00EA3596" w14:paraId="0546FA38" w14:textId="77777777">
            <w:pPr>
              <w:overflowPunct w:val="0"/>
              <w:autoSpaceDE w:val="0"/>
              <w:autoSpaceDN w:val="0"/>
              <w:adjustRightInd w:val="0"/>
              <w:textAlignment w:val="baseline"/>
              <w:rPr>
                <w:i/>
                <w:sz w:val="20"/>
                <w:szCs w:val="20"/>
              </w:rPr>
            </w:pPr>
            <w:r>
              <w:rPr>
                <w:b/>
                <w:i/>
                <w:sz w:val="20"/>
              </w:rPr>
              <w:t>Kapcsolattartó:</w:t>
            </w:r>
          </w:p>
        </w:tc>
        <w:tc>
          <w:tcPr>
            <w:tcW w:w="7904" w:type="dxa"/>
          </w:tcPr>
          <w:p w:rsidRPr="00FA33C4" w:rsidR="00EA3596" w:rsidP="0060010D" w:rsidRDefault="00EA3596" w14:paraId="0EF9F37D" w14:textId="5AE33465">
            <w:pPr>
              <w:overflowPunct w:val="0"/>
              <w:autoSpaceDE w:val="0"/>
              <w:autoSpaceDN w:val="0"/>
              <w:adjustRightInd w:val="0"/>
              <w:textAlignment w:val="baseline"/>
              <w:rPr>
                <w:i/>
                <w:sz w:val="20"/>
                <w:szCs w:val="20"/>
              </w:rPr>
            </w:pPr>
            <w:r>
              <w:rPr>
                <w:i/>
                <w:sz w:val="20"/>
              </w:rPr>
              <w:t>Maja Radman</w:t>
            </w:r>
          </w:p>
        </w:tc>
      </w:tr>
      <w:tr w:rsidRPr="00FA33C4" w:rsidR="00EA3596" w:rsidTr="0060010D" w14:paraId="11BC37BF" w14:textId="77777777">
        <w:tc>
          <w:tcPr>
            <w:tcW w:w="1418" w:type="dxa"/>
          </w:tcPr>
          <w:p w:rsidRPr="00FA33C4" w:rsidR="00EA3596" w:rsidP="0060010D" w:rsidRDefault="00EA3596" w14:paraId="38D688A7" w14:textId="77777777">
            <w:pPr>
              <w:overflowPunct w:val="0"/>
              <w:autoSpaceDE w:val="0"/>
              <w:autoSpaceDN w:val="0"/>
              <w:adjustRightInd w:val="0"/>
              <w:textAlignment w:val="baseline"/>
              <w:rPr>
                <w:i/>
                <w:sz w:val="20"/>
                <w:szCs w:val="20"/>
              </w:rPr>
            </w:pPr>
            <w:r>
              <w:rPr>
                <w:i/>
                <w:sz w:val="20"/>
              </w:rPr>
              <w:t>Tel.:</w:t>
            </w:r>
          </w:p>
        </w:tc>
        <w:tc>
          <w:tcPr>
            <w:tcW w:w="7904" w:type="dxa"/>
          </w:tcPr>
          <w:p w:rsidRPr="00FA33C4" w:rsidR="00EA3596" w:rsidP="0060010D" w:rsidRDefault="00EA3596" w14:paraId="194546DC" w14:textId="77777777">
            <w:pPr>
              <w:overflowPunct w:val="0"/>
              <w:autoSpaceDE w:val="0"/>
              <w:autoSpaceDN w:val="0"/>
              <w:adjustRightInd w:val="0"/>
              <w:textAlignment w:val="baseline"/>
              <w:rPr>
                <w:i/>
                <w:sz w:val="20"/>
                <w:szCs w:val="20"/>
              </w:rPr>
            </w:pPr>
            <w:r>
              <w:rPr>
                <w:i/>
                <w:sz w:val="20"/>
              </w:rPr>
              <w:t>+32 25469051</w:t>
            </w:r>
          </w:p>
        </w:tc>
      </w:tr>
      <w:tr w:rsidRPr="00FA33C4" w:rsidR="00EA3596" w:rsidTr="0060010D" w14:paraId="117E4CDE" w14:textId="77777777">
        <w:tc>
          <w:tcPr>
            <w:tcW w:w="1418" w:type="dxa"/>
          </w:tcPr>
          <w:p w:rsidRPr="00FA33C4" w:rsidR="00EA3596" w:rsidP="0060010D" w:rsidRDefault="002538AC" w14:paraId="7CB35B59" w14:textId="2FC9A36D">
            <w:pPr>
              <w:overflowPunct w:val="0"/>
              <w:autoSpaceDE w:val="0"/>
              <w:autoSpaceDN w:val="0"/>
              <w:adjustRightInd w:val="0"/>
              <w:textAlignment w:val="baseline"/>
              <w:rPr>
                <w:i/>
                <w:sz w:val="20"/>
                <w:szCs w:val="20"/>
              </w:rPr>
            </w:pPr>
            <w:r>
              <w:rPr>
                <w:i/>
                <w:sz w:val="20"/>
              </w:rPr>
              <w:t>E-mail:</w:t>
            </w:r>
          </w:p>
        </w:tc>
        <w:tc>
          <w:tcPr>
            <w:tcW w:w="7904" w:type="dxa"/>
          </w:tcPr>
          <w:p w:rsidRPr="00FA33C4" w:rsidR="00EA3596" w:rsidP="0060010D" w:rsidRDefault="00F1338F" w14:paraId="07C451AF" w14:textId="77777777">
            <w:pPr>
              <w:overflowPunct w:val="0"/>
              <w:autoSpaceDE w:val="0"/>
              <w:autoSpaceDN w:val="0"/>
              <w:adjustRightInd w:val="0"/>
              <w:textAlignment w:val="baseline"/>
              <w:rPr>
                <w:i/>
                <w:iCs/>
                <w:sz w:val="20"/>
                <w:szCs w:val="20"/>
              </w:rPr>
            </w:pPr>
            <w:hyperlink w:history="1" r:id="rId26">
              <w:r w:rsidR="00465FCD">
                <w:rPr>
                  <w:i/>
                  <w:color w:val="0000FF"/>
                  <w:sz w:val="20"/>
                  <w:u w:val="single"/>
                </w:rPr>
                <w:t>Maja.Radman@eesc.europa.eu</w:t>
              </w:r>
            </w:hyperlink>
          </w:p>
        </w:tc>
      </w:tr>
    </w:tbl>
    <w:p w:rsidR="007554BE" w:rsidP="007554BE" w:rsidRDefault="007554BE" w14:paraId="2FA727E3" w14:textId="77777777">
      <w:pPr>
        <w:jc w:val="left"/>
      </w:pPr>
    </w:p>
    <w:p w:rsidR="00F27A97" w:rsidRDefault="00F27A97" w14:paraId="0F2E9BAF" w14:textId="24A55499">
      <w:pPr>
        <w:spacing w:after="160" w:line="259" w:lineRule="auto"/>
        <w:jc w:val="left"/>
      </w:pPr>
      <w:r>
        <w:br w:type="page"/>
      </w:r>
    </w:p>
    <w:p w:rsidRPr="0020320E" w:rsidR="0020320E" w:rsidP="0060010D" w:rsidRDefault="00F1338F" w14:paraId="23E4FA4E" w14:textId="2B3DD7CA">
      <w:pPr>
        <w:keepNext/>
        <w:keepLines/>
        <w:widowControl w:val="0"/>
        <w:numPr>
          <w:ilvl w:val="0"/>
          <w:numId w:val="4"/>
        </w:numPr>
        <w:overflowPunct w:val="0"/>
        <w:autoSpaceDE w:val="0"/>
        <w:autoSpaceDN w:val="0"/>
        <w:adjustRightInd w:val="0"/>
        <w:ind w:hanging="567"/>
        <w:textAlignment w:val="baseline"/>
        <w:rPr>
          <w:b/>
          <w:u w:val="single"/>
        </w:rPr>
      </w:pPr>
      <w:hyperlink w:history="1" r:id="rId27">
        <w:r w:rsidR="00465FCD">
          <w:rPr>
            <w:b/>
            <w:i/>
            <w:color w:val="0000FF"/>
            <w:sz w:val="28"/>
            <w:u w:val="single"/>
          </w:rPr>
          <w:t>Egy uniós tengerstratégia felé: A jövő felé hajózva összehangolt beruházási politikák, jogalkotási kezdeményezések, szociális párbeszéd és a civil társadalom bevonása révén</w:t>
        </w:r>
      </w:hyperlink>
    </w:p>
    <w:p w:rsidRPr="0020320E" w:rsidR="0020320E" w:rsidP="0060010D" w:rsidRDefault="0020320E" w14:paraId="22635895"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20320E" w:rsidTr="0060010D" w14:paraId="18E926C0" w14:textId="77777777">
        <w:tc>
          <w:tcPr>
            <w:tcW w:w="1701" w:type="dxa"/>
          </w:tcPr>
          <w:p w:rsidRPr="00FA33C4" w:rsidR="0020320E" w:rsidRDefault="0020320E" w14:paraId="584A023A" w14:textId="77777777">
            <w:pPr>
              <w:tabs>
                <w:tab w:val="center" w:pos="284"/>
              </w:tabs>
              <w:overflowPunct w:val="0"/>
              <w:autoSpaceDE w:val="0"/>
              <w:autoSpaceDN w:val="0"/>
              <w:adjustRightInd w:val="0"/>
              <w:ind w:left="266" w:hanging="266"/>
              <w:textAlignment w:val="baseline"/>
              <w:rPr>
                <w:b/>
                <w:sz w:val="20"/>
                <w:szCs w:val="20"/>
              </w:rPr>
            </w:pPr>
            <w:r>
              <w:rPr>
                <w:b/>
                <w:sz w:val="20"/>
              </w:rPr>
              <w:t xml:space="preserve">Előadó: </w:t>
            </w:r>
          </w:p>
        </w:tc>
        <w:tc>
          <w:tcPr>
            <w:tcW w:w="7479" w:type="dxa"/>
          </w:tcPr>
          <w:p w:rsidRPr="00FA33C4" w:rsidR="0020320E" w:rsidRDefault="0020320E" w14:paraId="2A444A75" w14:textId="45183960">
            <w:pPr>
              <w:tabs>
                <w:tab w:val="center" w:pos="284"/>
              </w:tabs>
              <w:overflowPunct w:val="0"/>
              <w:autoSpaceDE w:val="0"/>
              <w:autoSpaceDN w:val="0"/>
              <w:adjustRightInd w:val="0"/>
              <w:ind w:left="266" w:hanging="266"/>
              <w:textAlignment w:val="baseline"/>
              <w:rPr>
                <w:sz w:val="20"/>
                <w:szCs w:val="20"/>
              </w:rPr>
            </w:pPr>
            <w:r>
              <w:rPr>
                <w:sz w:val="20"/>
              </w:rPr>
              <w:t>CSER Ágnes (Civil társadalmi szervezetek csoportja/HU)</w:t>
            </w:r>
          </w:p>
        </w:tc>
      </w:tr>
      <w:tr w:rsidRPr="00FA33C4" w:rsidR="0020320E" w:rsidTr="0060010D" w14:paraId="6DE89139" w14:textId="77777777">
        <w:tc>
          <w:tcPr>
            <w:tcW w:w="1701" w:type="dxa"/>
          </w:tcPr>
          <w:p w:rsidRPr="00FA33C4" w:rsidR="0020320E" w:rsidRDefault="0020320E" w14:paraId="438048B9" w14:textId="77777777">
            <w:pPr>
              <w:tabs>
                <w:tab w:val="center" w:pos="284"/>
              </w:tabs>
              <w:overflowPunct w:val="0"/>
              <w:autoSpaceDE w:val="0"/>
              <w:autoSpaceDN w:val="0"/>
              <w:adjustRightInd w:val="0"/>
              <w:ind w:left="266" w:hanging="266"/>
              <w:textAlignment w:val="baseline"/>
              <w:rPr>
                <w:b/>
                <w:sz w:val="20"/>
                <w:szCs w:val="20"/>
              </w:rPr>
            </w:pPr>
            <w:r>
              <w:rPr>
                <w:b/>
                <w:sz w:val="20"/>
              </w:rPr>
              <w:t>Társelőadó:</w:t>
            </w:r>
          </w:p>
        </w:tc>
        <w:tc>
          <w:tcPr>
            <w:tcW w:w="7479" w:type="dxa"/>
          </w:tcPr>
          <w:p w:rsidRPr="00FA33C4" w:rsidR="0020320E" w:rsidRDefault="0020320E" w14:paraId="2B72CB28" w14:textId="4D5DE640">
            <w:pPr>
              <w:tabs>
                <w:tab w:val="center" w:pos="284"/>
              </w:tabs>
              <w:overflowPunct w:val="0"/>
              <w:autoSpaceDE w:val="0"/>
              <w:autoSpaceDN w:val="0"/>
              <w:adjustRightInd w:val="0"/>
              <w:ind w:left="266" w:hanging="266"/>
              <w:textAlignment w:val="baseline"/>
              <w:rPr>
                <w:sz w:val="20"/>
                <w:szCs w:val="20"/>
              </w:rPr>
            </w:pPr>
            <w:r>
              <w:rPr>
                <w:sz w:val="20"/>
              </w:rPr>
              <w:t>Tanja BUZEK (Munkavállalók/DE)</w:t>
            </w:r>
          </w:p>
        </w:tc>
      </w:tr>
      <w:tr w:rsidRPr="00FA33C4" w:rsidR="0020320E" w:rsidTr="0060010D" w14:paraId="51879E6E" w14:textId="77777777">
        <w:tc>
          <w:tcPr>
            <w:tcW w:w="9180" w:type="dxa"/>
            <w:gridSpan w:val="2"/>
          </w:tcPr>
          <w:p w:rsidRPr="00FA33C4" w:rsidR="0020320E" w:rsidP="0060010D" w:rsidRDefault="0020320E" w14:paraId="0E1833CB" w14:textId="77777777">
            <w:pPr>
              <w:tabs>
                <w:tab w:val="center" w:pos="284"/>
              </w:tabs>
              <w:overflowPunct w:val="0"/>
              <w:autoSpaceDE w:val="0"/>
              <w:autoSpaceDN w:val="0"/>
              <w:adjustRightInd w:val="0"/>
              <w:ind w:left="266" w:hanging="266"/>
              <w:textAlignment w:val="baseline"/>
              <w:rPr>
                <w:sz w:val="20"/>
                <w:szCs w:val="20"/>
                <w:lang w:val="nl-BE"/>
              </w:rPr>
            </w:pPr>
          </w:p>
        </w:tc>
      </w:tr>
      <w:tr w:rsidRPr="00FA33C4" w:rsidR="0020320E" w:rsidTr="0060010D" w14:paraId="4E3C73DB" w14:textId="77777777">
        <w:tc>
          <w:tcPr>
            <w:tcW w:w="1701" w:type="dxa"/>
          </w:tcPr>
          <w:p w:rsidRPr="00FA33C4" w:rsidR="0020320E" w:rsidRDefault="0020320E" w14:paraId="5AD5B7D4"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7479" w:type="dxa"/>
          </w:tcPr>
          <w:p w:rsidRPr="00FA33C4" w:rsidR="0020320E" w:rsidRDefault="0020320E" w14:paraId="53FA1FFF" w14:textId="77777777">
            <w:pPr>
              <w:tabs>
                <w:tab w:val="center" w:pos="284"/>
              </w:tabs>
              <w:overflowPunct w:val="0"/>
              <w:autoSpaceDE w:val="0"/>
              <w:autoSpaceDN w:val="0"/>
              <w:adjustRightInd w:val="0"/>
              <w:ind w:left="266" w:hanging="266"/>
              <w:textAlignment w:val="baseline"/>
              <w:rPr>
                <w:sz w:val="20"/>
                <w:szCs w:val="20"/>
              </w:rPr>
            </w:pPr>
            <w:r>
              <w:rPr>
                <w:sz w:val="20"/>
              </w:rPr>
              <w:t>Saját kezdeményezésű vélemény</w:t>
            </w:r>
          </w:p>
          <w:p w:rsidRPr="00FA33C4" w:rsidR="0020320E" w:rsidRDefault="0020320E" w14:paraId="3DAA6DA0" w14:textId="77777777">
            <w:pPr>
              <w:tabs>
                <w:tab w:val="center" w:pos="284"/>
              </w:tabs>
              <w:overflowPunct w:val="0"/>
              <w:autoSpaceDE w:val="0"/>
              <w:autoSpaceDN w:val="0"/>
              <w:adjustRightInd w:val="0"/>
              <w:ind w:left="266" w:hanging="266"/>
              <w:textAlignment w:val="baseline"/>
              <w:rPr>
                <w:sz w:val="20"/>
                <w:szCs w:val="20"/>
              </w:rPr>
            </w:pPr>
            <w:r>
              <w:rPr>
                <w:sz w:val="20"/>
              </w:rPr>
              <w:t>EESC-2024-00720-00-00-AC</w:t>
            </w:r>
          </w:p>
        </w:tc>
      </w:tr>
    </w:tbl>
    <w:p w:rsidRPr="0020320E" w:rsidR="0020320E" w:rsidRDefault="0020320E" w14:paraId="00358582" w14:textId="77777777">
      <w:pPr>
        <w:tabs>
          <w:tab w:val="center" w:pos="284"/>
        </w:tabs>
        <w:overflowPunct w:val="0"/>
        <w:autoSpaceDE w:val="0"/>
        <w:autoSpaceDN w:val="0"/>
        <w:adjustRightInd w:val="0"/>
        <w:ind w:left="266" w:hanging="266"/>
        <w:textAlignment w:val="baseline"/>
        <w:rPr>
          <w:lang w:val="en-GB"/>
        </w:rPr>
      </w:pPr>
    </w:p>
    <w:p w:rsidRPr="0020320E" w:rsidR="0020320E" w:rsidRDefault="0020320E" w14:paraId="204F83C0"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0320E" w:rsidR="0020320E" w:rsidRDefault="0020320E" w14:paraId="257E2715" w14:textId="77777777">
      <w:pPr>
        <w:keepNext/>
        <w:keepLines/>
        <w:tabs>
          <w:tab w:val="center" w:pos="284"/>
        </w:tabs>
        <w:overflowPunct w:val="0"/>
        <w:autoSpaceDE w:val="0"/>
        <w:autoSpaceDN w:val="0"/>
        <w:adjustRightInd w:val="0"/>
        <w:ind w:left="266" w:hanging="266"/>
        <w:textAlignment w:val="baseline"/>
        <w:rPr>
          <w:b/>
        </w:rPr>
      </w:pPr>
      <w:bookmarkStart w:name="_Hlk188970948" w:id="6"/>
    </w:p>
    <w:p w:rsidR="0020320E" w:rsidRDefault="0020320E" w14:paraId="73AE19AE" w14:textId="77777777">
      <w:pPr>
        <w:overflowPunct w:val="0"/>
        <w:autoSpaceDE w:val="0"/>
        <w:autoSpaceDN w:val="0"/>
        <w:adjustRightInd w:val="0"/>
        <w:textAlignment w:val="baseline"/>
        <w:rPr>
          <w:bCs/>
          <w:iCs/>
        </w:rPr>
      </w:pPr>
      <w:r>
        <w:t>Az EGSZB:</w:t>
      </w:r>
    </w:p>
    <w:p w:rsidRPr="0020320E" w:rsidR="0020320E" w:rsidP="0060010D" w:rsidRDefault="0020320E" w14:paraId="791C2C3B" w14:textId="77777777">
      <w:pPr>
        <w:widowControl w:val="0"/>
        <w:numPr>
          <w:ilvl w:val="0"/>
          <w:numId w:val="35"/>
        </w:numPr>
        <w:overflowPunct w:val="0"/>
        <w:autoSpaceDE w:val="0"/>
        <w:autoSpaceDN w:val="0"/>
        <w:adjustRightInd w:val="0"/>
        <w:ind w:left="567" w:hanging="567"/>
        <w:textAlignment w:val="baseline"/>
        <w:rPr>
          <w:szCs w:val="20"/>
        </w:rPr>
      </w:pPr>
      <w:bookmarkStart w:name="_Hlk188970778" w:id="7"/>
      <w:r>
        <w:t>új uniós tengerstratégiát szorgalmaz, melynek célja egy olyan európai tengeri térség létrehozása, amely lehetővé teszi egy versenyképesebb, valamint gazdasági, környezeti és társadalmi szempontból fenntarthatóbb, illetve – foglalkoztatási szempontból is – egyértelmű és átlátható szabályok szerint működő uniós hajózási ágazat kialakítását,</w:t>
      </w:r>
    </w:p>
    <w:p w:rsidRPr="0020320E" w:rsidR="0020320E" w:rsidP="0060010D" w:rsidRDefault="0020320E" w14:paraId="48D9D5BC" w14:textId="77777777">
      <w:pPr>
        <w:widowControl w:val="0"/>
        <w:numPr>
          <w:ilvl w:val="0"/>
          <w:numId w:val="35"/>
        </w:numPr>
        <w:overflowPunct w:val="0"/>
        <w:autoSpaceDE w:val="0"/>
        <w:autoSpaceDN w:val="0"/>
        <w:adjustRightInd w:val="0"/>
        <w:ind w:left="567" w:hanging="567"/>
        <w:textAlignment w:val="baseline"/>
        <w:rPr>
          <w:szCs w:val="20"/>
        </w:rPr>
      </w:pPr>
      <w:r>
        <w:t>azonnali cselekvési terv kidolgozására szólít fel, amely foglalkozik a régóta fennálló illegális tevékenységekkel, az új és változó fenyegetésekkel, például az árnyékflották működésével és a növekvő geopolitikai versennyel, és amely választ ad az EU jelenlegi védelmi szükségleteire, és kitér nemzetközi kapcsolataira és kereskedelempolitikájára,</w:t>
      </w:r>
      <w:bookmarkEnd w:id="7"/>
    </w:p>
    <w:p w:rsidRPr="0020320E" w:rsidR="0020320E" w:rsidP="0060010D" w:rsidRDefault="0020320E" w14:paraId="67E96257"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ténylegesen egyenlő versenyfeltételeket szorgalmaz, amelyek mellett nem szabad engedni, hogy az előírásoknak nem megfelelő hajókat működtessenek európai vizeken, és ezek a nagy teljesítményű, élvonalbeli nyilvántartásokban szereplő hajók versenytársai legyenek,</w:t>
      </w:r>
    </w:p>
    <w:p w:rsidRPr="0020320E" w:rsidR="0020320E" w:rsidP="0060010D" w:rsidRDefault="0020320E" w14:paraId="7F6E83A9"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hangsúlyozza, hogy olyan környezetet kell teremteni, amely lehetővé teszi az uniós ellenőrzés alatt álló tonnatartalom uniós nemzeti lobogók szerinti átlobogózását,</w:t>
      </w:r>
    </w:p>
    <w:p w:rsidRPr="0020320E" w:rsidR="0020320E" w:rsidP="0060010D" w:rsidRDefault="0020320E" w14:paraId="4DBDE55A" w14:textId="77777777">
      <w:pPr>
        <w:widowControl w:val="0"/>
        <w:numPr>
          <w:ilvl w:val="0"/>
          <w:numId w:val="35"/>
        </w:numPr>
        <w:overflowPunct w:val="0"/>
        <w:autoSpaceDE w:val="0"/>
        <w:autoSpaceDN w:val="0"/>
        <w:adjustRightInd w:val="0"/>
        <w:ind w:left="567" w:hanging="567"/>
        <w:contextualSpacing/>
        <w:textAlignment w:val="baseline"/>
      </w:pPr>
      <w:r>
        <w:t>hangsúlyozza, hogy fontos lenne egy új társadalmi szerződés, amely magában foglalná az ágazat hatályos jogszabályainak hatékony érvényre juttatását, valamint az arra irányuló politikai akaratot, hogy olyan, jogilag kötelező erejű jogalkotási kezdeményezéseket valósítsanak meg, amelyek révén ugyanolyan szintű szociális védelmet nyújtanak a tengerészek számára, mint a szárazföldön dolgozóknak.</w:t>
      </w:r>
    </w:p>
    <w:bookmarkEnd w:id="6"/>
    <w:p w:rsidRPr="0020320E" w:rsidR="0020320E" w:rsidRDefault="0020320E" w14:paraId="09148A63"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83"/>
        <w:gridCol w:w="7839"/>
      </w:tblGrid>
      <w:tr w:rsidRPr="00FA33C4" w:rsidR="0020320E" w:rsidTr="0060010D" w14:paraId="2CB5D10F" w14:textId="77777777">
        <w:tc>
          <w:tcPr>
            <w:tcW w:w="1418" w:type="dxa"/>
          </w:tcPr>
          <w:p w:rsidRPr="00FA33C4" w:rsidR="0020320E" w:rsidP="0060010D" w:rsidRDefault="0020320E" w14:paraId="740D9F86" w14:textId="77777777">
            <w:pPr>
              <w:overflowPunct w:val="0"/>
              <w:autoSpaceDE w:val="0"/>
              <w:autoSpaceDN w:val="0"/>
              <w:adjustRightInd w:val="0"/>
              <w:textAlignment w:val="baseline"/>
              <w:rPr>
                <w:i/>
                <w:sz w:val="20"/>
                <w:szCs w:val="20"/>
              </w:rPr>
            </w:pPr>
            <w:r>
              <w:rPr>
                <w:b/>
                <w:bCs/>
                <w:i/>
                <w:sz w:val="20"/>
              </w:rPr>
              <w:t>Kapcsolattartó:</w:t>
            </w:r>
          </w:p>
        </w:tc>
        <w:tc>
          <w:tcPr>
            <w:tcW w:w="7904" w:type="dxa"/>
          </w:tcPr>
          <w:p w:rsidRPr="00FA33C4" w:rsidR="0020320E" w:rsidP="0060010D" w:rsidRDefault="0020320E" w14:paraId="49ADD449" w14:textId="77777777">
            <w:pPr>
              <w:overflowPunct w:val="0"/>
              <w:autoSpaceDE w:val="0"/>
              <w:autoSpaceDN w:val="0"/>
              <w:adjustRightInd w:val="0"/>
              <w:textAlignment w:val="baseline"/>
              <w:rPr>
                <w:i/>
                <w:sz w:val="20"/>
                <w:szCs w:val="20"/>
              </w:rPr>
            </w:pPr>
            <w:r>
              <w:rPr>
                <w:i/>
                <w:sz w:val="20"/>
              </w:rPr>
              <w:t>Aleksandra Sarman Grilc</w:t>
            </w:r>
          </w:p>
        </w:tc>
      </w:tr>
      <w:tr w:rsidRPr="00FA33C4" w:rsidR="0020320E" w:rsidTr="0060010D" w14:paraId="1B816AB3" w14:textId="77777777">
        <w:tc>
          <w:tcPr>
            <w:tcW w:w="1418" w:type="dxa"/>
          </w:tcPr>
          <w:p w:rsidRPr="00FA33C4" w:rsidR="0020320E" w:rsidP="0060010D" w:rsidRDefault="0020320E" w14:paraId="5621EC70" w14:textId="77777777">
            <w:pPr>
              <w:overflowPunct w:val="0"/>
              <w:autoSpaceDE w:val="0"/>
              <w:autoSpaceDN w:val="0"/>
              <w:adjustRightInd w:val="0"/>
              <w:textAlignment w:val="baseline"/>
              <w:rPr>
                <w:i/>
                <w:sz w:val="20"/>
                <w:szCs w:val="20"/>
              </w:rPr>
            </w:pPr>
            <w:r>
              <w:rPr>
                <w:i/>
                <w:sz w:val="20"/>
              </w:rPr>
              <w:t>Tel.:</w:t>
            </w:r>
          </w:p>
        </w:tc>
        <w:tc>
          <w:tcPr>
            <w:tcW w:w="7904" w:type="dxa"/>
          </w:tcPr>
          <w:p w:rsidRPr="00FA33C4" w:rsidR="0020320E" w:rsidP="0060010D" w:rsidRDefault="0020320E" w14:paraId="6E78632B" w14:textId="77777777">
            <w:pPr>
              <w:overflowPunct w:val="0"/>
              <w:autoSpaceDE w:val="0"/>
              <w:autoSpaceDN w:val="0"/>
              <w:adjustRightInd w:val="0"/>
              <w:textAlignment w:val="baseline"/>
              <w:rPr>
                <w:i/>
                <w:sz w:val="20"/>
                <w:szCs w:val="20"/>
              </w:rPr>
            </w:pPr>
            <w:r>
              <w:rPr>
                <w:i/>
                <w:sz w:val="20"/>
              </w:rPr>
              <w:t>+32 254 68 333</w:t>
            </w:r>
          </w:p>
        </w:tc>
      </w:tr>
      <w:tr w:rsidRPr="00FA33C4" w:rsidR="0020320E" w:rsidTr="0060010D" w14:paraId="15F5F4CB" w14:textId="77777777">
        <w:tc>
          <w:tcPr>
            <w:tcW w:w="1418" w:type="dxa"/>
          </w:tcPr>
          <w:p w:rsidRPr="00FA33C4" w:rsidR="0020320E" w:rsidP="0060010D" w:rsidRDefault="004E3508" w14:paraId="4EE71517" w14:textId="5A868EB8">
            <w:pPr>
              <w:overflowPunct w:val="0"/>
              <w:autoSpaceDE w:val="0"/>
              <w:autoSpaceDN w:val="0"/>
              <w:adjustRightInd w:val="0"/>
              <w:textAlignment w:val="baseline"/>
              <w:rPr>
                <w:i/>
                <w:sz w:val="20"/>
                <w:szCs w:val="20"/>
              </w:rPr>
            </w:pPr>
            <w:r>
              <w:rPr>
                <w:i/>
                <w:sz w:val="20"/>
              </w:rPr>
              <w:t>E-mail:</w:t>
            </w:r>
          </w:p>
        </w:tc>
        <w:tc>
          <w:tcPr>
            <w:tcW w:w="7904" w:type="dxa"/>
          </w:tcPr>
          <w:p w:rsidRPr="00FA33C4" w:rsidR="0020320E" w:rsidP="0060010D" w:rsidRDefault="00F1338F" w14:paraId="1220F8D0" w14:textId="77777777">
            <w:pPr>
              <w:overflowPunct w:val="0"/>
              <w:autoSpaceDE w:val="0"/>
              <w:autoSpaceDN w:val="0"/>
              <w:adjustRightInd w:val="0"/>
              <w:textAlignment w:val="baseline"/>
              <w:rPr>
                <w:i/>
                <w:iCs/>
                <w:sz w:val="20"/>
                <w:szCs w:val="20"/>
              </w:rPr>
            </w:pPr>
            <w:hyperlink w:history="1" r:id="rId28">
              <w:r w:rsidR="00465FCD">
                <w:rPr>
                  <w:i/>
                  <w:color w:val="0000FF"/>
                  <w:sz w:val="20"/>
                  <w:u w:val="single"/>
                </w:rPr>
                <w:t>Aleksandra.SarmanGrilc@eesc.europa.eu</w:t>
              </w:r>
            </w:hyperlink>
          </w:p>
        </w:tc>
      </w:tr>
    </w:tbl>
    <w:p w:rsidR="004D7AC0" w:rsidRDefault="004D7AC0" w14:paraId="4982DDEF" w14:textId="77777777">
      <w:pPr>
        <w:pStyle w:val="ListParagraph"/>
        <w:ind w:left="0"/>
      </w:pPr>
    </w:p>
    <w:p w:rsidR="004D7AC0" w:rsidRDefault="004D7AC0" w14:paraId="4982DDF0" w14:textId="77777777">
      <w:pPr>
        <w:pStyle w:val="ListParagraph"/>
        <w:ind w:left="0"/>
      </w:pPr>
    </w:p>
    <w:p w:rsidR="004D7AC0" w:rsidRDefault="004D7AC0" w14:paraId="4982DDF1" w14:textId="77777777">
      <w:pPr>
        <w:pStyle w:val="ListParagraph"/>
        <w:ind w:left="0"/>
      </w:pPr>
    </w:p>
    <w:p w:rsidR="004D7AC0" w:rsidP="0060010D" w:rsidRDefault="004D7AC0" w14:paraId="4982DDF2" w14:textId="77777777">
      <w:pPr>
        <w:jc w:val="left"/>
      </w:pPr>
      <w:r>
        <w:br w:type="page"/>
      </w:r>
    </w:p>
    <w:p w:rsidR="004D7AC0" w:rsidRDefault="004D7AC0" w14:paraId="4982DDF3" w14:textId="77777777">
      <w:pPr>
        <w:pStyle w:val="Heading1"/>
        <w:rPr>
          <w:b/>
        </w:rPr>
      </w:pPr>
      <w:bookmarkStart w:name="_Toc75527083" w:id="8"/>
      <w:bookmarkStart w:name="_Toc189560697" w:id="9"/>
      <w:r>
        <w:rPr>
          <w:b/>
        </w:rPr>
        <w:t>EGYSÉGES PIAC, TERMELÉS ÉS FOGYASZTÁS</w:t>
      </w:r>
      <w:bookmarkEnd w:id="8"/>
      <w:bookmarkEnd w:id="9"/>
    </w:p>
    <w:p w:rsidR="004D7AC0" w:rsidRDefault="004D7AC0" w14:paraId="4982DDF4" w14:textId="77777777"/>
    <w:p w:rsidRPr="005B5258" w:rsidR="005B5258" w:rsidRDefault="00F1338F" w14:paraId="7999FA16" w14:textId="12A5961E">
      <w:pPr>
        <w:widowControl w:val="0"/>
        <w:numPr>
          <w:ilvl w:val="0"/>
          <w:numId w:val="14"/>
        </w:numPr>
        <w:overflowPunct w:val="0"/>
        <w:autoSpaceDE w:val="0"/>
        <w:autoSpaceDN w:val="0"/>
        <w:adjustRightInd w:val="0"/>
        <w:ind w:hanging="567"/>
        <w:textAlignment w:val="baseline"/>
        <w:rPr>
          <w:sz w:val="20"/>
          <w:szCs w:val="20"/>
        </w:rPr>
      </w:pPr>
      <w:hyperlink w:history="1" r:id="rId29">
        <w:r w:rsidR="005B5258">
          <w:rPr>
            <w:b/>
            <w:i/>
            <w:color w:val="0000FF"/>
            <w:sz w:val="28"/>
            <w:u w:val="single"/>
          </w:rPr>
          <w:t>Elektromos járművek töltőberendezései, sűrítettgáz-töltők, valamint villamosenergia- és gázfogyasztásmérők, illetve hőenergia-mérők</w:t>
        </w:r>
      </w:hyperlink>
    </w:p>
    <w:p w:rsidRPr="005B5258" w:rsidR="005B5258" w:rsidRDefault="005B5258" w14:paraId="231C293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235"/>
        <w:gridCol w:w="7087"/>
      </w:tblGrid>
      <w:tr w:rsidRPr="00FA33C4" w:rsidR="005B5258" w:rsidTr="0060010D" w14:paraId="5540D175" w14:textId="77777777">
        <w:tc>
          <w:tcPr>
            <w:tcW w:w="2235" w:type="dxa"/>
            <w:vMerge w:val="restart"/>
          </w:tcPr>
          <w:p w:rsidRPr="00FA33C4" w:rsidR="005B5258" w:rsidRDefault="005B5258" w14:paraId="2614C17C" w14:textId="3FA02A79">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7087" w:type="dxa"/>
          </w:tcPr>
          <w:p w:rsidRPr="00FA33C4" w:rsidR="00F02BB5" w:rsidRDefault="00F02BB5" w14:paraId="6ED29998" w14:textId="675BD2B5">
            <w:pPr>
              <w:tabs>
                <w:tab w:val="center" w:pos="284"/>
              </w:tabs>
              <w:overflowPunct w:val="0"/>
              <w:autoSpaceDE w:val="0"/>
              <w:autoSpaceDN w:val="0"/>
              <w:adjustRightInd w:val="0"/>
              <w:ind w:left="266" w:hanging="266"/>
              <w:textAlignment w:val="baseline"/>
              <w:rPr>
                <w:bCs/>
                <w:sz w:val="20"/>
                <w:szCs w:val="20"/>
              </w:rPr>
            </w:pPr>
            <w:r>
              <w:rPr>
                <w:sz w:val="20"/>
              </w:rPr>
              <w:t>„C” kategóriás vélemény</w:t>
            </w:r>
          </w:p>
          <w:p w:rsidRPr="00FA33C4" w:rsidR="005B5258" w:rsidRDefault="005B5258" w14:paraId="054F7B7B" w14:textId="757CA6A1">
            <w:pPr>
              <w:tabs>
                <w:tab w:val="center" w:pos="284"/>
              </w:tabs>
              <w:overflowPunct w:val="0"/>
              <w:autoSpaceDE w:val="0"/>
              <w:autoSpaceDN w:val="0"/>
              <w:adjustRightInd w:val="0"/>
              <w:ind w:left="266" w:hanging="266"/>
              <w:textAlignment w:val="baseline"/>
              <w:rPr>
                <w:sz w:val="20"/>
                <w:szCs w:val="20"/>
              </w:rPr>
            </w:pPr>
            <w:r>
              <w:rPr>
                <w:sz w:val="20"/>
              </w:rPr>
              <w:t>COM(2024) 561 final</w:t>
            </w:r>
          </w:p>
        </w:tc>
      </w:tr>
      <w:tr w:rsidRPr="00FA33C4" w:rsidR="005B5258" w:rsidTr="0060010D" w14:paraId="01D59A37" w14:textId="77777777">
        <w:tc>
          <w:tcPr>
            <w:tcW w:w="2235" w:type="dxa"/>
            <w:vMerge/>
          </w:tcPr>
          <w:p w:rsidRPr="00FA33C4" w:rsidR="005B5258" w:rsidRDefault="005B5258" w14:paraId="32B0630D" w14:textId="77777777">
            <w:pPr>
              <w:tabs>
                <w:tab w:val="center" w:pos="284"/>
              </w:tabs>
              <w:overflowPunct w:val="0"/>
              <w:autoSpaceDE w:val="0"/>
              <w:autoSpaceDN w:val="0"/>
              <w:adjustRightInd w:val="0"/>
              <w:ind w:left="266" w:hanging="266"/>
              <w:textAlignment w:val="baseline"/>
              <w:rPr>
                <w:b/>
                <w:sz w:val="20"/>
                <w:szCs w:val="20"/>
              </w:rPr>
            </w:pPr>
          </w:p>
        </w:tc>
        <w:tc>
          <w:tcPr>
            <w:tcW w:w="7087" w:type="dxa"/>
          </w:tcPr>
          <w:p w:rsidRPr="00FA33C4" w:rsidR="005B5258" w:rsidRDefault="005B5258" w14:paraId="33D4B2A1" w14:textId="4A11755C">
            <w:pPr>
              <w:tabs>
                <w:tab w:val="center" w:pos="284"/>
              </w:tabs>
              <w:overflowPunct w:val="0"/>
              <w:autoSpaceDE w:val="0"/>
              <w:autoSpaceDN w:val="0"/>
              <w:adjustRightInd w:val="0"/>
              <w:ind w:left="266" w:hanging="266"/>
              <w:textAlignment w:val="baseline"/>
              <w:rPr>
                <w:sz w:val="20"/>
                <w:szCs w:val="20"/>
              </w:rPr>
            </w:pPr>
            <w:r>
              <w:rPr>
                <w:sz w:val="20"/>
              </w:rPr>
              <w:t>EESC-2025-00177-00-00-AC</w:t>
            </w:r>
          </w:p>
        </w:tc>
      </w:tr>
    </w:tbl>
    <w:p w:rsidRPr="005B5258" w:rsidR="005B5258" w:rsidRDefault="005B5258" w14:paraId="7A89EDA5" w14:textId="77777777">
      <w:pPr>
        <w:tabs>
          <w:tab w:val="center" w:pos="284"/>
        </w:tabs>
        <w:overflowPunct w:val="0"/>
        <w:autoSpaceDE w:val="0"/>
        <w:autoSpaceDN w:val="0"/>
        <w:adjustRightInd w:val="0"/>
        <w:ind w:left="266" w:hanging="266"/>
        <w:textAlignment w:val="baseline"/>
        <w:rPr>
          <w:lang w:val="en-GB"/>
        </w:rPr>
      </w:pPr>
    </w:p>
    <w:p w:rsidRPr="005B5258" w:rsidR="005B5258" w:rsidRDefault="005B5258" w14:paraId="186EBF98"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5B5258" w:rsidR="005B5258" w:rsidRDefault="005B5258" w14:paraId="6BB8DCF1" w14:textId="77777777">
      <w:pPr>
        <w:keepNext/>
        <w:keepLines/>
        <w:tabs>
          <w:tab w:val="center" w:pos="284"/>
        </w:tabs>
        <w:overflowPunct w:val="0"/>
        <w:autoSpaceDE w:val="0"/>
        <w:autoSpaceDN w:val="0"/>
        <w:adjustRightInd w:val="0"/>
        <w:ind w:left="266" w:hanging="266"/>
        <w:textAlignment w:val="baseline"/>
        <w:rPr>
          <w:b/>
          <w:lang w:val="en-GB"/>
        </w:rPr>
      </w:pPr>
    </w:p>
    <w:p w:rsidRPr="005B5258" w:rsidR="005B5258" w:rsidRDefault="005B5258" w14:paraId="2E0108A1" w14:textId="77777777">
      <w:pPr>
        <w:overflowPunct w:val="0"/>
        <w:autoSpaceDE w:val="0"/>
        <w:autoSpaceDN w:val="0"/>
        <w:adjustRightInd w:val="0"/>
        <w:textAlignment w:val="baseline"/>
        <w:rPr>
          <w:bCs/>
          <w:iCs/>
        </w:rPr>
      </w:pPr>
      <w:r>
        <w:t>Az EGSZB úgy határozott, hogy a javasolt szöveget támogató véleményt bocsát ki.</w:t>
      </w:r>
    </w:p>
    <w:p w:rsidRPr="005B5258" w:rsidR="005B5258" w:rsidRDefault="005B5258" w14:paraId="4EB77E0C"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83"/>
        <w:gridCol w:w="7839"/>
      </w:tblGrid>
      <w:tr w:rsidRPr="00FA33C4" w:rsidR="005B5258" w:rsidTr="0060010D" w14:paraId="7838A103" w14:textId="77777777">
        <w:tc>
          <w:tcPr>
            <w:tcW w:w="1418" w:type="dxa"/>
          </w:tcPr>
          <w:p w:rsidRPr="00FA33C4" w:rsidR="005B5258" w:rsidP="0060010D" w:rsidRDefault="005B5258" w14:paraId="706B817A" w14:textId="77777777">
            <w:pPr>
              <w:overflowPunct w:val="0"/>
              <w:autoSpaceDE w:val="0"/>
              <w:autoSpaceDN w:val="0"/>
              <w:adjustRightInd w:val="0"/>
              <w:textAlignment w:val="baseline"/>
              <w:rPr>
                <w:i/>
                <w:sz w:val="20"/>
                <w:szCs w:val="20"/>
              </w:rPr>
            </w:pPr>
            <w:r>
              <w:rPr>
                <w:b/>
                <w:i/>
                <w:sz w:val="20"/>
              </w:rPr>
              <w:t>Kapcsolattartó:</w:t>
            </w:r>
          </w:p>
        </w:tc>
        <w:tc>
          <w:tcPr>
            <w:tcW w:w="7904" w:type="dxa"/>
          </w:tcPr>
          <w:p w:rsidRPr="00FA33C4" w:rsidR="005B5258" w:rsidP="0060010D" w:rsidRDefault="005B5258" w14:paraId="67530D78" w14:textId="77777777">
            <w:pPr>
              <w:overflowPunct w:val="0"/>
              <w:autoSpaceDE w:val="0"/>
              <w:autoSpaceDN w:val="0"/>
              <w:adjustRightInd w:val="0"/>
              <w:textAlignment w:val="baseline"/>
              <w:rPr>
                <w:i/>
                <w:sz w:val="20"/>
                <w:szCs w:val="20"/>
              </w:rPr>
            </w:pPr>
            <w:r>
              <w:rPr>
                <w:i/>
                <w:sz w:val="20"/>
              </w:rPr>
              <w:t>Alice Tétu</w:t>
            </w:r>
          </w:p>
        </w:tc>
      </w:tr>
      <w:tr w:rsidRPr="00FA33C4" w:rsidR="005B5258" w:rsidTr="0060010D" w14:paraId="29FF2DCC" w14:textId="77777777">
        <w:tc>
          <w:tcPr>
            <w:tcW w:w="1418" w:type="dxa"/>
          </w:tcPr>
          <w:p w:rsidRPr="00FA33C4" w:rsidR="005B5258" w:rsidP="0060010D" w:rsidRDefault="005B5258" w14:paraId="2F85E9ED" w14:textId="77777777">
            <w:pPr>
              <w:overflowPunct w:val="0"/>
              <w:autoSpaceDE w:val="0"/>
              <w:autoSpaceDN w:val="0"/>
              <w:adjustRightInd w:val="0"/>
              <w:textAlignment w:val="baseline"/>
              <w:rPr>
                <w:i/>
                <w:sz w:val="20"/>
                <w:szCs w:val="20"/>
              </w:rPr>
            </w:pPr>
            <w:r>
              <w:rPr>
                <w:i/>
                <w:sz w:val="20"/>
              </w:rPr>
              <w:t>Tel.:</w:t>
            </w:r>
          </w:p>
        </w:tc>
        <w:tc>
          <w:tcPr>
            <w:tcW w:w="7904" w:type="dxa"/>
          </w:tcPr>
          <w:p w:rsidRPr="00FA33C4" w:rsidR="005B5258" w:rsidP="0060010D" w:rsidRDefault="005B5258" w14:paraId="3F6BEA10" w14:textId="77777777">
            <w:pPr>
              <w:overflowPunct w:val="0"/>
              <w:autoSpaceDE w:val="0"/>
              <w:autoSpaceDN w:val="0"/>
              <w:adjustRightInd w:val="0"/>
              <w:textAlignment w:val="baseline"/>
              <w:rPr>
                <w:i/>
                <w:sz w:val="20"/>
                <w:szCs w:val="20"/>
              </w:rPr>
            </w:pPr>
            <w:r>
              <w:rPr>
                <w:i/>
                <w:sz w:val="20"/>
              </w:rPr>
              <w:t>+ 32 25468286</w:t>
            </w:r>
          </w:p>
        </w:tc>
      </w:tr>
      <w:tr w:rsidRPr="00FA33C4" w:rsidR="005B5258" w:rsidTr="0060010D" w14:paraId="1A19F622" w14:textId="77777777">
        <w:tc>
          <w:tcPr>
            <w:tcW w:w="1418" w:type="dxa"/>
          </w:tcPr>
          <w:p w:rsidRPr="00FA33C4" w:rsidR="005B5258" w:rsidP="0060010D" w:rsidRDefault="00F02BB5" w14:paraId="3D8CB79D" w14:textId="1AD02277">
            <w:pPr>
              <w:overflowPunct w:val="0"/>
              <w:autoSpaceDE w:val="0"/>
              <w:autoSpaceDN w:val="0"/>
              <w:adjustRightInd w:val="0"/>
              <w:textAlignment w:val="baseline"/>
              <w:rPr>
                <w:i/>
                <w:sz w:val="20"/>
                <w:szCs w:val="20"/>
              </w:rPr>
            </w:pPr>
            <w:r>
              <w:rPr>
                <w:i/>
                <w:sz w:val="20"/>
              </w:rPr>
              <w:t>E-mail:</w:t>
            </w:r>
          </w:p>
        </w:tc>
        <w:tc>
          <w:tcPr>
            <w:tcW w:w="7904" w:type="dxa"/>
          </w:tcPr>
          <w:p w:rsidRPr="00FA33C4" w:rsidR="005B5258" w:rsidP="0060010D" w:rsidRDefault="00F1338F" w14:paraId="5A6CC6F8" w14:textId="77777777">
            <w:pPr>
              <w:overflowPunct w:val="0"/>
              <w:autoSpaceDE w:val="0"/>
              <w:autoSpaceDN w:val="0"/>
              <w:adjustRightInd w:val="0"/>
              <w:textAlignment w:val="baseline"/>
              <w:rPr>
                <w:i/>
                <w:sz w:val="20"/>
                <w:szCs w:val="20"/>
              </w:rPr>
            </w:pPr>
            <w:hyperlink w:history="1" r:id="rId30">
              <w:r w:rsidR="00465FCD">
                <w:rPr>
                  <w:i/>
                  <w:color w:val="0000FF"/>
                  <w:sz w:val="20"/>
                  <w:u w:val="single"/>
                </w:rPr>
                <w:t>Alice.Tetu@eesc.europa.eu</w:t>
              </w:r>
            </w:hyperlink>
          </w:p>
        </w:tc>
      </w:tr>
    </w:tbl>
    <w:p w:rsidR="00EE160A" w:rsidP="00EE160A" w:rsidRDefault="00EE160A" w14:paraId="7C08FFF5" w14:textId="77777777">
      <w:pPr>
        <w:jc w:val="left"/>
      </w:pPr>
    </w:p>
    <w:p w:rsidR="0084417F" w:rsidP="000D43E1" w:rsidRDefault="0084417F" w14:paraId="4982DE1C" w14:textId="3CD6FBC7">
      <w:pPr>
        <w:jc w:val="left"/>
      </w:pPr>
    </w:p>
    <w:p w:rsidRPr="000D43E1" w:rsidR="000D43E1" w:rsidP="000D43E1" w:rsidRDefault="00F1338F" w14:paraId="1E85D6DD" w14:textId="245E2CB6">
      <w:pPr>
        <w:pStyle w:val="ListParagraph"/>
        <w:numPr>
          <w:ilvl w:val="0"/>
          <w:numId w:val="59"/>
        </w:numPr>
        <w:ind w:left="567" w:hanging="567"/>
        <w:jc w:val="left"/>
        <w:rPr>
          <w:b/>
          <w:bCs/>
          <w:i/>
          <w:iCs/>
          <w:sz w:val="32"/>
          <w:szCs w:val="32"/>
        </w:rPr>
      </w:pPr>
      <w:hyperlink w:history="1" r:id="rId31">
        <w:r w:rsidR="00C26477">
          <w:rPr>
            <w:rStyle w:val="Hyperlink"/>
            <w:b/>
            <w:i/>
            <w:sz w:val="32"/>
          </w:rPr>
          <w:t>Hogyan lehet támogatni a szociális gazdaság szervezeteit az állami támogatási szabályokkal összhangban: néhány gondolat az Enrico Letta által írt jelentésben található javaslatok nyomán</w:t>
        </w:r>
      </w:hyperlink>
    </w:p>
    <w:p w:rsidRPr="0060010D" w:rsidR="00BC6AA1" w:rsidRDefault="00BC6AA1" w14:paraId="1AF13DC1"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83"/>
        <w:gridCol w:w="7706"/>
      </w:tblGrid>
      <w:tr w:rsidRPr="00FA33C4" w:rsidR="009B04E2" w:rsidTr="0060010D" w14:paraId="6706979B" w14:textId="77777777">
        <w:trPr>
          <w:trHeight w:val="279"/>
        </w:trPr>
        <w:tc>
          <w:tcPr>
            <w:tcW w:w="821" w:type="pct"/>
          </w:tcPr>
          <w:p w:rsidRPr="00FA33C4" w:rsidR="009B04E2" w:rsidRDefault="009B04E2" w14:paraId="3F16C390" w14:textId="77777777">
            <w:pPr>
              <w:tabs>
                <w:tab w:val="center" w:pos="284"/>
              </w:tabs>
              <w:overflowPunct w:val="0"/>
              <w:autoSpaceDE w:val="0"/>
              <w:autoSpaceDN w:val="0"/>
              <w:adjustRightInd w:val="0"/>
              <w:ind w:left="266" w:hanging="266"/>
              <w:textAlignment w:val="baseline"/>
              <w:rPr>
                <w:b/>
                <w:sz w:val="20"/>
                <w:szCs w:val="20"/>
              </w:rPr>
            </w:pPr>
            <w:r>
              <w:rPr>
                <w:b/>
                <w:sz w:val="20"/>
              </w:rPr>
              <w:t>Előadó</w:t>
            </w:r>
          </w:p>
        </w:tc>
        <w:tc>
          <w:tcPr>
            <w:tcW w:w="4179" w:type="pct"/>
          </w:tcPr>
          <w:p w:rsidRPr="00FA33C4" w:rsidR="009B04E2" w:rsidRDefault="009B04E2" w14:paraId="67594706" w14:textId="3DC6F31E">
            <w:pPr>
              <w:tabs>
                <w:tab w:val="center" w:pos="284"/>
              </w:tabs>
              <w:overflowPunct w:val="0"/>
              <w:autoSpaceDE w:val="0"/>
              <w:autoSpaceDN w:val="0"/>
              <w:adjustRightInd w:val="0"/>
              <w:ind w:left="266" w:hanging="266"/>
              <w:jc w:val="left"/>
              <w:textAlignment w:val="baseline"/>
              <w:rPr>
                <w:bCs/>
                <w:sz w:val="20"/>
                <w:szCs w:val="20"/>
              </w:rPr>
            </w:pPr>
            <w:r>
              <w:rPr>
                <w:sz w:val="20"/>
              </w:rPr>
              <w:t>Giuseppe GUERINI (Civil társadalmi szervezetek/IT)</w:t>
            </w:r>
          </w:p>
        </w:tc>
      </w:tr>
      <w:tr w:rsidRPr="00FA33C4" w:rsidR="009B04E2" w:rsidTr="0060010D" w14:paraId="3E8AE26E" w14:textId="77777777">
        <w:trPr>
          <w:trHeight w:val="165"/>
        </w:trPr>
        <w:tc>
          <w:tcPr>
            <w:tcW w:w="5000" w:type="pct"/>
            <w:gridSpan w:val="2"/>
          </w:tcPr>
          <w:p w:rsidRPr="00FA33C4" w:rsidR="009B04E2" w:rsidP="0060010D" w:rsidRDefault="009B04E2" w14:paraId="02F2FAC4" w14:textId="77777777">
            <w:pPr>
              <w:tabs>
                <w:tab w:val="center" w:pos="284"/>
              </w:tabs>
              <w:overflowPunct w:val="0"/>
              <w:autoSpaceDE w:val="0"/>
              <w:autoSpaceDN w:val="0"/>
              <w:adjustRightInd w:val="0"/>
              <w:ind w:left="266" w:hanging="266"/>
              <w:textAlignment w:val="baseline"/>
              <w:rPr>
                <w:sz w:val="20"/>
                <w:szCs w:val="20"/>
              </w:rPr>
            </w:pPr>
          </w:p>
        </w:tc>
      </w:tr>
      <w:tr w:rsidRPr="00FA33C4" w:rsidR="009B04E2" w:rsidTr="0060010D" w14:paraId="461881DC" w14:textId="77777777">
        <w:trPr>
          <w:trHeight w:val="500"/>
        </w:trPr>
        <w:tc>
          <w:tcPr>
            <w:tcW w:w="821" w:type="pct"/>
          </w:tcPr>
          <w:p w:rsidRPr="00FA33C4" w:rsidR="009B04E2" w:rsidRDefault="009B04E2" w14:paraId="711D7CC3"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4179" w:type="pct"/>
          </w:tcPr>
          <w:p w:rsidRPr="00FA33C4" w:rsidR="009B04E2" w:rsidRDefault="009B04E2" w14:paraId="13483DC7" w14:textId="77777777">
            <w:pPr>
              <w:tabs>
                <w:tab w:val="center" w:pos="284"/>
              </w:tabs>
              <w:overflowPunct w:val="0"/>
              <w:autoSpaceDE w:val="0"/>
              <w:autoSpaceDN w:val="0"/>
              <w:adjustRightInd w:val="0"/>
              <w:ind w:left="266" w:hanging="266"/>
              <w:textAlignment w:val="baseline"/>
              <w:rPr>
                <w:sz w:val="20"/>
                <w:szCs w:val="20"/>
              </w:rPr>
            </w:pPr>
            <w:r>
              <w:rPr>
                <w:sz w:val="20"/>
              </w:rPr>
              <w:t>saját kezdeményezésű vélemény</w:t>
            </w:r>
          </w:p>
          <w:p w:rsidRPr="00FA33C4" w:rsidR="009B04E2" w:rsidRDefault="009B04E2" w14:paraId="5576B55D" w14:textId="77777777">
            <w:pPr>
              <w:tabs>
                <w:tab w:val="center" w:pos="284"/>
              </w:tabs>
              <w:overflowPunct w:val="0"/>
              <w:autoSpaceDE w:val="0"/>
              <w:autoSpaceDN w:val="0"/>
              <w:adjustRightInd w:val="0"/>
              <w:ind w:left="266" w:hanging="266"/>
              <w:textAlignment w:val="baseline"/>
              <w:rPr>
                <w:sz w:val="20"/>
                <w:szCs w:val="20"/>
              </w:rPr>
            </w:pPr>
            <w:r>
              <w:rPr>
                <w:sz w:val="20"/>
              </w:rPr>
              <w:t>EESC-2024-03043-00-00-AC</w:t>
            </w:r>
          </w:p>
        </w:tc>
      </w:tr>
    </w:tbl>
    <w:p w:rsidR="00726351" w:rsidRDefault="00726351" w14:paraId="10731C32" w14:textId="77777777">
      <w:pPr>
        <w:keepNext/>
        <w:keepLines/>
        <w:tabs>
          <w:tab w:val="center" w:pos="284"/>
        </w:tabs>
        <w:overflowPunct w:val="0"/>
        <w:autoSpaceDE w:val="0"/>
        <w:autoSpaceDN w:val="0"/>
        <w:adjustRightInd w:val="0"/>
        <w:ind w:left="266" w:hanging="266"/>
        <w:textAlignment w:val="baseline"/>
        <w:rPr>
          <w:b/>
          <w:lang w:val="en-GB"/>
        </w:rPr>
      </w:pPr>
    </w:p>
    <w:p w:rsidRPr="009B04E2" w:rsidR="009B04E2" w:rsidRDefault="009B04E2" w14:paraId="56A16D26" w14:textId="6324A8F8">
      <w:pPr>
        <w:keepNext/>
        <w:keepLines/>
        <w:tabs>
          <w:tab w:val="center" w:pos="284"/>
        </w:tabs>
        <w:overflowPunct w:val="0"/>
        <w:autoSpaceDE w:val="0"/>
        <w:autoSpaceDN w:val="0"/>
        <w:adjustRightInd w:val="0"/>
        <w:ind w:left="266" w:hanging="266"/>
        <w:textAlignment w:val="baseline"/>
        <w:rPr>
          <w:b/>
        </w:rPr>
      </w:pPr>
      <w:r>
        <w:rPr>
          <w:b/>
        </w:rPr>
        <w:t>Főbb pontok</w:t>
      </w:r>
    </w:p>
    <w:p w:rsidRPr="009B04E2" w:rsidR="009B04E2" w:rsidRDefault="009B04E2" w14:paraId="09E53714"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9B04E2" w:rsidR="009B04E2" w:rsidRDefault="009B04E2" w14:paraId="397EBFCD" w14:textId="77777777">
      <w:pPr>
        <w:overflowPunct w:val="0"/>
        <w:autoSpaceDE w:val="0"/>
        <w:autoSpaceDN w:val="0"/>
        <w:adjustRightInd w:val="0"/>
        <w:textAlignment w:val="baseline"/>
        <w:rPr>
          <w:bCs/>
          <w:iCs/>
        </w:rPr>
      </w:pPr>
      <w:r>
        <w:t>Az EGSZB:</w:t>
      </w:r>
    </w:p>
    <w:p w:rsidRPr="009B04E2" w:rsidR="009B04E2" w:rsidP="0060010D" w:rsidRDefault="009B04E2" w14:paraId="279BECB5" w14:textId="77777777">
      <w:pPr>
        <w:widowControl w:val="0"/>
        <w:numPr>
          <w:ilvl w:val="0"/>
          <w:numId w:val="36"/>
        </w:numPr>
        <w:overflowPunct w:val="0"/>
        <w:autoSpaceDE w:val="0"/>
        <w:autoSpaceDN w:val="0"/>
        <w:adjustRightInd w:val="0"/>
        <w:ind w:left="567" w:hanging="567"/>
        <w:textAlignment w:val="baseline"/>
        <w:rPr>
          <w:bCs/>
          <w:iCs/>
        </w:rPr>
      </w:pPr>
      <w:r>
        <w:t>hangsúlyozza, hogy mennyire fontos a szociális gazdasági szervezetek – amelyek gyakran korábban az állam által ellátott feladatokat látnak el és szerepeket töltenek be – erőteljes állami támogatásának szükségességét összehangolni az állami támogatásokra vonatkozó európai szabályokkal,</w:t>
      </w:r>
    </w:p>
    <w:p w:rsidRPr="009B04E2" w:rsidR="009B04E2" w:rsidP="0060010D" w:rsidRDefault="009B04E2" w14:paraId="23D4912E" w14:textId="77777777">
      <w:pPr>
        <w:widowControl w:val="0"/>
        <w:numPr>
          <w:ilvl w:val="0"/>
          <w:numId w:val="36"/>
        </w:numPr>
        <w:overflowPunct w:val="0"/>
        <w:autoSpaceDE w:val="0"/>
        <w:autoSpaceDN w:val="0"/>
        <w:adjustRightInd w:val="0"/>
        <w:ind w:left="567" w:hanging="567"/>
        <w:textAlignment w:val="baseline"/>
        <w:rPr>
          <w:bCs/>
          <w:iCs/>
        </w:rPr>
      </w:pPr>
      <w:r>
        <w:t>hangsúlyozza a szociális gazdasági szervezetek fontosságát az európaiak szociális igényeire adott konkrét válaszok biztosításában,</w:t>
      </w:r>
    </w:p>
    <w:p w:rsidRPr="009B04E2" w:rsidR="009B04E2" w:rsidP="0060010D" w:rsidRDefault="009B04E2" w14:paraId="2CD258BF" w14:textId="77777777">
      <w:pPr>
        <w:widowControl w:val="0"/>
        <w:numPr>
          <w:ilvl w:val="0"/>
          <w:numId w:val="36"/>
        </w:numPr>
        <w:overflowPunct w:val="0"/>
        <w:autoSpaceDE w:val="0"/>
        <w:autoSpaceDN w:val="0"/>
        <w:adjustRightInd w:val="0"/>
        <w:ind w:left="567" w:hanging="567"/>
        <w:textAlignment w:val="baseline"/>
        <w:rPr>
          <w:bCs/>
          <w:iCs/>
        </w:rPr>
      </w:pPr>
      <w:r>
        <w:t>megjegyzi, hogy számos esetben és számos szituációban a szociális gazdasági szervezetek tevékenysége olyannyira szolidaritási alapon zajlik, hogy az kívül esik a gazdasági tevékenység fogalmán. Ugyanakkor számos esetben e szervezetek egészségügyi és szociális tevékenységeinek határokon átnyúló jellegét marginálisnak és olyan mértékűnek kell tekinteni, amely nem sérti lényegesen a tagállamok közötti versenyt,</w:t>
      </w:r>
    </w:p>
    <w:p w:rsidRPr="009B04E2" w:rsidR="009B04E2" w:rsidP="0060010D" w:rsidRDefault="009B04E2" w14:paraId="1CA3525C" w14:textId="77777777">
      <w:pPr>
        <w:widowControl w:val="0"/>
        <w:numPr>
          <w:ilvl w:val="0"/>
          <w:numId w:val="36"/>
        </w:numPr>
        <w:overflowPunct w:val="0"/>
        <w:autoSpaceDE w:val="0"/>
        <w:autoSpaceDN w:val="0"/>
        <w:adjustRightInd w:val="0"/>
        <w:ind w:left="567" w:hanging="567"/>
        <w:textAlignment w:val="baseline"/>
        <w:rPr>
          <w:bCs/>
          <w:iCs/>
        </w:rPr>
      </w:pPr>
      <w:r>
        <w:t>úgy véli, hogy meg kell erősíteni és egyszerűsíteni kell az általános csoportmentességi rendeletben meghatározott, a hátrányos helyzetű vagy megváltozott munkaképességű munkavállalók felvételéhez nyújtott funkcionális támogatásra vonatkozó szabályokat,</w:t>
      </w:r>
    </w:p>
    <w:p w:rsidRPr="009B04E2" w:rsidR="009B04E2" w:rsidP="0060010D" w:rsidRDefault="009B04E2" w14:paraId="409B4506" w14:textId="77777777">
      <w:pPr>
        <w:widowControl w:val="0"/>
        <w:numPr>
          <w:ilvl w:val="0"/>
          <w:numId w:val="36"/>
        </w:numPr>
        <w:overflowPunct w:val="0"/>
        <w:autoSpaceDE w:val="0"/>
        <w:autoSpaceDN w:val="0"/>
        <w:adjustRightInd w:val="0"/>
        <w:ind w:left="567" w:hanging="567"/>
        <w:textAlignment w:val="baseline"/>
        <w:rPr>
          <w:bCs/>
          <w:iCs/>
        </w:rPr>
      </w:pPr>
      <w:r>
        <w:t>üdvözli továbbá a Letta-jelentésben szereplő azon további javaslatot, amely szerint az állami támogatásokra vonatkozó jelenlegi jogi keretet a szociális vállalkozások hitelhez és finanszírozáshoz való jobb hozzáférése érdekében ki kell igazítani,</w:t>
      </w:r>
    </w:p>
    <w:p w:rsidRPr="009B04E2" w:rsidR="009B04E2" w:rsidP="0060010D" w:rsidRDefault="009B04E2" w14:paraId="1FB3DA76" w14:textId="77777777">
      <w:pPr>
        <w:widowControl w:val="0"/>
        <w:numPr>
          <w:ilvl w:val="0"/>
          <w:numId w:val="36"/>
        </w:numPr>
        <w:overflowPunct w:val="0"/>
        <w:autoSpaceDE w:val="0"/>
        <w:autoSpaceDN w:val="0"/>
        <w:adjustRightInd w:val="0"/>
        <w:ind w:left="567" w:hanging="567"/>
        <w:textAlignment w:val="baseline"/>
        <w:rPr>
          <w:bCs/>
          <w:iCs/>
        </w:rPr>
      </w:pPr>
      <w:r>
        <w:t>megjegyzi, hogy a hatóságok nem használják ki megfelelően az általános gazdasági érdekű szolgáltatások támogatására vonatkozó jogi keretet,</w:t>
      </w:r>
    </w:p>
    <w:p w:rsidRPr="009B04E2" w:rsidR="009B04E2" w:rsidP="0060010D" w:rsidRDefault="009B04E2" w14:paraId="51D0AE31" w14:textId="77777777">
      <w:pPr>
        <w:widowControl w:val="0"/>
        <w:numPr>
          <w:ilvl w:val="0"/>
          <w:numId w:val="36"/>
        </w:numPr>
        <w:overflowPunct w:val="0"/>
        <w:autoSpaceDE w:val="0"/>
        <w:autoSpaceDN w:val="0"/>
        <w:adjustRightInd w:val="0"/>
        <w:ind w:left="567" w:hanging="567"/>
        <w:textAlignment w:val="baseline"/>
        <w:rPr>
          <w:bCs/>
          <w:iCs/>
        </w:rPr>
      </w:pPr>
      <w:r>
        <w:t>üdvözli a következő Európai Bizottság politikai iránymutatásaiban tett bejelentést, amely megállapítja: „emellett felül fogjuk vizsgálni az állami támogatási szabályainkat annak érdekében, hogy lehetővé tegyük a lakhatást támogató intézkedéseket, elsősorban a megfizethető, energiahatékony és szociális lakások esetében”,</w:t>
      </w:r>
    </w:p>
    <w:p w:rsidRPr="009B04E2" w:rsidR="009B04E2" w:rsidP="0060010D" w:rsidRDefault="009B04E2" w14:paraId="4DB77906" w14:textId="77777777">
      <w:pPr>
        <w:widowControl w:val="0"/>
        <w:numPr>
          <w:ilvl w:val="0"/>
          <w:numId w:val="36"/>
        </w:numPr>
        <w:overflowPunct w:val="0"/>
        <w:autoSpaceDE w:val="0"/>
        <w:autoSpaceDN w:val="0"/>
        <w:adjustRightInd w:val="0"/>
        <w:ind w:left="567" w:hanging="567"/>
        <w:textAlignment w:val="baseline"/>
        <w:rPr>
          <w:bCs/>
          <w:iCs/>
        </w:rPr>
      </w:pPr>
      <w:r>
        <w:t>sürgeti az Európai Bizottságot, hogy folytassa a szociális gazdaságra vonatkozó cselekvési terv végrehajtására irányuló erőfeszítéseit, ahogyan azt a szociális gazdaságra vonatkozó liège-i ütemterv részletezi, és kéri, hogy az új biztosi testület egyik biztosának feladata legyen a végrehajtás koordinálása.</w:t>
      </w:r>
    </w:p>
    <w:p w:rsidRPr="009B04E2" w:rsidR="009B04E2" w:rsidRDefault="009B04E2" w14:paraId="12AAB240"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9B04E2" w:rsidTr="0060010D" w14:paraId="06061533" w14:textId="77777777">
        <w:tc>
          <w:tcPr>
            <w:tcW w:w="1090" w:type="pct"/>
          </w:tcPr>
          <w:p w:rsidRPr="00FA33C4" w:rsidR="009B04E2" w:rsidP="0060010D" w:rsidRDefault="009B04E2" w14:paraId="3984F746" w14:textId="77777777">
            <w:pPr>
              <w:overflowPunct w:val="0"/>
              <w:autoSpaceDE w:val="0"/>
              <w:autoSpaceDN w:val="0"/>
              <w:adjustRightInd w:val="0"/>
              <w:textAlignment w:val="baseline"/>
              <w:rPr>
                <w:i/>
                <w:sz w:val="20"/>
                <w:szCs w:val="20"/>
              </w:rPr>
            </w:pPr>
            <w:r>
              <w:rPr>
                <w:b/>
                <w:i/>
                <w:sz w:val="20"/>
              </w:rPr>
              <w:t>Kapcsolattartó:</w:t>
            </w:r>
          </w:p>
        </w:tc>
        <w:tc>
          <w:tcPr>
            <w:tcW w:w="3910" w:type="pct"/>
          </w:tcPr>
          <w:p w:rsidRPr="00FA33C4" w:rsidR="009B04E2" w:rsidP="0060010D" w:rsidRDefault="009B04E2" w14:paraId="3D0F10D8" w14:textId="77777777">
            <w:pPr>
              <w:overflowPunct w:val="0"/>
              <w:autoSpaceDE w:val="0"/>
              <w:autoSpaceDN w:val="0"/>
              <w:adjustRightInd w:val="0"/>
              <w:textAlignment w:val="baseline"/>
              <w:rPr>
                <w:i/>
                <w:sz w:val="20"/>
                <w:szCs w:val="20"/>
              </w:rPr>
            </w:pPr>
            <w:r>
              <w:rPr>
                <w:i/>
                <w:sz w:val="20"/>
              </w:rPr>
              <w:t>Annalisa Tessarolo</w:t>
            </w:r>
          </w:p>
        </w:tc>
      </w:tr>
      <w:tr w:rsidRPr="00FA33C4" w:rsidR="009B04E2" w:rsidTr="0060010D" w14:paraId="6F2C0004" w14:textId="77777777">
        <w:tc>
          <w:tcPr>
            <w:tcW w:w="1090" w:type="pct"/>
          </w:tcPr>
          <w:p w:rsidRPr="00FA33C4" w:rsidR="009B04E2" w:rsidP="0060010D" w:rsidRDefault="009B04E2" w14:paraId="3267FA21" w14:textId="77777777">
            <w:pPr>
              <w:overflowPunct w:val="0"/>
              <w:autoSpaceDE w:val="0"/>
              <w:autoSpaceDN w:val="0"/>
              <w:adjustRightInd w:val="0"/>
              <w:textAlignment w:val="baseline"/>
              <w:rPr>
                <w:i/>
                <w:sz w:val="20"/>
                <w:szCs w:val="20"/>
              </w:rPr>
            </w:pPr>
            <w:r>
              <w:rPr>
                <w:i/>
                <w:sz w:val="20"/>
              </w:rPr>
              <w:t>Tel.:</w:t>
            </w:r>
          </w:p>
        </w:tc>
        <w:tc>
          <w:tcPr>
            <w:tcW w:w="3910" w:type="pct"/>
          </w:tcPr>
          <w:p w:rsidRPr="00FA33C4" w:rsidR="009B04E2" w:rsidP="0060010D" w:rsidRDefault="009B04E2" w14:paraId="59F38B18" w14:textId="77777777">
            <w:pPr>
              <w:overflowPunct w:val="0"/>
              <w:autoSpaceDE w:val="0"/>
              <w:autoSpaceDN w:val="0"/>
              <w:adjustRightInd w:val="0"/>
              <w:textAlignment w:val="baseline"/>
              <w:rPr>
                <w:i/>
                <w:sz w:val="20"/>
                <w:szCs w:val="20"/>
              </w:rPr>
            </w:pPr>
            <w:r>
              <w:rPr>
                <w:i/>
                <w:sz w:val="20"/>
              </w:rPr>
              <w:t>+32 25469732</w:t>
            </w:r>
          </w:p>
        </w:tc>
      </w:tr>
      <w:tr w:rsidRPr="00FA33C4" w:rsidR="009B04E2" w:rsidTr="0060010D" w14:paraId="20290266" w14:textId="77777777">
        <w:tc>
          <w:tcPr>
            <w:tcW w:w="1090" w:type="pct"/>
          </w:tcPr>
          <w:p w:rsidRPr="00FA33C4" w:rsidR="009B04E2" w:rsidP="0060010D" w:rsidRDefault="00BD6AD8" w14:paraId="060993AA" w14:textId="14698F1B">
            <w:pPr>
              <w:overflowPunct w:val="0"/>
              <w:autoSpaceDE w:val="0"/>
              <w:autoSpaceDN w:val="0"/>
              <w:adjustRightInd w:val="0"/>
              <w:textAlignment w:val="baseline"/>
              <w:rPr>
                <w:i/>
                <w:sz w:val="20"/>
                <w:szCs w:val="20"/>
              </w:rPr>
            </w:pPr>
            <w:r>
              <w:rPr>
                <w:i/>
                <w:sz w:val="20"/>
              </w:rPr>
              <w:t>E-mail:</w:t>
            </w:r>
          </w:p>
        </w:tc>
        <w:tc>
          <w:tcPr>
            <w:tcW w:w="3910" w:type="pct"/>
          </w:tcPr>
          <w:p w:rsidRPr="00FA33C4" w:rsidR="009B04E2" w:rsidP="0060010D" w:rsidRDefault="00F1338F" w14:paraId="38729E20" w14:textId="77777777">
            <w:pPr>
              <w:overflowPunct w:val="0"/>
              <w:autoSpaceDE w:val="0"/>
              <w:autoSpaceDN w:val="0"/>
              <w:adjustRightInd w:val="0"/>
              <w:textAlignment w:val="baseline"/>
              <w:rPr>
                <w:i/>
                <w:sz w:val="20"/>
                <w:szCs w:val="20"/>
              </w:rPr>
            </w:pPr>
            <w:hyperlink w:history="1" r:id="rId32">
              <w:r w:rsidR="00465FCD">
                <w:rPr>
                  <w:i/>
                  <w:color w:val="0000FF"/>
                  <w:sz w:val="20"/>
                  <w:u w:val="single"/>
                </w:rPr>
                <w:t>Annalisa.Tessarolo@eesc.europa.eu</w:t>
              </w:r>
            </w:hyperlink>
          </w:p>
        </w:tc>
      </w:tr>
    </w:tbl>
    <w:p w:rsidR="004D7AC0" w:rsidRDefault="004D7AC0" w14:paraId="46687114" w14:textId="6265E3D5">
      <w:pPr>
        <w:pStyle w:val="ListParagraph"/>
        <w:ind w:left="0"/>
        <w:rPr>
          <w:lang w:val="en-GB"/>
        </w:rPr>
      </w:pPr>
    </w:p>
    <w:p w:rsidR="00EE160A" w:rsidRDefault="00EE160A" w14:paraId="79E24043" w14:textId="77C83B07">
      <w:pPr>
        <w:pStyle w:val="ListParagraph"/>
        <w:ind w:left="0"/>
        <w:rPr>
          <w:lang w:val="en-GB"/>
        </w:rPr>
      </w:pPr>
    </w:p>
    <w:p w:rsidRPr="00EE160A" w:rsidR="00EE160A" w:rsidP="00EE160A" w:rsidRDefault="00F1338F" w14:paraId="578D82F0" w14:textId="1E2EC8F7">
      <w:pPr>
        <w:pStyle w:val="ListParagraph"/>
        <w:numPr>
          <w:ilvl w:val="0"/>
          <w:numId w:val="53"/>
        </w:numPr>
        <w:ind w:left="567" w:hanging="567"/>
        <w:rPr>
          <w:b/>
          <w:bCs/>
          <w:i/>
          <w:iCs/>
          <w:sz w:val="32"/>
          <w:szCs w:val="32"/>
        </w:rPr>
      </w:pPr>
      <w:hyperlink w:history="1" r:id="rId33">
        <w:r w:rsidR="00C26477">
          <w:rPr>
            <w:rStyle w:val="Hyperlink"/>
            <w:b/>
            <w:i/>
            <w:sz w:val="32"/>
          </w:rPr>
          <w:t>Versenypolitika az EU versenyképességének középpontjában</w:t>
        </w:r>
      </w:hyperlink>
    </w:p>
    <w:p w:rsidR="00EE160A" w:rsidRDefault="00EE160A" w14:paraId="71324E36" w14:textId="77777777">
      <w:pPr>
        <w:pStyle w:val="ListParagraph"/>
        <w:ind w:left="0"/>
        <w:rPr>
          <w:lang w:val="en-GB"/>
        </w:rPr>
      </w:pPr>
    </w:p>
    <w:tbl>
      <w:tblPr>
        <w:tblW w:w="5000" w:type="pct"/>
        <w:tblLook w:val="04A0" w:firstRow="1" w:lastRow="0" w:firstColumn="1" w:lastColumn="0" w:noHBand="0" w:noVBand="1"/>
      </w:tblPr>
      <w:tblGrid>
        <w:gridCol w:w="2025"/>
        <w:gridCol w:w="7264"/>
      </w:tblGrid>
      <w:tr w:rsidRPr="00FA33C4" w:rsidR="00B8503F" w:rsidTr="0060010D" w14:paraId="6B4D5454" w14:textId="77777777">
        <w:tc>
          <w:tcPr>
            <w:tcW w:w="1090" w:type="pct"/>
          </w:tcPr>
          <w:p w:rsidRPr="00FA33C4" w:rsidR="00B8503F" w:rsidRDefault="00B8503F" w14:paraId="6C58656A" w14:textId="77777777">
            <w:pPr>
              <w:tabs>
                <w:tab w:val="center" w:pos="284"/>
              </w:tabs>
              <w:overflowPunct w:val="0"/>
              <w:autoSpaceDE w:val="0"/>
              <w:autoSpaceDN w:val="0"/>
              <w:adjustRightInd w:val="0"/>
              <w:ind w:left="266" w:hanging="266"/>
              <w:textAlignment w:val="baseline"/>
              <w:rPr>
                <w:b/>
                <w:sz w:val="20"/>
                <w:szCs w:val="20"/>
              </w:rPr>
            </w:pPr>
            <w:r>
              <w:rPr>
                <w:b/>
                <w:sz w:val="20"/>
              </w:rPr>
              <w:t>Előadó:</w:t>
            </w:r>
          </w:p>
        </w:tc>
        <w:tc>
          <w:tcPr>
            <w:tcW w:w="3910" w:type="pct"/>
          </w:tcPr>
          <w:p w:rsidRPr="00FA33C4" w:rsidR="00B8503F" w:rsidRDefault="00B8503F" w14:paraId="16378746" w14:textId="15A4AD8B">
            <w:pPr>
              <w:tabs>
                <w:tab w:val="center" w:pos="284"/>
              </w:tabs>
              <w:overflowPunct w:val="0"/>
              <w:autoSpaceDE w:val="0"/>
              <w:autoSpaceDN w:val="0"/>
              <w:adjustRightInd w:val="0"/>
              <w:ind w:left="266" w:hanging="266"/>
              <w:textAlignment w:val="baseline"/>
              <w:rPr>
                <w:sz w:val="20"/>
                <w:szCs w:val="20"/>
              </w:rPr>
            </w:pPr>
            <w:r>
              <w:rPr>
                <w:sz w:val="20"/>
              </w:rPr>
              <w:t>Isabel YGLESIAS (Munkáltatók/ES)</w:t>
            </w:r>
          </w:p>
        </w:tc>
      </w:tr>
      <w:tr w:rsidRPr="00FA33C4" w:rsidR="00B8503F" w:rsidTr="0060010D" w14:paraId="4275B663" w14:textId="77777777">
        <w:tc>
          <w:tcPr>
            <w:tcW w:w="5000" w:type="pct"/>
            <w:gridSpan w:val="2"/>
          </w:tcPr>
          <w:p w:rsidRPr="00FA33C4" w:rsidR="00B8503F" w:rsidP="0060010D" w:rsidRDefault="00B8503F" w14:paraId="10A91ACC" w14:textId="77777777">
            <w:pPr>
              <w:tabs>
                <w:tab w:val="center" w:pos="284"/>
              </w:tabs>
              <w:overflowPunct w:val="0"/>
              <w:autoSpaceDE w:val="0"/>
              <w:autoSpaceDN w:val="0"/>
              <w:adjustRightInd w:val="0"/>
              <w:ind w:left="266" w:hanging="266"/>
              <w:textAlignment w:val="baseline"/>
              <w:rPr>
                <w:sz w:val="20"/>
                <w:szCs w:val="20"/>
              </w:rPr>
            </w:pPr>
          </w:p>
        </w:tc>
      </w:tr>
      <w:tr w:rsidRPr="00FA33C4" w:rsidR="00B8503F" w:rsidTr="0060010D" w14:paraId="3DC3FE49" w14:textId="77777777">
        <w:tc>
          <w:tcPr>
            <w:tcW w:w="1090" w:type="pct"/>
            <w:vMerge w:val="restart"/>
          </w:tcPr>
          <w:p w:rsidRPr="00FA33C4" w:rsidR="00B8503F" w:rsidRDefault="00B8503F" w14:paraId="38E2C93C"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3910" w:type="pct"/>
          </w:tcPr>
          <w:p w:rsidRPr="00FA33C4" w:rsidR="00B8503F" w:rsidRDefault="00B8503F" w14:paraId="6F4ED165" w14:textId="77777777">
            <w:pPr>
              <w:tabs>
                <w:tab w:val="center" w:pos="284"/>
              </w:tabs>
              <w:overflowPunct w:val="0"/>
              <w:autoSpaceDE w:val="0"/>
              <w:autoSpaceDN w:val="0"/>
              <w:adjustRightInd w:val="0"/>
              <w:ind w:left="266" w:hanging="266"/>
              <w:textAlignment w:val="baseline"/>
              <w:rPr>
                <w:sz w:val="20"/>
                <w:szCs w:val="20"/>
              </w:rPr>
            </w:pPr>
            <w:r>
              <w:rPr>
                <w:sz w:val="20"/>
              </w:rPr>
              <w:t>Saját kezdeményezésű vélemény</w:t>
            </w:r>
          </w:p>
        </w:tc>
      </w:tr>
      <w:tr w:rsidRPr="00FA33C4" w:rsidR="00B8503F" w:rsidTr="0060010D" w14:paraId="061DD36D" w14:textId="77777777">
        <w:tc>
          <w:tcPr>
            <w:tcW w:w="1090" w:type="pct"/>
            <w:vMerge/>
          </w:tcPr>
          <w:p w:rsidRPr="00FA33C4" w:rsidR="00B8503F" w:rsidRDefault="00B8503F" w14:paraId="22FF1442" w14:textId="77777777">
            <w:pPr>
              <w:tabs>
                <w:tab w:val="center" w:pos="284"/>
              </w:tabs>
              <w:overflowPunct w:val="0"/>
              <w:autoSpaceDE w:val="0"/>
              <w:autoSpaceDN w:val="0"/>
              <w:adjustRightInd w:val="0"/>
              <w:ind w:left="266" w:hanging="266"/>
              <w:textAlignment w:val="baseline"/>
              <w:rPr>
                <w:b/>
                <w:sz w:val="20"/>
                <w:szCs w:val="20"/>
              </w:rPr>
            </w:pPr>
          </w:p>
        </w:tc>
        <w:tc>
          <w:tcPr>
            <w:tcW w:w="3910" w:type="pct"/>
          </w:tcPr>
          <w:p w:rsidRPr="00FA33C4" w:rsidR="00B8503F" w:rsidRDefault="00B8503F" w14:paraId="2EB8E45F" w14:textId="77777777">
            <w:pPr>
              <w:tabs>
                <w:tab w:val="center" w:pos="284"/>
              </w:tabs>
              <w:overflowPunct w:val="0"/>
              <w:autoSpaceDE w:val="0"/>
              <w:autoSpaceDN w:val="0"/>
              <w:adjustRightInd w:val="0"/>
              <w:ind w:left="266" w:hanging="266"/>
              <w:textAlignment w:val="baseline"/>
              <w:rPr>
                <w:sz w:val="20"/>
                <w:szCs w:val="20"/>
              </w:rPr>
            </w:pPr>
            <w:r>
              <w:rPr>
                <w:sz w:val="20"/>
              </w:rPr>
              <w:t>EESC-2024-01027-00-00-AC</w:t>
            </w:r>
          </w:p>
        </w:tc>
      </w:tr>
    </w:tbl>
    <w:p w:rsidRPr="00B8503F" w:rsidR="00B8503F" w:rsidRDefault="00B8503F" w14:paraId="4144B7F1" w14:textId="77777777">
      <w:pPr>
        <w:tabs>
          <w:tab w:val="center" w:pos="284"/>
        </w:tabs>
        <w:overflowPunct w:val="0"/>
        <w:autoSpaceDE w:val="0"/>
        <w:autoSpaceDN w:val="0"/>
        <w:adjustRightInd w:val="0"/>
        <w:ind w:left="266" w:hanging="266"/>
        <w:textAlignment w:val="baseline"/>
        <w:rPr>
          <w:lang w:val="en-GB"/>
        </w:rPr>
      </w:pPr>
    </w:p>
    <w:p w:rsidRPr="00B8503F" w:rsidR="00B8503F" w:rsidRDefault="00B8503F" w14:paraId="04516D00"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B8503F" w:rsidR="00B8503F" w:rsidRDefault="00B8503F" w14:paraId="42CF4150" w14:textId="77777777">
      <w:pPr>
        <w:keepNext/>
        <w:keepLines/>
        <w:tabs>
          <w:tab w:val="center" w:pos="284"/>
        </w:tabs>
        <w:overflowPunct w:val="0"/>
        <w:autoSpaceDE w:val="0"/>
        <w:autoSpaceDN w:val="0"/>
        <w:adjustRightInd w:val="0"/>
        <w:ind w:left="266" w:hanging="266"/>
        <w:textAlignment w:val="baseline"/>
        <w:rPr>
          <w:b/>
          <w:lang w:val="en-GB"/>
        </w:rPr>
      </w:pPr>
    </w:p>
    <w:p w:rsidR="00B8503F" w:rsidRDefault="00B8503F" w14:paraId="24096944" w14:textId="77777777">
      <w:pPr>
        <w:overflowPunct w:val="0"/>
        <w:autoSpaceDE w:val="0"/>
        <w:autoSpaceDN w:val="0"/>
        <w:adjustRightInd w:val="0"/>
        <w:textAlignment w:val="baseline"/>
        <w:rPr>
          <w:bCs/>
          <w:iCs/>
        </w:rPr>
      </w:pPr>
      <w:r>
        <w:t>Az EGSZB:</w:t>
      </w:r>
    </w:p>
    <w:p w:rsidRPr="00B8503F" w:rsidR="00B8503F" w:rsidP="0060010D" w:rsidRDefault="00B8503F" w14:paraId="181808F5" w14:textId="77777777">
      <w:pPr>
        <w:widowControl w:val="0"/>
        <w:numPr>
          <w:ilvl w:val="0"/>
          <w:numId w:val="37"/>
        </w:numPr>
        <w:overflowPunct w:val="0"/>
        <w:autoSpaceDE w:val="0"/>
        <w:autoSpaceDN w:val="0"/>
        <w:adjustRightInd w:val="0"/>
        <w:ind w:left="567" w:hanging="567"/>
        <w:textAlignment w:val="baseline"/>
      </w:pPr>
      <w:r>
        <w:t xml:space="preserve">hangsúlyozza, hogy az </w:t>
      </w:r>
      <w:r>
        <w:rPr>
          <w:b/>
        </w:rPr>
        <w:t>állami támogatás</w:t>
      </w:r>
      <w:r>
        <w:t xml:space="preserve"> képes megbízhatóan támogatni az uniós vállalkozásokat az átállásra irányuló erőfeszítéseikben, kihasználva az ennek a kollektív célnak az eléréséhez szükséges jelentős beruházásokat. </w:t>
      </w:r>
      <w:r>
        <w:rPr>
          <w:b/>
        </w:rPr>
        <w:t>Minél hatékonyabban kell felhasználni az állami támogatásokat – fokozva a továbbgyűrűző hatásokat és megerősítve az európai értékláncokat –</w:t>
      </w:r>
      <w:r>
        <w:t>, hogy el lehessen kerülni, hogy az állami támogatások tagállamok közötti szétszóródása negatív hatást gyakoroljon az EU versenyképességére,</w:t>
      </w:r>
    </w:p>
    <w:p w:rsidRPr="00B8503F" w:rsidR="00B8503F" w:rsidP="0060010D" w:rsidRDefault="00B8503F" w14:paraId="6D1C5BC5" w14:textId="77777777">
      <w:pPr>
        <w:widowControl w:val="0"/>
        <w:numPr>
          <w:ilvl w:val="0"/>
          <w:numId w:val="37"/>
        </w:numPr>
        <w:overflowPunct w:val="0"/>
        <w:autoSpaceDE w:val="0"/>
        <w:autoSpaceDN w:val="0"/>
        <w:adjustRightInd w:val="0"/>
        <w:ind w:left="567" w:hanging="567"/>
        <w:textAlignment w:val="baseline"/>
      </w:pPr>
      <w:r>
        <w:t xml:space="preserve">hangsúlyozza, hogy </w:t>
      </w:r>
      <w:r>
        <w:rPr>
          <w:b/>
        </w:rPr>
        <w:t>az összefonódások értékelése tovább fejlődhet annak érdekében, hogy figyelembe vegye azon piacok sajátos jellegét</w:t>
      </w:r>
      <w:r>
        <w:t>, ahol az infrastrukturális beruházások, az innováció vagy a fenntarthatóság döntő szerepet játszanak. Emellett olyan megoldást kell találni, amely lehetővé teszi az olyan innovációvezérelt összefonódások ellenőrzését, amelyek jelenleg nem tartoznak az Európai Bizottság összefonódás-ellenőrzési rendeletének küszöbértékei alá. Az összefonódásokat soha nem szabad a nemzeti érdekek védelmére használni, és az összefonódások elemzése során valamennyi érdekelt fél véleményét figyelembe kell venni,</w:t>
      </w:r>
    </w:p>
    <w:p w:rsidRPr="00B8503F" w:rsidR="00B8503F" w:rsidP="0060010D" w:rsidRDefault="00B8503F" w14:paraId="73F97A51" w14:textId="77777777">
      <w:pPr>
        <w:widowControl w:val="0"/>
        <w:numPr>
          <w:ilvl w:val="0"/>
          <w:numId w:val="37"/>
        </w:numPr>
        <w:overflowPunct w:val="0"/>
        <w:autoSpaceDE w:val="0"/>
        <w:autoSpaceDN w:val="0"/>
        <w:adjustRightInd w:val="0"/>
        <w:ind w:left="567" w:hanging="567"/>
        <w:textAlignment w:val="baseline"/>
      </w:pPr>
      <w:r>
        <w:t xml:space="preserve">azt javasolja, hogy a </w:t>
      </w:r>
      <w:r>
        <w:rPr>
          <w:b/>
        </w:rPr>
        <w:t>közös európai érdeket szolgáló fontos projektekre</w:t>
      </w:r>
      <w:r>
        <w:t xml:space="preserve"> vonatkozó szabályok felülvizsgálata során olyan, </w:t>
      </w:r>
      <w:r>
        <w:rPr>
          <w:b/>
        </w:rPr>
        <w:t>valódi európai megközelítést</w:t>
      </w:r>
      <w:r>
        <w:t xml:space="preserve"> alkalmazó eszközt építsenek ki, amely biztosítja, hogy ezek az eszközök valódi változást idézzenek elő, az Európai Versenyképességi Alapot pedig európai perspektívából kell megtervezni és alkalmazni,</w:t>
      </w:r>
    </w:p>
    <w:p w:rsidRPr="00B8503F" w:rsidR="00B8503F" w:rsidP="0060010D" w:rsidRDefault="00B8503F" w14:paraId="44D6690A" w14:textId="77777777">
      <w:pPr>
        <w:widowControl w:val="0"/>
        <w:numPr>
          <w:ilvl w:val="0"/>
          <w:numId w:val="37"/>
        </w:numPr>
        <w:overflowPunct w:val="0"/>
        <w:autoSpaceDE w:val="0"/>
        <w:autoSpaceDN w:val="0"/>
        <w:adjustRightInd w:val="0"/>
        <w:ind w:left="567" w:hanging="567"/>
        <w:textAlignment w:val="baseline"/>
      </w:pPr>
      <w:r>
        <w:t xml:space="preserve">rámutat, hogy a vállalkozásoknak láthatóságra és jogbiztonságra van szükségük. Miközben új versenyjogi megközelítéseket dolgoznak ki, további erőfeszítéseket kell tenni </w:t>
      </w:r>
      <w:r>
        <w:rPr>
          <w:b/>
        </w:rPr>
        <w:t>az antitrösztvizsgálatok, valamint az összefonódás-ellenőrzési és állami támogatási eljárások észszerűsítése és egyértelmű iránymutatások kidolgozása érdekében</w:t>
      </w:r>
      <w:r>
        <w:t>. Prioritásként kell kezelni az egységes piac elmélyítését szolgáló, már meglévő eszközökön alapuló megközelítést.</w:t>
      </w:r>
    </w:p>
    <w:p w:rsidRPr="00B8503F" w:rsidR="00B8503F" w:rsidRDefault="00B8503F" w14:paraId="708888F6" w14:textId="77777777">
      <w:pPr>
        <w:widowControl w:val="0"/>
        <w:overflowPunct w:val="0"/>
        <w:autoSpaceDE w:val="0"/>
        <w:autoSpaceDN w:val="0"/>
        <w:adjustRightInd w:val="0"/>
        <w:ind w:left="567" w:hanging="567"/>
        <w:textAlignment w:val="baseline"/>
        <w:rPr>
          <w:lang w:val="en-GB"/>
        </w:rPr>
      </w:pPr>
    </w:p>
    <w:tbl>
      <w:tblPr>
        <w:tblW w:w="4941" w:type="pct"/>
        <w:tblLook w:val="04A0" w:firstRow="1" w:lastRow="0" w:firstColumn="1" w:lastColumn="0" w:noHBand="0" w:noVBand="1"/>
      </w:tblPr>
      <w:tblGrid>
        <w:gridCol w:w="2032"/>
        <w:gridCol w:w="7147"/>
      </w:tblGrid>
      <w:tr w:rsidRPr="00FA33C4" w:rsidR="00B8503F" w:rsidTr="00FA33C4" w14:paraId="6322D817" w14:textId="77777777">
        <w:tc>
          <w:tcPr>
            <w:tcW w:w="1107" w:type="pct"/>
          </w:tcPr>
          <w:p w:rsidRPr="00FA33C4" w:rsidR="00B8503F" w:rsidP="0060010D" w:rsidRDefault="00B8503F" w14:paraId="40FB2786" w14:textId="77777777">
            <w:pPr>
              <w:overflowPunct w:val="0"/>
              <w:autoSpaceDE w:val="0"/>
              <w:autoSpaceDN w:val="0"/>
              <w:adjustRightInd w:val="0"/>
              <w:textAlignment w:val="baseline"/>
              <w:rPr>
                <w:i/>
                <w:sz w:val="20"/>
                <w:szCs w:val="20"/>
              </w:rPr>
            </w:pPr>
            <w:r>
              <w:rPr>
                <w:b/>
                <w:bCs/>
                <w:i/>
                <w:sz w:val="20"/>
              </w:rPr>
              <w:t>Kapcsolattartó:</w:t>
            </w:r>
          </w:p>
        </w:tc>
        <w:tc>
          <w:tcPr>
            <w:tcW w:w="3893" w:type="pct"/>
          </w:tcPr>
          <w:p w:rsidRPr="00FA33C4" w:rsidR="00B8503F" w:rsidP="0060010D" w:rsidRDefault="00B8503F" w14:paraId="7E2817B8" w14:textId="77777777">
            <w:pPr>
              <w:overflowPunct w:val="0"/>
              <w:autoSpaceDE w:val="0"/>
              <w:autoSpaceDN w:val="0"/>
              <w:adjustRightInd w:val="0"/>
              <w:textAlignment w:val="baseline"/>
              <w:rPr>
                <w:i/>
                <w:sz w:val="20"/>
                <w:szCs w:val="20"/>
              </w:rPr>
            </w:pPr>
            <w:r>
              <w:rPr>
                <w:i/>
                <w:sz w:val="20"/>
              </w:rPr>
              <w:t>Staffa Silvia</w:t>
            </w:r>
          </w:p>
        </w:tc>
      </w:tr>
      <w:tr w:rsidRPr="00FA33C4" w:rsidR="00B8503F" w:rsidTr="00FA33C4" w14:paraId="69EE4A34" w14:textId="77777777">
        <w:tc>
          <w:tcPr>
            <w:tcW w:w="1107" w:type="pct"/>
          </w:tcPr>
          <w:p w:rsidRPr="00FA33C4" w:rsidR="00B8503F" w:rsidP="0060010D" w:rsidRDefault="00B8503F" w14:paraId="4AC8DA13" w14:textId="77777777">
            <w:pPr>
              <w:overflowPunct w:val="0"/>
              <w:autoSpaceDE w:val="0"/>
              <w:autoSpaceDN w:val="0"/>
              <w:adjustRightInd w:val="0"/>
              <w:textAlignment w:val="baseline"/>
              <w:rPr>
                <w:i/>
                <w:sz w:val="20"/>
                <w:szCs w:val="20"/>
              </w:rPr>
            </w:pPr>
            <w:r>
              <w:rPr>
                <w:i/>
                <w:sz w:val="20"/>
              </w:rPr>
              <w:t>Tel.:</w:t>
            </w:r>
          </w:p>
        </w:tc>
        <w:tc>
          <w:tcPr>
            <w:tcW w:w="3893" w:type="pct"/>
          </w:tcPr>
          <w:p w:rsidRPr="00FA33C4" w:rsidR="00B8503F" w:rsidP="0060010D" w:rsidRDefault="00B8503F" w14:paraId="1662DE13" w14:textId="77777777">
            <w:pPr>
              <w:overflowPunct w:val="0"/>
              <w:autoSpaceDE w:val="0"/>
              <w:autoSpaceDN w:val="0"/>
              <w:adjustRightInd w:val="0"/>
              <w:textAlignment w:val="baseline"/>
              <w:rPr>
                <w:i/>
                <w:sz w:val="20"/>
                <w:szCs w:val="20"/>
              </w:rPr>
            </w:pPr>
            <w:r>
              <w:rPr>
                <w:i/>
                <w:sz w:val="20"/>
              </w:rPr>
              <w:t>+32 25468378</w:t>
            </w:r>
          </w:p>
        </w:tc>
      </w:tr>
      <w:tr w:rsidRPr="00FA33C4" w:rsidR="00B8503F" w:rsidTr="00FA33C4" w14:paraId="29EEA00D" w14:textId="77777777">
        <w:tc>
          <w:tcPr>
            <w:tcW w:w="1107" w:type="pct"/>
          </w:tcPr>
          <w:p w:rsidRPr="00FA33C4" w:rsidR="00B8503F" w:rsidP="0060010D" w:rsidRDefault="006C0A65" w14:paraId="75A19BC8" w14:textId="69A27546">
            <w:pPr>
              <w:overflowPunct w:val="0"/>
              <w:autoSpaceDE w:val="0"/>
              <w:autoSpaceDN w:val="0"/>
              <w:adjustRightInd w:val="0"/>
              <w:textAlignment w:val="baseline"/>
              <w:rPr>
                <w:i/>
                <w:sz w:val="20"/>
                <w:szCs w:val="20"/>
              </w:rPr>
            </w:pPr>
            <w:r>
              <w:rPr>
                <w:i/>
                <w:sz w:val="20"/>
              </w:rPr>
              <w:t>E-mail:</w:t>
            </w:r>
          </w:p>
        </w:tc>
        <w:tc>
          <w:tcPr>
            <w:tcW w:w="3893" w:type="pct"/>
          </w:tcPr>
          <w:p w:rsidRPr="00FA33C4" w:rsidR="00B8503F" w:rsidP="0060010D" w:rsidRDefault="00B8503F" w14:paraId="53E24144" w14:textId="77777777">
            <w:pPr>
              <w:overflowPunct w:val="0"/>
              <w:autoSpaceDE w:val="0"/>
              <w:autoSpaceDN w:val="0"/>
              <w:adjustRightInd w:val="0"/>
              <w:textAlignment w:val="baseline"/>
              <w:rPr>
                <w:i/>
                <w:sz w:val="20"/>
                <w:szCs w:val="20"/>
              </w:rPr>
            </w:pPr>
            <w:r>
              <w:rPr>
                <w:i/>
                <w:sz w:val="20"/>
              </w:rPr>
              <w:t>Silvia.Staffa@eesc.europa.eu</w:t>
            </w:r>
          </w:p>
        </w:tc>
      </w:tr>
    </w:tbl>
    <w:p w:rsidR="009B04E2" w:rsidP="0060010D" w:rsidRDefault="009B04E2" w14:paraId="4982DE1E" w14:textId="427EDE1A">
      <w:pPr>
        <w:jc w:val="left"/>
      </w:pPr>
      <w:r>
        <w:br w:type="page"/>
      </w:r>
    </w:p>
    <w:p w:rsidR="004D7AC0" w:rsidP="0060010D" w:rsidRDefault="004D7AC0" w14:paraId="4982DE1F" w14:textId="77777777">
      <w:pPr>
        <w:pStyle w:val="Heading1"/>
        <w:keepNext/>
        <w:keepLines/>
        <w:rPr>
          <w:b/>
        </w:rPr>
      </w:pPr>
      <w:bookmarkStart w:name="_Toc189059540" w:id="10"/>
      <w:bookmarkStart w:name="_Toc70322234" w:id="11"/>
      <w:bookmarkStart w:name="_Toc75527084" w:id="12"/>
      <w:bookmarkStart w:name="_Toc189560698" w:id="13"/>
      <w:bookmarkEnd w:id="10"/>
      <w:r>
        <w:rPr>
          <w:b/>
        </w:rPr>
        <w:t>MEZŐGAZDASÁG, VIDÉKFEJLESZTÉS ÉS KÖRNYEZETVÉDELEM</w:t>
      </w:r>
      <w:bookmarkEnd w:id="11"/>
      <w:bookmarkEnd w:id="12"/>
      <w:bookmarkEnd w:id="13"/>
    </w:p>
    <w:p w:rsidR="004D7AC0" w:rsidP="0060010D" w:rsidRDefault="004D7AC0" w14:paraId="4982DE20" w14:textId="77777777">
      <w:pPr>
        <w:keepNext/>
        <w:keepLines/>
      </w:pPr>
    </w:p>
    <w:p w:rsidRPr="00D24919" w:rsidR="00D24919" w:rsidP="0060010D" w:rsidRDefault="00F1338F" w14:paraId="3C73BBEB" w14:textId="03CD3A6D">
      <w:pPr>
        <w:keepNext/>
        <w:keepLines/>
        <w:widowControl w:val="0"/>
        <w:numPr>
          <w:ilvl w:val="0"/>
          <w:numId w:val="10"/>
        </w:numPr>
        <w:overflowPunct w:val="0"/>
        <w:autoSpaceDE w:val="0"/>
        <w:autoSpaceDN w:val="0"/>
        <w:adjustRightInd w:val="0"/>
        <w:ind w:left="567" w:hanging="567"/>
        <w:textAlignment w:val="baseline"/>
        <w:rPr>
          <w:b/>
          <w:sz w:val="18"/>
          <w:szCs w:val="18"/>
        </w:rPr>
      </w:pPr>
      <w:hyperlink w:history="1" r:id="rId34">
        <w:r w:rsidR="00F70422">
          <w:rPr>
            <w:rStyle w:val="Hyperlink"/>
            <w:b/>
            <w:i/>
            <w:sz w:val="28"/>
          </w:rPr>
          <w:t>A halállományok megőrzése a nem fenntartható halászatot lehetővé tevő országok esetében</w:t>
        </w:r>
      </w:hyperlink>
    </w:p>
    <w:p w:rsidRPr="00D24919" w:rsidR="00D24919" w:rsidP="0060010D" w:rsidRDefault="00D24919" w14:paraId="3EFCF7F8" w14:textId="77777777">
      <w:pPr>
        <w:keepNext/>
        <w:keepLines/>
        <w:widowControl w:val="0"/>
        <w:overflowPunct w:val="0"/>
        <w:autoSpaceDE w:val="0"/>
        <w:autoSpaceDN w:val="0"/>
        <w:adjustRightInd w:val="0"/>
        <w:ind w:left="266"/>
        <w:textAlignment w:val="baseline"/>
        <w:rPr>
          <w:b/>
          <w:sz w:val="18"/>
          <w:szCs w:val="18"/>
          <w:lang w:val="en-GB"/>
        </w:rPr>
      </w:pPr>
    </w:p>
    <w:tbl>
      <w:tblPr>
        <w:tblW w:w="5000" w:type="pct"/>
        <w:tblLook w:val="04A0" w:firstRow="1" w:lastRow="0" w:firstColumn="1" w:lastColumn="0" w:noHBand="0" w:noVBand="1"/>
      </w:tblPr>
      <w:tblGrid>
        <w:gridCol w:w="1583"/>
        <w:gridCol w:w="7706"/>
      </w:tblGrid>
      <w:tr w:rsidRPr="00FA33C4" w:rsidR="00D24919" w:rsidTr="0060010D" w14:paraId="02FFF65B" w14:textId="77777777">
        <w:trPr>
          <w:trHeight w:val="216"/>
        </w:trPr>
        <w:tc>
          <w:tcPr>
            <w:tcW w:w="840" w:type="pct"/>
          </w:tcPr>
          <w:p w:rsidRPr="00FA33C4" w:rsidR="00D24919" w:rsidRDefault="00D24919" w14:paraId="09C1B785" w14:textId="77777777">
            <w:pPr>
              <w:tabs>
                <w:tab w:val="center" w:pos="284"/>
              </w:tabs>
              <w:overflowPunct w:val="0"/>
              <w:autoSpaceDE w:val="0"/>
              <w:autoSpaceDN w:val="0"/>
              <w:adjustRightInd w:val="0"/>
              <w:ind w:left="266" w:hanging="266"/>
              <w:textAlignment w:val="baseline"/>
              <w:rPr>
                <w:b/>
                <w:sz w:val="20"/>
                <w:szCs w:val="20"/>
              </w:rPr>
            </w:pPr>
            <w:r>
              <w:rPr>
                <w:b/>
                <w:sz w:val="20"/>
              </w:rPr>
              <w:t>Előadó:</w:t>
            </w:r>
          </w:p>
        </w:tc>
        <w:tc>
          <w:tcPr>
            <w:tcW w:w="4160" w:type="pct"/>
          </w:tcPr>
          <w:p w:rsidRPr="00FA33C4" w:rsidR="00D24919" w:rsidRDefault="00D24919" w14:paraId="67AA154C" w14:textId="77777777">
            <w:pPr>
              <w:tabs>
                <w:tab w:val="center" w:pos="284"/>
              </w:tabs>
              <w:overflowPunct w:val="0"/>
              <w:autoSpaceDE w:val="0"/>
              <w:autoSpaceDN w:val="0"/>
              <w:adjustRightInd w:val="0"/>
              <w:ind w:left="266" w:hanging="266"/>
              <w:textAlignment w:val="baseline"/>
              <w:rPr>
                <w:sz w:val="20"/>
                <w:szCs w:val="20"/>
              </w:rPr>
            </w:pPr>
            <w:r>
              <w:rPr>
                <w:sz w:val="20"/>
              </w:rPr>
              <w:t>Francisco Javier GARAT PÉREZ (Civil társadalmi szervezetek/ES)</w:t>
            </w:r>
          </w:p>
        </w:tc>
      </w:tr>
      <w:tr w:rsidRPr="00FA33C4" w:rsidR="00465FCD" w:rsidTr="0060010D" w14:paraId="4911FFB7" w14:textId="77777777">
        <w:trPr>
          <w:trHeight w:val="216"/>
        </w:trPr>
        <w:tc>
          <w:tcPr>
            <w:tcW w:w="840" w:type="pct"/>
          </w:tcPr>
          <w:p w:rsidRPr="00FA33C4" w:rsidR="00465FCD" w:rsidP="007554BE" w:rsidRDefault="00465FCD" w14:paraId="2069D8BB" w14:textId="77777777">
            <w:pPr>
              <w:tabs>
                <w:tab w:val="center" w:pos="284"/>
              </w:tabs>
              <w:overflowPunct w:val="0"/>
              <w:autoSpaceDE w:val="0"/>
              <w:autoSpaceDN w:val="0"/>
              <w:adjustRightInd w:val="0"/>
              <w:ind w:left="266" w:hanging="266"/>
              <w:textAlignment w:val="baseline"/>
              <w:rPr>
                <w:b/>
                <w:sz w:val="20"/>
                <w:szCs w:val="20"/>
              </w:rPr>
            </w:pPr>
          </w:p>
        </w:tc>
        <w:tc>
          <w:tcPr>
            <w:tcW w:w="4160" w:type="pct"/>
          </w:tcPr>
          <w:p w:rsidRPr="00FA33C4" w:rsidR="00465FCD" w:rsidP="007554BE" w:rsidRDefault="00465FCD" w14:paraId="17AC53A8" w14:textId="77777777">
            <w:pPr>
              <w:tabs>
                <w:tab w:val="center" w:pos="284"/>
              </w:tabs>
              <w:overflowPunct w:val="0"/>
              <w:autoSpaceDE w:val="0"/>
              <w:autoSpaceDN w:val="0"/>
              <w:adjustRightInd w:val="0"/>
              <w:ind w:left="266" w:hanging="266"/>
              <w:textAlignment w:val="baseline"/>
              <w:rPr>
                <w:sz w:val="20"/>
                <w:szCs w:val="20"/>
              </w:rPr>
            </w:pPr>
          </w:p>
        </w:tc>
      </w:tr>
      <w:tr w:rsidRPr="00FA33C4" w:rsidR="00D24919" w:rsidTr="0060010D" w14:paraId="23D77389" w14:textId="77777777">
        <w:trPr>
          <w:trHeight w:val="301"/>
        </w:trPr>
        <w:tc>
          <w:tcPr>
            <w:tcW w:w="840" w:type="pct"/>
          </w:tcPr>
          <w:p w:rsidRPr="00FA33C4" w:rsidR="00D24919" w:rsidRDefault="00D24919" w14:paraId="309AAA32"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4160" w:type="pct"/>
          </w:tcPr>
          <w:p w:rsidRPr="00FA33C4" w:rsidR="00435AEF" w:rsidRDefault="00435AEF" w14:paraId="1CFC571D" w14:textId="015863F1">
            <w:pPr>
              <w:tabs>
                <w:tab w:val="center" w:pos="284"/>
              </w:tabs>
              <w:overflowPunct w:val="0"/>
              <w:autoSpaceDE w:val="0"/>
              <w:autoSpaceDN w:val="0"/>
              <w:adjustRightInd w:val="0"/>
              <w:ind w:left="266" w:hanging="266"/>
              <w:textAlignment w:val="baseline"/>
              <w:rPr>
                <w:sz w:val="20"/>
                <w:szCs w:val="20"/>
              </w:rPr>
            </w:pPr>
            <w:r>
              <w:rPr>
                <w:sz w:val="20"/>
              </w:rPr>
              <w:t>COM(2024) 407 final</w:t>
            </w:r>
          </w:p>
          <w:p w:rsidRPr="00FA33C4" w:rsidR="00D24919" w:rsidRDefault="00D24919" w14:paraId="38800F4B" w14:textId="5838FADA">
            <w:pPr>
              <w:tabs>
                <w:tab w:val="center" w:pos="284"/>
              </w:tabs>
              <w:overflowPunct w:val="0"/>
              <w:autoSpaceDE w:val="0"/>
              <w:autoSpaceDN w:val="0"/>
              <w:adjustRightInd w:val="0"/>
              <w:ind w:left="266" w:hanging="266"/>
              <w:textAlignment w:val="baseline"/>
              <w:rPr>
                <w:sz w:val="20"/>
                <w:szCs w:val="20"/>
              </w:rPr>
            </w:pPr>
            <w:r>
              <w:rPr>
                <w:sz w:val="20"/>
              </w:rPr>
              <w:t>EESC-2024-04192-00-00-AC</w:t>
            </w:r>
          </w:p>
        </w:tc>
      </w:tr>
    </w:tbl>
    <w:p w:rsidR="00726351" w:rsidRDefault="00726351" w14:paraId="436FAD70" w14:textId="77777777">
      <w:pPr>
        <w:keepNext/>
        <w:keepLines/>
        <w:overflowPunct w:val="0"/>
        <w:autoSpaceDE w:val="0"/>
        <w:autoSpaceDN w:val="0"/>
        <w:adjustRightInd w:val="0"/>
        <w:ind w:left="266" w:hanging="266"/>
        <w:textAlignment w:val="baseline"/>
        <w:rPr>
          <w:b/>
          <w:lang w:val="en-GB"/>
        </w:rPr>
      </w:pPr>
    </w:p>
    <w:p w:rsidRPr="00D24919" w:rsidR="00D24919" w:rsidRDefault="00D24919" w14:paraId="2E7DAA98" w14:textId="1C59FDF0">
      <w:pPr>
        <w:keepNext/>
        <w:keepLines/>
        <w:overflowPunct w:val="0"/>
        <w:autoSpaceDE w:val="0"/>
        <w:autoSpaceDN w:val="0"/>
        <w:adjustRightInd w:val="0"/>
        <w:ind w:left="266" w:hanging="266"/>
        <w:textAlignment w:val="baseline"/>
        <w:rPr>
          <w:b/>
        </w:rPr>
      </w:pPr>
      <w:r>
        <w:rPr>
          <w:b/>
        </w:rPr>
        <w:t>Főbb pontok</w:t>
      </w:r>
    </w:p>
    <w:p w:rsidRPr="00D24919" w:rsidR="00D24919" w:rsidRDefault="00D24919" w14:paraId="26064889" w14:textId="77777777">
      <w:pPr>
        <w:keepNext/>
        <w:keepLines/>
        <w:tabs>
          <w:tab w:val="center" w:pos="284"/>
        </w:tabs>
        <w:overflowPunct w:val="0"/>
        <w:autoSpaceDE w:val="0"/>
        <w:autoSpaceDN w:val="0"/>
        <w:adjustRightInd w:val="0"/>
        <w:ind w:left="266" w:hanging="266"/>
        <w:textAlignment w:val="baseline"/>
        <w:rPr>
          <w:b/>
          <w:lang w:val="en-GB"/>
        </w:rPr>
      </w:pPr>
    </w:p>
    <w:p w:rsidRPr="00D24919" w:rsidR="00D24919" w:rsidRDefault="00D24919" w14:paraId="5A1975E7" w14:textId="77777777">
      <w:pPr>
        <w:overflowPunct w:val="0"/>
        <w:autoSpaceDE w:val="0"/>
        <w:autoSpaceDN w:val="0"/>
        <w:adjustRightInd w:val="0"/>
        <w:textAlignment w:val="baseline"/>
        <w:rPr>
          <w:bCs/>
          <w:iCs/>
        </w:rPr>
      </w:pPr>
      <w:r>
        <w:t>Az EGSZB:</w:t>
      </w:r>
    </w:p>
    <w:p w:rsidRPr="00D24919" w:rsidR="00D24919" w:rsidP="0060010D" w:rsidRDefault="00D24919" w14:paraId="5B86FB1D" w14:textId="77777777">
      <w:pPr>
        <w:widowControl w:val="0"/>
        <w:numPr>
          <w:ilvl w:val="0"/>
          <w:numId w:val="38"/>
        </w:numPr>
        <w:overflowPunct w:val="0"/>
        <w:autoSpaceDE w:val="0"/>
        <w:autoSpaceDN w:val="0"/>
        <w:adjustRightInd w:val="0"/>
        <w:ind w:left="567" w:hanging="567"/>
        <w:contextualSpacing/>
        <w:textAlignment w:val="baseline"/>
      </w:pPr>
      <w:r>
        <w:t>támogatja az 1026/2012/EU rendelet módosítására irányuló európai bizottsági javaslatot, melynek célja, hogy megelőzze a nem fenntartható halászati gyakorlatokat és védje az Unió halászati érdekeit,</w:t>
      </w:r>
    </w:p>
    <w:p w:rsidRPr="00D24919" w:rsidR="00D24919" w:rsidP="0060010D" w:rsidRDefault="00D24919" w14:paraId="645C6651" w14:textId="77777777">
      <w:pPr>
        <w:widowControl w:val="0"/>
        <w:numPr>
          <w:ilvl w:val="0"/>
          <w:numId w:val="38"/>
        </w:numPr>
        <w:overflowPunct w:val="0"/>
        <w:autoSpaceDE w:val="0"/>
        <w:autoSpaceDN w:val="0"/>
        <w:adjustRightInd w:val="0"/>
        <w:ind w:left="567" w:hanging="567"/>
        <w:contextualSpacing/>
        <w:textAlignment w:val="baseline"/>
      </w:pPr>
      <w:r>
        <w:t>kéri, hogy a rendelet hatályát terjesszék ki a földközi-tengeri és a nemzetközi vizekre is, átfogóan kezelve a nem fenntartható gyakorlatokat,</w:t>
      </w:r>
    </w:p>
    <w:p w:rsidRPr="00D24919" w:rsidR="00D24919" w:rsidP="0060010D" w:rsidRDefault="00D24919" w14:paraId="47CE2903" w14:textId="77777777">
      <w:pPr>
        <w:widowControl w:val="0"/>
        <w:numPr>
          <w:ilvl w:val="0"/>
          <w:numId w:val="38"/>
        </w:numPr>
        <w:overflowPunct w:val="0"/>
        <w:autoSpaceDE w:val="0"/>
        <w:autoSpaceDN w:val="0"/>
        <w:adjustRightInd w:val="0"/>
        <w:ind w:left="567" w:hanging="567"/>
        <w:contextualSpacing/>
        <w:textAlignment w:val="baseline"/>
      </w:pPr>
      <w:r>
        <w:t>sürgeti a Tanácsot és az Európai Parlamentet, hogy gyorsítsák fel a javaslat elfogadását, növelve az átláthatóságot és biztosítva, hogy a nem uniós országok megértsék, milyen körülmények vonhatnak maguk után uniós szankciókat,</w:t>
      </w:r>
    </w:p>
    <w:p w:rsidRPr="00D24919" w:rsidR="00D24919" w:rsidP="0060010D" w:rsidRDefault="00D24919" w14:paraId="4B082E08" w14:textId="77777777">
      <w:pPr>
        <w:widowControl w:val="0"/>
        <w:numPr>
          <w:ilvl w:val="0"/>
          <w:numId w:val="38"/>
        </w:numPr>
        <w:overflowPunct w:val="0"/>
        <w:autoSpaceDE w:val="0"/>
        <w:autoSpaceDN w:val="0"/>
        <w:adjustRightInd w:val="0"/>
        <w:ind w:left="567" w:hanging="567"/>
        <w:contextualSpacing/>
        <w:textAlignment w:val="baseline"/>
      </w:pPr>
      <w:r>
        <w:t>támogatja, hogy megerősítsék azokat az uniós eszközöket, amelyekkel világszerte és a WTO iránymutatásaival összhangban korlátozó intézkedéseket – többek között behozatali tilalmakat – lehet bevezetni, előmozdítva a felelősségteljes halászati gyakorlatokat és a valamennyi flottával szembeni tisztességes bánásmódot,</w:t>
      </w:r>
    </w:p>
    <w:p w:rsidRPr="00D24919" w:rsidR="00D24919" w:rsidP="0060010D" w:rsidRDefault="00D24919" w14:paraId="13DACFDC" w14:textId="77777777">
      <w:pPr>
        <w:widowControl w:val="0"/>
        <w:numPr>
          <w:ilvl w:val="0"/>
          <w:numId w:val="38"/>
        </w:numPr>
        <w:overflowPunct w:val="0"/>
        <w:autoSpaceDE w:val="0"/>
        <w:autoSpaceDN w:val="0"/>
        <w:adjustRightInd w:val="0"/>
        <w:ind w:left="567" w:hanging="567"/>
        <w:contextualSpacing/>
        <w:textAlignment w:val="baseline"/>
      </w:pPr>
      <w:r>
        <w:t>tisztességes versenyt szorgalmaz, összekapcsolva a túlhalászás elleni küzdelemre irányuló erőfeszítéseket a jogellenes, be nem jelentett és szabályozatlan halászatról szóló rendelet szerinti intézkedésekkel,</w:t>
      </w:r>
    </w:p>
    <w:p w:rsidRPr="00D24919" w:rsidR="00D24919" w:rsidP="0060010D" w:rsidRDefault="00D24919" w14:paraId="4C64F46D" w14:textId="77777777">
      <w:pPr>
        <w:widowControl w:val="0"/>
        <w:numPr>
          <w:ilvl w:val="0"/>
          <w:numId w:val="38"/>
        </w:numPr>
        <w:overflowPunct w:val="0"/>
        <w:autoSpaceDE w:val="0"/>
        <w:autoSpaceDN w:val="0"/>
        <w:adjustRightInd w:val="0"/>
        <w:ind w:left="567" w:hanging="567"/>
        <w:contextualSpacing/>
        <w:textAlignment w:val="baseline"/>
      </w:pPr>
      <w:r>
        <w:t>arra kéri az EU-t, hogy – az ENSZ Tengerjogi Egyezményével és a kapcsolódó megállapodásokkal összhangban – kétoldalúan vagy regionális halászati gazdálkodási szervezeteken keresztül fokozza az együttműködést a kizárólagos gazdasági övezeteken túlnyúló és a hosszú távon vándorló halállományokra halászó országokkal,</w:t>
      </w:r>
    </w:p>
    <w:p w:rsidRPr="00D24919" w:rsidR="00D24919" w:rsidP="0060010D" w:rsidRDefault="00D24919" w14:paraId="5801DAB4" w14:textId="77777777">
      <w:pPr>
        <w:widowControl w:val="0"/>
        <w:numPr>
          <w:ilvl w:val="0"/>
          <w:numId w:val="38"/>
        </w:numPr>
        <w:overflowPunct w:val="0"/>
        <w:autoSpaceDE w:val="0"/>
        <w:autoSpaceDN w:val="0"/>
        <w:adjustRightInd w:val="0"/>
        <w:ind w:left="567" w:hanging="567"/>
        <w:contextualSpacing/>
        <w:textAlignment w:val="baseline"/>
      </w:pPr>
      <w:r>
        <w:t>hangsúlyozza, hogy választ kell adni egyes nem uniós országok, például Norvégia agresszív fellépéseire, és stratégiai szövetségeket javasol olyan országokkal, mint Izland annak érdekében, hogy biztosítsák a tengeri eredetű élelmiszerekkel való stabil ellátást, és megerősítsék az EU pozícióját az Atlanti-óceán északkeleti részén,</w:t>
      </w:r>
    </w:p>
    <w:p w:rsidRPr="00D24919" w:rsidR="00D24919" w:rsidP="0060010D" w:rsidRDefault="00D24919" w14:paraId="5A3014D0" w14:textId="77777777">
      <w:pPr>
        <w:widowControl w:val="0"/>
        <w:numPr>
          <w:ilvl w:val="0"/>
          <w:numId w:val="38"/>
        </w:numPr>
        <w:overflowPunct w:val="0"/>
        <w:autoSpaceDE w:val="0"/>
        <w:autoSpaceDN w:val="0"/>
        <w:adjustRightInd w:val="0"/>
        <w:ind w:left="567" w:hanging="567"/>
        <w:contextualSpacing/>
        <w:textAlignment w:val="baseline"/>
      </w:pPr>
      <w:r>
        <w:t>bírálja, hogy az Európai Gazdasági Térség (EGT) pénzügyi mechanizmusát csak korlátozott mértékben használják ki arra, hogy nyomást gyakoroljanak nem uniós part menti államokra, például Norvégiára a halászati gazdálkodás nemzetközi normáinak betartása érdekében, továbbá piacra jutási feltételeket és jogérvényesítési intézkedéseket szorgalmaz,</w:t>
      </w:r>
    </w:p>
    <w:p w:rsidRPr="00D24919" w:rsidR="00D24919" w:rsidP="0060010D" w:rsidRDefault="00D24919" w14:paraId="019B5F36" w14:textId="77777777">
      <w:pPr>
        <w:widowControl w:val="0"/>
        <w:numPr>
          <w:ilvl w:val="0"/>
          <w:numId w:val="38"/>
        </w:numPr>
        <w:overflowPunct w:val="0"/>
        <w:autoSpaceDE w:val="0"/>
        <w:autoSpaceDN w:val="0"/>
        <w:adjustRightInd w:val="0"/>
        <w:ind w:left="567" w:hanging="567"/>
        <w:contextualSpacing/>
        <w:textAlignment w:val="baseline"/>
      </w:pPr>
      <w:r>
        <w:t>a felülvizsgált rendelet értelmében azonnali fellépést sürget Norvégia tisztességtelen gyakorlatainak kezelése érdekében, különösen az Atlanti-óceán északnyugati részén élő makréla és a közönséges tőkehal tekintetében,</w:t>
      </w:r>
    </w:p>
    <w:p w:rsidRPr="00D24919" w:rsidR="00D24919" w:rsidP="0060010D" w:rsidRDefault="00D24919" w14:paraId="40A04075" w14:textId="77777777">
      <w:pPr>
        <w:widowControl w:val="0"/>
        <w:numPr>
          <w:ilvl w:val="0"/>
          <w:numId w:val="38"/>
        </w:numPr>
        <w:overflowPunct w:val="0"/>
        <w:autoSpaceDE w:val="0"/>
        <w:autoSpaceDN w:val="0"/>
        <w:adjustRightInd w:val="0"/>
        <w:ind w:left="567" w:hanging="567"/>
        <w:contextualSpacing/>
        <w:textAlignment w:val="baseline"/>
      </w:pPr>
      <w:r>
        <w:t>szorgalmazza, hogy a parti államokkal folytatott tárgyalási folyamat legyen inkluzívabb és átláthatóbb, biztosítva, hogy az érdekelt felek aktívan részt vegyenek a halászati gazdálkodással és a szankciókkal kapcsolatos döntéshozatalban,</w:t>
      </w:r>
    </w:p>
    <w:p w:rsidR="00D24919" w:rsidP="0060010D" w:rsidRDefault="00D24919" w14:paraId="5ED597ED" w14:textId="77777777">
      <w:pPr>
        <w:widowControl w:val="0"/>
        <w:numPr>
          <w:ilvl w:val="0"/>
          <w:numId w:val="38"/>
        </w:numPr>
        <w:overflowPunct w:val="0"/>
        <w:autoSpaceDE w:val="0"/>
        <w:autoSpaceDN w:val="0"/>
        <w:adjustRightInd w:val="0"/>
        <w:ind w:left="567" w:hanging="567"/>
        <w:contextualSpacing/>
        <w:textAlignment w:val="baseline"/>
      </w:pPr>
      <w:r>
        <w:t>javasolja, hogy a 6. cikk (1) bekezdését módosítsák úgy, hogy az illetékes tanácsadó testületeket haladéktalanul tájékoztatni kelljen, ha valószínű, hogy egy országot a nem fenntartható halászatot lehetővé tevő országok közé sorolnak.</w:t>
      </w:r>
    </w:p>
    <w:p w:rsidRPr="00D24919" w:rsidR="008D05C8" w:rsidP="0060010D" w:rsidRDefault="008D05C8" w14:paraId="10263181" w14:textId="77777777">
      <w:pPr>
        <w:widowControl w:val="0"/>
        <w:overflowPunct w:val="0"/>
        <w:autoSpaceDE w:val="0"/>
        <w:autoSpaceDN w:val="0"/>
        <w:adjustRightInd w:val="0"/>
        <w:contextualSpacing/>
        <w:textAlignment w:val="baseline"/>
        <w:rPr>
          <w:lang w:val="en-GB" w:eastAsia="zh-CN"/>
        </w:rPr>
      </w:pPr>
    </w:p>
    <w:tbl>
      <w:tblPr>
        <w:tblW w:w="9322" w:type="dxa"/>
        <w:tblLook w:val="04A0" w:firstRow="1" w:lastRow="0" w:firstColumn="1" w:lastColumn="0" w:noHBand="0" w:noVBand="1"/>
      </w:tblPr>
      <w:tblGrid>
        <w:gridCol w:w="2127"/>
        <w:gridCol w:w="7195"/>
      </w:tblGrid>
      <w:tr w:rsidRPr="00FA33C4" w:rsidR="00D24919" w:rsidTr="0060010D" w14:paraId="235BE468" w14:textId="77777777">
        <w:tc>
          <w:tcPr>
            <w:tcW w:w="2127" w:type="dxa"/>
          </w:tcPr>
          <w:p w:rsidRPr="00FA33C4" w:rsidR="00D24919" w:rsidP="0060010D" w:rsidRDefault="00D24919" w14:paraId="43325915" w14:textId="77777777">
            <w:pPr>
              <w:overflowPunct w:val="0"/>
              <w:autoSpaceDE w:val="0"/>
              <w:autoSpaceDN w:val="0"/>
              <w:adjustRightInd w:val="0"/>
              <w:textAlignment w:val="baseline"/>
              <w:rPr>
                <w:i/>
                <w:sz w:val="20"/>
                <w:szCs w:val="20"/>
              </w:rPr>
            </w:pPr>
            <w:r>
              <w:rPr>
                <w:b/>
                <w:i/>
                <w:sz w:val="20"/>
              </w:rPr>
              <w:t xml:space="preserve">Kapcsolattartó: </w:t>
            </w:r>
          </w:p>
        </w:tc>
        <w:tc>
          <w:tcPr>
            <w:tcW w:w="7195" w:type="dxa"/>
          </w:tcPr>
          <w:p w:rsidRPr="00FA33C4" w:rsidR="00D24919" w:rsidP="0060010D" w:rsidRDefault="00D24919" w14:paraId="7D904960" w14:textId="77777777">
            <w:pPr>
              <w:overflowPunct w:val="0"/>
              <w:autoSpaceDE w:val="0"/>
              <w:autoSpaceDN w:val="0"/>
              <w:adjustRightInd w:val="0"/>
              <w:textAlignment w:val="baseline"/>
              <w:rPr>
                <w:i/>
                <w:sz w:val="20"/>
                <w:szCs w:val="20"/>
              </w:rPr>
            </w:pPr>
            <w:r>
              <w:rPr>
                <w:i/>
                <w:iCs/>
                <w:sz w:val="20"/>
              </w:rPr>
              <w:t>Nicolas Stenger</w:t>
            </w:r>
          </w:p>
        </w:tc>
      </w:tr>
      <w:tr w:rsidRPr="00FA33C4" w:rsidR="00D24919" w:rsidTr="0060010D" w14:paraId="47B5DDD6" w14:textId="77777777">
        <w:tc>
          <w:tcPr>
            <w:tcW w:w="2127" w:type="dxa"/>
          </w:tcPr>
          <w:p w:rsidRPr="00FA33C4" w:rsidR="00D24919" w:rsidP="0060010D" w:rsidRDefault="00D24919" w14:paraId="17563F6D" w14:textId="77777777">
            <w:pPr>
              <w:overflowPunct w:val="0"/>
              <w:autoSpaceDE w:val="0"/>
              <w:autoSpaceDN w:val="0"/>
              <w:adjustRightInd w:val="0"/>
              <w:textAlignment w:val="baseline"/>
              <w:rPr>
                <w:i/>
                <w:sz w:val="20"/>
                <w:szCs w:val="20"/>
              </w:rPr>
            </w:pPr>
            <w:r>
              <w:rPr>
                <w:i/>
                <w:sz w:val="20"/>
              </w:rPr>
              <w:t>Tel.:</w:t>
            </w:r>
          </w:p>
        </w:tc>
        <w:tc>
          <w:tcPr>
            <w:tcW w:w="7195" w:type="dxa"/>
          </w:tcPr>
          <w:p w:rsidRPr="00FA33C4" w:rsidR="00D24919" w:rsidP="0060010D" w:rsidRDefault="00D24919" w14:paraId="62CC03AD" w14:textId="77777777">
            <w:pPr>
              <w:overflowPunct w:val="0"/>
              <w:autoSpaceDE w:val="0"/>
              <w:autoSpaceDN w:val="0"/>
              <w:adjustRightInd w:val="0"/>
              <w:textAlignment w:val="baseline"/>
              <w:rPr>
                <w:i/>
                <w:sz w:val="20"/>
                <w:szCs w:val="20"/>
              </w:rPr>
            </w:pPr>
            <w:r>
              <w:rPr>
                <w:i/>
                <w:sz w:val="20"/>
              </w:rPr>
              <w:t>+ 32 254 68 152</w:t>
            </w:r>
          </w:p>
        </w:tc>
      </w:tr>
      <w:tr w:rsidRPr="00FA33C4" w:rsidR="00D24919" w:rsidTr="0060010D" w14:paraId="5094B071" w14:textId="77777777">
        <w:tc>
          <w:tcPr>
            <w:tcW w:w="2127" w:type="dxa"/>
          </w:tcPr>
          <w:p w:rsidRPr="00FA33C4" w:rsidR="00D24919" w:rsidP="0060010D" w:rsidRDefault="008D05C8" w14:paraId="270C3A5A" w14:textId="734706FD">
            <w:pPr>
              <w:overflowPunct w:val="0"/>
              <w:autoSpaceDE w:val="0"/>
              <w:autoSpaceDN w:val="0"/>
              <w:adjustRightInd w:val="0"/>
              <w:textAlignment w:val="baseline"/>
              <w:rPr>
                <w:i/>
                <w:sz w:val="20"/>
                <w:szCs w:val="20"/>
              </w:rPr>
            </w:pPr>
            <w:r>
              <w:rPr>
                <w:i/>
                <w:sz w:val="20"/>
              </w:rPr>
              <w:t>E-mail:</w:t>
            </w:r>
          </w:p>
        </w:tc>
        <w:tc>
          <w:tcPr>
            <w:tcW w:w="7195" w:type="dxa"/>
          </w:tcPr>
          <w:p w:rsidRPr="00FA33C4" w:rsidR="00D24919" w:rsidP="0060010D" w:rsidRDefault="00F1338F" w14:paraId="1B275FD8" w14:textId="77777777">
            <w:pPr>
              <w:overflowPunct w:val="0"/>
              <w:autoSpaceDE w:val="0"/>
              <w:autoSpaceDN w:val="0"/>
              <w:adjustRightInd w:val="0"/>
              <w:textAlignment w:val="baseline"/>
              <w:rPr>
                <w:i/>
                <w:iCs/>
                <w:sz w:val="20"/>
                <w:szCs w:val="20"/>
              </w:rPr>
            </w:pPr>
            <w:hyperlink w:history="1" r:id="rId35">
              <w:r w:rsidR="00465FCD">
                <w:rPr>
                  <w:i/>
                  <w:color w:val="0000FF"/>
                  <w:sz w:val="20"/>
                  <w:u w:val="single"/>
                </w:rPr>
                <w:t>Nicolas.Stenger@eesc.europa.eu</w:t>
              </w:r>
            </w:hyperlink>
          </w:p>
        </w:tc>
      </w:tr>
    </w:tbl>
    <w:p w:rsidR="00ED3F00" w:rsidP="0060010D" w:rsidRDefault="00ED3F00" w14:paraId="715DB2BD" w14:textId="28C23A54">
      <w:pPr>
        <w:jc w:val="left"/>
      </w:pPr>
    </w:p>
    <w:p w:rsidR="00ED3F00" w:rsidRDefault="00ED3F00" w14:paraId="3E44673B" w14:textId="77777777">
      <w:pPr>
        <w:spacing w:after="160" w:line="259" w:lineRule="auto"/>
        <w:jc w:val="left"/>
      </w:pPr>
      <w:r>
        <w:br w:type="page"/>
      </w:r>
    </w:p>
    <w:p w:rsidR="007F5784" w:rsidP="0060010D" w:rsidRDefault="007F5784" w14:paraId="14026A78" w14:textId="4FAE1588">
      <w:pPr>
        <w:pStyle w:val="Heading1"/>
        <w:keepNext/>
        <w:keepLines/>
        <w:rPr>
          <w:b/>
        </w:rPr>
      </w:pPr>
      <w:bookmarkStart w:name="_Toc189560699" w:id="14"/>
      <w:r>
        <w:rPr>
          <w:b/>
        </w:rPr>
        <w:t>KÜLKAPCSOLATOK</w:t>
      </w:r>
      <w:bookmarkEnd w:id="14"/>
    </w:p>
    <w:p w:rsidR="007F5784" w:rsidP="0060010D" w:rsidRDefault="007F5784" w14:paraId="3BBB3E68" w14:textId="77777777">
      <w:pPr>
        <w:keepNext/>
        <w:keepLines/>
      </w:pPr>
    </w:p>
    <w:p w:rsidRPr="00C8173B" w:rsidR="00C8173B" w:rsidP="0060010D" w:rsidRDefault="00F1338F" w14:paraId="29A16775" w14:textId="57A22188">
      <w:pPr>
        <w:keepNext/>
        <w:keepLines/>
        <w:widowControl w:val="0"/>
        <w:numPr>
          <w:ilvl w:val="0"/>
          <w:numId w:val="4"/>
        </w:numPr>
        <w:overflowPunct w:val="0"/>
        <w:autoSpaceDE w:val="0"/>
        <w:autoSpaceDN w:val="0"/>
        <w:adjustRightInd w:val="0"/>
        <w:ind w:hanging="567"/>
        <w:textAlignment w:val="baseline"/>
        <w:rPr>
          <w:b/>
          <w:bCs/>
          <w:i/>
          <w:iCs/>
          <w:sz w:val="28"/>
          <w:szCs w:val="28"/>
        </w:rPr>
      </w:pPr>
      <w:hyperlink w:history="1" r:id="rId36">
        <w:r w:rsidR="00C8173B">
          <w:rPr>
            <w:b/>
            <w:i/>
            <w:color w:val="0000FF"/>
            <w:sz w:val="28"/>
            <w:u w:val="single"/>
          </w:rPr>
          <w:t>Az Északi-sarkvidékre vonatkozó európai stratégia (2024–2029) kidolgozása, a civil társadalommal folytatott párbeszéd keretében (saját kezdeményezésű vélemény)</w:t>
        </w:r>
      </w:hyperlink>
    </w:p>
    <w:p w:rsidRPr="00C8173B" w:rsidR="00C8173B" w:rsidP="0060010D" w:rsidRDefault="00C8173B" w14:paraId="27EAAC5C" w14:textId="77777777">
      <w:pPr>
        <w:keepNext/>
        <w:keepLines/>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FA33C4" w:rsidR="00C8173B" w:rsidTr="000B1858" w14:paraId="029C2A93" w14:textId="77777777">
        <w:tc>
          <w:tcPr>
            <w:tcW w:w="1107" w:type="pct"/>
          </w:tcPr>
          <w:p w:rsidRPr="00FA33C4" w:rsidR="00C8173B" w:rsidRDefault="00C8173B" w14:paraId="70E313F2" w14:textId="77777777">
            <w:pPr>
              <w:tabs>
                <w:tab w:val="center" w:pos="284"/>
              </w:tabs>
              <w:overflowPunct w:val="0"/>
              <w:autoSpaceDE w:val="0"/>
              <w:autoSpaceDN w:val="0"/>
              <w:adjustRightInd w:val="0"/>
              <w:ind w:left="266" w:hanging="266"/>
              <w:textAlignment w:val="baseline"/>
              <w:rPr>
                <w:b/>
                <w:sz w:val="20"/>
                <w:szCs w:val="20"/>
              </w:rPr>
            </w:pPr>
            <w:r>
              <w:rPr>
                <w:b/>
                <w:sz w:val="20"/>
              </w:rPr>
              <w:t>Előadó</w:t>
            </w:r>
          </w:p>
          <w:p w:rsidRPr="00FA33C4" w:rsidR="00C8173B" w:rsidRDefault="00C8173B" w14:paraId="5281128A" w14:textId="77777777">
            <w:pPr>
              <w:tabs>
                <w:tab w:val="center" w:pos="284"/>
              </w:tabs>
              <w:overflowPunct w:val="0"/>
              <w:autoSpaceDE w:val="0"/>
              <w:autoSpaceDN w:val="0"/>
              <w:adjustRightInd w:val="0"/>
              <w:ind w:left="266" w:hanging="266"/>
              <w:textAlignment w:val="baseline"/>
              <w:rPr>
                <w:b/>
                <w:sz w:val="20"/>
                <w:szCs w:val="20"/>
              </w:rPr>
            </w:pPr>
            <w:r>
              <w:rPr>
                <w:b/>
                <w:sz w:val="20"/>
              </w:rPr>
              <w:t>Társelőadó</w:t>
            </w:r>
          </w:p>
        </w:tc>
        <w:tc>
          <w:tcPr>
            <w:tcW w:w="3893" w:type="pct"/>
          </w:tcPr>
          <w:p w:rsidRPr="00FA33C4" w:rsidR="00C8173B" w:rsidRDefault="00C8173B" w14:paraId="3CB11A11" w14:textId="77777777">
            <w:pPr>
              <w:tabs>
                <w:tab w:val="center" w:pos="284"/>
              </w:tabs>
              <w:overflowPunct w:val="0"/>
              <w:autoSpaceDE w:val="0"/>
              <w:autoSpaceDN w:val="0"/>
              <w:adjustRightInd w:val="0"/>
              <w:ind w:left="266" w:hanging="266"/>
              <w:textAlignment w:val="baseline"/>
              <w:rPr>
                <w:sz w:val="20"/>
                <w:szCs w:val="20"/>
              </w:rPr>
            </w:pPr>
            <w:r>
              <w:rPr>
                <w:b/>
                <w:bCs/>
                <w:sz w:val="20"/>
              </w:rPr>
              <w:t>Anders LADEFOGED</w:t>
            </w:r>
            <w:r>
              <w:rPr>
                <w:sz w:val="20"/>
              </w:rPr>
              <w:t xml:space="preserve"> (Munkáltatók/DK)</w:t>
            </w:r>
          </w:p>
          <w:p w:rsidRPr="00FA33C4" w:rsidR="00217685" w:rsidP="0060010D" w:rsidRDefault="00C8173B" w14:paraId="7141C129" w14:textId="066B055A">
            <w:pPr>
              <w:shd w:val="clear" w:color="auto" w:fill="FEFEFE"/>
              <w:jc w:val="left"/>
              <w:rPr>
                <w:sz w:val="20"/>
                <w:szCs w:val="20"/>
              </w:rPr>
            </w:pPr>
            <w:r>
              <w:rPr>
                <w:b/>
                <w:sz w:val="20"/>
              </w:rPr>
              <w:t>Christian MOOS</w:t>
            </w:r>
            <w:r>
              <w:rPr>
                <w:sz w:val="20"/>
              </w:rPr>
              <w:t xml:space="preserve"> (Civil társadalmi szervezetek csoportja/DE)</w:t>
            </w:r>
          </w:p>
        </w:tc>
      </w:tr>
      <w:tr w:rsidRPr="00FA33C4" w:rsidR="00C8173B" w:rsidTr="000B1858" w14:paraId="4A9CE5B5" w14:textId="77777777">
        <w:tc>
          <w:tcPr>
            <w:tcW w:w="5000" w:type="pct"/>
            <w:gridSpan w:val="2"/>
          </w:tcPr>
          <w:p w:rsidRPr="00FA33C4" w:rsidR="00C8173B" w:rsidP="0060010D" w:rsidRDefault="00C8173B" w14:paraId="3C19F370" w14:textId="77777777">
            <w:pPr>
              <w:tabs>
                <w:tab w:val="center" w:pos="284"/>
              </w:tabs>
              <w:overflowPunct w:val="0"/>
              <w:autoSpaceDE w:val="0"/>
              <w:autoSpaceDN w:val="0"/>
              <w:adjustRightInd w:val="0"/>
              <w:ind w:left="266" w:hanging="266"/>
              <w:textAlignment w:val="baseline"/>
              <w:rPr>
                <w:sz w:val="20"/>
                <w:szCs w:val="20"/>
              </w:rPr>
            </w:pPr>
          </w:p>
        </w:tc>
      </w:tr>
      <w:tr w:rsidRPr="00FA33C4" w:rsidR="00C8173B" w:rsidTr="000B1858" w14:paraId="46314555" w14:textId="77777777">
        <w:tc>
          <w:tcPr>
            <w:tcW w:w="1107" w:type="pct"/>
          </w:tcPr>
          <w:p w:rsidRPr="00FA33C4" w:rsidR="00C8173B" w:rsidRDefault="00C8173B" w14:paraId="00252F51"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3893" w:type="pct"/>
          </w:tcPr>
          <w:p w:rsidRPr="00FA33C4" w:rsidR="00B11B7E" w:rsidRDefault="00B11B7E" w14:paraId="103A511F" w14:textId="2925D730">
            <w:pPr>
              <w:tabs>
                <w:tab w:val="center" w:pos="284"/>
              </w:tabs>
              <w:overflowPunct w:val="0"/>
              <w:autoSpaceDE w:val="0"/>
              <w:autoSpaceDN w:val="0"/>
              <w:adjustRightInd w:val="0"/>
              <w:ind w:left="266" w:hanging="266"/>
              <w:jc w:val="left"/>
              <w:textAlignment w:val="baseline"/>
              <w:rPr>
                <w:sz w:val="20"/>
                <w:szCs w:val="20"/>
              </w:rPr>
            </w:pPr>
            <w:r>
              <w:rPr>
                <w:sz w:val="20"/>
              </w:rPr>
              <w:t>Saját kezdeményezésű vélemény</w:t>
            </w:r>
          </w:p>
          <w:p w:rsidRPr="00FA33C4" w:rsidR="00C8173B" w:rsidRDefault="00C8173B" w14:paraId="2D94F2BF" w14:textId="29469CDD">
            <w:pPr>
              <w:tabs>
                <w:tab w:val="center" w:pos="284"/>
              </w:tabs>
              <w:overflowPunct w:val="0"/>
              <w:autoSpaceDE w:val="0"/>
              <w:autoSpaceDN w:val="0"/>
              <w:adjustRightInd w:val="0"/>
              <w:ind w:left="266" w:hanging="266"/>
              <w:jc w:val="left"/>
              <w:textAlignment w:val="baseline"/>
              <w:rPr>
                <w:sz w:val="20"/>
                <w:szCs w:val="20"/>
              </w:rPr>
            </w:pPr>
            <w:r>
              <w:rPr>
                <w:sz w:val="20"/>
              </w:rPr>
              <w:t>EESC-2024-03182-00-00-AC</w:t>
            </w:r>
          </w:p>
        </w:tc>
      </w:tr>
    </w:tbl>
    <w:p w:rsidRPr="00C8173B" w:rsidR="00C8173B" w:rsidRDefault="00C8173B" w14:paraId="6B3D9BBA" w14:textId="77777777">
      <w:pPr>
        <w:tabs>
          <w:tab w:val="center" w:pos="284"/>
        </w:tabs>
        <w:overflowPunct w:val="0"/>
        <w:autoSpaceDE w:val="0"/>
        <w:autoSpaceDN w:val="0"/>
        <w:adjustRightInd w:val="0"/>
        <w:ind w:left="266" w:hanging="266"/>
        <w:textAlignment w:val="baseline"/>
        <w:rPr>
          <w:lang w:val="en-GB"/>
        </w:rPr>
      </w:pPr>
    </w:p>
    <w:p w:rsidRPr="00C8173B" w:rsidR="00C8173B" w:rsidRDefault="00C8173B" w14:paraId="358C2435"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C8173B" w:rsidR="00C8173B" w:rsidRDefault="00C8173B" w14:paraId="5C55E5FC" w14:textId="77777777">
      <w:pPr>
        <w:keepNext/>
        <w:keepLines/>
        <w:tabs>
          <w:tab w:val="center" w:pos="284"/>
        </w:tabs>
        <w:overflowPunct w:val="0"/>
        <w:autoSpaceDE w:val="0"/>
        <w:autoSpaceDN w:val="0"/>
        <w:adjustRightInd w:val="0"/>
        <w:ind w:left="266" w:hanging="266"/>
        <w:textAlignment w:val="baseline"/>
        <w:rPr>
          <w:b/>
          <w:lang w:val="en-GB"/>
        </w:rPr>
      </w:pPr>
    </w:p>
    <w:p w:rsidRPr="00C8173B" w:rsidR="00C8173B" w:rsidRDefault="00C8173B" w14:paraId="6664E17E" w14:textId="77777777">
      <w:pPr>
        <w:overflowPunct w:val="0"/>
        <w:autoSpaceDE w:val="0"/>
        <w:autoSpaceDN w:val="0"/>
        <w:adjustRightInd w:val="0"/>
        <w:textAlignment w:val="baseline"/>
        <w:rPr>
          <w:bCs/>
          <w:iCs/>
        </w:rPr>
      </w:pPr>
      <w:r>
        <w:t>Az EGSZB:</w:t>
      </w:r>
    </w:p>
    <w:p w:rsidRPr="007C1ABC" w:rsidR="00C8173B" w:rsidP="0060010D" w:rsidRDefault="00C8173B" w14:paraId="472B7CA9" w14:textId="77777777">
      <w:pPr>
        <w:pStyle w:val="ListParagraph"/>
        <w:widowControl w:val="0"/>
        <w:numPr>
          <w:ilvl w:val="0"/>
          <w:numId w:val="39"/>
        </w:numPr>
        <w:overflowPunct w:val="0"/>
        <w:autoSpaceDE w:val="0"/>
        <w:autoSpaceDN w:val="0"/>
        <w:adjustRightInd w:val="0"/>
        <w:ind w:left="567" w:hanging="567"/>
        <w:textAlignment w:val="baseline"/>
      </w:pPr>
      <w:r>
        <w:rPr>
          <w:sz w:val="24"/>
        </w:rPr>
        <w:t>hangsúlyozza</w:t>
      </w:r>
      <w:r>
        <w:t>, hogy az új uniós intézményi ciklus nyilvánvaló lehetőséget kínál arra, hogy felmérjük az Északi-sarkvidékkel kapcsolatos politikájának eddigi eredményeit. Egy aktualizált szakpolitika lehetővé tenné az EU számára, hogy nagyobb szerepet játsszon a reziliens és virágzó Északi-sarkvidék előmozdításában, miközben ösztönzi Európa stratégiai zöld átállását, biztonsági érdekeit és az emberi jogok tiszteletben tartását,</w:t>
      </w:r>
    </w:p>
    <w:p w:rsidRPr="007C1ABC" w:rsidR="00C8173B" w:rsidP="0060010D" w:rsidRDefault="00C8173B" w14:paraId="6A5A29B9" w14:textId="77777777">
      <w:pPr>
        <w:pStyle w:val="ListParagraph"/>
        <w:widowControl w:val="0"/>
        <w:numPr>
          <w:ilvl w:val="0"/>
          <w:numId w:val="39"/>
        </w:numPr>
        <w:overflowPunct w:val="0"/>
        <w:autoSpaceDE w:val="0"/>
        <w:autoSpaceDN w:val="0"/>
        <w:adjustRightInd w:val="0"/>
        <w:ind w:left="567" w:hanging="567"/>
        <w:textAlignment w:val="baseline"/>
      </w:pPr>
      <w:r>
        <w:rPr>
          <w:sz w:val="24"/>
        </w:rPr>
        <w:t>hangsúlyozza</w:t>
      </w:r>
      <w:r>
        <w:t>, hogy növelni kell a civil társadalom részvételét az Északi-sarkvidékkel kapcsolatos döntéshozatalban, mivel ez javítja a régiót érintő széles körű döntések minőségét és legitimitását,</w:t>
      </w:r>
    </w:p>
    <w:p w:rsidRPr="007C1ABC" w:rsidR="00C8173B" w:rsidP="0060010D" w:rsidRDefault="00C8173B" w14:paraId="1FFF7F3E" w14:textId="77777777">
      <w:pPr>
        <w:pStyle w:val="ListParagraph"/>
        <w:widowControl w:val="0"/>
        <w:numPr>
          <w:ilvl w:val="0"/>
          <w:numId w:val="39"/>
        </w:numPr>
        <w:overflowPunct w:val="0"/>
        <w:autoSpaceDE w:val="0"/>
        <w:autoSpaceDN w:val="0"/>
        <w:adjustRightInd w:val="0"/>
        <w:ind w:left="567" w:hanging="567"/>
        <w:textAlignment w:val="baseline"/>
      </w:pPr>
      <w:r>
        <w:rPr>
          <w:sz w:val="24"/>
        </w:rPr>
        <w:t>javasolja</w:t>
      </w:r>
      <w:r>
        <w:t>, hogy az aktualizált uniós stratégia részeként végezzenek szisztematikus helyzetfelmérést az uniós források és eszközök északi-sarkvidéki érdekelt felek általi megítélésének és felhasználásának értékelésére. Ennek az értékelésnek:</w:t>
      </w:r>
    </w:p>
    <w:p w:rsidRPr="007C1ABC" w:rsidR="00C8173B" w:rsidP="0060010D" w:rsidRDefault="00C8173B" w14:paraId="27C1299E" w14:textId="77777777">
      <w:pPr>
        <w:pStyle w:val="ListParagraph"/>
        <w:widowControl w:val="0"/>
        <w:numPr>
          <w:ilvl w:val="0"/>
          <w:numId w:val="45"/>
        </w:numPr>
        <w:overflowPunct w:val="0"/>
        <w:autoSpaceDE w:val="0"/>
        <w:autoSpaceDN w:val="0"/>
        <w:adjustRightInd w:val="0"/>
        <w:ind w:left="1134" w:hanging="567"/>
        <w:textAlignment w:val="baseline"/>
      </w:pPr>
      <w:r>
        <w:t>a civil társadalom különböző képviselőinek hozzájárulására kell támaszkodnia,</w:t>
      </w:r>
    </w:p>
    <w:p w:rsidRPr="007C1ABC" w:rsidR="00C8173B" w:rsidP="0060010D" w:rsidRDefault="00C8173B" w14:paraId="38665FCD" w14:textId="77777777">
      <w:pPr>
        <w:pStyle w:val="ListParagraph"/>
        <w:widowControl w:val="0"/>
        <w:numPr>
          <w:ilvl w:val="0"/>
          <w:numId w:val="45"/>
        </w:numPr>
        <w:overflowPunct w:val="0"/>
        <w:autoSpaceDE w:val="0"/>
        <w:autoSpaceDN w:val="0"/>
        <w:adjustRightInd w:val="0"/>
        <w:ind w:left="1134" w:hanging="567"/>
        <w:textAlignment w:val="baseline"/>
      </w:pPr>
      <w:r>
        <w:t>arra kell törekednie, hogy egyszerűsítse a kedvezményezettek számára az eljárásokat, vagy segítséget nyújtson a helyi közösségeknek a követelmények kezeléséhez,</w:t>
      </w:r>
    </w:p>
    <w:p w:rsidRPr="007C1ABC" w:rsidR="00C8173B" w:rsidP="0060010D" w:rsidRDefault="00C8173B" w14:paraId="4A76074D" w14:textId="77777777">
      <w:pPr>
        <w:pStyle w:val="ListParagraph"/>
        <w:widowControl w:val="0"/>
        <w:numPr>
          <w:ilvl w:val="0"/>
          <w:numId w:val="45"/>
        </w:numPr>
        <w:overflowPunct w:val="0"/>
        <w:autoSpaceDE w:val="0"/>
        <w:autoSpaceDN w:val="0"/>
        <w:adjustRightInd w:val="0"/>
        <w:ind w:left="1134" w:hanging="567"/>
        <w:textAlignment w:val="baseline"/>
      </w:pPr>
      <w:r>
        <w:t>tisztáznia kell, hogy elegendő finanszírozás és megfelelő programok állnak-e rendelkezésre az EU Északi-sarkvidékre vonatkozó stratégiai célkitűzéseinek támogatására.</w:t>
      </w:r>
    </w:p>
    <w:p w:rsidR="007C1ABC" w:rsidP="0060010D" w:rsidRDefault="00C8173B" w14:paraId="06FC79D8" w14:textId="52B90F69">
      <w:pPr>
        <w:widowControl w:val="0"/>
        <w:numPr>
          <w:ilvl w:val="0"/>
          <w:numId w:val="41"/>
        </w:numPr>
        <w:tabs>
          <w:tab w:val="clear" w:pos="720"/>
        </w:tabs>
        <w:overflowPunct w:val="0"/>
        <w:autoSpaceDE w:val="0"/>
        <w:autoSpaceDN w:val="0"/>
        <w:adjustRightInd w:val="0"/>
        <w:ind w:left="567" w:hanging="567"/>
        <w:textAlignment w:val="baseline"/>
      </w:pPr>
      <w:r>
        <w:rPr>
          <w:sz w:val="24"/>
        </w:rPr>
        <w:t>sürgeti</w:t>
      </w:r>
      <w:r>
        <w:t xml:space="preserve"> az északi-sarkvidéki döntéshozókat, hogy minden szinten szigorúan alkalmazzák a jogi kötelezettségeket, és alkalmazzanak bevált gyakorlatokat a helyi civil társadalom valamennyi szegmensének, köztük az őslakos népeknek a bevonása, a velük folytatott konzultáció és szerepvállalásuk növelése érdekében,</w:t>
      </w:r>
    </w:p>
    <w:p w:rsidRPr="007C1ABC" w:rsidR="00C8173B" w:rsidP="0060010D" w:rsidRDefault="00C8173B" w14:paraId="6387FF21" w14:textId="51DC2ECE">
      <w:pPr>
        <w:widowControl w:val="0"/>
        <w:numPr>
          <w:ilvl w:val="0"/>
          <w:numId w:val="41"/>
        </w:numPr>
        <w:tabs>
          <w:tab w:val="clear" w:pos="720"/>
        </w:tabs>
        <w:overflowPunct w:val="0"/>
        <w:autoSpaceDE w:val="0"/>
        <w:autoSpaceDN w:val="0"/>
        <w:adjustRightInd w:val="0"/>
        <w:ind w:left="567" w:hanging="567"/>
        <w:textAlignment w:val="baseline"/>
      </w:pPr>
      <w:r>
        <w:t>hangsúlyozza, hogy a beruházások és projektek segíthetik a helyi közösségeket, és biztosítani kell, hogy e közösségek valamennyi része, köztük az őslakos népek, a fiatalok és a nők elegendő erőforrással rendelkezzenek a döntéshozatalban való részvételhez,</w:t>
      </w:r>
    </w:p>
    <w:p w:rsidRPr="00C8173B" w:rsidR="00C8173B" w:rsidP="0060010D" w:rsidRDefault="00C8173B" w14:paraId="7353903E" w14:textId="77777777">
      <w:pPr>
        <w:widowControl w:val="0"/>
        <w:numPr>
          <w:ilvl w:val="0"/>
          <w:numId w:val="41"/>
        </w:numPr>
        <w:tabs>
          <w:tab w:val="clear" w:pos="720"/>
        </w:tabs>
        <w:overflowPunct w:val="0"/>
        <w:autoSpaceDE w:val="0"/>
        <w:autoSpaceDN w:val="0"/>
        <w:adjustRightInd w:val="0"/>
        <w:ind w:left="567" w:hanging="567"/>
        <w:textAlignment w:val="baseline"/>
      </w:pPr>
      <w:r>
        <w:rPr>
          <w:sz w:val="24"/>
        </w:rPr>
        <w:t>kiemeli</w:t>
      </w:r>
      <w:r>
        <w:t>, hogy sürgősen egyszerűsíteni kell a zöld átálláshoz elengedhetetlen megújuló energiával és nyersanyag-kitermeléssel kapcsolatos projektek engedélyezési eljárásait. Ezeket a folyamatokat a környezeti vagy társadalmi-gazdasági ellenőrzés veszélyeztetése nélkül hatékonyabbá kell tenni,</w:t>
      </w:r>
    </w:p>
    <w:p w:rsidRPr="00C8173B" w:rsidR="00C8173B" w:rsidP="0060010D" w:rsidRDefault="00C8173B" w14:paraId="67D19302" w14:textId="77777777">
      <w:pPr>
        <w:widowControl w:val="0"/>
        <w:numPr>
          <w:ilvl w:val="0"/>
          <w:numId w:val="41"/>
        </w:numPr>
        <w:tabs>
          <w:tab w:val="clear" w:pos="720"/>
        </w:tabs>
        <w:overflowPunct w:val="0"/>
        <w:autoSpaceDE w:val="0"/>
        <w:autoSpaceDN w:val="0"/>
        <w:adjustRightInd w:val="0"/>
        <w:ind w:left="567" w:hanging="567"/>
        <w:textAlignment w:val="baseline"/>
      </w:pPr>
      <w:r>
        <w:rPr>
          <w:sz w:val="24"/>
        </w:rPr>
        <w:t>javasolja</w:t>
      </w:r>
      <w:r>
        <w:t>, hogy fokozzák az EU és Grönland közötti együttműködést a kritikus fontosságú ásványokhoz való hozzáférés diverzifikálása, valamint a demokrácián, a jogállamiságon és az emberi jogokon alapuló partnerség előmozdítása érdekében. Az EGSZB sürgeti, hogy ezt az együttműködést a többéves pénzügyi keretről szóló soron következő tárgyalások során prioritásként kezeljék.</w:t>
      </w:r>
    </w:p>
    <w:p w:rsidRPr="00C8173B" w:rsidR="00C8173B" w:rsidRDefault="00C8173B" w14:paraId="6E01908F"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C8173B" w:rsidTr="0060010D" w14:paraId="31438F49" w14:textId="77777777">
        <w:tc>
          <w:tcPr>
            <w:tcW w:w="1090" w:type="pct"/>
          </w:tcPr>
          <w:p w:rsidRPr="00FA33C4" w:rsidR="00C8173B" w:rsidP="0060010D" w:rsidRDefault="00C8173B" w14:paraId="4D13C02D" w14:textId="77777777">
            <w:pPr>
              <w:widowControl w:val="0"/>
              <w:overflowPunct w:val="0"/>
              <w:autoSpaceDE w:val="0"/>
              <w:autoSpaceDN w:val="0"/>
              <w:adjustRightInd w:val="0"/>
              <w:textAlignment w:val="baseline"/>
              <w:rPr>
                <w:i/>
                <w:sz w:val="20"/>
                <w:szCs w:val="20"/>
              </w:rPr>
            </w:pPr>
            <w:r>
              <w:rPr>
                <w:b/>
                <w:bCs/>
                <w:i/>
                <w:sz w:val="20"/>
              </w:rPr>
              <w:t>Kapcsolattartó:</w:t>
            </w:r>
          </w:p>
        </w:tc>
        <w:tc>
          <w:tcPr>
            <w:tcW w:w="3910" w:type="pct"/>
          </w:tcPr>
          <w:p w:rsidRPr="00FA33C4" w:rsidR="00C8173B" w:rsidP="0060010D" w:rsidRDefault="00C8173B" w14:paraId="09C04C80" w14:textId="77777777">
            <w:pPr>
              <w:widowControl w:val="0"/>
              <w:overflowPunct w:val="0"/>
              <w:autoSpaceDE w:val="0"/>
              <w:autoSpaceDN w:val="0"/>
              <w:adjustRightInd w:val="0"/>
              <w:textAlignment w:val="baseline"/>
              <w:rPr>
                <w:i/>
                <w:sz w:val="20"/>
                <w:szCs w:val="20"/>
              </w:rPr>
            </w:pPr>
            <w:r>
              <w:rPr>
                <w:i/>
                <w:sz w:val="20"/>
              </w:rPr>
              <w:t>Maarit Laurila</w:t>
            </w:r>
          </w:p>
        </w:tc>
      </w:tr>
      <w:tr w:rsidRPr="00FA33C4" w:rsidR="00C8173B" w:rsidTr="0060010D" w14:paraId="0DD46053" w14:textId="77777777">
        <w:tc>
          <w:tcPr>
            <w:tcW w:w="1090" w:type="pct"/>
          </w:tcPr>
          <w:p w:rsidRPr="00FA33C4" w:rsidR="00C8173B" w:rsidP="0060010D" w:rsidRDefault="00C8173B" w14:paraId="07DCB39F" w14:textId="77777777">
            <w:pPr>
              <w:widowControl w:val="0"/>
              <w:overflowPunct w:val="0"/>
              <w:autoSpaceDE w:val="0"/>
              <w:autoSpaceDN w:val="0"/>
              <w:adjustRightInd w:val="0"/>
              <w:textAlignment w:val="baseline"/>
              <w:rPr>
                <w:i/>
                <w:sz w:val="20"/>
                <w:szCs w:val="20"/>
              </w:rPr>
            </w:pPr>
            <w:r>
              <w:rPr>
                <w:i/>
                <w:sz w:val="20"/>
              </w:rPr>
              <w:t>Tel.:</w:t>
            </w:r>
          </w:p>
        </w:tc>
        <w:tc>
          <w:tcPr>
            <w:tcW w:w="3910" w:type="pct"/>
          </w:tcPr>
          <w:p w:rsidRPr="00FA33C4" w:rsidR="00C8173B" w:rsidP="0060010D" w:rsidRDefault="00C8173B" w14:paraId="38E394E8" w14:textId="77777777">
            <w:pPr>
              <w:widowControl w:val="0"/>
              <w:overflowPunct w:val="0"/>
              <w:autoSpaceDE w:val="0"/>
              <w:autoSpaceDN w:val="0"/>
              <w:adjustRightInd w:val="0"/>
              <w:textAlignment w:val="baseline"/>
              <w:rPr>
                <w:i/>
                <w:sz w:val="20"/>
                <w:szCs w:val="20"/>
              </w:rPr>
            </w:pPr>
            <w:r>
              <w:rPr>
                <w:i/>
                <w:sz w:val="20"/>
              </w:rPr>
              <w:t>+32 25469739</w:t>
            </w:r>
          </w:p>
        </w:tc>
      </w:tr>
      <w:tr w:rsidRPr="00FA33C4" w:rsidR="00C8173B" w:rsidTr="0060010D" w14:paraId="0C60D958" w14:textId="77777777">
        <w:tc>
          <w:tcPr>
            <w:tcW w:w="1090" w:type="pct"/>
          </w:tcPr>
          <w:p w:rsidRPr="00FA33C4" w:rsidR="00C8173B" w:rsidP="0060010D" w:rsidRDefault="00C8173B" w14:paraId="2780140A" w14:textId="77777777">
            <w:pPr>
              <w:widowControl w:val="0"/>
              <w:overflowPunct w:val="0"/>
              <w:autoSpaceDE w:val="0"/>
              <w:autoSpaceDN w:val="0"/>
              <w:adjustRightInd w:val="0"/>
              <w:textAlignment w:val="baseline"/>
              <w:rPr>
                <w:i/>
                <w:sz w:val="20"/>
                <w:szCs w:val="20"/>
              </w:rPr>
            </w:pPr>
            <w:r>
              <w:rPr>
                <w:i/>
                <w:sz w:val="20"/>
              </w:rPr>
              <w:t>E-mail:</w:t>
            </w:r>
          </w:p>
        </w:tc>
        <w:tc>
          <w:tcPr>
            <w:tcW w:w="3910" w:type="pct"/>
          </w:tcPr>
          <w:p w:rsidRPr="00FA33C4" w:rsidR="00C8173B" w:rsidP="0060010D" w:rsidRDefault="00F1338F" w14:paraId="778D8CD6" w14:textId="77777777">
            <w:pPr>
              <w:widowControl w:val="0"/>
              <w:overflowPunct w:val="0"/>
              <w:autoSpaceDE w:val="0"/>
              <w:autoSpaceDN w:val="0"/>
              <w:adjustRightInd w:val="0"/>
              <w:textAlignment w:val="baseline"/>
              <w:rPr>
                <w:i/>
                <w:iCs/>
                <w:sz w:val="20"/>
                <w:szCs w:val="20"/>
              </w:rPr>
            </w:pPr>
            <w:hyperlink w:history="1" r:id="rId37">
              <w:r w:rsidR="00C8173B">
                <w:rPr>
                  <w:i/>
                  <w:color w:val="0000FF"/>
                  <w:sz w:val="20"/>
                  <w:u w:val="single"/>
                </w:rPr>
                <w:t>Maarit.Laurila@eesc.europa.eu</w:t>
              </w:r>
            </w:hyperlink>
          </w:p>
        </w:tc>
      </w:tr>
    </w:tbl>
    <w:p w:rsidR="003A4752" w:rsidP="0060010D" w:rsidRDefault="003A4752" w14:paraId="63706094" w14:textId="20910515">
      <w:pPr>
        <w:jc w:val="left"/>
      </w:pPr>
    </w:p>
    <w:p w:rsidRPr="00A33529" w:rsidR="00A33529" w:rsidP="00A33529" w:rsidRDefault="00F1338F" w14:paraId="06CEF2CF" w14:textId="2A84E9E3">
      <w:pPr>
        <w:pStyle w:val="ListParagraph"/>
        <w:numPr>
          <w:ilvl w:val="0"/>
          <w:numId w:val="58"/>
        </w:numPr>
        <w:ind w:left="567" w:hanging="567"/>
        <w:rPr>
          <w:b/>
          <w:bCs/>
          <w:i/>
          <w:iCs/>
          <w:sz w:val="32"/>
          <w:szCs w:val="32"/>
        </w:rPr>
      </w:pPr>
      <w:hyperlink w:history="1" r:id="rId38">
        <w:r w:rsidR="00C26477">
          <w:rPr>
            <w:rStyle w:val="Hyperlink"/>
            <w:b/>
            <w:i/>
            <w:sz w:val="32"/>
          </w:rPr>
          <w:t>A fiatalok részvétele a szociális és civil párbeszédben a mediterrán térségben</w:t>
        </w:r>
      </w:hyperlink>
    </w:p>
    <w:p w:rsidRPr="003A4752" w:rsidR="003A4752" w:rsidRDefault="003A4752" w14:paraId="55DBB8C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68"/>
        <w:gridCol w:w="7621"/>
      </w:tblGrid>
      <w:tr w:rsidRPr="00FA33C4" w:rsidR="003A4752" w:rsidTr="00FA33C4" w14:paraId="55D7383C" w14:textId="77777777">
        <w:tc>
          <w:tcPr>
            <w:tcW w:w="898" w:type="pct"/>
          </w:tcPr>
          <w:p w:rsidRPr="00FA33C4" w:rsidR="003A4752" w:rsidRDefault="003A4752" w14:paraId="694C75F8" w14:textId="77777777">
            <w:pPr>
              <w:tabs>
                <w:tab w:val="center" w:pos="284"/>
              </w:tabs>
              <w:overflowPunct w:val="0"/>
              <w:autoSpaceDE w:val="0"/>
              <w:autoSpaceDN w:val="0"/>
              <w:adjustRightInd w:val="0"/>
              <w:ind w:left="266" w:hanging="266"/>
              <w:textAlignment w:val="baseline"/>
              <w:rPr>
                <w:b/>
                <w:sz w:val="20"/>
                <w:szCs w:val="20"/>
              </w:rPr>
            </w:pPr>
            <w:r>
              <w:rPr>
                <w:b/>
                <w:sz w:val="20"/>
              </w:rPr>
              <w:t>Előadó:</w:t>
            </w:r>
          </w:p>
        </w:tc>
        <w:tc>
          <w:tcPr>
            <w:tcW w:w="4102" w:type="pct"/>
          </w:tcPr>
          <w:p w:rsidRPr="00FA33C4" w:rsidR="003A4752" w:rsidRDefault="003A4752" w14:paraId="35569678" w14:textId="28B927F4">
            <w:pPr>
              <w:tabs>
                <w:tab w:val="center" w:pos="284"/>
              </w:tabs>
              <w:overflowPunct w:val="0"/>
              <w:autoSpaceDE w:val="0"/>
              <w:autoSpaceDN w:val="0"/>
              <w:adjustRightInd w:val="0"/>
              <w:ind w:left="266" w:hanging="266"/>
              <w:textAlignment w:val="baseline"/>
              <w:rPr>
                <w:sz w:val="20"/>
                <w:szCs w:val="20"/>
              </w:rPr>
            </w:pPr>
            <w:r>
              <w:rPr>
                <w:sz w:val="20"/>
              </w:rPr>
              <w:t>Thomas Josef Burkhard WAGNSONNER (Munkavállalók csoportja/AT)</w:t>
            </w:r>
          </w:p>
        </w:tc>
      </w:tr>
      <w:tr w:rsidRPr="00FA33C4" w:rsidR="003A4752" w:rsidTr="00FA33C4" w14:paraId="07D7DB2B" w14:textId="77777777">
        <w:tc>
          <w:tcPr>
            <w:tcW w:w="898" w:type="pct"/>
          </w:tcPr>
          <w:p w:rsidRPr="00FA33C4" w:rsidR="003A4752" w:rsidRDefault="003A4752" w14:paraId="3C9529F1" w14:textId="77777777">
            <w:pPr>
              <w:tabs>
                <w:tab w:val="center" w:pos="284"/>
              </w:tabs>
              <w:overflowPunct w:val="0"/>
              <w:autoSpaceDE w:val="0"/>
              <w:autoSpaceDN w:val="0"/>
              <w:adjustRightInd w:val="0"/>
              <w:ind w:left="266" w:hanging="266"/>
              <w:textAlignment w:val="baseline"/>
              <w:rPr>
                <w:b/>
                <w:sz w:val="20"/>
                <w:szCs w:val="20"/>
              </w:rPr>
            </w:pPr>
            <w:r>
              <w:rPr>
                <w:b/>
                <w:sz w:val="20"/>
              </w:rPr>
              <w:t>Társelőadó:</w:t>
            </w:r>
          </w:p>
        </w:tc>
        <w:tc>
          <w:tcPr>
            <w:tcW w:w="4102" w:type="pct"/>
          </w:tcPr>
          <w:p w:rsidRPr="00FA33C4" w:rsidR="003A4752" w:rsidRDefault="003A4752" w14:paraId="4176DBB7" w14:textId="6D5B619F">
            <w:pPr>
              <w:tabs>
                <w:tab w:val="center" w:pos="284"/>
              </w:tabs>
              <w:overflowPunct w:val="0"/>
              <w:autoSpaceDE w:val="0"/>
              <w:autoSpaceDN w:val="0"/>
              <w:adjustRightInd w:val="0"/>
              <w:ind w:left="266" w:hanging="266"/>
              <w:jc w:val="left"/>
              <w:textAlignment w:val="baseline"/>
              <w:rPr>
                <w:sz w:val="20"/>
                <w:szCs w:val="20"/>
              </w:rPr>
            </w:pPr>
            <w:r>
              <w:rPr>
                <w:sz w:val="20"/>
              </w:rPr>
              <w:t>Lidija PAVIĆ-ROGOŠIĆ (Civil társadalmi szervezetek csoportja/HR)</w:t>
            </w:r>
          </w:p>
        </w:tc>
      </w:tr>
      <w:tr w:rsidRPr="00FA33C4" w:rsidR="003A4752" w:rsidTr="000B1858" w14:paraId="326AD7BB" w14:textId="77777777">
        <w:tc>
          <w:tcPr>
            <w:tcW w:w="5000" w:type="pct"/>
            <w:gridSpan w:val="2"/>
          </w:tcPr>
          <w:p w:rsidRPr="00FA33C4" w:rsidR="003A4752" w:rsidP="0060010D" w:rsidRDefault="003A4752" w14:paraId="7EFFB25F" w14:textId="77777777">
            <w:pPr>
              <w:tabs>
                <w:tab w:val="center" w:pos="284"/>
              </w:tabs>
              <w:overflowPunct w:val="0"/>
              <w:autoSpaceDE w:val="0"/>
              <w:autoSpaceDN w:val="0"/>
              <w:adjustRightInd w:val="0"/>
              <w:ind w:left="266" w:hanging="266"/>
              <w:textAlignment w:val="baseline"/>
              <w:rPr>
                <w:sz w:val="20"/>
                <w:szCs w:val="20"/>
              </w:rPr>
            </w:pPr>
          </w:p>
        </w:tc>
      </w:tr>
      <w:tr w:rsidRPr="00FA33C4" w:rsidR="003A4752" w:rsidTr="00FA33C4" w14:paraId="6DFF7682" w14:textId="77777777">
        <w:tc>
          <w:tcPr>
            <w:tcW w:w="898" w:type="pct"/>
          </w:tcPr>
          <w:p w:rsidRPr="00FA33C4" w:rsidR="003A4752" w:rsidRDefault="003A4752" w14:paraId="47E2E618" w14:textId="77777777">
            <w:pPr>
              <w:tabs>
                <w:tab w:val="center" w:pos="284"/>
              </w:tabs>
              <w:overflowPunct w:val="0"/>
              <w:autoSpaceDE w:val="0"/>
              <w:autoSpaceDN w:val="0"/>
              <w:adjustRightInd w:val="0"/>
              <w:ind w:left="266" w:hanging="266"/>
              <w:textAlignment w:val="baseline"/>
              <w:rPr>
                <w:b/>
                <w:sz w:val="20"/>
                <w:szCs w:val="20"/>
              </w:rPr>
            </w:pPr>
            <w:r>
              <w:rPr>
                <w:b/>
                <w:sz w:val="20"/>
              </w:rPr>
              <w:t>Hivatkozás(ok):</w:t>
            </w:r>
          </w:p>
        </w:tc>
        <w:tc>
          <w:tcPr>
            <w:tcW w:w="4102" w:type="pct"/>
          </w:tcPr>
          <w:p w:rsidRPr="00FA33C4" w:rsidR="00114D45" w:rsidRDefault="00114D45" w14:paraId="7CB48587" w14:textId="2F429D10">
            <w:pPr>
              <w:tabs>
                <w:tab w:val="center" w:pos="284"/>
              </w:tabs>
              <w:overflowPunct w:val="0"/>
              <w:autoSpaceDE w:val="0"/>
              <w:autoSpaceDN w:val="0"/>
              <w:adjustRightInd w:val="0"/>
              <w:ind w:left="266" w:hanging="266"/>
              <w:textAlignment w:val="baseline"/>
              <w:rPr>
                <w:sz w:val="20"/>
                <w:szCs w:val="20"/>
              </w:rPr>
            </w:pPr>
            <w:r>
              <w:rPr>
                <w:sz w:val="20"/>
              </w:rPr>
              <w:t>Saját kezdeményezésű vélemény</w:t>
            </w:r>
          </w:p>
          <w:p w:rsidRPr="00FA33C4" w:rsidR="003A4752" w:rsidRDefault="003A4752" w14:paraId="66A1F34B" w14:textId="471DF6D3">
            <w:pPr>
              <w:tabs>
                <w:tab w:val="center" w:pos="284"/>
              </w:tabs>
              <w:overflowPunct w:val="0"/>
              <w:autoSpaceDE w:val="0"/>
              <w:autoSpaceDN w:val="0"/>
              <w:adjustRightInd w:val="0"/>
              <w:ind w:left="266" w:hanging="266"/>
              <w:textAlignment w:val="baseline"/>
              <w:rPr>
                <w:sz w:val="20"/>
                <w:szCs w:val="20"/>
              </w:rPr>
            </w:pPr>
            <w:r>
              <w:rPr>
                <w:sz w:val="20"/>
              </w:rPr>
              <w:t>EESC-2024-00515-00-00-AC</w:t>
            </w:r>
          </w:p>
        </w:tc>
      </w:tr>
    </w:tbl>
    <w:p w:rsidRPr="003A4752" w:rsidR="003A4752" w:rsidRDefault="003A4752" w14:paraId="7B401AD2"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6551D4C3"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3A4752" w:rsidR="003A4752" w:rsidRDefault="003A4752" w14:paraId="0F5C1B07"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5B859B61" w14:textId="77777777">
      <w:pPr>
        <w:overflowPunct w:val="0"/>
        <w:autoSpaceDE w:val="0"/>
        <w:autoSpaceDN w:val="0"/>
        <w:adjustRightInd w:val="0"/>
        <w:textAlignment w:val="baseline"/>
        <w:rPr>
          <w:bCs/>
          <w:iCs/>
        </w:rPr>
      </w:pPr>
      <w:r>
        <w:t>Az EGSZB:</w:t>
      </w:r>
    </w:p>
    <w:p w:rsidRPr="003A4752" w:rsidR="003A4752" w:rsidP="0060010D" w:rsidRDefault="003A4752" w14:paraId="2D65C8C3"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azt javasolja, hogy </w:t>
      </w:r>
      <w:r>
        <w:rPr>
          <w:b/>
        </w:rPr>
        <w:t>a fiatalok képviselőit vonják be minden ifjúságközpontú jogi tevékenységbe</w:t>
      </w:r>
      <w:r>
        <w:t xml:space="preserve">, a fiatalokat pedig a </w:t>
      </w:r>
      <w:r>
        <w:rPr>
          <w:b/>
        </w:rPr>
        <w:t>politikai döntéshozatali folyamat valamennyi szakaszába</w:t>
      </w:r>
      <w:r>
        <w:t xml:space="preserve">, a döntéshozataltól a szakpolitikák végrehajtásáig és értékeléséig, </w:t>
      </w:r>
    </w:p>
    <w:p w:rsidRPr="003A4752" w:rsidR="003A4752" w:rsidP="0060010D" w:rsidRDefault="003A4752" w14:paraId="34D3A02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megjegyzi, hogy az </w:t>
      </w:r>
      <w:r>
        <w:rPr>
          <w:b/>
        </w:rPr>
        <w:t>oktatási rendszereknek</w:t>
      </w:r>
      <w:r>
        <w:t xml:space="preserve"> erőteljesebben </w:t>
      </w:r>
      <w:r>
        <w:rPr>
          <w:b/>
        </w:rPr>
        <w:t>elő kellene mozdítaniuk a részvételi folyamatok révén megvalósuló polgári szerepvállalást</w:t>
      </w:r>
      <w:r>
        <w:t xml:space="preserve">, és </w:t>
      </w:r>
      <w:r>
        <w:rPr>
          <w:b/>
        </w:rPr>
        <w:t>támogató ökoszisztémákat</w:t>
      </w:r>
      <w:r>
        <w:t xml:space="preserve"> kellene létrehozniuk a megfelelő készségek elsajátításához, hogy a fiatalok magabiztosan vehessenek részt az intézményi folyamatokban,</w:t>
      </w:r>
    </w:p>
    <w:p w:rsidRPr="003A4752" w:rsidR="003A4752" w:rsidP="0060010D" w:rsidRDefault="003A4752" w14:paraId="35B3E4AA"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úgy véli, hogy a </w:t>
      </w:r>
      <w:r>
        <w:rPr>
          <w:b/>
        </w:rPr>
        <w:t>civil társadalomnak</w:t>
      </w:r>
      <w:r>
        <w:t xml:space="preserve"> és a </w:t>
      </w:r>
      <w:r>
        <w:rPr>
          <w:b/>
        </w:rPr>
        <w:t>szociális partnerszervezeteknek</w:t>
      </w:r>
      <w:r>
        <w:t xml:space="preserve"> tovább kell </w:t>
      </w:r>
      <w:r>
        <w:rPr>
          <w:b/>
        </w:rPr>
        <w:t>támogatniuk a fiatalokat</w:t>
      </w:r>
      <w:r>
        <w:t xml:space="preserve"> azáltal, hogy </w:t>
      </w:r>
      <w:r>
        <w:rPr>
          <w:b/>
        </w:rPr>
        <w:t>kapacitásépítési műhelytalálkozókat</w:t>
      </w:r>
      <w:r>
        <w:t xml:space="preserve"> biztosítanak, megkönnyítve számukra az erőforrásokhoz és a részvételi lehetőségekhez való hozzáférést, </w:t>
      </w:r>
    </w:p>
    <w:p w:rsidRPr="003A4752" w:rsidR="003A4752" w:rsidP="0060010D" w:rsidRDefault="003A4752" w14:paraId="51582832"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hangsúlyozza a fiatalok </w:t>
      </w:r>
      <w:r>
        <w:rPr>
          <w:b/>
        </w:rPr>
        <w:t>munkaerőpiaci részvételére, oktatására, részvételi folyamataira és közösségi életére</w:t>
      </w:r>
      <w:r>
        <w:t xml:space="preserve"> összpontosító</w:t>
      </w:r>
      <w:r>
        <w:rPr>
          <w:b/>
        </w:rPr>
        <w:t xml:space="preserve"> kutatási tevékenységek fontosságát</w:t>
      </w:r>
      <w:r>
        <w:t xml:space="preserve">, </w:t>
      </w:r>
    </w:p>
    <w:p w:rsidRPr="003A4752" w:rsidR="003A4752" w:rsidP="0060010D" w:rsidRDefault="003A4752" w14:paraId="3E0AE93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hangsúlyozza, hogy a </w:t>
      </w:r>
      <w:r>
        <w:rPr>
          <w:b/>
        </w:rPr>
        <w:t>fiatal munkavállalók ösztönzése</w:t>
      </w:r>
      <w:r>
        <w:t xml:space="preserve"> a </w:t>
      </w:r>
      <w:r>
        <w:rPr>
          <w:b/>
        </w:rPr>
        <w:t>kollektív tárgyalásokban</w:t>
      </w:r>
      <w:r>
        <w:t xml:space="preserve"> való részvételre, valamint az </w:t>
      </w:r>
      <w:r>
        <w:rPr>
          <w:b/>
        </w:rPr>
        <w:t>ifjúságközpontú képviseleti struktúrák vállalati szintű</w:t>
      </w:r>
      <w:r>
        <w:t xml:space="preserve"> létrehozása hatékony módja annak, hogy a fiatalok részvételét szerkezetileg beépítsék a szociális párbeszéd struktúráiba,</w:t>
      </w:r>
    </w:p>
    <w:p w:rsidRPr="003A4752" w:rsidR="003A4752" w:rsidP="0060010D" w:rsidRDefault="003A4752" w14:paraId="43A1E821"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úgy véli, hogy fokozni kell az ifjúsági szervezetek és az ifjúsági tanácsok képviseletét az állami hatóságokkal folytatott megbeszéléseken azáltal, hogy az </w:t>
      </w:r>
      <w:r>
        <w:rPr>
          <w:b/>
        </w:rPr>
        <w:t>ifjúságsegítőket a konzultációs folyamatok kulcsfontosságú szereplőiként ismerik el</w:t>
      </w:r>
      <w:r>
        <w:t>, és biztosítják számukra a hatékony szerepvállaláshoz szükséges teret és erőforrásokat,</w:t>
      </w:r>
    </w:p>
    <w:p w:rsidRPr="003A4752" w:rsidR="003A4752" w:rsidP="0060010D" w:rsidRDefault="003A4752" w14:paraId="4DE1EC8F"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hangsúlyozza, hogy a mediterrán országokban gyakorta </w:t>
      </w:r>
      <w:r>
        <w:rPr>
          <w:b/>
        </w:rPr>
        <w:t>hiányoznak a hatékony szociális párbeszédhez szükséges megfelelő keretek</w:t>
      </w:r>
      <w:r>
        <w:t xml:space="preserve">, és úgy véli, hogy ezért az </w:t>
      </w:r>
      <w:r>
        <w:rPr>
          <w:b/>
        </w:rPr>
        <w:t>ILO által a szociális párbeszédről kötött kulcsfontosságú egyezmények</w:t>
      </w:r>
      <w:r>
        <w:t xml:space="preserve"> teljes körű végrehajtásával </w:t>
      </w:r>
      <w:r>
        <w:rPr>
          <w:b/>
        </w:rPr>
        <w:t>meg kell erősíteni a szociális párbeszédet</w:t>
      </w:r>
      <w:r>
        <w:t xml:space="preserve">, különösen </w:t>
      </w:r>
      <w:r>
        <w:rPr>
          <w:b/>
        </w:rPr>
        <w:t>nemzeti, ágazati és vállalati szinten</w:t>
      </w:r>
      <w:r>
        <w:t>,</w:t>
      </w:r>
    </w:p>
    <w:p w:rsidRPr="003A4752" w:rsidR="003A4752" w:rsidP="0060010D" w:rsidRDefault="003A4752" w14:paraId="6F3D10E6"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arra kéri az Európai Bizottságot, hogy támogassa a </w:t>
      </w:r>
      <w:r>
        <w:rPr>
          <w:b/>
        </w:rPr>
        <w:t>dél-mediterrán szociális párbeszéd (SOLiD) projekt</w:t>
      </w:r>
      <w:r>
        <w:t xml:space="preserve"> harmadik szakaszát, amelyet fel kell használni </w:t>
      </w:r>
      <w:r>
        <w:rPr>
          <w:b/>
        </w:rPr>
        <w:t>egy ifjúsági charta kidolgozásához</w:t>
      </w:r>
      <w:r>
        <w:t xml:space="preserve">, valamint vizsgálja meg, hogy miként lehetne létrehozni </w:t>
      </w:r>
      <w:r>
        <w:rPr>
          <w:b/>
        </w:rPr>
        <w:t>fiatalokra összpontosító konzultációs mechanizmusokat</w:t>
      </w:r>
      <w:r>
        <w:t xml:space="preserve"> is.</w:t>
      </w:r>
    </w:p>
    <w:p w:rsidRPr="003A4752" w:rsidR="007B1DCA" w:rsidRDefault="007B1DCA" w14:paraId="1A78A7B9" w14:textId="77777777">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483"/>
        <w:gridCol w:w="7696"/>
      </w:tblGrid>
      <w:tr w:rsidRPr="00FA33C4" w:rsidR="003A4752" w:rsidTr="0060010D" w14:paraId="0620DBD9" w14:textId="77777777">
        <w:tc>
          <w:tcPr>
            <w:tcW w:w="677" w:type="pct"/>
          </w:tcPr>
          <w:p w:rsidRPr="00FA33C4" w:rsidR="003A4752" w:rsidP="0060010D" w:rsidRDefault="003A4752" w14:paraId="05FFD1E7" w14:textId="77777777">
            <w:pPr>
              <w:overflowPunct w:val="0"/>
              <w:autoSpaceDE w:val="0"/>
              <w:autoSpaceDN w:val="0"/>
              <w:adjustRightInd w:val="0"/>
              <w:textAlignment w:val="baseline"/>
              <w:rPr>
                <w:i/>
                <w:sz w:val="20"/>
                <w:szCs w:val="20"/>
              </w:rPr>
            </w:pPr>
            <w:r>
              <w:rPr>
                <w:b/>
                <w:i/>
                <w:sz w:val="20"/>
              </w:rPr>
              <w:t>Kapcsolattartó:</w:t>
            </w:r>
          </w:p>
        </w:tc>
        <w:tc>
          <w:tcPr>
            <w:tcW w:w="4323" w:type="pct"/>
          </w:tcPr>
          <w:p w:rsidRPr="00FA33C4" w:rsidR="003A4752" w:rsidP="0060010D" w:rsidRDefault="003A4752" w14:paraId="42245014" w14:textId="77777777">
            <w:pPr>
              <w:overflowPunct w:val="0"/>
              <w:autoSpaceDE w:val="0"/>
              <w:autoSpaceDN w:val="0"/>
              <w:adjustRightInd w:val="0"/>
              <w:textAlignment w:val="baseline"/>
              <w:rPr>
                <w:i/>
                <w:sz w:val="20"/>
                <w:szCs w:val="20"/>
              </w:rPr>
            </w:pPr>
            <w:r>
              <w:rPr>
                <w:i/>
                <w:sz w:val="20"/>
              </w:rPr>
              <w:t>Andreas Berger</w:t>
            </w:r>
          </w:p>
        </w:tc>
      </w:tr>
      <w:tr w:rsidRPr="00FA33C4" w:rsidR="003A4752" w:rsidTr="0060010D" w14:paraId="486C6D3D" w14:textId="77777777">
        <w:tc>
          <w:tcPr>
            <w:tcW w:w="677" w:type="pct"/>
          </w:tcPr>
          <w:p w:rsidRPr="00FA33C4" w:rsidR="003A4752" w:rsidP="0060010D" w:rsidRDefault="003A4752" w14:paraId="359EB95F" w14:textId="77777777">
            <w:pPr>
              <w:overflowPunct w:val="0"/>
              <w:autoSpaceDE w:val="0"/>
              <w:autoSpaceDN w:val="0"/>
              <w:adjustRightInd w:val="0"/>
              <w:textAlignment w:val="baseline"/>
              <w:rPr>
                <w:i/>
                <w:sz w:val="20"/>
                <w:szCs w:val="20"/>
              </w:rPr>
            </w:pPr>
            <w:r>
              <w:rPr>
                <w:i/>
                <w:sz w:val="20"/>
              </w:rPr>
              <w:t>Tel.:</w:t>
            </w:r>
          </w:p>
        </w:tc>
        <w:tc>
          <w:tcPr>
            <w:tcW w:w="4323" w:type="pct"/>
          </w:tcPr>
          <w:p w:rsidRPr="00FA33C4" w:rsidR="003A4752" w:rsidP="0060010D" w:rsidRDefault="003A4752" w14:paraId="253A4B6D" w14:textId="77777777">
            <w:pPr>
              <w:overflowPunct w:val="0"/>
              <w:autoSpaceDE w:val="0"/>
              <w:autoSpaceDN w:val="0"/>
              <w:adjustRightInd w:val="0"/>
              <w:textAlignment w:val="baseline"/>
              <w:rPr>
                <w:i/>
                <w:sz w:val="20"/>
                <w:szCs w:val="20"/>
              </w:rPr>
            </w:pPr>
            <w:r>
              <w:rPr>
                <w:i/>
                <w:sz w:val="20"/>
              </w:rPr>
              <w:t>+32 254 69 062</w:t>
            </w:r>
          </w:p>
        </w:tc>
      </w:tr>
      <w:tr w:rsidRPr="00FA33C4" w:rsidR="003A4752" w:rsidTr="0060010D" w14:paraId="081DE08D" w14:textId="77777777">
        <w:tc>
          <w:tcPr>
            <w:tcW w:w="677" w:type="pct"/>
          </w:tcPr>
          <w:p w:rsidRPr="00FA33C4" w:rsidR="003A4752" w:rsidP="0060010D" w:rsidRDefault="003A4752" w14:paraId="02A7926F" w14:textId="77777777">
            <w:pPr>
              <w:overflowPunct w:val="0"/>
              <w:autoSpaceDE w:val="0"/>
              <w:autoSpaceDN w:val="0"/>
              <w:adjustRightInd w:val="0"/>
              <w:textAlignment w:val="baseline"/>
              <w:rPr>
                <w:i/>
                <w:sz w:val="20"/>
                <w:szCs w:val="20"/>
              </w:rPr>
            </w:pPr>
            <w:r>
              <w:rPr>
                <w:i/>
                <w:sz w:val="20"/>
              </w:rPr>
              <w:t>E-mail:</w:t>
            </w:r>
          </w:p>
        </w:tc>
        <w:tc>
          <w:tcPr>
            <w:tcW w:w="4323" w:type="pct"/>
          </w:tcPr>
          <w:p w:rsidRPr="00FA33C4" w:rsidR="00B95DFE" w:rsidP="0060010D" w:rsidRDefault="00F1338F" w14:paraId="71A9548F" w14:textId="2420701F">
            <w:pPr>
              <w:overflowPunct w:val="0"/>
              <w:autoSpaceDE w:val="0"/>
              <w:autoSpaceDN w:val="0"/>
              <w:adjustRightInd w:val="0"/>
              <w:textAlignment w:val="baseline"/>
              <w:rPr>
                <w:i/>
                <w:sz w:val="20"/>
                <w:szCs w:val="20"/>
              </w:rPr>
            </w:pPr>
            <w:hyperlink w:history="1" r:id="rId39">
              <w:r w:rsidR="00465FCD">
                <w:rPr>
                  <w:i/>
                  <w:color w:val="0000FF"/>
                  <w:sz w:val="20"/>
                  <w:u w:val="single"/>
                </w:rPr>
                <w:t>Andreas.Berger@eesc.europa.eu</w:t>
              </w:r>
            </w:hyperlink>
          </w:p>
        </w:tc>
      </w:tr>
    </w:tbl>
    <w:p w:rsidR="00ED3F00" w:rsidP="0060010D" w:rsidRDefault="00ED3F00" w14:paraId="672F58E7" w14:textId="77777777">
      <w:pPr>
        <w:jc w:val="center"/>
      </w:pPr>
    </w:p>
    <w:p w:rsidR="000D394D" w:rsidP="0060010D" w:rsidRDefault="00726351" w14:paraId="2E28EF19" w14:textId="61391D8B">
      <w:pPr>
        <w:jc w:val="center"/>
      </w:pPr>
      <w:r>
        <w:t>_____________</w:t>
      </w:r>
    </w:p>
    <w:sectPr w:rsidR="000D394D" w:rsidSect="00EE160A">
      <w:headerReference w:type="even" r:id="rId40"/>
      <w:headerReference w:type="default" r:id="rId41"/>
      <w:footerReference w:type="even" r:id="rId42"/>
      <w:footerReference w:type="default" r:id="rId43"/>
      <w:headerReference w:type="first" r:id="rId44"/>
      <w:footerReference w:type="first" r:id="rId4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485" w14:textId="77777777" w:rsidR="00F70422" w:rsidRDefault="00F7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r w:rsidR="00F1338F">
      <w:fldChar w:fldCharType="begin"/>
    </w:r>
    <w:r w:rsidR="00F1338F">
      <w:instrText xml:space="preserve"> NUMPAGES </w:instrText>
    </w:r>
    <w:r w:rsidR="00F1338F">
      <w:fldChar w:fldCharType="separate"/>
    </w:r>
    <w:r w:rsidR="0060010D">
      <w:t>1</w:t>
    </w:r>
    <w:r w:rsidR="00F133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793" w14:textId="77777777" w:rsidR="00F70422" w:rsidRDefault="00F7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r w:rsidR="00F1338F">
      <w:fldChar w:fldCharType="begin"/>
    </w:r>
    <w:r w:rsidR="00F1338F">
      <w:instrText xml:space="preserve"> NUMPAGES </w:instrText>
    </w:r>
    <w:r w:rsidR="00F1338F">
      <w:fldChar w:fldCharType="separate"/>
    </w:r>
    <w:r>
      <w:t>20</w:t>
    </w:r>
    <w:r w:rsidR="00F1338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B65" w14:textId="77777777" w:rsidR="00F70422" w:rsidRDefault="00F7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9BA" w14:textId="77777777" w:rsidR="00F70422" w:rsidRDefault="00F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CB9" w14:textId="77777777" w:rsidR="00F70422" w:rsidRDefault="00F7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C97AF652"/>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7A6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508BB"/>
    <w:multiLevelType w:val="hybridMultilevel"/>
    <w:tmpl w:val="24589196"/>
    <w:lvl w:ilvl="0" w:tplc="0DC0E76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400962DD"/>
    <w:multiLevelType w:val="hybridMultilevel"/>
    <w:tmpl w:val="7E96C0B4"/>
    <w:lvl w:ilvl="0" w:tplc="72BE522E">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F3BCA"/>
    <w:multiLevelType w:val="hybridMultilevel"/>
    <w:tmpl w:val="D7E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2"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6"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921077"/>
    <w:multiLevelType w:val="hybridMultilevel"/>
    <w:tmpl w:val="B37C1456"/>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4"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5"/>
  </w:num>
  <w:num w:numId="3">
    <w:abstractNumId w:val="5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4"/>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40"/>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7"/>
  </w:num>
  <w:num w:numId="16">
    <w:abstractNumId w:val="26"/>
  </w:num>
  <w:num w:numId="17">
    <w:abstractNumId w:val="48"/>
  </w:num>
  <w:num w:numId="18">
    <w:abstractNumId w:val="38"/>
  </w:num>
  <w:num w:numId="19">
    <w:abstractNumId w:val="32"/>
  </w:num>
  <w:num w:numId="20">
    <w:abstractNumId w:val="27"/>
  </w:num>
  <w:num w:numId="21">
    <w:abstractNumId w:val="44"/>
  </w:num>
  <w:num w:numId="22">
    <w:abstractNumId w:val="31"/>
  </w:num>
  <w:num w:numId="23">
    <w:abstractNumId w:val="14"/>
  </w:num>
  <w:num w:numId="24">
    <w:abstractNumId w:val="19"/>
  </w:num>
  <w:num w:numId="25">
    <w:abstractNumId w:val="35"/>
  </w:num>
  <w:num w:numId="26">
    <w:abstractNumId w:val="13"/>
  </w:num>
  <w:num w:numId="27">
    <w:abstractNumId w:val="55"/>
  </w:num>
  <w:num w:numId="28">
    <w:abstractNumId w:val="10"/>
  </w:num>
  <w:num w:numId="29">
    <w:abstractNumId w:val="33"/>
  </w:num>
  <w:num w:numId="30">
    <w:abstractNumId w:val="42"/>
  </w:num>
  <w:num w:numId="31">
    <w:abstractNumId w:val="22"/>
  </w:num>
  <w:num w:numId="32">
    <w:abstractNumId w:val="54"/>
  </w:num>
  <w:num w:numId="33">
    <w:abstractNumId w:val="23"/>
  </w:num>
  <w:num w:numId="34">
    <w:abstractNumId w:val="21"/>
  </w:num>
  <w:num w:numId="35">
    <w:abstractNumId w:val="53"/>
  </w:num>
  <w:num w:numId="36">
    <w:abstractNumId w:val="37"/>
  </w:num>
  <w:num w:numId="37">
    <w:abstractNumId w:val="43"/>
  </w:num>
  <w:num w:numId="38">
    <w:abstractNumId w:val="56"/>
  </w:num>
  <w:num w:numId="39">
    <w:abstractNumId w:val="7"/>
  </w:num>
  <w:num w:numId="40">
    <w:abstractNumId w:val="41"/>
  </w:num>
  <w:num w:numId="41">
    <w:abstractNumId w:val="39"/>
  </w:num>
  <w:num w:numId="42">
    <w:abstractNumId w:val="9"/>
  </w:num>
  <w:num w:numId="43">
    <w:abstractNumId w:val="24"/>
  </w:num>
  <w:num w:numId="44">
    <w:abstractNumId w:val="3"/>
  </w:num>
  <w:num w:numId="45">
    <w:abstractNumId w:val="20"/>
  </w:num>
  <w:num w:numId="46">
    <w:abstractNumId w:val="52"/>
  </w:num>
  <w:num w:numId="47">
    <w:abstractNumId w:val="12"/>
  </w:num>
  <w:num w:numId="48">
    <w:abstractNumId w:val="49"/>
  </w:num>
  <w:num w:numId="49">
    <w:abstractNumId w:val="30"/>
  </w:num>
  <w:num w:numId="50">
    <w:abstractNumId w:val="4"/>
  </w:num>
  <w:num w:numId="51">
    <w:abstractNumId w:val="5"/>
  </w:num>
  <w:num w:numId="52">
    <w:abstractNumId w:val="2"/>
  </w:num>
  <w:num w:numId="53">
    <w:abstractNumId w:val="51"/>
  </w:num>
  <w:num w:numId="54">
    <w:abstractNumId w:val="17"/>
  </w:num>
  <w:num w:numId="55">
    <w:abstractNumId w:val="28"/>
  </w:num>
  <w:num w:numId="56">
    <w:abstractNumId w:val="46"/>
  </w:num>
  <w:num w:numId="57">
    <w:abstractNumId w:val="36"/>
  </w:num>
  <w:num w:numId="58">
    <w:abstractNumId w:val="29"/>
  </w:num>
  <w:num w:numId="59">
    <w:abstractNumId w:val="11"/>
  </w:num>
  <w:num w:numId="60">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63DFF"/>
    <w:rsid w:val="000A6A5A"/>
    <w:rsid w:val="000B40B4"/>
    <w:rsid w:val="000D394D"/>
    <w:rsid w:val="000D43E1"/>
    <w:rsid w:val="000D533F"/>
    <w:rsid w:val="000E4936"/>
    <w:rsid w:val="00114D45"/>
    <w:rsid w:val="00116EE0"/>
    <w:rsid w:val="001208E1"/>
    <w:rsid w:val="00126764"/>
    <w:rsid w:val="00154A6C"/>
    <w:rsid w:val="00175F5A"/>
    <w:rsid w:val="001900C9"/>
    <w:rsid w:val="001C5762"/>
    <w:rsid w:val="001E391D"/>
    <w:rsid w:val="0020320E"/>
    <w:rsid w:val="00217685"/>
    <w:rsid w:val="00225BB6"/>
    <w:rsid w:val="00232656"/>
    <w:rsid w:val="00247F8B"/>
    <w:rsid w:val="002538AC"/>
    <w:rsid w:val="0027707F"/>
    <w:rsid w:val="00293191"/>
    <w:rsid w:val="002A5636"/>
    <w:rsid w:val="002B7981"/>
    <w:rsid w:val="002E05A2"/>
    <w:rsid w:val="003066BE"/>
    <w:rsid w:val="00321FDD"/>
    <w:rsid w:val="003227CC"/>
    <w:rsid w:val="00343F74"/>
    <w:rsid w:val="00392B2D"/>
    <w:rsid w:val="003A4752"/>
    <w:rsid w:val="003C2964"/>
    <w:rsid w:val="003F326D"/>
    <w:rsid w:val="003F79EF"/>
    <w:rsid w:val="0041135D"/>
    <w:rsid w:val="00421AAB"/>
    <w:rsid w:val="004229C4"/>
    <w:rsid w:val="004255DD"/>
    <w:rsid w:val="0043191A"/>
    <w:rsid w:val="00435AEF"/>
    <w:rsid w:val="00444504"/>
    <w:rsid w:val="00465FCD"/>
    <w:rsid w:val="00486DAE"/>
    <w:rsid w:val="004A5CD7"/>
    <w:rsid w:val="004D7AC0"/>
    <w:rsid w:val="004E3508"/>
    <w:rsid w:val="004E411F"/>
    <w:rsid w:val="0052107B"/>
    <w:rsid w:val="00532089"/>
    <w:rsid w:val="005404CB"/>
    <w:rsid w:val="00586B4B"/>
    <w:rsid w:val="00593C9F"/>
    <w:rsid w:val="005A0BDA"/>
    <w:rsid w:val="005A3D14"/>
    <w:rsid w:val="005A4C58"/>
    <w:rsid w:val="005B5258"/>
    <w:rsid w:val="005C66E1"/>
    <w:rsid w:val="005E7651"/>
    <w:rsid w:val="005F55DC"/>
    <w:rsid w:val="0060010D"/>
    <w:rsid w:val="00625CA3"/>
    <w:rsid w:val="00641262"/>
    <w:rsid w:val="0067428C"/>
    <w:rsid w:val="006B21A0"/>
    <w:rsid w:val="006C0A65"/>
    <w:rsid w:val="006C533B"/>
    <w:rsid w:val="006C6ECE"/>
    <w:rsid w:val="006D16C7"/>
    <w:rsid w:val="006D2C8A"/>
    <w:rsid w:val="006D2D64"/>
    <w:rsid w:val="006E2EF5"/>
    <w:rsid w:val="00720580"/>
    <w:rsid w:val="00726351"/>
    <w:rsid w:val="00740B2C"/>
    <w:rsid w:val="007448E4"/>
    <w:rsid w:val="00754027"/>
    <w:rsid w:val="007554BE"/>
    <w:rsid w:val="00766B1A"/>
    <w:rsid w:val="007A0BE6"/>
    <w:rsid w:val="007B1DCA"/>
    <w:rsid w:val="007C1ABC"/>
    <w:rsid w:val="007F5784"/>
    <w:rsid w:val="00832938"/>
    <w:rsid w:val="00840FC8"/>
    <w:rsid w:val="0084417F"/>
    <w:rsid w:val="008452C8"/>
    <w:rsid w:val="00845F24"/>
    <w:rsid w:val="00850929"/>
    <w:rsid w:val="0086679E"/>
    <w:rsid w:val="008761FA"/>
    <w:rsid w:val="0088219D"/>
    <w:rsid w:val="00892F37"/>
    <w:rsid w:val="008B5FC5"/>
    <w:rsid w:val="008C7452"/>
    <w:rsid w:val="008D05C8"/>
    <w:rsid w:val="008D44E2"/>
    <w:rsid w:val="0090254F"/>
    <w:rsid w:val="009144BA"/>
    <w:rsid w:val="00941874"/>
    <w:rsid w:val="0094356F"/>
    <w:rsid w:val="00945147"/>
    <w:rsid w:val="009B04E2"/>
    <w:rsid w:val="00A073FB"/>
    <w:rsid w:val="00A20E9D"/>
    <w:rsid w:val="00A272B2"/>
    <w:rsid w:val="00A30FAD"/>
    <w:rsid w:val="00A33529"/>
    <w:rsid w:val="00A50553"/>
    <w:rsid w:val="00A5081E"/>
    <w:rsid w:val="00A512D0"/>
    <w:rsid w:val="00A71030"/>
    <w:rsid w:val="00A94349"/>
    <w:rsid w:val="00AC7540"/>
    <w:rsid w:val="00AE5791"/>
    <w:rsid w:val="00AF6DC1"/>
    <w:rsid w:val="00B10415"/>
    <w:rsid w:val="00B11B7E"/>
    <w:rsid w:val="00B16AE4"/>
    <w:rsid w:val="00B203DA"/>
    <w:rsid w:val="00B47C02"/>
    <w:rsid w:val="00B518C9"/>
    <w:rsid w:val="00B80EC0"/>
    <w:rsid w:val="00B8503F"/>
    <w:rsid w:val="00B87220"/>
    <w:rsid w:val="00B95DFE"/>
    <w:rsid w:val="00B97319"/>
    <w:rsid w:val="00BA081D"/>
    <w:rsid w:val="00BA2F3D"/>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477"/>
    <w:rsid w:val="00C26C67"/>
    <w:rsid w:val="00C3059A"/>
    <w:rsid w:val="00C4084F"/>
    <w:rsid w:val="00C417FE"/>
    <w:rsid w:val="00C8173B"/>
    <w:rsid w:val="00C821A5"/>
    <w:rsid w:val="00D24919"/>
    <w:rsid w:val="00D26CB8"/>
    <w:rsid w:val="00D43613"/>
    <w:rsid w:val="00D63232"/>
    <w:rsid w:val="00D66820"/>
    <w:rsid w:val="00D7076A"/>
    <w:rsid w:val="00D7172A"/>
    <w:rsid w:val="00D73C76"/>
    <w:rsid w:val="00D81F5E"/>
    <w:rsid w:val="00D92269"/>
    <w:rsid w:val="00DC329C"/>
    <w:rsid w:val="00DE176A"/>
    <w:rsid w:val="00DE7710"/>
    <w:rsid w:val="00E00A6B"/>
    <w:rsid w:val="00E13806"/>
    <w:rsid w:val="00E16E3C"/>
    <w:rsid w:val="00E57BB9"/>
    <w:rsid w:val="00E77899"/>
    <w:rsid w:val="00EA3596"/>
    <w:rsid w:val="00EB5E2E"/>
    <w:rsid w:val="00EB629E"/>
    <w:rsid w:val="00EC0F9A"/>
    <w:rsid w:val="00ED3F00"/>
    <w:rsid w:val="00EE160A"/>
    <w:rsid w:val="00EF40DB"/>
    <w:rsid w:val="00F02BB5"/>
    <w:rsid w:val="00F1338F"/>
    <w:rsid w:val="00F27A97"/>
    <w:rsid w:val="00F54496"/>
    <w:rsid w:val="00F70422"/>
    <w:rsid w:val="00F83C17"/>
    <w:rsid w:val="00F96D7F"/>
    <w:rsid w:val="00FA33C4"/>
    <w:rsid w:val="00FA4B28"/>
    <w:rsid w:val="00FA7854"/>
    <w:rsid w:val="00FC456F"/>
    <w:rsid w:val="00FF0E96"/>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ja.Radman@eesc.europa.eu" TargetMode="External"/><Relationship Id="rId39" Type="http://schemas.openxmlformats.org/officeDocument/2006/relationships/hyperlink" Target="mailto:Andreas.Berger@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https://www.eesc.europa.eu/hu/our-work/opinions-information-reports/opinions/conservation-fish-stocks-relation-countries-allowing-non-sustainable-fishing" TargetMode="External"/><Relationship Id="rId42" Type="http://schemas.openxmlformats.org/officeDocument/2006/relationships/footer" Target="footer4.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electric-vehicle-supply-equipment-compressed-gas-dispensers-and-electricity-gas-and-thermal-energy-meters"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a.Dumitrache@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mailto:Maarit.Laurila@eesc.europa.e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hu/our-work/opinions-information-reports/opinions/pro-worker-ai-levers-harnessing-potential-and-mitigating-risks-ai-connection-employment-and-labour-market-policies" TargetMode="External"/><Relationship Id="rId28" Type="http://schemas.openxmlformats.org/officeDocument/2006/relationships/hyperlink" Target="mailto:Aleksandra.SarmanGrilc@eesc.europa.eu" TargetMode="External"/><Relationship Id="rId36" Type="http://schemas.openxmlformats.org/officeDocument/2006/relationships/hyperlink" Target="https://www.eesc.europa.eu/hu/our-work/opinions-information-reports/opinions/developing-europes-strategy-arctic-2024-29-dialogue-civil-society"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hu/our-work/opinions-information-reports/opinions/how-support-social-economy-entities-line-state-aid-rules-thoughts-following-suggestions-enrico-lettas-report" TargetMode="External"/><Relationship Id="rId44" Type="http://schemas.openxmlformats.org/officeDocument/2006/relationships/header" Target="header6.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hu/our-work/opinions-information-reports/opinions/evaluation-european-commissions-annual-reports-rule-law-european-union" TargetMode="External"/><Relationship Id="rId27" Type="http://schemas.openxmlformats.org/officeDocument/2006/relationships/hyperlink" Target="https://www.eesc.europa.eu/hu/our-work/opinions-information-reports/opinions/towards-eu-maritime-strategy-navigating-future-through-coordinated-investment-policies-legislative-initiatives-social" TargetMode="External"/><Relationship Id="rId30" Type="http://schemas.openxmlformats.org/officeDocument/2006/relationships/hyperlink" Target="mailto:Alice.Tetu@eesc.europa.eu" TargetMode="External"/><Relationship Id="rId35" Type="http://schemas.openxmlformats.org/officeDocument/2006/relationships/hyperlink" Target="mailto:Nicolas.Stenger@eesc.europa.eu" TargetMode="External"/><Relationship Id="rId43" Type="http://schemas.openxmlformats.org/officeDocument/2006/relationships/footer" Target="footer5.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hu/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hu/our-work/opinions-information-reports/opinions/future-supply-and-pricing-electricity-eu" TargetMode="External"/><Relationship Id="rId33" Type="http://schemas.openxmlformats.org/officeDocument/2006/relationships/hyperlink" Target="https://www.eesc.europa.eu/hu/our-work/opinions-information-reports/opinions/competition-policy-heart-eus-competitiveness" TargetMode="External"/><Relationship Id="rId38" Type="http://schemas.openxmlformats.org/officeDocument/2006/relationships/hyperlink" Target="https://www.eesc.europa.eu/hu/our-work/opinions-information-reports/opinions/youth-involvement-social-and-civil-dialogue-mediterranean-region" TargetMode="External"/><Relationship Id="rId46" Type="http://schemas.openxmlformats.org/officeDocument/2006/relationships/fontTable" Target="fontTable.xml"/><Relationship Id="rId20" Type="http://schemas.openxmlformats.org/officeDocument/2006/relationships/hyperlink" Target="https://www.eesc.europa.eu/hu/our-work/opinions-information-reports/opinions/euro-area-economic-policy-2025"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F7M6YNZUATRX-1659962339-4683</_dlc_DocId>
    <_dlc_DocIdUrl xmlns="59ace41b-6786-4ce3-be71-52c27066c6ef">
      <Url>http://dm/eesc/2024/_layouts/15/DocIdRedir.aspx?ID=F7M6YNZUATRX-1659962339-4683</Url>
      <Description>F7M6YNZUATRX-1659962339-4683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2025-02-04T12:00:00+00:00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Repas Szilvia</DisplayName>
        <AccountId>1579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37B13-5437-4AEE-ACCF-6219057BFB91}"/>
</file>

<file path=customXml/itemProps2.xml><?xml version="1.0" encoding="utf-8"?>
<ds:datastoreItem xmlns:ds="http://schemas.openxmlformats.org/officeDocument/2006/customXml" ds:itemID="{77D88739-54F6-4333-A7F9-A5B7BC4659FD}"/>
</file>

<file path=customXml/itemProps3.xml><?xml version="1.0" encoding="utf-8"?>
<ds:datastoreItem xmlns:ds="http://schemas.openxmlformats.org/officeDocument/2006/customXml" ds:itemID="{C939174B-415C-4605-8EFB-4FD6389FCFEA}"/>
</file>

<file path=customXml/itemProps4.xml><?xml version="1.0" encoding="utf-8"?>
<ds:datastoreItem xmlns:ds="http://schemas.openxmlformats.org/officeDocument/2006/customXml" ds:itemID="{49D4A923-3469-413A-892D-FB4DAC72DC9D}"/>
</file>

<file path=docProps/app.xml><?xml version="1.0" encoding="utf-8"?>
<Properties xmlns="http://schemas.openxmlformats.org/officeDocument/2006/extended-properties" xmlns:vt="http://schemas.openxmlformats.org/officeDocument/2006/docPropsVTypes">
  <Template>Normal.dotm</Template>
  <TotalTime>0</TotalTime>
  <Pages>3</Pages>
  <Words>4711</Words>
  <Characters>25914</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elfogadott vélemények összefoglalása - 593. plenáris ülés - 2025. január</dc:title>
  <dc:subject>TCD</dc:subject>
  <dc:creator>Nieddu Emma</dc:creator>
  <cp:keywords>EESC-2024-04576-00-00-TCD-TRA-EN</cp:keywords>
  <dc:description>Rapporteur:  - Original language: EN - Date of document: 04/02/2025 - Date of meeting: 30/26/2025 14:30 - External documents:  - Administrator: MME TAMASAUSKIENE Julija</dc:description>
  <cp:lastModifiedBy>Repas Szilvia</cp:lastModifiedBy>
  <cp:revision>19</cp:revision>
  <dcterms:created xsi:type="dcterms:W3CDTF">2025-01-29T15:08:00Z</dcterms:created>
  <dcterms:modified xsi:type="dcterms:W3CDTF">2025-02-04T12:31:00Z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7dcbdc0a-10fb-4929-9c87-ffe7880cf2b1</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LV|46f7e311-5d9f-4663-b433-18aeccb7ace7;BG|1a1b3951-7821-4e6a-85f5-5673fc08bd2c;IT|0774613c-01ed-4e5d-a25d-11d2388de825;FR|d2afafd3-4c81-4f60-8f52-ee33f2f54ff3;PL|1e03da61-4678-4e07-b136-b5024ca9197b;EN|f2175f21-25d7-44a3-96da-d6a61b075e1b;EL|6d4f4d51-af9b-4650-94b4-4276bee85c91;SK|46d9fce0-ef79-4f71-b89b-cd6aa82426b8;ES|e7a6b05b-ae16-40c8-add9-68b64b03aeba;HR|2f555653-ed1a-4fe6-8362-9082d95989e5;PT|50ccc04a-eadd-42ae-a0cb-acaf45f812ba;NL|55c6556c-b4f4-441d-9acf-c498d4f838bd;ET|ff6c3f4c-b02c-4c3c-ab07-2c37995a7a0a;DA|5d49c027-8956-412b-aa16-e85a0f96ad0e;SL|98a412ae-eb01-49e9-ae3d-585a81724cfc;LT|a7ff5ce7-6123-4f68-865a-a57c31810414;SV|c2ed69e7-a339-43d7-8f22-d93680a92aa0;FI|87606a43-d45f-42d6-b8c9-e1a3457db5b7;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33;#ET|ff6c3f4c-b02c-4c3c-ab07-2c37995a7a0a;#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32;#HU|6b229040-c589-4408-b4c1-4285663d20a8</vt:lpwstr>
  </property>
</Properties>
</file>