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7554BE" w:rsidRDefault="00EA1912" w14:paraId="4982DD4D" w14:textId="5114605A">
      <w:pPr>
        <w:jc w:val="center"/>
      </w:pPr>
      <w:r>
        <w:rPr>
          <w:noProof/>
        </w:rPr>
        <w:drawing>
          <wp:inline distT="0" distB="0" distL="0" distR="0" wp14:anchorId="0A21185B" wp14:editId="5970A26F">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15C14958"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4D7AC0" w:rsidP="007554BE" w:rsidRDefault="004D7AC0" w14:paraId="4982DD4E" w14:textId="77777777"/>
    <w:p w:rsidR="004D7AC0" w:rsidP="007554BE" w:rsidRDefault="004D7AC0" w14:paraId="4982DD4F" w14:textId="5BDAC6B5">
      <w:pPr>
        <w:jc w:val="right"/>
      </w:pPr>
      <w:r>
        <w:t>Bruselas, 4 de febrero de 2025.</w:t>
      </w:r>
    </w:p>
    <w:p w:rsidR="004D7AC0" w:rsidRDefault="004D7AC0" w14:paraId="4982DD50" w14:textId="77777777"/>
    <w:p w:rsidR="004D7AC0" w:rsidRDefault="004D7AC0" w14:paraId="4982DD51" w14:textId="77777777"/>
    <w:p w:rsidR="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RDefault="006C6ECE" w14:paraId="4982DD53" w14:textId="48249AC4">
            <w:pPr>
              <w:snapToGrid w:val="0"/>
              <w:jc w:val="center"/>
              <w:rPr>
                <w:b/>
                <w:sz w:val="32"/>
                <w:szCs w:val="32"/>
              </w:rPr>
            </w:pPr>
            <w:r>
              <w:rPr>
                <w:b/>
                <w:sz w:val="32"/>
              </w:rPr>
              <w:t>593.º PLENO</w:t>
            </w:r>
          </w:p>
          <w:p w:rsidR="003066BE" w:rsidRDefault="003066BE" w14:paraId="4982DD54" w14:textId="77777777">
            <w:pPr>
              <w:snapToGrid w:val="0"/>
              <w:jc w:val="center"/>
              <w:rPr>
                <w:b/>
                <w:sz w:val="32"/>
                <w:szCs w:val="32"/>
              </w:rPr>
            </w:pPr>
          </w:p>
          <w:p w:rsidR="003066BE" w:rsidRDefault="00850929" w14:paraId="4982DD55" w14:textId="3F522473">
            <w:pPr>
              <w:snapToGrid w:val="0"/>
              <w:jc w:val="center"/>
              <w:rPr>
                <w:b/>
                <w:sz w:val="32"/>
                <w:szCs w:val="32"/>
              </w:rPr>
            </w:pPr>
            <w:r>
              <w:rPr>
                <w:b/>
                <w:sz w:val="32"/>
              </w:rPr>
              <w:t>22 y 23 de enero de 2025</w:t>
            </w:r>
          </w:p>
          <w:p w:rsidR="003066BE" w:rsidRDefault="003066BE" w14:paraId="4982DD56" w14:textId="77777777">
            <w:pPr>
              <w:snapToGrid w:val="0"/>
              <w:jc w:val="center"/>
              <w:rPr>
                <w:b/>
                <w:sz w:val="32"/>
                <w:szCs w:val="32"/>
              </w:rPr>
            </w:pPr>
          </w:p>
          <w:p w:rsidRPr="0081153B" w:rsidR="004D7AC0" w:rsidRDefault="00754027" w14:paraId="4982DD57" w14:textId="5A35E792">
            <w:pPr>
              <w:snapToGrid w:val="0"/>
              <w:jc w:val="center"/>
              <w:rPr>
                <w:rFonts w:eastAsia="MS Mincho"/>
                <w:b/>
                <w:sz w:val="32"/>
                <w:szCs w:val="32"/>
              </w:rPr>
            </w:pPr>
            <w:r>
              <w:rPr>
                <w:b/>
                <w:sz w:val="32"/>
              </w:rPr>
              <w:t>SÍNTESIS DE LOS DICTÁMENES Y RESOLUCIONES APROBADOS Y DE LOS INFORMES DE EVALUACIÓN</w:t>
            </w:r>
          </w:p>
          <w:p w:rsidR="004D7AC0"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RDefault="004D7AC0" w14:paraId="05F5C867" w14:textId="77777777">
            <w:pPr>
              <w:snapToGrid w:val="0"/>
              <w:jc w:val="center"/>
            </w:pPr>
            <w:r>
              <w:t>Este documento puede consultarse en todas las lenguas oficiales de la Unión Europea en el sitio internet del CESE en la siguiente dirección:</w:t>
            </w:r>
          </w:p>
          <w:p w:rsidR="00726351" w:rsidRDefault="00726351" w14:paraId="65F2BC50" w14:textId="77777777">
            <w:pPr>
              <w:snapToGrid w:val="0"/>
              <w:jc w:val="center"/>
            </w:pPr>
          </w:p>
          <w:p w:rsidRPr="0081153B" w:rsidR="004D7AC0" w:rsidRDefault="0001176A" w14:paraId="4982DD5A" w14:textId="4D4D220C">
            <w:pPr>
              <w:snapToGrid w:val="0"/>
              <w:jc w:val="center"/>
            </w:pPr>
            <w:hyperlink w:history="1" r:id="rId12">
              <w:r w:rsidR="00EA1912">
                <w:rPr>
                  <w:rStyle w:val="Hyperlink"/>
                </w:rPr>
                <w:t>https://www.eesc.europa.eu/es/our-work/opinions-information-reports/plenary-session-summaries</w:t>
              </w:r>
            </w:hyperlink>
          </w:p>
          <w:p w:rsidRPr="0081153B" w:rsidR="004D7AC0" w:rsidRDefault="004D7AC0" w14:paraId="4982DD5B" w14:textId="77777777">
            <w:pPr>
              <w:snapToGrid w:val="0"/>
              <w:jc w:val="center"/>
            </w:pPr>
          </w:p>
          <w:p w:rsidRPr="0081153B" w:rsidR="004D7AC0" w:rsidRDefault="004D7AC0" w14:paraId="4982DD5C" w14:textId="77777777">
            <w:pPr>
              <w:snapToGrid w:val="0"/>
              <w:jc w:val="center"/>
              <w:rPr>
                <w:rFonts w:eastAsia="SimSun"/>
              </w:rPr>
            </w:pPr>
          </w:p>
          <w:p w:rsidR="00726351" w:rsidRDefault="004D7AC0" w14:paraId="64A40D96" w14:textId="77777777">
            <w:pPr>
              <w:snapToGrid w:val="0"/>
              <w:jc w:val="center"/>
            </w:pPr>
            <w:r>
              <w:t xml:space="preserve">Los dictámenes mencionados pueden consultarse en línea </w:t>
            </w:r>
            <w:r>
              <w:br/>
              <w:t>utilizando el motor de búsqueda del CESE:</w:t>
            </w:r>
          </w:p>
          <w:p w:rsidR="00726351" w:rsidRDefault="00726351" w14:paraId="0E196128" w14:textId="77777777">
            <w:pPr>
              <w:snapToGrid w:val="0"/>
              <w:jc w:val="center"/>
            </w:pPr>
          </w:p>
          <w:p w:rsidRPr="00044561" w:rsidR="004D7AC0" w:rsidRDefault="0001176A" w14:paraId="4982DD5D" w14:textId="23201122">
            <w:pPr>
              <w:snapToGrid w:val="0"/>
              <w:jc w:val="center"/>
            </w:pPr>
            <w:hyperlink w:history="1" r:id="rId13">
              <w:r w:rsidR="00EA1912">
                <w:rPr>
                  <w:rStyle w:val="Hyperlink"/>
                </w:rPr>
                <w:t>https://dmsearch.eesc.europa.eu/search/opinion</w:t>
              </w:r>
            </w:hyperlink>
          </w:p>
          <w:p w:rsidRPr="00044561" w:rsidR="004D7AC0" w:rsidRDefault="004D7AC0" w14:paraId="4982DD5E" w14:textId="77777777">
            <w:pPr>
              <w:snapToGrid w:val="0"/>
              <w:jc w:val="center"/>
            </w:pPr>
          </w:p>
        </w:tc>
      </w:tr>
    </w:tbl>
    <w:p w:rsidR="004D7AC0" w:rsidRDefault="004D7AC0" w14:paraId="4982DD60" w14:textId="77777777"/>
    <w:p w:rsidR="004D7AC0" w:rsidRDefault="004D7AC0" w14:paraId="4982DD61" w14:textId="77777777"/>
    <w:p w:rsidR="004D7AC0" w:rsidRDefault="004D7AC0" w14:paraId="4982DD62" w14:textId="77777777">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RDefault="004D7AC0" w14:paraId="4982DD63" w14:textId="77777777">
      <w:pPr>
        <w:rPr>
          <w:b/>
        </w:rPr>
      </w:pPr>
      <w:r>
        <w:rPr>
          <w:b/>
        </w:rPr>
        <w:lastRenderedPageBreak/>
        <w:t>Índice: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0010D" w:rsidRDefault="004D7AC0" w14:paraId="4982DD64" w14:textId="77777777">
          <w:pPr>
            <w:pStyle w:val="TOCHeading"/>
            <w:spacing w:before="0" w:line="288" w:lineRule="auto"/>
            <w:rPr>
              <w:rFonts w:ascii="Times New Roman" w:hAnsi="Times New Roman" w:cs="Times New Roman"/>
              <w:color w:val="auto"/>
              <w:sz w:val="22"/>
              <w:szCs w:val="22"/>
            </w:rPr>
          </w:pPr>
        </w:p>
        <w:p w:rsidR="00EA4B0A" w:rsidRDefault="004D7AC0" w14:paraId="5A9A27C4" w14:textId="6EF3A44D">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89228411">
            <w:r w:rsidRPr="00BE02F6" w:rsidR="00EA4B0A">
              <w:rPr>
                <w:rStyle w:val="Hyperlink"/>
                <w:bCs/>
                <w:noProof/>
              </w:rPr>
              <w:t>1.</w:t>
            </w:r>
            <w:r w:rsidR="00EA4B0A">
              <w:rPr>
                <w:rFonts w:asciiTheme="minorHAnsi" w:hAnsiTheme="minorHAnsi" w:eastAsiaTheme="minorEastAsia" w:cstheme="minorBidi"/>
                <w:noProof/>
                <w:lang w:val="en-US"/>
              </w:rPr>
              <w:tab/>
            </w:r>
            <w:r w:rsidRPr="00BE02F6" w:rsidR="00EA4B0A">
              <w:rPr>
                <w:rStyle w:val="Hyperlink"/>
                <w:b/>
                <w:noProof/>
              </w:rPr>
              <w:t>UNIÓN ECONÓMICA Y MONETARIA Y COHESIÓN ECONÓMICA Y SOCIAL</w:t>
            </w:r>
            <w:r w:rsidR="00EA4B0A">
              <w:rPr>
                <w:noProof/>
                <w:webHidden/>
              </w:rPr>
              <w:tab/>
            </w:r>
            <w:r w:rsidR="00EA4B0A">
              <w:rPr>
                <w:noProof/>
                <w:webHidden/>
              </w:rPr>
              <w:fldChar w:fldCharType="begin"/>
            </w:r>
            <w:r w:rsidR="00EA4B0A">
              <w:rPr>
                <w:noProof/>
                <w:webHidden/>
              </w:rPr>
              <w:instrText xml:space="preserve"> PAGEREF _Toc189228411 \h </w:instrText>
            </w:r>
            <w:r w:rsidR="00EA4B0A">
              <w:rPr>
                <w:noProof/>
                <w:webHidden/>
              </w:rPr>
            </w:r>
            <w:r w:rsidR="00EA4B0A">
              <w:rPr>
                <w:noProof/>
                <w:webHidden/>
              </w:rPr>
              <w:fldChar w:fldCharType="separate"/>
            </w:r>
            <w:r w:rsidR="00EA4B0A">
              <w:rPr>
                <w:noProof/>
                <w:webHidden/>
              </w:rPr>
              <w:t>3</w:t>
            </w:r>
            <w:r w:rsidR="00EA4B0A">
              <w:rPr>
                <w:noProof/>
                <w:webHidden/>
              </w:rPr>
              <w:fldChar w:fldCharType="end"/>
            </w:r>
          </w:hyperlink>
        </w:p>
        <w:p w:rsidR="00EA4B0A" w:rsidRDefault="0001176A" w14:paraId="66F461A4" w14:textId="3EBA56AA">
          <w:pPr>
            <w:pStyle w:val="TOC1"/>
            <w:tabs>
              <w:tab w:val="left" w:pos="440"/>
              <w:tab w:val="right" w:leader="dot" w:pos="9063"/>
            </w:tabs>
            <w:rPr>
              <w:rFonts w:asciiTheme="minorHAnsi" w:hAnsiTheme="minorHAnsi" w:eastAsiaTheme="minorEastAsia" w:cstheme="minorBidi"/>
              <w:noProof/>
              <w:lang w:val="en-US"/>
            </w:rPr>
          </w:pPr>
          <w:hyperlink w:history="1" w:anchor="_Toc189228412">
            <w:r w:rsidRPr="00BE02F6" w:rsidR="00EA4B0A">
              <w:rPr>
                <w:rStyle w:val="Hyperlink"/>
                <w:bCs/>
                <w:noProof/>
              </w:rPr>
              <w:t>2.</w:t>
            </w:r>
            <w:r w:rsidR="00EA4B0A">
              <w:rPr>
                <w:rFonts w:asciiTheme="minorHAnsi" w:hAnsiTheme="minorHAnsi" w:eastAsiaTheme="minorEastAsia" w:cstheme="minorBidi"/>
                <w:noProof/>
                <w:lang w:val="en-US"/>
              </w:rPr>
              <w:tab/>
            </w:r>
            <w:r w:rsidRPr="00BE02F6" w:rsidR="00EA4B0A">
              <w:rPr>
                <w:rStyle w:val="Hyperlink"/>
                <w:b/>
                <w:noProof/>
              </w:rPr>
              <w:t>EMPLEO, ASUNTOS SOCIALES Y CIUDADANÍA</w:t>
            </w:r>
            <w:r w:rsidR="00EA4B0A">
              <w:rPr>
                <w:noProof/>
                <w:webHidden/>
              </w:rPr>
              <w:tab/>
            </w:r>
            <w:r w:rsidR="00EA4B0A">
              <w:rPr>
                <w:noProof/>
                <w:webHidden/>
              </w:rPr>
              <w:fldChar w:fldCharType="begin"/>
            </w:r>
            <w:r w:rsidR="00EA4B0A">
              <w:rPr>
                <w:noProof/>
                <w:webHidden/>
              </w:rPr>
              <w:instrText xml:space="preserve"> PAGEREF _Toc189228412 \h </w:instrText>
            </w:r>
            <w:r w:rsidR="00EA4B0A">
              <w:rPr>
                <w:noProof/>
                <w:webHidden/>
              </w:rPr>
            </w:r>
            <w:r w:rsidR="00EA4B0A">
              <w:rPr>
                <w:noProof/>
                <w:webHidden/>
              </w:rPr>
              <w:fldChar w:fldCharType="separate"/>
            </w:r>
            <w:r w:rsidR="00EA4B0A">
              <w:rPr>
                <w:noProof/>
                <w:webHidden/>
              </w:rPr>
              <w:t>4</w:t>
            </w:r>
            <w:r w:rsidR="00EA4B0A">
              <w:rPr>
                <w:noProof/>
                <w:webHidden/>
              </w:rPr>
              <w:fldChar w:fldCharType="end"/>
            </w:r>
          </w:hyperlink>
        </w:p>
        <w:p w:rsidR="00EA4B0A" w:rsidRDefault="0001176A" w14:paraId="4852CFCE" w14:textId="1527661D">
          <w:pPr>
            <w:pStyle w:val="TOC1"/>
            <w:tabs>
              <w:tab w:val="left" w:pos="440"/>
              <w:tab w:val="right" w:leader="dot" w:pos="9063"/>
            </w:tabs>
            <w:rPr>
              <w:rFonts w:asciiTheme="minorHAnsi" w:hAnsiTheme="minorHAnsi" w:eastAsiaTheme="minorEastAsia" w:cstheme="minorBidi"/>
              <w:noProof/>
              <w:lang w:val="en-US"/>
            </w:rPr>
          </w:pPr>
          <w:hyperlink w:history="1" w:anchor="_Toc189228413">
            <w:r w:rsidRPr="00BE02F6" w:rsidR="00EA4B0A">
              <w:rPr>
                <w:rStyle w:val="Hyperlink"/>
                <w:bCs/>
                <w:noProof/>
              </w:rPr>
              <w:t>3.</w:t>
            </w:r>
            <w:r w:rsidR="00EA4B0A">
              <w:rPr>
                <w:rFonts w:asciiTheme="minorHAnsi" w:hAnsiTheme="minorHAnsi" w:eastAsiaTheme="minorEastAsia" w:cstheme="minorBidi"/>
                <w:noProof/>
                <w:lang w:val="en-US"/>
              </w:rPr>
              <w:tab/>
            </w:r>
            <w:r w:rsidRPr="00BE02F6" w:rsidR="00EA4B0A">
              <w:rPr>
                <w:rStyle w:val="Hyperlink"/>
                <w:b/>
                <w:noProof/>
              </w:rPr>
              <w:t>TRANSPORTE, ENERGÍA, INFRAESTRUCTURAS Y SOCIEDAD DE LA INFORMACIÓN</w:t>
            </w:r>
            <w:r w:rsidR="00EA4B0A">
              <w:rPr>
                <w:noProof/>
                <w:webHidden/>
              </w:rPr>
              <w:tab/>
            </w:r>
            <w:r w:rsidR="00EA4B0A">
              <w:rPr>
                <w:noProof/>
                <w:webHidden/>
              </w:rPr>
              <w:fldChar w:fldCharType="begin"/>
            </w:r>
            <w:r w:rsidR="00EA4B0A">
              <w:rPr>
                <w:noProof/>
                <w:webHidden/>
              </w:rPr>
              <w:instrText xml:space="preserve"> PAGEREF _Toc189228413 \h </w:instrText>
            </w:r>
            <w:r w:rsidR="00EA4B0A">
              <w:rPr>
                <w:noProof/>
                <w:webHidden/>
              </w:rPr>
            </w:r>
            <w:r w:rsidR="00EA4B0A">
              <w:rPr>
                <w:noProof/>
                <w:webHidden/>
              </w:rPr>
              <w:fldChar w:fldCharType="separate"/>
            </w:r>
            <w:r w:rsidR="00EA4B0A">
              <w:rPr>
                <w:noProof/>
                <w:webHidden/>
              </w:rPr>
              <w:t>8</w:t>
            </w:r>
            <w:r w:rsidR="00EA4B0A">
              <w:rPr>
                <w:noProof/>
                <w:webHidden/>
              </w:rPr>
              <w:fldChar w:fldCharType="end"/>
            </w:r>
          </w:hyperlink>
        </w:p>
        <w:p w:rsidR="00EA4B0A" w:rsidRDefault="0001176A" w14:paraId="2BFAFC03" w14:textId="54CAB87D">
          <w:pPr>
            <w:pStyle w:val="TOC1"/>
            <w:tabs>
              <w:tab w:val="left" w:pos="440"/>
              <w:tab w:val="right" w:leader="dot" w:pos="9063"/>
            </w:tabs>
            <w:rPr>
              <w:rFonts w:asciiTheme="minorHAnsi" w:hAnsiTheme="minorHAnsi" w:eastAsiaTheme="minorEastAsia" w:cstheme="minorBidi"/>
              <w:noProof/>
              <w:lang w:val="en-US"/>
            </w:rPr>
          </w:pPr>
          <w:hyperlink w:history="1" w:anchor="_Toc189228414">
            <w:r w:rsidRPr="00BE02F6" w:rsidR="00EA4B0A">
              <w:rPr>
                <w:rStyle w:val="Hyperlink"/>
                <w:bCs/>
                <w:noProof/>
              </w:rPr>
              <w:t>4.</w:t>
            </w:r>
            <w:r w:rsidR="00EA4B0A">
              <w:rPr>
                <w:rFonts w:asciiTheme="minorHAnsi" w:hAnsiTheme="minorHAnsi" w:eastAsiaTheme="minorEastAsia" w:cstheme="minorBidi"/>
                <w:noProof/>
                <w:lang w:val="en-US"/>
              </w:rPr>
              <w:tab/>
            </w:r>
            <w:r w:rsidRPr="00BE02F6" w:rsidR="00EA4B0A">
              <w:rPr>
                <w:rStyle w:val="Hyperlink"/>
                <w:b/>
                <w:noProof/>
              </w:rPr>
              <w:t>MERCADO ÚNICO, PRODUCCIÓN Y CONSUMO</w:t>
            </w:r>
            <w:r w:rsidR="00EA4B0A">
              <w:rPr>
                <w:noProof/>
                <w:webHidden/>
              </w:rPr>
              <w:tab/>
            </w:r>
            <w:r w:rsidR="00EA4B0A">
              <w:rPr>
                <w:noProof/>
                <w:webHidden/>
              </w:rPr>
              <w:fldChar w:fldCharType="begin"/>
            </w:r>
            <w:r w:rsidR="00EA4B0A">
              <w:rPr>
                <w:noProof/>
                <w:webHidden/>
              </w:rPr>
              <w:instrText xml:space="preserve"> PAGEREF _Toc189228414 \h </w:instrText>
            </w:r>
            <w:r w:rsidR="00EA4B0A">
              <w:rPr>
                <w:noProof/>
                <w:webHidden/>
              </w:rPr>
            </w:r>
            <w:r w:rsidR="00EA4B0A">
              <w:rPr>
                <w:noProof/>
                <w:webHidden/>
              </w:rPr>
              <w:fldChar w:fldCharType="separate"/>
            </w:r>
            <w:r w:rsidR="00EA4B0A">
              <w:rPr>
                <w:noProof/>
                <w:webHidden/>
              </w:rPr>
              <w:t>10</w:t>
            </w:r>
            <w:r w:rsidR="00EA4B0A">
              <w:rPr>
                <w:noProof/>
                <w:webHidden/>
              </w:rPr>
              <w:fldChar w:fldCharType="end"/>
            </w:r>
          </w:hyperlink>
        </w:p>
        <w:p w:rsidR="00EA4B0A" w:rsidRDefault="0001176A" w14:paraId="56A2C153" w14:textId="4917E79A">
          <w:pPr>
            <w:pStyle w:val="TOC1"/>
            <w:tabs>
              <w:tab w:val="left" w:pos="440"/>
              <w:tab w:val="right" w:leader="dot" w:pos="9063"/>
            </w:tabs>
            <w:rPr>
              <w:rFonts w:asciiTheme="minorHAnsi" w:hAnsiTheme="minorHAnsi" w:eastAsiaTheme="minorEastAsia" w:cstheme="minorBidi"/>
              <w:noProof/>
              <w:lang w:val="en-US"/>
            </w:rPr>
          </w:pPr>
          <w:hyperlink w:history="1" w:anchor="_Toc189228415">
            <w:r w:rsidRPr="00BE02F6" w:rsidR="00EA4B0A">
              <w:rPr>
                <w:rStyle w:val="Hyperlink"/>
                <w:bCs/>
                <w:noProof/>
              </w:rPr>
              <w:t>5.</w:t>
            </w:r>
            <w:r w:rsidR="00EA4B0A">
              <w:rPr>
                <w:rFonts w:asciiTheme="minorHAnsi" w:hAnsiTheme="minorHAnsi" w:eastAsiaTheme="minorEastAsia" w:cstheme="minorBidi"/>
                <w:noProof/>
                <w:lang w:val="en-US"/>
              </w:rPr>
              <w:tab/>
            </w:r>
            <w:r w:rsidRPr="00BE02F6" w:rsidR="00EA4B0A">
              <w:rPr>
                <w:rStyle w:val="Hyperlink"/>
                <w:b/>
                <w:noProof/>
              </w:rPr>
              <w:t>AGRICULTURA, DESARROLLO RURAL Y MEDIO AMBIENTE</w:t>
            </w:r>
            <w:r w:rsidR="00EA4B0A">
              <w:rPr>
                <w:noProof/>
                <w:webHidden/>
              </w:rPr>
              <w:tab/>
            </w:r>
            <w:r w:rsidR="00EA4B0A">
              <w:rPr>
                <w:noProof/>
                <w:webHidden/>
              </w:rPr>
              <w:fldChar w:fldCharType="begin"/>
            </w:r>
            <w:r w:rsidR="00EA4B0A">
              <w:rPr>
                <w:noProof/>
                <w:webHidden/>
              </w:rPr>
              <w:instrText xml:space="preserve"> PAGEREF _Toc189228415 \h </w:instrText>
            </w:r>
            <w:r w:rsidR="00EA4B0A">
              <w:rPr>
                <w:noProof/>
                <w:webHidden/>
              </w:rPr>
            </w:r>
            <w:r w:rsidR="00EA4B0A">
              <w:rPr>
                <w:noProof/>
                <w:webHidden/>
              </w:rPr>
              <w:fldChar w:fldCharType="separate"/>
            </w:r>
            <w:r w:rsidR="00EA4B0A">
              <w:rPr>
                <w:noProof/>
                <w:webHidden/>
              </w:rPr>
              <w:t>13</w:t>
            </w:r>
            <w:r w:rsidR="00EA4B0A">
              <w:rPr>
                <w:noProof/>
                <w:webHidden/>
              </w:rPr>
              <w:fldChar w:fldCharType="end"/>
            </w:r>
          </w:hyperlink>
        </w:p>
        <w:p w:rsidR="00EA4B0A" w:rsidRDefault="0001176A" w14:paraId="3CDF7CDF" w14:textId="0E6D933E">
          <w:pPr>
            <w:pStyle w:val="TOC1"/>
            <w:tabs>
              <w:tab w:val="left" w:pos="440"/>
              <w:tab w:val="right" w:leader="dot" w:pos="9063"/>
            </w:tabs>
            <w:rPr>
              <w:rFonts w:asciiTheme="minorHAnsi" w:hAnsiTheme="minorHAnsi" w:eastAsiaTheme="minorEastAsia" w:cstheme="minorBidi"/>
              <w:noProof/>
              <w:lang w:val="en-US"/>
            </w:rPr>
          </w:pPr>
          <w:hyperlink w:history="1" w:anchor="_Toc189228416">
            <w:r w:rsidRPr="00BE02F6" w:rsidR="00EA4B0A">
              <w:rPr>
                <w:rStyle w:val="Hyperlink"/>
                <w:bCs/>
                <w:noProof/>
              </w:rPr>
              <w:t>6.</w:t>
            </w:r>
            <w:r w:rsidR="00EA4B0A">
              <w:rPr>
                <w:rFonts w:asciiTheme="minorHAnsi" w:hAnsiTheme="minorHAnsi" w:eastAsiaTheme="minorEastAsia" w:cstheme="minorBidi"/>
                <w:noProof/>
                <w:lang w:val="en-US"/>
              </w:rPr>
              <w:tab/>
            </w:r>
            <w:r w:rsidRPr="00BE02F6" w:rsidR="00EA4B0A">
              <w:rPr>
                <w:rStyle w:val="Hyperlink"/>
                <w:b/>
                <w:noProof/>
              </w:rPr>
              <w:t>RELACIONES EXTERIORES</w:t>
            </w:r>
            <w:r w:rsidR="00EA4B0A">
              <w:rPr>
                <w:noProof/>
                <w:webHidden/>
              </w:rPr>
              <w:tab/>
            </w:r>
            <w:r w:rsidR="00EA4B0A">
              <w:rPr>
                <w:noProof/>
                <w:webHidden/>
              </w:rPr>
              <w:fldChar w:fldCharType="begin"/>
            </w:r>
            <w:r w:rsidR="00EA4B0A">
              <w:rPr>
                <w:noProof/>
                <w:webHidden/>
              </w:rPr>
              <w:instrText xml:space="preserve"> PAGEREF _Toc189228416 \h </w:instrText>
            </w:r>
            <w:r w:rsidR="00EA4B0A">
              <w:rPr>
                <w:noProof/>
                <w:webHidden/>
              </w:rPr>
            </w:r>
            <w:r w:rsidR="00EA4B0A">
              <w:rPr>
                <w:noProof/>
                <w:webHidden/>
              </w:rPr>
              <w:fldChar w:fldCharType="separate"/>
            </w:r>
            <w:r w:rsidR="00EA4B0A">
              <w:rPr>
                <w:noProof/>
                <w:webHidden/>
              </w:rPr>
              <w:t>14</w:t>
            </w:r>
            <w:r w:rsidR="00EA4B0A">
              <w:rPr>
                <w:noProof/>
                <w:webHidden/>
              </w:rPr>
              <w:fldChar w:fldCharType="end"/>
            </w:r>
          </w:hyperlink>
        </w:p>
        <w:p w:rsidR="004D7AC0" w:rsidRDefault="004D7AC0" w14:paraId="4982DD6A" w14:textId="64C64A2E">
          <w:r>
            <w:rPr>
              <w:b/>
            </w:rPr>
            <w:fldChar w:fldCharType="end"/>
          </w:r>
        </w:p>
      </w:sdtContent>
    </w:sdt>
    <w:p w:rsidR="004D7AC0" w:rsidRDefault="004D7AC0" w14:paraId="4982DD6B" w14:textId="77777777"/>
    <w:p w:rsidR="004D7AC0" w:rsidP="0060010D" w:rsidRDefault="004D7AC0" w14:paraId="4982DD6C" w14:textId="77777777">
      <w:pPr>
        <w:jc w:val="left"/>
      </w:pPr>
      <w:r>
        <w:br w:type="page"/>
      </w:r>
    </w:p>
    <w:p w:rsidR="004D7AC0" w:rsidP="002B5786" w:rsidRDefault="004D7AC0" w14:paraId="4982DD6D" w14:textId="77777777">
      <w:pPr>
        <w:pStyle w:val="Heading1"/>
        <w:spacing w:line="276" w:lineRule="auto"/>
        <w:rPr>
          <w:b/>
        </w:rPr>
      </w:pPr>
      <w:bookmarkStart w:name="_Toc189228411" w:id="0"/>
      <w:r>
        <w:rPr>
          <w:b/>
        </w:rPr>
        <w:lastRenderedPageBreak/>
        <w:t>UNIÓN ECONÓMICA Y MONETARIA Y COHESIÓN ECONÓMICA Y SOCIAL</w:t>
      </w:r>
      <w:bookmarkEnd w:id="0"/>
    </w:p>
    <w:p w:rsidR="004D7AC0" w:rsidP="002B5786" w:rsidRDefault="004D7AC0" w14:paraId="4982DD6E" w14:textId="77777777">
      <w:pPr>
        <w:spacing w:line="240" w:lineRule="auto"/>
      </w:pPr>
    </w:p>
    <w:p w:rsidRPr="00116EE0" w:rsidR="00116EE0" w:rsidP="002B5786" w:rsidRDefault="0001176A" w14:paraId="687378ED" w14:textId="56C9F723">
      <w:pPr>
        <w:widowControl w:val="0"/>
        <w:numPr>
          <w:ilvl w:val="0"/>
          <w:numId w:val="4"/>
        </w:numPr>
        <w:overflowPunct w:val="0"/>
        <w:autoSpaceDE w:val="0"/>
        <w:autoSpaceDN w:val="0"/>
        <w:adjustRightInd w:val="0"/>
        <w:spacing w:line="276" w:lineRule="auto"/>
        <w:ind w:hanging="567"/>
        <w:textAlignment w:val="baseline"/>
        <w:rPr>
          <w:b/>
          <w:i/>
          <w:iCs/>
          <w:sz w:val="28"/>
          <w:szCs w:val="28"/>
        </w:rPr>
      </w:pPr>
      <w:hyperlink w:history="1" r:id="rId20">
        <w:r w:rsidR="00465FCD">
          <w:rPr>
            <w:b/>
            <w:i/>
            <w:color w:val="0000FF"/>
            <w:sz w:val="28"/>
            <w:u w:val="single"/>
          </w:rPr>
          <w:t>Política económica de la zona del euro en 2025</w:t>
        </w:r>
      </w:hyperlink>
    </w:p>
    <w:p w:rsidRPr="00116EE0" w:rsidR="00116EE0" w:rsidP="002B5786" w:rsidRDefault="00116EE0" w14:paraId="30F305D3" w14:textId="77777777">
      <w:pPr>
        <w:widowControl w:val="0"/>
        <w:overflowPunct w:val="0"/>
        <w:autoSpaceDE w:val="0"/>
        <w:autoSpaceDN w:val="0"/>
        <w:adjustRightInd w:val="0"/>
        <w:spacing w:line="240" w:lineRule="auto"/>
        <w:ind w:left="284"/>
        <w:textAlignment w:val="baseline"/>
        <w:rPr>
          <w:b/>
          <w:i/>
          <w:iCs/>
          <w:sz w:val="20"/>
          <w:szCs w:val="20"/>
          <w:lang w:val="it-IT"/>
        </w:rPr>
      </w:pPr>
    </w:p>
    <w:tbl>
      <w:tblPr>
        <w:tblW w:w="0" w:type="auto"/>
        <w:tblLook w:val="04A0" w:firstRow="1" w:lastRow="0" w:firstColumn="1" w:lastColumn="0" w:noHBand="0" w:noVBand="1"/>
      </w:tblPr>
      <w:tblGrid>
        <w:gridCol w:w="1701"/>
        <w:gridCol w:w="7479"/>
      </w:tblGrid>
      <w:tr w:rsidRPr="00FA33C4" w:rsidR="00116EE0" w:rsidTr="0060010D" w14:paraId="16FBB640" w14:textId="77777777">
        <w:tc>
          <w:tcPr>
            <w:tcW w:w="1701" w:type="dxa"/>
          </w:tcPr>
          <w:p w:rsidRPr="00FA33C4" w:rsidR="00116EE0" w:rsidP="002B5786" w:rsidRDefault="00116EE0" w14:paraId="24898722" w14:textId="1D1AF101">
            <w:pPr>
              <w:tabs>
                <w:tab w:val="center" w:pos="284"/>
              </w:tabs>
              <w:overflowPunct w:val="0"/>
              <w:autoSpaceDE w:val="0"/>
              <w:autoSpaceDN w:val="0"/>
              <w:adjustRightInd w:val="0"/>
              <w:spacing w:line="276" w:lineRule="auto"/>
              <w:ind w:left="266" w:hanging="266"/>
              <w:textAlignment w:val="baseline"/>
              <w:rPr>
                <w:b/>
                <w:sz w:val="20"/>
                <w:szCs w:val="20"/>
              </w:rPr>
            </w:pPr>
            <w:r>
              <w:rPr>
                <w:b/>
                <w:sz w:val="20"/>
              </w:rPr>
              <w:t>Ponente</w:t>
            </w:r>
          </w:p>
        </w:tc>
        <w:tc>
          <w:tcPr>
            <w:tcW w:w="7479" w:type="dxa"/>
          </w:tcPr>
          <w:p w:rsidRPr="00FA33C4" w:rsidR="00116EE0" w:rsidP="002B5786" w:rsidRDefault="00116EE0" w14:paraId="0AD7E1BD" w14:textId="6403C7A4">
            <w:pPr>
              <w:tabs>
                <w:tab w:val="center" w:pos="284"/>
              </w:tabs>
              <w:overflowPunct w:val="0"/>
              <w:autoSpaceDE w:val="0"/>
              <w:autoSpaceDN w:val="0"/>
              <w:adjustRightInd w:val="0"/>
              <w:spacing w:line="276" w:lineRule="auto"/>
              <w:ind w:left="266" w:hanging="266"/>
              <w:textAlignment w:val="baseline"/>
              <w:rPr>
                <w:bCs/>
                <w:sz w:val="20"/>
                <w:szCs w:val="20"/>
              </w:rPr>
            </w:pPr>
            <w:r>
              <w:rPr>
                <w:sz w:val="20"/>
              </w:rPr>
              <w:t>Juraj SIPKO (Grupo de Organizaciones de la Sociedad Civil – SK)</w:t>
            </w:r>
          </w:p>
        </w:tc>
      </w:tr>
      <w:tr w:rsidRPr="00FA33C4" w:rsidR="00116EE0" w:rsidTr="0060010D" w14:paraId="6F5F7528" w14:textId="77777777">
        <w:tc>
          <w:tcPr>
            <w:tcW w:w="9180" w:type="dxa"/>
            <w:gridSpan w:val="2"/>
          </w:tcPr>
          <w:p w:rsidRPr="00FA33C4" w:rsidR="00116EE0" w:rsidP="002B5786" w:rsidRDefault="00116EE0" w14:paraId="518B7DA1" w14:textId="77777777">
            <w:pPr>
              <w:tabs>
                <w:tab w:val="center" w:pos="284"/>
              </w:tabs>
              <w:overflowPunct w:val="0"/>
              <w:autoSpaceDE w:val="0"/>
              <w:autoSpaceDN w:val="0"/>
              <w:adjustRightInd w:val="0"/>
              <w:spacing w:line="276" w:lineRule="auto"/>
              <w:ind w:left="266" w:hanging="266"/>
              <w:textAlignment w:val="baseline"/>
              <w:rPr>
                <w:sz w:val="20"/>
                <w:szCs w:val="20"/>
              </w:rPr>
            </w:pPr>
          </w:p>
        </w:tc>
      </w:tr>
      <w:tr w:rsidRPr="00FA33C4" w:rsidR="00116EE0" w:rsidTr="0060010D" w14:paraId="0C336C40" w14:textId="77777777">
        <w:tc>
          <w:tcPr>
            <w:tcW w:w="1701" w:type="dxa"/>
          </w:tcPr>
          <w:p w:rsidRPr="00FA33C4" w:rsidR="00116EE0" w:rsidP="002B5786" w:rsidRDefault="00116EE0" w14:paraId="3C1E8069" w14:textId="77777777">
            <w:pPr>
              <w:tabs>
                <w:tab w:val="center" w:pos="284"/>
              </w:tabs>
              <w:overflowPunct w:val="0"/>
              <w:autoSpaceDE w:val="0"/>
              <w:autoSpaceDN w:val="0"/>
              <w:adjustRightInd w:val="0"/>
              <w:spacing w:line="276" w:lineRule="auto"/>
              <w:ind w:left="266" w:hanging="266"/>
              <w:textAlignment w:val="baseline"/>
              <w:rPr>
                <w:b/>
                <w:sz w:val="20"/>
                <w:szCs w:val="20"/>
              </w:rPr>
            </w:pPr>
            <w:r>
              <w:rPr>
                <w:b/>
                <w:sz w:val="20"/>
              </w:rPr>
              <w:t>Referencias</w:t>
            </w:r>
          </w:p>
        </w:tc>
        <w:tc>
          <w:tcPr>
            <w:tcW w:w="7479" w:type="dxa"/>
          </w:tcPr>
          <w:p w:rsidRPr="00FA33C4" w:rsidR="00116EE0" w:rsidP="002B5786" w:rsidRDefault="00116EE0" w14:paraId="7930FFCD" w14:textId="77777777">
            <w:pPr>
              <w:tabs>
                <w:tab w:val="center" w:pos="284"/>
              </w:tabs>
              <w:overflowPunct w:val="0"/>
              <w:autoSpaceDE w:val="0"/>
              <w:autoSpaceDN w:val="0"/>
              <w:adjustRightInd w:val="0"/>
              <w:spacing w:line="276" w:lineRule="auto"/>
              <w:ind w:left="266" w:hanging="266"/>
              <w:textAlignment w:val="baseline"/>
              <w:rPr>
                <w:sz w:val="20"/>
                <w:szCs w:val="20"/>
              </w:rPr>
            </w:pPr>
            <w:r>
              <w:rPr>
                <w:sz w:val="20"/>
              </w:rPr>
              <w:t>COM(2024) 704 final</w:t>
            </w:r>
          </w:p>
          <w:p w:rsidRPr="00FA33C4" w:rsidR="00116EE0" w:rsidP="002B5786" w:rsidRDefault="00116EE0" w14:paraId="67D25C7F" w14:textId="000ECDB3">
            <w:pPr>
              <w:tabs>
                <w:tab w:val="center" w:pos="284"/>
              </w:tabs>
              <w:overflowPunct w:val="0"/>
              <w:autoSpaceDE w:val="0"/>
              <w:autoSpaceDN w:val="0"/>
              <w:adjustRightInd w:val="0"/>
              <w:spacing w:line="276" w:lineRule="auto"/>
              <w:ind w:left="266" w:hanging="266"/>
              <w:textAlignment w:val="baseline"/>
              <w:rPr>
                <w:sz w:val="20"/>
                <w:szCs w:val="20"/>
              </w:rPr>
            </w:pPr>
            <w:r>
              <w:rPr>
                <w:sz w:val="20"/>
              </w:rPr>
              <w:t>EESC-2024-03910-00-00-AC</w:t>
            </w:r>
          </w:p>
        </w:tc>
      </w:tr>
    </w:tbl>
    <w:p w:rsidR="007554BE" w:rsidP="002B5786" w:rsidRDefault="007554BE" w14:paraId="206FC47C"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00116EE0" w:rsidP="002B5786" w:rsidRDefault="00116EE0" w14:paraId="2BCC8D3F" w14:textId="63E6985B">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116EE0" w:rsidR="00E16E3C" w:rsidP="002B5786" w:rsidRDefault="00E16E3C" w14:paraId="021996D7" w14:textId="77777777">
      <w:pPr>
        <w:keepNext/>
        <w:keepLines/>
        <w:tabs>
          <w:tab w:val="center" w:pos="284"/>
        </w:tabs>
        <w:overflowPunct w:val="0"/>
        <w:autoSpaceDE w:val="0"/>
        <w:autoSpaceDN w:val="0"/>
        <w:adjustRightInd w:val="0"/>
        <w:spacing w:line="240" w:lineRule="auto"/>
        <w:ind w:left="266" w:hanging="266"/>
        <w:textAlignment w:val="baseline"/>
        <w:rPr>
          <w:b/>
          <w:lang w:val="en-GB"/>
        </w:rPr>
      </w:pPr>
    </w:p>
    <w:p w:rsidR="00116EE0" w:rsidP="002B5786" w:rsidRDefault="00116EE0" w14:paraId="615373FD" w14:textId="77777777">
      <w:pPr>
        <w:overflowPunct w:val="0"/>
        <w:autoSpaceDE w:val="0"/>
        <w:autoSpaceDN w:val="0"/>
        <w:adjustRightInd w:val="0"/>
        <w:spacing w:line="276" w:lineRule="auto"/>
        <w:textAlignment w:val="baseline"/>
        <w:rPr>
          <w:bCs/>
          <w:iCs/>
        </w:rPr>
      </w:pPr>
      <w:r>
        <w:t>El CESE:</w:t>
      </w:r>
    </w:p>
    <w:p w:rsidRPr="00EE160A" w:rsidR="00116EE0" w:rsidP="002B5786" w:rsidRDefault="00116EE0" w14:paraId="5995A366" w14:textId="77777777">
      <w:pPr>
        <w:pStyle w:val="ListParagraph"/>
        <w:numPr>
          <w:ilvl w:val="0"/>
          <w:numId w:val="55"/>
        </w:numPr>
        <w:spacing w:line="276" w:lineRule="auto"/>
        <w:ind w:left="567" w:hanging="567"/>
      </w:pPr>
      <w:r>
        <w:t>pide que se adopten medidas urgentes de política económica que garanticen la resiliencia económica y sistémica y medidas para garantizar un crecimiento económico sostenible y resiliente en la zona del euro, especialmente en comparación con sus mayores competidores en la economía mundial;</w:t>
      </w:r>
    </w:p>
    <w:p w:rsidRPr="00EE160A" w:rsidR="00116EE0" w:rsidP="002B5786" w:rsidRDefault="00116EE0" w14:paraId="5CAA6EDF" w14:textId="77777777">
      <w:pPr>
        <w:pStyle w:val="ListParagraph"/>
        <w:numPr>
          <w:ilvl w:val="0"/>
          <w:numId w:val="55"/>
        </w:numPr>
        <w:spacing w:line="276" w:lineRule="auto"/>
        <w:ind w:left="567" w:hanging="567"/>
      </w:pPr>
      <w:r>
        <w:t>recomienda profundizar el mercado interior y adoptar y llevar a efecto sin demora medidas en favor de una política industrial que se coordine de manera conjunta y de reformas estructurales nacionales. Es necesario atajar el exceso de medidas administrativas y normativas;</w:t>
      </w:r>
    </w:p>
    <w:p w:rsidRPr="00EE160A" w:rsidR="00116EE0" w:rsidP="002B5786" w:rsidRDefault="00116EE0" w14:paraId="116C53A8" w14:textId="77777777">
      <w:pPr>
        <w:pStyle w:val="ListParagraph"/>
        <w:numPr>
          <w:ilvl w:val="0"/>
          <w:numId w:val="55"/>
        </w:numPr>
        <w:spacing w:line="276" w:lineRule="auto"/>
        <w:ind w:left="567" w:hanging="567"/>
      </w:pPr>
      <w:r>
        <w:t>señala que parece preciso vincular la viabilidad presupuestaria con la necesaria liberación fondos, no solo para restablecer la prosperidad económica, sino también porque es de interés público;</w:t>
      </w:r>
    </w:p>
    <w:p w:rsidRPr="00EE160A" w:rsidR="00116EE0" w:rsidP="002B5786" w:rsidRDefault="00116EE0" w14:paraId="03D20410" w14:textId="77777777">
      <w:pPr>
        <w:pStyle w:val="ListParagraph"/>
        <w:numPr>
          <w:ilvl w:val="0"/>
          <w:numId w:val="55"/>
        </w:numPr>
        <w:spacing w:line="276" w:lineRule="auto"/>
        <w:ind w:left="567" w:hanging="567"/>
      </w:pPr>
      <w:r>
        <w:t>respalda que se haga hincapié en aumentar la competitividad —en particular reduciendo la brecha de inversión con Estados Unidos y otros grandes competidores de la economía mundial— y en establecer condiciones para la creación de capital riesgo, especialmente como apoyo a las empresas emergentes y a la expansión del resto;</w:t>
      </w:r>
    </w:p>
    <w:p w:rsidRPr="00EE160A" w:rsidR="00116EE0" w:rsidP="002B5786" w:rsidRDefault="00116EE0" w14:paraId="2AF29DD9" w14:textId="77777777">
      <w:pPr>
        <w:pStyle w:val="ListParagraph"/>
        <w:numPr>
          <w:ilvl w:val="0"/>
          <w:numId w:val="55"/>
        </w:numPr>
        <w:spacing w:line="276" w:lineRule="auto"/>
        <w:ind w:left="567" w:hanging="567"/>
      </w:pPr>
      <w:r>
        <w:t>considera que la política económica de los Estados miembros de la zona del euro no solo se refiere a la estabilidad, la sostenibilidad y el ajuste de los principales indicadores macroeconómicos, sino también, y sobre todo, a profundas reformas estructurales e institucionales;</w:t>
      </w:r>
    </w:p>
    <w:p w:rsidRPr="00EE160A" w:rsidR="00116EE0" w:rsidP="002B5786" w:rsidRDefault="00116EE0" w14:paraId="389E64F9" w14:textId="77777777">
      <w:pPr>
        <w:pStyle w:val="ListParagraph"/>
        <w:numPr>
          <w:ilvl w:val="0"/>
          <w:numId w:val="55"/>
        </w:numPr>
        <w:spacing w:line="276" w:lineRule="auto"/>
        <w:ind w:left="567" w:hanging="567"/>
      </w:pPr>
      <w:r>
        <w:t>señala que, por lo tanto, es preciso revisar las medidas institucionales y legislativas sobre flexibilidad del mercado laboral, crecimiento de los salarios reales y productividad laboral, reforzar la seguridad social y promover la inclusión y el acceso a la vivienda;</w:t>
      </w:r>
    </w:p>
    <w:p w:rsidRPr="00EE160A" w:rsidR="00116EE0" w:rsidP="002B5786" w:rsidRDefault="00116EE0" w14:paraId="2F9487D0" w14:textId="77777777">
      <w:pPr>
        <w:pStyle w:val="ListParagraph"/>
        <w:numPr>
          <w:ilvl w:val="0"/>
          <w:numId w:val="55"/>
        </w:numPr>
        <w:spacing w:line="276" w:lineRule="auto"/>
        <w:ind w:left="567" w:hanging="567"/>
      </w:pPr>
      <w:r>
        <w:t>observa que, habida cuenta del aumento de los gastos destinados a financiar la transición, la defensa y el envejecimiento de la población, y a hacer frente a los costes de endeudamiento y del servicio de la deuda, es importante garantizar un marco presupuestario creíble a medio plazo;</w:t>
      </w:r>
    </w:p>
    <w:p w:rsidRPr="00EE160A" w:rsidR="00116EE0" w:rsidP="002B5786" w:rsidRDefault="00116EE0" w14:paraId="702B0ADB" w14:textId="77777777">
      <w:pPr>
        <w:pStyle w:val="ListParagraph"/>
        <w:numPr>
          <w:ilvl w:val="0"/>
          <w:numId w:val="55"/>
        </w:numPr>
        <w:spacing w:line="276" w:lineRule="auto"/>
        <w:ind w:left="567" w:hanging="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apoya los esfuerzos de la Comisión por hacer que las haciendas públicas sean más eficientes en general y por reducir la cantidad de dinero depositada en paraísos fiscales, así como los planes del G20 en materia de impuesto de sociedades;</w:t>
      </w:r>
    </w:p>
    <w:p w:rsidRPr="00EE160A" w:rsidR="00116EE0" w:rsidP="002B5786" w:rsidRDefault="00116EE0" w14:paraId="3E4C5AA9" w14:textId="77777777">
      <w:pPr>
        <w:pStyle w:val="ListParagraph"/>
        <w:numPr>
          <w:ilvl w:val="0"/>
          <w:numId w:val="55"/>
        </w:numPr>
        <w:spacing w:line="276" w:lineRule="auto"/>
        <w:ind w:left="567" w:hanging="567"/>
      </w:pPr>
      <w:r>
        <w:t>subraya la necesidad de una rendición de cuentas y un compromiso adicionales a la hora de adoptar y poner en marcha las medidas concretas. Para hacer frente a los extraordinarios retos futuros, todas las partes competentes y responsables deberán, más que nunca, entablar un diálogo y trabajar juntos para situar a las economías de la zona del euro en una senda sostenible y resiliente.</w:t>
      </w:r>
    </w:p>
    <w:p w:rsidRPr="00116EE0" w:rsidR="00116EE0" w:rsidP="002B5786" w:rsidRDefault="00116EE0" w14:paraId="123EDCD7" w14:textId="77777777">
      <w:pPr>
        <w:overflowPunct w:val="0"/>
        <w:autoSpaceDE w:val="0"/>
        <w:autoSpaceDN w:val="0"/>
        <w:adjustRightInd w:val="0"/>
        <w:spacing w:line="240" w:lineRule="auto"/>
        <w:textAlignment w:val="baseline"/>
        <w:rPr>
          <w:bCs/>
          <w:iCs/>
          <w:lang w:val="en-GB"/>
        </w:rPr>
      </w:pPr>
    </w:p>
    <w:tbl>
      <w:tblPr>
        <w:tblW w:w="0" w:type="auto"/>
        <w:tblLook w:val="04A0" w:firstRow="1" w:lastRow="0" w:firstColumn="1" w:lastColumn="0" w:noHBand="0" w:noVBand="1"/>
      </w:tblPr>
      <w:tblGrid>
        <w:gridCol w:w="1951"/>
        <w:gridCol w:w="7229"/>
      </w:tblGrid>
      <w:tr w:rsidRPr="00FA33C4" w:rsidR="00116EE0" w:rsidTr="002B5786" w14:paraId="34B87149" w14:textId="77777777">
        <w:tc>
          <w:tcPr>
            <w:tcW w:w="1951" w:type="dxa"/>
          </w:tcPr>
          <w:p w:rsidRPr="00FA33C4" w:rsidR="00116EE0" w:rsidP="002B5786" w:rsidRDefault="00116EE0" w14:paraId="10AAD69C" w14:textId="77777777">
            <w:pPr>
              <w:overflowPunct w:val="0"/>
              <w:autoSpaceDE w:val="0"/>
              <w:autoSpaceDN w:val="0"/>
              <w:adjustRightInd w:val="0"/>
              <w:spacing w:line="276" w:lineRule="auto"/>
              <w:textAlignment w:val="baseline"/>
              <w:rPr>
                <w:i/>
                <w:sz w:val="20"/>
                <w:szCs w:val="20"/>
              </w:rPr>
            </w:pPr>
            <w:r>
              <w:rPr>
                <w:b/>
                <w:i/>
                <w:sz w:val="20"/>
              </w:rPr>
              <w:lastRenderedPageBreak/>
              <w:t>Contacto:</w:t>
            </w:r>
          </w:p>
        </w:tc>
        <w:tc>
          <w:tcPr>
            <w:tcW w:w="7229" w:type="dxa"/>
          </w:tcPr>
          <w:p w:rsidRPr="00FA33C4" w:rsidR="00116EE0" w:rsidP="002B5786" w:rsidRDefault="00116EE0" w14:paraId="04F7E27C" w14:textId="52F60DD0">
            <w:pPr>
              <w:overflowPunct w:val="0"/>
              <w:autoSpaceDE w:val="0"/>
              <w:autoSpaceDN w:val="0"/>
              <w:adjustRightInd w:val="0"/>
              <w:spacing w:line="276" w:lineRule="auto"/>
              <w:textAlignment w:val="baseline"/>
              <w:rPr>
                <w:i/>
                <w:sz w:val="20"/>
                <w:szCs w:val="20"/>
              </w:rPr>
            </w:pPr>
            <w:r>
              <w:rPr>
                <w:i/>
                <w:sz w:val="20"/>
              </w:rPr>
              <w:t>Krisztina Perlaky-Tóth</w:t>
            </w:r>
          </w:p>
        </w:tc>
      </w:tr>
      <w:tr w:rsidRPr="00FA33C4" w:rsidR="00116EE0" w:rsidTr="002B5786" w14:paraId="70EB9029" w14:textId="77777777">
        <w:tc>
          <w:tcPr>
            <w:tcW w:w="1951" w:type="dxa"/>
          </w:tcPr>
          <w:p w:rsidRPr="00FA33C4" w:rsidR="00116EE0" w:rsidP="002B5786" w:rsidRDefault="00116EE0" w14:paraId="22DEC6E0" w14:textId="77777777">
            <w:pPr>
              <w:overflowPunct w:val="0"/>
              <w:autoSpaceDE w:val="0"/>
              <w:autoSpaceDN w:val="0"/>
              <w:adjustRightInd w:val="0"/>
              <w:spacing w:line="276" w:lineRule="auto"/>
              <w:textAlignment w:val="baseline"/>
              <w:rPr>
                <w:i/>
                <w:sz w:val="20"/>
                <w:szCs w:val="20"/>
              </w:rPr>
            </w:pPr>
            <w:r>
              <w:rPr>
                <w:i/>
                <w:sz w:val="20"/>
              </w:rPr>
              <w:t>Teléfono:</w:t>
            </w:r>
          </w:p>
        </w:tc>
        <w:tc>
          <w:tcPr>
            <w:tcW w:w="7229" w:type="dxa"/>
          </w:tcPr>
          <w:p w:rsidRPr="00FA33C4" w:rsidR="00116EE0" w:rsidP="002B5786" w:rsidRDefault="00116EE0" w14:paraId="5780528B" w14:textId="77777777">
            <w:pPr>
              <w:overflowPunct w:val="0"/>
              <w:autoSpaceDE w:val="0"/>
              <w:autoSpaceDN w:val="0"/>
              <w:adjustRightInd w:val="0"/>
              <w:spacing w:line="276" w:lineRule="auto"/>
              <w:textAlignment w:val="baseline"/>
              <w:rPr>
                <w:i/>
                <w:sz w:val="20"/>
                <w:szCs w:val="20"/>
              </w:rPr>
            </w:pPr>
            <w:r>
              <w:rPr>
                <w:i/>
                <w:sz w:val="20"/>
              </w:rPr>
              <w:t>+32 2</w:t>
            </w:r>
            <w:r>
              <w:rPr>
                <w:sz w:val="20"/>
              </w:rPr>
              <w:t xml:space="preserve"> </w:t>
            </w:r>
            <w:r>
              <w:rPr>
                <w:i/>
                <w:sz w:val="20"/>
              </w:rPr>
              <w:t>5469740</w:t>
            </w:r>
          </w:p>
        </w:tc>
      </w:tr>
      <w:tr w:rsidRPr="00FA33C4" w:rsidR="00116EE0" w:rsidTr="002B5786" w14:paraId="507765C2" w14:textId="77777777">
        <w:tc>
          <w:tcPr>
            <w:tcW w:w="1951" w:type="dxa"/>
          </w:tcPr>
          <w:p w:rsidRPr="00FA33C4" w:rsidR="00116EE0" w:rsidP="002B5786" w:rsidRDefault="00E16E3C" w14:paraId="180663CB" w14:textId="447CD0D6">
            <w:pPr>
              <w:overflowPunct w:val="0"/>
              <w:autoSpaceDE w:val="0"/>
              <w:autoSpaceDN w:val="0"/>
              <w:adjustRightInd w:val="0"/>
              <w:spacing w:line="276" w:lineRule="auto"/>
              <w:textAlignment w:val="baseline"/>
              <w:rPr>
                <w:i/>
                <w:sz w:val="20"/>
                <w:szCs w:val="20"/>
              </w:rPr>
            </w:pPr>
            <w:r>
              <w:rPr>
                <w:i/>
                <w:sz w:val="20"/>
              </w:rPr>
              <w:t>Correo electrónico:</w:t>
            </w:r>
          </w:p>
        </w:tc>
        <w:tc>
          <w:tcPr>
            <w:tcW w:w="7229" w:type="dxa"/>
          </w:tcPr>
          <w:p w:rsidRPr="00FA33C4" w:rsidR="00116EE0" w:rsidP="002B5786" w:rsidRDefault="0001176A" w14:paraId="482F0FA1" w14:textId="036474EB">
            <w:pPr>
              <w:overflowPunct w:val="0"/>
              <w:autoSpaceDE w:val="0"/>
              <w:autoSpaceDN w:val="0"/>
              <w:adjustRightInd w:val="0"/>
              <w:spacing w:line="276" w:lineRule="auto"/>
              <w:textAlignment w:val="baseline"/>
              <w:rPr>
                <w:i/>
                <w:sz w:val="20"/>
                <w:szCs w:val="20"/>
              </w:rPr>
            </w:pPr>
            <w:hyperlink w:history="1" r:id="rId21">
              <w:r w:rsidR="00465FCD">
                <w:rPr>
                  <w:i/>
                  <w:color w:val="0000FF"/>
                  <w:sz w:val="20"/>
                  <w:u w:val="single"/>
                </w:rPr>
                <w:t>Krisztina.PerlakyToth@eesc.europa.eu</w:t>
              </w:r>
            </w:hyperlink>
          </w:p>
        </w:tc>
      </w:tr>
    </w:tbl>
    <w:p w:rsidR="004D7AC0" w:rsidP="005F26F9" w:rsidRDefault="004D7AC0" w14:paraId="4982DD98" w14:textId="3FE60050">
      <w:pPr>
        <w:spacing w:line="276" w:lineRule="auto"/>
        <w:jc w:val="left"/>
      </w:pPr>
    </w:p>
    <w:p w:rsidR="004D7AC0" w:rsidP="005F26F9" w:rsidRDefault="004D7AC0" w14:paraId="4982DD99" w14:textId="77777777">
      <w:pPr>
        <w:pStyle w:val="Heading1"/>
        <w:keepNext/>
        <w:keepLines/>
        <w:spacing w:line="276" w:lineRule="auto"/>
        <w:rPr>
          <w:b/>
        </w:rPr>
      </w:pPr>
      <w:bookmarkStart w:name="_Toc75527081" w:id="1"/>
      <w:bookmarkStart w:name="_Toc189228412" w:id="2"/>
      <w:r>
        <w:rPr>
          <w:b/>
        </w:rPr>
        <w:t>EMPLEO, ASUNTOS SOCIALES Y CIUDADANÍA</w:t>
      </w:r>
      <w:bookmarkEnd w:id="1"/>
      <w:bookmarkEnd w:id="2"/>
    </w:p>
    <w:p w:rsidR="004D7AC0" w:rsidP="005F26F9" w:rsidRDefault="004D7AC0" w14:paraId="4982DD9A" w14:textId="77777777">
      <w:pPr>
        <w:keepNext/>
        <w:keepLines/>
        <w:spacing w:line="240" w:lineRule="auto"/>
      </w:pPr>
    </w:p>
    <w:p w:rsidRPr="0060010D" w:rsidR="008D44E2" w:rsidP="005F26F9" w:rsidRDefault="0001176A" w14:paraId="66967C58" w14:textId="0B242FE9">
      <w:pPr>
        <w:widowControl w:val="0"/>
        <w:numPr>
          <w:ilvl w:val="0"/>
          <w:numId w:val="6"/>
        </w:numPr>
        <w:overflowPunct w:val="0"/>
        <w:autoSpaceDE w:val="0"/>
        <w:autoSpaceDN w:val="0"/>
        <w:adjustRightInd w:val="0"/>
        <w:spacing w:line="276" w:lineRule="auto"/>
        <w:ind w:left="567" w:hanging="567"/>
        <w:textAlignment w:val="baseline"/>
      </w:pPr>
      <w:hyperlink w:history="1" r:id="rId22">
        <w:r w:rsidR="008D44E2">
          <w:rPr>
            <w:b/>
            <w:i/>
            <w:color w:val="0000FF"/>
            <w:sz w:val="28"/>
            <w:u w:val="single"/>
          </w:rPr>
          <w:t>Evaluación de los informes anuales de la Comisión Europea sobre el Estado de Derecho en la Unión Europea</w:t>
        </w:r>
      </w:hyperlink>
    </w:p>
    <w:p w:rsidRPr="0060010D" w:rsidR="008D44E2" w:rsidP="005F26F9" w:rsidRDefault="008D44E2" w14:paraId="362D2C36" w14:textId="77777777">
      <w:pPr>
        <w:tabs>
          <w:tab w:val="center" w:pos="284"/>
        </w:tabs>
        <w:overflowPunct w:val="0"/>
        <w:autoSpaceDE w:val="0"/>
        <w:autoSpaceDN w:val="0"/>
        <w:adjustRightInd w:val="0"/>
        <w:spacing w:line="240" w:lineRule="auto"/>
        <w:ind w:left="567" w:hanging="567"/>
        <w:textAlignment w:val="baseline"/>
      </w:pPr>
    </w:p>
    <w:tbl>
      <w:tblPr>
        <w:tblW w:w="0" w:type="auto"/>
        <w:tblLook w:val="04A0" w:firstRow="1" w:lastRow="0" w:firstColumn="1" w:lastColumn="0" w:noHBand="0" w:noVBand="1"/>
      </w:tblPr>
      <w:tblGrid>
        <w:gridCol w:w="1701"/>
        <w:gridCol w:w="7479"/>
      </w:tblGrid>
      <w:tr w:rsidRPr="00FA33C4" w:rsidR="008D44E2" w:rsidTr="0060010D" w14:paraId="123F4EAC" w14:textId="77777777">
        <w:tc>
          <w:tcPr>
            <w:tcW w:w="1701" w:type="dxa"/>
          </w:tcPr>
          <w:p w:rsidRPr="00FA33C4" w:rsidR="008D44E2" w:rsidP="005F26F9" w:rsidRDefault="008D44E2" w14:paraId="45032CB6" w14:textId="35AA7DC0">
            <w:pPr>
              <w:tabs>
                <w:tab w:val="center" w:pos="284"/>
              </w:tabs>
              <w:overflowPunct w:val="0"/>
              <w:autoSpaceDE w:val="0"/>
              <w:autoSpaceDN w:val="0"/>
              <w:adjustRightInd w:val="0"/>
              <w:spacing w:line="276" w:lineRule="auto"/>
              <w:ind w:left="567" w:hanging="567"/>
              <w:textAlignment w:val="baseline"/>
              <w:rPr>
                <w:b/>
                <w:sz w:val="20"/>
                <w:szCs w:val="20"/>
              </w:rPr>
            </w:pPr>
            <w:r>
              <w:rPr>
                <w:b/>
                <w:sz w:val="20"/>
              </w:rPr>
              <w:t>Ponente</w:t>
            </w:r>
          </w:p>
        </w:tc>
        <w:tc>
          <w:tcPr>
            <w:tcW w:w="7479" w:type="dxa"/>
          </w:tcPr>
          <w:p w:rsidRPr="00FA33C4" w:rsidR="008D44E2" w:rsidP="005F26F9" w:rsidRDefault="008D44E2" w14:paraId="4624F106" w14:textId="6AF8BAEA">
            <w:pPr>
              <w:overflowPunct w:val="0"/>
              <w:autoSpaceDE w:val="0"/>
              <w:autoSpaceDN w:val="0"/>
              <w:adjustRightInd w:val="0"/>
              <w:spacing w:line="276" w:lineRule="auto"/>
              <w:textAlignment w:val="baseline"/>
              <w:rPr>
                <w:sz w:val="20"/>
                <w:szCs w:val="20"/>
              </w:rPr>
            </w:pPr>
            <w:r>
              <w:rPr>
                <w:sz w:val="20"/>
              </w:rPr>
              <w:t>Özlem YILDIRIM (Grupo de Trabajadores – FR)</w:t>
            </w:r>
          </w:p>
        </w:tc>
      </w:tr>
      <w:tr w:rsidRPr="00FA33C4" w:rsidR="008D44E2" w:rsidTr="0060010D" w14:paraId="25438929" w14:textId="77777777">
        <w:tc>
          <w:tcPr>
            <w:tcW w:w="1701" w:type="dxa"/>
          </w:tcPr>
          <w:p w:rsidRPr="00FA33C4" w:rsidR="008D44E2" w:rsidP="005F26F9" w:rsidRDefault="008D44E2" w14:paraId="21B9C7A5" w14:textId="77777777">
            <w:pPr>
              <w:tabs>
                <w:tab w:val="center" w:pos="284"/>
              </w:tabs>
              <w:overflowPunct w:val="0"/>
              <w:autoSpaceDE w:val="0"/>
              <w:autoSpaceDN w:val="0"/>
              <w:adjustRightInd w:val="0"/>
              <w:spacing w:line="276" w:lineRule="auto"/>
              <w:ind w:left="567" w:hanging="567"/>
              <w:textAlignment w:val="baseline"/>
              <w:rPr>
                <w:b/>
                <w:sz w:val="20"/>
                <w:szCs w:val="20"/>
              </w:rPr>
            </w:pPr>
            <w:r>
              <w:rPr>
                <w:b/>
                <w:bCs/>
                <w:sz w:val="20"/>
              </w:rPr>
              <w:t>Coponente</w:t>
            </w:r>
          </w:p>
        </w:tc>
        <w:tc>
          <w:tcPr>
            <w:tcW w:w="7479" w:type="dxa"/>
          </w:tcPr>
          <w:p w:rsidRPr="00FA33C4" w:rsidR="008D44E2" w:rsidP="005F26F9" w:rsidRDefault="008D44E2" w14:paraId="6F2CD064" w14:textId="632788C2">
            <w:pPr>
              <w:overflowPunct w:val="0"/>
              <w:autoSpaceDE w:val="0"/>
              <w:autoSpaceDN w:val="0"/>
              <w:adjustRightInd w:val="0"/>
              <w:spacing w:line="276" w:lineRule="auto"/>
              <w:textAlignment w:val="baseline"/>
              <w:rPr>
                <w:sz w:val="20"/>
                <w:szCs w:val="20"/>
              </w:rPr>
            </w:pPr>
            <w:r>
              <w:rPr>
                <w:sz w:val="20"/>
              </w:rPr>
              <w:t>Christian MOOS (Grupo de Organizaciones de la Sociedad Civil – DE)</w:t>
            </w:r>
          </w:p>
        </w:tc>
      </w:tr>
      <w:tr w:rsidRPr="00FA33C4" w:rsidR="007554BE" w:rsidTr="0060010D" w14:paraId="1AF3DB80" w14:textId="77777777">
        <w:tc>
          <w:tcPr>
            <w:tcW w:w="1701" w:type="dxa"/>
          </w:tcPr>
          <w:p w:rsidRPr="00FA33C4" w:rsidR="007554BE" w:rsidP="005F26F9" w:rsidRDefault="007554BE" w14:paraId="73A58438" w14:textId="77777777">
            <w:pPr>
              <w:tabs>
                <w:tab w:val="center" w:pos="284"/>
              </w:tabs>
              <w:overflowPunct w:val="0"/>
              <w:autoSpaceDE w:val="0"/>
              <w:autoSpaceDN w:val="0"/>
              <w:adjustRightInd w:val="0"/>
              <w:spacing w:line="276" w:lineRule="auto"/>
              <w:ind w:left="567" w:hanging="567"/>
              <w:textAlignment w:val="baseline"/>
              <w:rPr>
                <w:b/>
                <w:sz w:val="20"/>
                <w:szCs w:val="20"/>
                <w:lang w:val="fr-FR"/>
              </w:rPr>
            </w:pPr>
          </w:p>
        </w:tc>
        <w:tc>
          <w:tcPr>
            <w:tcW w:w="7479" w:type="dxa"/>
          </w:tcPr>
          <w:p w:rsidRPr="00FA33C4" w:rsidR="007554BE" w:rsidP="005F26F9" w:rsidRDefault="007554BE" w14:paraId="2FCE5DDE" w14:textId="77777777">
            <w:pPr>
              <w:overflowPunct w:val="0"/>
              <w:autoSpaceDE w:val="0"/>
              <w:autoSpaceDN w:val="0"/>
              <w:adjustRightInd w:val="0"/>
              <w:spacing w:line="276" w:lineRule="auto"/>
              <w:textAlignment w:val="baseline"/>
              <w:rPr>
                <w:sz w:val="20"/>
                <w:szCs w:val="20"/>
              </w:rPr>
            </w:pPr>
          </w:p>
        </w:tc>
      </w:tr>
      <w:tr w:rsidRPr="00FA33C4" w:rsidR="008D44E2" w:rsidTr="0060010D" w14:paraId="02690065" w14:textId="77777777">
        <w:tc>
          <w:tcPr>
            <w:tcW w:w="1701" w:type="dxa"/>
          </w:tcPr>
          <w:p w:rsidRPr="00FA33C4" w:rsidR="008D44E2" w:rsidP="005F26F9" w:rsidRDefault="008D44E2" w14:paraId="2B578688" w14:textId="77777777">
            <w:pPr>
              <w:tabs>
                <w:tab w:val="center" w:pos="284"/>
              </w:tabs>
              <w:overflowPunct w:val="0"/>
              <w:autoSpaceDE w:val="0"/>
              <w:autoSpaceDN w:val="0"/>
              <w:adjustRightInd w:val="0"/>
              <w:spacing w:line="276" w:lineRule="auto"/>
              <w:ind w:left="567" w:hanging="567"/>
              <w:textAlignment w:val="baseline"/>
              <w:rPr>
                <w:b/>
                <w:sz w:val="20"/>
                <w:szCs w:val="20"/>
              </w:rPr>
            </w:pPr>
            <w:r>
              <w:rPr>
                <w:b/>
                <w:sz w:val="20"/>
              </w:rPr>
              <w:t>Referencias</w:t>
            </w:r>
          </w:p>
        </w:tc>
        <w:tc>
          <w:tcPr>
            <w:tcW w:w="7479" w:type="dxa"/>
          </w:tcPr>
          <w:p w:rsidRPr="0060010D" w:rsidR="00EF40DB" w:rsidP="005F26F9" w:rsidRDefault="00EF40DB" w14:paraId="37A59977" w14:textId="60E9D28B">
            <w:pPr>
              <w:tabs>
                <w:tab w:val="center" w:pos="284"/>
              </w:tabs>
              <w:overflowPunct w:val="0"/>
              <w:autoSpaceDE w:val="0"/>
              <w:autoSpaceDN w:val="0"/>
              <w:adjustRightInd w:val="0"/>
              <w:spacing w:line="276" w:lineRule="auto"/>
              <w:ind w:left="567" w:hanging="567"/>
              <w:textAlignment w:val="baseline"/>
              <w:rPr>
                <w:sz w:val="20"/>
                <w:szCs w:val="20"/>
              </w:rPr>
            </w:pPr>
            <w:r>
              <w:rPr>
                <w:sz w:val="20"/>
              </w:rPr>
              <w:t>Dictamen de iniciativa</w:t>
            </w:r>
          </w:p>
          <w:p w:rsidRPr="0060010D" w:rsidR="008D44E2" w:rsidP="005F26F9" w:rsidRDefault="008D44E2" w14:paraId="57D0DADC" w14:textId="763DB069">
            <w:pPr>
              <w:tabs>
                <w:tab w:val="center" w:pos="284"/>
              </w:tabs>
              <w:overflowPunct w:val="0"/>
              <w:autoSpaceDE w:val="0"/>
              <w:autoSpaceDN w:val="0"/>
              <w:adjustRightInd w:val="0"/>
              <w:spacing w:line="276" w:lineRule="auto"/>
              <w:ind w:left="567" w:hanging="567"/>
              <w:textAlignment w:val="baseline"/>
              <w:rPr>
                <w:sz w:val="20"/>
                <w:szCs w:val="20"/>
              </w:rPr>
            </w:pPr>
            <w:r>
              <w:rPr>
                <w:sz w:val="20"/>
              </w:rPr>
              <w:t>EESC-2024-01961-00-00-AC</w:t>
            </w:r>
          </w:p>
        </w:tc>
      </w:tr>
    </w:tbl>
    <w:p w:rsidRPr="008D44E2" w:rsidR="008D44E2" w:rsidP="005F26F9" w:rsidRDefault="008D44E2" w14:paraId="1140C756" w14:textId="77777777">
      <w:pPr>
        <w:keepNext/>
        <w:keepLines/>
        <w:tabs>
          <w:tab w:val="center" w:pos="284"/>
        </w:tabs>
        <w:overflowPunct w:val="0"/>
        <w:autoSpaceDE w:val="0"/>
        <w:autoSpaceDN w:val="0"/>
        <w:adjustRightInd w:val="0"/>
        <w:spacing w:line="180" w:lineRule="auto"/>
        <w:ind w:left="266" w:hanging="266"/>
        <w:textAlignment w:val="baseline"/>
        <w:rPr>
          <w:b/>
          <w:lang w:val="en-GB"/>
        </w:rPr>
      </w:pPr>
    </w:p>
    <w:p w:rsidRPr="008D44E2" w:rsidR="008D44E2" w:rsidP="005F26F9" w:rsidRDefault="008D44E2" w14:paraId="7D2BDAE6"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Puntos clave</w:t>
      </w:r>
    </w:p>
    <w:p w:rsidRPr="008D44E2" w:rsidR="008D44E2" w:rsidP="005F26F9" w:rsidRDefault="008D44E2" w14:paraId="1679A44A" w14:textId="77777777">
      <w:pPr>
        <w:overflowPunct w:val="0"/>
        <w:autoSpaceDE w:val="0"/>
        <w:autoSpaceDN w:val="0"/>
        <w:adjustRightInd w:val="0"/>
        <w:spacing w:line="240" w:lineRule="auto"/>
        <w:textAlignment w:val="baseline"/>
        <w:rPr>
          <w:szCs w:val="20"/>
          <w:lang w:val="en-GB"/>
        </w:rPr>
      </w:pPr>
    </w:p>
    <w:p w:rsidR="008D44E2" w:rsidP="005F26F9" w:rsidRDefault="008D44E2" w14:paraId="53A072BD" w14:textId="77777777">
      <w:pPr>
        <w:spacing w:line="276" w:lineRule="auto"/>
      </w:pPr>
      <w:r>
        <w:t>El CESE:</w:t>
      </w:r>
    </w:p>
    <w:p w:rsidR="00EE160A" w:rsidP="005F26F9" w:rsidRDefault="00EE160A" w14:paraId="2D981745" w14:textId="5A481290">
      <w:pPr>
        <w:pStyle w:val="ListParagraph"/>
        <w:numPr>
          <w:ilvl w:val="0"/>
          <w:numId w:val="57"/>
        </w:numPr>
        <w:spacing w:line="276" w:lineRule="auto"/>
        <w:ind w:left="567" w:hanging="567"/>
      </w:pPr>
      <w:r>
        <w:t>denuncia el deterioro de los derechos humanos, el Estado de Derecho y la democracia. Felicita a la Comisión Europea por su conjunto de herramientas del Estado de Derecho. Los informes anuales sobre el Estado de Derecho representan avances, pero el CESE observa algunas deficiencias persistentes y pide nuevas mejoras;</w:t>
      </w:r>
    </w:p>
    <w:p w:rsidRPr="00EE160A" w:rsidR="008D44E2" w:rsidP="005F26F9" w:rsidRDefault="008D44E2" w14:paraId="41DD115E" w14:textId="3CF567B3">
      <w:pPr>
        <w:pStyle w:val="ListParagraph"/>
        <w:numPr>
          <w:ilvl w:val="0"/>
          <w:numId w:val="57"/>
        </w:numPr>
        <w:spacing w:line="276" w:lineRule="auto"/>
        <w:ind w:left="567" w:hanging="567"/>
      </w:pPr>
      <w:r>
        <w:t>recomienda que la Comisión garantice que se otorga a la sociedad civil un papel significativo tanto en la fase de preparación como en la de seguimiento del informe a nivel nacional, a fin de asegurar la participación activa de las partes interesadas y la rendición de cuentas, a lo que el CESE puede ayudar;</w:t>
      </w:r>
    </w:p>
    <w:p w:rsidRPr="00EE160A" w:rsidR="008D44E2" w:rsidP="005F26F9" w:rsidRDefault="008D44E2" w14:paraId="58F02A8C" w14:textId="77777777">
      <w:pPr>
        <w:pStyle w:val="ListParagraph"/>
        <w:numPr>
          <w:ilvl w:val="0"/>
          <w:numId w:val="57"/>
        </w:numPr>
        <w:spacing w:line="276" w:lineRule="auto"/>
        <w:ind w:left="567" w:hanging="567"/>
      </w:pPr>
      <w:r>
        <w:t>recomienda que la Comisión adopte un enfoque analítico más matizado mediante la participación de expertos independientes, la realización de visitas sobre el terreno y el uso de un lenguaje más directo en su evaluación;</w:t>
      </w:r>
    </w:p>
    <w:p w:rsidRPr="00EE160A" w:rsidR="008D44E2" w:rsidP="005F26F9" w:rsidRDefault="008D44E2" w14:paraId="109D302D" w14:textId="77777777">
      <w:pPr>
        <w:pStyle w:val="ListParagraph"/>
        <w:numPr>
          <w:ilvl w:val="0"/>
          <w:numId w:val="57"/>
        </w:numPr>
        <w:spacing w:line="276" w:lineRule="auto"/>
        <w:ind w:left="567" w:hanging="567"/>
      </w:pPr>
      <w:r>
        <w:t>recomienda ampliar la sección del informe anual sobre el Estado de Derecho dedicada a las organizaciones de la sociedad civil y proporcionar una evaluación basada en parámetros de referencia objetivos y en un diálogo transparente con los agentes de la sociedad civil;</w:t>
      </w:r>
    </w:p>
    <w:p w:rsidRPr="00EE160A" w:rsidR="008D44E2" w:rsidP="005F26F9" w:rsidRDefault="008D44E2" w14:paraId="794DF6BA" w14:textId="77777777">
      <w:pPr>
        <w:pStyle w:val="ListParagraph"/>
        <w:numPr>
          <w:ilvl w:val="0"/>
          <w:numId w:val="57"/>
        </w:numPr>
        <w:spacing w:line="276" w:lineRule="auto"/>
        <w:ind w:left="567" w:hanging="567"/>
      </w:pPr>
      <w:r>
        <w:t>recomienda a la Comisión que elabore recomendaciones por país más precisas y mensurables con parámetros de referencia, indicadores y plazos claros. Pide que se lleve a cabo una evaluación más exhaustiva para supervisar la aplicación de estas recomendaciones, con una presentación transparente que concrete qué Estados miembros han incumplido los parámetros de referencia o los plazos, e insta a la Comisión a que otorgue al informe un papel más importante en la activación de otros mecanismos del Estado de Derecho cuando no se apliquen las recomendaciones específicas por país;</w:t>
      </w:r>
    </w:p>
    <w:p w:rsidRPr="00EE160A" w:rsidR="008D44E2" w:rsidP="005F26F9" w:rsidRDefault="008D44E2" w14:paraId="3EFF293E" w14:textId="77777777">
      <w:pPr>
        <w:pStyle w:val="ListParagraph"/>
        <w:numPr>
          <w:ilvl w:val="0"/>
          <w:numId w:val="57"/>
        </w:numPr>
        <w:spacing w:line="276" w:lineRule="auto"/>
        <w:ind w:left="567" w:hanging="567"/>
      </w:pPr>
      <w:r>
        <w:t>recomienda a la Comisión que simplifique el lenguaje de los informes con el fin de hacerlos más accesibles al público en general y a los periodistas, y que proponga una estrategia de comunicación integral para sensibilizar sobre los derechos fundamentales y el Estado de Derecho;</w:t>
      </w:r>
    </w:p>
    <w:p w:rsidRPr="00EE160A" w:rsidR="008D44E2" w:rsidP="005F26F9" w:rsidRDefault="008D44E2" w14:paraId="5DDE0A1C" w14:textId="77777777">
      <w:pPr>
        <w:pStyle w:val="ListParagraph"/>
        <w:numPr>
          <w:ilvl w:val="0"/>
          <w:numId w:val="57"/>
        </w:numPr>
        <w:spacing w:line="276" w:lineRule="auto"/>
        <w:ind w:left="567" w:hanging="567"/>
      </w:pPr>
      <w:r>
        <w:t xml:space="preserve">recibe con interés la intención de la presidenta de la Comisión de crear una Plataforma de la Sociedad Civil y reitera que un diálogo cualitativo va más allá de la mera consulta. El CESE </w:t>
      </w:r>
      <w:r>
        <w:lastRenderedPageBreak/>
        <w:t xml:space="preserve">debe participar en la gobernanza y ser un elemento clave de cualquier plataforma de este tipo, ya que es el órgano al que el Tratado encomienda consultar a las asociaciones empresariales, los sindicatos y la sociedad civil organizada. </w:t>
      </w:r>
    </w:p>
    <w:p w:rsidRPr="008D44E2" w:rsidR="008D44E2" w:rsidP="005F26F9" w:rsidRDefault="008D44E2" w14:paraId="2A36C52A" w14:textId="77777777">
      <w:pPr>
        <w:spacing w:line="240" w:lineRule="auto"/>
        <w:rPr>
          <w:lang w:val="en-GB"/>
        </w:rPr>
      </w:pPr>
    </w:p>
    <w:tbl>
      <w:tblPr>
        <w:tblW w:w="4941" w:type="pct"/>
        <w:tblLook w:val="04A0" w:firstRow="1" w:lastRow="0" w:firstColumn="1" w:lastColumn="0" w:noHBand="0" w:noVBand="1"/>
      </w:tblPr>
      <w:tblGrid>
        <w:gridCol w:w="2032"/>
        <w:gridCol w:w="7147"/>
      </w:tblGrid>
      <w:tr w:rsidRPr="00FA33C4" w:rsidR="008D44E2" w:rsidTr="0060010D" w14:paraId="6CC6C850" w14:textId="77777777">
        <w:trPr>
          <w:trHeight w:val="60"/>
        </w:trPr>
        <w:tc>
          <w:tcPr>
            <w:tcW w:w="1107" w:type="pct"/>
            <w:hideMark/>
          </w:tcPr>
          <w:p w:rsidRPr="00FA33C4" w:rsidR="008D44E2" w:rsidP="005F26F9" w:rsidRDefault="008D44E2" w14:paraId="1236B2CE" w14:textId="77777777">
            <w:pPr>
              <w:overflowPunct w:val="0"/>
              <w:autoSpaceDE w:val="0"/>
              <w:autoSpaceDN w:val="0"/>
              <w:adjustRightInd w:val="0"/>
              <w:spacing w:line="276" w:lineRule="auto"/>
              <w:textAlignment w:val="baseline"/>
              <w:rPr>
                <w:i/>
                <w:sz w:val="20"/>
                <w:szCs w:val="20"/>
              </w:rPr>
            </w:pPr>
            <w:r>
              <w:rPr>
                <w:b/>
                <w:i/>
                <w:sz w:val="20"/>
              </w:rPr>
              <w:t>Contacto:</w:t>
            </w:r>
          </w:p>
        </w:tc>
        <w:tc>
          <w:tcPr>
            <w:tcW w:w="3893" w:type="pct"/>
            <w:hideMark/>
          </w:tcPr>
          <w:p w:rsidRPr="00FA33C4" w:rsidR="008D44E2" w:rsidP="005F26F9" w:rsidRDefault="008D44E2" w14:paraId="57763471" w14:textId="77777777">
            <w:pPr>
              <w:overflowPunct w:val="0"/>
              <w:autoSpaceDE w:val="0"/>
              <w:autoSpaceDN w:val="0"/>
              <w:adjustRightInd w:val="0"/>
              <w:spacing w:line="276" w:lineRule="auto"/>
              <w:textAlignment w:val="baseline"/>
              <w:rPr>
                <w:i/>
                <w:sz w:val="20"/>
                <w:szCs w:val="20"/>
              </w:rPr>
            </w:pPr>
            <w:r>
              <w:rPr>
                <w:i/>
                <w:sz w:val="20"/>
              </w:rPr>
              <w:t>June Bedaton</w:t>
            </w:r>
          </w:p>
        </w:tc>
      </w:tr>
      <w:tr w:rsidRPr="00FA33C4" w:rsidR="008D44E2" w:rsidTr="0060010D" w14:paraId="14276645" w14:textId="77777777">
        <w:tc>
          <w:tcPr>
            <w:tcW w:w="1107" w:type="pct"/>
            <w:hideMark/>
          </w:tcPr>
          <w:p w:rsidRPr="00FA33C4" w:rsidR="008D44E2" w:rsidP="005F26F9" w:rsidRDefault="008D44E2" w14:paraId="20FF892B" w14:textId="77777777">
            <w:pPr>
              <w:overflowPunct w:val="0"/>
              <w:autoSpaceDE w:val="0"/>
              <w:autoSpaceDN w:val="0"/>
              <w:adjustRightInd w:val="0"/>
              <w:spacing w:line="276" w:lineRule="auto"/>
              <w:textAlignment w:val="baseline"/>
              <w:rPr>
                <w:i/>
                <w:sz w:val="20"/>
                <w:szCs w:val="20"/>
              </w:rPr>
            </w:pPr>
            <w:r>
              <w:rPr>
                <w:i/>
                <w:sz w:val="20"/>
              </w:rPr>
              <w:t>Teléfono:</w:t>
            </w:r>
          </w:p>
        </w:tc>
        <w:tc>
          <w:tcPr>
            <w:tcW w:w="3893" w:type="pct"/>
            <w:hideMark/>
          </w:tcPr>
          <w:p w:rsidRPr="00FA33C4" w:rsidR="008D44E2" w:rsidP="005F26F9" w:rsidRDefault="008D44E2" w14:paraId="063E03E0" w14:textId="77777777">
            <w:pPr>
              <w:overflowPunct w:val="0"/>
              <w:autoSpaceDE w:val="0"/>
              <w:autoSpaceDN w:val="0"/>
              <w:adjustRightInd w:val="0"/>
              <w:spacing w:line="276" w:lineRule="auto"/>
              <w:textAlignment w:val="baseline"/>
              <w:rPr>
                <w:i/>
                <w:sz w:val="20"/>
                <w:szCs w:val="20"/>
              </w:rPr>
            </w:pPr>
            <w:r>
              <w:rPr>
                <w:i/>
                <w:sz w:val="20"/>
              </w:rPr>
              <w:t>+32 25468134</w:t>
            </w:r>
          </w:p>
        </w:tc>
      </w:tr>
      <w:tr w:rsidRPr="00FA33C4" w:rsidR="008D44E2" w:rsidTr="0060010D" w14:paraId="31D1E30B" w14:textId="77777777">
        <w:tc>
          <w:tcPr>
            <w:tcW w:w="1107" w:type="pct"/>
            <w:hideMark/>
          </w:tcPr>
          <w:p w:rsidRPr="00FA33C4" w:rsidR="008D44E2" w:rsidP="005F26F9" w:rsidRDefault="000A6A5A" w14:paraId="468B19E4" w14:textId="7EB66E16">
            <w:pPr>
              <w:overflowPunct w:val="0"/>
              <w:autoSpaceDE w:val="0"/>
              <w:autoSpaceDN w:val="0"/>
              <w:adjustRightInd w:val="0"/>
              <w:spacing w:line="276" w:lineRule="auto"/>
              <w:textAlignment w:val="baseline"/>
              <w:rPr>
                <w:i/>
                <w:sz w:val="20"/>
                <w:szCs w:val="20"/>
              </w:rPr>
            </w:pPr>
            <w:r>
              <w:rPr>
                <w:i/>
                <w:sz w:val="20"/>
              </w:rPr>
              <w:t>Correo electrónico:</w:t>
            </w:r>
          </w:p>
        </w:tc>
        <w:tc>
          <w:tcPr>
            <w:tcW w:w="3893" w:type="pct"/>
            <w:hideMark/>
          </w:tcPr>
          <w:p w:rsidRPr="00FA33C4" w:rsidR="008D44E2" w:rsidP="005F26F9" w:rsidRDefault="008D44E2" w14:paraId="616D1BD7" w14:textId="77777777">
            <w:pPr>
              <w:overflowPunct w:val="0"/>
              <w:autoSpaceDE w:val="0"/>
              <w:autoSpaceDN w:val="0"/>
              <w:adjustRightInd w:val="0"/>
              <w:spacing w:line="276" w:lineRule="auto"/>
              <w:textAlignment w:val="baseline"/>
              <w:rPr>
                <w:i/>
                <w:sz w:val="20"/>
                <w:szCs w:val="20"/>
              </w:rPr>
            </w:pPr>
            <w:r>
              <w:rPr>
                <w:i/>
                <w:sz w:val="20"/>
              </w:rPr>
              <w:t>June.Bedaton@eesc.europa.eu</w:t>
            </w:r>
          </w:p>
        </w:tc>
      </w:tr>
    </w:tbl>
    <w:p w:rsidRPr="00EE160A" w:rsidR="000B40B4" w:rsidP="0060010D" w:rsidRDefault="000B40B4" w14:paraId="1B3AE897" w14:textId="5D7D57EC">
      <w:pPr>
        <w:jc w:val="left"/>
      </w:pPr>
    </w:p>
    <w:p w:rsidRPr="0060010D" w:rsidR="00892F37" w:rsidRDefault="0001176A" w14:paraId="01CD4F6D" w14:textId="37AA4C9C">
      <w:pPr>
        <w:keepNext/>
        <w:keepLines/>
        <w:widowControl w:val="0"/>
        <w:numPr>
          <w:ilvl w:val="0"/>
          <w:numId w:val="6"/>
        </w:numPr>
        <w:overflowPunct w:val="0"/>
        <w:autoSpaceDE w:val="0"/>
        <w:autoSpaceDN w:val="0"/>
        <w:adjustRightInd w:val="0"/>
        <w:ind w:left="567" w:hanging="567"/>
        <w:textAlignment w:val="baseline"/>
        <w:rPr>
          <w:b/>
        </w:rPr>
      </w:pPr>
      <w:hyperlink w:history="1" r:id="rId23">
        <w:r w:rsidR="00EA1912">
          <w:rPr>
            <w:b/>
            <w:i/>
            <w:color w:val="0000FF"/>
            <w:sz w:val="28"/>
            <w:u w:val="single"/>
          </w:rPr>
          <w:t>En favor de una inteligencia artificial positiva para los trabajadores: mecanismos para aprovechar el potencial y mitigar los riesgos de la IA en relación con las políticas de empleo y del mercado laboral</w:t>
        </w:r>
      </w:hyperlink>
    </w:p>
    <w:p w:rsidRPr="0060010D" w:rsidR="00726351" w:rsidP="0060010D" w:rsidRDefault="00726351" w14:paraId="4672B116" w14:textId="77777777">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562"/>
        <w:gridCol w:w="7619"/>
      </w:tblGrid>
      <w:tr w:rsidRPr="00FA33C4" w:rsidR="00892F37" w:rsidTr="00C716D8" w14:paraId="5E6AB028" w14:textId="77777777">
        <w:tc>
          <w:tcPr>
            <w:tcW w:w="1593" w:type="dxa"/>
          </w:tcPr>
          <w:p w:rsidRPr="00FA33C4" w:rsidR="00892F37" w:rsidRDefault="00892F37" w14:paraId="3204FBC0" w14:textId="77777777">
            <w:pPr>
              <w:tabs>
                <w:tab w:val="center" w:pos="284"/>
              </w:tabs>
              <w:overflowPunct w:val="0"/>
              <w:autoSpaceDE w:val="0"/>
              <w:autoSpaceDN w:val="0"/>
              <w:adjustRightInd w:val="0"/>
              <w:ind w:left="-109"/>
              <w:textAlignment w:val="baseline"/>
              <w:rPr>
                <w:b/>
                <w:sz w:val="20"/>
                <w:szCs w:val="20"/>
              </w:rPr>
            </w:pPr>
            <w:r>
              <w:rPr>
                <w:b/>
                <w:sz w:val="20"/>
              </w:rPr>
              <w:t>Ponente</w:t>
            </w:r>
          </w:p>
        </w:tc>
        <w:tc>
          <w:tcPr>
            <w:tcW w:w="8046" w:type="dxa"/>
          </w:tcPr>
          <w:p w:rsidRPr="00FA33C4" w:rsidR="001900C9" w:rsidRDefault="00892F37" w14:paraId="043ACA2C" w14:textId="1B49D803">
            <w:pPr>
              <w:overflowPunct w:val="0"/>
              <w:autoSpaceDE w:val="0"/>
              <w:autoSpaceDN w:val="0"/>
              <w:adjustRightInd w:val="0"/>
              <w:textAlignment w:val="baseline"/>
              <w:rPr>
                <w:sz w:val="20"/>
                <w:szCs w:val="20"/>
              </w:rPr>
            </w:pPr>
            <w:r>
              <w:rPr>
                <w:sz w:val="20"/>
              </w:rPr>
              <w:t>Franca SALIS-MADINIER (Grupo de Trabajadores – FR)</w:t>
            </w:r>
          </w:p>
        </w:tc>
      </w:tr>
      <w:tr w:rsidRPr="00FA33C4" w:rsidR="007554BE" w:rsidTr="00C716D8" w14:paraId="073D521C" w14:textId="77777777">
        <w:tc>
          <w:tcPr>
            <w:tcW w:w="1593" w:type="dxa"/>
          </w:tcPr>
          <w:p w:rsidRPr="00FA33C4" w:rsidR="007554BE" w:rsidP="007554BE" w:rsidRDefault="007554BE" w14:paraId="5CB8AF2B" w14:textId="77777777">
            <w:pPr>
              <w:tabs>
                <w:tab w:val="center" w:pos="284"/>
              </w:tabs>
              <w:overflowPunct w:val="0"/>
              <w:autoSpaceDE w:val="0"/>
              <w:autoSpaceDN w:val="0"/>
              <w:adjustRightInd w:val="0"/>
              <w:ind w:left="-109"/>
              <w:textAlignment w:val="baseline"/>
              <w:rPr>
                <w:b/>
                <w:sz w:val="20"/>
                <w:szCs w:val="20"/>
              </w:rPr>
            </w:pPr>
          </w:p>
        </w:tc>
        <w:tc>
          <w:tcPr>
            <w:tcW w:w="8046" w:type="dxa"/>
          </w:tcPr>
          <w:p w:rsidRPr="00FA33C4" w:rsidR="007554BE" w:rsidP="007554BE" w:rsidRDefault="007554BE" w14:paraId="3424EA4D" w14:textId="77777777">
            <w:pPr>
              <w:overflowPunct w:val="0"/>
              <w:autoSpaceDE w:val="0"/>
              <w:autoSpaceDN w:val="0"/>
              <w:adjustRightInd w:val="0"/>
              <w:textAlignment w:val="baseline"/>
              <w:rPr>
                <w:sz w:val="20"/>
                <w:szCs w:val="20"/>
              </w:rPr>
            </w:pPr>
          </w:p>
        </w:tc>
      </w:tr>
      <w:tr w:rsidRPr="00FA33C4" w:rsidR="00892F37" w:rsidTr="00C716D8" w14:paraId="7CC41633" w14:textId="77777777">
        <w:tc>
          <w:tcPr>
            <w:tcW w:w="1593" w:type="dxa"/>
          </w:tcPr>
          <w:p w:rsidRPr="00FA33C4" w:rsidR="00892F37" w:rsidRDefault="00892F37" w14:paraId="3DF4D4E2" w14:textId="77777777">
            <w:pPr>
              <w:tabs>
                <w:tab w:val="center" w:pos="284"/>
              </w:tabs>
              <w:overflowPunct w:val="0"/>
              <w:autoSpaceDE w:val="0"/>
              <w:autoSpaceDN w:val="0"/>
              <w:adjustRightInd w:val="0"/>
              <w:ind w:left="-109"/>
              <w:textAlignment w:val="baseline"/>
              <w:rPr>
                <w:b/>
                <w:sz w:val="20"/>
                <w:szCs w:val="20"/>
              </w:rPr>
            </w:pPr>
            <w:r>
              <w:rPr>
                <w:b/>
                <w:sz w:val="20"/>
              </w:rPr>
              <w:t>Referencias</w:t>
            </w:r>
          </w:p>
        </w:tc>
        <w:tc>
          <w:tcPr>
            <w:tcW w:w="8046" w:type="dxa"/>
          </w:tcPr>
          <w:p w:rsidRPr="0060010D" w:rsidR="001900C9" w:rsidRDefault="001900C9" w14:paraId="55BA3B3E" w14:textId="03F243FE">
            <w:pPr>
              <w:tabs>
                <w:tab w:val="center" w:pos="284"/>
              </w:tabs>
              <w:overflowPunct w:val="0"/>
              <w:autoSpaceDE w:val="0"/>
              <w:autoSpaceDN w:val="0"/>
              <w:adjustRightInd w:val="0"/>
              <w:textAlignment w:val="baseline"/>
              <w:rPr>
                <w:sz w:val="20"/>
                <w:szCs w:val="20"/>
              </w:rPr>
            </w:pPr>
            <w:r>
              <w:rPr>
                <w:sz w:val="20"/>
              </w:rPr>
              <w:t>Dictamen de iniciativa</w:t>
            </w:r>
          </w:p>
          <w:p w:rsidRPr="0060010D" w:rsidR="00892F37" w:rsidRDefault="00892F37" w14:paraId="7497C095" w14:textId="32327B8A">
            <w:pPr>
              <w:tabs>
                <w:tab w:val="center" w:pos="284"/>
              </w:tabs>
              <w:overflowPunct w:val="0"/>
              <w:autoSpaceDE w:val="0"/>
              <w:autoSpaceDN w:val="0"/>
              <w:adjustRightInd w:val="0"/>
              <w:textAlignment w:val="baseline"/>
              <w:rPr>
                <w:sz w:val="20"/>
                <w:szCs w:val="20"/>
              </w:rPr>
            </w:pPr>
            <w:r>
              <w:rPr>
                <w:sz w:val="20"/>
              </w:rPr>
              <w:t>EESC-2024-01024-00-00-AC-TRA</w:t>
            </w:r>
          </w:p>
        </w:tc>
      </w:tr>
    </w:tbl>
    <w:p w:rsidRPr="00892F37" w:rsidR="00892F37" w:rsidRDefault="00892F37" w14:paraId="0994AF52" w14:textId="77777777">
      <w:pPr>
        <w:keepNext/>
        <w:keepLines/>
        <w:tabs>
          <w:tab w:val="center" w:pos="0"/>
        </w:tabs>
        <w:overflowPunct w:val="0"/>
        <w:autoSpaceDE w:val="0"/>
        <w:autoSpaceDN w:val="0"/>
        <w:adjustRightInd w:val="0"/>
        <w:textAlignment w:val="baseline"/>
        <w:rPr>
          <w:b/>
          <w:lang w:val="en-GB"/>
        </w:rPr>
      </w:pPr>
    </w:p>
    <w:p w:rsidRPr="00892F37" w:rsidR="00892F37" w:rsidRDefault="00892F37" w14:paraId="28169BF5" w14:textId="77777777">
      <w:pPr>
        <w:keepNext/>
        <w:keepLines/>
        <w:tabs>
          <w:tab w:val="center" w:pos="0"/>
        </w:tabs>
        <w:overflowPunct w:val="0"/>
        <w:autoSpaceDE w:val="0"/>
        <w:autoSpaceDN w:val="0"/>
        <w:adjustRightInd w:val="0"/>
        <w:textAlignment w:val="baseline"/>
        <w:rPr>
          <w:b/>
        </w:rPr>
      </w:pPr>
      <w:r>
        <w:rPr>
          <w:b/>
        </w:rPr>
        <w:t>Puntos clave</w:t>
      </w:r>
    </w:p>
    <w:p w:rsidRPr="00892F37" w:rsidR="00892F37" w:rsidRDefault="00892F37" w14:paraId="0669BE34" w14:textId="77777777">
      <w:pPr>
        <w:overflowPunct w:val="0"/>
        <w:autoSpaceDE w:val="0"/>
        <w:autoSpaceDN w:val="0"/>
        <w:adjustRightInd w:val="0"/>
        <w:textAlignment w:val="baseline"/>
        <w:rPr>
          <w:szCs w:val="20"/>
          <w:lang w:val="en-GB"/>
        </w:rPr>
      </w:pPr>
    </w:p>
    <w:p w:rsidR="00892F37" w:rsidP="0060010D" w:rsidRDefault="00892F37" w14:paraId="21B28D36" w14:textId="77777777">
      <w:pPr>
        <w:overflowPunct w:val="0"/>
        <w:autoSpaceDE w:val="0"/>
        <w:autoSpaceDN w:val="0"/>
        <w:adjustRightInd w:val="0"/>
        <w:textAlignment w:val="baseline"/>
        <w:rPr>
          <w:szCs w:val="20"/>
        </w:rPr>
      </w:pPr>
      <w:r>
        <w:t>El CESE:</w:t>
      </w:r>
    </w:p>
    <w:p w:rsidRPr="00892F37" w:rsidR="00892F37" w:rsidP="0060010D" w:rsidRDefault="00892F37" w14:paraId="59E00C8F" w14:textId="77777777">
      <w:pPr>
        <w:pStyle w:val="ListParagraph"/>
        <w:numPr>
          <w:ilvl w:val="1"/>
          <w:numId w:val="47"/>
        </w:numPr>
        <w:ind w:left="567" w:hanging="567"/>
      </w:pPr>
      <w:r>
        <w:t>considera que el diálogo social y la participación de los trabajadores desempeñan un papel crucial a la hora de preservar los derechos fundamentales de los trabajadores y de promover una «IA fiable» en el mundo laboral. En efecto, aumentar la participación de los trabajadores y sus representantes constituye uno de los mecanismos para minimizar los riesgos y los efectos nocivos de los sistemas de IA;</w:t>
      </w:r>
    </w:p>
    <w:p w:rsidRPr="00EE160A" w:rsidR="00892F37" w:rsidP="0060010D" w:rsidRDefault="00892F37" w14:paraId="034EAFC8" w14:textId="77777777">
      <w:pPr>
        <w:pStyle w:val="ListParagraph"/>
        <w:numPr>
          <w:ilvl w:val="0"/>
          <w:numId w:val="47"/>
        </w:numPr>
        <w:ind w:left="567" w:hanging="567"/>
        <w:rPr>
          <w:szCs w:val="20"/>
        </w:rPr>
      </w:pPr>
      <w:r>
        <w:t>insiste en que las iniciativas legislativas —o de cualquier otra índole— que tengan por objeto adaptar la legislación vigente deben abordar las lagunas en la protección de los derechos de los trabajadores en el trabajo y garantizar que las personas mantengan el control en todas las interacciones entre el hombre y la máquina;</w:t>
      </w:r>
    </w:p>
    <w:p w:rsidRPr="00EE160A" w:rsidR="00892F37" w:rsidP="0060010D" w:rsidRDefault="00892F37" w14:paraId="7CBA395C" w14:textId="77777777">
      <w:pPr>
        <w:pStyle w:val="ListParagraph"/>
        <w:numPr>
          <w:ilvl w:val="0"/>
          <w:numId w:val="47"/>
        </w:numPr>
        <w:ind w:left="567" w:hanging="567"/>
        <w:rPr>
          <w:szCs w:val="20"/>
        </w:rPr>
      </w:pPr>
      <w:r>
        <w:t>considera que las actuales disposiciones jurídicas de la UE aplicables al uso de la IA en el lugar de trabajo deben ir acompañadas de orientaciones explícitas;</w:t>
      </w:r>
    </w:p>
    <w:p w:rsidRPr="00EE160A" w:rsidR="00892F37" w:rsidP="0060010D" w:rsidRDefault="00892F37" w14:paraId="0F3776FD" w14:textId="77777777">
      <w:pPr>
        <w:pStyle w:val="ListParagraph"/>
        <w:numPr>
          <w:ilvl w:val="0"/>
          <w:numId w:val="47"/>
        </w:numPr>
        <w:ind w:left="567" w:hanging="567"/>
        <w:rPr>
          <w:szCs w:val="20"/>
        </w:rPr>
      </w:pPr>
      <w:r>
        <w:t>apoya la rápida aplicación del artículo 4 del Reglamento de Inteligencia Artificial para permitir a los empleados gestionar herramientas de IA;</w:t>
      </w:r>
    </w:p>
    <w:p w:rsidRPr="00EE160A" w:rsidR="00892F37" w:rsidP="0060010D" w:rsidRDefault="00892F37" w14:paraId="5DDC75FD" w14:textId="77777777">
      <w:pPr>
        <w:pStyle w:val="ListParagraph"/>
        <w:numPr>
          <w:ilvl w:val="0"/>
          <w:numId w:val="47"/>
        </w:numPr>
        <w:ind w:left="567" w:hanging="567"/>
        <w:rPr>
          <w:szCs w:val="20"/>
        </w:rPr>
      </w:pPr>
      <w:r>
        <w:t>considera que las autoridades públicas deben poner en marcha iniciativas de desarrollo de las capacidades para los trabajadores y los ciudadanos a fin de garantizar que los sistemas de inteligencia artificial potencien el rendimiento de los seres humanos en lugar de sustituirlos;</w:t>
      </w:r>
    </w:p>
    <w:p w:rsidRPr="00EE160A" w:rsidR="00892F37" w:rsidP="0060010D" w:rsidRDefault="00892F37" w14:paraId="6DA75FF2" w14:textId="77777777">
      <w:pPr>
        <w:pStyle w:val="ListParagraph"/>
        <w:numPr>
          <w:ilvl w:val="0"/>
          <w:numId w:val="47"/>
        </w:numPr>
        <w:ind w:left="567" w:hanging="567"/>
        <w:rPr>
          <w:szCs w:val="20"/>
        </w:rPr>
      </w:pPr>
      <w:r>
        <w:t xml:space="preserve">hace un firme llamamiento en favor de un diálogo social efectivo sobre la implantación de los sistemas de IA mediante un instrumento jurídico </w:t>
      </w:r>
      <w:r>
        <w:rPr>
          <w:i/>
          <w:iCs/>
        </w:rPr>
        <w:t>ad hoc</w:t>
      </w:r>
      <w:r>
        <w:t xml:space="preserve"> de la UE que incluya disposiciones para conseguir de forma más eficaz los objetivos siguientes:</w:t>
      </w:r>
    </w:p>
    <w:p w:rsidRPr="00EE160A" w:rsidR="00892F37" w:rsidP="0060010D" w:rsidRDefault="00892F37" w14:paraId="4918BC7A" w14:textId="2DD0356B">
      <w:pPr>
        <w:pStyle w:val="ListParagraph"/>
        <w:numPr>
          <w:ilvl w:val="0"/>
          <w:numId w:val="48"/>
        </w:numPr>
        <w:ind w:left="851" w:hanging="284"/>
        <w:rPr>
          <w:szCs w:val="20"/>
        </w:rPr>
      </w:pPr>
      <w:r>
        <w:t>permitir el cumplimiento del artículo 88 del Reglamento General de Protección de Datos (RGPD);</w:t>
      </w:r>
    </w:p>
    <w:p w:rsidRPr="00EE160A" w:rsidR="00892F37" w:rsidP="0060010D" w:rsidRDefault="00892F37" w14:paraId="55036E02" w14:textId="7AF0AEAC">
      <w:pPr>
        <w:pStyle w:val="ListParagraph"/>
        <w:numPr>
          <w:ilvl w:val="0"/>
          <w:numId w:val="48"/>
        </w:numPr>
        <w:ind w:left="851" w:hanging="284"/>
        <w:rPr>
          <w:szCs w:val="20"/>
        </w:rPr>
      </w:pPr>
      <w:r>
        <w:t>ampliar el ámbito de aplicación de las disposiciones de la Directiva sobre Trabajo en Plataformas Digitales para abordar los retos que suponen los sistemas de gestión algorítmica para todos los trabajadores;</w:t>
      </w:r>
    </w:p>
    <w:p w:rsidRPr="00EE160A" w:rsidR="00892F37" w:rsidP="0060010D" w:rsidRDefault="00892F37" w14:paraId="7FA02CD2" w14:textId="77777777">
      <w:pPr>
        <w:pStyle w:val="ListParagraph"/>
        <w:numPr>
          <w:ilvl w:val="0"/>
          <w:numId w:val="48"/>
        </w:numPr>
        <w:ind w:left="851" w:hanging="284"/>
        <w:rPr>
          <w:szCs w:val="20"/>
        </w:rPr>
      </w:pPr>
      <w:r>
        <w:t>reforzar las normas aplicables en virtud de la Directiva 2002/14/CE cuando se introduzcan sistemas de IA de alto riesgo y ofrecer orientaciones explícitas relativas a las disposiciones de la Directiva 89/391/CEE sobre salud y seguridad en el trabajo;</w:t>
      </w:r>
    </w:p>
    <w:p w:rsidRPr="00EE160A" w:rsidR="00892F37" w:rsidP="0060010D" w:rsidRDefault="00892F37" w14:paraId="3EE47C49" w14:textId="77777777">
      <w:pPr>
        <w:pStyle w:val="ListParagraph"/>
        <w:numPr>
          <w:ilvl w:val="0"/>
          <w:numId w:val="48"/>
        </w:numPr>
        <w:ind w:left="851" w:hanging="284"/>
        <w:rPr>
          <w:szCs w:val="20"/>
        </w:rPr>
      </w:pPr>
      <w:r>
        <w:t>hacer extensiva la comunicación de las evaluaciones de impacto relativas a la protección de datos a los representantes de los trabajadores, tal como se establece en la Directiva sobre Trabajo en Plataformas Digitales;</w:t>
      </w:r>
    </w:p>
    <w:p w:rsidRPr="00EE160A" w:rsidR="00892F37" w:rsidP="0060010D" w:rsidRDefault="00892F37" w14:paraId="5E80CA12" w14:textId="77777777">
      <w:pPr>
        <w:pStyle w:val="ListParagraph"/>
        <w:numPr>
          <w:ilvl w:val="0"/>
          <w:numId w:val="48"/>
        </w:numPr>
        <w:ind w:left="851" w:hanging="284"/>
        <w:rPr>
          <w:szCs w:val="20"/>
        </w:rPr>
      </w:pPr>
      <w:r>
        <w:t xml:space="preserve">facilitar evaluaciones de impacto </w:t>
      </w:r>
      <w:r>
        <w:rPr>
          <w:i/>
          <w:iCs/>
        </w:rPr>
        <w:t>ex ante</w:t>
      </w:r>
      <w:r>
        <w:t xml:space="preserve"> en materia de derechos fundamentales, que deberán llevar a cabo los proveedores antes de que empiecen a utilizarse sistemas de alto riesgo; y</w:t>
      </w:r>
    </w:p>
    <w:p w:rsidRPr="00EE160A" w:rsidR="00892F37" w:rsidP="0060010D" w:rsidRDefault="00892F37" w14:paraId="0DD4EE4E" w14:textId="77777777">
      <w:pPr>
        <w:pStyle w:val="ListParagraph"/>
        <w:numPr>
          <w:ilvl w:val="0"/>
          <w:numId w:val="48"/>
        </w:numPr>
        <w:ind w:left="851" w:hanging="284"/>
        <w:rPr>
          <w:szCs w:val="20"/>
        </w:rPr>
      </w:pPr>
      <w:r>
        <w:lastRenderedPageBreak/>
        <w:t>establecer orientaciones claras sobre el modo en que pueden emplearse los espacios controlados de prueba y aprovecharse las pruebas en condiciones reales.</w:t>
      </w:r>
    </w:p>
    <w:p w:rsidR="000D43E1" w:rsidP="00EE160A" w:rsidRDefault="000D43E1" w14:paraId="7CF59E6C" w14:textId="77777777">
      <w:pPr>
        <w:rPr>
          <w:bCs/>
          <w:lang w:val="en-GB"/>
        </w:rPr>
      </w:pPr>
    </w:p>
    <w:p w:rsidRPr="00892F37" w:rsidR="00892F37" w:rsidP="00EE160A" w:rsidRDefault="00892F37" w14:paraId="0285FD8F" w14:textId="2B55283E">
      <w:pPr>
        <w:rPr>
          <w:bCs/>
          <w:szCs w:val="20"/>
        </w:rPr>
      </w:pPr>
      <w:r>
        <w:t>Debido a las divergencias de opinión, varios miembros del Grupo de Empresarios del CESE presentaron una enmienda a la totalidad. El CESE rechazó la enmienda a la totalidad (por 112 votos a favor, 136 en contra y 11 abstenciones) pero, dado que más de una cuarta parte de los votos emitidos fueron favorables, la enmienda se adjunta al Dictamen, de conformidad con el Reglamento interno del CESE.</w:t>
      </w:r>
    </w:p>
    <w:p w:rsidRPr="00892F37" w:rsidR="00892F37" w:rsidP="0060010D" w:rsidRDefault="00892F37" w14:paraId="695D15E3" w14:textId="77777777">
      <w:pPr>
        <w:overflowPunct w:val="0"/>
        <w:autoSpaceDE w:val="0"/>
        <w:autoSpaceDN w:val="0"/>
        <w:adjustRightInd w:val="0"/>
        <w:textAlignment w:val="baseline"/>
        <w:rPr>
          <w:szCs w:val="20"/>
          <w:lang w:val="en-GB"/>
        </w:rPr>
      </w:pPr>
    </w:p>
    <w:tbl>
      <w:tblPr>
        <w:tblW w:w="0" w:type="auto"/>
        <w:tblInd w:w="-142" w:type="dxa"/>
        <w:tblLook w:val="04A0" w:firstRow="1" w:lastRow="0" w:firstColumn="1" w:lastColumn="0" w:noHBand="0" w:noVBand="1"/>
      </w:tblPr>
      <w:tblGrid>
        <w:gridCol w:w="1951"/>
        <w:gridCol w:w="7452"/>
      </w:tblGrid>
      <w:tr w:rsidRPr="00FA33C4" w:rsidR="00892F37" w:rsidTr="00AA4665" w14:paraId="4508FF0D" w14:textId="77777777">
        <w:tc>
          <w:tcPr>
            <w:tcW w:w="1951" w:type="dxa"/>
          </w:tcPr>
          <w:p w:rsidRPr="00FA33C4" w:rsidR="00892F37" w:rsidP="0060010D" w:rsidRDefault="00892F37" w14:paraId="331D957C" w14:textId="77777777">
            <w:pPr>
              <w:overflowPunct w:val="0"/>
              <w:autoSpaceDE w:val="0"/>
              <w:autoSpaceDN w:val="0"/>
              <w:adjustRightInd w:val="0"/>
              <w:textAlignment w:val="baseline"/>
              <w:rPr>
                <w:i/>
                <w:sz w:val="20"/>
                <w:szCs w:val="20"/>
              </w:rPr>
            </w:pPr>
            <w:r>
              <w:rPr>
                <w:b/>
                <w:i/>
                <w:sz w:val="20"/>
              </w:rPr>
              <w:t>Contacto:</w:t>
            </w:r>
          </w:p>
        </w:tc>
        <w:tc>
          <w:tcPr>
            <w:tcW w:w="7452" w:type="dxa"/>
          </w:tcPr>
          <w:p w:rsidRPr="00FA33C4" w:rsidR="00892F37" w:rsidP="0060010D" w:rsidRDefault="00892F37" w14:paraId="10FC95BC" w14:textId="77777777">
            <w:pPr>
              <w:overflowPunct w:val="0"/>
              <w:autoSpaceDE w:val="0"/>
              <w:autoSpaceDN w:val="0"/>
              <w:adjustRightInd w:val="0"/>
              <w:ind w:hanging="12"/>
              <w:textAlignment w:val="baseline"/>
              <w:rPr>
                <w:i/>
                <w:sz w:val="20"/>
                <w:szCs w:val="20"/>
              </w:rPr>
            </w:pPr>
            <w:r>
              <w:rPr>
                <w:i/>
                <w:sz w:val="20"/>
              </w:rPr>
              <w:t>Ana Dumitrache</w:t>
            </w:r>
          </w:p>
        </w:tc>
      </w:tr>
      <w:tr w:rsidRPr="00FA33C4" w:rsidR="00892F37" w:rsidTr="00AA4665" w14:paraId="574BBACD" w14:textId="77777777">
        <w:tc>
          <w:tcPr>
            <w:tcW w:w="1951" w:type="dxa"/>
          </w:tcPr>
          <w:p w:rsidRPr="00FA33C4" w:rsidR="00892F37" w:rsidP="0060010D" w:rsidRDefault="00892F37" w14:paraId="052D6094" w14:textId="77777777">
            <w:pPr>
              <w:overflowPunct w:val="0"/>
              <w:autoSpaceDE w:val="0"/>
              <w:autoSpaceDN w:val="0"/>
              <w:adjustRightInd w:val="0"/>
              <w:textAlignment w:val="baseline"/>
              <w:rPr>
                <w:i/>
                <w:sz w:val="20"/>
                <w:szCs w:val="20"/>
              </w:rPr>
            </w:pPr>
            <w:r>
              <w:rPr>
                <w:i/>
                <w:sz w:val="20"/>
              </w:rPr>
              <w:t>Teléfono:</w:t>
            </w:r>
          </w:p>
        </w:tc>
        <w:tc>
          <w:tcPr>
            <w:tcW w:w="7452" w:type="dxa"/>
          </w:tcPr>
          <w:p w:rsidRPr="00FA33C4" w:rsidR="00892F37" w:rsidP="0060010D" w:rsidRDefault="00892F37" w14:paraId="38DED2DA" w14:textId="77777777">
            <w:pPr>
              <w:overflowPunct w:val="0"/>
              <w:autoSpaceDE w:val="0"/>
              <w:autoSpaceDN w:val="0"/>
              <w:adjustRightInd w:val="0"/>
              <w:textAlignment w:val="baseline"/>
              <w:rPr>
                <w:i/>
                <w:sz w:val="20"/>
                <w:szCs w:val="20"/>
              </w:rPr>
            </w:pPr>
            <w:r>
              <w:rPr>
                <w:i/>
                <w:sz w:val="20"/>
              </w:rPr>
              <w:t>+32 2546 8</w:t>
            </w:r>
            <w:r>
              <w:rPr>
                <w:sz w:val="20"/>
              </w:rPr>
              <w:t>131</w:t>
            </w:r>
          </w:p>
        </w:tc>
      </w:tr>
      <w:tr w:rsidRPr="00FA33C4" w:rsidR="00892F37" w:rsidTr="00AA4665" w14:paraId="5A55B807" w14:textId="77777777">
        <w:tc>
          <w:tcPr>
            <w:tcW w:w="1951" w:type="dxa"/>
          </w:tcPr>
          <w:p w:rsidRPr="00FA33C4" w:rsidR="00892F37" w:rsidP="0060010D" w:rsidRDefault="00892F37" w14:paraId="0F4A40DD" w14:textId="77777777">
            <w:pPr>
              <w:overflowPunct w:val="0"/>
              <w:autoSpaceDE w:val="0"/>
              <w:autoSpaceDN w:val="0"/>
              <w:adjustRightInd w:val="0"/>
              <w:textAlignment w:val="baseline"/>
              <w:rPr>
                <w:i/>
                <w:sz w:val="20"/>
                <w:szCs w:val="20"/>
              </w:rPr>
            </w:pPr>
            <w:r>
              <w:rPr>
                <w:i/>
                <w:sz w:val="20"/>
              </w:rPr>
              <w:t>Correo electrónico:</w:t>
            </w:r>
          </w:p>
        </w:tc>
        <w:tc>
          <w:tcPr>
            <w:tcW w:w="7452" w:type="dxa"/>
          </w:tcPr>
          <w:p w:rsidRPr="00FA33C4" w:rsidR="00892F37" w:rsidP="0060010D" w:rsidRDefault="0001176A" w14:paraId="2EA71176" w14:textId="77777777">
            <w:pPr>
              <w:overflowPunct w:val="0"/>
              <w:autoSpaceDE w:val="0"/>
              <w:autoSpaceDN w:val="0"/>
              <w:adjustRightInd w:val="0"/>
              <w:textAlignment w:val="baseline"/>
              <w:rPr>
                <w:i/>
                <w:sz w:val="20"/>
                <w:szCs w:val="20"/>
              </w:rPr>
            </w:pPr>
            <w:hyperlink w:history="1" r:id="rId24">
              <w:r w:rsidR="00892F37">
                <w:rPr>
                  <w:i/>
                  <w:color w:val="0000FF"/>
                  <w:sz w:val="20"/>
                  <w:u w:val="single"/>
                </w:rPr>
                <w:t>Ana.Dumitrache@eesc.europa.eu</w:t>
              </w:r>
            </w:hyperlink>
          </w:p>
        </w:tc>
      </w:tr>
    </w:tbl>
    <w:p w:rsidRPr="00892F37" w:rsidR="007554BE" w:rsidRDefault="007554BE" w14:paraId="4F3D4055" w14:textId="77777777">
      <w:pPr>
        <w:pStyle w:val="ListParagraph"/>
        <w:ind w:left="567"/>
        <w:rPr>
          <w:lang w:val="en-GB"/>
        </w:rPr>
      </w:pPr>
    </w:p>
    <w:p w:rsidR="000D43E1" w:rsidRDefault="000D43E1" w14:paraId="4982DDC2" w14:textId="5E500753">
      <w:pPr>
        <w:jc w:val="left"/>
      </w:pPr>
      <w:r>
        <w:br w:type="page"/>
      </w:r>
    </w:p>
    <w:p w:rsidRPr="000D43E1" w:rsidR="004D7AC0" w:rsidP="0060010D" w:rsidRDefault="004D7AC0" w14:paraId="4982DDC5" w14:textId="7E69F68A">
      <w:pPr>
        <w:jc w:val="left"/>
        <w:rPr>
          <w:sz w:val="16"/>
          <w:szCs w:val="16"/>
        </w:rPr>
      </w:pPr>
    </w:p>
    <w:p w:rsidR="004D7AC0" w:rsidP="0060010D" w:rsidRDefault="004D7AC0" w14:paraId="4982DDC6" w14:textId="77777777">
      <w:pPr>
        <w:pStyle w:val="Heading1"/>
        <w:keepNext/>
        <w:keepLines/>
        <w:rPr>
          <w:b/>
        </w:rPr>
      </w:pPr>
      <w:bookmarkStart w:name="_Toc24617160" w:id="3"/>
      <w:bookmarkStart w:name="_Toc75527082" w:id="4"/>
      <w:bookmarkStart w:name="_Toc189228413" w:id="5"/>
      <w:r>
        <w:rPr>
          <w:b/>
        </w:rPr>
        <w:t>TRANSPORTE, ENERGÍA, INFRAESTRUCTURAS Y SOCIEDAD DE LA INFORMACIÓN</w:t>
      </w:r>
      <w:bookmarkEnd w:id="3"/>
      <w:bookmarkEnd w:id="4"/>
      <w:bookmarkEnd w:id="5"/>
    </w:p>
    <w:p w:rsidR="004D7AC0" w:rsidP="0060010D" w:rsidRDefault="004D7AC0" w14:paraId="4982DDC7" w14:textId="04E3199A">
      <w:pPr>
        <w:keepNext/>
        <w:keepLines/>
      </w:pPr>
    </w:p>
    <w:p w:rsidRPr="00EA3596" w:rsidR="00EA3596" w:rsidP="0060010D" w:rsidRDefault="0001176A" w14:paraId="0D397292" w14:textId="0B4D4E83">
      <w:pPr>
        <w:keepNext/>
        <w:keepLines/>
        <w:widowControl w:val="0"/>
        <w:numPr>
          <w:ilvl w:val="0"/>
          <w:numId w:val="4"/>
        </w:numPr>
        <w:overflowPunct w:val="0"/>
        <w:autoSpaceDE w:val="0"/>
        <w:autoSpaceDN w:val="0"/>
        <w:adjustRightInd w:val="0"/>
        <w:ind w:left="266" w:hanging="266"/>
        <w:textAlignment w:val="baseline"/>
        <w:rPr>
          <w:b/>
          <w:u w:val="single"/>
        </w:rPr>
      </w:pPr>
      <w:hyperlink w:history="1" r:id="rId25">
        <w:r w:rsidR="00465FCD">
          <w:rPr>
            <w:b/>
            <w:i/>
            <w:color w:val="0000FF"/>
            <w:sz w:val="28"/>
            <w:u w:val="single"/>
          </w:rPr>
          <w:t>Futuro del suministro y de la tarificación de la electricidad en la UE</w:t>
        </w:r>
      </w:hyperlink>
    </w:p>
    <w:p w:rsidRPr="00EA3596" w:rsidR="00EA3596" w:rsidP="0060010D" w:rsidRDefault="00EA3596" w14:paraId="6FED0A47"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EA3596" w:rsidTr="0060010D" w14:paraId="294163F6" w14:textId="77777777">
        <w:tc>
          <w:tcPr>
            <w:tcW w:w="1701" w:type="dxa"/>
          </w:tcPr>
          <w:p w:rsidRPr="00FA33C4" w:rsidR="00EA3596" w:rsidRDefault="00EA3596" w14:paraId="73B02B51" w14:textId="0A8DF9EF">
            <w:pPr>
              <w:tabs>
                <w:tab w:val="center" w:pos="284"/>
              </w:tabs>
              <w:overflowPunct w:val="0"/>
              <w:autoSpaceDE w:val="0"/>
              <w:autoSpaceDN w:val="0"/>
              <w:adjustRightInd w:val="0"/>
              <w:ind w:left="266" w:hanging="266"/>
              <w:textAlignment w:val="baseline"/>
              <w:rPr>
                <w:b/>
                <w:sz w:val="20"/>
                <w:szCs w:val="20"/>
              </w:rPr>
            </w:pPr>
            <w:r>
              <w:rPr>
                <w:b/>
                <w:sz w:val="20"/>
              </w:rPr>
              <w:t>Ponente</w:t>
            </w:r>
          </w:p>
        </w:tc>
        <w:tc>
          <w:tcPr>
            <w:tcW w:w="7479" w:type="dxa"/>
          </w:tcPr>
          <w:p w:rsidRPr="00FA33C4" w:rsidR="00EA3596" w:rsidRDefault="00EA3596" w14:paraId="487AC76C" w14:textId="77777777">
            <w:pPr>
              <w:tabs>
                <w:tab w:val="center" w:pos="284"/>
              </w:tabs>
              <w:overflowPunct w:val="0"/>
              <w:autoSpaceDE w:val="0"/>
              <w:autoSpaceDN w:val="0"/>
              <w:adjustRightInd w:val="0"/>
              <w:ind w:left="266" w:hanging="266"/>
              <w:textAlignment w:val="baseline"/>
              <w:rPr>
                <w:sz w:val="20"/>
                <w:szCs w:val="20"/>
              </w:rPr>
            </w:pPr>
            <w:r>
              <w:rPr>
                <w:sz w:val="20"/>
              </w:rPr>
              <w:t>Jan DIRX (Grupo de Organizaciones de la Sociedad Civil – NL)</w:t>
            </w:r>
          </w:p>
        </w:tc>
      </w:tr>
      <w:tr w:rsidRPr="00FA33C4" w:rsidR="00EA3596" w:rsidTr="0060010D" w14:paraId="18FE22F6" w14:textId="77777777">
        <w:tc>
          <w:tcPr>
            <w:tcW w:w="1701" w:type="dxa"/>
          </w:tcPr>
          <w:p w:rsidRPr="00FA33C4" w:rsidR="00EA3596" w:rsidRDefault="00EA3596" w14:paraId="4CA49328" w14:textId="77777777">
            <w:pPr>
              <w:tabs>
                <w:tab w:val="center" w:pos="284"/>
              </w:tabs>
              <w:overflowPunct w:val="0"/>
              <w:autoSpaceDE w:val="0"/>
              <w:autoSpaceDN w:val="0"/>
              <w:adjustRightInd w:val="0"/>
              <w:ind w:left="266" w:hanging="266"/>
              <w:textAlignment w:val="baseline"/>
              <w:rPr>
                <w:b/>
                <w:sz w:val="20"/>
                <w:szCs w:val="20"/>
              </w:rPr>
            </w:pPr>
            <w:r>
              <w:rPr>
                <w:b/>
                <w:sz w:val="20"/>
              </w:rPr>
              <w:t>Coponente</w:t>
            </w:r>
          </w:p>
        </w:tc>
        <w:tc>
          <w:tcPr>
            <w:tcW w:w="7479" w:type="dxa"/>
          </w:tcPr>
          <w:p w:rsidRPr="00FA33C4" w:rsidR="00EA3596" w:rsidRDefault="00EA3596" w14:paraId="60AE479C" w14:textId="77777777">
            <w:pPr>
              <w:tabs>
                <w:tab w:val="center" w:pos="284"/>
              </w:tabs>
              <w:overflowPunct w:val="0"/>
              <w:autoSpaceDE w:val="0"/>
              <w:autoSpaceDN w:val="0"/>
              <w:adjustRightInd w:val="0"/>
              <w:ind w:left="266" w:hanging="266"/>
              <w:textAlignment w:val="baseline"/>
              <w:rPr>
                <w:sz w:val="20"/>
                <w:szCs w:val="20"/>
              </w:rPr>
            </w:pPr>
            <w:r>
              <w:rPr>
                <w:sz w:val="20"/>
              </w:rPr>
              <w:t>Thomas KATTNIG (Grupo de Trabajadores – AT)</w:t>
            </w:r>
          </w:p>
        </w:tc>
      </w:tr>
      <w:tr w:rsidRPr="00FA33C4" w:rsidR="00EA3596" w:rsidTr="0060010D" w14:paraId="752E26C2" w14:textId="77777777">
        <w:tc>
          <w:tcPr>
            <w:tcW w:w="9180" w:type="dxa"/>
            <w:gridSpan w:val="2"/>
          </w:tcPr>
          <w:p w:rsidRPr="00FA33C4" w:rsidR="00EA3596" w:rsidP="0060010D" w:rsidRDefault="00EA3596" w14:paraId="688FF16F" w14:textId="77777777">
            <w:pPr>
              <w:tabs>
                <w:tab w:val="center" w:pos="284"/>
              </w:tabs>
              <w:overflowPunct w:val="0"/>
              <w:autoSpaceDE w:val="0"/>
              <w:autoSpaceDN w:val="0"/>
              <w:adjustRightInd w:val="0"/>
              <w:ind w:left="266" w:hanging="266"/>
              <w:textAlignment w:val="baseline"/>
              <w:rPr>
                <w:sz w:val="20"/>
                <w:szCs w:val="20"/>
              </w:rPr>
            </w:pPr>
          </w:p>
        </w:tc>
      </w:tr>
      <w:tr w:rsidRPr="00FA33C4" w:rsidR="00EA3596" w:rsidTr="0060010D" w14:paraId="234C68A2" w14:textId="77777777">
        <w:tc>
          <w:tcPr>
            <w:tcW w:w="1701" w:type="dxa"/>
          </w:tcPr>
          <w:p w:rsidRPr="00FA33C4" w:rsidR="00EA3596" w:rsidRDefault="00EA3596" w14:paraId="0691CEDA"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7479" w:type="dxa"/>
          </w:tcPr>
          <w:p w:rsidRPr="00FA33C4" w:rsidR="00EA3596" w:rsidRDefault="00EA3596" w14:paraId="22B923BD" w14:textId="77777777">
            <w:pPr>
              <w:tabs>
                <w:tab w:val="center" w:pos="284"/>
              </w:tabs>
              <w:overflowPunct w:val="0"/>
              <w:autoSpaceDE w:val="0"/>
              <w:autoSpaceDN w:val="0"/>
              <w:adjustRightInd w:val="0"/>
              <w:ind w:left="266" w:hanging="266"/>
              <w:textAlignment w:val="baseline"/>
              <w:rPr>
                <w:sz w:val="20"/>
                <w:szCs w:val="20"/>
              </w:rPr>
            </w:pPr>
            <w:r>
              <w:rPr>
                <w:sz w:val="20"/>
              </w:rPr>
              <w:t>Dictamen de iniciativa</w:t>
            </w:r>
          </w:p>
          <w:p w:rsidRPr="00FA33C4" w:rsidR="00EA3596" w:rsidRDefault="00EA3596" w14:paraId="339CD963" w14:textId="26FF9FD9">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rsidRPr="00EA3596" w:rsidR="00EA3596" w:rsidRDefault="00EA3596" w14:paraId="4556D522" w14:textId="77777777">
      <w:pPr>
        <w:keepNext/>
        <w:keepLines/>
        <w:tabs>
          <w:tab w:val="center" w:pos="284"/>
        </w:tabs>
        <w:overflowPunct w:val="0"/>
        <w:autoSpaceDE w:val="0"/>
        <w:autoSpaceDN w:val="0"/>
        <w:adjustRightInd w:val="0"/>
        <w:ind w:left="266" w:hanging="266"/>
        <w:textAlignment w:val="baseline"/>
        <w:rPr>
          <w:b/>
          <w:lang w:val="en-GB"/>
        </w:rPr>
      </w:pPr>
    </w:p>
    <w:p w:rsidRPr="00EA3596" w:rsidR="00EA3596" w:rsidRDefault="00EA3596" w14:paraId="2F3B61BA"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EA3596" w:rsidR="00EA3596" w:rsidRDefault="00EA3596" w14:paraId="1420F763" w14:textId="77777777">
      <w:pPr>
        <w:keepNext/>
        <w:keepLines/>
        <w:tabs>
          <w:tab w:val="center" w:pos="284"/>
        </w:tabs>
        <w:overflowPunct w:val="0"/>
        <w:autoSpaceDE w:val="0"/>
        <w:autoSpaceDN w:val="0"/>
        <w:adjustRightInd w:val="0"/>
        <w:ind w:left="266" w:hanging="266"/>
        <w:textAlignment w:val="baseline"/>
        <w:rPr>
          <w:b/>
          <w:lang w:val="en-GB"/>
        </w:rPr>
      </w:pPr>
    </w:p>
    <w:p w:rsidR="00EA3596" w:rsidRDefault="00EA3596" w14:paraId="4FBF4A22" w14:textId="77777777">
      <w:pPr>
        <w:overflowPunct w:val="0"/>
        <w:autoSpaceDE w:val="0"/>
        <w:autoSpaceDN w:val="0"/>
        <w:adjustRightInd w:val="0"/>
        <w:textAlignment w:val="baseline"/>
        <w:rPr>
          <w:bCs/>
          <w:iCs/>
        </w:rPr>
      </w:pPr>
      <w:r>
        <w:t>El CESE:</w:t>
      </w:r>
    </w:p>
    <w:p w:rsidRPr="00EA3596" w:rsidR="00EA3596" w:rsidP="0060010D" w:rsidRDefault="00EA3596" w14:paraId="788BEAE4" w14:textId="77777777">
      <w:pPr>
        <w:widowControl w:val="0"/>
        <w:numPr>
          <w:ilvl w:val="0"/>
          <w:numId w:val="29"/>
        </w:numPr>
        <w:overflowPunct w:val="0"/>
        <w:autoSpaceDE w:val="0"/>
        <w:autoSpaceDN w:val="0"/>
        <w:adjustRightInd w:val="0"/>
        <w:ind w:left="567" w:hanging="567"/>
        <w:textAlignment w:val="baseline"/>
        <w:rPr>
          <w:szCs w:val="20"/>
        </w:rPr>
      </w:pPr>
      <w:r>
        <w:t>tiene el convencimiento de que el mercado de la electricidad no solo debe reformarse de tal forma que se cumpla el objetivo de alcanzar la neutralidad climática a más tardar en 2050, sino que este aspecto debe combinarse con los objetivos de procurar la seguridad del suministro y unos precios estables y asequibles, además de consagrar el derecho a la energía en aras de la protección de los grupos vulnerables;</w:t>
      </w:r>
    </w:p>
    <w:p w:rsidRPr="00EA3596" w:rsidR="00EA3596" w:rsidP="0060010D" w:rsidRDefault="00EA3596" w14:paraId="2ABF264A" w14:textId="77777777">
      <w:pPr>
        <w:widowControl w:val="0"/>
        <w:numPr>
          <w:ilvl w:val="0"/>
          <w:numId w:val="29"/>
        </w:numPr>
        <w:overflowPunct w:val="0"/>
        <w:autoSpaceDE w:val="0"/>
        <w:autoSpaceDN w:val="0"/>
        <w:adjustRightInd w:val="0"/>
        <w:ind w:left="567" w:hanging="567"/>
        <w:textAlignment w:val="baseline"/>
        <w:rPr>
          <w:szCs w:val="20"/>
        </w:rPr>
      </w:pPr>
      <w:r>
        <w:t>aboga por un modelo de regulación pública en los casos necesarios y de iniciativa empresarial privada siempre que sea posible, bajo la forma de un «mecanismo para la electricidad» que podría adoptar la forma de una empresa creada por los poderes públicos que desempeñará el papel de creador de mercado;</w:t>
      </w:r>
    </w:p>
    <w:p w:rsidRPr="00EA3596" w:rsidR="00EA3596" w:rsidP="0060010D" w:rsidRDefault="00EA3596" w14:paraId="022CA94C" w14:textId="77777777">
      <w:pPr>
        <w:widowControl w:val="0"/>
        <w:numPr>
          <w:ilvl w:val="0"/>
          <w:numId w:val="29"/>
        </w:numPr>
        <w:overflowPunct w:val="0"/>
        <w:autoSpaceDE w:val="0"/>
        <w:autoSpaceDN w:val="0"/>
        <w:adjustRightInd w:val="0"/>
        <w:ind w:left="567" w:hanging="567"/>
        <w:textAlignment w:val="baseline"/>
        <w:rPr>
          <w:szCs w:val="20"/>
        </w:rPr>
      </w:pPr>
      <w:r>
        <w:t>considera que debe fomentarse la generación de electricidad a pequeña escala para procurar que su precio siga siendo asequible para los consumidores y aumentar las opciones de flexibilidad de las redes;</w:t>
      </w:r>
    </w:p>
    <w:p w:rsidRPr="00EA3596" w:rsidR="00EA3596" w:rsidP="0060010D" w:rsidRDefault="00EA3596" w14:paraId="066775DF" w14:textId="77777777">
      <w:pPr>
        <w:widowControl w:val="0"/>
        <w:numPr>
          <w:ilvl w:val="0"/>
          <w:numId w:val="29"/>
        </w:numPr>
        <w:overflowPunct w:val="0"/>
        <w:autoSpaceDE w:val="0"/>
        <w:autoSpaceDN w:val="0"/>
        <w:adjustRightInd w:val="0"/>
        <w:ind w:left="567" w:hanging="567"/>
        <w:textAlignment w:val="baseline"/>
        <w:rPr>
          <w:szCs w:val="20"/>
        </w:rPr>
      </w:pPr>
      <w:r>
        <w:t>considera que los precios de la energía aumentarán, por lo que el coste de la electricidad de aquí a 2030 y en adelante obligará a los gobiernos a revisar su política de imposición del suministro de electricidad a los consumidores.</w:t>
      </w:r>
    </w:p>
    <w:p w:rsidRPr="00EA3596" w:rsidR="00EA3596" w:rsidP="0060010D" w:rsidRDefault="00EA3596" w14:paraId="4A219466" w14:textId="77777777">
      <w:pPr>
        <w:widowControl w:val="0"/>
        <w:overflowPunct w:val="0"/>
        <w:autoSpaceDE w:val="0"/>
        <w:autoSpaceDN w:val="0"/>
        <w:adjustRightInd w:val="0"/>
        <w:ind w:left="568"/>
        <w:textAlignment w:val="baseline"/>
        <w:rPr>
          <w:szCs w:val="20"/>
          <w:lang w:val="en-GB"/>
        </w:rPr>
      </w:pPr>
    </w:p>
    <w:tbl>
      <w:tblPr>
        <w:tblW w:w="9322" w:type="dxa"/>
        <w:tblLook w:val="04A0" w:firstRow="1" w:lastRow="0" w:firstColumn="1" w:lastColumn="0" w:noHBand="0" w:noVBand="1"/>
      </w:tblPr>
      <w:tblGrid>
        <w:gridCol w:w="1951"/>
        <w:gridCol w:w="7371"/>
      </w:tblGrid>
      <w:tr w:rsidRPr="00FA33C4" w:rsidR="00EA3596" w:rsidTr="00037B17" w14:paraId="25FEBE48" w14:textId="77777777">
        <w:tc>
          <w:tcPr>
            <w:tcW w:w="1951" w:type="dxa"/>
          </w:tcPr>
          <w:p w:rsidRPr="00FA33C4" w:rsidR="00EA3596" w:rsidP="0060010D" w:rsidRDefault="00EA3596" w14:paraId="0546FA38" w14:textId="77777777">
            <w:pPr>
              <w:overflowPunct w:val="0"/>
              <w:autoSpaceDE w:val="0"/>
              <w:autoSpaceDN w:val="0"/>
              <w:adjustRightInd w:val="0"/>
              <w:textAlignment w:val="baseline"/>
              <w:rPr>
                <w:i/>
                <w:sz w:val="20"/>
                <w:szCs w:val="20"/>
              </w:rPr>
            </w:pPr>
            <w:r>
              <w:rPr>
                <w:b/>
                <w:i/>
                <w:sz w:val="20"/>
              </w:rPr>
              <w:t>Contacto:</w:t>
            </w:r>
          </w:p>
        </w:tc>
        <w:tc>
          <w:tcPr>
            <w:tcW w:w="7371" w:type="dxa"/>
          </w:tcPr>
          <w:p w:rsidRPr="00FA33C4" w:rsidR="00EA3596" w:rsidP="0060010D" w:rsidRDefault="00EA3596" w14:paraId="0EF9F37D" w14:textId="5AE33465">
            <w:pPr>
              <w:overflowPunct w:val="0"/>
              <w:autoSpaceDE w:val="0"/>
              <w:autoSpaceDN w:val="0"/>
              <w:adjustRightInd w:val="0"/>
              <w:textAlignment w:val="baseline"/>
              <w:rPr>
                <w:i/>
                <w:sz w:val="20"/>
                <w:szCs w:val="20"/>
              </w:rPr>
            </w:pPr>
            <w:r>
              <w:rPr>
                <w:i/>
                <w:sz w:val="20"/>
              </w:rPr>
              <w:t>Maja Radman</w:t>
            </w:r>
          </w:p>
        </w:tc>
      </w:tr>
      <w:tr w:rsidRPr="00FA33C4" w:rsidR="00EA3596" w:rsidTr="00037B17" w14:paraId="11BC37BF" w14:textId="77777777">
        <w:tc>
          <w:tcPr>
            <w:tcW w:w="1951" w:type="dxa"/>
          </w:tcPr>
          <w:p w:rsidRPr="00FA33C4" w:rsidR="00EA3596" w:rsidP="0060010D" w:rsidRDefault="00EA3596" w14:paraId="38D688A7" w14:textId="77777777">
            <w:pPr>
              <w:overflowPunct w:val="0"/>
              <w:autoSpaceDE w:val="0"/>
              <w:autoSpaceDN w:val="0"/>
              <w:adjustRightInd w:val="0"/>
              <w:textAlignment w:val="baseline"/>
              <w:rPr>
                <w:i/>
                <w:sz w:val="20"/>
                <w:szCs w:val="20"/>
              </w:rPr>
            </w:pPr>
            <w:r>
              <w:rPr>
                <w:i/>
                <w:sz w:val="20"/>
              </w:rPr>
              <w:t>Teléfono:</w:t>
            </w:r>
          </w:p>
        </w:tc>
        <w:tc>
          <w:tcPr>
            <w:tcW w:w="7371" w:type="dxa"/>
          </w:tcPr>
          <w:p w:rsidRPr="00FA33C4" w:rsidR="00EA3596" w:rsidP="0060010D" w:rsidRDefault="00EA3596" w14:paraId="194546DC" w14:textId="77777777">
            <w:pPr>
              <w:overflowPunct w:val="0"/>
              <w:autoSpaceDE w:val="0"/>
              <w:autoSpaceDN w:val="0"/>
              <w:adjustRightInd w:val="0"/>
              <w:textAlignment w:val="baseline"/>
              <w:rPr>
                <w:i/>
                <w:sz w:val="20"/>
                <w:szCs w:val="20"/>
              </w:rPr>
            </w:pPr>
            <w:r>
              <w:rPr>
                <w:i/>
                <w:sz w:val="20"/>
              </w:rPr>
              <w:t>+32 25469051</w:t>
            </w:r>
          </w:p>
        </w:tc>
      </w:tr>
      <w:tr w:rsidRPr="00FA33C4" w:rsidR="00EA3596" w:rsidTr="00037B17" w14:paraId="117E4CDE" w14:textId="77777777">
        <w:tc>
          <w:tcPr>
            <w:tcW w:w="1951" w:type="dxa"/>
          </w:tcPr>
          <w:p w:rsidRPr="00FA33C4" w:rsidR="00EA3596" w:rsidP="0060010D" w:rsidRDefault="002538AC" w14:paraId="7CB35B59" w14:textId="2FC9A36D">
            <w:pPr>
              <w:overflowPunct w:val="0"/>
              <w:autoSpaceDE w:val="0"/>
              <w:autoSpaceDN w:val="0"/>
              <w:adjustRightInd w:val="0"/>
              <w:textAlignment w:val="baseline"/>
              <w:rPr>
                <w:i/>
                <w:sz w:val="20"/>
                <w:szCs w:val="20"/>
              </w:rPr>
            </w:pPr>
            <w:r>
              <w:rPr>
                <w:i/>
                <w:sz w:val="20"/>
              </w:rPr>
              <w:t>Correo electrónico:</w:t>
            </w:r>
          </w:p>
        </w:tc>
        <w:tc>
          <w:tcPr>
            <w:tcW w:w="7371" w:type="dxa"/>
          </w:tcPr>
          <w:p w:rsidRPr="00FA33C4" w:rsidR="00EA3596" w:rsidP="0060010D" w:rsidRDefault="0001176A" w14:paraId="07C451AF" w14:textId="77777777">
            <w:pPr>
              <w:overflowPunct w:val="0"/>
              <w:autoSpaceDE w:val="0"/>
              <w:autoSpaceDN w:val="0"/>
              <w:adjustRightInd w:val="0"/>
              <w:textAlignment w:val="baseline"/>
              <w:rPr>
                <w:i/>
                <w:iCs/>
                <w:sz w:val="20"/>
                <w:szCs w:val="20"/>
              </w:rPr>
            </w:pPr>
            <w:hyperlink w:history="1" r:id="rId26">
              <w:r w:rsidR="00465FCD">
                <w:rPr>
                  <w:i/>
                  <w:color w:val="0000FF"/>
                  <w:sz w:val="20"/>
                  <w:u w:val="single"/>
                </w:rPr>
                <w:t>Maja.Radman@eesc.europa.eu</w:t>
              </w:r>
            </w:hyperlink>
          </w:p>
        </w:tc>
      </w:tr>
    </w:tbl>
    <w:p w:rsidR="007554BE" w:rsidP="007554BE" w:rsidRDefault="007554BE" w14:paraId="2FA727E3" w14:textId="77777777">
      <w:pPr>
        <w:jc w:val="left"/>
      </w:pPr>
    </w:p>
    <w:p w:rsidR="006A2182" w:rsidRDefault="006A2182" w14:paraId="0F2E9BAF" w14:textId="3E005917">
      <w:pPr>
        <w:spacing w:after="160" w:line="259" w:lineRule="auto"/>
        <w:jc w:val="left"/>
      </w:pPr>
      <w:r>
        <w:br w:type="page"/>
      </w:r>
    </w:p>
    <w:p w:rsidR="007554BE" w:rsidP="007554BE" w:rsidRDefault="007554BE" w14:paraId="2E669116" w14:textId="77777777">
      <w:pPr>
        <w:jc w:val="left"/>
      </w:pPr>
    </w:p>
    <w:p w:rsidRPr="0020320E" w:rsidR="0020320E" w:rsidP="0060010D" w:rsidRDefault="0001176A" w14:paraId="23E4FA4E" w14:textId="658F4A09">
      <w:pPr>
        <w:keepNext/>
        <w:keepLines/>
        <w:widowControl w:val="0"/>
        <w:numPr>
          <w:ilvl w:val="0"/>
          <w:numId w:val="4"/>
        </w:numPr>
        <w:overflowPunct w:val="0"/>
        <w:autoSpaceDE w:val="0"/>
        <w:autoSpaceDN w:val="0"/>
        <w:adjustRightInd w:val="0"/>
        <w:ind w:hanging="567"/>
        <w:textAlignment w:val="baseline"/>
        <w:rPr>
          <w:b/>
          <w:u w:val="single"/>
        </w:rPr>
      </w:pPr>
      <w:hyperlink w:history="1" r:id="rId27">
        <w:r w:rsidR="00465FCD">
          <w:rPr>
            <w:b/>
            <w:i/>
            <w:color w:val="0000FF"/>
            <w:sz w:val="28"/>
            <w:u w:val="single"/>
          </w:rPr>
          <w:t>Hacia una Estrategia Marítima de la UE: avanzar hacia el futuro a través de políticas de inversión coordinadas, iniciativas legislativas, el diálogo social y la participación de la sociedad civil</w:t>
        </w:r>
      </w:hyperlink>
    </w:p>
    <w:p w:rsidRPr="0020320E" w:rsidR="0020320E" w:rsidP="0060010D" w:rsidRDefault="0020320E" w14:paraId="22635895"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701"/>
        <w:gridCol w:w="7479"/>
      </w:tblGrid>
      <w:tr w:rsidRPr="00FA33C4" w:rsidR="0020320E" w:rsidTr="0060010D" w14:paraId="18E926C0" w14:textId="77777777">
        <w:tc>
          <w:tcPr>
            <w:tcW w:w="1701" w:type="dxa"/>
          </w:tcPr>
          <w:p w:rsidRPr="00FA33C4" w:rsidR="0020320E" w:rsidRDefault="0020320E" w14:paraId="584A023A" w14:textId="77777777">
            <w:pPr>
              <w:tabs>
                <w:tab w:val="center" w:pos="284"/>
              </w:tabs>
              <w:overflowPunct w:val="0"/>
              <w:autoSpaceDE w:val="0"/>
              <w:autoSpaceDN w:val="0"/>
              <w:adjustRightInd w:val="0"/>
              <w:ind w:left="266" w:hanging="266"/>
              <w:textAlignment w:val="baseline"/>
              <w:rPr>
                <w:b/>
                <w:sz w:val="20"/>
                <w:szCs w:val="20"/>
              </w:rPr>
            </w:pPr>
            <w:r>
              <w:rPr>
                <w:b/>
                <w:sz w:val="20"/>
              </w:rPr>
              <w:t xml:space="preserve">Ponente </w:t>
            </w:r>
          </w:p>
        </w:tc>
        <w:tc>
          <w:tcPr>
            <w:tcW w:w="7479" w:type="dxa"/>
          </w:tcPr>
          <w:p w:rsidRPr="00FA33C4" w:rsidR="0020320E" w:rsidRDefault="0020320E" w14:paraId="2A444A75" w14:textId="45183960">
            <w:pPr>
              <w:tabs>
                <w:tab w:val="center" w:pos="284"/>
              </w:tabs>
              <w:overflowPunct w:val="0"/>
              <w:autoSpaceDE w:val="0"/>
              <w:autoSpaceDN w:val="0"/>
              <w:adjustRightInd w:val="0"/>
              <w:ind w:left="266" w:hanging="266"/>
              <w:textAlignment w:val="baseline"/>
              <w:rPr>
                <w:sz w:val="20"/>
                <w:szCs w:val="20"/>
              </w:rPr>
            </w:pPr>
            <w:r>
              <w:rPr>
                <w:sz w:val="20"/>
              </w:rPr>
              <w:t>Ágnes CSER (Grupo de Organizaciones de la Sociedad Civil – HU)</w:t>
            </w:r>
          </w:p>
        </w:tc>
      </w:tr>
      <w:tr w:rsidRPr="00FA33C4" w:rsidR="0020320E" w:rsidTr="0060010D" w14:paraId="6DE89139" w14:textId="77777777">
        <w:tc>
          <w:tcPr>
            <w:tcW w:w="1701" w:type="dxa"/>
          </w:tcPr>
          <w:p w:rsidRPr="00FA33C4" w:rsidR="0020320E" w:rsidRDefault="0020320E" w14:paraId="438048B9" w14:textId="77777777">
            <w:pPr>
              <w:tabs>
                <w:tab w:val="center" w:pos="284"/>
              </w:tabs>
              <w:overflowPunct w:val="0"/>
              <w:autoSpaceDE w:val="0"/>
              <w:autoSpaceDN w:val="0"/>
              <w:adjustRightInd w:val="0"/>
              <w:ind w:left="266" w:hanging="266"/>
              <w:textAlignment w:val="baseline"/>
              <w:rPr>
                <w:b/>
                <w:sz w:val="20"/>
                <w:szCs w:val="20"/>
              </w:rPr>
            </w:pPr>
            <w:r>
              <w:rPr>
                <w:b/>
                <w:bCs/>
                <w:sz w:val="20"/>
              </w:rPr>
              <w:t>Coponente</w:t>
            </w:r>
          </w:p>
        </w:tc>
        <w:tc>
          <w:tcPr>
            <w:tcW w:w="7479" w:type="dxa"/>
          </w:tcPr>
          <w:p w:rsidRPr="00FA33C4" w:rsidR="0020320E" w:rsidRDefault="0020320E" w14:paraId="2B72CB28" w14:textId="4D5DE640">
            <w:pPr>
              <w:tabs>
                <w:tab w:val="center" w:pos="284"/>
              </w:tabs>
              <w:overflowPunct w:val="0"/>
              <w:autoSpaceDE w:val="0"/>
              <w:autoSpaceDN w:val="0"/>
              <w:adjustRightInd w:val="0"/>
              <w:ind w:left="266" w:hanging="266"/>
              <w:textAlignment w:val="baseline"/>
              <w:rPr>
                <w:sz w:val="20"/>
                <w:szCs w:val="20"/>
              </w:rPr>
            </w:pPr>
            <w:r>
              <w:rPr>
                <w:sz w:val="20"/>
              </w:rPr>
              <w:t>Tanja BUZEK (Grupo de Trabajadores – DE)</w:t>
            </w:r>
          </w:p>
        </w:tc>
      </w:tr>
      <w:tr w:rsidRPr="00FA33C4" w:rsidR="0020320E" w:rsidTr="0060010D" w14:paraId="51879E6E" w14:textId="77777777">
        <w:tc>
          <w:tcPr>
            <w:tcW w:w="9180" w:type="dxa"/>
            <w:gridSpan w:val="2"/>
          </w:tcPr>
          <w:p w:rsidRPr="00FA33C4" w:rsidR="0020320E" w:rsidP="0060010D" w:rsidRDefault="0020320E" w14:paraId="0E1833CB" w14:textId="77777777">
            <w:pPr>
              <w:tabs>
                <w:tab w:val="center" w:pos="284"/>
              </w:tabs>
              <w:overflowPunct w:val="0"/>
              <w:autoSpaceDE w:val="0"/>
              <w:autoSpaceDN w:val="0"/>
              <w:adjustRightInd w:val="0"/>
              <w:ind w:left="266" w:hanging="266"/>
              <w:textAlignment w:val="baseline"/>
              <w:rPr>
                <w:sz w:val="20"/>
                <w:szCs w:val="20"/>
                <w:lang w:val="nl-BE"/>
              </w:rPr>
            </w:pPr>
          </w:p>
        </w:tc>
      </w:tr>
      <w:tr w:rsidRPr="00FA33C4" w:rsidR="0020320E" w:rsidTr="0060010D" w14:paraId="4E3C73DB" w14:textId="77777777">
        <w:tc>
          <w:tcPr>
            <w:tcW w:w="1701" w:type="dxa"/>
          </w:tcPr>
          <w:p w:rsidRPr="00FA33C4" w:rsidR="0020320E" w:rsidRDefault="0020320E" w14:paraId="5AD5B7D4"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7479" w:type="dxa"/>
          </w:tcPr>
          <w:p w:rsidRPr="00FA33C4" w:rsidR="0020320E" w:rsidRDefault="0020320E" w14:paraId="53FA1FFF" w14:textId="77777777">
            <w:pPr>
              <w:tabs>
                <w:tab w:val="center" w:pos="284"/>
              </w:tabs>
              <w:overflowPunct w:val="0"/>
              <w:autoSpaceDE w:val="0"/>
              <w:autoSpaceDN w:val="0"/>
              <w:adjustRightInd w:val="0"/>
              <w:ind w:left="266" w:hanging="266"/>
              <w:textAlignment w:val="baseline"/>
              <w:rPr>
                <w:sz w:val="20"/>
                <w:szCs w:val="20"/>
              </w:rPr>
            </w:pPr>
            <w:r>
              <w:rPr>
                <w:sz w:val="20"/>
              </w:rPr>
              <w:t>Dictamen de iniciativa</w:t>
            </w:r>
          </w:p>
          <w:p w:rsidRPr="00FA33C4" w:rsidR="0020320E" w:rsidRDefault="0020320E" w14:paraId="3DAA6DA0" w14:textId="77777777">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rsidRPr="0020320E" w:rsidR="0020320E" w:rsidRDefault="0020320E" w14:paraId="00358582" w14:textId="77777777">
      <w:pPr>
        <w:tabs>
          <w:tab w:val="center" w:pos="284"/>
        </w:tabs>
        <w:overflowPunct w:val="0"/>
        <w:autoSpaceDE w:val="0"/>
        <w:autoSpaceDN w:val="0"/>
        <w:adjustRightInd w:val="0"/>
        <w:ind w:left="266" w:hanging="266"/>
        <w:textAlignment w:val="baseline"/>
        <w:rPr>
          <w:lang w:val="en-GB"/>
        </w:rPr>
      </w:pPr>
    </w:p>
    <w:p w:rsidRPr="0020320E" w:rsidR="0020320E" w:rsidRDefault="0020320E" w14:paraId="204F83C0"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20320E" w:rsidR="0020320E" w:rsidRDefault="0020320E" w14:paraId="257E2715" w14:textId="77777777">
      <w:pPr>
        <w:keepNext/>
        <w:keepLines/>
        <w:tabs>
          <w:tab w:val="center" w:pos="284"/>
        </w:tabs>
        <w:overflowPunct w:val="0"/>
        <w:autoSpaceDE w:val="0"/>
        <w:autoSpaceDN w:val="0"/>
        <w:adjustRightInd w:val="0"/>
        <w:ind w:left="266" w:hanging="266"/>
        <w:textAlignment w:val="baseline"/>
        <w:rPr>
          <w:b/>
        </w:rPr>
      </w:pPr>
      <w:bookmarkStart w:name="_Hlk188970948" w:id="6"/>
    </w:p>
    <w:p w:rsidR="0020320E" w:rsidRDefault="0020320E" w14:paraId="73AE19AE" w14:textId="77777777">
      <w:pPr>
        <w:overflowPunct w:val="0"/>
        <w:autoSpaceDE w:val="0"/>
        <w:autoSpaceDN w:val="0"/>
        <w:adjustRightInd w:val="0"/>
        <w:textAlignment w:val="baseline"/>
        <w:rPr>
          <w:bCs/>
          <w:iCs/>
        </w:rPr>
      </w:pPr>
      <w:r>
        <w:t>El CESE:</w:t>
      </w:r>
    </w:p>
    <w:p w:rsidRPr="0020320E" w:rsidR="0020320E" w:rsidP="0060010D" w:rsidRDefault="0020320E" w14:paraId="791C2C3B" w14:textId="77777777">
      <w:pPr>
        <w:widowControl w:val="0"/>
        <w:numPr>
          <w:ilvl w:val="0"/>
          <w:numId w:val="35"/>
        </w:numPr>
        <w:overflowPunct w:val="0"/>
        <w:autoSpaceDE w:val="0"/>
        <w:autoSpaceDN w:val="0"/>
        <w:adjustRightInd w:val="0"/>
        <w:ind w:left="567" w:hanging="567"/>
        <w:textAlignment w:val="baseline"/>
        <w:rPr>
          <w:szCs w:val="20"/>
        </w:rPr>
      </w:pPr>
      <w:bookmarkStart w:name="_Hlk188970778" w:id="7"/>
      <w:r>
        <w:t>pide una nueva estrategia marítima de la UE destinada a crear un espacio marítimo europeo para un transporte marítimo de la UE más competitivo y sostenible desde el punto de vista económico, medioambiental y social, con normas claras y transparentes, que incluya la dimensión del empleo;</w:t>
      </w:r>
    </w:p>
    <w:p w:rsidRPr="0020320E" w:rsidR="0020320E" w:rsidP="0060010D" w:rsidRDefault="0020320E" w14:paraId="48D9D5BC" w14:textId="77777777">
      <w:pPr>
        <w:widowControl w:val="0"/>
        <w:numPr>
          <w:ilvl w:val="0"/>
          <w:numId w:val="35"/>
        </w:numPr>
        <w:overflowPunct w:val="0"/>
        <w:autoSpaceDE w:val="0"/>
        <w:autoSpaceDN w:val="0"/>
        <w:adjustRightInd w:val="0"/>
        <w:ind w:left="567" w:hanging="567"/>
        <w:textAlignment w:val="baseline"/>
        <w:rPr>
          <w:szCs w:val="20"/>
        </w:rPr>
      </w:pPr>
      <w:r>
        <w:t>pide un plan de acción inmediato que reaccione a la persistencia de las actividades ilícitas, las amenazas nuevas y cambiantes, como la presencia de flotas clandestinas, y la creciente competencia geopolítica, y que responda a las necesidades actuales de las políticas de la UE en materia de defensa, relaciones internacionales y comercio;</w:t>
      </w:r>
      <w:bookmarkEnd w:id="7"/>
    </w:p>
    <w:p w:rsidRPr="0020320E" w:rsidR="0020320E" w:rsidP="0060010D" w:rsidRDefault="0020320E" w14:paraId="67E96257"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aboga por una verdadera igualdad de condiciones en que los buques que no cumplan la normativa no tengan autorización para operar en aguas europeas, compitiendo con buques inscritos en registros punteros y altamente eficientes;</w:t>
      </w:r>
    </w:p>
    <w:p w:rsidRPr="0020320E" w:rsidR="0020320E" w:rsidP="0060010D" w:rsidRDefault="0020320E" w14:paraId="7F6E83A9"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subraya la necesidad de crear un entorno propicio para el cambio de registro del tonelaje controlado por la UE a pabellones nacionales de la UE;</w:t>
      </w:r>
    </w:p>
    <w:p w:rsidRPr="0020320E" w:rsidR="0020320E" w:rsidP="0060010D" w:rsidRDefault="0020320E" w14:paraId="4DBDE55A" w14:textId="77777777">
      <w:pPr>
        <w:widowControl w:val="0"/>
        <w:numPr>
          <w:ilvl w:val="0"/>
          <w:numId w:val="35"/>
        </w:numPr>
        <w:overflowPunct w:val="0"/>
        <w:autoSpaceDE w:val="0"/>
        <w:autoSpaceDN w:val="0"/>
        <w:adjustRightInd w:val="0"/>
        <w:ind w:left="567" w:hanging="567"/>
        <w:contextualSpacing/>
        <w:textAlignment w:val="baseline"/>
      </w:pPr>
      <w:r>
        <w:t>destaca la importancia de un nuevo contrato social, que incluye la aplicación eficaz de la legislación existente en el sector y la voluntad política de emprender iniciativas legislativas jurídicamente vinculantes que ofrezcan a la gente de mar el mismo nivel de protección social que a las personas que trabajan en tierra.</w:t>
      </w:r>
    </w:p>
    <w:bookmarkEnd w:id="6"/>
    <w:p w:rsidRPr="0020320E" w:rsidR="0020320E" w:rsidRDefault="0020320E" w14:paraId="09148A63"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951"/>
        <w:gridCol w:w="7371"/>
      </w:tblGrid>
      <w:tr w:rsidRPr="00FA33C4" w:rsidR="0020320E" w:rsidTr="006A2182" w14:paraId="2CB5D10F" w14:textId="77777777">
        <w:tc>
          <w:tcPr>
            <w:tcW w:w="1951" w:type="dxa"/>
          </w:tcPr>
          <w:p w:rsidRPr="00FA33C4" w:rsidR="0020320E" w:rsidP="0060010D" w:rsidRDefault="0020320E" w14:paraId="740D9F86" w14:textId="77777777">
            <w:pPr>
              <w:overflowPunct w:val="0"/>
              <w:autoSpaceDE w:val="0"/>
              <w:autoSpaceDN w:val="0"/>
              <w:adjustRightInd w:val="0"/>
              <w:textAlignment w:val="baseline"/>
              <w:rPr>
                <w:i/>
                <w:sz w:val="20"/>
                <w:szCs w:val="20"/>
              </w:rPr>
            </w:pPr>
            <w:r>
              <w:rPr>
                <w:b/>
                <w:i/>
                <w:sz w:val="20"/>
              </w:rPr>
              <w:t>Contacto:</w:t>
            </w:r>
          </w:p>
        </w:tc>
        <w:tc>
          <w:tcPr>
            <w:tcW w:w="7371" w:type="dxa"/>
          </w:tcPr>
          <w:p w:rsidRPr="00FA33C4" w:rsidR="0020320E" w:rsidP="0060010D" w:rsidRDefault="0020320E" w14:paraId="49ADD449" w14:textId="77777777">
            <w:pPr>
              <w:overflowPunct w:val="0"/>
              <w:autoSpaceDE w:val="0"/>
              <w:autoSpaceDN w:val="0"/>
              <w:adjustRightInd w:val="0"/>
              <w:textAlignment w:val="baseline"/>
              <w:rPr>
                <w:i/>
                <w:sz w:val="20"/>
                <w:szCs w:val="20"/>
              </w:rPr>
            </w:pPr>
            <w:r>
              <w:rPr>
                <w:i/>
                <w:sz w:val="20"/>
              </w:rPr>
              <w:t>Aleksandra Sarman Grilc</w:t>
            </w:r>
          </w:p>
        </w:tc>
      </w:tr>
      <w:tr w:rsidRPr="00FA33C4" w:rsidR="0020320E" w:rsidTr="006A2182" w14:paraId="1B816AB3" w14:textId="77777777">
        <w:tc>
          <w:tcPr>
            <w:tcW w:w="1951" w:type="dxa"/>
          </w:tcPr>
          <w:p w:rsidRPr="00FA33C4" w:rsidR="0020320E" w:rsidP="0060010D" w:rsidRDefault="0020320E" w14:paraId="5621EC70" w14:textId="77777777">
            <w:pPr>
              <w:overflowPunct w:val="0"/>
              <w:autoSpaceDE w:val="0"/>
              <w:autoSpaceDN w:val="0"/>
              <w:adjustRightInd w:val="0"/>
              <w:textAlignment w:val="baseline"/>
              <w:rPr>
                <w:i/>
                <w:sz w:val="20"/>
                <w:szCs w:val="20"/>
              </w:rPr>
            </w:pPr>
            <w:r>
              <w:rPr>
                <w:i/>
                <w:sz w:val="20"/>
              </w:rPr>
              <w:t>Teléfono:</w:t>
            </w:r>
          </w:p>
        </w:tc>
        <w:tc>
          <w:tcPr>
            <w:tcW w:w="7371" w:type="dxa"/>
          </w:tcPr>
          <w:p w:rsidRPr="00FA33C4" w:rsidR="0020320E" w:rsidP="0060010D" w:rsidRDefault="0020320E" w14:paraId="6E78632B" w14:textId="77777777">
            <w:pPr>
              <w:overflowPunct w:val="0"/>
              <w:autoSpaceDE w:val="0"/>
              <w:autoSpaceDN w:val="0"/>
              <w:adjustRightInd w:val="0"/>
              <w:textAlignment w:val="baseline"/>
              <w:rPr>
                <w:i/>
                <w:sz w:val="20"/>
                <w:szCs w:val="20"/>
              </w:rPr>
            </w:pPr>
            <w:r>
              <w:rPr>
                <w:i/>
                <w:sz w:val="20"/>
              </w:rPr>
              <w:t>+32 25468333</w:t>
            </w:r>
          </w:p>
        </w:tc>
      </w:tr>
      <w:tr w:rsidRPr="00FA33C4" w:rsidR="0020320E" w:rsidTr="006A2182" w14:paraId="15F5F4CB" w14:textId="77777777">
        <w:tc>
          <w:tcPr>
            <w:tcW w:w="1951" w:type="dxa"/>
          </w:tcPr>
          <w:p w:rsidRPr="00FA33C4" w:rsidR="0020320E" w:rsidP="0060010D" w:rsidRDefault="004E3508" w14:paraId="4EE71517" w14:textId="5A868EB8">
            <w:pPr>
              <w:overflowPunct w:val="0"/>
              <w:autoSpaceDE w:val="0"/>
              <w:autoSpaceDN w:val="0"/>
              <w:adjustRightInd w:val="0"/>
              <w:textAlignment w:val="baseline"/>
              <w:rPr>
                <w:i/>
                <w:sz w:val="20"/>
                <w:szCs w:val="20"/>
              </w:rPr>
            </w:pPr>
            <w:r>
              <w:rPr>
                <w:i/>
                <w:sz w:val="20"/>
              </w:rPr>
              <w:t>Correo electrónico:</w:t>
            </w:r>
          </w:p>
        </w:tc>
        <w:tc>
          <w:tcPr>
            <w:tcW w:w="7371" w:type="dxa"/>
          </w:tcPr>
          <w:p w:rsidRPr="00FA33C4" w:rsidR="0020320E" w:rsidP="0060010D" w:rsidRDefault="0001176A" w14:paraId="1220F8D0" w14:textId="77777777">
            <w:pPr>
              <w:overflowPunct w:val="0"/>
              <w:autoSpaceDE w:val="0"/>
              <w:autoSpaceDN w:val="0"/>
              <w:adjustRightInd w:val="0"/>
              <w:textAlignment w:val="baseline"/>
              <w:rPr>
                <w:i/>
                <w:iCs/>
                <w:sz w:val="20"/>
                <w:szCs w:val="20"/>
              </w:rPr>
            </w:pPr>
            <w:hyperlink w:history="1" r:id="rId28">
              <w:r w:rsidR="00465FCD">
                <w:rPr>
                  <w:i/>
                  <w:color w:val="0000FF"/>
                  <w:sz w:val="20"/>
                  <w:u w:val="single"/>
                </w:rPr>
                <w:t>Aleksandra.SarmanGrilc@eesc.europa.eu</w:t>
              </w:r>
            </w:hyperlink>
          </w:p>
        </w:tc>
      </w:tr>
    </w:tbl>
    <w:p w:rsidR="004D7AC0" w:rsidRDefault="004D7AC0" w14:paraId="4982DDEF" w14:textId="77777777">
      <w:pPr>
        <w:pStyle w:val="ListParagraph"/>
        <w:ind w:left="0"/>
      </w:pPr>
    </w:p>
    <w:p w:rsidR="004D7AC0" w:rsidRDefault="004D7AC0" w14:paraId="4982DDF0" w14:textId="77777777">
      <w:pPr>
        <w:pStyle w:val="ListParagraph"/>
        <w:ind w:left="0"/>
      </w:pPr>
    </w:p>
    <w:p w:rsidR="004D7AC0" w:rsidRDefault="004D7AC0" w14:paraId="4982DDF1" w14:textId="77777777">
      <w:pPr>
        <w:pStyle w:val="ListParagraph"/>
        <w:ind w:left="0"/>
      </w:pPr>
    </w:p>
    <w:p w:rsidR="004D7AC0" w:rsidP="0060010D" w:rsidRDefault="004D7AC0" w14:paraId="4982DDF2" w14:textId="77777777">
      <w:pPr>
        <w:jc w:val="left"/>
      </w:pPr>
      <w:r>
        <w:br w:type="page"/>
      </w:r>
    </w:p>
    <w:p w:rsidR="004D7AC0" w:rsidRDefault="004D7AC0" w14:paraId="4982DDF3" w14:textId="77777777">
      <w:pPr>
        <w:pStyle w:val="Heading1"/>
        <w:rPr>
          <w:b/>
        </w:rPr>
      </w:pPr>
      <w:bookmarkStart w:name="_Toc75527083" w:id="8"/>
      <w:bookmarkStart w:name="_Toc189228414" w:id="9"/>
      <w:r>
        <w:rPr>
          <w:b/>
        </w:rPr>
        <w:lastRenderedPageBreak/>
        <w:t>MERCADO ÚNICO, PRODUCCIÓN Y CONSUMO</w:t>
      </w:r>
      <w:bookmarkEnd w:id="8"/>
      <w:bookmarkEnd w:id="9"/>
    </w:p>
    <w:p w:rsidR="004D7AC0" w:rsidRDefault="004D7AC0" w14:paraId="4982DDF4" w14:textId="77777777"/>
    <w:p w:rsidRPr="005B5258" w:rsidR="005B5258" w:rsidRDefault="0001176A" w14:paraId="7999FA16" w14:textId="12A5961E">
      <w:pPr>
        <w:widowControl w:val="0"/>
        <w:numPr>
          <w:ilvl w:val="0"/>
          <w:numId w:val="14"/>
        </w:numPr>
        <w:overflowPunct w:val="0"/>
        <w:autoSpaceDE w:val="0"/>
        <w:autoSpaceDN w:val="0"/>
        <w:adjustRightInd w:val="0"/>
        <w:ind w:hanging="567"/>
        <w:textAlignment w:val="baseline"/>
        <w:rPr>
          <w:sz w:val="20"/>
          <w:szCs w:val="20"/>
        </w:rPr>
      </w:pPr>
      <w:hyperlink w:history="1" r:id="rId29">
        <w:r w:rsidR="005B5258">
          <w:rPr>
            <w:b/>
            <w:i/>
            <w:color w:val="0000FF"/>
            <w:sz w:val="28"/>
            <w:u w:val="single"/>
          </w:rPr>
          <w:t>Equipos de alimentación de vehículos eléctricos, surtidores de gas comprimido y contadores de electricidad, de gas y de energía térmica</w:t>
        </w:r>
      </w:hyperlink>
    </w:p>
    <w:p w:rsidRPr="005B5258" w:rsidR="005B5258" w:rsidRDefault="005B5258" w14:paraId="231C293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FA33C4" w:rsidR="005B5258" w:rsidTr="0060010D" w14:paraId="5540D175" w14:textId="77777777">
        <w:tc>
          <w:tcPr>
            <w:tcW w:w="2235" w:type="dxa"/>
            <w:vMerge w:val="restart"/>
          </w:tcPr>
          <w:p w:rsidRPr="00FA33C4" w:rsidR="005B5258" w:rsidRDefault="005B5258" w14:paraId="2614C17C" w14:textId="3FA02A79">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7087" w:type="dxa"/>
          </w:tcPr>
          <w:p w:rsidRPr="00FA33C4" w:rsidR="00F02BB5" w:rsidRDefault="00F02BB5" w14:paraId="6ED29998" w14:textId="675BD2B5">
            <w:pPr>
              <w:tabs>
                <w:tab w:val="center" w:pos="284"/>
              </w:tabs>
              <w:overflowPunct w:val="0"/>
              <w:autoSpaceDE w:val="0"/>
              <w:autoSpaceDN w:val="0"/>
              <w:adjustRightInd w:val="0"/>
              <w:ind w:left="266" w:hanging="266"/>
              <w:textAlignment w:val="baseline"/>
              <w:rPr>
                <w:bCs/>
                <w:sz w:val="20"/>
                <w:szCs w:val="20"/>
              </w:rPr>
            </w:pPr>
            <w:r>
              <w:rPr>
                <w:sz w:val="20"/>
              </w:rPr>
              <w:t>Dictamen de categoría C</w:t>
            </w:r>
          </w:p>
          <w:p w:rsidRPr="00FA33C4" w:rsidR="005B5258" w:rsidRDefault="005B5258" w14:paraId="054F7B7B" w14:textId="757CA6A1">
            <w:pPr>
              <w:tabs>
                <w:tab w:val="center" w:pos="284"/>
              </w:tabs>
              <w:overflowPunct w:val="0"/>
              <w:autoSpaceDE w:val="0"/>
              <w:autoSpaceDN w:val="0"/>
              <w:adjustRightInd w:val="0"/>
              <w:ind w:left="266" w:hanging="266"/>
              <w:textAlignment w:val="baseline"/>
              <w:rPr>
                <w:sz w:val="20"/>
                <w:szCs w:val="20"/>
              </w:rPr>
            </w:pPr>
            <w:r>
              <w:rPr>
                <w:sz w:val="20"/>
              </w:rPr>
              <w:t>COM(2024) 561 final</w:t>
            </w:r>
          </w:p>
        </w:tc>
      </w:tr>
      <w:tr w:rsidRPr="00FA33C4" w:rsidR="005B5258" w:rsidTr="0060010D" w14:paraId="01D59A37" w14:textId="77777777">
        <w:tc>
          <w:tcPr>
            <w:tcW w:w="2235" w:type="dxa"/>
            <w:vMerge/>
          </w:tcPr>
          <w:p w:rsidRPr="00FA33C4" w:rsidR="005B5258" w:rsidRDefault="005B5258" w14:paraId="32B0630D" w14:textId="77777777">
            <w:pPr>
              <w:tabs>
                <w:tab w:val="center" w:pos="284"/>
              </w:tabs>
              <w:overflowPunct w:val="0"/>
              <w:autoSpaceDE w:val="0"/>
              <w:autoSpaceDN w:val="0"/>
              <w:adjustRightInd w:val="0"/>
              <w:ind w:left="266" w:hanging="266"/>
              <w:textAlignment w:val="baseline"/>
              <w:rPr>
                <w:b/>
                <w:sz w:val="20"/>
                <w:szCs w:val="20"/>
              </w:rPr>
            </w:pPr>
          </w:p>
        </w:tc>
        <w:tc>
          <w:tcPr>
            <w:tcW w:w="7087" w:type="dxa"/>
          </w:tcPr>
          <w:p w:rsidRPr="00FA33C4" w:rsidR="005B5258" w:rsidRDefault="005B5258" w14:paraId="33D4B2A1" w14:textId="4A11755C">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rsidRPr="005B5258" w:rsidR="005B5258" w:rsidRDefault="005B5258" w14:paraId="7A89EDA5" w14:textId="77777777">
      <w:pPr>
        <w:tabs>
          <w:tab w:val="center" w:pos="284"/>
        </w:tabs>
        <w:overflowPunct w:val="0"/>
        <w:autoSpaceDE w:val="0"/>
        <w:autoSpaceDN w:val="0"/>
        <w:adjustRightInd w:val="0"/>
        <w:ind w:left="266" w:hanging="266"/>
        <w:textAlignment w:val="baseline"/>
        <w:rPr>
          <w:lang w:val="en-GB"/>
        </w:rPr>
      </w:pPr>
    </w:p>
    <w:p w:rsidRPr="005B5258" w:rsidR="005B5258" w:rsidRDefault="005B5258" w14:paraId="186EBF98"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5B5258" w:rsidR="005B5258" w:rsidRDefault="005B5258" w14:paraId="6BB8DCF1" w14:textId="77777777">
      <w:pPr>
        <w:keepNext/>
        <w:keepLines/>
        <w:tabs>
          <w:tab w:val="center" w:pos="284"/>
        </w:tabs>
        <w:overflowPunct w:val="0"/>
        <w:autoSpaceDE w:val="0"/>
        <w:autoSpaceDN w:val="0"/>
        <w:adjustRightInd w:val="0"/>
        <w:ind w:left="266" w:hanging="266"/>
        <w:textAlignment w:val="baseline"/>
        <w:rPr>
          <w:b/>
          <w:lang w:val="en-GB"/>
        </w:rPr>
      </w:pPr>
    </w:p>
    <w:p w:rsidRPr="005B5258" w:rsidR="005B5258" w:rsidRDefault="005B5258" w14:paraId="2E0108A1" w14:textId="77777777">
      <w:pPr>
        <w:overflowPunct w:val="0"/>
        <w:autoSpaceDE w:val="0"/>
        <w:autoSpaceDN w:val="0"/>
        <w:adjustRightInd w:val="0"/>
        <w:textAlignment w:val="baseline"/>
        <w:rPr>
          <w:bCs/>
          <w:iCs/>
        </w:rPr>
      </w:pPr>
      <w:r>
        <w:t>El CESE decidió emitir un dictamen favorable sobre la propuesta.</w:t>
      </w:r>
    </w:p>
    <w:p w:rsidRPr="005B5258" w:rsidR="005B5258" w:rsidRDefault="005B5258" w14:paraId="4EB77E0C"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951"/>
        <w:gridCol w:w="7371"/>
      </w:tblGrid>
      <w:tr w:rsidRPr="00FA33C4" w:rsidR="005B5258" w:rsidTr="006A2182" w14:paraId="7838A103" w14:textId="77777777">
        <w:tc>
          <w:tcPr>
            <w:tcW w:w="1951" w:type="dxa"/>
          </w:tcPr>
          <w:p w:rsidRPr="00FA33C4" w:rsidR="005B5258" w:rsidP="0060010D" w:rsidRDefault="005B5258" w14:paraId="706B817A" w14:textId="77777777">
            <w:pPr>
              <w:overflowPunct w:val="0"/>
              <w:autoSpaceDE w:val="0"/>
              <w:autoSpaceDN w:val="0"/>
              <w:adjustRightInd w:val="0"/>
              <w:textAlignment w:val="baseline"/>
              <w:rPr>
                <w:i/>
                <w:sz w:val="20"/>
                <w:szCs w:val="20"/>
              </w:rPr>
            </w:pPr>
            <w:r>
              <w:rPr>
                <w:b/>
                <w:i/>
                <w:sz w:val="20"/>
              </w:rPr>
              <w:t>Contacto:</w:t>
            </w:r>
          </w:p>
        </w:tc>
        <w:tc>
          <w:tcPr>
            <w:tcW w:w="7371" w:type="dxa"/>
          </w:tcPr>
          <w:p w:rsidRPr="00FA33C4" w:rsidR="005B5258" w:rsidP="0060010D" w:rsidRDefault="005B5258" w14:paraId="67530D78" w14:textId="77777777">
            <w:pPr>
              <w:overflowPunct w:val="0"/>
              <w:autoSpaceDE w:val="0"/>
              <w:autoSpaceDN w:val="0"/>
              <w:adjustRightInd w:val="0"/>
              <w:textAlignment w:val="baseline"/>
              <w:rPr>
                <w:i/>
                <w:sz w:val="20"/>
                <w:szCs w:val="20"/>
              </w:rPr>
            </w:pPr>
            <w:r>
              <w:rPr>
                <w:i/>
                <w:sz w:val="20"/>
              </w:rPr>
              <w:t>Alice Tétu</w:t>
            </w:r>
          </w:p>
        </w:tc>
      </w:tr>
      <w:tr w:rsidRPr="00FA33C4" w:rsidR="005B5258" w:rsidTr="006A2182" w14:paraId="29FF2DCC" w14:textId="77777777">
        <w:tc>
          <w:tcPr>
            <w:tcW w:w="1951" w:type="dxa"/>
          </w:tcPr>
          <w:p w:rsidRPr="00FA33C4" w:rsidR="005B5258" w:rsidP="0060010D" w:rsidRDefault="005B5258" w14:paraId="2F85E9ED" w14:textId="77777777">
            <w:pPr>
              <w:overflowPunct w:val="0"/>
              <w:autoSpaceDE w:val="0"/>
              <w:autoSpaceDN w:val="0"/>
              <w:adjustRightInd w:val="0"/>
              <w:textAlignment w:val="baseline"/>
              <w:rPr>
                <w:i/>
                <w:sz w:val="20"/>
                <w:szCs w:val="20"/>
              </w:rPr>
            </w:pPr>
            <w:r>
              <w:rPr>
                <w:i/>
                <w:sz w:val="20"/>
              </w:rPr>
              <w:t>Teléfono:</w:t>
            </w:r>
          </w:p>
        </w:tc>
        <w:tc>
          <w:tcPr>
            <w:tcW w:w="7371" w:type="dxa"/>
          </w:tcPr>
          <w:p w:rsidRPr="00FA33C4" w:rsidR="005B5258" w:rsidP="0060010D" w:rsidRDefault="005B5258" w14:paraId="3F6BEA10" w14:textId="77777777">
            <w:pPr>
              <w:overflowPunct w:val="0"/>
              <w:autoSpaceDE w:val="0"/>
              <w:autoSpaceDN w:val="0"/>
              <w:adjustRightInd w:val="0"/>
              <w:textAlignment w:val="baseline"/>
              <w:rPr>
                <w:i/>
                <w:sz w:val="20"/>
                <w:szCs w:val="20"/>
              </w:rPr>
            </w:pPr>
            <w:r>
              <w:rPr>
                <w:i/>
                <w:sz w:val="20"/>
              </w:rPr>
              <w:t>+ 32 25468286</w:t>
            </w:r>
          </w:p>
        </w:tc>
      </w:tr>
      <w:tr w:rsidRPr="00FA33C4" w:rsidR="005B5258" w:rsidTr="006A2182" w14:paraId="1A19F622" w14:textId="77777777">
        <w:tc>
          <w:tcPr>
            <w:tcW w:w="1951" w:type="dxa"/>
          </w:tcPr>
          <w:p w:rsidRPr="00FA33C4" w:rsidR="005B5258" w:rsidP="0060010D" w:rsidRDefault="00F02BB5" w14:paraId="3D8CB79D" w14:textId="1AD02277">
            <w:pPr>
              <w:overflowPunct w:val="0"/>
              <w:autoSpaceDE w:val="0"/>
              <w:autoSpaceDN w:val="0"/>
              <w:adjustRightInd w:val="0"/>
              <w:textAlignment w:val="baseline"/>
              <w:rPr>
                <w:i/>
                <w:sz w:val="20"/>
                <w:szCs w:val="20"/>
              </w:rPr>
            </w:pPr>
            <w:r>
              <w:rPr>
                <w:i/>
                <w:sz w:val="20"/>
              </w:rPr>
              <w:t>Correo electrónico:</w:t>
            </w:r>
          </w:p>
        </w:tc>
        <w:tc>
          <w:tcPr>
            <w:tcW w:w="7371" w:type="dxa"/>
          </w:tcPr>
          <w:p w:rsidRPr="00FA33C4" w:rsidR="005B5258" w:rsidP="0060010D" w:rsidRDefault="0001176A" w14:paraId="5A6CC6F8" w14:textId="77777777">
            <w:pPr>
              <w:overflowPunct w:val="0"/>
              <w:autoSpaceDE w:val="0"/>
              <w:autoSpaceDN w:val="0"/>
              <w:adjustRightInd w:val="0"/>
              <w:textAlignment w:val="baseline"/>
              <w:rPr>
                <w:i/>
                <w:sz w:val="20"/>
                <w:szCs w:val="20"/>
              </w:rPr>
            </w:pPr>
            <w:hyperlink w:history="1" r:id="rId30">
              <w:r w:rsidR="00465FCD">
                <w:rPr>
                  <w:i/>
                  <w:color w:val="0000FF"/>
                  <w:sz w:val="20"/>
                  <w:u w:val="single"/>
                </w:rPr>
                <w:t>Alice.Tetu@eesc.europa.eu</w:t>
              </w:r>
            </w:hyperlink>
          </w:p>
        </w:tc>
      </w:tr>
    </w:tbl>
    <w:p w:rsidR="00EE160A" w:rsidP="00EE160A" w:rsidRDefault="00EE160A" w14:paraId="7C08FFF5" w14:textId="77777777">
      <w:pPr>
        <w:jc w:val="left"/>
      </w:pPr>
    </w:p>
    <w:p w:rsidR="0084417F" w:rsidP="000D43E1" w:rsidRDefault="0084417F" w14:paraId="4982DE1C" w14:textId="3CD6FBC7">
      <w:pPr>
        <w:jc w:val="left"/>
      </w:pPr>
    </w:p>
    <w:p w:rsidRPr="000D43E1" w:rsidR="000D43E1" w:rsidP="000D43E1" w:rsidRDefault="0001176A" w14:paraId="1E85D6DD" w14:textId="245E2CB6">
      <w:pPr>
        <w:pStyle w:val="ListParagraph"/>
        <w:numPr>
          <w:ilvl w:val="0"/>
          <w:numId w:val="59"/>
        </w:numPr>
        <w:ind w:left="567" w:hanging="567"/>
        <w:jc w:val="left"/>
        <w:rPr>
          <w:b/>
          <w:bCs/>
          <w:i/>
          <w:iCs/>
          <w:sz w:val="32"/>
          <w:szCs w:val="32"/>
        </w:rPr>
      </w:pPr>
      <w:hyperlink w:history="1" r:id="rId31">
        <w:r w:rsidR="00EA1912">
          <w:rPr>
            <w:rStyle w:val="Hyperlink"/>
            <w:b/>
            <w:i/>
            <w:sz w:val="32"/>
          </w:rPr>
          <w:t>Cómo apoyar a las entidades de la economía social de conformidad con las normas sobre ayudas estatales: algunas reflexiones a raíz de las propuestas del informe de Enrico Letta</w:t>
        </w:r>
      </w:hyperlink>
    </w:p>
    <w:p w:rsidRPr="0060010D" w:rsidR="00BC6AA1" w:rsidRDefault="00BC6AA1" w14:paraId="1AF13DC1"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525"/>
        <w:gridCol w:w="7764"/>
      </w:tblGrid>
      <w:tr w:rsidRPr="00FA33C4" w:rsidR="009B04E2" w:rsidTr="0060010D" w14:paraId="6706979B" w14:textId="77777777">
        <w:trPr>
          <w:trHeight w:val="279"/>
        </w:trPr>
        <w:tc>
          <w:tcPr>
            <w:tcW w:w="821" w:type="pct"/>
          </w:tcPr>
          <w:p w:rsidRPr="00FA33C4" w:rsidR="009B04E2" w:rsidRDefault="009B04E2" w14:paraId="3F16C390" w14:textId="77777777">
            <w:pPr>
              <w:tabs>
                <w:tab w:val="center" w:pos="284"/>
              </w:tabs>
              <w:overflowPunct w:val="0"/>
              <w:autoSpaceDE w:val="0"/>
              <w:autoSpaceDN w:val="0"/>
              <w:adjustRightInd w:val="0"/>
              <w:ind w:left="266" w:hanging="266"/>
              <w:textAlignment w:val="baseline"/>
              <w:rPr>
                <w:b/>
                <w:sz w:val="20"/>
                <w:szCs w:val="20"/>
              </w:rPr>
            </w:pPr>
            <w:r>
              <w:rPr>
                <w:b/>
                <w:sz w:val="20"/>
              </w:rPr>
              <w:t>Ponente:</w:t>
            </w:r>
          </w:p>
        </w:tc>
        <w:tc>
          <w:tcPr>
            <w:tcW w:w="4179" w:type="pct"/>
          </w:tcPr>
          <w:p w:rsidRPr="00FA33C4" w:rsidR="009B04E2" w:rsidRDefault="009B04E2" w14:paraId="67594706" w14:textId="3DC6F31E">
            <w:pPr>
              <w:tabs>
                <w:tab w:val="center" w:pos="284"/>
              </w:tabs>
              <w:overflowPunct w:val="0"/>
              <w:autoSpaceDE w:val="0"/>
              <w:autoSpaceDN w:val="0"/>
              <w:adjustRightInd w:val="0"/>
              <w:ind w:left="266" w:hanging="266"/>
              <w:jc w:val="left"/>
              <w:textAlignment w:val="baseline"/>
              <w:rPr>
                <w:bCs/>
                <w:sz w:val="20"/>
                <w:szCs w:val="20"/>
              </w:rPr>
            </w:pPr>
            <w:r>
              <w:rPr>
                <w:sz w:val="20"/>
              </w:rPr>
              <w:t>Giuseppe GUERINI (Grupo de Organizaciones de la Sociedad Civil – IT)</w:t>
            </w:r>
          </w:p>
        </w:tc>
      </w:tr>
      <w:tr w:rsidRPr="00FA33C4" w:rsidR="009B04E2" w:rsidTr="0060010D" w14:paraId="3E8AE26E" w14:textId="77777777">
        <w:trPr>
          <w:trHeight w:val="165"/>
        </w:trPr>
        <w:tc>
          <w:tcPr>
            <w:tcW w:w="5000" w:type="pct"/>
            <w:gridSpan w:val="2"/>
          </w:tcPr>
          <w:p w:rsidRPr="00FA33C4" w:rsidR="009B04E2" w:rsidP="0060010D" w:rsidRDefault="009B04E2" w14:paraId="02F2FAC4" w14:textId="77777777">
            <w:pPr>
              <w:tabs>
                <w:tab w:val="center" w:pos="284"/>
              </w:tabs>
              <w:overflowPunct w:val="0"/>
              <w:autoSpaceDE w:val="0"/>
              <w:autoSpaceDN w:val="0"/>
              <w:adjustRightInd w:val="0"/>
              <w:ind w:left="266" w:hanging="266"/>
              <w:textAlignment w:val="baseline"/>
              <w:rPr>
                <w:sz w:val="20"/>
                <w:szCs w:val="20"/>
              </w:rPr>
            </w:pPr>
          </w:p>
        </w:tc>
      </w:tr>
      <w:tr w:rsidRPr="00FA33C4" w:rsidR="009B04E2" w:rsidTr="0060010D" w14:paraId="461881DC" w14:textId="77777777">
        <w:trPr>
          <w:trHeight w:val="500"/>
        </w:trPr>
        <w:tc>
          <w:tcPr>
            <w:tcW w:w="821" w:type="pct"/>
          </w:tcPr>
          <w:p w:rsidRPr="00FA33C4" w:rsidR="009B04E2" w:rsidRDefault="009B04E2" w14:paraId="711D7CC3"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4179" w:type="pct"/>
          </w:tcPr>
          <w:p w:rsidRPr="00FA33C4" w:rsidR="009B04E2" w:rsidRDefault="009B04E2" w14:paraId="13483DC7" w14:textId="77777777">
            <w:pPr>
              <w:tabs>
                <w:tab w:val="center" w:pos="284"/>
              </w:tabs>
              <w:overflowPunct w:val="0"/>
              <w:autoSpaceDE w:val="0"/>
              <w:autoSpaceDN w:val="0"/>
              <w:adjustRightInd w:val="0"/>
              <w:ind w:left="266" w:hanging="266"/>
              <w:textAlignment w:val="baseline"/>
              <w:rPr>
                <w:sz w:val="20"/>
                <w:szCs w:val="20"/>
              </w:rPr>
            </w:pPr>
            <w:r>
              <w:rPr>
                <w:sz w:val="20"/>
              </w:rPr>
              <w:t>Dictamen de iniciativa</w:t>
            </w:r>
          </w:p>
          <w:p w:rsidRPr="00FA33C4" w:rsidR="009B04E2" w:rsidRDefault="009B04E2" w14:paraId="5576B55D" w14:textId="77777777">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rsidR="00726351" w:rsidRDefault="00726351" w14:paraId="10731C32" w14:textId="77777777">
      <w:pPr>
        <w:keepNext/>
        <w:keepLines/>
        <w:tabs>
          <w:tab w:val="center" w:pos="284"/>
        </w:tabs>
        <w:overflowPunct w:val="0"/>
        <w:autoSpaceDE w:val="0"/>
        <w:autoSpaceDN w:val="0"/>
        <w:adjustRightInd w:val="0"/>
        <w:ind w:left="266" w:hanging="266"/>
        <w:textAlignment w:val="baseline"/>
        <w:rPr>
          <w:b/>
          <w:lang w:val="en-GB"/>
        </w:rPr>
      </w:pPr>
    </w:p>
    <w:p w:rsidRPr="009B04E2" w:rsidR="009B04E2" w:rsidRDefault="009B04E2" w14:paraId="56A16D26" w14:textId="6324A8F8">
      <w:pPr>
        <w:keepNext/>
        <w:keepLines/>
        <w:tabs>
          <w:tab w:val="center" w:pos="284"/>
        </w:tabs>
        <w:overflowPunct w:val="0"/>
        <w:autoSpaceDE w:val="0"/>
        <w:autoSpaceDN w:val="0"/>
        <w:adjustRightInd w:val="0"/>
        <w:ind w:left="266" w:hanging="266"/>
        <w:textAlignment w:val="baseline"/>
        <w:rPr>
          <w:b/>
        </w:rPr>
      </w:pPr>
      <w:r>
        <w:rPr>
          <w:b/>
        </w:rPr>
        <w:t>Puntos clave</w:t>
      </w:r>
    </w:p>
    <w:p w:rsidRPr="009B04E2" w:rsidR="009B04E2" w:rsidRDefault="009B04E2" w14:paraId="09E5371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9B04E2" w:rsidR="009B04E2" w:rsidRDefault="009B04E2" w14:paraId="397EBFCD" w14:textId="77777777">
      <w:pPr>
        <w:overflowPunct w:val="0"/>
        <w:autoSpaceDE w:val="0"/>
        <w:autoSpaceDN w:val="0"/>
        <w:adjustRightInd w:val="0"/>
        <w:textAlignment w:val="baseline"/>
        <w:rPr>
          <w:bCs/>
          <w:iCs/>
        </w:rPr>
      </w:pPr>
      <w:r>
        <w:t>El CESE:</w:t>
      </w:r>
    </w:p>
    <w:p w:rsidRPr="009B04E2" w:rsidR="009B04E2" w:rsidP="0060010D" w:rsidRDefault="009B04E2" w14:paraId="279BECB5" w14:textId="77777777">
      <w:pPr>
        <w:widowControl w:val="0"/>
        <w:numPr>
          <w:ilvl w:val="0"/>
          <w:numId w:val="36"/>
        </w:numPr>
        <w:overflowPunct w:val="0"/>
        <w:autoSpaceDE w:val="0"/>
        <w:autoSpaceDN w:val="0"/>
        <w:adjustRightInd w:val="0"/>
        <w:ind w:left="567" w:hanging="567"/>
        <w:textAlignment w:val="baseline"/>
        <w:rPr>
          <w:bCs/>
          <w:iCs/>
        </w:rPr>
      </w:pPr>
      <w:r>
        <w:t>subraya la importancia de conciliar la necesidad de un fuerte apoyo público a las entidades de la economía social —que a menudo desempeñan funciones que antes ejercían los Estados nacionales— con las normas europeas en materia de ayudas estatales;</w:t>
      </w:r>
    </w:p>
    <w:p w:rsidRPr="009B04E2" w:rsidR="009B04E2" w:rsidP="0060010D" w:rsidRDefault="009B04E2" w14:paraId="23D4912E" w14:textId="77777777">
      <w:pPr>
        <w:widowControl w:val="0"/>
        <w:numPr>
          <w:ilvl w:val="0"/>
          <w:numId w:val="36"/>
        </w:numPr>
        <w:overflowPunct w:val="0"/>
        <w:autoSpaceDE w:val="0"/>
        <w:autoSpaceDN w:val="0"/>
        <w:adjustRightInd w:val="0"/>
        <w:ind w:left="567" w:hanging="567"/>
        <w:textAlignment w:val="baseline"/>
        <w:rPr>
          <w:bCs/>
          <w:iCs/>
        </w:rPr>
      </w:pPr>
      <w:r>
        <w:t>recuerda la trascendencia de las entidades de la economía social como garantes de respuestas concretas a las necesidades sociales de la ciudadanía europea;</w:t>
      </w:r>
    </w:p>
    <w:p w:rsidRPr="009B04E2" w:rsidR="009B04E2" w:rsidP="0060010D" w:rsidRDefault="009B04E2" w14:paraId="2CD258BF" w14:textId="77777777">
      <w:pPr>
        <w:widowControl w:val="0"/>
        <w:numPr>
          <w:ilvl w:val="0"/>
          <w:numId w:val="36"/>
        </w:numPr>
        <w:overflowPunct w:val="0"/>
        <w:autoSpaceDE w:val="0"/>
        <w:autoSpaceDN w:val="0"/>
        <w:adjustRightInd w:val="0"/>
        <w:ind w:left="567" w:hanging="567"/>
        <w:textAlignment w:val="baseline"/>
        <w:rPr>
          <w:bCs/>
          <w:iCs/>
        </w:rPr>
      </w:pPr>
      <w:r>
        <w:t>señala que, en una serie de circunstancias y ante determinados supuestos, las actividades de las entidades de la economía social se fundamentan en la solidaridad y quedan por ello fuera del ámbito de las actividades económicas. Al mismo tiempo, en muchos casos el carácter transfronterizo de las actividades de estas entidades en el sector sociosanitario debe considerarse residual y de una escala tan reducida que no afectan sustancialmente a la competencia entre los Estados miembros;</w:t>
      </w:r>
    </w:p>
    <w:p w:rsidRPr="009B04E2" w:rsidR="009B04E2" w:rsidP="0060010D" w:rsidRDefault="009B04E2" w14:paraId="1CA3525C" w14:textId="77777777">
      <w:pPr>
        <w:widowControl w:val="0"/>
        <w:numPr>
          <w:ilvl w:val="0"/>
          <w:numId w:val="36"/>
        </w:numPr>
        <w:overflowPunct w:val="0"/>
        <w:autoSpaceDE w:val="0"/>
        <w:autoSpaceDN w:val="0"/>
        <w:adjustRightInd w:val="0"/>
        <w:ind w:left="567" w:hanging="567"/>
        <w:textAlignment w:val="baseline"/>
        <w:rPr>
          <w:bCs/>
          <w:iCs/>
        </w:rPr>
      </w:pPr>
      <w:r>
        <w:t>considera que deben reforzarse y simplificarse las normas para la concesión de ayudas a la contratación de trabajadores desfavorecidos o con discapacidad establecidas en el Reglamento general de exención por categorías;</w:t>
      </w:r>
    </w:p>
    <w:p w:rsidRPr="009B04E2" w:rsidR="009B04E2" w:rsidP="006A2182" w:rsidRDefault="009B04E2" w14:paraId="409B4506" w14:textId="77777777">
      <w:pPr>
        <w:keepNext/>
        <w:numPr>
          <w:ilvl w:val="0"/>
          <w:numId w:val="36"/>
        </w:numPr>
        <w:overflowPunct w:val="0"/>
        <w:autoSpaceDE w:val="0"/>
        <w:autoSpaceDN w:val="0"/>
        <w:adjustRightInd w:val="0"/>
        <w:ind w:left="567" w:hanging="567"/>
        <w:textAlignment w:val="baseline"/>
        <w:rPr>
          <w:bCs/>
          <w:iCs/>
        </w:rPr>
      </w:pPr>
      <w:r>
        <w:lastRenderedPageBreak/>
        <w:t>acoge favorablemente la nueva propuesta del informe Letta sobre la necesidad de adaptar el marco jurídico vigente sobre ayudas estatales para facilitar a las empresas de la economía social un mejor acceso al crédito y a la financiación;</w:t>
      </w:r>
    </w:p>
    <w:p w:rsidRPr="009B04E2" w:rsidR="009B04E2" w:rsidP="0060010D" w:rsidRDefault="009B04E2" w14:paraId="1FB3DA76" w14:textId="77777777">
      <w:pPr>
        <w:widowControl w:val="0"/>
        <w:numPr>
          <w:ilvl w:val="0"/>
          <w:numId w:val="36"/>
        </w:numPr>
        <w:overflowPunct w:val="0"/>
        <w:autoSpaceDE w:val="0"/>
        <w:autoSpaceDN w:val="0"/>
        <w:adjustRightInd w:val="0"/>
        <w:ind w:left="567" w:hanging="567"/>
        <w:textAlignment w:val="baseline"/>
        <w:rPr>
          <w:bCs/>
          <w:iCs/>
        </w:rPr>
      </w:pPr>
      <w:r>
        <w:t>observa que las autoridades públicas no aprovechan suficientemente el marco jurídico de las ayudas a los servicios de interés económico general;</w:t>
      </w:r>
    </w:p>
    <w:p w:rsidRPr="009B04E2" w:rsidR="009B04E2" w:rsidP="0060010D" w:rsidRDefault="009B04E2" w14:paraId="51D0AE31" w14:textId="77777777">
      <w:pPr>
        <w:widowControl w:val="0"/>
        <w:numPr>
          <w:ilvl w:val="0"/>
          <w:numId w:val="36"/>
        </w:numPr>
        <w:overflowPunct w:val="0"/>
        <w:autoSpaceDE w:val="0"/>
        <w:autoSpaceDN w:val="0"/>
        <w:adjustRightInd w:val="0"/>
        <w:ind w:left="567" w:hanging="567"/>
        <w:textAlignment w:val="baseline"/>
        <w:rPr>
          <w:bCs/>
          <w:iCs/>
        </w:rPr>
      </w:pPr>
      <w:r>
        <w:t>acoge muy favorablemente las Orientaciones políticas para la próxima Comisión Europea, en concreto la mención de que se revisarán «las normas sobre ayudas estatales para permitir medidas de apoyo a la vivienda, especialmente para viviendas asequibles y eficientes desde el punto de vista energético y para viviendas sociales»;</w:t>
      </w:r>
    </w:p>
    <w:p w:rsidRPr="009B04E2" w:rsidR="009B04E2" w:rsidP="0060010D" w:rsidRDefault="009B04E2" w14:paraId="4DB77906" w14:textId="77777777">
      <w:pPr>
        <w:widowControl w:val="0"/>
        <w:numPr>
          <w:ilvl w:val="0"/>
          <w:numId w:val="36"/>
        </w:numPr>
        <w:overflowPunct w:val="0"/>
        <w:autoSpaceDE w:val="0"/>
        <w:autoSpaceDN w:val="0"/>
        <w:adjustRightInd w:val="0"/>
        <w:ind w:left="567" w:hanging="567"/>
        <w:textAlignment w:val="baseline"/>
        <w:rPr>
          <w:bCs/>
          <w:iCs/>
        </w:rPr>
      </w:pPr>
      <w:r>
        <w:t>insta a la Comisión Europea a que prosiga sus esfuerzos por aplicar el plan de acción para la economía social, en consonancia con la Hoja de Ruta de Lieja para la Economía Social, y a que delegue en uno de los comisarios del nuevo Colegio la responsabilidad específica de coordinar su ejecución.</w:t>
      </w:r>
    </w:p>
    <w:p w:rsidRPr="009B04E2" w:rsidR="009B04E2" w:rsidRDefault="009B04E2" w14:paraId="12AAB240"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9B04E2" w:rsidTr="0060010D" w14:paraId="06061533" w14:textId="77777777">
        <w:tc>
          <w:tcPr>
            <w:tcW w:w="1090" w:type="pct"/>
          </w:tcPr>
          <w:p w:rsidRPr="00FA33C4" w:rsidR="009B04E2" w:rsidP="0060010D" w:rsidRDefault="009B04E2" w14:paraId="3984F746" w14:textId="77777777">
            <w:pPr>
              <w:overflowPunct w:val="0"/>
              <w:autoSpaceDE w:val="0"/>
              <w:autoSpaceDN w:val="0"/>
              <w:adjustRightInd w:val="0"/>
              <w:textAlignment w:val="baseline"/>
              <w:rPr>
                <w:i/>
                <w:sz w:val="20"/>
                <w:szCs w:val="20"/>
              </w:rPr>
            </w:pPr>
            <w:r>
              <w:rPr>
                <w:b/>
                <w:i/>
                <w:sz w:val="20"/>
              </w:rPr>
              <w:t>Contacto:</w:t>
            </w:r>
          </w:p>
        </w:tc>
        <w:tc>
          <w:tcPr>
            <w:tcW w:w="3910" w:type="pct"/>
          </w:tcPr>
          <w:p w:rsidRPr="00FA33C4" w:rsidR="009B04E2" w:rsidP="0060010D" w:rsidRDefault="009B04E2" w14:paraId="3D0F10D8" w14:textId="77777777">
            <w:pPr>
              <w:overflowPunct w:val="0"/>
              <w:autoSpaceDE w:val="0"/>
              <w:autoSpaceDN w:val="0"/>
              <w:adjustRightInd w:val="0"/>
              <w:textAlignment w:val="baseline"/>
              <w:rPr>
                <w:i/>
                <w:sz w:val="20"/>
                <w:szCs w:val="20"/>
              </w:rPr>
            </w:pPr>
            <w:r>
              <w:rPr>
                <w:i/>
                <w:sz w:val="20"/>
              </w:rPr>
              <w:t>Annalisa Tessarolo</w:t>
            </w:r>
          </w:p>
        </w:tc>
      </w:tr>
      <w:tr w:rsidRPr="00FA33C4" w:rsidR="009B04E2" w:rsidTr="0060010D" w14:paraId="6F2C0004" w14:textId="77777777">
        <w:tc>
          <w:tcPr>
            <w:tcW w:w="1090" w:type="pct"/>
          </w:tcPr>
          <w:p w:rsidRPr="00FA33C4" w:rsidR="009B04E2" w:rsidP="0060010D" w:rsidRDefault="009B04E2" w14:paraId="3267FA21" w14:textId="77777777">
            <w:pPr>
              <w:overflowPunct w:val="0"/>
              <w:autoSpaceDE w:val="0"/>
              <w:autoSpaceDN w:val="0"/>
              <w:adjustRightInd w:val="0"/>
              <w:textAlignment w:val="baseline"/>
              <w:rPr>
                <w:i/>
                <w:sz w:val="20"/>
                <w:szCs w:val="20"/>
              </w:rPr>
            </w:pPr>
            <w:r>
              <w:rPr>
                <w:i/>
                <w:sz w:val="20"/>
              </w:rPr>
              <w:t>Teléfono:</w:t>
            </w:r>
          </w:p>
        </w:tc>
        <w:tc>
          <w:tcPr>
            <w:tcW w:w="3910" w:type="pct"/>
          </w:tcPr>
          <w:p w:rsidRPr="00FA33C4" w:rsidR="009B04E2" w:rsidP="0060010D" w:rsidRDefault="009B04E2" w14:paraId="59F38B18" w14:textId="77777777">
            <w:pPr>
              <w:overflowPunct w:val="0"/>
              <w:autoSpaceDE w:val="0"/>
              <w:autoSpaceDN w:val="0"/>
              <w:adjustRightInd w:val="0"/>
              <w:textAlignment w:val="baseline"/>
              <w:rPr>
                <w:i/>
                <w:sz w:val="20"/>
                <w:szCs w:val="20"/>
              </w:rPr>
            </w:pPr>
            <w:r>
              <w:rPr>
                <w:i/>
                <w:sz w:val="20"/>
              </w:rPr>
              <w:t>+32 25469732</w:t>
            </w:r>
          </w:p>
        </w:tc>
      </w:tr>
      <w:tr w:rsidRPr="00FA33C4" w:rsidR="009B04E2" w:rsidTr="0060010D" w14:paraId="20290266" w14:textId="77777777">
        <w:tc>
          <w:tcPr>
            <w:tcW w:w="1090" w:type="pct"/>
          </w:tcPr>
          <w:p w:rsidRPr="00FA33C4" w:rsidR="009B04E2" w:rsidP="0060010D" w:rsidRDefault="00BD6AD8" w14:paraId="060993AA" w14:textId="14698F1B">
            <w:pPr>
              <w:overflowPunct w:val="0"/>
              <w:autoSpaceDE w:val="0"/>
              <w:autoSpaceDN w:val="0"/>
              <w:adjustRightInd w:val="0"/>
              <w:textAlignment w:val="baseline"/>
              <w:rPr>
                <w:i/>
                <w:sz w:val="20"/>
                <w:szCs w:val="20"/>
              </w:rPr>
            </w:pPr>
            <w:r>
              <w:rPr>
                <w:i/>
                <w:sz w:val="20"/>
              </w:rPr>
              <w:t>Correo electrónico:</w:t>
            </w:r>
          </w:p>
        </w:tc>
        <w:tc>
          <w:tcPr>
            <w:tcW w:w="3910" w:type="pct"/>
          </w:tcPr>
          <w:p w:rsidRPr="00FA33C4" w:rsidR="009B04E2" w:rsidP="0060010D" w:rsidRDefault="0001176A" w14:paraId="38729E20" w14:textId="77777777">
            <w:pPr>
              <w:overflowPunct w:val="0"/>
              <w:autoSpaceDE w:val="0"/>
              <w:autoSpaceDN w:val="0"/>
              <w:adjustRightInd w:val="0"/>
              <w:textAlignment w:val="baseline"/>
              <w:rPr>
                <w:i/>
                <w:sz w:val="20"/>
                <w:szCs w:val="20"/>
              </w:rPr>
            </w:pPr>
            <w:hyperlink w:history="1" r:id="rId32">
              <w:r w:rsidR="00465FCD">
                <w:rPr>
                  <w:i/>
                  <w:color w:val="0000FF"/>
                  <w:sz w:val="20"/>
                  <w:u w:val="single"/>
                </w:rPr>
                <w:t>Annalisa.Tessarolo@eesc.europa.eu</w:t>
              </w:r>
            </w:hyperlink>
          </w:p>
        </w:tc>
      </w:tr>
    </w:tbl>
    <w:p w:rsidR="004D7AC0" w:rsidRDefault="004D7AC0" w14:paraId="46687114" w14:textId="6265E3D5">
      <w:pPr>
        <w:pStyle w:val="ListParagraph"/>
        <w:ind w:left="0"/>
        <w:rPr>
          <w:lang w:val="en-GB"/>
        </w:rPr>
      </w:pPr>
    </w:p>
    <w:p w:rsidR="00EE160A" w:rsidRDefault="00EE160A" w14:paraId="79E24043" w14:textId="77C83B07">
      <w:pPr>
        <w:pStyle w:val="ListParagraph"/>
        <w:ind w:left="0"/>
        <w:rPr>
          <w:lang w:val="en-GB"/>
        </w:rPr>
      </w:pPr>
    </w:p>
    <w:p w:rsidRPr="00EE160A" w:rsidR="00EE160A" w:rsidP="00EE160A" w:rsidRDefault="0001176A" w14:paraId="578D82F0" w14:textId="1E2EC8F7">
      <w:pPr>
        <w:pStyle w:val="ListParagraph"/>
        <w:numPr>
          <w:ilvl w:val="0"/>
          <w:numId w:val="53"/>
        </w:numPr>
        <w:ind w:left="567" w:hanging="567"/>
        <w:rPr>
          <w:b/>
          <w:bCs/>
          <w:i/>
          <w:iCs/>
          <w:sz w:val="32"/>
          <w:szCs w:val="32"/>
        </w:rPr>
      </w:pPr>
      <w:hyperlink w:history="1" r:id="rId33">
        <w:r w:rsidR="00EA1912">
          <w:rPr>
            <w:rStyle w:val="Hyperlink"/>
            <w:b/>
            <w:i/>
            <w:sz w:val="32"/>
          </w:rPr>
          <w:t>Una política de competencia en la base de la competitividad de la UE</w:t>
        </w:r>
      </w:hyperlink>
    </w:p>
    <w:p w:rsidR="00EE160A" w:rsidRDefault="00EE160A" w14:paraId="71324E36" w14:textId="77777777">
      <w:pPr>
        <w:pStyle w:val="ListParagraph"/>
        <w:ind w:left="0"/>
        <w:rPr>
          <w:lang w:val="en-GB"/>
        </w:rPr>
      </w:pPr>
    </w:p>
    <w:tbl>
      <w:tblPr>
        <w:tblW w:w="5000" w:type="pct"/>
        <w:tblLook w:val="04A0" w:firstRow="1" w:lastRow="0" w:firstColumn="1" w:lastColumn="0" w:noHBand="0" w:noVBand="1"/>
      </w:tblPr>
      <w:tblGrid>
        <w:gridCol w:w="2025"/>
        <w:gridCol w:w="7264"/>
      </w:tblGrid>
      <w:tr w:rsidRPr="00FA33C4" w:rsidR="00B8503F" w:rsidTr="0060010D" w14:paraId="6B4D5454" w14:textId="77777777">
        <w:tc>
          <w:tcPr>
            <w:tcW w:w="1090" w:type="pct"/>
          </w:tcPr>
          <w:p w:rsidRPr="00FA33C4" w:rsidR="00B8503F" w:rsidRDefault="00B8503F" w14:paraId="6C58656A" w14:textId="77777777">
            <w:pPr>
              <w:tabs>
                <w:tab w:val="center" w:pos="284"/>
              </w:tabs>
              <w:overflowPunct w:val="0"/>
              <w:autoSpaceDE w:val="0"/>
              <w:autoSpaceDN w:val="0"/>
              <w:adjustRightInd w:val="0"/>
              <w:ind w:left="266" w:hanging="266"/>
              <w:textAlignment w:val="baseline"/>
              <w:rPr>
                <w:b/>
                <w:sz w:val="20"/>
                <w:szCs w:val="20"/>
              </w:rPr>
            </w:pPr>
            <w:r>
              <w:rPr>
                <w:b/>
                <w:sz w:val="20"/>
              </w:rPr>
              <w:t>Ponente</w:t>
            </w:r>
          </w:p>
        </w:tc>
        <w:tc>
          <w:tcPr>
            <w:tcW w:w="3910" w:type="pct"/>
          </w:tcPr>
          <w:p w:rsidRPr="00FA33C4" w:rsidR="00B8503F" w:rsidRDefault="00B8503F" w14:paraId="16378746" w14:textId="15A4AD8B">
            <w:pPr>
              <w:tabs>
                <w:tab w:val="center" w:pos="284"/>
              </w:tabs>
              <w:overflowPunct w:val="0"/>
              <w:autoSpaceDE w:val="0"/>
              <w:autoSpaceDN w:val="0"/>
              <w:adjustRightInd w:val="0"/>
              <w:ind w:left="266" w:hanging="266"/>
              <w:textAlignment w:val="baseline"/>
              <w:rPr>
                <w:sz w:val="20"/>
                <w:szCs w:val="20"/>
              </w:rPr>
            </w:pPr>
            <w:r>
              <w:rPr>
                <w:sz w:val="20"/>
              </w:rPr>
              <w:t>Isabel YGLESIAS (Grupo de Empresarios – ES)</w:t>
            </w:r>
          </w:p>
        </w:tc>
      </w:tr>
      <w:tr w:rsidRPr="00FA33C4" w:rsidR="00B8503F" w:rsidTr="0060010D" w14:paraId="4275B663" w14:textId="77777777">
        <w:tc>
          <w:tcPr>
            <w:tcW w:w="5000" w:type="pct"/>
            <w:gridSpan w:val="2"/>
          </w:tcPr>
          <w:p w:rsidRPr="00FA33C4" w:rsidR="00B8503F" w:rsidP="0060010D" w:rsidRDefault="00B8503F" w14:paraId="10A91ACC" w14:textId="77777777">
            <w:pPr>
              <w:tabs>
                <w:tab w:val="center" w:pos="284"/>
              </w:tabs>
              <w:overflowPunct w:val="0"/>
              <w:autoSpaceDE w:val="0"/>
              <w:autoSpaceDN w:val="0"/>
              <w:adjustRightInd w:val="0"/>
              <w:ind w:left="266" w:hanging="266"/>
              <w:textAlignment w:val="baseline"/>
              <w:rPr>
                <w:sz w:val="20"/>
                <w:szCs w:val="20"/>
              </w:rPr>
            </w:pPr>
          </w:p>
        </w:tc>
      </w:tr>
      <w:tr w:rsidRPr="00FA33C4" w:rsidR="00B8503F" w:rsidTr="0060010D" w14:paraId="3DC3FE49" w14:textId="77777777">
        <w:tc>
          <w:tcPr>
            <w:tcW w:w="1090" w:type="pct"/>
            <w:vMerge w:val="restart"/>
          </w:tcPr>
          <w:p w:rsidRPr="00FA33C4" w:rsidR="00B8503F" w:rsidRDefault="00B8503F" w14:paraId="38E2C93C"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3910" w:type="pct"/>
          </w:tcPr>
          <w:p w:rsidRPr="00FA33C4" w:rsidR="00B8503F" w:rsidRDefault="00B8503F" w14:paraId="6F4ED165" w14:textId="77777777">
            <w:pPr>
              <w:tabs>
                <w:tab w:val="center" w:pos="284"/>
              </w:tabs>
              <w:overflowPunct w:val="0"/>
              <w:autoSpaceDE w:val="0"/>
              <w:autoSpaceDN w:val="0"/>
              <w:adjustRightInd w:val="0"/>
              <w:ind w:left="266" w:hanging="266"/>
              <w:textAlignment w:val="baseline"/>
              <w:rPr>
                <w:sz w:val="20"/>
                <w:szCs w:val="20"/>
              </w:rPr>
            </w:pPr>
            <w:r>
              <w:rPr>
                <w:sz w:val="20"/>
              </w:rPr>
              <w:t>Dictamen de iniciativa</w:t>
            </w:r>
          </w:p>
        </w:tc>
      </w:tr>
      <w:tr w:rsidRPr="00FA33C4" w:rsidR="00B8503F" w:rsidTr="0060010D" w14:paraId="061DD36D" w14:textId="77777777">
        <w:tc>
          <w:tcPr>
            <w:tcW w:w="1090" w:type="pct"/>
            <w:vMerge/>
          </w:tcPr>
          <w:p w:rsidRPr="00FA33C4" w:rsidR="00B8503F" w:rsidRDefault="00B8503F" w14:paraId="22FF1442" w14:textId="77777777">
            <w:pPr>
              <w:tabs>
                <w:tab w:val="center" w:pos="284"/>
              </w:tabs>
              <w:overflowPunct w:val="0"/>
              <w:autoSpaceDE w:val="0"/>
              <w:autoSpaceDN w:val="0"/>
              <w:adjustRightInd w:val="0"/>
              <w:ind w:left="266" w:hanging="266"/>
              <w:textAlignment w:val="baseline"/>
              <w:rPr>
                <w:b/>
                <w:sz w:val="20"/>
                <w:szCs w:val="20"/>
              </w:rPr>
            </w:pPr>
          </w:p>
        </w:tc>
        <w:tc>
          <w:tcPr>
            <w:tcW w:w="3910" w:type="pct"/>
          </w:tcPr>
          <w:p w:rsidRPr="00FA33C4" w:rsidR="00B8503F" w:rsidRDefault="00B8503F" w14:paraId="2EB8E45F" w14:textId="77777777">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rsidRPr="00B8503F" w:rsidR="00B8503F" w:rsidRDefault="00B8503F" w14:paraId="4144B7F1" w14:textId="77777777">
      <w:pPr>
        <w:tabs>
          <w:tab w:val="center" w:pos="284"/>
        </w:tabs>
        <w:overflowPunct w:val="0"/>
        <w:autoSpaceDE w:val="0"/>
        <w:autoSpaceDN w:val="0"/>
        <w:adjustRightInd w:val="0"/>
        <w:ind w:left="266" w:hanging="266"/>
        <w:textAlignment w:val="baseline"/>
        <w:rPr>
          <w:lang w:val="en-GB"/>
        </w:rPr>
      </w:pPr>
    </w:p>
    <w:p w:rsidRPr="00B8503F" w:rsidR="00B8503F" w:rsidRDefault="00B8503F" w14:paraId="04516D00"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B8503F" w:rsidR="00B8503F" w:rsidRDefault="00B8503F" w14:paraId="42CF4150" w14:textId="77777777">
      <w:pPr>
        <w:keepNext/>
        <w:keepLines/>
        <w:tabs>
          <w:tab w:val="center" w:pos="284"/>
        </w:tabs>
        <w:overflowPunct w:val="0"/>
        <w:autoSpaceDE w:val="0"/>
        <w:autoSpaceDN w:val="0"/>
        <w:adjustRightInd w:val="0"/>
        <w:ind w:left="266" w:hanging="266"/>
        <w:textAlignment w:val="baseline"/>
        <w:rPr>
          <w:b/>
          <w:lang w:val="en-GB"/>
        </w:rPr>
      </w:pPr>
    </w:p>
    <w:p w:rsidR="00B8503F" w:rsidRDefault="00B8503F" w14:paraId="24096944" w14:textId="77777777">
      <w:pPr>
        <w:overflowPunct w:val="0"/>
        <w:autoSpaceDE w:val="0"/>
        <w:autoSpaceDN w:val="0"/>
        <w:adjustRightInd w:val="0"/>
        <w:textAlignment w:val="baseline"/>
        <w:rPr>
          <w:bCs/>
          <w:iCs/>
        </w:rPr>
      </w:pPr>
      <w:r>
        <w:t>El CESE:</w:t>
      </w:r>
    </w:p>
    <w:p w:rsidRPr="00B8503F" w:rsidR="00B8503F" w:rsidP="0060010D" w:rsidRDefault="00B8503F" w14:paraId="181808F5" w14:textId="77777777">
      <w:pPr>
        <w:widowControl w:val="0"/>
        <w:numPr>
          <w:ilvl w:val="0"/>
          <w:numId w:val="37"/>
        </w:numPr>
        <w:overflowPunct w:val="0"/>
        <w:autoSpaceDE w:val="0"/>
        <w:autoSpaceDN w:val="0"/>
        <w:adjustRightInd w:val="0"/>
        <w:ind w:left="567" w:hanging="567"/>
        <w:textAlignment w:val="baseline"/>
      </w:pPr>
      <w:r>
        <w:t xml:space="preserve">subraya que las </w:t>
      </w:r>
      <w:r>
        <w:rPr>
          <w:b/>
        </w:rPr>
        <w:t>ayudas estatales</w:t>
      </w:r>
      <w:r>
        <w:t xml:space="preserve"> pueden apoyar de forma fiable a las empresas de la UE en sus esfuerzos de transición, al facilitar las enormes inversiones necesarias para alcanzar este objetivo colectivo. Para evitar los efectos negativos que la dispersión de las ayudas estatales entre los Estados miembros puede tener sobre la competitividad de la UE, es esencial garantizar que el </w:t>
      </w:r>
      <w:r>
        <w:rPr>
          <w:b/>
        </w:rPr>
        <w:t>apoyo público se utilice de la manera más eficiente posible, aumentando los efectos inducidos y reforzando las cadenas de valor europeas</w:t>
      </w:r>
      <w:r>
        <w:t>;</w:t>
      </w:r>
    </w:p>
    <w:p w:rsidRPr="00B8503F" w:rsidR="00B8503F" w:rsidP="0060010D" w:rsidRDefault="00B8503F" w14:paraId="6D1C5BC5" w14:textId="77777777">
      <w:pPr>
        <w:widowControl w:val="0"/>
        <w:numPr>
          <w:ilvl w:val="0"/>
          <w:numId w:val="37"/>
        </w:numPr>
        <w:overflowPunct w:val="0"/>
        <w:autoSpaceDE w:val="0"/>
        <w:autoSpaceDN w:val="0"/>
        <w:adjustRightInd w:val="0"/>
        <w:ind w:left="567" w:hanging="567"/>
        <w:textAlignment w:val="baseline"/>
      </w:pPr>
      <w:r>
        <w:t xml:space="preserve">hace hincapié en que </w:t>
      </w:r>
      <w:r>
        <w:rPr>
          <w:b/>
        </w:rPr>
        <w:t>podría modificarse la evaluación del control de las concentraciones para tener más en cuenta la naturaleza específica de mercados</w:t>
      </w:r>
      <w:r>
        <w:t xml:space="preserve"> en los que las inversiones en infraestructuras y su innovación y sostenibilidad desempeñan un papel fundamental. Además, debe ponerse en marcha una solución que permita el control de las concentraciones impulsadas por la innovación que actualmente no entran en el ámbito de aplicación de los umbrales del Reglamento comunitario de concentraciones. Las concentraciones nunca deben utilizarse para defender intereses nacionales y en su análisis deben tenerse en cuenta las opiniones de todas las partes interesadas;</w:t>
      </w:r>
    </w:p>
    <w:p w:rsidRPr="00B8503F" w:rsidR="00B8503F" w:rsidP="00577F95" w:rsidRDefault="00B8503F" w14:paraId="73F97A51" w14:textId="77777777">
      <w:pPr>
        <w:keepNext/>
        <w:keepLines/>
        <w:numPr>
          <w:ilvl w:val="0"/>
          <w:numId w:val="37"/>
        </w:numPr>
        <w:overflowPunct w:val="0"/>
        <w:autoSpaceDE w:val="0"/>
        <w:autoSpaceDN w:val="0"/>
        <w:adjustRightInd w:val="0"/>
        <w:spacing w:line="276" w:lineRule="auto"/>
        <w:ind w:left="567" w:hanging="567"/>
        <w:textAlignment w:val="baseline"/>
      </w:pPr>
      <w:r>
        <w:t>recomienda que la revisión de las normas relativas a los proyectos importantes de interés común europeo (</w:t>
      </w:r>
      <w:r>
        <w:rPr>
          <w:b/>
        </w:rPr>
        <w:t>PIICE</w:t>
      </w:r>
      <w:r>
        <w:t xml:space="preserve">) cree una herramienta con un </w:t>
      </w:r>
      <w:r>
        <w:rPr>
          <w:b/>
        </w:rPr>
        <w:t>verdadero enfoque europeo</w:t>
      </w:r>
      <w:r>
        <w:t xml:space="preserve"> que garantice que </w:t>
      </w:r>
      <w:r>
        <w:lastRenderedPageBreak/>
        <w:t>esos instrumentos constituyan auténticos elementos de cambio, y que el Fondo Europeo de Competitividad se diseñe y aplique con una perspectiva europea;</w:t>
      </w:r>
    </w:p>
    <w:p w:rsidRPr="00B8503F" w:rsidR="00B8503F" w:rsidP="00577F95" w:rsidRDefault="00B8503F" w14:paraId="44D6690A" w14:textId="77777777">
      <w:pPr>
        <w:widowControl w:val="0"/>
        <w:numPr>
          <w:ilvl w:val="0"/>
          <w:numId w:val="37"/>
        </w:numPr>
        <w:overflowPunct w:val="0"/>
        <w:autoSpaceDE w:val="0"/>
        <w:autoSpaceDN w:val="0"/>
        <w:adjustRightInd w:val="0"/>
        <w:spacing w:line="276" w:lineRule="auto"/>
        <w:ind w:left="567" w:hanging="567"/>
        <w:textAlignment w:val="baseline"/>
      </w:pPr>
      <w:r>
        <w:t xml:space="preserve">señala que las empresas necesitan visibilidad y seguridad jurídica. Aunque se desarrollen nuevos enfoques en materia de competencia, deben dedicarse esfuerzos adicionales a </w:t>
      </w:r>
      <w:r>
        <w:rPr>
          <w:b/>
        </w:rPr>
        <w:t>racionalizar los procedimientos de defensa de la competencia, de concentración y de ayudas estatales y a crear directrices claras</w:t>
      </w:r>
      <w:r>
        <w:t>. Debe darse prioridad a un enfoque basado en herramientas ya existentes para profundizar el mercado único.</w:t>
      </w:r>
    </w:p>
    <w:p w:rsidRPr="00B8503F" w:rsidR="00B8503F" w:rsidP="00577F95" w:rsidRDefault="00B8503F" w14:paraId="708888F6" w14:textId="77777777">
      <w:pPr>
        <w:widowControl w:val="0"/>
        <w:overflowPunct w:val="0"/>
        <w:autoSpaceDE w:val="0"/>
        <w:autoSpaceDN w:val="0"/>
        <w:adjustRightInd w:val="0"/>
        <w:spacing w:line="276" w:lineRule="auto"/>
        <w:ind w:left="567" w:hanging="567"/>
        <w:textAlignment w:val="baseline"/>
        <w:rPr>
          <w:lang w:val="en-GB"/>
        </w:rPr>
      </w:pPr>
    </w:p>
    <w:tbl>
      <w:tblPr>
        <w:tblW w:w="4941" w:type="pct"/>
        <w:tblLook w:val="04A0" w:firstRow="1" w:lastRow="0" w:firstColumn="1" w:lastColumn="0" w:noHBand="0" w:noVBand="1"/>
      </w:tblPr>
      <w:tblGrid>
        <w:gridCol w:w="2032"/>
        <w:gridCol w:w="7147"/>
      </w:tblGrid>
      <w:tr w:rsidRPr="00FA33C4" w:rsidR="00B8503F" w:rsidTr="00FA33C4" w14:paraId="6322D817" w14:textId="77777777">
        <w:tc>
          <w:tcPr>
            <w:tcW w:w="1107" w:type="pct"/>
          </w:tcPr>
          <w:p w:rsidRPr="00FA33C4" w:rsidR="00B8503F" w:rsidP="00577F95" w:rsidRDefault="00B8503F" w14:paraId="40FB2786" w14:textId="77777777">
            <w:pPr>
              <w:overflowPunct w:val="0"/>
              <w:autoSpaceDE w:val="0"/>
              <w:autoSpaceDN w:val="0"/>
              <w:adjustRightInd w:val="0"/>
              <w:spacing w:line="276" w:lineRule="auto"/>
              <w:textAlignment w:val="baseline"/>
              <w:rPr>
                <w:i/>
                <w:sz w:val="20"/>
                <w:szCs w:val="20"/>
              </w:rPr>
            </w:pPr>
            <w:r>
              <w:rPr>
                <w:b/>
                <w:i/>
                <w:sz w:val="20"/>
              </w:rPr>
              <w:t>Contacto:</w:t>
            </w:r>
          </w:p>
        </w:tc>
        <w:tc>
          <w:tcPr>
            <w:tcW w:w="3893" w:type="pct"/>
          </w:tcPr>
          <w:p w:rsidRPr="00FA33C4" w:rsidR="00B8503F" w:rsidP="00577F95" w:rsidRDefault="00B8503F" w14:paraId="7E2817B8" w14:textId="77777777">
            <w:pPr>
              <w:overflowPunct w:val="0"/>
              <w:autoSpaceDE w:val="0"/>
              <w:autoSpaceDN w:val="0"/>
              <w:adjustRightInd w:val="0"/>
              <w:spacing w:line="276" w:lineRule="auto"/>
              <w:textAlignment w:val="baseline"/>
              <w:rPr>
                <w:i/>
                <w:sz w:val="20"/>
                <w:szCs w:val="20"/>
              </w:rPr>
            </w:pPr>
            <w:r>
              <w:rPr>
                <w:i/>
                <w:sz w:val="20"/>
              </w:rPr>
              <w:t>Staffa Silvia</w:t>
            </w:r>
          </w:p>
        </w:tc>
      </w:tr>
      <w:tr w:rsidRPr="00FA33C4" w:rsidR="00B8503F" w:rsidTr="00FA33C4" w14:paraId="69EE4A34" w14:textId="77777777">
        <w:tc>
          <w:tcPr>
            <w:tcW w:w="1107" w:type="pct"/>
          </w:tcPr>
          <w:p w:rsidRPr="00FA33C4" w:rsidR="00B8503F" w:rsidP="00577F95" w:rsidRDefault="00B8503F" w14:paraId="4AC8DA13" w14:textId="77777777">
            <w:pPr>
              <w:overflowPunct w:val="0"/>
              <w:autoSpaceDE w:val="0"/>
              <w:autoSpaceDN w:val="0"/>
              <w:adjustRightInd w:val="0"/>
              <w:spacing w:line="276" w:lineRule="auto"/>
              <w:textAlignment w:val="baseline"/>
              <w:rPr>
                <w:i/>
                <w:sz w:val="20"/>
                <w:szCs w:val="20"/>
              </w:rPr>
            </w:pPr>
            <w:r>
              <w:rPr>
                <w:i/>
                <w:sz w:val="20"/>
              </w:rPr>
              <w:t>Teléfono:</w:t>
            </w:r>
          </w:p>
        </w:tc>
        <w:tc>
          <w:tcPr>
            <w:tcW w:w="3893" w:type="pct"/>
          </w:tcPr>
          <w:p w:rsidRPr="00FA33C4" w:rsidR="00B8503F" w:rsidP="00577F95" w:rsidRDefault="00B8503F" w14:paraId="1662DE13" w14:textId="77777777">
            <w:pPr>
              <w:overflowPunct w:val="0"/>
              <w:autoSpaceDE w:val="0"/>
              <w:autoSpaceDN w:val="0"/>
              <w:adjustRightInd w:val="0"/>
              <w:spacing w:line="276" w:lineRule="auto"/>
              <w:textAlignment w:val="baseline"/>
              <w:rPr>
                <w:i/>
                <w:sz w:val="20"/>
                <w:szCs w:val="20"/>
              </w:rPr>
            </w:pPr>
            <w:r>
              <w:rPr>
                <w:i/>
                <w:sz w:val="20"/>
              </w:rPr>
              <w:t>+32 25468378</w:t>
            </w:r>
          </w:p>
        </w:tc>
      </w:tr>
      <w:tr w:rsidRPr="00FA33C4" w:rsidR="00B8503F" w:rsidTr="00FA33C4" w14:paraId="29EEA00D" w14:textId="77777777">
        <w:tc>
          <w:tcPr>
            <w:tcW w:w="1107" w:type="pct"/>
          </w:tcPr>
          <w:p w:rsidRPr="00FA33C4" w:rsidR="00B8503F" w:rsidP="00577F95" w:rsidRDefault="006C0A65" w14:paraId="75A19BC8" w14:textId="69A27546">
            <w:pPr>
              <w:overflowPunct w:val="0"/>
              <w:autoSpaceDE w:val="0"/>
              <w:autoSpaceDN w:val="0"/>
              <w:adjustRightInd w:val="0"/>
              <w:spacing w:line="276" w:lineRule="auto"/>
              <w:textAlignment w:val="baseline"/>
              <w:rPr>
                <w:i/>
                <w:sz w:val="20"/>
                <w:szCs w:val="20"/>
              </w:rPr>
            </w:pPr>
            <w:r>
              <w:rPr>
                <w:i/>
                <w:sz w:val="20"/>
              </w:rPr>
              <w:t>Correo electrónico:</w:t>
            </w:r>
          </w:p>
        </w:tc>
        <w:tc>
          <w:tcPr>
            <w:tcW w:w="3893" w:type="pct"/>
          </w:tcPr>
          <w:p w:rsidRPr="00FA33C4" w:rsidR="00B8503F" w:rsidP="00577F95" w:rsidRDefault="00B8503F" w14:paraId="53E24144" w14:textId="77777777">
            <w:pPr>
              <w:overflowPunct w:val="0"/>
              <w:autoSpaceDE w:val="0"/>
              <w:autoSpaceDN w:val="0"/>
              <w:adjustRightInd w:val="0"/>
              <w:spacing w:line="276" w:lineRule="auto"/>
              <w:textAlignment w:val="baseline"/>
              <w:rPr>
                <w:i/>
                <w:sz w:val="20"/>
                <w:szCs w:val="20"/>
              </w:rPr>
            </w:pPr>
            <w:r>
              <w:rPr>
                <w:i/>
                <w:sz w:val="20"/>
              </w:rPr>
              <w:t>Silvia.Staffa@eesc.europa.eu</w:t>
            </w:r>
          </w:p>
        </w:tc>
      </w:tr>
    </w:tbl>
    <w:p w:rsidR="009B04E2" w:rsidP="00577F95" w:rsidRDefault="009B04E2" w14:paraId="4982DE1E" w14:textId="4FBAA72E">
      <w:pPr>
        <w:spacing w:line="276" w:lineRule="auto"/>
        <w:jc w:val="left"/>
      </w:pPr>
    </w:p>
    <w:p w:rsidR="004D7AC0" w:rsidP="00577F95" w:rsidRDefault="004D7AC0" w14:paraId="4982DE1F" w14:textId="77777777">
      <w:pPr>
        <w:pStyle w:val="Heading1"/>
        <w:keepNext/>
        <w:keepLines/>
        <w:spacing w:line="276" w:lineRule="auto"/>
        <w:rPr>
          <w:b/>
        </w:rPr>
      </w:pPr>
      <w:bookmarkStart w:name="_Toc189059540" w:id="10"/>
      <w:bookmarkStart w:name="_Toc70322234" w:id="11"/>
      <w:bookmarkStart w:name="_Toc75527084" w:id="12"/>
      <w:bookmarkStart w:name="_Toc189228415" w:id="13"/>
      <w:bookmarkEnd w:id="10"/>
      <w:r>
        <w:rPr>
          <w:b/>
        </w:rPr>
        <w:lastRenderedPageBreak/>
        <w:t>AGRICULTURA, DESARROLLO RURAL Y MEDIO AMBIENTE</w:t>
      </w:r>
      <w:bookmarkEnd w:id="11"/>
      <w:bookmarkEnd w:id="12"/>
      <w:bookmarkEnd w:id="13"/>
    </w:p>
    <w:p w:rsidR="004D7AC0" w:rsidP="00577F95" w:rsidRDefault="004D7AC0" w14:paraId="4982DE20" w14:textId="77777777">
      <w:pPr>
        <w:keepNext/>
        <w:keepLines/>
        <w:spacing w:line="276" w:lineRule="auto"/>
      </w:pPr>
    </w:p>
    <w:p w:rsidRPr="00D24919" w:rsidR="00D24919" w:rsidP="00577F95" w:rsidRDefault="0001176A" w14:paraId="3C73BBEB" w14:textId="03CD3A6D">
      <w:pPr>
        <w:keepNext/>
        <w:keepLines/>
        <w:widowControl w:val="0"/>
        <w:numPr>
          <w:ilvl w:val="0"/>
          <w:numId w:val="10"/>
        </w:numPr>
        <w:overflowPunct w:val="0"/>
        <w:autoSpaceDE w:val="0"/>
        <w:autoSpaceDN w:val="0"/>
        <w:adjustRightInd w:val="0"/>
        <w:spacing w:line="276" w:lineRule="auto"/>
        <w:ind w:left="567" w:hanging="567"/>
        <w:textAlignment w:val="baseline"/>
        <w:rPr>
          <w:b/>
          <w:sz w:val="18"/>
          <w:szCs w:val="18"/>
        </w:rPr>
      </w:pPr>
      <w:hyperlink w:history="1" r:id="rId34">
        <w:r w:rsidR="00F70422">
          <w:rPr>
            <w:rStyle w:val="Hyperlink"/>
            <w:b/>
            <w:i/>
            <w:sz w:val="28"/>
          </w:rPr>
          <w:t>Conservación de las poblaciones de peces en relación con los países que autorizan una pesca no sostenible</w:t>
        </w:r>
      </w:hyperlink>
    </w:p>
    <w:p w:rsidRPr="00D24919" w:rsidR="00D24919" w:rsidP="00577F95" w:rsidRDefault="00D24919" w14:paraId="3EFCF7F8" w14:textId="77777777">
      <w:pPr>
        <w:keepNext/>
        <w:keepLines/>
        <w:widowControl w:val="0"/>
        <w:overflowPunct w:val="0"/>
        <w:autoSpaceDE w:val="0"/>
        <w:autoSpaceDN w:val="0"/>
        <w:adjustRightInd w:val="0"/>
        <w:spacing w:line="276" w:lineRule="auto"/>
        <w:ind w:left="266"/>
        <w:textAlignment w:val="baseline"/>
        <w:rPr>
          <w:b/>
          <w:sz w:val="18"/>
          <w:szCs w:val="18"/>
          <w:lang w:val="en-GB"/>
        </w:rPr>
      </w:pPr>
    </w:p>
    <w:tbl>
      <w:tblPr>
        <w:tblW w:w="5000" w:type="pct"/>
        <w:tblLook w:val="04A0" w:firstRow="1" w:lastRow="0" w:firstColumn="1" w:lastColumn="0" w:noHBand="0" w:noVBand="1"/>
      </w:tblPr>
      <w:tblGrid>
        <w:gridCol w:w="1561"/>
        <w:gridCol w:w="7728"/>
      </w:tblGrid>
      <w:tr w:rsidRPr="00FA33C4" w:rsidR="00D24919" w:rsidTr="0060010D" w14:paraId="02FFF65B" w14:textId="77777777">
        <w:trPr>
          <w:trHeight w:val="216"/>
        </w:trPr>
        <w:tc>
          <w:tcPr>
            <w:tcW w:w="840" w:type="pct"/>
          </w:tcPr>
          <w:p w:rsidRPr="00FA33C4" w:rsidR="00D24919" w:rsidP="00577F95" w:rsidRDefault="00D24919" w14:paraId="09C1B785" w14:textId="77777777">
            <w:pPr>
              <w:tabs>
                <w:tab w:val="center" w:pos="284"/>
              </w:tabs>
              <w:overflowPunct w:val="0"/>
              <w:autoSpaceDE w:val="0"/>
              <w:autoSpaceDN w:val="0"/>
              <w:adjustRightInd w:val="0"/>
              <w:spacing w:line="276" w:lineRule="auto"/>
              <w:ind w:left="266" w:hanging="266"/>
              <w:textAlignment w:val="baseline"/>
              <w:rPr>
                <w:b/>
                <w:sz w:val="20"/>
                <w:szCs w:val="20"/>
              </w:rPr>
            </w:pPr>
            <w:r>
              <w:rPr>
                <w:b/>
                <w:sz w:val="20"/>
              </w:rPr>
              <w:t>Ponente</w:t>
            </w:r>
          </w:p>
        </w:tc>
        <w:tc>
          <w:tcPr>
            <w:tcW w:w="4160" w:type="pct"/>
          </w:tcPr>
          <w:p w:rsidRPr="00FA33C4" w:rsidR="00D24919" w:rsidP="00577F95" w:rsidRDefault="00D24919" w14:paraId="67AA154C" w14:textId="77777777">
            <w:pPr>
              <w:tabs>
                <w:tab w:val="center" w:pos="284"/>
              </w:tabs>
              <w:overflowPunct w:val="0"/>
              <w:autoSpaceDE w:val="0"/>
              <w:autoSpaceDN w:val="0"/>
              <w:adjustRightInd w:val="0"/>
              <w:spacing w:line="276" w:lineRule="auto"/>
              <w:ind w:left="266" w:hanging="266"/>
              <w:textAlignment w:val="baseline"/>
              <w:rPr>
                <w:sz w:val="20"/>
                <w:szCs w:val="20"/>
              </w:rPr>
            </w:pPr>
            <w:r>
              <w:rPr>
                <w:sz w:val="20"/>
              </w:rPr>
              <w:t>Javier GARAT PÉREZ (Grupo de Organizaciones de la Sociedad Civil – ES)</w:t>
            </w:r>
          </w:p>
        </w:tc>
      </w:tr>
      <w:tr w:rsidRPr="00FA33C4" w:rsidR="00465FCD" w:rsidTr="0060010D" w14:paraId="4911FFB7" w14:textId="77777777">
        <w:trPr>
          <w:trHeight w:val="216"/>
        </w:trPr>
        <w:tc>
          <w:tcPr>
            <w:tcW w:w="840" w:type="pct"/>
          </w:tcPr>
          <w:p w:rsidRPr="00FA33C4" w:rsidR="00465FCD" w:rsidP="00577F95" w:rsidRDefault="00465FCD" w14:paraId="2069D8BB" w14:textId="77777777">
            <w:pPr>
              <w:tabs>
                <w:tab w:val="center" w:pos="284"/>
              </w:tabs>
              <w:overflowPunct w:val="0"/>
              <w:autoSpaceDE w:val="0"/>
              <w:autoSpaceDN w:val="0"/>
              <w:adjustRightInd w:val="0"/>
              <w:spacing w:line="276" w:lineRule="auto"/>
              <w:ind w:left="266" w:hanging="266"/>
              <w:textAlignment w:val="baseline"/>
              <w:rPr>
                <w:b/>
                <w:sz w:val="20"/>
                <w:szCs w:val="20"/>
              </w:rPr>
            </w:pPr>
          </w:p>
        </w:tc>
        <w:tc>
          <w:tcPr>
            <w:tcW w:w="4160" w:type="pct"/>
          </w:tcPr>
          <w:p w:rsidRPr="00FA33C4" w:rsidR="00465FCD" w:rsidP="00577F95" w:rsidRDefault="00465FCD" w14:paraId="17AC53A8" w14:textId="77777777">
            <w:pPr>
              <w:tabs>
                <w:tab w:val="center" w:pos="284"/>
              </w:tabs>
              <w:overflowPunct w:val="0"/>
              <w:autoSpaceDE w:val="0"/>
              <w:autoSpaceDN w:val="0"/>
              <w:adjustRightInd w:val="0"/>
              <w:spacing w:line="276" w:lineRule="auto"/>
              <w:ind w:left="266" w:hanging="266"/>
              <w:textAlignment w:val="baseline"/>
              <w:rPr>
                <w:sz w:val="20"/>
                <w:szCs w:val="20"/>
              </w:rPr>
            </w:pPr>
          </w:p>
        </w:tc>
      </w:tr>
      <w:tr w:rsidRPr="00FA33C4" w:rsidR="00D24919" w:rsidTr="0060010D" w14:paraId="23D77389" w14:textId="77777777">
        <w:trPr>
          <w:trHeight w:val="301"/>
        </w:trPr>
        <w:tc>
          <w:tcPr>
            <w:tcW w:w="840" w:type="pct"/>
          </w:tcPr>
          <w:p w:rsidRPr="00FA33C4" w:rsidR="00D24919" w:rsidP="00577F95" w:rsidRDefault="00D24919" w14:paraId="309AAA32" w14:textId="77777777">
            <w:pPr>
              <w:tabs>
                <w:tab w:val="center" w:pos="284"/>
              </w:tabs>
              <w:overflowPunct w:val="0"/>
              <w:autoSpaceDE w:val="0"/>
              <w:autoSpaceDN w:val="0"/>
              <w:adjustRightInd w:val="0"/>
              <w:spacing w:line="276" w:lineRule="auto"/>
              <w:ind w:left="266" w:hanging="266"/>
              <w:textAlignment w:val="baseline"/>
              <w:rPr>
                <w:b/>
                <w:sz w:val="20"/>
                <w:szCs w:val="20"/>
              </w:rPr>
            </w:pPr>
            <w:r>
              <w:rPr>
                <w:b/>
                <w:sz w:val="20"/>
              </w:rPr>
              <w:t>Referencias</w:t>
            </w:r>
          </w:p>
        </w:tc>
        <w:tc>
          <w:tcPr>
            <w:tcW w:w="4160" w:type="pct"/>
          </w:tcPr>
          <w:p w:rsidRPr="00FA33C4" w:rsidR="00435AEF" w:rsidP="00577F95" w:rsidRDefault="00435AEF" w14:paraId="1CFC571D" w14:textId="015863F1">
            <w:pPr>
              <w:tabs>
                <w:tab w:val="center" w:pos="284"/>
              </w:tabs>
              <w:overflowPunct w:val="0"/>
              <w:autoSpaceDE w:val="0"/>
              <w:autoSpaceDN w:val="0"/>
              <w:adjustRightInd w:val="0"/>
              <w:spacing w:line="276" w:lineRule="auto"/>
              <w:ind w:left="266" w:hanging="266"/>
              <w:textAlignment w:val="baseline"/>
              <w:rPr>
                <w:sz w:val="20"/>
                <w:szCs w:val="20"/>
              </w:rPr>
            </w:pPr>
            <w:r>
              <w:rPr>
                <w:sz w:val="20"/>
              </w:rPr>
              <w:t>COM(2024) 407 final</w:t>
            </w:r>
          </w:p>
          <w:p w:rsidRPr="00FA33C4" w:rsidR="00D24919" w:rsidP="00577F95" w:rsidRDefault="00D24919" w14:paraId="38800F4B" w14:textId="5838FADA">
            <w:pPr>
              <w:tabs>
                <w:tab w:val="center" w:pos="284"/>
              </w:tabs>
              <w:overflowPunct w:val="0"/>
              <w:autoSpaceDE w:val="0"/>
              <w:autoSpaceDN w:val="0"/>
              <w:adjustRightInd w:val="0"/>
              <w:spacing w:line="276" w:lineRule="auto"/>
              <w:ind w:left="266" w:hanging="266"/>
              <w:textAlignment w:val="baseline"/>
              <w:rPr>
                <w:sz w:val="20"/>
                <w:szCs w:val="20"/>
              </w:rPr>
            </w:pPr>
            <w:r>
              <w:rPr>
                <w:sz w:val="20"/>
              </w:rPr>
              <w:t>EESC-2024-04192-00-00-AC</w:t>
            </w:r>
          </w:p>
        </w:tc>
      </w:tr>
    </w:tbl>
    <w:p w:rsidR="00726351" w:rsidP="00577F95" w:rsidRDefault="00726351" w14:paraId="436FAD70" w14:textId="77777777">
      <w:pPr>
        <w:keepNext/>
        <w:keepLines/>
        <w:overflowPunct w:val="0"/>
        <w:autoSpaceDE w:val="0"/>
        <w:autoSpaceDN w:val="0"/>
        <w:adjustRightInd w:val="0"/>
        <w:spacing w:line="276" w:lineRule="auto"/>
        <w:ind w:left="266" w:hanging="266"/>
        <w:textAlignment w:val="baseline"/>
        <w:rPr>
          <w:b/>
          <w:lang w:val="en-GB"/>
        </w:rPr>
      </w:pPr>
    </w:p>
    <w:p w:rsidRPr="00D24919" w:rsidR="00D24919" w:rsidP="00577F95" w:rsidRDefault="00D24919" w14:paraId="2E7DAA98" w14:textId="1C59FDF0">
      <w:pPr>
        <w:keepNext/>
        <w:keepLines/>
        <w:overflowPunct w:val="0"/>
        <w:autoSpaceDE w:val="0"/>
        <w:autoSpaceDN w:val="0"/>
        <w:adjustRightInd w:val="0"/>
        <w:spacing w:line="276" w:lineRule="auto"/>
        <w:ind w:left="266" w:hanging="266"/>
        <w:textAlignment w:val="baseline"/>
        <w:rPr>
          <w:b/>
        </w:rPr>
      </w:pPr>
      <w:r>
        <w:rPr>
          <w:b/>
        </w:rPr>
        <w:t>Puntos clave</w:t>
      </w:r>
    </w:p>
    <w:p w:rsidRPr="00D24919" w:rsidR="00D24919" w:rsidP="00577F95" w:rsidRDefault="00D24919" w14:paraId="26064889" w14:textId="77777777">
      <w:pPr>
        <w:keepNext/>
        <w:keepLines/>
        <w:tabs>
          <w:tab w:val="center" w:pos="284"/>
        </w:tabs>
        <w:overflowPunct w:val="0"/>
        <w:autoSpaceDE w:val="0"/>
        <w:autoSpaceDN w:val="0"/>
        <w:adjustRightInd w:val="0"/>
        <w:spacing w:line="276" w:lineRule="auto"/>
        <w:ind w:left="266" w:hanging="266"/>
        <w:textAlignment w:val="baseline"/>
        <w:rPr>
          <w:b/>
          <w:lang w:val="en-GB"/>
        </w:rPr>
      </w:pPr>
    </w:p>
    <w:p w:rsidRPr="00D24919" w:rsidR="00D24919" w:rsidP="00577F95" w:rsidRDefault="00D24919" w14:paraId="5A1975E7" w14:textId="77777777">
      <w:pPr>
        <w:overflowPunct w:val="0"/>
        <w:autoSpaceDE w:val="0"/>
        <w:autoSpaceDN w:val="0"/>
        <w:adjustRightInd w:val="0"/>
        <w:spacing w:line="276" w:lineRule="auto"/>
        <w:textAlignment w:val="baseline"/>
        <w:rPr>
          <w:bCs/>
          <w:iCs/>
        </w:rPr>
      </w:pPr>
      <w:r>
        <w:t>El CESE:</w:t>
      </w:r>
    </w:p>
    <w:p w:rsidRPr="00D24919" w:rsidR="00D24919" w:rsidP="00577F95" w:rsidRDefault="00D24919" w14:paraId="5B86FB1D"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respalda la propuesta de la Comisión de modificar el Reglamento (UE) 1026/2012 para evitar prácticas pesqueras no sostenibles y proteger los intereses pesqueros de la UE;</w:t>
      </w:r>
    </w:p>
    <w:p w:rsidRPr="00D24919" w:rsidR="00D24919" w:rsidP="00577F95" w:rsidRDefault="00D24919" w14:paraId="645C6651"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pide que se amplíe el ámbito de aplicación para abarcar las aguas del Mediterráneo y zonas internacionales y abordar las prácticas no sostenibles a escala mundial;</w:t>
      </w:r>
    </w:p>
    <w:p w:rsidRPr="00D24919" w:rsidR="00D24919" w:rsidP="00577F95" w:rsidRDefault="00D24919" w14:paraId="47CE2903"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insta al Consejo y al Parlamento Europeo a que aceleren el proceso de adopción de la propuesta, aumentando la transparencia y garantizando que los países no comunitarios comprendan las circunstancias de las posibles sanciones de la Unión;</w:t>
      </w:r>
    </w:p>
    <w:p w:rsidRPr="00D24919" w:rsidR="00D24919" w:rsidP="00577F95" w:rsidRDefault="00D24919" w14:paraId="4B082E08"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apoya el fortalecimiento de las herramientas de la UE para imponer medidas restrictivas, incluidas prohibiciones de importación, de manera global y de acuerdo con las directrices de la OMC, promoviendo prácticas de pesca responsables y un trato igualitario de todas las flotas;</w:t>
      </w:r>
    </w:p>
    <w:p w:rsidRPr="00D24919" w:rsidR="00D24919" w:rsidP="00577F95" w:rsidRDefault="00D24919" w14:paraId="13DACFDC"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aboga por una competencia leal, alineando los esfuerzos para combatir la sobrepesca a las acciones emprendidas en el marco del Reglamento contra la pesca ilegal, no regulada y no declarada (pesca INDNR);</w:t>
      </w:r>
    </w:p>
    <w:p w:rsidRPr="00D24919" w:rsidR="00D24919" w:rsidP="00577F95" w:rsidRDefault="00D24919" w14:paraId="4C64F46D"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llama a la Unión a reforzar la cooperación con los países que explotan poblaciones de peces transzonales y altamente migratorios de manera bilateral o bajo el marco de las organizaciones regionales de ordenación pesquera (OROP), en línea con la CNUDM y los acuerdos conexos;</w:t>
      </w:r>
    </w:p>
    <w:p w:rsidRPr="00D24919" w:rsidR="00D24919" w:rsidP="00577F95" w:rsidRDefault="00D24919" w14:paraId="5801DAB4" w14:textId="77777777">
      <w:pPr>
        <w:widowControl w:val="0"/>
        <w:numPr>
          <w:ilvl w:val="0"/>
          <w:numId w:val="38"/>
        </w:numPr>
        <w:overflowPunct w:val="0"/>
        <w:autoSpaceDE w:val="0"/>
        <w:autoSpaceDN w:val="0"/>
        <w:adjustRightInd w:val="0"/>
        <w:spacing w:line="276" w:lineRule="auto"/>
        <w:ind w:left="567" w:hanging="567"/>
        <w:contextualSpacing/>
        <w:textAlignment w:val="baseline"/>
      </w:pPr>
      <w:r>
        <w:t>destaca la necesidad de abordar las acciones agresivas de ciertos países no comunitarios, como Noruega, y recomienda explorar alianzas estratégicas con otros países, como Islandia, para garantizar un suministro estable de productos del mar y fortalecer la posición de la UE en el Atlántico nordeste;</w:t>
      </w:r>
    </w:p>
    <w:p w:rsidRPr="00D24919" w:rsidR="00D24919" w:rsidP="006A2182" w:rsidRDefault="00D24919" w14:paraId="5A3014D0" w14:textId="77777777">
      <w:pPr>
        <w:keepNext/>
        <w:keepLines/>
        <w:numPr>
          <w:ilvl w:val="0"/>
          <w:numId w:val="38"/>
        </w:numPr>
        <w:overflowPunct w:val="0"/>
        <w:autoSpaceDE w:val="0"/>
        <w:autoSpaceDN w:val="0"/>
        <w:adjustRightInd w:val="0"/>
        <w:ind w:left="567" w:hanging="567"/>
        <w:contextualSpacing/>
        <w:textAlignment w:val="baseline"/>
      </w:pPr>
      <w:r>
        <w:t>critica que no se haya aprovechado en mayor medida el Mecanismo Financiero del Espacio Económico Europeo (EEE) como una herramienta de presión para instar a los Estados costeros vecinos, como Noruega, a respetar las normas internacionales de gestión pesquera, lo que exige condiciones de acceso al mercado y medidas de ejecución;</w:t>
      </w:r>
    </w:p>
    <w:p w:rsidRPr="00D24919" w:rsidR="00D24919" w:rsidP="0060010D" w:rsidRDefault="00D24919" w14:paraId="019B5F36" w14:textId="77777777">
      <w:pPr>
        <w:widowControl w:val="0"/>
        <w:numPr>
          <w:ilvl w:val="0"/>
          <w:numId w:val="38"/>
        </w:numPr>
        <w:overflowPunct w:val="0"/>
        <w:autoSpaceDE w:val="0"/>
        <w:autoSpaceDN w:val="0"/>
        <w:adjustRightInd w:val="0"/>
        <w:ind w:left="567" w:hanging="567"/>
        <w:contextualSpacing/>
        <w:textAlignment w:val="baseline"/>
      </w:pPr>
      <w:r>
        <w:t>insta a que se adopten medidas inmediatas en el marco del Reglamento revisado para poner remedio a las prácticas desleales de Noruega, en particular en relación con la caballa y el bacalao en el Atlántico noroeste;</w:t>
      </w:r>
    </w:p>
    <w:p w:rsidRPr="00D24919" w:rsidR="00D24919" w:rsidP="0060010D" w:rsidRDefault="00D24919" w14:paraId="40A04075" w14:textId="77777777">
      <w:pPr>
        <w:widowControl w:val="0"/>
        <w:numPr>
          <w:ilvl w:val="0"/>
          <w:numId w:val="38"/>
        </w:numPr>
        <w:overflowPunct w:val="0"/>
        <w:autoSpaceDE w:val="0"/>
        <w:autoSpaceDN w:val="0"/>
        <w:adjustRightInd w:val="0"/>
        <w:ind w:left="567" w:hanging="567"/>
        <w:contextualSpacing/>
        <w:textAlignment w:val="baseline"/>
      </w:pPr>
      <w:r>
        <w:t>insta a que el proceso de negociación con los Estados costeros sea inclusivo y transparente, asegurando la participación activa de todas las partes interesadas en la gestión pesquera y las sanciones;</w:t>
      </w:r>
    </w:p>
    <w:p w:rsidR="00D24919" w:rsidP="0060010D" w:rsidRDefault="00D24919" w14:paraId="5ED597ED" w14:textId="77777777">
      <w:pPr>
        <w:widowControl w:val="0"/>
        <w:numPr>
          <w:ilvl w:val="0"/>
          <w:numId w:val="38"/>
        </w:numPr>
        <w:overflowPunct w:val="0"/>
        <w:autoSpaceDE w:val="0"/>
        <w:autoSpaceDN w:val="0"/>
        <w:adjustRightInd w:val="0"/>
        <w:ind w:left="567" w:hanging="567"/>
        <w:contextualSpacing/>
        <w:textAlignment w:val="baseline"/>
      </w:pPr>
      <w:r>
        <w:t>recomienda que se modifique el artículo 6, apartado 1, del mismo Reglamento para exigir que se informe inmediatamente a los consejos consultivos pertinentes cuando se notifique a un país su posible identificación como uno que permite la pesca no sostenible.</w:t>
      </w:r>
    </w:p>
    <w:p w:rsidRPr="00D24919" w:rsidR="008D05C8" w:rsidP="0060010D" w:rsidRDefault="008D05C8" w14:paraId="10263181" w14:textId="77777777">
      <w:pPr>
        <w:widowControl w:val="0"/>
        <w:overflowPunct w:val="0"/>
        <w:autoSpaceDE w:val="0"/>
        <w:autoSpaceDN w:val="0"/>
        <w:adjustRightInd w:val="0"/>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FA33C4" w:rsidR="00D24919" w:rsidTr="0060010D" w14:paraId="235BE468" w14:textId="77777777">
        <w:tc>
          <w:tcPr>
            <w:tcW w:w="2127" w:type="dxa"/>
          </w:tcPr>
          <w:p w:rsidRPr="00FA33C4" w:rsidR="00D24919" w:rsidP="0060010D" w:rsidRDefault="00D24919" w14:paraId="43325915" w14:textId="77777777">
            <w:pPr>
              <w:overflowPunct w:val="0"/>
              <w:autoSpaceDE w:val="0"/>
              <w:autoSpaceDN w:val="0"/>
              <w:adjustRightInd w:val="0"/>
              <w:textAlignment w:val="baseline"/>
              <w:rPr>
                <w:i/>
                <w:sz w:val="20"/>
                <w:szCs w:val="20"/>
              </w:rPr>
            </w:pPr>
            <w:r>
              <w:rPr>
                <w:b/>
                <w:i/>
                <w:sz w:val="20"/>
              </w:rPr>
              <w:t xml:space="preserve">Contacto: </w:t>
            </w:r>
          </w:p>
        </w:tc>
        <w:tc>
          <w:tcPr>
            <w:tcW w:w="7195" w:type="dxa"/>
          </w:tcPr>
          <w:p w:rsidRPr="00FA33C4" w:rsidR="00D24919" w:rsidP="0060010D" w:rsidRDefault="00D24919" w14:paraId="7D904960" w14:textId="77777777">
            <w:pPr>
              <w:overflowPunct w:val="0"/>
              <w:autoSpaceDE w:val="0"/>
              <w:autoSpaceDN w:val="0"/>
              <w:adjustRightInd w:val="0"/>
              <w:textAlignment w:val="baseline"/>
              <w:rPr>
                <w:i/>
                <w:sz w:val="20"/>
                <w:szCs w:val="20"/>
              </w:rPr>
            </w:pPr>
            <w:r>
              <w:rPr>
                <w:i/>
                <w:sz w:val="20"/>
              </w:rPr>
              <w:t>Nicolas Stenger</w:t>
            </w:r>
          </w:p>
        </w:tc>
      </w:tr>
      <w:tr w:rsidRPr="00FA33C4" w:rsidR="00D24919" w:rsidTr="0060010D" w14:paraId="47B5DDD6" w14:textId="77777777">
        <w:tc>
          <w:tcPr>
            <w:tcW w:w="2127" w:type="dxa"/>
          </w:tcPr>
          <w:p w:rsidRPr="00FA33C4" w:rsidR="00D24919" w:rsidP="0060010D" w:rsidRDefault="00D24919" w14:paraId="17563F6D" w14:textId="77777777">
            <w:pPr>
              <w:overflowPunct w:val="0"/>
              <w:autoSpaceDE w:val="0"/>
              <w:autoSpaceDN w:val="0"/>
              <w:adjustRightInd w:val="0"/>
              <w:textAlignment w:val="baseline"/>
              <w:rPr>
                <w:i/>
                <w:sz w:val="20"/>
                <w:szCs w:val="20"/>
              </w:rPr>
            </w:pPr>
            <w:r>
              <w:rPr>
                <w:i/>
                <w:sz w:val="20"/>
              </w:rPr>
              <w:t>Teléfono:</w:t>
            </w:r>
          </w:p>
        </w:tc>
        <w:tc>
          <w:tcPr>
            <w:tcW w:w="7195" w:type="dxa"/>
          </w:tcPr>
          <w:p w:rsidRPr="00FA33C4" w:rsidR="00D24919" w:rsidP="0060010D" w:rsidRDefault="00D24919" w14:paraId="62CC03AD" w14:textId="77777777">
            <w:pPr>
              <w:overflowPunct w:val="0"/>
              <w:autoSpaceDE w:val="0"/>
              <w:autoSpaceDN w:val="0"/>
              <w:adjustRightInd w:val="0"/>
              <w:textAlignment w:val="baseline"/>
              <w:rPr>
                <w:i/>
                <w:sz w:val="20"/>
                <w:szCs w:val="20"/>
              </w:rPr>
            </w:pPr>
            <w:r>
              <w:rPr>
                <w:i/>
                <w:sz w:val="20"/>
              </w:rPr>
              <w:t>+32 25468152</w:t>
            </w:r>
          </w:p>
        </w:tc>
      </w:tr>
      <w:tr w:rsidRPr="00FA33C4" w:rsidR="00D24919" w:rsidTr="0060010D" w14:paraId="5094B071" w14:textId="77777777">
        <w:tc>
          <w:tcPr>
            <w:tcW w:w="2127" w:type="dxa"/>
          </w:tcPr>
          <w:p w:rsidRPr="00FA33C4" w:rsidR="00D24919" w:rsidP="0060010D" w:rsidRDefault="008D05C8" w14:paraId="270C3A5A" w14:textId="734706FD">
            <w:pPr>
              <w:overflowPunct w:val="0"/>
              <w:autoSpaceDE w:val="0"/>
              <w:autoSpaceDN w:val="0"/>
              <w:adjustRightInd w:val="0"/>
              <w:textAlignment w:val="baseline"/>
              <w:rPr>
                <w:i/>
                <w:sz w:val="20"/>
                <w:szCs w:val="20"/>
              </w:rPr>
            </w:pPr>
            <w:r>
              <w:rPr>
                <w:i/>
                <w:sz w:val="20"/>
              </w:rPr>
              <w:t>Correo electrónico:</w:t>
            </w:r>
          </w:p>
        </w:tc>
        <w:tc>
          <w:tcPr>
            <w:tcW w:w="7195" w:type="dxa"/>
          </w:tcPr>
          <w:p w:rsidRPr="00FA33C4" w:rsidR="00D24919" w:rsidP="0060010D" w:rsidRDefault="0001176A" w14:paraId="1B275FD8" w14:textId="77777777">
            <w:pPr>
              <w:overflowPunct w:val="0"/>
              <w:autoSpaceDE w:val="0"/>
              <w:autoSpaceDN w:val="0"/>
              <w:adjustRightInd w:val="0"/>
              <w:textAlignment w:val="baseline"/>
              <w:rPr>
                <w:i/>
                <w:iCs/>
                <w:sz w:val="20"/>
                <w:szCs w:val="20"/>
              </w:rPr>
            </w:pPr>
            <w:hyperlink w:history="1" r:id="rId35">
              <w:r w:rsidR="00465FCD">
                <w:rPr>
                  <w:i/>
                  <w:color w:val="0000FF"/>
                  <w:sz w:val="20"/>
                  <w:u w:val="single"/>
                </w:rPr>
                <w:t>Nicolas.Stenger@eesc.europa.eu</w:t>
              </w:r>
            </w:hyperlink>
          </w:p>
        </w:tc>
      </w:tr>
    </w:tbl>
    <w:p w:rsidR="007F5784" w:rsidP="0060010D" w:rsidRDefault="007F5784" w14:paraId="715DB2BD" w14:textId="06E41C3D">
      <w:pPr>
        <w:jc w:val="left"/>
      </w:pPr>
    </w:p>
    <w:p w:rsidR="007F5784" w:rsidP="0060010D" w:rsidRDefault="007F5784" w14:paraId="14026A78" w14:textId="4FAE1588">
      <w:pPr>
        <w:pStyle w:val="Heading1"/>
        <w:keepNext/>
        <w:keepLines/>
        <w:rPr>
          <w:b/>
        </w:rPr>
      </w:pPr>
      <w:bookmarkStart w:name="_Toc189228416" w:id="14"/>
      <w:r>
        <w:rPr>
          <w:b/>
        </w:rPr>
        <w:t>RELACIONES EXTERIORES</w:t>
      </w:r>
      <w:bookmarkEnd w:id="14"/>
    </w:p>
    <w:p w:rsidR="007F5784" w:rsidP="0060010D" w:rsidRDefault="007F5784" w14:paraId="3BBB3E68" w14:textId="77777777">
      <w:pPr>
        <w:keepNext/>
        <w:keepLines/>
      </w:pPr>
    </w:p>
    <w:p w:rsidRPr="00C8173B" w:rsidR="00C8173B" w:rsidP="0060010D" w:rsidRDefault="0001176A" w14:paraId="29A16775" w14:textId="57A22188">
      <w:pPr>
        <w:keepNext/>
        <w:keepLines/>
        <w:widowControl w:val="0"/>
        <w:numPr>
          <w:ilvl w:val="0"/>
          <w:numId w:val="4"/>
        </w:numPr>
        <w:overflowPunct w:val="0"/>
        <w:autoSpaceDE w:val="0"/>
        <w:autoSpaceDN w:val="0"/>
        <w:adjustRightInd w:val="0"/>
        <w:ind w:hanging="567"/>
        <w:textAlignment w:val="baseline"/>
        <w:rPr>
          <w:b/>
          <w:bCs/>
          <w:i/>
          <w:iCs/>
          <w:sz w:val="28"/>
          <w:szCs w:val="28"/>
        </w:rPr>
      </w:pPr>
      <w:hyperlink w:history="1" r:id="rId36">
        <w:r w:rsidR="00C8173B">
          <w:rPr>
            <w:b/>
            <w:i/>
            <w:color w:val="0000FF"/>
            <w:sz w:val="28"/>
            <w:u w:val="single"/>
          </w:rPr>
          <w:t>Desarrollar la estrategia europea para el Ártico 2024-29 en diálogo con la sociedad civil (dictamen de iniciativa)</w:t>
        </w:r>
      </w:hyperlink>
    </w:p>
    <w:p w:rsidRPr="00C8173B" w:rsidR="00C8173B" w:rsidP="0060010D" w:rsidRDefault="00C8173B" w14:paraId="27EAAC5C" w14:textId="77777777">
      <w:pPr>
        <w:keepNext/>
        <w:keepLines/>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FA33C4" w:rsidR="00C8173B" w:rsidTr="000B1858" w14:paraId="029C2A93" w14:textId="77777777">
        <w:tc>
          <w:tcPr>
            <w:tcW w:w="1107" w:type="pct"/>
          </w:tcPr>
          <w:p w:rsidRPr="00FA33C4" w:rsidR="00C8173B" w:rsidRDefault="00C8173B" w14:paraId="70E313F2" w14:textId="77777777">
            <w:pPr>
              <w:tabs>
                <w:tab w:val="center" w:pos="284"/>
              </w:tabs>
              <w:overflowPunct w:val="0"/>
              <w:autoSpaceDE w:val="0"/>
              <w:autoSpaceDN w:val="0"/>
              <w:adjustRightInd w:val="0"/>
              <w:ind w:left="266" w:hanging="266"/>
              <w:textAlignment w:val="baseline"/>
              <w:rPr>
                <w:b/>
                <w:sz w:val="20"/>
                <w:szCs w:val="20"/>
              </w:rPr>
            </w:pPr>
            <w:r>
              <w:rPr>
                <w:b/>
                <w:sz w:val="20"/>
              </w:rPr>
              <w:t>Ponente</w:t>
            </w:r>
          </w:p>
          <w:p w:rsidRPr="00FA33C4" w:rsidR="00C8173B" w:rsidRDefault="00C8173B" w14:paraId="5281128A" w14:textId="77777777">
            <w:pPr>
              <w:tabs>
                <w:tab w:val="center" w:pos="284"/>
              </w:tabs>
              <w:overflowPunct w:val="0"/>
              <w:autoSpaceDE w:val="0"/>
              <w:autoSpaceDN w:val="0"/>
              <w:adjustRightInd w:val="0"/>
              <w:ind w:left="266" w:hanging="266"/>
              <w:textAlignment w:val="baseline"/>
              <w:rPr>
                <w:b/>
                <w:sz w:val="20"/>
                <w:szCs w:val="20"/>
              </w:rPr>
            </w:pPr>
            <w:r>
              <w:rPr>
                <w:b/>
                <w:bCs/>
                <w:sz w:val="20"/>
              </w:rPr>
              <w:t>Coponente</w:t>
            </w:r>
          </w:p>
        </w:tc>
        <w:tc>
          <w:tcPr>
            <w:tcW w:w="3893" w:type="pct"/>
          </w:tcPr>
          <w:p w:rsidRPr="00FA33C4" w:rsidR="00C8173B" w:rsidRDefault="00C8173B" w14:paraId="3CB11A11" w14:textId="77777777">
            <w:pPr>
              <w:tabs>
                <w:tab w:val="center" w:pos="284"/>
              </w:tabs>
              <w:overflowPunct w:val="0"/>
              <w:autoSpaceDE w:val="0"/>
              <w:autoSpaceDN w:val="0"/>
              <w:adjustRightInd w:val="0"/>
              <w:ind w:left="266" w:hanging="266"/>
              <w:textAlignment w:val="baseline"/>
              <w:rPr>
                <w:sz w:val="20"/>
                <w:szCs w:val="20"/>
              </w:rPr>
            </w:pPr>
            <w:r>
              <w:rPr>
                <w:b/>
                <w:sz w:val="20"/>
              </w:rPr>
              <w:t>Anders LADEFOGED</w:t>
            </w:r>
            <w:r>
              <w:rPr>
                <w:sz w:val="20"/>
              </w:rPr>
              <w:t xml:space="preserve"> (Grupo de Empresarios – DK)</w:t>
            </w:r>
          </w:p>
          <w:p w:rsidRPr="00FA33C4" w:rsidR="00217685" w:rsidP="0060010D" w:rsidRDefault="00C8173B" w14:paraId="7141C129" w14:textId="066B055A">
            <w:pPr>
              <w:shd w:val="clear" w:color="auto" w:fill="FEFEFE"/>
              <w:jc w:val="left"/>
              <w:rPr>
                <w:sz w:val="20"/>
                <w:szCs w:val="20"/>
              </w:rPr>
            </w:pPr>
            <w:r>
              <w:rPr>
                <w:b/>
                <w:sz w:val="20"/>
              </w:rPr>
              <w:t>Christian MOOS</w:t>
            </w:r>
            <w:r>
              <w:rPr>
                <w:sz w:val="20"/>
              </w:rPr>
              <w:t xml:space="preserve"> (Grupo de Organizaciones de la Sociedad Civil – DE)</w:t>
            </w:r>
          </w:p>
        </w:tc>
      </w:tr>
      <w:tr w:rsidRPr="00FA33C4" w:rsidR="00C8173B" w:rsidTr="000B1858" w14:paraId="4A9CE5B5" w14:textId="77777777">
        <w:tc>
          <w:tcPr>
            <w:tcW w:w="5000" w:type="pct"/>
            <w:gridSpan w:val="2"/>
          </w:tcPr>
          <w:p w:rsidRPr="00FA33C4" w:rsidR="00C8173B" w:rsidP="0060010D" w:rsidRDefault="00C8173B" w14:paraId="3C19F370" w14:textId="77777777">
            <w:pPr>
              <w:tabs>
                <w:tab w:val="center" w:pos="284"/>
              </w:tabs>
              <w:overflowPunct w:val="0"/>
              <w:autoSpaceDE w:val="0"/>
              <w:autoSpaceDN w:val="0"/>
              <w:adjustRightInd w:val="0"/>
              <w:ind w:left="266" w:hanging="266"/>
              <w:textAlignment w:val="baseline"/>
              <w:rPr>
                <w:sz w:val="20"/>
                <w:szCs w:val="20"/>
              </w:rPr>
            </w:pPr>
          </w:p>
        </w:tc>
      </w:tr>
      <w:tr w:rsidRPr="00FA33C4" w:rsidR="00C8173B" w:rsidTr="000B1858" w14:paraId="46314555" w14:textId="77777777">
        <w:tc>
          <w:tcPr>
            <w:tcW w:w="1107" w:type="pct"/>
          </w:tcPr>
          <w:p w:rsidRPr="00FA33C4" w:rsidR="00C8173B" w:rsidRDefault="00C8173B" w14:paraId="00252F51"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3893" w:type="pct"/>
          </w:tcPr>
          <w:p w:rsidRPr="00FA33C4" w:rsidR="00B11B7E" w:rsidRDefault="00B11B7E" w14:paraId="103A511F" w14:textId="2925D730">
            <w:pPr>
              <w:tabs>
                <w:tab w:val="center" w:pos="284"/>
              </w:tabs>
              <w:overflowPunct w:val="0"/>
              <w:autoSpaceDE w:val="0"/>
              <w:autoSpaceDN w:val="0"/>
              <w:adjustRightInd w:val="0"/>
              <w:ind w:left="266" w:hanging="266"/>
              <w:jc w:val="left"/>
              <w:textAlignment w:val="baseline"/>
              <w:rPr>
                <w:sz w:val="20"/>
                <w:szCs w:val="20"/>
              </w:rPr>
            </w:pPr>
            <w:r>
              <w:rPr>
                <w:sz w:val="20"/>
              </w:rPr>
              <w:t>Dictamen de iniciativa</w:t>
            </w:r>
          </w:p>
          <w:p w:rsidRPr="00FA33C4" w:rsidR="00C8173B" w:rsidRDefault="00C8173B" w14:paraId="2D94F2BF" w14:textId="29469CDD">
            <w:pPr>
              <w:tabs>
                <w:tab w:val="center" w:pos="284"/>
              </w:tabs>
              <w:overflowPunct w:val="0"/>
              <w:autoSpaceDE w:val="0"/>
              <w:autoSpaceDN w:val="0"/>
              <w:adjustRightInd w:val="0"/>
              <w:ind w:left="266" w:hanging="266"/>
              <w:jc w:val="left"/>
              <w:textAlignment w:val="baseline"/>
              <w:rPr>
                <w:sz w:val="20"/>
                <w:szCs w:val="20"/>
              </w:rPr>
            </w:pPr>
            <w:r>
              <w:rPr>
                <w:sz w:val="20"/>
              </w:rPr>
              <w:t>EESC-2024-03182-00-00-AC</w:t>
            </w:r>
          </w:p>
        </w:tc>
      </w:tr>
    </w:tbl>
    <w:p w:rsidRPr="00C8173B" w:rsidR="00C8173B" w:rsidRDefault="00C8173B" w14:paraId="6B3D9BBA" w14:textId="77777777">
      <w:pPr>
        <w:tabs>
          <w:tab w:val="center" w:pos="284"/>
        </w:tabs>
        <w:overflowPunct w:val="0"/>
        <w:autoSpaceDE w:val="0"/>
        <w:autoSpaceDN w:val="0"/>
        <w:adjustRightInd w:val="0"/>
        <w:ind w:left="266" w:hanging="266"/>
        <w:textAlignment w:val="baseline"/>
        <w:rPr>
          <w:lang w:val="en-GB"/>
        </w:rPr>
      </w:pPr>
    </w:p>
    <w:p w:rsidRPr="00C8173B" w:rsidR="00C8173B" w:rsidRDefault="00C8173B" w14:paraId="358C2435"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C8173B" w:rsidR="00C8173B" w:rsidRDefault="00C8173B" w14:paraId="5C55E5FC" w14:textId="77777777">
      <w:pPr>
        <w:keepNext/>
        <w:keepLines/>
        <w:tabs>
          <w:tab w:val="center" w:pos="284"/>
        </w:tabs>
        <w:overflowPunct w:val="0"/>
        <w:autoSpaceDE w:val="0"/>
        <w:autoSpaceDN w:val="0"/>
        <w:adjustRightInd w:val="0"/>
        <w:ind w:left="266" w:hanging="266"/>
        <w:textAlignment w:val="baseline"/>
        <w:rPr>
          <w:b/>
          <w:lang w:val="en-GB"/>
        </w:rPr>
      </w:pPr>
    </w:p>
    <w:p w:rsidRPr="00C8173B" w:rsidR="00C8173B" w:rsidRDefault="00C8173B" w14:paraId="6664E17E" w14:textId="77777777">
      <w:pPr>
        <w:overflowPunct w:val="0"/>
        <w:autoSpaceDE w:val="0"/>
        <w:autoSpaceDN w:val="0"/>
        <w:adjustRightInd w:val="0"/>
        <w:textAlignment w:val="baseline"/>
        <w:rPr>
          <w:bCs/>
          <w:iCs/>
        </w:rPr>
      </w:pPr>
      <w:r>
        <w:t>El CESE:</w:t>
      </w:r>
    </w:p>
    <w:p w:rsidRPr="007C1ABC" w:rsidR="00C8173B" w:rsidP="0060010D" w:rsidRDefault="00C8173B" w14:paraId="472B7CA9" w14:textId="77777777">
      <w:pPr>
        <w:pStyle w:val="ListParagraph"/>
        <w:widowControl w:val="0"/>
        <w:numPr>
          <w:ilvl w:val="0"/>
          <w:numId w:val="39"/>
        </w:numPr>
        <w:overflowPunct w:val="0"/>
        <w:autoSpaceDE w:val="0"/>
        <w:autoSpaceDN w:val="0"/>
        <w:adjustRightInd w:val="0"/>
        <w:ind w:left="567" w:hanging="567"/>
        <w:textAlignment w:val="baseline"/>
      </w:pPr>
      <w:r>
        <w:t>subraya que el inicio del nuevo ciclo institucional de la UE brinda una oportunidad evidente para hacer balance de su política ártica. Una política actualizada permitiría a la UE desempeñar un papel aún más importante en el fomento de un Ártico resiliente y próspero, al mismo tiempo que se garantizan los intereses estratégicos de Europa en materia de transición ecológica, seguridad y respeto de los derechos humanos;</w:t>
      </w:r>
    </w:p>
    <w:p w:rsidRPr="007C1ABC" w:rsidR="00C8173B" w:rsidP="0060010D" w:rsidRDefault="00C8173B" w14:paraId="6A5A29B9" w14:textId="77777777">
      <w:pPr>
        <w:pStyle w:val="ListParagraph"/>
        <w:widowControl w:val="0"/>
        <w:numPr>
          <w:ilvl w:val="0"/>
          <w:numId w:val="39"/>
        </w:numPr>
        <w:overflowPunct w:val="0"/>
        <w:autoSpaceDE w:val="0"/>
        <w:autoSpaceDN w:val="0"/>
        <w:adjustRightInd w:val="0"/>
        <w:ind w:left="567" w:hanging="567"/>
        <w:textAlignment w:val="baseline"/>
      </w:pPr>
      <w:r>
        <w:t>destaca la necesidad de que la sociedad civil participe en la toma de decisiones en el Ártico, ya que ello mejorará tanto la calidad como la legitimidad de las decisiones de gran alcance que afectan a la región;</w:t>
      </w:r>
    </w:p>
    <w:p w:rsidRPr="007C1ABC" w:rsidR="00C8173B" w:rsidP="0060010D" w:rsidRDefault="00C8173B" w14:paraId="1FFF7F3E" w14:textId="77777777">
      <w:pPr>
        <w:pStyle w:val="ListParagraph"/>
        <w:widowControl w:val="0"/>
        <w:numPr>
          <w:ilvl w:val="0"/>
          <w:numId w:val="39"/>
        </w:numPr>
        <w:overflowPunct w:val="0"/>
        <w:autoSpaceDE w:val="0"/>
        <w:autoSpaceDN w:val="0"/>
        <w:adjustRightInd w:val="0"/>
        <w:ind w:left="567" w:hanging="567"/>
        <w:textAlignment w:val="baseline"/>
      </w:pPr>
      <w:r>
        <w:t>propone que, como parte de una estrategia actualizada de la UE, se lleve a cabo un ejercicio sistemático de balance, en el que se evalúe cómo perciben y utilizan en la práctica las partes interesadas del Ártico los fondos e instrumentos de la UE. Este ejercicio debería:</w:t>
      </w:r>
    </w:p>
    <w:p w:rsidRPr="007C1ABC" w:rsidR="00C8173B" w:rsidP="0060010D" w:rsidRDefault="00C8173B" w14:paraId="27C1299E" w14:textId="77777777">
      <w:pPr>
        <w:pStyle w:val="ListParagraph"/>
        <w:widowControl w:val="0"/>
        <w:numPr>
          <w:ilvl w:val="0"/>
          <w:numId w:val="45"/>
        </w:numPr>
        <w:overflowPunct w:val="0"/>
        <w:autoSpaceDE w:val="0"/>
        <w:autoSpaceDN w:val="0"/>
        <w:adjustRightInd w:val="0"/>
        <w:ind w:left="1134" w:hanging="567"/>
        <w:textAlignment w:val="baseline"/>
      </w:pPr>
      <w:r>
        <w:t>basarse en las aportaciones de los diversos representantes de la sociedad civil;</w:t>
      </w:r>
    </w:p>
    <w:p w:rsidRPr="007C1ABC" w:rsidR="00C8173B" w:rsidP="0060010D" w:rsidRDefault="00C8173B" w14:paraId="38665FCD" w14:textId="77777777">
      <w:pPr>
        <w:pStyle w:val="ListParagraph"/>
        <w:widowControl w:val="0"/>
        <w:numPr>
          <w:ilvl w:val="0"/>
          <w:numId w:val="45"/>
        </w:numPr>
        <w:overflowPunct w:val="0"/>
        <w:autoSpaceDE w:val="0"/>
        <w:autoSpaceDN w:val="0"/>
        <w:adjustRightInd w:val="0"/>
        <w:ind w:left="1134" w:hanging="567"/>
        <w:textAlignment w:val="baseline"/>
      </w:pPr>
      <w:r>
        <w:t>tener por objetivo simplificar los procedimientos para los beneficiarios o proporcionar asistencia a las comunidades locales para gestionar los requisitos;</w:t>
      </w:r>
    </w:p>
    <w:p w:rsidRPr="007C1ABC" w:rsidR="00C8173B" w:rsidP="0060010D" w:rsidRDefault="00C8173B" w14:paraId="4A76074D" w14:textId="77777777">
      <w:pPr>
        <w:pStyle w:val="ListParagraph"/>
        <w:widowControl w:val="0"/>
        <w:numPr>
          <w:ilvl w:val="0"/>
          <w:numId w:val="45"/>
        </w:numPr>
        <w:overflowPunct w:val="0"/>
        <w:autoSpaceDE w:val="0"/>
        <w:autoSpaceDN w:val="0"/>
        <w:adjustRightInd w:val="0"/>
        <w:ind w:left="1134" w:hanging="567"/>
        <w:textAlignment w:val="baseline"/>
      </w:pPr>
      <w:r>
        <w:t>aclarar si existen fondos suficientes y programas adecuados para apoyar los objetivos estratégicos de la UE en el Ártico;</w:t>
      </w:r>
    </w:p>
    <w:p w:rsidR="007C1ABC" w:rsidP="0060010D" w:rsidRDefault="00C8173B" w14:paraId="06FC79D8" w14:textId="52B90F69">
      <w:pPr>
        <w:widowControl w:val="0"/>
        <w:numPr>
          <w:ilvl w:val="0"/>
          <w:numId w:val="41"/>
        </w:numPr>
        <w:tabs>
          <w:tab w:val="clear" w:pos="720"/>
        </w:tabs>
        <w:overflowPunct w:val="0"/>
        <w:autoSpaceDE w:val="0"/>
        <w:autoSpaceDN w:val="0"/>
        <w:adjustRightInd w:val="0"/>
        <w:ind w:left="567" w:hanging="567"/>
        <w:textAlignment w:val="baseline"/>
      </w:pPr>
      <w:r>
        <w:t>pide a los responsables de la toma de decisiones en el Ártico a todos los niveles que apliquen con rigor las obligaciones jurídicas y adopten las mejores prácticas en cuanto a cómo incluir, consultar y capacitar a todos los sectores de la sociedad civil local, incluidos los pueblos indígenas;</w:t>
      </w:r>
    </w:p>
    <w:p w:rsidRPr="007C1ABC" w:rsidR="00C8173B" w:rsidP="0060010D" w:rsidRDefault="00C8173B" w14:paraId="6387FF21" w14:textId="51DC2ECE">
      <w:pPr>
        <w:widowControl w:val="0"/>
        <w:numPr>
          <w:ilvl w:val="0"/>
          <w:numId w:val="41"/>
        </w:numPr>
        <w:tabs>
          <w:tab w:val="clear" w:pos="720"/>
        </w:tabs>
        <w:overflowPunct w:val="0"/>
        <w:autoSpaceDE w:val="0"/>
        <w:autoSpaceDN w:val="0"/>
        <w:adjustRightInd w:val="0"/>
        <w:ind w:left="567" w:hanging="567"/>
        <w:textAlignment w:val="baseline"/>
      </w:pPr>
      <w:r>
        <w:t>hace hincapié en que las inversiones y los proyectos deben beneficiar a las comunidades locales y en que debe garantizarse que todas las partes de estas comunidades, incluidos los pueblos indígenas, la juventud y las mujeres, dispongan de recursos suficientes para participar en la toma de decisiones;</w:t>
      </w:r>
    </w:p>
    <w:p w:rsidRPr="00C8173B" w:rsidR="00C8173B" w:rsidP="0060010D" w:rsidRDefault="00C8173B" w14:paraId="7353903E" w14:textId="77777777">
      <w:pPr>
        <w:widowControl w:val="0"/>
        <w:numPr>
          <w:ilvl w:val="0"/>
          <w:numId w:val="41"/>
        </w:numPr>
        <w:tabs>
          <w:tab w:val="clear" w:pos="720"/>
        </w:tabs>
        <w:overflowPunct w:val="0"/>
        <w:autoSpaceDE w:val="0"/>
        <w:autoSpaceDN w:val="0"/>
        <w:adjustRightInd w:val="0"/>
        <w:ind w:left="567" w:hanging="567"/>
        <w:textAlignment w:val="baseline"/>
      </w:pPr>
      <w:r>
        <w:t xml:space="preserve">subraya la urgente necesidad de racionalizar los procesos de concesión de permisos para proyectos relacionados con las energías renovables y la extracción de materias primas necesarias para la transición ecológica. Estos procesos deben ser más eficientes sin renunciar a </w:t>
      </w:r>
      <w:r>
        <w:lastRenderedPageBreak/>
        <w:t>un examen medioambiental y socioeconómico adecuado;</w:t>
      </w:r>
    </w:p>
    <w:p w:rsidRPr="00C8173B" w:rsidR="00C8173B" w:rsidP="0060010D" w:rsidRDefault="00C8173B" w14:paraId="67D19302" w14:textId="77777777">
      <w:pPr>
        <w:widowControl w:val="0"/>
        <w:numPr>
          <w:ilvl w:val="0"/>
          <w:numId w:val="41"/>
        </w:numPr>
        <w:tabs>
          <w:tab w:val="clear" w:pos="720"/>
        </w:tabs>
        <w:overflowPunct w:val="0"/>
        <w:autoSpaceDE w:val="0"/>
        <w:autoSpaceDN w:val="0"/>
        <w:adjustRightInd w:val="0"/>
        <w:ind w:left="567" w:hanging="567"/>
        <w:textAlignment w:val="baseline"/>
      </w:pPr>
      <w:r>
        <w:t>recomienda intensificar la cooperación con Groenlandia para diversificar el acceso a minerales fundamentales y establecer una asociación basada en la democracia, el Estado de Derecho y los derechos humanos. El Comité insta a que se dé prioridad a esta cooperación en las próximas negociaciones del marco financiero plurianual (MFP).</w:t>
      </w:r>
    </w:p>
    <w:p w:rsidRPr="00C8173B" w:rsidR="00C8173B" w:rsidRDefault="00C8173B" w14:paraId="6E01908F" w14:textId="77777777">
      <w:pPr>
        <w:widowControl w:val="0"/>
        <w:overflowPunct w:val="0"/>
        <w:autoSpaceDE w:val="0"/>
        <w:autoSpaceDN w:val="0"/>
        <w:adjustRightInd w:val="0"/>
        <w:ind w:left="709"/>
        <w:textAlignment w:val="baseline"/>
        <w:rPr>
          <w:bCs/>
          <w:iCs/>
          <w:sz w:val="16"/>
          <w:szCs w:val="16"/>
          <w:lang w:val="en-GB"/>
        </w:rPr>
      </w:pPr>
    </w:p>
    <w:tbl>
      <w:tblPr>
        <w:tblW w:w="5000" w:type="pct"/>
        <w:tblLook w:val="04A0" w:firstRow="1" w:lastRow="0" w:firstColumn="1" w:lastColumn="0" w:noHBand="0" w:noVBand="1"/>
      </w:tblPr>
      <w:tblGrid>
        <w:gridCol w:w="2025"/>
        <w:gridCol w:w="7264"/>
      </w:tblGrid>
      <w:tr w:rsidRPr="00FA33C4" w:rsidR="00C8173B" w:rsidTr="0060010D" w14:paraId="31438F49" w14:textId="77777777">
        <w:tc>
          <w:tcPr>
            <w:tcW w:w="1090" w:type="pct"/>
          </w:tcPr>
          <w:p w:rsidRPr="00FA33C4" w:rsidR="00C8173B" w:rsidP="0060010D" w:rsidRDefault="00C8173B" w14:paraId="4D13C02D" w14:textId="77777777">
            <w:pPr>
              <w:widowControl w:val="0"/>
              <w:overflowPunct w:val="0"/>
              <w:autoSpaceDE w:val="0"/>
              <w:autoSpaceDN w:val="0"/>
              <w:adjustRightInd w:val="0"/>
              <w:textAlignment w:val="baseline"/>
              <w:rPr>
                <w:i/>
                <w:sz w:val="20"/>
                <w:szCs w:val="20"/>
              </w:rPr>
            </w:pPr>
            <w:r>
              <w:rPr>
                <w:b/>
                <w:i/>
                <w:sz w:val="20"/>
              </w:rPr>
              <w:t>Contacto:</w:t>
            </w:r>
          </w:p>
        </w:tc>
        <w:tc>
          <w:tcPr>
            <w:tcW w:w="3910" w:type="pct"/>
          </w:tcPr>
          <w:p w:rsidRPr="00FA33C4" w:rsidR="00C8173B" w:rsidP="0060010D" w:rsidRDefault="00C8173B" w14:paraId="09C04C80" w14:textId="77777777">
            <w:pPr>
              <w:widowControl w:val="0"/>
              <w:overflowPunct w:val="0"/>
              <w:autoSpaceDE w:val="0"/>
              <w:autoSpaceDN w:val="0"/>
              <w:adjustRightInd w:val="0"/>
              <w:textAlignment w:val="baseline"/>
              <w:rPr>
                <w:i/>
                <w:sz w:val="20"/>
                <w:szCs w:val="20"/>
              </w:rPr>
            </w:pPr>
            <w:r>
              <w:rPr>
                <w:i/>
                <w:sz w:val="20"/>
              </w:rPr>
              <w:t>Maarit Laurila</w:t>
            </w:r>
          </w:p>
        </w:tc>
      </w:tr>
      <w:tr w:rsidRPr="00FA33C4" w:rsidR="00C8173B" w:rsidTr="0060010D" w14:paraId="0DD46053" w14:textId="77777777">
        <w:tc>
          <w:tcPr>
            <w:tcW w:w="1090" w:type="pct"/>
          </w:tcPr>
          <w:p w:rsidRPr="00FA33C4" w:rsidR="00C8173B" w:rsidP="0060010D" w:rsidRDefault="00C8173B" w14:paraId="07DCB39F" w14:textId="77777777">
            <w:pPr>
              <w:widowControl w:val="0"/>
              <w:overflowPunct w:val="0"/>
              <w:autoSpaceDE w:val="0"/>
              <w:autoSpaceDN w:val="0"/>
              <w:adjustRightInd w:val="0"/>
              <w:textAlignment w:val="baseline"/>
              <w:rPr>
                <w:i/>
                <w:sz w:val="20"/>
                <w:szCs w:val="20"/>
              </w:rPr>
            </w:pPr>
            <w:r>
              <w:rPr>
                <w:i/>
                <w:sz w:val="20"/>
              </w:rPr>
              <w:t>Teléfono:</w:t>
            </w:r>
          </w:p>
        </w:tc>
        <w:tc>
          <w:tcPr>
            <w:tcW w:w="3910" w:type="pct"/>
          </w:tcPr>
          <w:p w:rsidRPr="00FA33C4" w:rsidR="00C8173B" w:rsidP="0060010D" w:rsidRDefault="00C8173B" w14:paraId="38E394E8" w14:textId="77777777">
            <w:pPr>
              <w:widowControl w:val="0"/>
              <w:overflowPunct w:val="0"/>
              <w:autoSpaceDE w:val="0"/>
              <w:autoSpaceDN w:val="0"/>
              <w:adjustRightInd w:val="0"/>
              <w:textAlignment w:val="baseline"/>
              <w:rPr>
                <w:i/>
                <w:sz w:val="20"/>
                <w:szCs w:val="20"/>
              </w:rPr>
            </w:pPr>
            <w:r>
              <w:rPr>
                <w:i/>
                <w:sz w:val="20"/>
              </w:rPr>
              <w:t>+32 25469739</w:t>
            </w:r>
          </w:p>
        </w:tc>
      </w:tr>
      <w:tr w:rsidRPr="00FA33C4" w:rsidR="00C8173B" w:rsidTr="0060010D" w14:paraId="0C60D958" w14:textId="77777777">
        <w:tc>
          <w:tcPr>
            <w:tcW w:w="1090" w:type="pct"/>
          </w:tcPr>
          <w:p w:rsidRPr="00FA33C4" w:rsidR="00C8173B" w:rsidP="0060010D" w:rsidRDefault="00C8173B" w14:paraId="2780140A" w14:textId="77777777">
            <w:pPr>
              <w:widowControl w:val="0"/>
              <w:overflowPunct w:val="0"/>
              <w:autoSpaceDE w:val="0"/>
              <w:autoSpaceDN w:val="0"/>
              <w:adjustRightInd w:val="0"/>
              <w:textAlignment w:val="baseline"/>
              <w:rPr>
                <w:i/>
                <w:sz w:val="20"/>
                <w:szCs w:val="20"/>
              </w:rPr>
            </w:pPr>
            <w:r>
              <w:rPr>
                <w:i/>
                <w:sz w:val="20"/>
              </w:rPr>
              <w:t>Correo electrónico:</w:t>
            </w:r>
          </w:p>
        </w:tc>
        <w:tc>
          <w:tcPr>
            <w:tcW w:w="3910" w:type="pct"/>
          </w:tcPr>
          <w:p w:rsidRPr="00FA33C4" w:rsidR="00C8173B" w:rsidP="0060010D" w:rsidRDefault="0001176A" w14:paraId="778D8CD6" w14:textId="77777777">
            <w:pPr>
              <w:widowControl w:val="0"/>
              <w:overflowPunct w:val="0"/>
              <w:autoSpaceDE w:val="0"/>
              <w:autoSpaceDN w:val="0"/>
              <w:adjustRightInd w:val="0"/>
              <w:textAlignment w:val="baseline"/>
              <w:rPr>
                <w:i/>
                <w:iCs/>
                <w:sz w:val="20"/>
                <w:szCs w:val="20"/>
              </w:rPr>
            </w:pPr>
            <w:hyperlink w:history="1" r:id="rId37">
              <w:r w:rsidR="00C8173B">
                <w:rPr>
                  <w:i/>
                  <w:color w:val="0000FF"/>
                  <w:sz w:val="20"/>
                  <w:u w:val="single"/>
                </w:rPr>
                <w:t>Maarit.Laurila@eesc.europa.eu</w:t>
              </w:r>
            </w:hyperlink>
          </w:p>
        </w:tc>
      </w:tr>
    </w:tbl>
    <w:p w:rsidR="003A4752" w:rsidP="0060010D" w:rsidRDefault="003A4752" w14:paraId="63706094" w14:textId="20910515">
      <w:pPr>
        <w:jc w:val="left"/>
      </w:pPr>
    </w:p>
    <w:p w:rsidRPr="00A33529" w:rsidR="00A33529" w:rsidP="00A33529" w:rsidRDefault="0001176A" w14:paraId="06CEF2CF" w14:textId="2A84E9E3">
      <w:pPr>
        <w:pStyle w:val="ListParagraph"/>
        <w:numPr>
          <w:ilvl w:val="0"/>
          <w:numId w:val="58"/>
        </w:numPr>
        <w:ind w:left="567" w:hanging="567"/>
        <w:rPr>
          <w:b/>
          <w:bCs/>
          <w:i/>
          <w:iCs/>
          <w:sz w:val="32"/>
          <w:szCs w:val="32"/>
        </w:rPr>
      </w:pPr>
      <w:hyperlink w:history="1" r:id="rId38">
        <w:r w:rsidR="00EA1912">
          <w:rPr>
            <w:rStyle w:val="Hyperlink"/>
            <w:b/>
            <w:i/>
            <w:sz w:val="32"/>
          </w:rPr>
          <w:t>Participación de la juventud en el diálogo social y civil en la región mediterránea</w:t>
        </w:r>
      </w:hyperlink>
    </w:p>
    <w:p w:rsidRPr="003A4752" w:rsidR="003A4752" w:rsidRDefault="003A4752" w14:paraId="55DBB8C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668"/>
        <w:gridCol w:w="7621"/>
      </w:tblGrid>
      <w:tr w:rsidRPr="00FA33C4" w:rsidR="003A4752" w:rsidTr="00FA33C4" w14:paraId="55D7383C" w14:textId="77777777">
        <w:tc>
          <w:tcPr>
            <w:tcW w:w="898" w:type="pct"/>
          </w:tcPr>
          <w:p w:rsidRPr="00FA33C4" w:rsidR="003A4752" w:rsidRDefault="003A4752" w14:paraId="694C75F8" w14:textId="77777777">
            <w:pPr>
              <w:tabs>
                <w:tab w:val="center" w:pos="284"/>
              </w:tabs>
              <w:overflowPunct w:val="0"/>
              <w:autoSpaceDE w:val="0"/>
              <w:autoSpaceDN w:val="0"/>
              <w:adjustRightInd w:val="0"/>
              <w:ind w:left="266" w:hanging="266"/>
              <w:textAlignment w:val="baseline"/>
              <w:rPr>
                <w:b/>
                <w:sz w:val="20"/>
                <w:szCs w:val="20"/>
              </w:rPr>
            </w:pPr>
            <w:r>
              <w:rPr>
                <w:b/>
                <w:sz w:val="20"/>
              </w:rPr>
              <w:t>Ponente</w:t>
            </w:r>
          </w:p>
        </w:tc>
        <w:tc>
          <w:tcPr>
            <w:tcW w:w="4102" w:type="pct"/>
          </w:tcPr>
          <w:p w:rsidRPr="00FA33C4" w:rsidR="003A4752" w:rsidRDefault="003A4752" w14:paraId="35569678" w14:textId="28B927F4">
            <w:pPr>
              <w:tabs>
                <w:tab w:val="center" w:pos="284"/>
              </w:tabs>
              <w:overflowPunct w:val="0"/>
              <w:autoSpaceDE w:val="0"/>
              <w:autoSpaceDN w:val="0"/>
              <w:adjustRightInd w:val="0"/>
              <w:ind w:left="266" w:hanging="266"/>
              <w:textAlignment w:val="baseline"/>
              <w:rPr>
                <w:sz w:val="20"/>
                <w:szCs w:val="20"/>
              </w:rPr>
            </w:pPr>
            <w:r>
              <w:rPr>
                <w:sz w:val="20"/>
              </w:rPr>
              <w:t>Thomas WAGNSONNER (Grupo de Trabajadores – AT)</w:t>
            </w:r>
          </w:p>
        </w:tc>
      </w:tr>
      <w:tr w:rsidRPr="00FA33C4" w:rsidR="003A4752" w:rsidTr="00FA33C4" w14:paraId="07D7DB2B" w14:textId="77777777">
        <w:tc>
          <w:tcPr>
            <w:tcW w:w="898" w:type="pct"/>
          </w:tcPr>
          <w:p w:rsidRPr="00FA33C4" w:rsidR="003A4752" w:rsidRDefault="003A4752" w14:paraId="3C9529F1" w14:textId="77777777">
            <w:pPr>
              <w:tabs>
                <w:tab w:val="center" w:pos="284"/>
              </w:tabs>
              <w:overflowPunct w:val="0"/>
              <w:autoSpaceDE w:val="0"/>
              <w:autoSpaceDN w:val="0"/>
              <w:adjustRightInd w:val="0"/>
              <w:ind w:left="266" w:hanging="266"/>
              <w:textAlignment w:val="baseline"/>
              <w:rPr>
                <w:b/>
                <w:sz w:val="20"/>
                <w:szCs w:val="20"/>
              </w:rPr>
            </w:pPr>
            <w:r>
              <w:rPr>
                <w:b/>
                <w:bCs/>
                <w:sz w:val="20"/>
              </w:rPr>
              <w:t>Coponente</w:t>
            </w:r>
          </w:p>
        </w:tc>
        <w:tc>
          <w:tcPr>
            <w:tcW w:w="4102" w:type="pct"/>
          </w:tcPr>
          <w:p w:rsidRPr="00FA33C4" w:rsidR="003A4752" w:rsidRDefault="003A4752" w14:paraId="4176DBB7" w14:textId="6D5B619F">
            <w:pPr>
              <w:tabs>
                <w:tab w:val="center" w:pos="284"/>
              </w:tabs>
              <w:overflowPunct w:val="0"/>
              <w:autoSpaceDE w:val="0"/>
              <w:autoSpaceDN w:val="0"/>
              <w:adjustRightInd w:val="0"/>
              <w:ind w:left="266" w:hanging="266"/>
              <w:jc w:val="left"/>
              <w:textAlignment w:val="baseline"/>
              <w:rPr>
                <w:sz w:val="20"/>
                <w:szCs w:val="20"/>
              </w:rPr>
            </w:pPr>
            <w:r>
              <w:rPr>
                <w:sz w:val="20"/>
              </w:rPr>
              <w:t>Lidija Pavić-Rogošić (Grupo de Organizaciones de la Sociedad Civil – HR)</w:t>
            </w:r>
          </w:p>
        </w:tc>
      </w:tr>
      <w:tr w:rsidRPr="00FA33C4" w:rsidR="003A4752" w:rsidTr="000B1858" w14:paraId="326AD7BB" w14:textId="77777777">
        <w:tc>
          <w:tcPr>
            <w:tcW w:w="5000" w:type="pct"/>
            <w:gridSpan w:val="2"/>
          </w:tcPr>
          <w:p w:rsidRPr="00FA33C4" w:rsidR="003A4752" w:rsidP="0060010D" w:rsidRDefault="003A4752" w14:paraId="7EFFB25F" w14:textId="77777777">
            <w:pPr>
              <w:tabs>
                <w:tab w:val="center" w:pos="284"/>
              </w:tabs>
              <w:overflowPunct w:val="0"/>
              <w:autoSpaceDE w:val="0"/>
              <w:autoSpaceDN w:val="0"/>
              <w:adjustRightInd w:val="0"/>
              <w:ind w:left="266" w:hanging="266"/>
              <w:textAlignment w:val="baseline"/>
              <w:rPr>
                <w:sz w:val="20"/>
                <w:szCs w:val="20"/>
              </w:rPr>
            </w:pPr>
          </w:p>
        </w:tc>
      </w:tr>
      <w:tr w:rsidRPr="00FA33C4" w:rsidR="003A4752" w:rsidTr="00FA33C4" w14:paraId="6DFF7682" w14:textId="77777777">
        <w:tc>
          <w:tcPr>
            <w:tcW w:w="898" w:type="pct"/>
          </w:tcPr>
          <w:p w:rsidRPr="00FA33C4" w:rsidR="003A4752" w:rsidRDefault="003A4752" w14:paraId="47E2E618" w14:textId="77777777">
            <w:pPr>
              <w:tabs>
                <w:tab w:val="center" w:pos="284"/>
              </w:tabs>
              <w:overflowPunct w:val="0"/>
              <w:autoSpaceDE w:val="0"/>
              <w:autoSpaceDN w:val="0"/>
              <w:adjustRightInd w:val="0"/>
              <w:ind w:left="266" w:hanging="266"/>
              <w:textAlignment w:val="baseline"/>
              <w:rPr>
                <w:b/>
                <w:sz w:val="20"/>
                <w:szCs w:val="20"/>
              </w:rPr>
            </w:pPr>
            <w:r>
              <w:rPr>
                <w:b/>
                <w:sz w:val="20"/>
              </w:rPr>
              <w:t>Referencias</w:t>
            </w:r>
          </w:p>
        </w:tc>
        <w:tc>
          <w:tcPr>
            <w:tcW w:w="4102" w:type="pct"/>
          </w:tcPr>
          <w:p w:rsidRPr="00FA33C4" w:rsidR="00114D45" w:rsidRDefault="00114D45" w14:paraId="7CB48587" w14:textId="2F429D10">
            <w:pPr>
              <w:tabs>
                <w:tab w:val="center" w:pos="284"/>
              </w:tabs>
              <w:overflowPunct w:val="0"/>
              <w:autoSpaceDE w:val="0"/>
              <w:autoSpaceDN w:val="0"/>
              <w:adjustRightInd w:val="0"/>
              <w:ind w:left="266" w:hanging="266"/>
              <w:textAlignment w:val="baseline"/>
              <w:rPr>
                <w:sz w:val="20"/>
                <w:szCs w:val="20"/>
              </w:rPr>
            </w:pPr>
            <w:r>
              <w:rPr>
                <w:sz w:val="20"/>
              </w:rPr>
              <w:t>Dictamen de iniciativa</w:t>
            </w:r>
          </w:p>
          <w:p w:rsidRPr="00FA33C4" w:rsidR="003A4752" w:rsidRDefault="003A4752" w14:paraId="66A1F34B" w14:textId="471DF6D3">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rsidRPr="003A4752" w:rsidR="003A4752" w:rsidRDefault="003A4752" w14:paraId="7B401AD2"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6551D4C3"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3A4752" w:rsidR="003A4752" w:rsidRDefault="003A4752" w14:paraId="0F5C1B07"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5B859B61" w14:textId="77777777">
      <w:pPr>
        <w:overflowPunct w:val="0"/>
        <w:autoSpaceDE w:val="0"/>
        <w:autoSpaceDN w:val="0"/>
        <w:adjustRightInd w:val="0"/>
        <w:textAlignment w:val="baseline"/>
        <w:rPr>
          <w:bCs/>
          <w:iCs/>
        </w:rPr>
      </w:pPr>
      <w:r>
        <w:t>El CESE:</w:t>
      </w:r>
    </w:p>
    <w:p w:rsidRPr="003A4752" w:rsidR="003A4752" w:rsidP="0060010D" w:rsidRDefault="003A4752" w14:paraId="2D65C8C3"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recomienda que se </w:t>
      </w:r>
      <w:r>
        <w:rPr>
          <w:b/>
        </w:rPr>
        <w:t>incluya a los representantes de la juventud</w:t>
      </w:r>
      <w:r>
        <w:t xml:space="preserve"> en </w:t>
      </w:r>
      <w:r>
        <w:rPr>
          <w:b/>
        </w:rPr>
        <w:t>todas las actividades del ámbito legal que les afecten</w:t>
      </w:r>
      <w:r>
        <w:t xml:space="preserve"> y que se involucre a la juventud en </w:t>
      </w:r>
      <w:r>
        <w:rPr>
          <w:b/>
        </w:rPr>
        <w:t>todas las fases del proceso de elaboración de políticas</w:t>
      </w:r>
      <w:r>
        <w:t xml:space="preserve">, desde la toma de decisiones hasta la aplicación y evaluación; </w:t>
      </w:r>
    </w:p>
    <w:p w:rsidRPr="003A4752" w:rsidR="003A4752" w:rsidP="0060010D" w:rsidRDefault="003A4752" w14:paraId="34D3A02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señala que los </w:t>
      </w:r>
      <w:r>
        <w:rPr>
          <w:b/>
        </w:rPr>
        <w:t>sistemas educativos deben</w:t>
      </w:r>
      <w:r>
        <w:t xml:space="preserve"> reforzar la </w:t>
      </w:r>
      <w:r>
        <w:rPr>
          <w:b/>
        </w:rPr>
        <w:t>promoción del compromiso cívico</w:t>
      </w:r>
      <w:r>
        <w:t xml:space="preserve"> mediante </w:t>
      </w:r>
      <w:r>
        <w:rPr>
          <w:b/>
        </w:rPr>
        <w:t>procesos participativos</w:t>
      </w:r>
      <w:r>
        <w:t xml:space="preserve"> y crear </w:t>
      </w:r>
      <w:r>
        <w:rPr>
          <w:b/>
        </w:rPr>
        <w:t>ecosistemas de apoyo</w:t>
      </w:r>
      <w:r>
        <w:t xml:space="preserve"> para la adquisición de conjuntos de capacidades adecuados que permitan que la juventud participe con confianza en los procesos institucionales;</w:t>
      </w:r>
    </w:p>
    <w:p w:rsidRPr="003A4752" w:rsidR="003A4752" w:rsidP="0060010D" w:rsidRDefault="003A4752" w14:paraId="35B3E4AA"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considera que </w:t>
      </w:r>
      <w:r>
        <w:rPr>
          <w:b/>
        </w:rPr>
        <w:t>las organizaciones de la sociedad civil y de los interlocutores sociales deberían</w:t>
      </w:r>
      <w:r>
        <w:t xml:space="preserve"> ir más allá en su </w:t>
      </w:r>
      <w:r>
        <w:rPr>
          <w:b/>
        </w:rPr>
        <w:t>apoyo a las personas jóvenes</w:t>
      </w:r>
      <w:r>
        <w:t xml:space="preserve">, ofreciendo </w:t>
      </w:r>
      <w:r>
        <w:rPr>
          <w:b/>
        </w:rPr>
        <w:t>talleres de desarrollo de capacidades</w:t>
      </w:r>
      <w:r>
        <w:t xml:space="preserve"> que faciliten su vinculación a los recursos y las oportunidades de participación; </w:t>
      </w:r>
    </w:p>
    <w:p w:rsidRPr="003A4752" w:rsidR="003A4752" w:rsidP="006A2182" w:rsidRDefault="003A4752" w14:paraId="51582832" w14:textId="77777777">
      <w:pPr>
        <w:keepNext/>
        <w:keepLines/>
        <w:numPr>
          <w:ilvl w:val="0"/>
          <w:numId w:val="43"/>
        </w:numPr>
        <w:tabs>
          <w:tab w:val="clear" w:pos="720"/>
        </w:tabs>
        <w:overflowPunct w:val="0"/>
        <w:autoSpaceDE w:val="0"/>
        <w:autoSpaceDN w:val="0"/>
        <w:adjustRightInd w:val="0"/>
        <w:ind w:left="567" w:hanging="567"/>
        <w:textAlignment w:val="baseline"/>
        <w:rPr>
          <w:bCs/>
          <w:iCs/>
        </w:rPr>
      </w:pPr>
      <w:r>
        <w:t xml:space="preserve">subraya </w:t>
      </w:r>
      <w:r>
        <w:rPr>
          <w:b/>
        </w:rPr>
        <w:t>la importancia de las actividades de investigación</w:t>
      </w:r>
      <w:r>
        <w:t xml:space="preserve"> centradas en </w:t>
      </w:r>
      <w:r>
        <w:rPr>
          <w:b/>
        </w:rPr>
        <w:t>la participación de la juventud en el mercado laboral, la educación, los procesos participativos</w:t>
      </w:r>
      <w:r>
        <w:t xml:space="preserve"> y la vida comunitaria; </w:t>
      </w:r>
    </w:p>
    <w:p w:rsidRPr="003A4752" w:rsidR="003A4752" w:rsidP="0060010D" w:rsidRDefault="003A4752" w14:paraId="3E0AE93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subraya que </w:t>
      </w:r>
      <w:r>
        <w:rPr>
          <w:b/>
        </w:rPr>
        <w:t>alentar a los trabajadores jóvenes</w:t>
      </w:r>
      <w:r>
        <w:t xml:space="preserve"> a que se involucren en </w:t>
      </w:r>
      <w:r>
        <w:rPr>
          <w:b/>
        </w:rPr>
        <w:t>la negociación colectiva</w:t>
      </w:r>
      <w:r>
        <w:t xml:space="preserve"> y establecer </w:t>
      </w:r>
      <w:r>
        <w:rPr>
          <w:b/>
        </w:rPr>
        <w:t>estructuras representativas orientadas a la juventud a nivel de empresa</w:t>
      </w:r>
      <w:r>
        <w:t xml:space="preserve"> es una forma eficaz de integrar la participación de los jóvenes en las estructuras de diálogo social;</w:t>
      </w:r>
    </w:p>
    <w:p w:rsidRPr="003A4752" w:rsidR="003A4752" w:rsidP="0060010D" w:rsidRDefault="003A4752" w14:paraId="43A1E821"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afirma que debe procurarse una mayor representación de las organizaciones juveniles y los consejos de la juventud en los debates con las autoridades estatales, </w:t>
      </w:r>
      <w:r>
        <w:rPr>
          <w:b/>
        </w:rPr>
        <w:t>reconociendo a los trabajadores en el ámbito de la juventud como agentes clave en los procesos de consulta</w:t>
      </w:r>
      <w:r>
        <w:t xml:space="preserve"> y proporcionándoles el espacio y los recursos necesarios para que contribuyan de manera efectiva;</w:t>
      </w:r>
    </w:p>
    <w:p w:rsidRPr="003A4752" w:rsidR="003A4752" w:rsidP="0060010D" w:rsidRDefault="003A4752" w14:paraId="4DE1EC8F"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subraya que los países mediterráneos se caracterizan a menudo por </w:t>
      </w:r>
      <w:r>
        <w:rPr>
          <w:b/>
        </w:rPr>
        <w:t>la ausencia de marcos que posibiliten un diálogo social eficaz</w:t>
      </w:r>
      <w:r>
        <w:t xml:space="preserve">, por lo que hace hincapié en la necesidad de </w:t>
      </w:r>
      <w:r>
        <w:rPr>
          <w:b/>
        </w:rPr>
        <w:t>reforzar el diálogo social</w:t>
      </w:r>
      <w:r>
        <w:t xml:space="preserve">, en concreto a escala </w:t>
      </w:r>
      <w:r>
        <w:rPr>
          <w:b/>
        </w:rPr>
        <w:t>nacional, sectorial y empresarial</w:t>
      </w:r>
      <w:r>
        <w:t xml:space="preserve"> mediante la aplicación </w:t>
      </w:r>
      <w:r>
        <w:lastRenderedPageBreak/>
        <w:t xml:space="preserve">integral de </w:t>
      </w:r>
      <w:r>
        <w:rPr>
          <w:b/>
        </w:rPr>
        <w:t>los convenios fundamentales de la Organización Internacional del Trabajo (OIT) sobre el diálogo social</w:t>
      </w:r>
      <w:r>
        <w:t>;</w:t>
      </w:r>
    </w:p>
    <w:p w:rsidRPr="003A4752" w:rsidR="003A4752" w:rsidP="0060010D" w:rsidRDefault="003A4752" w14:paraId="6F3D10E6"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pide a la Comisión Europea que apoye una tercera fase del </w:t>
      </w:r>
      <w:r>
        <w:rPr>
          <w:b/>
        </w:rPr>
        <w:t>proyecto Diálogo Social del Sur del Mediterráneo (SOLiD)</w:t>
      </w:r>
      <w:r>
        <w:t xml:space="preserve">, que debería aprovecharse para </w:t>
      </w:r>
      <w:r>
        <w:rPr>
          <w:b/>
        </w:rPr>
        <w:t>elaborar una Carta de la Juventud</w:t>
      </w:r>
      <w:r>
        <w:t xml:space="preserve"> y a la vez analizar el establecimiento de </w:t>
      </w:r>
      <w:r>
        <w:rPr>
          <w:b/>
        </w:rPr>
        <w:t>mecanismos consultivos centrados en la juventud</w:t>
      </w:r>
      <w:r>
        <w:t>.</w:t>
      </w:r>
    </w:p>
    <w:p w:rsidRPr="003A4752" w:rsidR="007B1DCA" w:rsidRDefault="007B1DCA" w14:paraId="1A78A7B9"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951"/>
        <w:gridCol w:w="7228"/>
      </w:tblGrid>
      <w:tr w:rsidRPr="00FA33C4" w:rsidR="003A4752" w:rsidTr="006A2182" w14:paraId="0620DBD9" w14:textId="77777777">
        <w:tc>
          <w:tcPr>
            <w:tcW w:w="1063" w:type="pct"/>
          </w:tcPr>
          <w:p w:rsidRPr="00FA33C4" w:rsidR="003A4752" w:rsidP="0060010D" w:rsidRDefault="003A4752" w14:paraId="05FFD1E7" w14:textId="77777777">
            <w:pPr>
              <w:overflowPunct w:val="0"/>
              <w:autoSpaceDE w:val="0"/>
              <w:autoSpaceDN w:val="0"/>
              <w:adjustRightInd w:val="0"/>
              <w:textAlignment w:val="baseline"/>
              <w:rPr>
                <w:i/>
                <w:sz w:val="20"/>
                <w:szCs w:val="20"/>
              </w:rPr>
            </w:pPr>
            <w:r>
              <w:rPr>
                <w:b/>
                <w:i/>
                <w:sz w:val="20"/>
              </w:rPr>
              <w:t>Contacto:</w:t>
            </w:r>
          </w:p>
        </w:tc>
        <w:tc>
          <w:tcPr>
            <w:tcW w:w="3937" w:type="pct"/>
          </w:tcPr>
          <w:p w:rsidRPr="00FA33C4" w:rsidR="003A4752" w:rsidP="0060010D" w:rsidRDefault="003A4752" w14:paraId="42245014" w14:textId="77777777">
            <w:pPr>
              <w:overflowPunct w:val="0"/>
              <w:autoSpaceDE w:val="0"/>
              <w:autoSpaceDN w:val="0"/>
              <w:adjustRightInd w:val="0"/>
              <w:textAlignment w:val="baseline"/>
              <w:rPr>
                <w:i/>
                <w:sz w:val="20"/>
                <w:szCs w:val="20"/>
              </w:rPr>
            </w:pPr>
            <w:r>
              <w:rPr>
                <w:i/>
                <w:sz w:val="20"/>
              </w:rPr>
              <w:t>Andreas Berger</w:t>
            </w:r>
          </w:p>
        </w:tc>
      </w:tr>
      <w:tr w:rsidRPr="00FA33C4" w:rsidR="003A4752" w:rsidTr="006A2182" w14:paraId="486C6D3D" w14:textId="77777777">
        <w:tc>
          <w:tcPr>
            <w:tcW w:w="1063" w:type="pct"/>
          </w:tcPr>
          <w:p w:rsidRPr="00FA33C4" w:rsidR="003A4752" w:rsidP="0060010D" w:rsidRDefault="003A4752" w14:paraId="359EB95F" w14:textId="77777777">
            <w:pPr>
              <w:overflowPunct w:val="0"/>
              <w:autoSpaceDE w:val="0"/>
              <w:autoSpaceDN w:val="0"/>
              <w:adjustRightInd w:val="0"/>
              <w:textAlignment w:val="baseline"/>
              <w:rPr>
                <w:i/>
                <w:sz w:val="20"/>
                <w:szCs w:val="20"/>
              </w:rPr>
            </w:pPr>
            <w:r>
              <w:rPr>
                <w:i/>
                <w:sz w:val="20"/>
              </w:rPr>
              <w:t>Teléfono:</w:t>
            </w:r>
          </w:p>
        </w:tc>
        <w:tc>
          <w:tcPr>
            <w:tcW w:w="3937" w:type="pct"/>
          </w:tcPr>
          <w:p w:rsidRPr="00FA33C4" w:rsidR="003A4752" w:rsidP="0060010D" w:rsidRDefault="003A4752" w14:paraId="253A4B6D" w14:textId="77777777">
            <w:pPr>
              <w:overflowPunct w:val="0"/>
              <w:autoSpaceDE w:val="0"/>
              <w:autoSpaceDN w:val="0"/>
              <w:adjustRightInd w:val="0"/>
              <w:textAlignment w:val="baseline"/>
              <w:rPr>
                <w:i/>
                <w:sz w:val="20"/>
                <w:szCs w:val="20"/>
              </w:rPr>
            </w:pPr>
            <w:r>
              <w:rPr>
                <w:i/>
                <w:sz w:val="20"/>
              </w:rPr>
              <w:t>+32 25469062</w:t>
            </w:r>
          </w:p>
        </w:tc>
      </w:tr>
      <w:tr w:rsidRPr="00FA33C4" w:rsidR="003A4752" w:rsidTr="006A2182" w14:paraId="081DE08D" w14:textId="77777777">
        <w:tc>
          <w:tcPr>
            <w:tcW w:w="1063" w:type="pct"/>
          </w:tcPr>
          <w:p w:rsidRPr="00FA33C4" w:rsidR="003A4752" w:rsidP="0060010D" w:rsidRDefault="003A4752" w14:paraId="02A7926F" w14:textId="77777777">
            <w:pPr>
              <w:overflowPunct w:val="0"/>
              <w:autoSpaceDE w:val="0"/>
              <w:autoSpaceDN w:val="0"/>
              <w:adjustRightInd w:val="0"/>
              <w:textAlignment w:val="baseline"/>
              <w:rPr>
                <w:i/>
                <w:sz w:val="20"/>
                <w:szCs w:val="20"/>
              </w:rPr>
            </w:pPr>
            <w:r>
              <w:rPr>
                <w:i/>
                <w:sz w:val="20"/>
              </w:rPr>
              <w:t>Correo electrónico:</w:t>
            </w:r>
          </w:p>
        </w:tc>
        <w:tc>
          <w:tcPr>
            <w:tcW w:w="3937" w:type="pct"/>
          </w:tcPr>
          <w:p w:rsidRPr="00FA33C4" w:rsidR="00B95DFE" w:rsidP="0060010D" w:rsidRDefault="0001176A" w14:paraId="71A9548F" w14:textId="2420701F">
            <w:pPr>
              <w:overflowPunct w:val="0"/>
              <w:autoSpaceDE w:val="0"/>
              <w:autoSpaceDN w:val="0"/>
              <w:adjustRightInd w:val="0"/>
              <w:textAlignment w:val="baseline"/>
              <w:rPr>
                <w:i/>
                <w:sz w:val="20"/>
                <w:szCs w:val="20"/>
              </w:rPr>
            </w:pPr>
            <w:hyperlink w:history="1" r:id="rId39">
              <w:r w:rsidR="00465FCD">
                <w:rPr>
                  <w:i/>
                  <w:color w:val="0000FF"/>
                  <w:sz w:val="20"/>
                  <w:u w:val="single"/>
                </w:rPr>
                <w:t>Andreas.Berger@eesc.europa.eu</w:t>
              </w:r>
            </w:hyperlink>
          </w:p>
        </w:tc>
      </w:tr>
    </w:tbl>
    <w:p w:rsidR="000D394D" w:rsidP="0060010D" w:rsidRDefault="00726351" w14:paraId="2E28EF19" w14:textId="12AC3A26">
      <w:pPr>
        <w:jc w:val="center"/>
      </w:pPr>
      <w:r>
        <w:t>_____________</w:t>
      </w:r>
    </w:p>
    <w:sectPr w:rsidR="000D394D" w:rsidSect="00EE160A">
      <w:headerReference w:type="even" r:id="rId40"/>
      <w:headerReference w:type="default" r:id="rId41"/>
      <w:footerReference w:type="even" r:id="rId42"/>
      <w:footerReference w:type="default" r:id="rId43"/>
      <w:headerReference w:type="first" r:id="rId44"/>
      <w:footerReference w:type="first" r:id="rId4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r w:rsidR="0001176A">
      <w:fldChar w:fldCharType="begin"/>
    </w:r>
    <w:r w:rsidR="0001176A">
      <w:instrText xml:space="preserve"> NUMPAGES </w:instrText>
    </w:r>
    <w:r w:rsidR="0001176A">
      <w:fldChar w:fldCharType="separate"/>
    </w:r>
    <w:r w:rsidR="0060010D">
      <w:t>1</w:t>
    </w:r>
    <w:r w:rsidR="0001176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r w:rsidR="0001176A">
      <w:fldChar w:fldCharType="begin"/>
    </w:r>
    <w:r w:rsidR="0001176A">
      <w:instrText xml:space="preserve"> NUMPAGES </w:instrText>
    </w:r>
    <w:r w:rsidR="0001176A">
      <w:fldChar w:fldCharType="separate"/>
    </w:r>
    <w:r>
      <w:t>20</w:t>
    </w:r>
    <w:r w:rsidR="0001176A">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C97AF652"/>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7A688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7E96C0B4"/>
    <w:lvl w:ilvl="0" w:tplc="72BE522E">
      <w:start w:val="1"/>
      <w:numFmt w:val="bullet"/>
      <w:lvlText w:val="-"/>
      <w:lvlJc w:val="left"/>
      <w:pPr>
        <w:ind w:left="720" w:hanging="360"/>
      </w:pPr>
      <w:rPr>
        <w:rFonts w:ascii="Times New Roman" w:hAnsi="Times New Roman" w:cs="Times New Roman"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D7E62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B37C1456"/>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176A"/>
    <w:rsid w:val="00037B17"/>
    <w:rsid w:val="00063DFF"/>
    <w:rsid w:val="000A6A5A"/>
    <w:rsid w:val="000B40B4"/>
    <w:rsid w:val="000D394D"/>
    <w:rsid w:val="000D43E1"/>
    <w:rsid w:val="000D533F"/>
    <w:rsid w:val="000E4936"/>
    <w:rsid w:val="00114D45"/>
    <w:rsid w:val="00116EE0"/>
    <w:rsid w:val="001208E1"/>
    <w:rsid w:val="00126764"/>
    <w:rsid w:val="00154A6C"/>
    <w:rsid w:val="00175F5A"/>
    <w:rsid w:val="001900C9"/>
    <w:rsid w:val="001C5762"/>
    <w:rsid w:val="001E391D"/>
    <w:rsid w:val="0020320E"/>
    <w:rsid w:val="00217685"/>
    <w:rsid w:val="00225BB6"/>
    <w:rsid w:val="00232656"/>
    <w:rsid w:val="00247F8B"/>
    <w:rsid w:val="002538AC"/>
    <w:rsid w:val="0027707F"/>
    <w:rsid w:val="00293191"/>
    <w:rsid w:val="002A5636"/>
    <w:rsid w:val="002B5786"/>
    <w:rsid w:val="002B7981"/>
    <w:rsid w:val="002E05A2"/>
    <w:rsid w:val="003066BE"/>
    <w:rsid w:val="00321FDD"/>
    <w:rsid w:val="003227CC"/>
    <w:rsid w:val="00343F74"/>
    <w:rsid w:val="00392B2D"/>
    <w:rsid w:val="003A4752"/>
    <w:rsid w:val="003C2964"/>
    <w:rsid w:val="003D4E67"/>
    <w:rsid w:val="003F326D"/>
    <w:rsid w:val="003F79EF"/>
    <w:rsid w:val="0041135D"/>
    <w:rsid w:val="00421AAB"/>
    <w:rsid w:val="004229C4"/>
    <w:rsid w:val="004255DD"/>
    <w:rsid w:val="0043191A"/>
    <w:rsid w:val="00435AEF"/>
    <w:rsid w:val="00444504"/>
    <w:rsid w:val="00465FCD"/>
    <w:rsid w:val="00486DAE"/>
    <w:rsid w:val="004A5CD7"/>
    <w:rsid w:val="004D7AC0"/>
    <w:rsid w:val="004E3508"/>
    <w:rsid w:val="004E411F"/>
    <w:rsid w:val="0052107B"/>
    <w:rsid w:val="00532089"/>
    <w:rsid w:val="005404CB"/>
    <w:rsid w:val="00577F95"/>
    <w:rsid w:val="00586B4B"/>
    <w:rsid w:val="00593C9F"/>
    <w:rsid w:val="005A0BDA"/>
    <w:rsid w:val="005A3D14"/>
    <w:rsid w:val="005A4C58"/>
    <w:rsid w:val="005B5258"/>
    <w:rsid w:val="005C66E1"/>
    <w:rsid w:val="005E7651"/>
    <w:rsid w:val="005F26F9"/>
    <w:rsid w:val="005F55DC"/>
    <w:rsid w:val="0060010D"/>
    <w:rsid w:val="00625CA3"/>
    <w:rsid w:val="00641262"/>
    <w:rsid w:val="00664434"/>
    <w:rsid w:val="0067428C"/>
    <w:rsid w:val="006A2182"/>
    <w:rsid w:val="006B21A0"/>
    <w:rsid w:val="006C0A65"/>
    <w:rsid w:val="006C533B"/>
    <w:rsid w:val="006C6ECE"/>
    <w:rsid w:val="006D16C7"/>
    <w:rsid w:val="006D2C8A"/>
    <w:rsid w:val="006D2D64"/>
    <w:rsid w:val="006E076C"/>
    <w:rsid w:val="006E2EF5"/>
    <w:rsid w:val="00720580"/>
    <w:rsid w:val="00726351"/>
    <w:rsid w:val="007448E4"/>
    <w:rsid w:val="00754027"/>
    <w:rsid w:val="007554BE"/>
    <w:rsid w:val="00766B1A"/>
    <w:rsid w:val="007A0BE6"/>
    <w:rsid w:val="007B1DCA"/>
    <w:rsid w:val="007C1ABC"/>
    <w:rsid w:val="007F5784"/>
    <w:rsid w:val="00832938"/>
    <w:rsid w:val="00840FC8"/>
    <w:rsid w:val="0084417F"/>
    <w:rsid w:val="008452C8"/>
    <w:rsid w:val="00845F24"/>
    <w:rsid w:val="00850929"/>
    <w:rsid w:val="0086679E"/>
    <w:rsid w:val="008761FA"/>
    <w:rsid w:val="0088219D"/>
    <w:rsid w:val="00892F37"/>
    <w:rsid w:val="008B5FC5"/>
    <w:rsid w:val="008C7452"/>
    <w:rsid w:val="008D05C8"/>
    <w:rsid w:val="008D3144"/>
    <w:rsid w:val="008D44E2"/>
    <w:rsid w:val="0090254F"/>
    <w:rsid w:val="009144BA"/>
    <w:rsid w:val="00941874"/>
    <w:rsid w:val="0094356F"/>
    <w:rsid w:val="00945147"/>
    <w:rsid w:val="009B04E2"/>
    <w:rsid w:val="00A073FB"/>
    <w:rsid w:val="00A20E9D"/>
    <w:rsid w:val="00A272B2"/>
    <w:rsid w:val="00A30FAD"/>
    <w:rsid w:val="00A33529"/>
    <w:rsid w:val="00A50553"/>
    <w:rsid w:val="00A5081E"/>
    <w:rsid w:val="00A512D0"/>
    <w:rsid w:val="00A71030"/>
    <w:rsid w:val="00A94349"/>
    <w:rsid w:val="00AA4665"/>
    <w:rsid w:val="00AC7540"/>
    <w:rsid w:val="00AE5791"/>
    <w:rsid w:val="00AF6DC1"/>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8173B"/>
    <w:rsid w:val="00C821A5"/>
    <w:rsid w:val="00D24919"/>
    <w:rsid w:val="00D26CB8"/>
    <w:rsid w:val="00D43613"/>
    <w:rsid w:val="00D63232"/>
    <w:rsid w:val="00D66820"/>
    <w:rsid w:val="00D7076A"/>
    <w:rsid w:val="00D7172A"/>
    <w:rsid w:val="00D81F5E"/>
    <w:rsid w:val="00D92269"/>
    <w:rsid w:val="00DC329C"/>
    <w:rsid w:val="00DE176A"/>
    <w:rsid w:val="00DE7710"/>
    <w:rsid w:val="00E00A6B"/>
    <w:rsid w:val="00E13806"/>
    <w:rsid w:val="00E16E3C"/>
    <w:rsid w:val="00E57BB9"/>
    <w:rsid w:val="00E77899"/>
    <w:rsid w:val="00EA1912"/>
    <w:rsid w:val="00EA3596"/>
    <w:rsid w:val="00EA4B0A"/>
    <w:rsid w:val="00EB5E2E"/>
    <w:rsid w:val="00EB629E"/>
    <w:rsid w:val="00EC0F9A"/>
    <w:rsid w:val="00EE160A"/>
    <w:rsid w:val="00EF40DB"/>
    <w:rsid w:val="00F02BB5"/>
    <w:rsid w:val="00F54496"/>
    <w:rsid w:val="00F70422"/>
    <w:rsid w:val="00F83C17"/>
    <w:rsid w:val="00F94E40"/>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mailto:Maja.Radman@eesc.europa.eu" TargetMode="External"/><Relationship Id="rId39" Type="http://schemas.openxmlformats.org/officeDocument/2006/relationships/hyperlink" Target="mailto:Andreas.Berger@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https://www.eesc.europa.eu/es/our-work/opinions-information-reports/opinions/conservation-fish-stocks-relation-countries-allowing-non-sustainable-fishing" TargetMode="External"/><Relationship Id="rId42" Type="http://schemas.openxmlformats.org/officeDocument/2006/relationships/footer" Target="footer4.xml"/><Relationship Id="rId47" Type="http://schemas.openxmlformats.org/officeDocument/2006/relationships/theme" Target="theme/theme1.xml"/><Relationship Id="rId50"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https://www.eesc.europa.eu/es/our-work/opinions-information-reports/opinions/electric-vehicle-supply-equipment-compressed-gas-dispensers-and-electricity-gas-and-thermal-energy-meters" TargetMode="Externa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a.Dumitrache@eesc.europa.eu" TargetMode="External"/><Relationship Id="rId32" Type="http://schemas.openxmlformats.org/officeDocument/2006/relationships/hyperlink" Target="mailto:Annalisa.Tessarolo@eesc.europa.eu" TargetMode="External"/><Relationship Id="rId37" Type="http://schemas.openxmlformats.org/officeDocument/2006/relationships/hyperlink" Target="mailto:Maarit.Laurila@eesc.europa.eu" TargetMode="External"/><Relationship Id="rId40" Type="http://schemas.openxmlformats.org/officeDocument/2006/relationships/header" Target="header4.xml"/><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eesc.europa.eu/es/our-work/opinions-information-reports/opinions/pro-worker-ai-levers-harnessing-potential-and-mitigating-risks-ai-connection-employment-and-labour-market-policies" TargetMode="External"/><Relationship Id="rId28" Type="http://schemas.openxmlformats.org/officeDocument/2006/relationships/hyperlink" Target="mailto:Aleksandra.SarmanGrilc@eesc.europa.eu" TargetMode="External"/><Relationship Id="rId36" Type="http://schemas.openxmlformats.org/officeDocument/2006/relationships/hyperlink" Target="https://www.eesc.europa.eu/es/our-work/opinions-information-reports/opinions/developing-europes-strategy-arctic-2024-29-dialogue-civil-society" TargetMode="External"/><Relationship Id="rId49"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eesc.europa.eu/es/our-work/opinions-information-reports/opinions/how-support-social-economy-entities-line-state-aid-rules-thoughts-following-suggestions-enrico-lettas-report" TargetMode="External"/><Relationship Id="rId44" Type="http://schemas.openxmlformats.org/officeDocument/2006/relationships/header" Target="header6.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s/our-work/opinions-information-reports/opinions/evaluation-european-commissions-annual-reports-rule-law-european-union" TargetMode="External"/><Relationship Id="rId27" Type="http://schemas.openxmlformats.org/officeDocument/2006/relationships/hyperlink" Target="https://www.eesc.europa.eu/es/our-work/opinions-information-reports/opinions/towards-eu-maritime-strategy-navigating-future-through-coordinated-investment-policies-legislative-initiatives-social" TargetMode="External"/><Relationship Id="rId30" Type="http://schemas.openxmlformats.org/officeDocument/2006/relationships/hyperlink" Target="mailto:Alice.Tetu@eesc.europa.eu" TargetMode="External"/><Relationship Id="rId35" Type="http://schemas.openxmlformats.org/officeDocument/2006/relationships/hyperlink" Target="mailto:Nicolas.Stenger@eesc.europa.eu" TargetMode="External"/><Relationship Id="rId43" Type="http://schemas.openxmlformats.org/officeDocument/2006/relationships/footer" Target="footer5.xml"/><Relationship Id="rId48" Type="http://schemas.openxmlformats.org/officeDocument/2006/relationships/customXml" Target="../customXml/item1.xml"/><Relationship Id="rId8" Type="http://schemas.openxmlformats.org/officeDocument/2006/relationships/webSettings" Target="webSettings.xml"/><Relationship Id="rId51" Type="http://schemas.openxmlformats.org/officeDocument/2006/relationships/customXml" Target="../customXml/item4.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https://www.eesc.europa.eu/es/our-work/opinions-information-reports/opinions/future-supply-and-pricing-electricity-eu" TargetMode="External"/><Relationship Id="rId33" Type="http://schemas.openxmlformats.org/officeDocument/2006/relationships/hyperlink" Target="https://www.eesc.europa.eu/es/our-work/opinions-information-reports/opinions/competition-policy-heart-eus-competitiveness" TargetMode="External"/><Relationship Id="rId38" Type="http://schemas.openxmlformats.org/officeDocument/2006/relationships/hyperlink" Target="https://www.eesc.europa.eu/es/our-work/opinions-information-reports/opinions/youth-involvement-social-and-civil-dialogue-mediterranean-region" TargetMode="External"/><Relationship Id="rId46" Type="http://schemas.openxmlformats.org/officeDocument/2006/relationships/fontTable" Target="fontTable.xml"/><Relationship Id="rId20" Type="http://schemas.openxmlformats.org/officeDocument/2006/relationships/hyperlink" Target="https://www.eesc.europa.eu/es/our-work/opinions-information-reports/opinions/euro-area-economic-policy-2025" TargetMode="External"/><Relationship Id="rId4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F7M6YNZUATRX-1659962339-4653</_dlc_DocId>
    <_dlc_DocIdUrl xmlns="59ace41b-6786-4ce3-be71-52c27066c6ef">
      <Url>http://dm/eesc/2024/_layouts/15/DocIdRedir.aspx?ID=F7M6YNZUATRX-1659962339-4653</Url>
      <Description>F7M6YNZUATRX-1659962339-4653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2025-02-03T12:00:00+00:00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Gonzalez Vilchez Almudena</DisplayName>
        <AccountId>2032</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B3D35-5F6F-4077-925D-57C8FE542CEA}"/>
</file>

<file path=customXml/itemProps2.xml><?xml version="1.0" encoding="utf-8"?>
<ds:datastoreItem xmlns:ds="http://schemas.openxmlformats.org/officeDocument/2006/customXml" ds:itemID="{F6BF889E-CEE8-4EB0-B795-3A4AA9F76761}"/>
</file>

<file path=customXml/itemProps3.xml><?xml version="1.0" encoding="utf-8"?>
<ds:datastoreItem xmlns:ds="http://schemas.openxmlformats.org/officeDocument/2006/customXml" ds:itemID="{B6E28C2A-2AF3-4552-9B39-B881210FCE1B}"/>
</file>

<file path=customXml/itemProps4.xml><?xml version="1.0" encoding="utf-8"?>
<ds:datastoreItem xmlns:ds="http://schemas.openxmlformats.org/officeDocument/2006/customXml" ds:itemID="{16EDECB3-6C89-4AE6-975E-091E52ED06F1}"/>
</file>

<file path=docProps/app.xml><?xml version="1.0" encoding="utf-8"?>
<Properties xmlns="http://schemas.openxmlformats.org/officeDocument/2006/extended-properties" xmlns:vt="http://schemas.openxmlformats.org/officeDocument/2006/docPropsVTypes">
  <Template>Normal.dotm</Template>
  <TotalTime>0</TotalTime>
  <Pages>14</Pages>
  <Words>4572</Words>
  <Characters>26064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30575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Pleno 593 - Enero 2025</dc:title>
  <dc:subject>TCD</dc:subject>
  <dc:creator>Nieddu Emma</dc:creator>
  <cp:keywords>EESC-2024-04576-00-00-TCD-TRA-EN</cp:keywords>
  <dc:description>Rapporteur:  - Original language: EN - Date of document: 03/02/2025 - Date of meeting: 30/26/2025 14:30 - External documents:  - Administrator: MME TAMASAUSKIENE Julija</dc:description>
  <cp:lastModifiedBy>Gonzalez Vilchez Almudena</cp:lastModifiedBy>
  <cp:revision>27</cp:revision>
  <dcterms:created xsi:type="dcterms:W3CDTF">2025-01-29T15:08:00Z</dcterms:created>
  <dcterms:modified xsi:type="dcterms:W3CDTF">2025-02-03T08:34:00Z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94589045-60ea-4b2e-b521-6affcaacb0f4</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IT|0774613c-01ed-4e5d-a25d-11d2388de825;FR|d2afafd3-4c81-4f60-8f52-ee33f2f54ff3;PL|1e03da61-4678-4e07-b136-b5024ca9197b;EN|f2175f21-25d7-44a3-96da-d6a61b075e1b;PT|50ccc04a-eadd-42ae-a0cb-acaf45f812ba;DA|5d49c027-8956-412b-aa16-e85a0f96ad0e;SL|98a412ae-eb01-49e9-ae3d-585a81724cfc;LT|a7ff5ce7-6123-4f68-865a-a57c31810414;SV|c2ed69e7-a339-43d7-8f22-d93680a92aa0;DE|f6b31e5a-26fa-4935-b661-318e46daf27e</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36;#PT|50ccc04a-eadd-42ae-a0cb-acaf45f812ba;#34;#LT|a7ff5ce7-6123-4f68-865a-a57c31810414;#27;#SL|98a412ae-eb01-49e9-ae3d-585a81724cfc;#25;#DE|f6b31e5a-26fa-4935-b661-318e46daf27e;#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24;#ES|e7a6b05b-ae16-40c8-add9-68b64b03aeba</vt:lpwstr>
  </property>
</Properties>
</file>