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7554BE" w:rsidRDefault="004B4D2E" w14:paraId="4982DD4D" w14:textId="6168B621">
      <w:pPr>
        <w:jc w:val="center"/>
      </w:pPr>
      <w:r>
        <w:rPr>
          <w:noProof/>
        </w:rPr>
        <w:drawing>
          <wp:inline distT="0" distB="0" distL="0" distR="0" wp14:anchorId="24F0EE0A" wp14:editId="245B661A">
            <wp:extent cx="1792605" cy="1239520"/>
            <wp:effectExtent l="0" t="0" r="0" b="0"/>
            <wp:docPr id="1" name="Picture 1" title="EESCLogo_DE"/>
            <wp:cNvGraphicFramePr/>
            <a:graphic xmlns:a="http://schemas.openxmlformats.org/drawingml/2006/main">
              <a:graphicData uri="http://schemas.openxmlformats.org/drawingml/2006/picture">
                <pic:pic xmlns:pic="http://schemas.openxmlformats.org/drawingml/2006/picture">
                  <pic:nvPicPr>
                    <pic:cNvPr id="1" name="Picture 1" title="EESCLogo_D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editId="09200328"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4D7AC0" w14:paraId="4982DE54" w14:textId="77777777">
                      <w:pPr>
                        <w:jc w:val="center"/>
                        <w:rPr>
                          <w:rFonts w:ascii="Arial" w:hAnsi="Arial" w:cs="Arial"/>
                          <w:b/>
                          <w:bCs/>
                          <w:sz w:val="48"/>
                        </w:rPr>
                      </w:pPr>
                      <w:r>
                        <w:rPr>
                          <w:rFonts w:ascii="Arial" w:hAnsi="Arial"/>
                          <w:b/>
                          <w:sz w:val="48"/>
                        </w:rPr>
                        <w:t>DE</w:t>
                      </w:r>
                    </w:p>
                  </w:txbxContent>
                </v:textbox>
                <w10:wrap anchorx="page" anchory="page"/>
              </v:shape>
            </w:pict>
          </mc:Fallback>
        </mc:AlternateContent>
      </w:r>
    </w:p>
    <w:p w:rsidR="004D7AC0" w:rsidP="007554BE" w:rsidRDefault="004D7AC0" w14:paraId="4982DD4E" w14:textId="77777777"/>
    <w:p w:rsidR="004D7AC0" w:rsidP="007554BE" w:rsidRDefault="004D7AC0" w14:paraId="4982DD4F" w14:textId="5BDAC6B5">
      <w:pPr>
        <w:jc w:val="right"/>
      </w:pPr>
      <w:r>
        <w:t>Brüssel, den 4. Februar 2025</w:t>
      </w:r>
    </w:p>
    <w:p w:rsidR="004D7AC0" w:rsidRDefault="004D7AC0" w14:paraId="4982DD50" w14:textId="77777777"/>
    <w:p w:rsidR="004D7AC0" w:rsidRDefault="004D7AC0" w14:paraId="4982DD51" w14:textId="77777777"/>
    <w:p w:rsidR="004D7AC0"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A73AFE" w:rsidRDefault="006C6ECE" w14:paraId="4982DD53" w14:textId="48249AC4">
            <w:pPr>
              <w:snapToGrid w:val="0"/>
              <w:jc w:val="center"/>
              <w:rPr>
                <w:szCs w:val="32"/>
              </w:rPr>
            </w:pPr>
            <w:r w:rsidRPr="00A73AFE">
              <w:rPr>
                <w:b/>
                <w:sz w:val="32"/>
              </w:rPr>
              <w:t>593. PLENARTAGUNG</w:t>
            </w:r>
          </w:p>
          <w:p w:rsidR="003066BE" w:rsidRDefault="003066BE" w14:paraId="4982DD54" w14:textId="77777777">
            <w:pPr>
              <w:snapToGrid w:val="0"/>
              <w:jc w:val="center"/>
              <w:rPr>
                <w:b/>
                <w:sz w:val="32"/>
                <w:szCs w:val="32"/>
              </w:rPr>
            </w:pPr>
          </w:p>
          <w:p w:rsidR="003066BE" w:rsidRDefault="00850929" w14:paraId="4982DD55" w14:textId="3F522473">
            <w:pPr>
              <w:snapToGrid w:val="0"/>
              <w:jc w:val="center"/>
              <w:rPr>
                <w:b/>
                <w:sz w:val="32"/>
                <w:szCs w:val="32"/>
              </w:rPr>
            </w:pPr>
            <w:r>
              <w:rPr>
                <w:b/>
                <w:sz w:val="32"/>
              </w:rPr>
              <w:t>22./23. Januar 2025</w:t>
            </w:r>
          </w:p>
          <w:p w:rsidR="003066BE" w:rsidRDefault="003066BE" w14:paraId="4982DD56" w14:textId="77777777">
            <w:pPr>
              <w:snapToGrid w:val="0"/>
              <w:jc w:val="center"/>
              <w:rPr>
                <w:b/>
                <w:sz w:val="32"/>
                <w:szCs w:val="32"/>
              </w:rPr>
            </w:pPr>
          </w:p>
          <w:p w:rsidRPr="0081153B" w:rsidR="004D7AC0" w:rsidRDefault="00754027" w14:paraId="4982DD57" w14:textId="5A35E792">
            <w:pPr>
              <w:snapToGrid w:val="0"/>
              <w:jc w:val="center"/>
              <w:rPr>
                <w:rFonts w:eastAsia="MS Mincho"/>
                <w:b/>
                <w:sz w:val="32"/>
                <w:szCs w:val="32"/>
              </w:rPr>
            </w:pPr>
            <w:r>
              <w:rPr>
                <w:b/>
                <w:sz w:val="32"/>
              </w:rPr>
              <w:t>ZUSAMMENFASSUNG DER VERABSCHIEDETEN STELLUNGNAHMEN, ENTSCHLIEẞUNGEN UND INFORMATIONS-/BEWERTUNGSBERICHTE</w:t>
            </w:r>
          </w:p>
          <w:p w:rsidR="004D7AC0"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726351" w:rsidRDefault="004D7AC0" w14:paraId="05F5C867" w14:textId="77777777">
            <w:pPr>
              <w:snapToGrid w:val="0"/>
              <w:jc w:val="center"/>
            </w:pPr>
            <w:r>
              <w:t>Dieses Dokument kann in allen Amtssprachen der Europäischen Union auf dem EWSA-Internetportal abgerufen werden:</w:t>
            </w:r>
          </w:p>
          <w:p w:rsidR="00726351" w:rsidRDefault="00726351" w14:paraId="65F2BC50" w14:textId="77777777">
            <w:pPr>
              <w:snapToGrid w:val="0"/>
              <w:jc w:val="center"/>
            </w:pPr>
          </w:p>
          <w:p w:rsidRPr="0081153B" w:rsidR="004D7AC0" w:rsidRDefault="001201F9" w14:paraId="4982DD5A" w14:textId="4D4D220C">
            <w:pPr>
              <w:snapToGrid w:val="0"/>
              <w:jc w:val="center"/>
            </w:pPr>
            <w:hyperlink w:history="1" r:id="rId12">
              <w:r w:rsidR="004B4D2E">
                <w:rPr>
                  <w:rStyle w:val="Hyperlink"/>
                </w:rPr>
                <w:t>https://www.eesc.europa.eu/de/our-work/opinions-information-reports/plenary-session-summaries</w:t>
              </w:r>
            </w:hyperlink>
          </w:p>
          <w:p w:rsidRPr="0081153B" w:rsidR="004D7AC0" w:rsidRDefault="004D7AC0" w14:paraId="4982DD5B" w14:textId="77777777">
            <w:pPr>
              <w:snapToGrid w:val="0"/>
              <w:jc w:val="center"/>
            </w:pPr>
          </w:p>
          <w:p w:rsidRPr="0081153B" w:rsidR="004D7AC0" w:rsidRDefault="004D7AC0" w14:paraId="4982DD5C" w14:textId="77777777">
            <w:pPr>
              <w:snapToGrid w:val="0"/>
              <w:jc w:val="center"/>
              <w:rPr>
                <w:rFonts w:eastAsia="SimSun"/>
              </w:rPr>
            </w:pPr>
          </w:p>
          <w:p w:rsidR="00726351" w:rsidRDefault="004D7AC0" w14:paraId="64A40D96" w14:textId="77777777">
            <w:pPr>
              <w:snapToGrid w:val="0"/>
              <w:jc w:val="center"/>
            </w:pPr>
            <w:r>
              <w:t>Die aufgeführten Stellungnahmen können online über die Suchmaschine des EWSA abgerufen werden:</w:t>
            </w:r>
          </w:p>
          <w:p w:rsidR="00726351" w:rsidRDefault="00726351" w14:paraId="0E196128" w14:textId="77777777">
            <w:pPr>
              <w:snapToGrid w:val="0"/>
              <w:jc w:val="center"/>
            </w:pPr>
          </w:p>
          <w:p w:rsidRPr="00044561" w:rsidR="004D7AC0" w:rsidRDefault="001201F9" w14:paraId="4982DD5D" w14:textId="23201122">
            <w:pPr>
              <w:snapToGrid w:val="0"/>
              <w:jc w:val="center"/>
            </w:pPr>
            <w:hyperlink w:history="1" r:id="rId13">
              <w:r w:rsidR="004B4D2E">
                <w:rPr>
                  <w:rStyle w:val="Hyperlink"/>
                </w:rPr>
                <w:t>https://dmsearch.eesc.europa.eu/search/opinion</w:t>
              </w:r>
            </w:hyperlink>
          </w:p>
          <w:p w:rsidRPr="00044561" w:rsidR="004D7AC0" w:rsidRDefault="004D7AC0" w14:paraId="4982DD5E" w14:textId="77777777">
            <w:pPr>
              <w:snapToGrid w:val="0"/>
              <w:jc w:val="center"/>
            </w:pPr>
          </w:p>
        </w:tc>
      </w:tr>
    </w:tbl>
    <w:p w:rsidR="004D7AC0" w:rsidRDefault="004D7AC0" w14:paraId="4982DD60" w14:textId="77777777"/>
    <w:p w:rsidR="004D7AC0" w:rsidRDefault="004D7AC0" w14:paraId="4982DD61" w14:textId="77777777"/>
    <w:p w:rsidR="004D7AC0" w:rsidRDefault="004D7AC0" w14:paraId="4982DD62" w14:textId="77777777">
      <w:pPr>
        <w:sectPr w:rsidR="004D7AC0" w:rsidSect="00EE160A">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A81AFE" w:rsidR="004D7AC0" w:rsidRDefault="004D7AC0" w14:paraId="4982DD63" w14:textId="77777777">
      <w:pPr>
        <w:rPr>
          <w:b/>
        </w:rPr>
      </w:pPr>
      <w:r>
        <w:rPr>
          <w:b/>
        </w:rPr>
        <w:lastRenderedPageBreak/>
        <w:t>Inhalt</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60010D" w:rsidRDefault="004D7AC0" w14:paraId="4982DD64" w14:textId="77777777">
          <w:pPr>
            <w:pStyle w:val="TOCHeading"/>
            <w:spacing w:before="0" w:line="288" w:lineRule="auto"/>
            <w:rPr>
              <w:rFonts w:ascii="Times New Roman" w:hAnsi="Times New Roman" w:cs="Times New Roman"/>
              <w:color w:val="auto"/>
              <w:sz w:val="22"/>
              <w:szCs w:val="22"/>
            </w:rPr>
          </w:pPr>
        </w:p>
        <w:p w:rsidR="00A73AFE" w:rsidP="00A73AFE" w:rsidRDefault="004D7AC0" w14:paraId="2F1A6FE9" w14:textId="45C70862">
          <w:pPr>
            <w:pStyle w:val="TOC1"/>
            <w:tabs>
              <w:tab w:val="left" w:pos="440"/>
              <w:tab w:val="right" w:leader="dot" w:pos="9063"/>
            </w:tabs>
            <w:ind w:left="440" w:hanging="440"/>
            <w:rPr>
              <w:rFonts w:asciiTheme="minorHAnsi" w:hAnsiTheme="minorHAnsi" w:eastAsiaTheme="minorEastAsia" w:cstheme="minorBidi"/>
              <w:noProof/>
              <w:lang w:val="en-BE" w:eastAsia="en-BE"/>
            </w:rPr>
          </w:pPr>
          <w:r>
            <w:fldChar w:fldCharType="begin"/>
          </w:r>
          <w:r>
            <w:instrText xml:space="preserve"> TOC \o "1-3" \h \z \u </w:instrText>
          </w:r>
          <w:r>
            <w:fldChar w:fldCharType="separate"/>
          </w:r>
          <w:hyperlink w:history="1" w:anchor="_Toc189140685">
            <w:r w:rsidRPr="002705C6" w:rsidR="00A73AFE">
              <w:rPr>
                <w:rStyle w:val="Hyperlink"/>
                <w:bCs/>
                <w:noProof/>
              </w:rPr>
              <w:t>1.</w:t>
            </w:r>
            <w:r w:rsidR="00A73AFE">
              <w:rPr>
                <w:rFonts w:asciiTheme="minorHAnsi" w:hAnsiTheme="minorHAnsi" w:eastAsiaTheme="minorEastAsia" w:cstheme="minorBidi"/>
                <w:noProof/>
                <w:lang w:val="en-BE" w:eastAsia="en-BE"/>
              </w:rPr>
              <w:tab/>
            </w:r>
            <w:r w:rsidRPr="002705C6" w:rsidR="00A73AFE">
              <w:rPr>
                <w:rStyle w:val="Hyperlink"/>
                <w:b/>
                <w:noProof/>
              </w:rPr>
              <w:t>WIRTSCHAFTS- UND WÄHRUNGSUNION, WIRTSCHAFTLICHER UND SOZIALER ZUSAMMENHALT</w:t>
            </w:r>
            <w:r w:rsidR="00A73AFE">
              <w:rPr>
                <w:noProof/>
                <w:webHidden/>
              </w:rPr>
              <w:tab/>
            </w:r>
            <w:r w:rsidR="00A73AFE">
              <w:rPr>
                <w:noProof/>
                <w:webHidden/>
              </w:rPr>
              <w:fldChar w:fldCharType="begin"/>
            </w:r>
            <w:r w:rsidR="00A73AFE">
              <w:rPr>
                <w:noProof/>
                <w:webHidden/>
              </w:rPr>
              <w:instrText xml:space="preserve"> PAGEREF _Toc189140685 \h </w:instrText>
            </w:r>
            <w:r w:rsidR="00A73AFE">
              <w:rPr>
                <w:noProof/>
                <w:webHidden/>
              </w:rPr>
            </w:r>
            <w:r w:rsidR="00A73AFE">
              <w:rPr>
                <w:noProof/>
                <w:webHidden/>
              </w:rPr>
              <w:fldChar w:fldCharType="separate"/>
            </w:r>
            <w:r w:rsidR="003358E7">
              <w:rPr>
                <w:noProof/>
                <w:webHidden/>
              </w:rPr>
              <w:t>3</w:t>
            </w:r>
            <w:r w:rsidR="00A73AFE">
              <w:rPr>
                <w:noProof/>
                <w:webHidden/>
              </w:rPr>
              <w:fldChar w:fldCharType="end"/>
            </w:r>
          </w:hyperlink>
        </w:p>
        <w:p w:rsidR="00A73AFE" w:rsidRDefault="001201F9" w14:paraId="24441A2F" w14:textId="305CF47F">
          <w:pPr>
            <w:pStyle w:val="TOC1"/>
            <w:tabs>
              <w:tab w:val="left" w:pos="440"/>
              <w:tab w:val="right" w:leader="dot" w:pos="9063"/>
            </w:tabs>
            <w:rPr>
              <w:rFonts w:asciiTheme="minorHAnsi" w:hAnsiTheme="minorHAnsi" w:eastAsiaTheme="minorEastAsia" w:cstheme="minorBidi"/>
              <w:noProof/>
              <w:lang w:val="en-BE" w:eastAsia="en-BE"/>
            </w:rPr>
          </w:pPr>
          <w:hyperlink w:history="1" w:anchor="_Toc189140686">
            <w:r w:rsidRPr="002705C6" w:rsidR="00A73AFE">
              <w:rPr>
                <w:rStyle w:val="Hyperlink"/>
                <w:bCs/>
                <w:noProof/>
              </w:rPr>
              <w:t>2.</w:t>
            </w:r>
            <w:r w:rsidR="00A73AFE">
              <w:rPr>
                <w:rFonts w:asciiTheme="minorHAnsi" w:hAnsiTheme="minorHAnsi" w:eastAsiaTheme="minorEastAsia" w:cstheme="minorBidi"/>
                <w:noProof/>
                <w:lang w:val="en-BE" w:eastAsia="en-BE"/>
              </w:rPr>
              <w:tab/>
            </w:r>
            <w:r w:rsidRPr="002705C6" w:rsidR="00A73AFE">
              <w:rPr>
                <w:rStyle w:val="Hyperlink"/>
                <w:b/>
                <w:noProof/>
              </w:rPr>
              <w:t>BESCHÄFTIGUNG, SOZIALFRAGEN, UNIONSBÜRGERSCHAFT</w:t>
            </w:r>
            <w:r w:rsidR="00A73AFE">
              <w:rPr>
                <w:noProof/>
                <w:webHidden/>
              </w:rPr>
              <w:tab/>
            </w:r>
            <w:r w:rsidR="00A73AFE">
              <w:rPr>
                <w:noProof/>
                <w:webHidden/>
              </w:rPr>
              <w:fldChar w:fldCharType="begin"/>
            </w:r>
            <w:r w:rsidR="00A73AFE">
              <w:rPr>
                <w:noProof/>
                <w:webHidden/>
              </w:rPr>
              <w:instrText xml:space="preserve"> PAGEREF _Toc189140686 \h </w:instrText>
            </w:r>
            <w:r w:rsidR="00A73AFE">
              <w:rPr>
                <w:noProof/>
                <w:webHidden/>
              </w:rPr>
            </w:r>
            <w:r w:rsidR="00A73AFE">
              <w:rPr>
                <w:noProof/>
                <w:webHidden/>
              </w:rPr>
              <w:fldChar w:fldCharType="separate"/>
            </w:r>
            <w:r w:rsidR="003358E7">
              <w:rPr>
                <w:noProof/>
                <w:webHidden/>
              </w:rPr>
              <w:t>5</w:t>
            </w:r>
            <w:r w:rsidR="00A73AFE">
              <w:rPr>
                <w:noProof/>
                <w:webHidden/>
              </w:rPr>
              <w:fldChar w:fldCharType="end"/>
            </w:r>
          </w:hyperlink>
        </w:p>
        <w:p w:rsidR="00A73AFE" w:rsidRDefault="001201F9" w14:paraId="63AD3D10" w14:textId="602AAE95">
          <w:pPr>
            <w:pStyle w:val="TOC1"/>
            <w:tabs>
              <w:tab w:val="left" w:pos="440"/>
              <w:tab w:val="right" w:leader="dot" w:pos="9063"/>
            </w:tabs>
            <w:rPr>
              <w:rFonts w:asciiTheme="minorHAnsi" w:hAnsiTheme="minorHAnsi" w:eastAsiaTheme="minorEastAsia" w:cstheme="minorBidi"/>
              <w:noProof/>
              <w:lang w:val="en-BE" w:eastAsia="en-BE"/>
            </w:rPr>
          </w:pPr>
          <w:hyperlink w:history="1" w:anchor="_Toc189140687">
            <w:r w:rsidRPr="002705C6" w:rsidR="00A73AFE">
              <w:rPr>
                <w:rStyle w:val="Hyperlink"/>
                <w:bCs/>
                <w:noProof/>
              </w:rPr>
              <w:t>3.</w:t>
            </w:r>
            <w:r w:rsidR="00A73AFE">
              <w:rPr>
                <w:rFonts w:asciiTheme="minorHAnsi" w:hAnsiTheme="minorHAnsi" w:eastAsiaTheme="minorEastAsia" w:cstheme="minorBidi"/>
                <w:noProof/>
                <w:lang w:val="en-BE" w:eastAsia="en-BE"/>
              </w:rPr>
              <w:tab/>
            </w:r>
            <w:r w:rsidRPr="002705C6" w:rsidR="00A73AFE">
              <w:rPr>
                <w:rStyle w:val="Hyperlink"/>
                <w:b/>
                <w:noProof/>
              </w:rPr>
              <w:t>VERKEHR, ENERGIE, INFRASTRUKTUREN, INFORMATIONSGESELLSCHAFT</w:t>
            </w:r>
            <w:r w:rsidR="00A73AFE">
              <w:rPr>
                <w:noProof/>
                <w:webHidden/>
              </w:rPr>
              <w:tab/>
            </w:r>
            <w:r w:rsidR="00A73AFE">
              <w:rPr>
                <w:noProof/>
                <w:webHidden/>
              </w:rPr>
              <w:fldChar w:fldCharType="begin"/>
            </w:r>
            <w:r w:rsidR="00A73AFE">
              <w:rPr>
                <w:noProof/>
                <w:webHidden/>
              </w:rPr>
              <w:instrText xml:space="preserve"> PAGEREF _Toc189140687 \h </w:instrText>
            </w:r>
            <w:r w:rsidR="00A73AFE">
              <w:rPr>
                <w:noProof/>
                <w:webHidden/>
              </w:rPr>
            </w:r>
            <w:r w:rsidR="00A73AFE">
              <w:rPr>
                <w:noProof/>
                <w:webHidden/>
              </w:rPr>
              <w:fldChar w:fldCharType="separate"/>
            </w:r>
            <w:r w:rsidR="003358E7">
              <w:rPr>
                <w:noProof/>
                <w:webHidden/>
              </w:rPr>
              <w:t>8</w:t>
            </w:r>
            <w:r w:rsidR="00A73AFE">
              <w:rPr>
                <w:noProof/>
                <w:webHidden/>
              </w:rPr>
              <w:fldChar w:fldCharType="end"/>
            </w:r>
          </w:hyperlink>
        </w:p>
        <w:p w:rsidR="00A73AFE" w:rsidRDefault="001201F9" w14:paraId="080C6D4D" w14:textId="20F9752E">
          <w:pPr>
            <w:pStyle w:val="TOC1"/>
            <w:tabs>
              <w:tab w:val="left" w:pos="440"/>
              <w:tab w:val="right" w:leader="dot" w:pos="9063"/>
            </w:tabs>
            <w:rPr>
              <w:rFonts w:asciiTheme="minorHAnsi" w:hAnsiTheme="minorHAnsi" w:eastAsiaTheme="minorEastAsia" w:cstheme="minorBidi"/>
              <w:noProof/>
              <w:lang w:val="en-BE" w:eastAsia="en-BE"/>
            </w:rPr>
          </w:pPr>
          <w:hyperlink w:history="1" w:anchor="_Toc189140688">
            <w:r w:rsidRPr="002705C6" w:rsidR="00A73AFE">
              <w:rPr>
                <w:rStyle w:val="Hyperlink"/>
                <w:bCs/>
                <w:noProof/>
              </w:rPr>
              <w:t>4.</w:t>
            </w:r>
            <w:r w:rsidR="00A73AFE">
              <w:rPr>
                <w:rFonts w:asciiTheme="minorHAnsi" w:hAnsiTheme="minorHAnsi" w:eastAsiaTheme="minorEastAsia" w:cstheme="minorBidi"/>
                <w:noProof/>
                <w:lang w:val="en-BE" w:eastAsia="en-BE"/>
              </w:rPr>
              <w:tab/>
            </w:r>
            <w:r w:rsidRPr="002705C6" w:rsidR="00A73AFE">
              <w:rPr>
                <w:rStyle w:val="Hyperlink"/>
                <w:b/>
                <w:noProof/>
              </w:rPr>
              <w:t>BINNENMARKT, PRODUKTION, VERBRAUCH</w:t>
            </w:r>
            <w:r w:rsidR="00A73AFE">
              <w:rPr>
                <w:noProof/>
                <w:webHidden/>
              </w:rPr>
              <w:tab/>
            </w:r>
            <w:r w:rsidR="00A73AFE">
              <w:rPr>
                <w:noProof/>
                <w:webHidden/>
              </w:rPr>
              <w:fldChar w:fldCharType="begin"/>
            </w:r>
            <w:r w:rsidR="00A73AFE">
              <w:rPr>
                <w:noProof/>
                <w:webHidden/>
              </w:rPr>
              <w:instrText xml:space="preserve"> PAGEREF _Toc189140688 \h </w:instrText>
            </w:r>
            <w:r w:rsidR="00A73AFE">
              <w:rPr>
                <w:noProof/>
                <w:webHidden/>
              </w:rPr>
            </w:r>
            <w:r w:rsidR="00A73AFE">
              <w:rPr>
                <w:noProof/>
                <w:webHidden/>
              </w:rPr>
              <w:fldChar w:fldCharType="separate"/>
            </w:r>
            <w:r w:rsidR="003358E7">
              <w:rPr>
                <w:noProof/>
                <w:webHidden/>
              </w:rPr>
              <w:t>10</w:t>
            </w:r>
            <w:r w:rsidR="00A73AFE">
              <w:rPr>
                <w:noProof/>
                <w:webHidden/>
              </w:rPr>
              <w:fldChar w:fldCharType="end"/>
            </w:r>
          </w:hyperlink>
        </w:p>
        <w:p w:rsidR="00A73AFE" w:rsidRDefault="001201F9" w14:paraId="5FC9D852" w14:textId="611D7B68">
          <w:pPr>
            <w:pStyle w:val="TOC1"/>
            <w:tabs>
              <w:tab w:val="left" w:pos="440"/>
              <w:tab w:val="right" w:leader="dot" w:pos="9063"/>
            </w:tabs>
            <w:rPr>
              <w:rFonts w:asciiTheme="minorHAnsi" w:hAnsiTheme="minorHAnsi" w:eastAsiaTheme="minorEastAsia" w:cstheme="minorBidi"/>
              <w:noProof/>
              <w:lang w:val="en-BE" w:eastAsia="en-BE"/>
            </w:rPr>
          </w:pPr>
          <w:hyperlink w:history="1" w:anchor="_Toc189140689">
            <w:r w:rsidRPr="002705C6" w:rsidR="00A73AFE">
              <w:rPr>
                <w:rStyle w:val="Hyperlink"/>
                <w:bCs/>
                <w:noProof/>
              </w:rPr>
              <w:t>5.</w:t>
            </w:r>
            <w:r w:rsidR="00A73AFE">
              <w:rPr>
                <w:rFonts w:asciiTheme="minorHAnsi" w:hAnsiTheme="minorHAnsi" w:eastAsiaTheme="minorEastAsia" w:cstheme="minorBidi"/>
                <w:noProof/>
                <w:lang w:val="en-BE" w:eastAsia="en-BE"/>
              </w:rPr>
              <w:tab/>
            </w:r>
            <w:r w:rsidRPr="002705C6" w:rsidR="00A73AFE">
              <w:rPr>
                <w:rStyle w:val="Hyperlink"/>
                <w:b/>
                <w:noProof/>
              </w:rPr>
              <w:t>LANDWIRTSCHAFT, LÄNDLICHE ENTWICKLUNG, UMWELT</w:t>
            </w:r>
            <w:r w:rsidR="00A73AFE">
              <w:rPr>
                <w:noProof/>
                <w:webHidden/>
              </w:rPr>
              <w:tab/>
            </w:r>
            <w:r w:rsidR="00A73AFE">
              <w:rPr>
                <w:noProof/>
                <w:webHidden/>
              </w:rPr>
              <w:fldChar w:fldCharType="begin"/>
            </w:r>
            <w:r w:rsidR="00A73AFE">
              <w:rPr>
                <w:noProof/>
                <w:webHidden/>
              </w:rPr>
              <w:instrText xml:space="preserve"> PAGEREF _Toc189140689 \h </w:instrText>
            </w:r>
            <w:r w:rsidR="00A73AFE">
              <w:rPr>
                <w:noProof/>
                <w:webHidden/>
              </w:rPr>
            </w:r>
            <w:r w:rsidR="00A73AFE">
              <w:rPr>
                <w:noProof/>
                <w:webHidden/>
              </w:rPr>
              <w:fldChar w:fldCharType="separate"/>
            </w:r>
            <w:r w:rsidR="003358E7">
              <w:rPr>
                <w:noProof/>
                <w:webHidden/>
              </w:rPr>
              <w:t>13</w:t>
            </w:r>
            <w:r w:rsidR="00A73AFE">
              <w:rPr>
                <w:noProof/>
                <w:webHidden/>
              </w:rPr>
              <w:fldChar w:fldCharType="end"/>
            </w:r>
          </w:hyperlink>
        </w:p>
        <w:p w:rsidR="00A73AFE" w:rsidRDefault="001201F9" w14:paraId="5D7CA837" w14:textId="627D74E3">
          <w:pPr>
            <w:pStyle w:val="TOC1"/>
            <w:tabs>
              <w:tab w:val="left" w:pos="440"/>
              <w:tab w:val="right" w:leader="dot" w:pos="9063"/>
            </w:tabs>
            <w:rPr>
              <w:rFonts w:asciiTheme="minorHAnsi" w:hAnsiTheme="minorHAnsi" w:eastAsiaTheme="minorEastAsia" w:cstheme="minorBidi"/>
              <w:noProof/>
              <w:lang w:val="en-BE" w:eastAsia="en-BE"/>
            </w:rPr>
          </w:pPr>
          <w:hyperlink w:history="1" w:anchor="_Toc189140690">
            <w:r w:rsidRPr="002705C6" w:rsidR="00A73AFE">
              <w:rPr>
                <w:rStyle w:val="Hyperlink"/>
                <w:bCs/>
                <w:noProof/>
              </w:rPr>
              <w:t>6.</w:t>
            </w:r>
            <w:r w:rsidR="00A73AFE">
              <w:rPr>
                <w:rFonts w:asciiTheme="minorHAnsi" w:hAnsiTheme="minorHAnsi" w:eastAsiaTheme="minorEastAsia" w:cstheme="minorBidi"/>
                <w:noProof/>
                <w:lang w:val="en-BE" w:eastAsia="en-BE"/>
              </w:rPr>
              <w:tab/>
            </w:r>
            <w:r w:rsidRPr="002705C6" w:rsidR="00A73AFE">
              <w:rPr>
                <w:rStyle w:val="Hyperlink"/>
                <w:b/>
                <w:noProof/>
              </w:rPr>
              <w:t>AUẞENBEZIEHUNGEN</w:t>
            </w:r>
            <w:r w:rsidR="00A73AFE">
              <w:rPr>
                <w:noProof/>
                <w:webHidden/>
              </w:rPr>
              <w:tab/>
            </w:r>
            <w:r w:rsidR="00A73AFE">
              <w:rPr>
                <w:noProof/>
                <w:webHidden/>
              </w:rPr>
              <w:fldChar w:fldCharType="begin"/>
            </w:r>
            <w:r w:rsidR="00A73AFE">
              <w:rPr>
                <w:noProof/>
                <w:webHidden/>
              </w:rPr>
              <w:instrText xml:space="preserve"> PAGEREF _Toc189140690 \h </w:instrText>
            </w:r>
            <w:r w:rsidR="00A73AFE">
              <w:rPr>
                <w:noProof/>
                <w:webHidden/>
              </w:rPr>
            </w:r>
            <w:r w:rsidR="00A73AFE">
              <w:rPr>
                <w:noProof/>
                <w:webHidden/>
              </w:rPr>
              <w:fldChar w:fldCharType="separate"/>
            </w:r>
            <w:r w:rsidR="003358E7">
              <w:rPr>
                <w:noProof/>
                <w:webHidden/>
              </w:rPr>
              <w:t>15</w:t>
            </w:r>
            <w:r w:rsidR="00A73AFE">
              <w:rPr>
                <w:noProof/>
                <w:webHidden/>
              </w:rPr>
              <w:fldChar w:fldCharType="end"/>
            </w:r>
          </w:hyperlink>
        </w:p>
        <w:p w:rsidR="004D7AC0" w:rsidRDefault="004D7AC0" w14:paraId="4982DD6A" w14:textId="124E2B70">
          <w:r>
            <w:rPr>
              <w:b/>
            </w:rPr>
            <w:fldChar w:fldCharType="end"/>
          </w:r>
        </w:p>
      </w:sdtContent>
    </w:sdt>
    <w:p w:rsidR="004D7AC0" w:rsidRDefault="004D7AC0" w14:paraId="4982DD6B" w14:textId="77777777"/>
    <w:p w:rsidR="004D7AC0" w:rsidP="0060010D" w:rsidRDefault="004D7AC0" w14:paraId="4982DD6C" w14:textId="77777777">
      <w:pPr>
        <w:jc w:val="left"/>
      </w:pPr>
      <w:r>
        <w:br w:type="page"/>
      </w:r>
    </w:p>
    <w:p w:rsidR="004D7AC0" w:rsidRDefault="004D7AC0" w14:paraId="4982DD6D" w14:textId="77777777">
      <w:pPr>
        <w:pStyle w:val="Heading1"/>
        <w:rPr>
          <w:b/>
        </w:rPr>
      </w:pPr>
      <w:bookmarkStart w:name="_Toc189140685" w:id="0"/>
      <w:r>
        <w:rPr>
          <w:b/>
        </w:rPr>
        <w:lastRenderedPageBreak/>
        <w:t>WIRTSCHAFTS- UND WÄHRUNGSUNION, WIRTSCHAFTLICHER UND SOZIALER ZUSAMMENHALT</w:t>
      </w:r>
      <w:bookmarkEnd w:id="0"/>
    </w:p>
    <w:p w:rsidR="004D7AC0" w:rsidRDefault="004D7AC0" w14:paraId="4982DD6E" w14:textId="77777777"/>
    <w:p w:rsidRPr="00116EE0" w:rsidR="00116EE0" w:rsidP="0060010D" w:rsidRDefault="001201F9" w14:paraId="687378ED" w14:textId="56C9F723">
      <w:pPr>
        <w:widowControl w:val="0"/>
        <w:numPr>
          <w:ilvl w:val="0"/>
          <w:numId w:val="4"/>
        </w:numPr>
        <w:overflowPunct w:val="0"/>
        <w:autoSpaceDE w:val="0"/>
        <w:autoSpaceDN w:val="0"/>
        <w:adjustRightInd w:val="0"/>
        <w:ind w:hanging="567"/>
        <w:textAlignment w:val="baseline"/>
        <w:rPr>
          <w:b/>
          <w:i/>
          <w:iCs/>
          <w:sz w:val="28"/>
          <w:szCs w:val="28"/>
        </w:rPr>
      </w:pPr>
      <w:hyperlink w:history="1" r:id="rId20">
        <w:r w:rsidR="00465FCD">
          <w:rPr>
            <w:b/>
            <w:i/>
            <w:color w:val="0000FF"/>
            <w:sz w:val="28"/>
            <w:u w:val="single"/>
          </w:rPr>
          <w:t>Wirtschaftspolitik des Euro-Währungsgebiets 2025</w:t>
        </w:r>
      </w:hyperlink>
    </w:p>
    <w:p w:rsidRPr="00116EE0" w:rsidR="00116EE0" w:rsidRDefault="00116EE0" w14:paraId="30F305D3" w14:textId="77777777">
      <w:pPr>
        <w:widowControl w:val="0"/>
        <w:overflowPunct w:val="0"/>
        <w:autoSpaceDE w:val="0"/>
        <w:autoSpaceDN w:val="0"/>
        <w:adjustRightInd w:val="0"/>
        <w:ind w:left="284"/>
        <w:textAlignment w:val="baseline"/>
        <w:rPr>
          <w:b/>
          <w:i/>
          <w:iCs/>
          <w:sz w:val="20"/>
          <w:szCs w:val="20"/>
          <w:lang w:val="it-IT"/>
        </w:rPr>
      </w:pPr>
    </w:p>
    <w:tbl>
      <w:tblPr>
        <w:tblW w:w="0" w:type="auto"/>
        <w:tblLook w:val="04A0" w:firstRow="1" w:lastRow="0" w:firstColumn="1" w:lastColumn="0" w:noHBand="0" w:noVBand="1"/>
      </w:tblPr>
      <w:tblGrid>
        <w:gridCol w:w="1938"/>
        <w:gridCol w:w="7351"/>
      </w:tblGrid>
      <w:tr w:rsidRPr="00FA33C4" w:rsidR="00116EE0" w:rsidTr="0060010D" w14:paraId="16FBB640" w14:textId="77777777">
        <w:tc>
          <w:tcPr>
            <w:tcW w:w="1701" w:type="dxa"/>
          </w:tcPr>
          <w:p w:rsidRPr="00FA33C4" w:rsidR="00116EE0" w:rsidRDefault="00116EE0" w14:paraId="24898722" w14:textId="1D1AF101">
            <w:pPr>
              <w:tabs>
                <w:tab w:val="center" w:pos="284"/>
              </w:tabs>
              <w:overflowPunct w:val="0"/>
              <w:autoSpaceDE w:val="0"/>
              <w:autoSpaceDN w:val="0"/>
              <w:adjustRightInd w:val="0"/>
              <w:ind w:left="266" w:hanging="266"/>
              <w:textAlignment w:val="baseline"/>
              <w:rPr>
                <w:b/>
                <w:sz w:val="20"/>
                <w:szCs w:val="20"/>
              </w:rPr>
            </w:pPr>
            <w:r>
              <w:rPr>
                <w:b/>
                <w:sz w:val="20"/>
              </w:rPr>
              <w:t>Berichterstatter</w:t>
            </w:r>
          </w:p>
        </w:tc>
        <w:tc>
          <w:tcPr>
            <w:tcW w:w="7479" w:type="dxa"/>
          </w:tcPr>
          <w:p w:rsidRPr="00FA33C4" w:rsidR="00116EE0" w:rsidRDefault="00116EE0" w14:paraId="0AD7E1BD" w14:textId="6403C7A4">
            <w:pPr>
              <w:tabs>
                <w:tab w:val="center" w:pos="284"/>
              </w:tabs>
              <w:overflowPunct w:val="0"/>
              <w:autoSpaceDE w:val="0"/>
              <w:autoSpaceDN w:val="0"/>
              <w:adjustRightInd w:val="0"/>
              <w:ind w:left="266" w:hanging="266"/>
              <w:textAlignment w:val="baseline"/>
              <w:rPr>
                <w:bCs/>
                <w:sz w:val="20"/>
                <w:szCs w:val="20"/>
              </w:rPr>
            </w:pPr>
            <w:r>
              <w:rPr>
                <w:sz w:val="20"/>
              </w:rPr>
              <w:t>Juraj SIPKO (Gruppe Organisationen der Zivilgesellschaft – SK)</w:t>
            </w:r>
          </w:p>
        </w:tc>
      </w:tr>
      <w:tr w:rsidRPr="00FA33C4" w:rsidR="00116EE0" w:rsidTr="0060010D" w14:paraId="6F5F7528" w14:textId="77777777">
        <w:tc>
          <w:tcPr>
            <w:tcW w:w="9180" w:type="dxa"/>
            <w:gridSpan w:val="2"/>
          </w:tcPr>
          <w:p w:rsidRPr="00FA33C4" w:rsidR="00116EE0" w:rsidP="0060010D" w:rsidRDefault="00116EE0" w14:paraId="518B7DA1" w14:textId="77777777">
            <w:pPr>
              <w:tabs>
                <w:tab w:val="center" w:pos="284"/>
              </w:tabs>
              <w:overflowPunct w:val="0"/>
              <w:autoSpaceDE w:val="0"/>
              <w:autoSpaceDN w:val="0"/>
              <w:adjustRightInd w:val="0"/>
              <w:ind w:left="266" w:hanging="266"/>
              <w:textAlignment w:val="baseline"/>
              <w:rPr>
                <w:sz w:val="20"/>
                <w:szCs w:val="20"/>
              </w:rPr>
            </w:pPr>
          </w:p>
        </w:tc>
      </w:tr>
      <w:tr w:rsidRPr="00FA33C4" w:rsidR="00116EE0" w:rsidTr="0060010D" w14:paraId="0C336C40" w14:textId="77777777">
        <w:tc>
          <w:tcPr>
            <w:tcW w:w="1701" w:type="dxa"/>
          </w:tcPr>
          <w:p w:rsidRPr="00FA33C4" w:rsidR="00116EE0" w:rsidRDefault="00116EE0" w14:paraId="3C1E8069" w14:textId="77777777">
            <w:pPr>
              <w:tabs>
                <w:tab w:val="center" w:pos="284"/>
              </w:tabs>
              <w:overflowPunct w:val="0"/>
              <w:autoSpaceDE w:val="0"/>
              <w:autoSpaceDN w:val="0"/>
              <w:adjustRightInd w:val="0"/>
              <w:ind w:left="266" w:hanging="266"/>
              <w:textAlignment w:val="baseline"/>
              <w:rPr>
                <w:b/>
                <w:sz w:val="20"/>
                <w:szCs w:val="20"/>
              </w:rPr>
            </w:pPr>
            <w:r>
              <w:rPr>
                <w:b/>
                <w:sz w:val="20"/>
              </w:rPr>
              <w:t>Referenzdokumente</w:t>
            </w:r>
          </w:p>
        </w:tc>
        <w:tc>
          <w:tcPr>
            <w:tcW w:w="7479" w:type="dxa"/>
          </w:tcPr>
          <w:p w:rsidRPr="00FA33C4" w:rsidR="00116EE0" w:rsidRDefault="00116EE0" w14:paraId="7930FFCD" w14:textId="77777777">
            <w:pPr>
              <w:tabs>
                <w:tab w:val="center" w:pos="284"/>
              </w:tabs>
              <w:overflowPunct w:val="0"/>
              <w:autoSpaceDE w:val="0"/>
              <w:autoSpaceDN w:val="0"/>
              <w:adjustRightInd w:val="0"/>
              <w:ind w:left="266" w:hanging="266"/>
              <w:textAlignment w:val="baseline"/>
              <w:rPr>
                <w:sz w:val="20"/>
                <w:szCs w:val="20"/>
              </w:rPr>
            </w:pPr>
            <w:r>
              <w:rPr>
                <w:sz w:val="20"/>
              </w:rPr>
              <w:t>COM(2024) 704 final</w:t>
            </w:r>
          </w:p>
          <w:p w:rsidRPr="00FA33C4" w:rsidR="00116EE0" w:rsidRDefault="00116EE0" w14:paraId="67D25C7F" w14:textId="000ECDB3">
            <w:pPr>
              <w:tabs>
                <w:tab w:val="center" w:pos="284"/>
              </w:tabs>
              <w:overflowPunct w:val="0"/>
              <w:autoSpaceDE w:val="0"/>
              <w:autoSpaceDN w:val="0"/>
              <w:adjustRightInd w:val="0"/>
              <w:ind w:left="266" w:hanging="266"/>
              <w:textAlignment w:val="baseline"/>
              <w:rPr>
                <w:sz w:val="20"/>
                <w:szCs w:val="20"/>
              </w:rPr>
            </w:pPr>
            <w:r>
              <w:rPr>
                <w:sz w:val="20"/>
              </w:rPr>
              <w:t>EESC-2024-03910-00-00-AC</w:t>
            </w:r>
          </w:p>
        </w:tc>
      </w:tr>
    </w:tbl>
    <w:p w:rsidR="007554BE" w:rsidP="007554BE" w:rsidRDefault="007554BE" w14:paraId="206FC47C" w14:textId="77777777">
      <w:pPr>
        <w:keepNext/>
        <w:keepLines/>
        <w:tabs>
          <w:tab w:val="center" w:pos="284"/>
        </w:tabs>
        <w:overflowPunct w:val="0"/>
        <w:autoSpaceDE w:val="0"/>
        <w:autoSpaceDN w:val="0"/>
        <w:adjustRightInd w:val="0"/>
        <w:ind w:left="266" w:hanging="266"/>
        <w:textAlignment w:val="baseline"/>
        <w:rPr>
          <w:b/>
          <w:lang w:val="en-GB"/>
        </w:rPr>
      </w:pPr>
    </w:p>
    <w:p w:rsidR="00116EE0" w:rsidP="0060010D" w:rsidRDefault="00116EE0" w14:paraId="2BCC8D3F" w14:textId="63E6985B">
      <w:pPr>
        <w:keepNext/>
        <w:keepLines/>
        <w:tabs>
          <w:tab w:val="center" w:pos="284"/>
        </w:tabs>
        <w:overflowPunct w:val="0"/>
        <w:autoSpaceDE w:val="0"/>
        <w:autoSpaceDN w:val="0"/>
        <w:adjustRightInd w:val="0"/>
        <w:ind w:left="266" w:hanging="266"/>
        <w:textAlignment w:val="baseline"/>
        <w:rPr>
          <w:b/>
        </w:rPr>
      </w:pPr>
      <w:r>
        <w:rPr>
          <w:b/>
        </w:rPr>
        <w:t>Kernaussagen</w:t>
      </w:r>
    </w:p>
    <w:p w:rsidRPr="00116EE0" w:rsidR="00E16E3C" w:rsidP="0060010D" w:rsidRDefault="00E16E3C" w14:paraId="021996D7" w14:textId="77777777">
      <w:pPr>
        <w:keepNext/>
        <w:keepLines/>
        <w:tabs>
          <w:tab w:val="center" w:pos="284"/>
        </w:tabs>
        <w:overflowPunct w:val="0"/>
        <w:autoSpaceDE w:val="0"/>
        <w:autoSpaceDN w:val="0"/>
        <w:adjustRightInd w:val="0"/>
        <w:ind w:left="266" w:hanging="266"/>
        <w:textAlignment w:val="baseline"/>
        <w:rPr>
          <w:b/>
          <w:lang w:val="en-GB"/>
        </w:rPr>
      </w:pPr>
    </w:p>
    <w:p w:rsidR="00116EE0" w:rsidP="0060010D" w:rsidRDefault="00116EE0" w14:paraId="615373FD" w14:textId="77777777">
      <w:pPr>
        <w:overflowPunct w:val="0"/>
        <w:autoSpaceDE w:val="0"/>
        <w:autoSpaceDN w:val="0"/>
        <w:adjustRightInd w:val="0"/>
        <w:textAlignment w:val="baseline"/>
        <w:rPr>
          <w:bCs/>
          <w:iCs/>
        </w:rPr>
      </w:pPr>
      <w:r>
        <w:t>Der EWSA</w:t>
      </w:r>
    </w:p>
    <w:p w:rsidRPr="00EE160A" w:rsidR="00116EE0" w:rsidP="0060010D" w:rsidRDefault="00116EE0" w14:paraId="5995A366" w14:textId="77777777">
      <w:pPr>
        <w:pStyle w:val="ListParagraph"/>
        <w:numPr>
          <w:ilvl w:val="0"/>
          <w:numId w:val="55"/>
        </w:numPr>
        <w:ind w:left="567" w:hanging="567"/>
      </w:pPr>
      <w:r>
        <w:t>fordert dringend wirtschaftspolitische Maßnahmen zur Sicherstellung der wirtschaftlichen und systemischen Resilienz sowie Maßnahmen zugunsten eines nachhaltigen und widerstandsfähigen Wirtschaftswachstums im Euro-Währungsgebiet, insbesondere mit Blick auf die größten Wettbewerber in der Weltwirtschaft;</w:t>
      </w:r>
    </w:p>
    <w:p w:rsidRPr="00EE160A" w:rsidR="00116EE0" w:rsidP="0060010D" w:rsidRDefault="00116EE0" w14:paraId="5CAA6EDF" w14:textId="77777777">
      <w:pPr>
        <w:pStyle w:val="ListParagraph"/>
        <w:numPr>
          <w:ilvl w:val="0"/>
          <w:numId w:val="55"/>
        </w:numPr>
        <w:ind w:left="567" w:hanging="567"/>
      </w:pPr>
      <w:r>
        <w:t>empfiehlt die rasche Vertiefung des Binnenmarkts, die Verabschiedung und Umsetzung von Maßnahmen für eine gemeinsam koordinierte Industriepolitik und nationale Strukturreformen. Übermäßige Bürokratie und Überregulierung müssen abgebaut werden müssen;</w:t>
      </w:r>
    </w:p>
    <w:p w:rsidRPr="00EE160A" w:rsidR="00116EE0" w:rsidP="0060010D" w:rsidRDefault="00116EE0" w14:paraId="116C53A8" w14:textId="77777777">
      <w:pPr>
        <w:pStyle w:val="ListParagraph"/>
        <w:numPr>
          <w:ilvl w:val="0"/>
          <w:numId w:val="55"/>
        </w:numPr>
        <w:ind w:left="567" w:hanging="567"/>
      </w:pPr>
      <w:r>
        <w:t>hält es für immer notwendiger, die Sicherung der Tragfähigkeit der öffentlichen Finanzen mit der notwendigen Mittelfreigabe zu verknüpfen, und zwar nicht nur zur Wiederherstellung des wirtschaftlichen Wohlstands, sondern auch im öffentlichen Interesse;</w:t>
      </w:r>
    </w:p>
    <w:p w:rsidRPr="00EE160A" w:rsidR="00116EE0" w:rsidP="0060010D" w:rsidRDefault="00116EE0" w14:paraId="03D20410" w14:textId="77777777">
      <w:pPr>
        <w:pStyle w:val="ListParagraph"/>
        <w:numPr>
          <w:ilvl w:val="0"/>
          <w:numId w:val="55"/>
        </w:numPr>
        <w:ind w:left="567" w:hanging="567"/>
      </w:pPr>
      <w:r>
        <w:t>befürwortet, sich auf die Verbesserung der Wettbewerbsfähigkeit zu konzentrieren, indem vor allem der Investitionsrückstand gegenüber den wichtigen Konkurrenten in der Weltwirtschaft abgebaut wird. Weiterhin müssen geeignete Voraussetzungen für die Bildung von Risikokapital und insbesondere für Start-ups und Scale-up-Unternehmen geschaffen werden;</w:t>
      </w:r>
    </w:p>
    <w:p w:rsidRPr="00EE160A" w:rsidR="00116EE0" w:rsidP="0060010D" w:rsidRDefault="00116EE0" w14:paraId="2AF29DD9" w14:textId="77777777">
      <w:pPr>
        <w:pStyle w:val="ListParagraph"/>
        <w:numPr>
          <w:ilvl w:val="0"/>
          <w:numId w:val="55"/>
        </w:numPr>
        <w:ind w:left="567" w:hanging="567"/>
      </w:pPr>
      <w:r>
        <w:t>ist überzeugt, dass es bei der Wirtschaftspolitik der Mitgliedstaaten des Euro-Währungsgebiets nicht nur um Stabilität, Nachhaltigkeit und Feinabstimmung der Entwicklung makroökonomischer Schlüsselindikatoren geht, sondern in der Hauptsache um tiefgreifende strukturelle und institutionelle Reformen;</w:t>
      </w:r>
    </w:p>
    <w:p w:rsidRPr="00EE160A" w:rsidR="00116EE0" w:rsidP="0060010D" w:rsidRDefault="00116EE0" w14:paraId="389E64F9" w14:textId="77777777">
      <w:pPr>
        <w:pStyle w:val="ListParagraph"/>
        <w:numPr>
          <w:ilvl w:val="0"/>
          <w:numId w:val="55"/>
        </w:numPr>
        <w:ind w:left="567" w:hanging="567"/>
      </w:pPr>
      <w:r>
        <w:t>weist darauf hin, dass die institutionellen und legislativen Maßnahmen zugunsten der Flexibilisierung des Arbeitsmarkts, des Reallohnwachstums und der Arbeitsproduktivität überarbeitet werden müssen. Darüber hinaus müssen auch die soziale Sicherheit, die Inklusion sowie das Wohnraumangebot verbessert werden;</w:t>
      </w:r>
    </w:p>
    <w:p w:rsidRPr="00EE160A" w:rsidR="00116EE0" w:rsidP="0060010D" w:rsidRDefault="00116EE0" w14:paraId="2F9487D0" w14:textId="77777777">
      <w:pPr>
        <w:pStyle w:val="ListParagraph"/>
        <w:numPr>
          <w:ilvl w:val="0"/>
          <w:numId w:val="55"/>
        </w:numPr>
        <w:ind w:left="567" w:hanging="567"/>
      </w:pPr>
      <w:r>
        <w:t>weist darauf hin, dass es angesichts der steigenden Ausgaben im Zusammenhang mit dem Übergangsprozess, der Verteidigung, der alternden Bevölkerung und dem Schuldendienst wichtig ist, einen glaubwürdigen mittelfristigen haushaltspolitischen Rahmen zu haben;</w:t>
      </w:r>
    </w:p>
    <w:p w:rsidRPr="00EE160A" w:rsidR="00116EE0" w:rsidP="0060010D" w:rsidRDefault="00116EE0" w14:paraId="702B0ADB" w14:textId="77777777">
      <w:pPr>
        <w:pStyle w:val="ListParagraph"/>
        <w:numPr>
          <w:ilvl w:val="0"/>
          <w:numId w:val="55"/>
        </w:numPr>
        <w:ind w:left="567" w:hanging="56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t>unterstützt die Bemühungen der Kommission, die öffentlichen Finanzen insgesamt effizienter zu gestalten und die in Steueroasen geparkten Geldmengen zu mobilisieren; unterstützt außerdem die Pläne der G20 für die Unternehmensbesteuerung;</w:t>
      </w:r>
    </w:p>
    <w:p w:rsidRPr="00EE160A" w:rsidR="00116EE0" w:rsidP="0060010D" w:rsidRDefault="00116EE0" w14:paraId="3E4C5AA9" w14:textId="77777777">
      <w:pPr>
        <w:pStyle w:val="ListParagraph"/>
        <w:numPr>
          <w:ilvl w:val="0"/>
          <w:numId w:val="55"/>
        </w:numPr>
        <w:ind w:left="567" w:hanging="567"/>
      </w:pPr>
      <w:r>
        <w:t xml:space="preserve">betont, dass mit großem Verantwortungsbewusstsein und Engagement bei der Annahme und Umsetzung der einzelnen Maßnahmen vorgegangen werden muss. Die außergewöhnliche Problemlage erfordert mehr denn je Dialog und Zusammenarbeit zwischen allen zuständigen </w:t>
      </w:r>
      <w:r>
        <w:lastRenderedPageBreak/>
        <w:t>und verantwortlichen Parteien, um eine nachhaltige und widerstandsfähige wirtschaftliche Entwicklung im Euroraum auf den Weg zu bringen.</w:t>
      </w:r>
    </w:p>
    <w:p w:rsidRPr="00116EE0" w:rsidR="00116EE0" w:rsidRDefault="00116EE0" w14:paraId="123EDCD7" w14:textId="77777777">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1418"/>
        <w:gridCol w:w="7762"/>
      </w:tblGrid>
      <w:tr w:rsidRPr="00FA33C4" w:rsidR="00116EE0" w:rsidTr="0060010D" w14:paraId="34B87149" w14:textId="77777777">
        <w:tc>
          <w:tcPr>
            <w:tcW w:w="1418" w:type="dxa"/>
          </w:tcPr>
          <w:p w:rsidRPr="00FA33C4" w:rsidR="00116EE0" w:rsidP="0060010D" w:rsidRDefault="00116EE0" w14:paraId="10AAD69C" w14:textId="77777777">
            <w:pPr>
              <w:overflowPunct w:val="0"/>
              <w:autoSpaceDE w:val="0"/>
              <w:autoSpaceDN w:val="0"/>
              <w:adjustRightInd w:val="0"/>
              <w:textAlignment w:val="baseline"/>
              <w:rPr>
                <w:i/>
                <w:sz w:val="20"/>
                <w:szCs w:val="20"/>
              </w:rPr>
            </w:pPr>
            <w:r>
              <w:rPr>
                <w:b/>
                <w:i/>
                <w:sz w:val="20"/>
              </w:rPr>
              <w:t>Kontakt</w:t>
            </w:r>
          </w:p>
        </w:tc>
        <w:tc>
          <w:tcPr>
            <w:tcW w:w="7762" w:type="dxa"/>
          </w:tcPr>
          <w:p w:rsidRPr="00FA33C4" w:rsidR="00116EE0" w:rsidP="0060010D" w:rsidRDefault="00116EE0" w14:paraId="04F7E27C" w14:textId="52F60DD0">
            <w:pPr>
              <w:overflowPunct w:val="0"/>
              <w:autoSpaceDE w:val="0"/>
              <w:autoSpaceDN w:val="0"/>
              <w:adjustRightInd w:val="0"/>
              <w:textAlignment w:val="baseline"/>
              <w:rPr>
                <w:i/>
                <w:sz w:val="20"/>
                <w:szCs w:val="20"/>
              </w:rPr>
            </w:pPr>
            <w:r>
              <w:rPr>
                <w:i/>
                <w:sz w:val="20"/>
              </w:rPr>
              <w:t xml:space="preserve">Krisztina </w:t>
            </w:r>
            <w:proofErr w:type="spellStart"/>
            <w:r>
              <w:rPr>
                <w:i/>
                <w:sz w:val="20"/>
              </w:rPr>
              <w:t>Perlaky</w:t>
            </w:r>
            <w:proofErr w:type="spellEnd"/>
            <w:r>
              <w:rPr>
                <w:i/>
                <w:sz w:val="20"/>
              </w:rPr>
              <w:t>-Tóth</w:t>
            </w:r>
          </w:p>
        </w:tc>
      </w:tr>
      <w:tr w:rsidRPr="00FA33C4" w:rsidR="00116EE0" w:rsidTr="0060010D" w14:paraId="70EB9029" w14:textId="77777777">
        <w:tc>
          <w:tcPr>
            <w:tcW w:w="1418" w:type="dxa"/>
          </w:tcPr>
          <w:p w:rsidRPr="00FA33C4" w:rsidR="00116EE0" w:rsidP="0060010D" w:rsidRDefault="00116EE0" w14:paraId="22DEC6E0" w14:textId="77777777">
            <w:pPr>
              <w:overflowPunct w:val="0"/>
              <w:autoSpaceDE w:val="0"/>
              <w:autoSpaceDN w:val="0"/>
              <w:adjustRightInd w:val="0"/>
              <w:textAlignment w:val="baseline"/>
              <w:rPr>
                <w:i/>
                <w:sz w:val="20"/>
                <w:szCs w:val="20"/>
              </w:rPr>
            </w:pPr>
            <w:r>
              <w:rPr>
                <w:i/>
                <w:sz w:val="20"/>
              </w:rPr>
              <w:t>Tel.</w:t>
            </w:r>
          </w:p>
        </w:tc>
        <w:tc>
          <w:tcPr>
            <w:tcW w:w="7762" w:type="dxa"/>
          </w:tcPr>
          <w:p w:rsidRPr="00FA33C4" w:rsidR="00116EE0" w:rsidP="0060010D" w:rsidRDefault="00116EE0" w14:paraId="5780528B" w14:textId="77777777">
            <w:pPr>
              <w:overflowPunct w:val="0"/>
              <w:autoSpaceDE w:val="0"/>
              <w:autoSpaceDN w:val="0"/>
              <w:adjustRightInd w:val="0"/>
              <w:textAlignment w:val="baseline"/>
              <w:rPr>
                <w:i/>
                <w:sz w:val="20"/>
                <w:szCs w:val="20"/>
              </w:rPr>
            </w:pPr>
            <w:r>
              <w:rPr>
                <w:i/>
                <w:sz w:val="20"/>
              </w:rPr>
              <w:t>+32 2</w:t>
            </w:r>
            <w:r>
              <w:rPr>
                <w:sz w:val="20"/>
              </w:rPr>
              <w:t xml:space="preserve"> </w:t>
            </w:r>
            <w:r>
              <w:rPr>
                <w:i/>
                <w:sz w:val="20"/>
              </w:rPr>
              <w:t>5469740</w:t>
            </w:r>
          </w:p>
        </w:tc>
      </w:tr>
      <w:tr w:rsidRPr="00FA33C4" w:rsidR="00116EE0" w:rsidTr="0060010D" w14:paraId="507765C2" w14:textId="77777777">
        <w:tc>
          <w:tcPr>
            <w:tcW w:w="1418" w:type="dxa"/>
          </w:tcPr>
          <w:p w:rsidRPr="00FA33C4" w:rsidR="00116EE0" w:rsidP="0060010D" w:rsidRDefault="00E16E3C" w14:paraId="180663CB" w14:textId="447CD0D6">
            <w:pPr>
              <w:overflowPunct w:val="0"/>
              <w:autoSpaceDE w:val="0"/>
              <w:autoSpaceDN w:val="0"/>
              <w:adjustRightInd w:val="0"/>
              <w:textAlignment w:val="baseline"/>
              <w:rPr>
                <w:i/>
                <w:sz w:val="20"/>
                <w:szCs w:val="20"/>
              </w:rPr>
            </w:pPr>
            <w:r>
              <w:rPr>
                <w:i/>
                <w:sz w:val="20"/>
              </w:rPr>
              <w:t>E-Mail</w:t>
            </w:r>
          </w:p>
        </w:tc>
        <w:tc>
          <w:tcPr>
            <w:tcW w:w="7762" w:type="dxa"/>
          </w:tcPr>
          <w:p w:rsidRPr="00FA33C4" w:rsidR="00116EE0" w:rsidP="0060010D" w:rsidRDefault="001201F9" w14:paraId="482F0FA1" w14:textId="036474EB">
            <w:pPr>
              <w:overflowPunct w:val="0"/>
              <w:autoSpaceDE w:val="0"/>
              <w:autoSpaceDN w:val="0"/>
              <w:adjustRightInd w:val="0"/>
              <w:textAlignment w:val="baseline"/>
              <w:rPr>
                <w:i/>
                <w:sz w:val="20"/>
                <w:szCs w:val="20"/>
              </w:rPr>
            </w:pPr>
            <w:hyperlink w:history="1" r:id="rId21">
              <w:r w:rsidR="00465FCD">
                <w:rPr>
                  <w:i/>
                  <w:color w:val="0000FF"/>
                  <w:sz w:val="20"/>
                  <w:u w:val="single"/>
                </w:rPr>
                <w:t>Krisztina.PerlakyToth@eesc.europa.eu</w:t>
              </w:r>
            </w:hyperlink>
          </w:p>
        </w:tc>
      </w:tr>
    </w:tbl>
    <w:p w:rsidR="004D7AC0" w:rsidP="0060010D" w:rsidRDefault="004D7AC0" w14:paraId="4982DD98" w14:textId="3FE60050">
      <w:pPr>
        <w:jc w:val="left"/>
      </w:pPr>
    </w:p>
    <w:p w:rsidR="004D7AC0" w:rsidP="001421CC" w:rsidRDefault="004D7AC0" w14:paraId="4982DD99" w14:textId="77777777">
      <w:pPr>
        <w:pStyle w:val="Heading1"/>
        <w:keepNext/>
        <w:keepLines/>
        <w:pageBreakBefore/>
        <w:rPr>
          <w:b/>
        </w:rPr>
      </w:pPr>
      <w:bookmarkStart w:name="_Toc75527081" w:id="1"/>
      <w:bookmarkStart w:name="_Toc189140686" w:id="2"/>
      <w:r>
        <w:rPr>
          <w:b/>
        </w:rPr>
        <w:lastRenderedPageBreak/>
        <w:t>BESCHÄFTIGUNG, SOZIALFRAGEN, UNIONSBÜRGERSCHAFT</w:t>
      </w:r>
      <w:bookmarkEnd w:id="1"/>
      <w:bookmarkEnd w:id="2"/>
    </w:p>
    <w:p w:rsidR="004D7AC0" w:rsidP="0060010D" w:rsidRDefault="004D7AC0" w14:paraId="4982DD9A" w14:textId="77777777">
      <w:pPr>
        <w:keepNext/>
        <w:keepLines/>
      </w:pPr>
    </w:p>
    <w:p w:rsidRPr="0060010D" w:rsidR="008D44E2" w:rsidRDefault="001201F9" w14:paraId="66967C58" w14:textId="0B242FE9">
      <w:pPr>
        <w:widowControl w:val="0"/>
        <w:numPr>
          <w:ilvl w:val="0"/>
          <w:numId w:val="6"/>
        </w:numPr>
        <w:overflowPunct w:val="0"/>
        <w:autoSpaceDE w:val="0"/>
        <w:autoSpaceDN w:val="0"/>
        <w:adjustRightInd w:val="0"/>
        <w:ind w:left="567" w:hanging="567"/>
        <w:textAlignment w:val="baseline"/>
      </w:pPr>
      <w:hyperlink w:history="1" r:id="rId22">
        <w:r w:rsidR="008D44E2">
          <w:rPr>
            <w:b/>
            <w:i/>
            <w:color w:val="0000FF"/>
            <w:sz w:val="28"/>
            <w:u w:val="single"/>
          </w:rPr>
          <w:t>Bewertung der Jahresberichte der Europäischen Kommission über die Rechtsstaatlichkeit in der Europäischen Union</w:t>
        </w:r>
      </w:hyperlink>
    </w:p>
    <w:p w:rsidRPr="0060010D" w:rsidR="008D44E2" w:rsidRDefault="008D44E2" w14:paraId="362D2C36" w14:textId="77777777">
      <w:pPr>
        <w:tabs>
          <w:tab w:val="center" w:pos="284"/>
        </w:tabs>
        <w:overflowPunct w:val="0"/>
        <w:autoSpaceDE w:val="0"/>
        <w:autoSpaceDN w:val="0"/>
        <w:adjustRightInd w:val="0"/>
        <w:ind w:left="567" w:hanging="567"/>
        <w:textAlignment w:val="baseline"/>
      </w:pPr>
    </w:p>
    <w:tbl>
      <w:tblPr>
        <w:tblW w:w="0" w:type="auto"/>
        <w:tblLook w:val="04A0" w:firstRow="1" w:lastRow="0" w:firstColumn="1" w:lastColumn="0" w:noHBand="0" w:noVBand="1"/>
      </w:tblPr>
      <w:tblGrid>
        <w:gridCol w:w="1951"/>
        <w:gridCol w:w="7338"/>
      </w:tblGrid>
      <w:tr w:rsidRPr="00FA33C4" w:rsidR="008D44E2" w:rsidTr="00A73AFE" w14:paraId="123F4EAC" w14:textId="77777777">
        <w:tc>
          <w:tcPr>
            <w:tcW w:w="1951" w:type="dxa"/>
          </w:tcPr>
          <w:p w:rsidRPr="00FA33C4" w:rsidR="008D44E2" w:rsidRDefault="008D44E2" w14:paraId="45032CB6" w14:textId="35AA7DC0">
            <w:pPr>
              <w:tabs>
                <w:tab w:val="center" w:pos="284"/>
              </w:tabs>
              <w:overflowPunct w:val="0"/>
              <w:autoSpaceDE w:val="0"/>
              <w:autoSpaceDN w:val="0"/>
              <w:adjustRightInd w:val="0"/>
              <w:ind w:left="567" w:hanging="567"/>
              <w:textAlignment w:val="baseline"/>
              <w:rPr>
                <w:b/>
                <w:sz w:val="20"/>
                <w:szCs w:val="20"/>
              </w:rPr>
            </w:pPr>
            <w:r>
              <w:rPr>
                <w:b/>
                <w:sz w:val="20"/>
              </w:rPr>
              <w:t>Berichterstatterin</w:t>
            </w:r>
          </w:p>
        </w:tc>
        <w:tc>
          <w:tcPr>
            <w:tcW w:w="7338" w:type="dxa"/>
          </w:tcPr>
          <w:p w:rsidRPr="00FA33C4" w:rsidR="008D44E2" w:rsidP="0060010D" w:rsidRDefault="008D44E2" w14:paraId="4624F106" w14:textId="6AF8BAEA">
            <w:pPr>
              <w:overflowPunct w:val="0"/>
              <w:autoSpaceDE w:val="0"/>
              <w:autoSpaceDN w:val="0"/>
              <w:adjustRightInd w:val="0"/>
              <w:textAlignment w:val="baseline"/>
              <w:rPr>
                <w:sz w:val="20"/>
                <w:szCs w:val="20"/>
              </w:rPr>
            </w:pPr>
            <w:proofErr w:type="spellStart"/>
            <w:r>
              <w:rPr>
                <w:sz w:val="20"/>
              </w:rPr>
              <w:t>Ozlem</w:t>
            </w:r>
            <w:proofErr w:type="spellEnd"/>
            <w:r>
              <w:rPr>
                <w:sz w:val="20"/>
              </w:rPr>
              <w:t xml:space="preserve"> YILDIRIM (Gruppe Arbeitnehmer – FR)</w:t>
            </w:r>
          </w:p>
        </w:tc>
      </w:tr>
      <w:tr w:rsidRPr="00FA33C4" w:rsidR="008D44E2" w:rsidTr="00A73AFE" w14:paraId="25438929" w14:textId="77777777">
        <w:tc>
          <w:tcPr>
            <w:tcW w:w="1951" w:type="dxa"/>
          </w:tcPr>
          <w:p w:rsidRPr="00FA33C4" w:rsidR="008D44E2" w:rsidRDefault="008D44E2" w14:paraId="21B9C7A5" w14:textId="77777777">
            <w:pPr>
              <w:tabs>
                <w:tab w:val="center" w:pos="284"/>
              </w:tabs>
              <w:overflowPunct w:val="0"/>
              <w:autoSpaceDE w:val="0"/>
              <w:autoSpaceDN w:val="0"/>
              <w:adjustRightInd w:val="0"/>
              <w:ind w:left="567" w:hanging="567"/>
              <w:textAlignment w:val="baseline"/>
              <w:rPr>
                <w:b/>
                <w:sz w:val="20"/>
                <w:szCs w:val="20"/>
              </w:rPr>
            </w:pPr>
            <w:r>
              <w:rPr>
                <w:b/>
                <w:sz w:val="20"/>
              </w:rPr>
              <w:t>Ko-Berichterstatter</w:t>
            </w:r>
          </w:p>
        </w:tc>
        <w:tc>
          <w:tcPr>
            <w:tcW w:w="7338" w:type="dxa"/>
          </w:tcPr>
          <w:p w:rsidRPr="00FA33C4" w:rsidR="008D44E2" w:rsidRDefault="008D44E2" w14:paraId="6F2CD064" w14:textId="632788C2">
            <w:pPr>
              <w:overflowPunct w:val="0"/>
              <w:autoSpaceDE w:val="0"/>
              <w:autoSpaceDN w:val="0"/>
              <w:adjustRightInd w:val="0"/>
              <w:textAlignment w:val="baseline"/>
              <w:rPr>
                <w:sz w:val="20"/>
                <w:szCs w:val="20"/>
              </w:rPr>
            </w:pPr>
            <w:r>
              <w:rPr>
                <w:sz w:val="20"/>
              </w:rPr>
              <w:t>Christian MOOS (Gruppe Organisationen der Zivilgesellschaft – DE)</w:t>
            </w:r>
          </w:p>
        </w:tc>
      </w:tr>
      <w:tr w:rsidRPr="00FA33C4" w:rsidR="007554BE" w:rsidTr="00A73AFE" w14:paraId="1AF3DB80" w14:textId="77777777">
        <w:tc>
          <w:tcPr>
            <w:tcW w:w="1951" w:type="dxa"/>
          </w:tcPr>
          <w:p w:rsidRPr="00FA33C4" w:rsidR="007554BE" w:rsidP="007554BE" w:rsidRDefault="007554BE" w14:paraId="73A58438" w14:textId="77777777">
            <w:pPr>
              <w:tabs>
                <w:tab w:val="center" w:pos="284"/>
              </w:tabs>
              <w:overflowPunct w:val="0"/>
              <w:autoSpaceDE w:val="0"/>
              <w:autoSpaceDN w:val="0"/>
              <w:adjustRightInd w:val="0"/>
              <w:ind w:left="567" w:hanging="567"/>
              <w:textAlignment w:val="baseline"/>
              <w:rPr>
                <w:b/>
                <w:sz w:val="20"/>
                <w:szCs w:val="20"/>
                <w:lang w:val="fr-FR"/>
              </w:rPr>
            </w:pPr>
          </w:p>
        </w:tc>
        <w:tc>
          <w:tcPr>
            <w:tcW w:w="7338" w:type="dxa"/>
          </w:tcPr>
          <w:p w:rsidRPr="00FA33C4" w:rsidR="007554BE" w:rsidP="007554BE" w:rsidRDefault="007554BE" w14:paraId="2FCE5DDE" w14:textId="77777777">
            <w:pPr>
              <w:overflowPunct w:val="0"/>
              <w:autoSpaceDE w:val="0"/>
              <w:autoSpaceDN w:val="0"/>
              <w:adjustRightInd w:val="0"/>
              <w:textAlignment w:val="baseline"/>
              <w:rPr>
                <w:sz w:val="20"/>
                <w:szCs w:val="20"/>
                <w:lang w:val="es-ES"/>
              </w:rPr>
            </w:pPr>
          </w:p>
        </w:tc>
      </w:tr>
      <w:tr w:rsidRPr="00FA33C4" w:rsidR="008D44E2" w:rsidTr="00A73AFE" w14:paraId="02690065" w14:textId="77777777">
        <w:tc>
          <w:tcPr>
            <w:tcW w:w="1951" w:type="dxa"/>
          </w:tcPr>
          <w:p w:rsidRPr="00FA33C4" w:rsidR="008D44E2" w:rsidRDefault="008D44E2" w14:paraId="2B578688" w14:textId="77777777">
            <w:pPr>
              <w:tabs>
                <w:tab w:val="center" w:pos="284"/>
              </w:tabs>
              <w:overflowPunct w:val="0"/>
              <w:autoSpaceDE w:val="0"/>
              <w:autoSpaceDN w:val="0"/>
              <w:adjustRightInd w:val="0"/>
              <w:ind w:left="567" w:hanging="567"/>
              <w:textAlignment w:val="baseline"/>
              <w:rPr>
                <w:b/>
                <w:sz w:val="20"/>
                <w:szCs w:val="20"/>
              </w:rPr>
            </w:pPr>
            <w:r>
              <w:rPr>
                <w:b/>
                <w:sz w:val="20"/>
              </w:rPr>
              <w:t>Referenzdokument</w:t>
            </w:r>
          </w:p>
        </w:tc>
        <w:tc>
          <w:tcPr>
            <w:tcW w:w="7338" w:type="dxa"/>
          </w:tcPr>
          <w:p w:rsidRPr="0060010D" w:rsidR="00EF40DB" w:rsidRDefault="00EF40DB" w14:paraId="37A59977" w14:textId="60E9D28B">
            <w:pPr>
              <w:tabs>
                <w:tab w:val="center" w:pos="284"/>
              </w:tabs>
              <w:overflowPunct w:val="0"/>
              <w:autoSpaceDE w:val="0"/>
              <w:autoSpaceDN w:val="0"/>
              <w:adjustRightInd w:val="0"/>
              <w:ind w:left="567" w:hanging="567"/>
              <w:textAlignment w:val="baseline"/>
              <w:rPr>
                <w:sz w:val="20"/>
                <w:szCs w:val="20"/>
              </w:rPr>
            </w:pPr>
            <w:r>
              <w:rPr>
                <w:sz w:val="20"/>
              </w:rPr>
              <w:t>Initiativstellungnahme</w:t>
            </w:r>
          </w:p>
          <w:p w:rsidRPr="0060010D" w:rsidR="008D44E2" w:rsidRDefault="008D44E2" w14:paraId="57D0DADC" w14:textId="763DB069">
            <w:pPr>
              <w:tabs>
                <w:tab w:val="center" w:pos="284"/>
              </w:tabs>
              <w:overflowPunct w:val="0"/>
              <w:autoSpaceDE w:val="0"/>
              <w:autoSpaceDN w:val="0"/>
              <w:adjustRightInd w:val="0"/>
              <w:ind w:left="567" w:hanging="567"/>
              <w:textAlignment w:val="baseline"/>
              <w:rPr>
                <w:sz w:val="20"/>
                <w:szCs w:val="20"/>
              </w:rPr>
            </w:pPr>
            <w:r>
              <w:rPr>
                <w:sz w:val="20"/>
              </w:rPr>
              <w:t>EESC-2024-01961-00-00-AC</w:t>
            </w:r>
          </w:p>
        </w:tc>
      </w:tr>
    </w:tbl>
    <w:p w:rsidRPr="008D44E2" w:rsidR="008D44E2" w:rsidRDefault="008D44E2" w14:paraId="1140C756" w14:textId="77777777">
      <w:pPr>
        <w:keepNext/>
        <w:keepLines/>
        <w:tabs>
          <w:tab w:val="center" w:pos="284"/>
        </w:tabs>
        <w:overflowPunct w:val="0"/>
        <w:autoSpaceDE w:val="0"/>
        <w:autoSpaceDN w:val="0"/>
        <w:adjustRightInd w:val="0"/>
        <w:ind w:left="266" w:hanging="266"/>
        <w:textAlignment w:val="baseline"/>
        <w:rPr>
          <w:b/>
          <w:lang w:val="en-GB"/>
        </w:rPr>
      </w:pPr>
    </w:p>
    <w:p w:rsidRPr="008D44E2" w:rsidR="008D44E2" w:rsidRDefault="008D44E2" w14:paraId="7D2BDAE6"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8D44E2" w:rsidR="008D44E2" w:rsidRDefault="008D44E2" w14:paraId="1679A44A" w14:textId="77777777">
      <w:pPr>
        <w:overflowPunct w:val="0"/>
        <w:autoSpaceDE w:val="0"/>
        <w:autoSpaceDN w:val="0"/>
        <w:adjustRightInd w:val="0"/>
        <w:textAlignment w:val="baseline"/>
        <w:rPr>
          <w:szCs w:val="20"/>
          <w:lang w:val="en-GB"/>
        </w:rPr>
      </w:pPr>
    </w:p>
    <w:p w:rsidR="008D44E2" w:rsidP="0027707F" w:rsidRDefault="008D44E2" w14:paraId="53A072BD" w14:textId="77777777">
      <w:r>
        <w:t>Der EWSA</w:t>
      </w:r>
    </w:p>
    <w:p w:rsidR="00EE160A" w:rsidP="00EE160A" w:rsidRDefault="00EE160A" w14:paraId="2D981745" w14:textId="5A481290">
      <w:pPr>
        <w:pStyle w:val="ListParagraph"/>
        <w:numPr>
          <w:ilvl w:val="0"/>
          <w:numId w:val="57"/>
        </w:numPr>
        <w:ind w:left="567" w:hanging="567"/>
      </w:pPr>
      <w:r>
        <w:t>verurteilt die Verschlechterung der Menschenrechtslage, der Rechtsstaatlichkeit und der Demokratie und begrüßt das Instrumentarium der Europäischen Kommission zur Garantie der Rechtsstaatlichkeit. Die Jahresberichte über die Rechtsstaatlichkeit stellen einen Fortschritt dar, aber der EWSA weist auch auf einige fortbestehende Mängel und die Notwendigkeit weiterer Verbesserungen hin;</w:t>
      </w:r>
    </w:p>
    <w:p w:rsidRPr="00EE160A" w:rsidR="008D44E2" w:rsidP="0060010D" w:rsidRDefault="008D44E2" w14:paraId="41DD115E" w14:textId="3CF567B3">
      <w:pPr>
        <w:pStyle w:val="ListParagraph"/>
        <w:numPr>
          <w:ilvl w:val="0"/>
          <w:numId w:val="57"/>
        </w:numPr>
        <w:ind w:left="567" w:hanging="567"/>
      </w:pPr>
      <w:r>
        <w:t>empfiehlt im Sinne einer aktiven Beteiligung der Interessenträger und der Gewährleistung der Rechenschaftspflicht, dass die Kommission die Zivilgesellschaft so einbezieht, dass sie konstruktiv an der Ausarbeitung des Berichts und der entsprechenden Folgemaßnahmen auf nationaler Ebene mitwirken kann, auch durch Unterstützung des EWSA;</w:t>
      </w:r>
    </w:p>
    <w:p w:rsidRPr="00EE160A" w:rsidR="008D44E2" w:rsidP="0060010D" w:rsidRDefault="008D44E2" w14:paraId="58F02A8C" w14:textId="77777777">
      <w:pPr>
        <w:pStyle w:val="ListParagraph"/>
        <w:numPr>
          <w:ilvl w:val="0"/>
          <w:numId w:val="57"/>
        </w:numPr>
        <w:ind w:left="567" w:hanging="567"/>
      </w:pPr>
      <w:r>
        <w:t>empfiehlt der Kommission einen differenzierteren analytischen Ansatz unter Einbeziehung unabhängiger Sachverständiger sowie mit Besuchen vor Ort und einer klareren Ausdrucksweise im Rahmen der Bewertung;</w:t>
      </w:r>
    </w:p>
    <w:p w:rsidRPr="00EE160A" w:rsidR="008D44E2" w:rsidP="0060010D" w:rsidRDefault="008D44E2" w14:paraId="109D302D" w14:textId="77777777">
      <w:pPr>
        <w:pStyle w:val="ListParagraph"/>
        <w:numPr>
          <w:ilvl w:val="0"/>
          <w:numId w:val="57"/>
        </w:numPr>
        <w:ind w:left="567" w:hanging="567"/>
      </w:pPr>
      <w:r>
        <w:t>empfiehlt, im Jahresbericht über die Rechtsstaatlichkeit den Abschnitt über Organisationen der Zivilgesellschaft zu erweitern, um auf der Grundlage objektiver Benchmarks und eines transparenten Dialogs mit diesen Organisationen zu einer Bewertung zu kommen;</w:t>
      </w:r>
    </w:p>
    <w:p w:rsidRPr="00EE160A" w:rsidR="008D44E2" w:rsidP="0060010D" w:rsidRDefault="008D44E2" w14:paraId="794DF6BA" w14:textId="77777777">
      <w:pPr>
        <w:pStyle w:val="ListParagraph"/>
        <w:numPr>
          <w:ilvl w:val="0"/>
          <w:numId w:val="57"/>
        </w:numPr>
        <w:ind w:left="567" w:hanging="567"/>
      </w:pPr>
      <w:r>
        <w:t>rät der Europäischen Kommission zu präziseren und besser messbaren länderspezifischen Empfehlungen mit klaren Benchmarks, Indikatoren und Fristen, fordert eine gründlichere Bewertung der Umsetzung dieser Empfehlungen mit einer transparenten Übersicht u. a. darüber, welche Mitgliedstaaten Benchmarks nicht erreicht und Fristen nicht eingehalten haben, und fordert die Kommission nachdrücklich auf, dem Jahresbericht über die Rechtsstaatlichkeit bei der Aktivierung anderer Rechtsstaatlichkeitsmechanismen ein stärkeres Gewicht zu geben, wenn länderspezifische Empfehlungen nicht umgesetzt werden;</w:t>
      </w:r>
    </w:p>
    <w:p w:rsidRPr="00EE160A" w:rsidR="008D44E2" w:rsidP="0060010D" w:rsidRDefault="008D44E2" w14:paraId="3EFF293E" w14:textId="77777777">
      <w:pPr>
        <w:pStyle w:val="ListParagraph"/>
        <w:numPr>
          <w:ilvl w:val="0"/>
          <w:numId w:val="57"/>
        </w:numPr>
        <w:ind w:left="567" w:hanging="567"/>
      </w:pPr>
      <w:r>
        <w:t>empfiehlt der Kommission für die Berichte die Verwendung einer einfacheren Sprache, damit sie für die Allgemeinheit und die Presse verständlicher sind sowie eine umfassende Kommunikationsstrategie, um das Bewusstsein für Grundrechte und Rechtsstaatlichkeit zu schärfen;</w:t>
      </w:r>
    </w:p>
    <w:p w:rsidRPr="00EE160A" w:rsidR="008D44E2" w:rsidP="0060010D" w:rsidRDefault="008D44E2" w14:paraId="5DDE0A1C" w14:textId="77777777">
      <w:pPr>
        <w:pStyle w:val="ListParagraph"/>
        <w:numPr>
          <w:ilvl w:val="0"/>
          <w:numId w:val="57"/>
        </w:numPr>
        <w:ind w:left="567" w:hanging="567"/>
      </w:pPr>
      <w:r>
        <w:t xml:space="preserve">nimmt mit Interesse die Absicht der Kommissionspräsidentin zur Kenntnis, eine Plattform der Zivilgesellschaft einzurichten, und bekräftigt, dass ein qualitativer Dialog mehr als eine bloße Konsultation ist. Als die in den Verträgen verankerte Einrichtung für die Konsultation von Unternehmensverbänden, Gewerkschaften und der organisierten Zivilgesellschaft muss der EWSA an der Steuerung einer solchen Plattform beteiligt werden und darin eine Schlüsselrolle erhalten. </w:t>
      </w:r>
    </w:p>
    <w:p w:rsidRPr="008D44E2" w:rsidR="008D44E2" w:rsidP="0027707F" w:rsidRDefault="008D44E2" w14:paraId="2A36C52A" w14:textId="77777777">
      <w:pPr>
        <w:rPr>
          <w:lang w:val="en-GB"/>
        </w:rPr>
      </w:pPr>
    </w:p>
    <w:tbl>
      <w:tblPr>
        <w:tblW w:w="4941" w:type="pct"/>
        <w:tblLook w:val="04A0" w:firstRow="1" w:lastRow="0" w:firstColumn="1" w:lastColumn="0" w:noHBand="0" w:noVBand="1"/>
      </w:tblPr>
      <w:tblGrid>
        <w:gridCol w:w="2032"/>
        <w:gridCol w:w="7147"/>
      </w:tblGrid>
      <w:tr w:rsidRPr="00FA33C4" w:rsidR="008D44E2" w:rsidTr="0060010D" w14:paraId="6CC6C850" w14:textId="77777777">
        <w:trPr>
          <w:trHeight w:val="60"/>
        </w:trPr>
        <w:tc>
          <w:tcPr>
            <w:tcW w:w="1107" w:type="pct"/>
            <w:hideMark/>
          </w:tcPr>
          <w:p w:rsidRPr="00FA33C4" w:rsidR="008D44E2" w:rsidRDefault="008D44E2" w14:paraId="1236B2CE" w14:textId="77777777">
            <w:pPr>
              <w:overflowPunct w:val="0"/>
              <w:autoSpaceDE w:val="0"/>
              <w:autoSpaceDN w:val="0"/>
              <w:adjustRightInd w:val="0"/>
              <w:textAlignment w:val="baseline"/>
              <w:rPr>
                <w:i/>
                <w:sz w:val="20"/>
                <w:szCs w:val="20"/>
              </w:rPr>
            </w:pPr>
            <w:r>
              <w:rPr>
                <w:b/>
                <w:i/>
                <w:sz w:val="20"/>
              </w:rPr>
              <w:t>Kontakt</w:t>
            </w:r>
          </w:p>
        </w:tc>
        <w:tc>
          <w:tcPr>
            <w:tcW w:w="3893" w:type="pct"/>
            <w:hideMark/>
          </w:tcPr>
          <w:p w:rsidRPr="00FA33C4" w:rsidR="008D44E2" w:rsidRDefault="008D44E2" w14:paraId="57763471" w14:textId="77777777">
            <w:pPr>
              <w:overflowPunct w:val="0"/>
              <w:autoSpaceDE w:val="0"/>
              <w:autoSpaceDN w:val="0"/>
              <w:adjustRightInd w:val="0"/>
              <w:textAlignment w:val="baseline"/>
              <w:rPr>
                <w:i/>
                <w:sz w:val="20"/>
                <w:szCs w:val="20"/>
              </w:rPr>
            </w:pPr>
            <w:r>
              <w:rPr>
                <w:i/>
                <w:sz w:val="20"/>
              </w:rPr>
              <w:t>June Bedaton</w:t>
            </w:r>
          </w:p>
        </w:tc>
      </w:tr>
      <w:tr w:rsidRPr="00FA33C4" w:rsidR="008D44E2" w:rsidTr="0060010D" w14:paraId="14276645" w14:textId="77777777">
        <w:tc>
          <w:tcPr>
            <w:tcW w:w="1107" w:type="pct"/>
            <w:hideMark/>
          </w:tcPr>
          <w:p w:rsidRPr="00FA33C4" w:rsidR="008D44E2" w:rsidRDefault="008D44E2" w14:paraId="20FF892B" w14:textId="77777777">
            <w:pPr>
              <w:overflowPunct w:val="0"/>
              <w:autoSpaceDE w:val="0"/>
              <w:autoSpaceDN w:val="0"/>
              <w:adjustRightInd w:val="0"/>
              <w:textAlignment w:val="baseline"/>
              <w:rPr>
                <w:i/>
                <w:sz w:val="20"/>
                <w:szCs w:val="20"/>
              </w:rPr>
            </w:pPr>
            <w:r>
              <w:rPr>
                <w:i/>
                <w:sz w:val="20"/>
              </w:rPr>
              <w:t>Tel.</w:t>
            </w:r>
          </w:p>
        </w:tc>
        <w:tc>
          <w:tcPr>
            <w:tcW w:w="3893" w:type="pct"/>
            <w:hideMark/>
          </w:tcPr>
          <w:p w:rsidRPr="00FA33C4" w:rsidR="008D44E2" w:rsidRDefault="008D44E2" w14:paraId="063E03E0" w14:textId="77777777">
            <w:pPr>
              <w:overflowPunct w:val="0"/>
              <w:autoSpaceDE w:val="0"/>
              <w:autoSpaceDN w:val="0"/>
              <w:adjustRightInd w:val="0"/>
              <w:textAlignment w:val="baseline"/>
              <w:rPr>
                <w:i/>
                <w:sz w:val="20"/>
                <w:szCs w:val="20"/>
              </w:rPr>
            </w:pPr>
            <w:r>
              <w:rPr>
                <w:i/>
                <w:sz w:val="20"/>
              </w:rPr>
              <w:t>+32 25468134</w:t>
            </w:r>
          </w:p>
        </w:tc>
      </w:tr>
      <w:tr w:rsidRPr="00FA33C4" w:rsidR="008D44E2" w:rsidTr="0060010D" w14:paraId="31D1E30B" w14:textId="77777777">
        <w:tc>
          <w:tcPr>
            <w:tcW w:w="1107" w:type="pct"/>
            <w:hideMark/>
          </w:tcPr>
          <w:p w:rsidRPr="00FA33C4" w:rsidR="008D44E2" w:rsidRDefault="000A6A5A" w14:paraId="468B19E4" w14:textId="7EB66E16">
            <w:pPr>
              <w:overflowPunct w:val="0"/>
              <w:autoSpaceDE w:val="0"/>
              <w:autoSpaceDN w:val="0"/>
              <w:adjustRightInd w:val="0"/>
              <w:textAlignment w:val="baseline"/>
              <w:rPr>
                <w:i/>
                <w:sz w:val="20"/>
                <w:szCs w:val="20"/>
              </w:rPr>
            </w:pPr>
            <w:r>
              <w:rPr>
                <w:i/>
                <w:sz w:val="20"/>
              </w:rPr>
              <w:t>E-Mail</w:t>
            </w:r>
          </w:p>
        </w:tc>
        <w:tc>
          <w:tcPr>
            <w:tcW w:w="3893" w:type="pct"/>
            <w:hideMark/>
          </w:tcPr>
          <w:p w:rsidRPr="00FA33C4" w:rsidR="008D44E2" w:rsidRDefault="001421CC" w14:paraId="616D1BD7" w14:textId="0F998786">
            <w:pPr>
              <w:overflowPunct w:val="0"/>
              <w:autoSpaceDE w:val="0"/>
              <w:autoSpaceDN w:val="0"/>
              <w:adjustRightInd w:val="0"/>
              <w:textAlignment w:val="baseline"/>
              <w:rPr>
                <w:i/>
                <w:sz w:val="20"/>
                <w:szCs w:val="20"/>
              </w:rPr>
            </w:pPr>
            <w:hyperlink w:history="1" r:id="rId23">
              <w:r w:rsidRPr="001421CC" w:rsidR="008D44E2">
                <w:rPr>
                  <w:rStyle w:val="Hyperlink"/>
                  <w:i/>
                  <w:sz w:val="20"/>
                </w:rPr>
                <w:t>June.Bedaton@eesc.europa.eu</w:t>
              </w:r>
            </w:hyperlink>
          </w:p>
        </w:tc>
      </w:tr>
    </w:tbl>
    <w:p w:rsidRPr="00EE160A" w:rsidR="00726351" w:rsidRDefault="00726351" w14:paraId="483DFF7E" w14:textId="77777777">
      <w:pPr>
        <w:jc w:val="left"/>
      </w:pPr>
    </w:p>
    <w:p w:rsidRPr="0060010D" w:rsidR="00892F37" w:rsidRDefault="001201F9" w14:paraId="01CD4F6D" w14:textId="37AA4C9C">
      <w:pPr>
        <w:keepNext/>
        <w:keepLines/>
        <w:widowControl w:val="0"/>
        <w:numPr>
          <w:ilvl w:val="0"/>
          <w:numId w:val="6"/>
        </w:numPr>
        <w:overflowPunct w:val="0"/>
        <w:autoSpaceDE w:val="0"/>
        <w:autoSpaceDN w:val="0"/>
        <w:adjustRightInd w:val="0"/>
        <w:ind w:left="567" w:hanging="567"/>
        <w:textAlignment w:val="baseline"/>
        <w:rPr>
          <w:b/>
        </w:rPr>
      </w:pPr>
      <w:hyperlink w:history="1" r:id="rId24">
        <w:r w:rsidR="004B4D2E">
          <w:rPr>
            <w:b/>
            <w:i/>
            <w:color w:val="0000FF"/>
            <w:sz w:val="28"/>
            <w:u w:val="single"/>
          </w:rPr>
          <w:t>Arbeitnehmerfreundliche künstliche Intelligenz: Ansätze zur Nutzung des Potenzials und Eindämmung der Risiken von KI bei beschäftigungs- und arbeitsmarktpolitischen Maßnahmen</w:t>
        </w:r>
      </w:hyperlink>
    </w:p>
    <w:p w:rsidRPr="0060010D" w:rsidR="00726351" w:rsidP="0060010D" w:rsidRDefault="00726351" w14:paraId="4672B116" w14:textId="77777777">
      <w:pPr>
        <w:keepNext/>
        <w:keepLines/>
        <w:widowControl w:val="0"/>
        <w:overflowPunct w:val="0"/>
        <w:autoSpaceDE w:val="0"/>
        <w:autoSpaceDN w:val="0"/>
        <w:adjustRightInd w:val="0"/>
        <w:ind w:left="567"/>
        <w:textAlignment w:val="baseline"/>
        <w:rPr>
          <w:b/>
          <w:lang w:val="en-GB"/>
        </w:rPr>
      </w:pPr>
    </w:p>
    <w:tbl>
      <w:tblPr>
        <w:tblW w:w="0" w:type="auto"/>
        <w:tblInd w:w="108" w:type="dxa"/>
        <w:tblLook w:val="04A0" w:firstRow="1" w:lastRow="0" w:firstColumn="1" w:lastColumn="0" w:noHBand="0" w:noVBand="1"/>
      </w:tblPr>
      <w:tblGrid>
        <w:gridCol w:w="1741"/>
        <w:gridCol w:w="7440"/>
      </w:tblGrid>
      <w:tr w:rsidRPr="00FA33C4" w:rsidR="00892F37" w:rsidTr="00C716D8" w14:paraId="5E6AB028" w14:textId="77777777">
        <w:tc>
          <w:tcPr>
            <w:tcW w:w="1593" w:type="dxa"/>
          </w:tcPr>
          <w:p w:rsidRPr="00FA33C4" w:rsidR="00892F37" w:rsidRDefault="00892F37" w14:paraId="3204FBC0" w14:textId="77777777">
            <w:pPr>
              <w:tabs>
                <w:tab w:val="center" w:pos="284"/>
              </w:tabs>
              <w:overflowPunct w:val="0"/>
              <w:autoSpaceDE w:val="0"/>
              <w:autoSpaceDN w:val="0"/>
              <w:adjustRightInd w:val="0"/>
              <w:ind w:left="-109"/>
              <w:textAlignment w:val="baseline"/>
              <w:rPr>
                <w:b/>
                <w:sz w:val="20"/>
                <w:szCs w:val="20"/>
              </w:rPr>
            </w:pPr>
            <w:r>
              <w:rPr>
                <w:b/>
                <w:sz w:val="20"/>
              </w:rPr>
              <w:t>Berichterstatterin</w:t>
            </w:r>
          </w:p>
        </w:tc>
        <w:tc>
          <w:tcPr>
            <w:tcW w:w="8046" w:type="dxa"/>
          </w:tcPr>
          <w:p w:rsidRPr="00FA33C4" w:rsidR="001900C9" w:rsidRDefault="00892F37" w14:paraId="043ACA2C" w14:textId="1B49D803">
            <w:pPr>
              <w:overflowPunct w:val="0"/>
              <w:autoSpaceDE w:val="0"/>
              <w:autoSpaceDN w:val="0"/>
              <w:adjustRightInd w:val="0"/>
              <w:textAlignment w:val="baseline"/>
              <w:rPr>
                <w:sz w:val="20"/>
                <w:szCs w:val="20"/>
              </w:rPr>
            </w:pPr>
            <w:r>
              <w:rPr>
                <w:sz w:val="20"/>
              </w:rPr>
              <w:t>Franca SALIS-MADINIER (Gruppe Arbeitnehmer – FR)</w:t>
            </w:r>
          </w:p>
        </w:tc>
      </w:tr>
      <w:tr w:rsidRPr="00FA33C4" w:rsidR="007554BE" w:rsidTr="00C716D8" w14:paraId="073D521C" w14:textId="77777777">
        <w:tc>
          <w:tcPr>
            <w:tcW w:w="1593" w:type="dxa"/>
          </w:tcPr>
          <w:p w:rsidRPr="00FA33C4" w:rsidR="007554BE" w:rsidP="007554BE" w:rsidRDefault="007554BE" w14:paraId="5CB8AF2B" w14:textId="77777777">
            <w:pPr>
              <w:tabs>
                <w:tab w:val="center" w:pos="284"/>
              </w:tabs>
              <w:overflowPunct w:val="0"/>
              <w:autoSpaceDE w:val="0"/>
              <w:autoSpaceDN w:val="0"/>
              <w:adjustRightInd w:val="0"/>
              <w:ind w:left="-109"/>
              <w:textAlignment w:val="baseline"/>
              <w:rPr>
                <w:b/>
                <w:sz w:val="20"/>
                <w:szCs w:val="20"/>
              </w:rPr>
            </w:pPr>
          </w:p>
        </w:tc>
        <w:tc>
          <w:tcPr>
            <w:tcW w:w="8046" w:type="dxa"/>
          </w:tcPr>
          <w:p w:rsidRPr="00FA33C4" w:rsidR="007554BE" w:rsidP="007554BE" w:rsidRDefault="007554BE" w14:paraId="3424EA4D" w14:textId="77777777">
            <w:pPr>
              <w:overflowPunct w:val="0"/>
              <w:autoSpaceDE w:val="0"/>
              <w:autoSpaceDN w:val="0"/>
              <w:adjustRightInd w:val="0"/>
              <w:textAlignment w:val="baseline"/>
              <w:rPr>
                <w:sz w:val="20"/>
                <w:szCs w:val="20"/>
              </w:rPr>
            </w:pPr>
          </w:p>
        </w:tc>
      </w:tr>
      <w:tr w:rsidRPr="00FA33C4" w:rsidR="00892F37" w:rsidTr="00C716D8" w14:paraId="7CC41633" w14:textId="77777777">
        <w:tc>
          <w:tcPr>
            <w:tcW w:w="1593" w:type="dxa"/>
          </w:tcPr>
          <w:p w:rsidRPr="00FA33C4" w:rsidR="00892F37" w:rsidRDefault="00892F37" w14:paraId="3DF4D4E2" w14:textId="77777777">
            <w:pPr>
              <w:tabs>
                <w:tab w:val="center" w:pos="284"/>
              </w:tabs>
              <w:overflowPunct w:val="0"/>
              <w:autoSpaceDE w:val="0"/>
              <w:autoSpaceDN w:val="0"/>
              <w:adjustRightInd w:val="0"/>
              <w:ind w:left="-109"/>
              <w:textAlignment w:val="baseline"/>
              <w:rPr>
                <w:b/>
                <w:sz w:val="20"/>
                <w:szCs w:val="20"/>
              </w:rPr>
            </w:pPr>
            <w:r>
              <w:rPr>
                <w:b/>
                <w:sz w:val="20"/>
              </w:rPr>
              <w:t>Referenzdokument</w:t>
            </w:r>
          </w:p>
        </w:tc>
        <w:tc>
          <w:tcPr>
            <w:tcW w:w="8046" w:type="dxa"/>
          </w:tcPr>
          <w:p w:rsidRPr="0060010D" w:rsidR="001900C9" w:rsidRDefault="001900C9" w14:paraId="55BA3B3E" w14:textId="03F243FE">
            <w:pPr>
              <w:tabs>
                <w:tab w:val="center" w:pos="284"/>
              </w:tabs>
              <w:overflowPunct w:val="0"/>
              <w:autoSpaceDE w:val="0"/>
              <w:autoSpaceDN w:val="0"/>
              <w:adjustRightInd w:val="0"/>
              <w:textAlignment w:val="baseline"/>
              <w:rPr>
                <w:sz w:val="20"/>
                <w:szCs w:val="20"/>
              </w:rPr>
            </w:pPr>
            <w:r>
              <w:rPr>
                <w:sz w:val="20"/>
              </w:rPr>
              <w:t>Initiativstellungnahme</w:t>
            </w:r>
          </w:p>
          <w:p w:rsidRPr="0060010D" w:rsidR="00892F37" w:rsidRDefault="00892F37" w14:paraId="7497C095" w14:textId="32327B8A">
            <w:pPr>
              <w:tabs>
                <w:tab w:val="center" w:pos="284"/>
              </w:tabs>
              <w:overflowPunct w:val="0"/>
              <w:autoSpaceDE w:val="0"/>
              <w:autoSpaceDN w:val="0"/>
              <w:adjustRightInd w:val="0"/>
              <w:textAlignment w:val="baseline"/>
              <w:rPr>
                <w:sz w:val="20"/>
                <w:szCs w:val="20"/>
              </w:rPr>
            </w:pPr>
            <w:r>
              <w:rPr>
                <w:sz w:val="20"/>
              </w:rPr>
              <w:t>EESC-2024-01024-00-00-AC-TRA</w:t>
            </w:r>
          </w:p>
        </w:tc>
      </w:tr>
    </w:tbl>
    <w:p w:rsidRPr="00892F37" w:rsidR="00892F37" w:rsidRDefault="00892F37" w14:paraId="0994AF52" w14:textId="77777777">
      <w:pPr>
        <w:keepNext/>
        <w:keepLines/>
        <w:tabs>
          <w:tab w:val="center" w:pos="0"/>
        </w:tabs>
        <w:overflowPunct w:val="0"/>
        <w:autoSpaceDE w:val="0"/>
        <w:autoSpaceDN w:val="0"/>
        <w:adjustRightInd w:val="0"/>
        <w:textAlignment w:val="baseline"/>
        <w:rPr>
          <w:b/>
          <w:lang w:val="en-GB"/>
        </w:rPr>
      </w:pPr>
    </w:p>
    <w:p w:rsidRPr="00892F37" w:rsidR="00892F37" w:rsidRDefault="00892F37" w14:paraId="28169BF5" w14:textId="77777777">
      <w:pPr>
        <w:keepNext/>
        <w:keepLines/>
        <w:tabs>
          <w:tab w:val="center" w:pos="0"/>
        </w:tabs>
        <w:overflowPunct w:val="0"/>
        <w:autoSpaceDE w:val="0"/>
        <w:autoSpaceDN w:val="0"/>
        <w:adjustRightInd w:val="0"/>
        <w:textAlignment w:val="baseline"/>
        <w:rPr>
          <w:b/>
        </w:rPr>
      </w:pPr>
      <w:r>
        <w:rPr>
          <w:b/>
        </w:rPr>
        <w:t>Kernaussagen</w:t>
      </w:r>
    </w:p>
    <w:p w:rsidRPr="00892F37" w:rsidR="00892F37" w:rsidRDefault="00892F37" w14:paraId="0669BE34" w14:textId="77777777">
      <w:pPr>
        <w:overflowPunct w:val="0"/>
        <w:autoSpaceDE w:val="0"/>
        <w:autoSpaceDN w:val="0"/>
        <w:adjustRightInd w:val="0"/>
        <w:textAlignment w:val="baseline"/>
        <w:rPr>
          <w:szCs w:val="20"/>
          <w:lang w:val="en-GB"/>
        </w:rPr>
      </w:pPr>
    </w:p>
    <w:p w:rsidR="00892F37" w:rsidP="0060010D" w:rsidRDefault="00892F37" w14:paraId="21B28D36" w14:textId="77777777">
      <w:pPr>
        <w:overflowPunct w:val="0"/>
        <w:autoSpaceDE w:val="0"/>
        <w:autoSpaceDN w:val="0"/>
        <w:adjustRightInd w:val="0"/>
        <w:textAlignment w:val="baseline"/>
        <w:rPr>
          <w:szCs w:val="20"/>
        </w:rPr>
      </w:pPr>
      <w:r>
        <w:t>Der EWSA</w:t>
      </w:r>
    </w:p>
    <w:p w:rsidRPr="00892F37" w:rsidR="00892F37" w:rsidP="0060010D" w:rsidRDefault="00892F37" w14:paraId="59E00C8F" w14:textId="77777777">
      <w:pPr>
        <w:pStyle w:val="ListParagraph"/>
        <w:numPr>
          <w:ilvl w:val="1"/>
          <w:numId w:val="47"/>
        </w:numPr>
        <w:ind w:left="567" w:hanging="567"/>
      </w:pPr>
      <w:r>
        <w:t>ist der Ansicht, dass der soziale Dialog und die Beteiligung der Arbeitnehmer entscheidend zur Wahrung der Grundrechte der Arbeitnehmer und zur Verbreitung „vertrauenswürdiger“ KI in der Welt der Arbeit beitragen. Ein Ansatzpunkt zur Minimierung der Risiken und schädlichen Auswirkungen von KI-Systemen besteht darin, die Arbeitnehmer und ihre Vertreter stärker einzubeziehen;</w:t>
      </w:r>
    </w:p>
    <w:p w:rsidRPr="00EE160A" w:rsidR="00892F37" w:rsidP="0060010D" w:rsidRDefault="00892F37" w14:paraId="034EAFC8" w14:textId="77777777">
      <w:pPr>
        <w:pStyle w:val="ListParagraph"/>
        <w:numPr>
          <w:ilvl w:val="0"/>
          <w:numId w:val="47"/>
        </w:numPr>
        <w:ind w:left="567" w:hanging="567"/>
        <w:rPr>
          <w:szCs w:val="20"/>
        </w:rPr>
      </w:pPr>
      <w:r>
        <w:t>fordert nachdrücklich, dass mit Gesetzgebungs- oder sonstigen Initiativen zur Anpassung des geltenden Rechts die Lücken beim Schutz der Arbeitnehmerrechte am Arbeitsplatz geschlossen werden und sichergestellt wird, dass der Mensch bei allen Interaktionen zwischen Mensch und Maschine die Kontrolle behält;</w:t>
      </w:r>
    </w:p>
    <w:p w:rsidRPr="00EE160A" w:rsidR="00892F37" w:rsidP="0060010D" w:rsidRDefault="00892F37" w14:paraId="7CBA395C" w14:textId="77777777">
      <w:pPr>
        <w:pStyle w:val="ListParagraph"/>
        <w:numPr>
          <w:ilvl w:val="0"/>
          <w:numId w:val="47"/>
        </w:numPr>
        <w:ind w:left="567" w:hanging="567"/>
        <w:rPr>
          <w:szCs w:val="20"/>
        </w:rPr>
      </w:pPr>
      <w:r>
        <w:t>ist der Ansicht, dass für die bestehenden EU-Rechtsvorschriften für den Einsatz von KI am Arbeitsplatz ausdrückliche Leitlinien vorgesehen werden sollten;</w:t>
      </w:r>
    </w:p>
    <w:p w:rsidRPr="00EE160A" w:rsidR="00892F37" w:rsidP="0060010D" w:rsidRDefault="00892F37" w14:paraId="0F3776FD" w14:textId="77777777">
      <w:pPr>
        <w:pStyle w:val="ListParagraph"/>
        <w:numPr>
          <w:ilvl w:val="0"/>
          <w:numId w:val="47"/>
        </w:numPr>
        <w:ind w:left="567" w:hanging="567"/>
        <w:rPr>
          <w:szCs w:val="20"/>
        </w:rPr>
      </w:pPr>
      <w:r>
        <w:t>unterstützt die rasche Umsetzung von Artikel 4 der Verordnung über künstliche Intelligenz, damit Arbeitnehmer zur Bedienung der KI-Tools befähigt werden;</w:t>
      </w:r>
    </w:p>
    <w:p w:rsidRPr="00EE160A" w:rsidR="00892F37" w:rsidP="0060010D" w:rsidRDefault="00892F37" w14:paraId="5DDC75FD" w14:textId="77777777">
      <w:pPr>
        <w:pStyle w:val="ListParagraph"/>
        <w:numPr>
          <w:ilvl w:val="0"/>
          <w:numId w:val="47"/>
        </w:numPr>
        <w:ind w:left="567" w:hanging="567"/>
        <w:rPr>
          <w:szCs w:val="20"/>
        </w:rPr>
      </w:pPr>
      <w:r>
        <w:t>ist der Ansicht, dass die Behörden Initiativen zur Kompetenzentwicklung für Arbeitnehmer und Bürger umsetzen müssen, damit Systeme der künstlichen Intelligenz die Menschen unterstützen und nicht ersetzen;</w:t>
      </w:r>
    </w:p>
    <w:p w:rsidRPr="00EE160A" w:rsidR="00892F37" w:rsidP="0060010D" w:rsidRDefault="00892F37" w14:paraId="6DA75FF2" w14:textId="77777777">
      <w:pPr>
        <w:pStyle w:val="ListParagraph"/>
        <w:numPr>
          <w:ilvl w:val="0"/>
          <w:numId w:val="47"/>
        </w:numPr>
        <w:ind w:left="567" w:hanging="567"/>
        <w:rPr>
          <w:szCs w:val="20"/>
        </w:rPr>
      </w:pPr>
      <w:r>
        <w:t>ruft nachdrücklich zu einem verstärkten sozialen Dialog zum Einsatz von KI-Systemen auf, der sich auf ein Ad-hoc-Rechtsinstrument mit Bestimmungen zur wirksameren Verwirklichung der folgenden Ziele stützt:</w:t>
      </w:r>
    </w:p>
    <w:p w:rsidRPr="00EE160A" w:rsidR="00892F37" w:rsidP="0060010D" w:rsidRDefault="00892F37" w14:paraId="4918BC7A" w14:textId="2DD0356B">
      <w:pPr>
        <w:pStyle w:val="ListParagraph"/>
        <w:numPr>
          <w:ilvl w:val="0"/>
          <w:numId w:val="48"/>
        </w:numPr>
        <w:ind w:left="851" w:hanging="284"/>
        <w:rPr>
          <w:szCs w:val="20"/>
        </w:rPr>
      </w:pPr>
      <w:r>
        <w:t>die Durchsetzung von Artikel 88 der Datenschutz-Grundverordnung (DSGVO),</w:t>
      </w:r>
    </w:p>
    <w:p w:rsidRPr="00EE160A" w:rsidR="00892F37" w:rsidP="0060010D" w:rsidRDefault="00892F37" w14:paraId="55036E02" w14:textId="7AF0AEAC">
      <w:pPr>
        <w:pStyle w:val="ListParagraph"/>
        <w:numPr>
          <w:ilvl w:val="0"/>
          <w:numId w:val="48"/>
        </w:numPr>
        <w:ind w:left="851" w:hanging="284"/>
        <w:rPr>
          <w:szCs w:val="20"/>
        </w:rPr>
      </w:pPr>
      <w:r>
        <w:t>die Ausweitung des Anwendungsbereichs der Richtlinie zur Verbesserung der Arbeitsbedingungen in der Plattformarbeit (Richtlinie über Plattformarbeit), damit auf die mit algorithmischen Managementsystemen für Arbeitnehmer verbundenen Herausforderungen reagiert werden kann,</w:t>
      </w:r>
    </w:p>
    <w:p w:rsidRPr="00EE160A" w:rsidR="00892F37" w:rsidP="0060010D" w:rsidRDefault="00892F37" w14:paraId="7FA02CD2" w14:textId="77777777">
      <w:pPr>
        <w:pStyle w:val="ListParagraph"/>
        <w:numPr>
          <w:ilvl w:val="0"/>
          <w:numId w:val="48"/>
        </w:numPr>
        <w:ind w:left="851" w:hanging="284"/>
        <w:rPr>
          <w:szCs w:val="20"/>
        </w:rPr>
      </w:pPr>
      <w:r>
        <w:t>eine Stärkung der nach der Richtlinie 2002/14/EG geltenden Vorschriften bei der Einführung von Hochrisiko-KI-Systemen und die Bereitstellung ausdrücklicher Leitlinien zu den Bestimmungen der EU-Richtlinie 89/391 über Sicherheit und Gesundheitsschutz am Arbeitsplatz,</w:t>
      </w:r>
    </w:p>
    <w:p w:rsidRPr="00EE160A" w:rsidR="00892F37" w:rsidP="0060010D" w:rsidRDefault="00892F37" w14:paraId="3EE47C49" w14:textId="77777777">
      <w:pPr>
        <w:pStyle w:val="ListParagraph"/>
        <w:numPr>
          <w:ilvl w:val="0"/>
          <w:numId w:val="48"/>
        </w:numPr>
        <w:ind w:left="851" w:hanging="284"/>
        <w:rPr>
          <w:szCs w:val="20"/>
        </w:rPr>
      </w:pPr>
      <w:r>
        <w:lastRenderedPageBreak/>
        <w:t>die Ausweitung des Adressatenkreises von Datenschutz-Folgenabschätzungen auf Arbeitnehmervertreter im Einklang mit der Richtlinie über Plattformarbeit,</w:t>
      </w:r>
    </w:p>
    <w:p w:rsidRPr="00EE160A" w:rsidR="00892F37" w:rsidP="0060010D" w:rsidRDefault="00892F37" w14:paraId="5E80CA12" w14:textId="77777777">
      <w:pPr>
        <w:pStyle w:val="ListParagraph"/>
        <w:numPr>
          <w:ilvl w:val="0"/>
          <w:numId w:val="48"/>
        </w:numPr>
        <w:ind w:left="851" w:hanging="284"/>
        <w:rPr>
          <w:szCs w:val="20"/>
        </w:rPr>
      </w:pPr>
      <w:r>
        <w:t>die Durchführung von Ex-ante-Grundrechte-Folgenabschätzungen, die von den Anbietern vorzunehmen sind, bevor Hochrisikosysteme eingesetzt werden, und</w:t>
      </w:r>
    </w:p>
    <w:p w:rsidRPr="00EE160A" w:rsidR="00892F37" w:rsidP="0060010D" w:rsidRDefault="00892F37" w14:paraId="0DD4EE4E" w14:textId="77777777">
      <w:pPr>
        <w:pStyle w:val="ListParagraph"/>
        <w:numPr>
          <w:ilvl w:val="0"/>
          <w:numId w:val="48"/>
        </w:numPr>
        <w:ind w:left="851" w:hanging="284"/>
        <w:rPr>
          <w:szCs w:val="20"/>
        </w:rPr>
      </w:pPr>
      <w:r>
        <w:t>die Aufstellung konkreter Leitlinien für die Nutzung von Reallaboren und Tests unter Realbedingungen.</w:t>
      </w:r>
    </w:p>
    <w:p w:rsidR="000D43E1" w:rsidP="00EE160A" w:rsidRDefault="000D43E1" w14:paraId="7CF59E6C" w14:textId="77777777">
      <w:pPr>
        <w:rPr>
          <w:bCs/>
          <w:lang w:val="en-GB"/>
        </w:rPr>
      </w:pPr>
    </w:p>
    <w:p w:rsidRPr="00892F37" w:rsidR="00892F37" w:rsidP="00EE160A" w:rsidRDefault="00892F37" w14:paraId="0285FD8F" w14:textId="2921B99E">
      <w:pPr>
        <w:rPr>
          <w:bCs/>
          <w:szCs w:val="20"/>
        </w:rPr>
      </w:pPr>
      <w:r>
        <w:t>Aufgrund abweichender Ansichten haben Mitglieder der Gruppe Arbeitgeber des EWSA eine Gegenstellungnahme vorgelegt. Die Gegenstellungnahme wurde vom EWSA abgelehnt (mit 112 Ja</w:t>
      </w:r>
      <w:r w:rsidR="000D47FF">
        <w:noBreakHyphen/>
      </w:r>
      <w:r>
        <w:t>Stimmen bei 136 Nein-Stimmen und 11 Enthaltungen). Da sie jedoch mehr als ein Viertel der abgegebenen Stimmen erhielt, ist sie gemäß der Geschäftsordnung des EWSA der Stellungnahme im Anhang beigefügt.</w:t>
      </w:r>
    </w:p>
    <w:p w:rsidRPr="00892F37" w:rsidR="00892F37" w:rsidP="0060010D" w:rsidRDefault="00892F37" w14:paraId="695D15E3" w14:textId="77777777">
      <w:pPr>
        <w:overflowPunct w:val="0"/>
        <w:autoSpaceDE w:val="0"/>
        <w:autoSpaceDN w:val="0"/>
        <w:adjustRightInd w:val="0"/>
        <w:textAlignment w:val="baseline"/>
        <w:rPr>
          <w:szCs w:val="20"/>
          <w:lang w:val="en-GB"/>
        </w:rPr>
      </w:pPr>
    </w:p>
    <w:tbl>
      <w:tblPr>
        <w:tblW w:w="0" w:type="auto"/>
        <w:tblInd w:w="-142" w:type="dxa"/>
        <w:tblLook w:val="04A0" w:firstRow="1" w:lastRow="0" w:firstColumn="1" w:lastColumn="0" w:noHBand="0" w:noVBand="1"/>
      </w:tblPr>
      <w:tblGrid>
        <w:gridCol w:w="1102"/>
        <w:gridCol w:w="8220"/>
      </w:tblGrid>
      <w:tr w:rsidRPr="00FA33C4" w:rsidR="00892F37" w:rsidTr="0060010D" w14:paraId="4508FF0D" w14:textId="77777777">
        <w:tc>
          <w:tcPr>
            <w:tcW w:w="1102" w:type="dxa"/>
          </w:tcPr>
          <w:p w:rsidRPr="00FA33C4" w:rsidR="00892F37" w:rsidP="0060010D" w:rsidRDefault="00892F37" w14:paraId="331D957C" w14:textId="77777777">
            <w:pPr>
              <w:overflowPunct w:val="0"/>
              <w:autoSpaceDE w:val="0"/>
              <w:autoSpaceDN w:val="0"/>
              <w:adjustRightInd w:val="0"/>
              <w:textAlignment w:val="baseline"/>
              <w:rPr>
                <w:i/>
                <w:sz w:val="20"/>
                <w:szCs w:val="20"/>
              </w:rPr>
            </w:pPr>
            <w:r>
              <w:rPr>
                <w:b/>
                <w:i/>
                <w:sz w:val="20"/>
              </w:rPr>
              <w:t>Kontakt</w:t>
            </w:r>
          </w:p>
        </w:tc>
        <w:tc>
          <w:tcPr>
            <w:tcW w:w="8220" w:type="dxa"/>
          </w:tcPr>
          <w:p w:rsidRPr="00FA33C4" w:rsidR="00892F37" w:rsidP="0060010D" w:rsidRDefault="00892F37" w14:paraId="10FC95BC" w14:textId="77777777">
            <w:pPr>
              <w:overflowPunct w:val="0"/>
              <w:autoSpaceDE w:val="0"/>
              <w:autoSpaceDN w:val="0"/>
              <w:adjustRightInd w:val="0"/>
              <w:ind w:hanging="12"/>
              <w:textAlignment w:val="baseline"/>
              <w:rPr>
                <w:i/>
                <w:sz w:val="20"/>
                <w:szCs w:val="20"/>
              </w:rPr>
            </w:pPr>
            <w:r>
              <w:rPr>
                <w:i/>
                <w:sz w:val="20"/>
              </w:rPr>
              <w:t xml:space="preserve">Ana </w:t>
            </w:r>
            <w:proofErr w:type="spellStart"/>
            <w:r>
              <w:rPr>
                <w:i/>
                <w:sz w:val="20"/>
              </w:rPr>
              <w:t>Dumitrache</w:t>
            </w:r>
            <w:proofErr w:type="spellEnd"/>
          </w:p>
        </w:tc>
      </w:tr>
      <w:tr w:rsidRPr="00FA33C4" w:rsidR="00892F37" w:rsidTr="0060010D" w14:paraId="574BBACD" w14:textId="77777777">
        <w:tc>
          <w:tcPr>
            <w:tcW w:w="1102" w:type="dxa"/>
          </w:tcPr>
          <w:p w:rsidRPr="00FA33C4" w:rsidR="00892F37" w:rsidP="0060010D" w:rsidRDefault="00892F37" w14:paraId="052D6094" w14:textId="77777777">
            <w:pPr>
              <w:overflowPunct w:val="0"/>
              <w:autoSpaceDE w:val="0"/>
              <w:autoSpaceDN w:val="0"/>
              <w:adjustRightInd w:val="0"/>
              <w:textAlignment w:val="baseline"/>
              <w:rPr>
                <w:i/>
                <w:sz w:val="20"/>
                <w:szCs w:val="20"/>
              </w:rPr>
            </w:pPr>
            <w:r>
              <w:rPr>
                <w:i/>
                <w:sz w:val="20"/>
              </w:rPr>
              <w:t>Tel.</w:t>
            </w:r>
          </w:p>
        </w:tc>
        <w:tc>
          <w:tcPr>
            <w:tcW w:w="8220" w:type="dxa"/>
          </w:tcPr>
          <w:p w:rsidRPr="00FA33C4" w:rsidR="00892F37" w:rsidP="0060010D" w:rsidRDefault="00892F37" w14:paraId="38DED2DA" w14:textId="77777777">
            <w:pPr>
              <w:overflowPunct w:val="0"/>
              <w:autoSpaceDE w:val="0"/>
              <w:autoSpaceDN w:val="0"/>
              <w:adjustRightInd w:val="0"/>
              <w:textAlignment w:val="baseline"/>
              <w:rPr>
                <w:i/>
                <w:sz w:val="20"/>
                <w:szCs w:val="20"/>
              </w:rPr>
            </w:pPr>
            <w:r>
              <w:rPr>
                <w:i/>
                <w:sz w:val="20"/>
              </w:rPr>
              <w:t>+32 2546 8</w:t>
            </w:r>
            <w:r>
              <w:rPr>
                <w:sz w:val="20"/>
              </w:rPr>
              <w:t>131</w:t>
            </w:r>
          </w:p>
        </w:tc>
      </w:tr>
      <w:tr w:rsidRPr="00FA33C4" w:rsidR="00892F37" w:rsidTr="0060010D" w14:paraId="5A55B807" w14:textId="77777777">
        <w:tc>
          <w:tcPr>
            <w:tcW w:w="1102" w:type="dxa"/>
          </w:tcPr>
          <w:p w:rsidRPr="00FA33C4" w:rsidR="00892F37" w:rsidP="0060010D" w:rsidRDefault="00892F37" w14:paraId="0F4A40DD" w14:textId="77777777">
            <w:pPr>
              <w:overflowPunct w:val="0"/>
              <w:autoSpaceDE w:val="0"/>
              <w:autoSpaceDN w:val="0"/>
              <w:adjustRightInd w:val="0"/>
              <w:textAlignment w:val="baseline"/>
              <w:rPr>
                <w:i/>
                <w:sz w:val="20"/>
                <w:szCs w:val="20"/>
              </w:rPr>
            </w:pPr>
            <w:r>
              <w:rPr>
                <w:i/>
                <w:sz w:val="20"/>
              </w:rPr>
              <w:t>E-Mail</w:t>
            </w:r>
          </w:p>
        </w:tc>
        <w:tc>
          <w:tcPr>
            <w:tcW w:w="8220" w:type="dxa"/>
          </w:tcPr>
          <w:p w:rsidRPr="00FA33C4" w:rsidR="00892F37" w:rsidP="0060010D" w:rsidRDefault="001201F9" w14:paraId="2EA71176" w14:textId="77777777">
            <w:pPr>
              <w:overflowPunct w:val="0"/>
              <w:autoSpaceDE w:val="0"/>
              <w:autoSpaceDN w:val="0"/>
              <w:adjustRightInd w:val="0"/>
              <w:textAlignment w:val="baseline"/>
              <w:rPr>
                <w:i/>
                <w:sz w:val="20"/>
                <w:szCs w:val="20"/>
              </w:rPr>
            </w:pPr>
            <w:hyperlink w:history="1" r:id="rId25">
              <w:r w:rsidR="00892F37">
                <w:rPr>
                  <w:i/>
                  <w:color w:val="0000FF"/>
                  <w:sz w:val="20"/>
                  <w:u w:val="single"/>
                </w:rPr>
                <w:t>Ana.Dumitrache@eesc.europa.eu</w:t>
              </w:r>
            </w:hyperlink>
          </w:p>
        </w:tc>
      </w:tr>
    </w:tbl>
    <w:p w:rsidRPr="00892F37" w:rsidR="007554BE" w:rsidRDefault="007554BE" w14:paraId="4F3D4055" w14:textId="77777777">
      <w:pPr>
        <w:pStyle w:val="ListParagraph"/>
        <w:ind w:left="567"/>
        <w:rPr>
          <w:lang w:val="en-GB"/>
        </w:rPr>
      </w:pPr>
    </w:p>
    <w:p w:rsidR="000D43E1" w:rsidRDefault="000D43E1" w14:paraId="4982DDC2" w14:textId="5E500753">
      <w:pPr>
        <w:jc w:val="left"/>
      </w:pPr>
      <w:r>
        <w:br w:type="page"/>
      </w:r>
    </w:p>
    <w:p w:rsidR="004D7AC0" w:rsidP="0060010D" w:rsidRDefault="004D7AC0" w14:paraId="4982DDC6" w14:textId="77777777">
      <w:pPr>
        <w:pStyle w:val="Heading1"/>
        <w:keepNext/>
        <w:keepLines/>
        <w:rPr>
          <w:b/>
        </w:rPr>
      </w:pPr>
      <w:bookmarkStart w:name="_Toc24617160" w:id="3"/>
      <w:bookmarkStart w:name="_Toc75527082" w:id="4"/>
      <w:bookmarkStart w:name="_Toc189140687" w:id="5"/>
      <w:r>
        <w:rPr>
          <w:b/>
        </w:rPr>
        <w:lastRenderedPageBreak/>
        <w:t>VERKEHR, ENERGIE, INFRASTRUKTUREN, INFORMATIONSGESELLSCHAFT</w:t>
      </w:r>
      <w:bookmarkEnd w:id="3"/>
      <w:bookmarkEnd w:id="4"/>
      <w:bookmarkEnd w:id="5"/>
    </w:p>
    <w:p w:rsidR="004D7AC0" w:rsidP="0060010D" w:rsidRDefault="004D7AC0" w14:paraId="4982DDC7" w14:textId="04E3199A">
      <w:pPr>
        <w:keepNext/>
        <w:keepLines/>
      </w:pPr>
    </w:p>
    <w:p w:rsidRPr="00EA3596" w:rsidR="00EA3596" w:rsidP="0060010D" w:rsidRDefault="001201F9" w14:paraId="0D397292" w14:textId="0B4D4E83">
      <w:pPr>
        <w:keepNext/>
        <w:keepLines/>
        <w:widowControl w:val="0"/>
        <w:numPr>
          <w:ilvl w:val="0"/>
          <w:numId w:val="4"/>
        </w:numPr>
        <w:overflowPunct w:val="0"/>
        <w:autoSpaceDE w:val="0"/>
        <w:autoSpaceDN w:val="0"/>
        <w:adjustRightInd w:val="0"/>
        <w:ind w:left="266" w:hanging="266"/>
        <w:textAlignment w:val="baseline"/>
        <w:rPr>
          <w:b/>
          <w:u w:val="single"/>
        </w:rPr>
      </w:pPr>
      <w:hyperlink w:history="1" r:id="rId26">
        <w:r w:rsidR="00465FCD">
          <w:rPr>
            <w:b/>
            <w:i/>
            <w:color w:val="0000FF"/>
            <w:sz w:val="28"/>
            <w:u w:val="single"/>
          </w:rPr>
          <w:t xml:space="preserve">Die Zukunft der Stromversorgung und </w:t>
        </w:r>
        <w:proofErr w:type="spellStart"/>
        <w:r w:rsidR="00465FCD">
          <w:rPr>
            <w:b/>
            <w:i/>
            <w:color w:val="0000FF"/>
            <w:sz w:val="28"/>
            <w:u w:val="single"/>
          </w:rPr>
          <w:t>Strombepreisung</w:t>
        </w:r>
        <w:proofErr w:type="spellEnd"/>
        <w:r w:rsidR="00465FCD">
          <w:rPr>
            <w:b/>
            <w:i/>
            <w:color w:val="0000FF"/>
            <w:sz w:val="28"/>
            <w:u w:val="single"/>
          </w:rPr>
          <w:t xml:space="preserve"> in der EU</w:t>
        </w:r>
      </w:hyperlink>
    </w:p>
    <w:p w:rsidRPr="00EA3596" w:rsidR="00EA3596" w:rsidP="0060010D" w:rsidRDefault="00EA3596" w14:paraId="6FED0A47" w14:textId="77777777">
      <w:pPr>
        <w:keepNext/>
        <w:keepLines/>
        <w:widowControl w:val="0"/>
        <w:overflowPunct w:val="0"/>
        <w:autoSpaceDE w:val="0"/>
        <w:autoSpaceDN w:val="0"/>
        <w:adjustRightInd w:val="0"/>
        <w:textAlignment w:val="baseline"/>
        <w:rPr>
          <w:b/>
          <w:u w:val="single"/>
          <w:lang w:val="en-GB"/>
        </w:rPr>
      </w:pPr>
    </w:p>
    <w:tbl>
      <w:tblPr>
        <w:tblW w:w="0" w:type="auto"/>
        <w:tblLook w:val="04A0" w:firstRow="1" w:lastRow="0" w:firstColumn="1" w:lastColumn="0" w:noHBand="0" w:noVBand="1"/>
      </w:tblPr>
      <w:tblGrid>
        <w:gridCol w:w="1938"/>
        <w:gridCol w:w="7351"/>
      </w:tblGrid>
      <w:tr w:rsidRPr="00FA33C4" w:rsidR="00EA3596" w:rsidTr="0060010D" w14:paraId="294163F6" w14:textId="77777777">
        <w:tc>
          <w:tcPr>
            <w:tcW w:w="1701" w:type="dxa"/>
          </w:tcPr>
          <w:p w:rsidRPr="00FA33C4" w:rsidR="00EA3596" w:rsidRDefault="00EA3596" w14:paraId="73B02B51" w14:textId="0A8DF9EF">
            <w:pPr>
              <w:tabs>
                <w:tab w:val="center" w:pos="284"/>
              </w:tabs>
              <w:overflowPunct w:val="0"/>
              <w:autoSpaceDE w:val="0"/>
              <w:autoSpaceDN w:val="0"/>
              <w:adjustRightInd w:val="0"/>
              <w:ind w:left="266" w:hanging="266"/>
              <w:textAlignment w:val="baseline"/>
              <w:rPr>
                <w:b/>
                <w:sz w:val="20"/>
                <w:szCs w:val="20"/>
              </w:rPr>
            </w:pPr>
            <w:r>
              <w:rPr>
                <w:b/>
                <w:sz w:val="20"/>
              </w:rPr>
              <w:t>Berichterstatter</w:t>
            </w:r>
          </w:p>
        </w:tc>
        <w:tc>
          <w:tcPr>
            <w:tcW w:w="7479" w:type="dxa"/>
          </w:tcPr>
          <w:p w:rsidRPr="00FA33C4" w:rsidR="00EA3596" w:rsidRDefault="00EA3596" w14:paraId="487AC76C" w14:textId="77777777">
            <w:pPr>
              <w:tabs>
                <w:tab w:val="center" w:pos="284"/>
              </w:tabs>
              <w:overflowPunct w:val="0"/>
              <w:autoSpaceDE w:val="0"/>
              <w:autoSpaceDN w:val="0"/>
              <w:adjustRightInd w:val="0"/>
              <w:ind w:left="266" w:hanging="266"/>
              <w:textAlignment w:val="baseline"/>
              <w:rPr>
                <w:sz w:val="20"/>
                <w:szCs w:val="20"/>
              </w:rPr>
            </w:pPr>
            <w:r>
              <w:rPr>
                <w:sz w:val="20"/>
              </w:rPr>
              <w:t>Jan DIRX (Gruppe Organisationen der Zivilgesellschaft – NL)</w:t>
            </w:r>
          </w:p>
        </w:tc>
      </w:tr>
      <w:tr w:rsidRPr="00FA33C4" w:rsidR="00EA3596" w:rsidTr="0060010D" w14:paraId="18FE22F6" w14:textId="77777777">
        <w:tc>
          <w:tcPr>
            <w:tcW w:w="1701" w:type="dxa"/>
          </w:tcPr>
          <w:p w:rsidRPr="00FA33C4" w:rsidR="00EA3596" w:rsidRDefault="00EA3596" w14:paraId="4CA49328" w14:textId="77777777">
            <w:pPr>
              <w:tabs>
                <w:tab w:val="center" w:pos="284"/>
              </w:tabs>
              <w:overflowPunct w:val="0"/>
              <w:autoSpaceDE w:val="0"/>
              <w:autoSpaceDN w:val="0"/>
              <w:adjustRightInd w:val="0"/>
              <w:ind w:left="266" w:hanging="266"/>
              <w:textAlignment w:val="baseline"/>
              <w:rPr>
                <w:b/>
                <w:sz w:val="20"/>
                <w:szCs w:val="20"/>
              </w:rPr>
            </w:pPr>
            <w:r>
              <w:rPr>
                <w:b/>
                <w:sz w:val="20"/>
              </w:rPr>
              <w:t>Ko-Berichterstatter</w:t>
            </w:r>
          </w:p>
        </w:tc>
        <w:tc>
          <w:tcPr>
            <w:tcW w:w="7479" w:type="dxa"/>
          </w:tcPr>
          <w:p w:rsidRPr="00FA33C4" w:rsidR="00EA3596" w:rsidRDefault="00EA3596" w14:paraId="60AE479C" w14:textId="77777777">
            <w:pPr>
              <w:tabs>
                <w:tab w:val="center" w:pos="284"/>
              </w:tabs>
              <w:overflowPunct w:val="0"/>
              <w:autoSpaceDE w:val="0"/>
              <w:autoSpaceDN w:val="0"/>
              <w:adjustRightInd w:val="0"/>
              <w:ind w:left="266" w:hanging="266"/>
              <w:textAlignment w:val="baseline"/>
              <w:rPr>
                <w:sz w:val="20"/>
                <w:szCs w:val="20"/>
              </w:rPr>
            </w:pPr>
            <w:r>
              <w:rPr>
                <w:sz w:val="20"/>
              </w:rPr>
              <w:t>Thomas KATTNIG (Gruppe Arbeitnehmer – AT)</w:t>
            </w:r>
          </w:p>
        </w:tc>
      </w:tr>
      <w:tr w:rsidRPr="00FA33C4" w:rsidR="00EA3596" w:rsidTr="0060010D" w14:paraId="752E26C2" w14:textId="77777777">
        <w:tc>
          <w:tcPr>
            <w:tcW w:w="9180" w:type="dxa"/>
            <w:gridSpan w:val="2"/>
          </w:tcPr>
          <w:p w:rsidRPr="00FA33C4" w:rsidR="00EA3596" w:rsidP="0060010D" w:rsidRDefault="00EA3596" w14:paraId="688FF16F" w14:textId="77777777">
            <w:pPr>
              <w:tabs>
                <w:tab w:val="center" w:pos="284"/>
              </w:tabs>
              <w:overflowPunct w:val="0"/>
              <w:autoSpaceDE w:val="0"/>
              <w:autoSpaceDN w:val="0"/>
              <w:adjustRightInd w:val="0"/>
              <w:ind w:left="266" w:hanging="266"/>
              <w:textAlignment w:val="baseline"/>
              <w:rPr>
                <w:sz w:val="20"/>
                <w:szCs w:val="20"/>
              </w:rPr>
            </w:pPr>
          </w:p>
        </w:tc>
      </w:tr>
      <w:tr w:rsidRPr="00FA33C4" w:rsidR="00EA3596" w:rsidTr="0060010D" w14:paraId="234C68A2" w14:textId="77777777">
        <w:tc>
          <w:tcPr>
            <w:tcW w:w="1701" w:type="dxa"/>
          </w:tcPr>
          <w:p w:rsidRPr="00FA33C4" w:rsidR="00EA3596" w:rsidRDefault="00EA3596" w14:paraId="0691CEDA" w14:textId="77777777">
            <w:pPr>
              <w:tabs>
                <w:tab w:val="center" w:pos="284"/>
              </w:tabs>
              <w:overflowPunct w:val="0"/>
              <w:autoSpaceDE w:val="0"/>
              <w:autoSpaceDN w:val="0"/>
              <w:adjustRightInd w:val="0"/>
              <w:ind w:left="266" w:hanging="266"/>
              <w:textAlignment w:val="baseline"/>
              <w:rPr>
                <w:b/>
                <w:sz w:val="20"/>
                <w:szCs w:val="20"/>
              </w:rPr>
            </w:pPr>
            <w:r>
              <w:rPr>
                <w:b/>
                <w:sz w:val="20"/>
              </w:rPr>
              <w:t>Referenzdokumente</w:t>
            </w:r>
          </w:p>
        </w:tc>
        <w:tc>
          <w:tcPr>
            <w:tcW w:w="7479" w:type="dxa"/>
          </w:tcPr>
          <w:p w:rsidRPr="00FA33C4" w:rsidR="00EA3596" w:rsidRDefault="00EA3596" w14:paraId="22B923BD" w14:textId="77777777">
            <w:pPr>
              <w:tabs>
                <w:tab w:val="center" w:pos="284"/>
              </w:tabs>
              <w:overflowPunct w:val="0"/>
              <w:autoSpaceDE w:val="0"/>
              <w:autoSpaceDN w:val="0"/>
              <w:adjustRightInd w:val="0"/>
              <w:ind w:left="266" w:hanging="266"/>
              <w:textAlignment w:val="baseline"/>
              <w:rPr>
                <w:sz w:val="20"/>
                <w:szCs w:val="20"/>
              </w:rPr>
            </w:pPr>
            <w:r>
              <w:rPr>
                <w:sz w:val="20"/>
              </w:rPr>
              <w:t>Initiativstellungnahme</w:t>
            </w:r>
          </w:p>
          <w:p w:rsidRPr="00FA33C4" w:rsidR="00EA3596" w:rsidRDefault="00EA3596" w14:paraId="339CD963" w14:textId="26FF9FD9">
            <w:pPr>
              <w:tabs>
                <w:tab w:val="center" w:pos="284"/>
              </w:tabs>
              <w:overflowPunct w:val="0"/>
              <w:autoSpaceDE w:val="0"/>
              <w:autoSpaceDN w:val="0"/>
              <w:adjustRightInd w:val="0"/>
              <w:ind w:left="266" w:hanging="266"/>
              <w:textAlignment w:val="baseline"/>
              <w:rPr>
                <w:sz w:val="20"/>
                <w:szCs w:val="20"/>
              </w:rPr>
            </w:pPr>
            <w:r>
              <w:rPr>
                <w:sz w:val="20"/>
              </w:rPr>
              <w:t>EESC-2024-00983-00-00-AC</w:t>
            </w:r>
          </w:p>
        </w:tc>
      </w:tr>
    </w:tbl>
    <w:p w:rsidRPr="00EA3596" w:rsidR="00EA3596" w:rsidRDefault="00EA3596" w14:paraId="4556D522" w14:textId="77777777">
      <w:pPr>
        <w:keepNext/>
        <w:keepLines/>
        <w:tabs>
          <w:tab w:val="center" w:pos="284"/>
        </w:tabs>
        <w:overflowPunct w:val="0"/>
        <w:autoSpaceDE w:val="0"/>
        <w:autoSpaceDN w:val="0"/>
        <w:adjustRightInd w:val="0"/>
        <w:ind w:left="266" w:hanging="266"/>
        <w:textAlignment w:val="baseline"/>
        <w:rPr>
          <w:b/>
          <w:lang w:val="en-GB"/>
        </w:rPr>
      </w:pPr>
    </w:p>
    <w:p w:rsidRPr="00EA3596" w:rsidR="00EA3596" w:rsidRDefault="00EA3596" w14:paraId="2F3B61BA"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EA3596" w:rsidR="00EA3596" w:rsidRDefault="00EA3596" w14:paraId="1420F763" w14:textId="77777777">
      <w:pPr>
        <w:keepNext/>
        <w:keepLines/>
        <w:tabs>
          <w:tab w:val="center" w:pos="284"/>
        </w:tabs>
        <w:overflowPunct w:val="0"/>
        <w:autoSpaceDE w:val="0"/>
        <w:autoSpaceDN w:val="0"/>
        <w:adjustRightInd w:val="0"/>
        <w:ind w:left="266" w:hanging="266"/>
        <w:textAlignment w:val="baseline"/>
        <w:rPr>
          <w:b/>
          <w:lang w:val="en-GB"/>
        </w:rPr>
      </w:pPr>
    </w:p>
    <w:p w:rsidR="00EA3596" w:rsidRDefault="00EA3596" w14:paraId="4FBF4A22" w14:textId="77777777">
      <w:pPr>
        <w:overflowPunct w:val="0"/>
        <w:autoSpaceDE w:val="0"/>
        <w:autoSpaceDN w:val="0"/>
        <w:adjustRightInd w:val="0"/>
        <w:textAlignment w:val="baseline"/>
        <w:rPr>
          <w:bCs/>
          <w:iCs/>
        </w:rPr>
      </w:pPr>
      <w:r>
        <w:t>Der EWSA</w:t>
      </w:r>
    </w:p>
    <w:p w:rsidRPr="00EA3596" w:rsidR="00EA3596" w:rsidP="0060010D" w:rsidRDefault="00EA3596" w14:paraId="788BEAE4" w14:textId="77777777">
      <w:pPr>
        <w:widowControl w:val="0"/>
        <w:numPr>
          <w:ilvl w:val="0"/>
          <w:numId w:val="29"/>
        </w:numPr>
        <w:overflowPunct w:val="0"/>
        <w:autoSpaceDE w:val="0"/>
        <w:autoSpaceDN w:val="0"/>
        <w:adjustRightInd w:val="0"/>
        <w:ind w:left="567" w:hanging="567"/>
        <w:textAlignment w:val="baseline"/>
        <w:rPr>
          <w:szCs w:val="20"/>
        </w:rPr>
      </w:pPr>
      <w:r>
        <w:t>ist überzeugt, dass eine Reform des Strommarkts dem Ziel der Klimaneutralität bis spätestens 2050 in Verbindung mit den Zielen der Versorgungssicherheit und stabiler und erschwinglicher Preise dienen sollte, wobei zum Schutz gefährdeter Gruppen das Recht auf Energie zu gewährleisten ist;</w:t>
      </w:r>
    </w:p>
    <w:p w:rsidRPr="00EA3596" w:rsidR="00EA3596" w:rsidP="0060010D" w:rsidRDefault="00EA3596" w14:paraId="2ABF264A" w14:textId="77777777">
      <w:pPr>
        <w:widowControl w:val="0"/>
        <w:numPr>
          <w:ilvl w:val="0"/>
          <w:numId w:val="29"/>
        </w:numPr>
        <w:overflowPunct w:val="0"/>
        <w:autoSpaceDE w:val="0"/>
        <w:autoSpaceDN w:val="0"/>
        <w:adjustRightInd w:val="0"/>
        <w:ind w:left="567" w:hanging="567"/>
        <w:textAlignment w:val="baseline"/>
        <w:rPr>
          <w:szCs w:val="20"/>
        </w:rPr>
      </w:pPr>
      <w:r>
        <w:t>fordert ein Modell aus staatlicher Regulierung (wenn erforderlich) und privatem Unternehmertum (wenn möglich), und zwar eine E-Agentur, die die Form eines von der Regierung gegründeten Unternehmens annehmen könnte, das die Rolle eines Market-Makers übernimmt;</w:t>
      </w:r>
    </w:p>
    <w:p w:rsidRPr="00EA3596" w:rsidR="00EA3596" w:rsidP="0060010D" w:rsidRDefault="00EA3596" w14:paraId="022CA94C" w14:textId="77777777">
      <w:pPr>
        <w:widowControl w:val="0"/>
        <w:numPr>
          <w:ilvl w:val="0"/>
          <w:numId w:val="29"/>
        </w:numPr>
        <w:overflowPunct w:val="0"/>
        <w:autoSpaceDE w:val="0"/>
        <w:autoSpaceDN w:val="0"/>
        <w:adjustRightInd w:val="0"/>
        <w:ind w:left="567" w:hanging="567"/>
        <w:textAlignment w:val="baseline"/>
        <w:rPr>
          <w:szCs w:val="20"/>
        </w:rPr>
      </w:pPr>
      <w:r>
        <w:t>plädiert dafür, die Stromerzeugung in kleinem Maßstab zu fördern, um den Strompreis für die Verbraucher erschwinglich zu halten und die Flexibilitätsoptionen der Netze zu erhöhen;</w:t>
      </w:r>
    </w:p>
    <w:p w:rsidRPr="00EA3596" w:rsidR="00EA3596" w:rsidP="0060010D" w:rsidRDefault="00EA3596" w14:paraId="066775DF" w14:textId="77777777">
      <w:pPr>
        <w:widowControl w:val="0"/>
        <w:numPr>
          <w:ilvl w:val="0"/>
          <w:numId w:val="29"/>
        </w:numPr>
        <w:overflowPunct w:val="0"/>
        <w:autoSpaceDE w:val="0"/>
        <w:autoSpaceDN w:val="0"/>
        <w:adjustRightInd w:val="0"/>
        <w:ind w:left="567" w:hanging="567"/>
        <w:textAlignment w:val="baseline"/>
        <w:rPr>
          <w:szCs w:val="20"/>
        </w:rPr>
      </w:pPr>
      <w:r>
        <w:t>ist der Ansicht, dass die Regierungen angesichts des erwarteten Preisanstiegs aufgrund der Stromkosten bis 2030 und darüber hinaus ihre Politik in Bezug auf die Besteuerung des an die Verbraucher gelieferten Stroms überdenken müssen.</w:t>
      </w:r>
    </w:p>
    <w:p w:rsidRPr="00EA3596" w:rsidR="00EA3596" w:rsidP="0060010D" w:rsidRDefault="00EA3596" w14:paraId="4A219466" w14:textId="77777777">
      <w:pPr>
        <w:widowControl w:val="0"/>
        <w:overflowPunct w:val="0"/>
        <w:autoSpaceDE w:val="0"/>
        <w:autoSpaceDN w:val="0"/>
        <w:adjustRightInd w:val="0"/>
        <w:ind w:left="568"/>
        <w:textAlignment w:val="baseline"/>
        <w:rPr>
          <w:szCs w:val="20"/>
          <w:lang w:val="en-GB"/>
        </w:rPr>
      </w:pPr>
    </w:p>
    <w:tbl>
      <w:tblPr>
        <w:tblW w:w="9322" w:type="dxa"/>
        <w:tblLook w:val="04A0" w:firstRow="1" w:lastRow="0" w:firstColumn="1" w:lastColumn="0" w:noHBand="0" w:noVBand="1"/>
      </w:tblPr>
      <w:tblGrid>
        <w:gridCol w:w="1418"/>
        <w:gridCol w:w="7904"/>
      </w:tblGrid>
      <w:tr w:rsidRPr="00FA33C4" w:rsidR="00EA3596" w:rsidTr="0060010D" w14:paraId="25FEBE48" w14:textId="77777777">
        <w:tc>
          <w:tcPr>
            <w:tcW w:w="1418" w:type="dxa"/>
          </w:tcPr>
          <w:p w:rsidRPr="00FA33C4" w:rsidR="00EA3596" w:rsidP="0060010D" w:rsidRDefault="00EA3596" w14:paraId="0546FA38" w14:textId="77777777">
            <w:pPr>
              <w:overflowPunct w:val="0"/>
              <w:autoSpaceDE w:val="0"/>
              <w:autoSpaceDN w:val="0"/>
              <w:adjustRightInd w:val="0"/>
              <w:textAlignment w:val="baseline"/>
              <w:rPr>
                <w:i/>
                <w:sz w:val="20"/>
                <w:szCs w:val="20"/>
              </w:rPr>
            </w:pPr>
            <w:r>
              <w:rPr>
                <w:b/>
                <w:i/>
                <w:sz w:val="20"/>
              </w:rPr>
              <w:t>Kontakt</w:t>
            </w:r>
          </w:p>
        </w:tc>
        <w:tc>
          <w:tcPr>
            <w:tcW w:w="7904" w:type="dxa"/>
          </w:tcPr>
          <w:p w:rsidRPr="00FA33C4" w:rsidR="00EA3596" w:rsidP="0060010D" w:rsidRDefault="00EA3596" w14:paraId="0EF9F37D" w14:textId="5AE33465">
            <w:pPr>
              <w:overflowPunct w:val="0"/>
              <w:autoSpaceDE w:val="0"/>
              <w:autoSpaceDN w:val="0"/>
              <w:adjustRightInd w:val="0"/>
              <w:textAlignment w:val="baseline"/>
              <w:rPr>
                <w:i/>
                <w:sz w:val="20"/>
                <w:szCs w:val="20"/>
              </w:rPr>
            </w:pPr>
            <w:r>
              <w:rPr>
                <w:i/>
                <w:sz w:val="20"/>
              </w:rPr>
              <w:t xml:space="preserve">Maja </w:t>
            </w:r>
            <w:proofErr w:type="spellStart"/>
            <w:r>
              <w:rPr>
                <w:i/>
                <w:sz w:val="20"/>
              </w:rPr>
              <w:t>Radman</w:t>
            </w:r>
            <w:proofErr w:type="spellEnd"/>
          </w:p>
        </w:tc>
      </w:tr>
      <w:tr w:rsidRPr="00FA33C4" w:rsidR="00EA3596" w:rsidTr="0060010D" w14:paraId="11BC37BF" w14:textId="77777777">
        <w:tc>
          <w:tcPr>
            <w:tcW w:w="1418" w:type="dxa"/>
          </w:tcPr>
          <w:p w:rsidRPr="00FA33C4" w:rsidR="00EA3596" w:rsidP="0060010D" w:rsidRDefault="00EA3596" w14:paraId="38D688A7" w14:textId="77777777">
            <w:pPr>
              <w:overflowPunct w:val="0"/>
              <w:autoSpaceDE w:val="0"/>
              <w:autoSpaceDN w:val="0"/>
              <w:adjustRightInd w:val="0"/>
              <w:textAlignment w:val="baseline"/>
              <w:rPr>
                <w:i/>
                <w:sz w:val="20"/>
                <w:szCs w:val="20"/>
              </w:rPr>
            </w:pPr>
            <w:r>
              <w:rPr>
                <w:i/>
                <w:sz w:val="20"/>
              </w:rPr>
              <w:t>Tel.</w:t>
            </w:r>
          </w:p>
        </w:tc>
        <w:tc>
          <w:tcPr>
            <w:tcW w:w="7904" w:type="dxa"/>
          </w:tcPr>
          <w:p w:rsidRPr="00FA33C4" w:rsidR="00EA3596" w:rsidP="0060010D" w:rsidRDefault="00EA3596" w14:paraId="194546DC" w14:textId="77777777">
            <w:pPr>
              <w:overflowPunct w:val="0"/>
              <w:autoSpaceDE w:val="0"/>
              <w:autoSpaceDN w:val="0"/>
              <w:adjustRightInd w:val="0"/>
              <w:textAlignment w:val="baseline"/>
              <w:rPr>
                <w:i/>
                <w:sz w:val="20"/>
                <w:szCs w:val="20"/>
              </w:rPr>
            </w:pPr>
            <w:r>
              <w:rPr>
                <w:i/>
                <w:sz w:val="20"/>
              </w:rPr>
              <w:t>+32 25469051</w:t>
            </w:r>
          </w:p>
        </w:tc>
      </w:tr>
      <w:tr w:rsidRPr="00FA33C4" w:rsidR="00EA3596" w:rsidTr="0060010D" w14:paraId="117E4CDE" w14:textId="77777777">
        <w:tc>
          <w:tcPr>
            <w:tcW w:w="1418" w:type="dxa"/>
          </w:tcPr>
          <w:p w:rsidRPr="00FA33C4" w:rsidR="00EA3596" w:rsidP="0060010D" w:rsidRDefault="002538AC" w14:paraId="7CB35B59" w14:textId="2FC9A36D">
            <w:pPr>
              <w:overflowPunct w:val="0"/>
              <w:autoSpaceDE w:val="0"/>
              <w:autoSpaceDN w:val="0"/>
              <w:adjustRightInd w:val="0"/>
              <w:textAlignment w:val="baseline"/>
              <w:rPr>
                <w:i/>
                <w:sz w:val="20"/>
                <w:szCs w:val="20"/>
              </w:rPr>
            </w:pPr>
            <w:r>
              <w:rPr>
                <w:i/>
                <w:sz w:val="20"/>
              </w:rPr>
              <w:t>E-Mail</w:t>
            </w:r>
          </w:p>
        </w:tc>
        <w:tc>
          <w:tcPr>
            <w:tcW w:w="7904" w:type="dxa"/>
          </w:tcPr>
          <w:p w:rsidRPr="00FA33C4" w:rsidR="00EA3596" w:rsidP="0060010D" w:rsidRDefault="001201F9" w14:paraId="07C451AF" w14:textId="77777777">
            <w:pPr>
              <w:overflowPunct w:val="0"/>
              <w:autoSpaceDE w:val="0"/>
              <w:autoSpaceDN w:val="0"/>
              <w:adjustRightInd w:val="0"/>
              <w:textAlignment w:val="baseline"/>
              <w:rPr>
                <w:i/>
                <w:iCs/>
                <w:sz w:val="20"/>
                <w:szCs w:val="20"/>
              </w:rPr>
            </w:pPr>
            <w:hyperlink w:history="1" r:id="rId27">
              <w:r w:rsidR="00465FCD">
                <w:rPr>
                  <w:i/>
                  <w:color w:val="0000FF"/>
                  <w:sz w:val="20"/>
                  <w:u w:val="single"/>
                </w:rPr>
                <w:t>Maja.Radman@eesc.europa.eu</w:t>
              </w:r>
            </w:hyperlink>
          </w:p>
        </w:tc>
      </w:tr>
    </w:tbl>
    <w:p w:rsidR="007554BE" w:rsidP="007554BE" w:rsidRDefault="007554BE" w14:paraId="0F2E9BAF" w14:textId="77777777">
      <w:pPr>
        <w:jc w:val="left"/>
      </w:pPr>
    </w:p>
    <w:p w:rsidRPr="0020320E" w:rsidR="0020320E" w:rsidP="001421CC" w:rsidRDefault="001201F9" w14:paraId="23E4FA4E" w14:textId="658F4A09">
      <w:pPr>
        <w:widowControl w:val="0"/>
        <w:numPr>
          <w:ilvl w:val="0"/>
          <w:numId w:val="4"/>
        </w:numPr>
        <w:overflowPunct w:val="0"/>
        <w:autoSpaceDE w:val="0"/>
        <w:autoSpaceDN w:val="0"/>
        <w:adjustRightInd w:val="0"/>
        <w:ind w:hanging="567"/>
        <w:textAlignment w:val="baseline"/>
        <w:rPr>
          <w:b/>
          <w:u w:val="single"/>
        </w:rPr>
      </w:pPr>
      <w:hyperlink w:history="1" r:id="rId28">
        <w:r w:rsidR="00465FCD">
          <w:rPr>
            <w:b/>
            <w:i/>
            <w:color w:val="0000FF"/>
            <w:sz w:val="28"/>
            <w:u w:val="single"/>
          </w:rPr>
          <w:t>EU-Meeresstrategie: auf Zukunftskurs mit koordinierten Investitionsmaßnahmen, Gesetzesinitiativen, sozialem Dialog und zivilgesellschaftlicher Beteiligung</w:t>
        </w:r>
      </w:hyperlink>
    </w:p>
    <w:p w:rsidRPr="0020320E" w:rsidR="0020320E" w:rsidP="001421CC" w:rsidRDefault="0020320E" w14:paraId="22635895" w14:textId="77777777">
      <w:pPr>
        <w:widowControl w:val="0"/>
        <w:overflowPunct w:val="0"/>
        <w:autoSpaceDE w:val="0"/>
        <w:autoSpaceDN w:val="0"/>
        <w:adjustRightInd w:val="0"/>
        <w:textAlignment w:val="baseline"/>
        <w:rPr>
          <w:b/>
          <w:u w:val="single"/>
          <w:lang w:val="en-GB"/>
        </w:rPr>
      </w:pPr>
    </w:p>
    <w:tbl>
      <w:tblPr>
        <w:tblW w:w="0" w:type="auto"/>
        <w:tblLook w:val="04A0" w:firstRow="1" w:lastRow="0" w:firstColumn="1" w:lastColumn="0" w:noHBand="0" w:noVBand="1"/>
      </w:tblPr>
      <w:tblGrid>
        <w:gridCol w:w="2093"/>
        <w:gridCol w:w="7196"/>
      </w:tblGrid>
      <w:tr w:rsidRPr="00FA33C4" w:rsidR="0020320E" w:rsidTr="000D47FF" w14:paraId="18E926C0" w14:textId="77777777">
        <w:tc>
          <w:tcPr>
            <w:tcW w:w="2093" w:type="dxa"/>
          </w:tcPr>
          <w:p w:rsidRPr="00FA33C4" w:rsidR="0020320E" w:rsidP="001421CC" w:rsidRDefault="0020320E" w14:paraId="584A023A" w14:textId="77777777">
            <w:pPr>
              <w:tabs>
                <w:tab w:val="center" w:pos="284"/>
              </w:tabs>
              <w:overflowPunct w:val="0"/>
              <w:autoSpaceDE w:val="0"/>
              <w:autoSpaceDN w:val="0"/>
              <w:adjustRightInd w:val="0"/>
              <w:ind w:left="266" w:hanging="266"/>
              <w:textAlignment w:val="baseline"/>
              <w:rPr>
                <w:b/>
                <w:sz w:val="20"/>
                <w:szCs w:val="20"/>
              </w:rPr>
            </w:pPr>
            <w:r>
              <w:rPr>
                <w:b/>
                <w:sz w:val="20"/>
              </w:rPr>
              <w:t xml:space="preserve">Berichterstatterin </w:t>
            </w:r>
          </w:p>
        </w:tc>
        <w:tc>
          <w:tcPr>
            <w:tcW w:w="7196" w:type="dxa"/>
          </w:tcPr>
          <w:p w:rsidRPr="00FA33C4" w:rsidR="0020320E" w:rsidP="001421CC" w:rsidRDefault="0020320E" w14:paraId="2A444A75" w14:textId="45183960">
            <w:pPr>
              <w:tabs>
                <w:tab w:val="center" w:pos="284"/>
              </w:tabs>
              <w:overflowPunct w:val="0"/>
              <w:autoSpaceDE w:val="0"/>
              <w:autoSpaceDN w:val="0"/>
              <w:adjustRightInd w:val="0"/>
              <w:ind w:left="266" w:hanging="266"/>
              <w:textAlignment w:val="baseline"/>
              <w:rPr>
                <w:sz w:val="20"/>
                <w:szCs w:val="20"/>
              </w:rPr>
            </w:pPr>
            <w:proofErr w:type="spellStart"/>
            <w:r>
              <w:rPr>
                <w:sz w:val="20"/>
              </w:rPr>
              <w:t>Ágnes</w:t>
            </w:r>
            <w:proofErr w:type="spellEnd"/>
            <w:r>
              <w:rPr>
                <w:sz w:val="20"/>
              </w:rPr>
              <w:t xml:space="preserve"> CSER (Gruppe Organisationen der Zivilgesellschaft – HU)</w:t>
            </w:r>
          </w:p>
        </w:tc>
      </w:tr>
      <w:tr w:rsidRPr="00FA33C4" w:rsidR="0020320E" w:rsidTr="000D47FF" w14:paraId="6DE89139" w14:textId="77777777">
        <w:tc>
          <w:tcPr>
            <w:tcW w:w="2093" w:type="dxa"/>
          </w:tcPr>
          <w:p w:rsidRPr="00FA33C4" w:rsidR="0020320E" w:rsidP="001421CC" w:rsidRDefault="0020320E" w14:paraId="438048B9" w14:textId="77777777">
            <w:pPr>
              <w:tabs>
                <w:tab w:val="center" w:pos="284"/>
              </w:tabs>
              <w:overflowPunct w:val="0"/>
              <w:autoSpaceDE w:val="0"/>
              <w:autoSpaceDN w:val="0"/>
              <w:adjustRightInd w:val="0"/>
              <w:ind w:left="266" w:hanging="266"/>
              <w:textAlignment w:val="baseline"/>
              <w:rPr>
                <w:b/>
                <w:sz w:val="20"/>
                <w:szCs w:val="20"/>
              </w:rPr>
            </w:pPr>
            <w:r>
              <w:rPr>
                <w:b/>
                <w:sz w:val="20"/>
              </w:rPr>
              <w:t>Ko-Berichterstatterin</w:t>
            </w:r>
          </w:p>
        </w:tc>
        <w:tc>
          <w:tcPr>
            <w:tcW w:w="7196" w:type="dxa"/>
          </w:tcPr>
          <w:p w:rsidRPr="00FA33C4" w:rsidR="0020320E" w:rsidP="001421CC" w:rsidRDefault="0020320E" w14:paraId="2B72CB28" w14:textId="4D5DE640">
            <w:pPr>
              <w:tabs>
                <w:tab w:val="center" w:pos="284"/>
              </w:tabs>
              <w:overflowPunct w:val="0"/>
              <w:autoSpaceDE w:val="0"/>
              <w:autoSpaceDN w:val="0"/>
              <w:adjustRightInd w:val="0"/>
              <w:ind w:left="266" w:hanging="266"/>
              <w:textAlignment w:val="baseline"/>
              <w:rPr>
                <w:sz w:val="20"/>
                <w:szCs w:val="20"/>
              </w:rPr>
            </w:pPr>
            <w:r>
              <w:rPr>
                <w:sz w:val="20"/>
              </w:rPr>
              <w:t>Tanja BUZEK (Gruppe Arbeitnehmer – DE)</w:t>
            </w:r>
          </w:p>
        </w:tc>
      </w:tr>
      <w:tr w:rsidRPr="00FA33C4" w:rsidR="0020320E" w:rsidTr="000D47FF" w14:paraId="51879E6E" w14:textId="77777777">
        <w:tc>
          <w:tcPr>
            <w:tcW w:w="9289" w:type="dxa"/>
            <w:gridSpan w:val="2"/>
          </w:tcPr>
          <w:p w:rsidRPr="00FA33C4" w:rsidR="0020320E" w:rsidP="001421CC" w:rsidRDefault="0020320E" w14:paraId="0E1833CB" w14:textId="77777777">
            <w:pPr>
              <w:tabs>
                <w:tab w:val="center" w:pos="284"/>
              </w:tabs>
              <w:overflowPunct w:val="0"/>
              <w:autoSpaceDE w:val="0"/>
              <w:autoSpaceDN w:val="0"/>
              <w:adjustRightInd w:val="0"/>
              <w:ind w:left="266" w:hanging="266"/>
              <w:textAlignment w:val="baseline"/>
              <w:rPr>
                <w:sz w:val="20"/>
                <w:szCs w:val="20"/>
                <w:lang w:val="nl-BE"/>
              </w:rPr>
            </w:pPr>
          </w:p>
        </w:tc>
      </w:tr>
      <w:tr w:rsidRPr="00FA33C4" w:rsidR="0020320E" w:rsidTr="000D47FF" w14:paraId="4E3C73DB" w14:textId="77777777">
        <w:tc>
          <w:tcPr>
            <w:tcW w:w="2093" w:type="dxa"/>
          </w:tcPr>
          <w:p w:rsidRPr="00FA33C4" w:rsidR="0020320E" w:rsidP="001421CC" w:rsidRDefault="0020320E" w14:paraId="5AD5B7D4" w14:textId="77777777">
            <w:pPr>
              <w:tabs>
                <w:tab w:val="center" w:pos="284"/>
              </w:tabs>
              <w:overflowPunct w:val="0"/>
              <w:autoSpaceDE w:val="0"/>
              <w:autoSpaceDN w:val="0"/>
              <w:adjustRightInd w:val="0"/>
              <w:ind w:left="266" w:hanging="266"/>
              <w:textAlignment w:val="baseline"/>
              <w:rPr>
                <w:b/>
                <w:sz w:val="20"/>
                <w:szCs w:val="20"/>
              </w:rPr>
            </w:pPr>
            <w:r>
              <w:rPr>
                <w:b/>
                <w:sz w:val="20"/>
              </w:rPr>
              <w:t>Referenzdokument</w:t>
            </w:r>
          </w:p>
        </w:tc>
        <w:tc>
          <w:tcPr>
            <w:tcW w:w="7196" w:type="dxa"/>
          </w:tcPr>
          <w:p w:rsidRPr="00FA33C4" w:rsidR="0020320E" w:rsidP="001421CC" w:rsidRDefault="0020320E" w14:paraId="53FA1FFF" w14:textId="77777777">
            <w:pPr>
              <w:tabs>
                <w:tab w:val="center" w:pos="284"/>
              </w:tabs>
              <w:overflowPunct w:val="0"/>
              <w:autoSpaceDE w:val="0"/>
              <w:autoSpaceDN w:val="0"/>
              <w:adjustRightInd w:val="0"/>
              <w:ind w:left="266" w:hanging="266"/>
              <w:textAlignment w:val="baseline"/>
              <w:rPr>
                <w:sz w:val="20"/>
                <w:szCs w:val="20"/>
              </w:rPr>
            </w:pPr>
            <w:r>
              <w:rPr>
                <w:sz w:val="20"/>
              </w:rPr>
              <w:t>Initiativstellungnahme</w:t>
            </w:r>
          </w:p>
          <w:p w:rsidRPr="00FA33C4" w:rsidR="0020320E" w:rsidP="001421CC" w:rsidRDefault="0020320E" w14:paraId="3DAA6DA0" w14:textId="77777777">
            <w:pPr>
              <w:tabs>
                <w:tab w:val="center" w:pos="284"/>
              </w:tabs>
              <w:overflowPunct w:val="0"/>
              <w:autoSpaceDE w:val="0"/>
              <w:autoSpaceDN w:val="0"/>
              <w:adjustRightInd w:val="0"/>
              <w:ind w:left="266" w:hanging="266"/>
              <w:textAlignment w:val="baseline"/>
              <w:rPr>
                <w:sz w:val="20"/>
                <w:szCs w:val="20"/>
              </w:rPr>
            </w:pPr>
            <w:r>
              <w:rPr>
                <w:sz w:val="20"/>
              </w:rPr>
              <w:t>EESC-2024-00720-00-00-AC</w:t>
            </w:r>
          </w:p>
        </w:tc>
      </w:tr>
    </w:tbl>
    <w:p w:rsidRPr="0020320E" w:rsidR="0020320E" w:rsidP="001421CC" w:rsidRDefault="0020320E" w14:paraId="00358582" w14:textId="77777777">
      <w:pPr>
        <w:tabs>
          <w:tab w:val="center" w:pos="284"/>
        </w:tabs>
        <w:overflowPunct w:val="0"/>
        <w:autoSpaceDE w:val="0"/>
        <w:autoSpaceDN w:val="0"/>
        <w:adjustRightInd w:val="0"/>
        <w:ind w:left="266" w:hanging="266"/>
        <w:textAlignment w:val="baseline"/>
        <w:rPr>
          <w:lang w:val="en-GB"/>
        </w:rPr>
      </w:pPr>
    </w:p>
    <w:p w:rsidRPr="0020320E" w:rsidR="0020320E" w:rsidP="001421CC" w:rsidRDefault="0020320E" w14:paraId="204F83C0" w14:textId="77777777">
      <w:pPr>
        <w:tabs>
          <w:tab w:val="center" w:pos="284"/>
        </w:tabs>
        <w:overflowPunct w:val="0"/>
        <w:autoSpaceDE w:val="0"/>
        <w:autoSpaceDN w:val="0"/>
        <w:adjustRightInd w:val="0"/>
        <w:ind w:left="266" w:hanging="266"/>
        <w:textAlignment w:val="baseline"/>
        <w:rPr>
          <w:b/>
        </w:rPr>
      </w:pPr>
      <w:r>
        <w:rPr>
          <w:b/>
        </w:rPr>
        <w:t>Kernaussagen</w:t>
      </w:r>
    </w:p>
    <w:p w:rsidRPr="0020320E" w:rsidR="0020320E" w:rsidP="001421CC" w:rsidRDefault="0020320E" w14:paraId="257E2715" w14:textId="77777777">
      <w:pPr>
        <w:tabs>
          <w:tab w:val="center" w:pos="284"/>
        </w:tabs>
        <w:overflowPunct w:val="0"/>
        <w:autoSpaceDE w:val="0"/>
        <w:autoSpaceDN w:val="0"/>
        <w:adjustRightInd w:val="0"/>
        <w:ind w:left="266" w:hanging="266"/>
        <w:textAlignment w:val="baseline"/>
        <w:rPr>
          <w:b/>
        </w:rPr>
      </w:pPr>
      <w:bookmarkStart w:name="_Hlk188970948" w:id="6"/>
    </w:p>
    <w:p w:rsidR="0020320E" w:rsidP="001421CC" w:rsidRDefault="0020320E" w14:paraId="73AE19AE" w14:textId="77777777">
      <w:pPr>
        <w:overflowPunct w:val="0"/>
        <w:autoSpaceDE w:val="0"/>
        <w:autoSpaceDN w:val="0"/>
        <w:adjustRightInd w:val="0"/>
        <w:textAlignment w:val="baseline"/>
        <w:rPr>
          <w:bCs/>
          <w:iCs/>
        </w:rPr>
      </w:pPr>
      <w:r>
        <w:t>Der EWSA</w:t>
      </w:r>
    </w:p>
    <w:p w:rsidRPr="0020320E" w:rsidR="0020320E" w:rsidP="001421CC" w:rsidRDefault="0020320E" w14:paraId="791C2C3B" w14:textId="77777777">
      <w:pPr>
        <w:widowControl w:val="0"/>
        <w:numPr>
          <w:ilvl w:val="0"/>
          <w:numId w:val="35"/>
        </w:numPr>
        <w:overflowPunct w:val="0"/>
        <w:autoSpaceDE w:val="0"/>
        <w:autoSpaceDN w:val="0"/>
        <w:adjustRightInd w:val="0"/>
        <w:ind w:left="567" w:hanging="567"/>
        <w:textAlignment w:val="baseline"/>
        <w:rPr>
          <w:szCs w:val="20"/>
        </w:rPr>
      </w:pPr>
      <w:bookmarkStart w:name="_Hlk188970778" w:id="7"/>
      <w:r>
        <w:t xml:space="preserve">fordert eine neue EU-Meeresstrategie, die darauf ausgerichtet ist, mit Blick auf einen wettbewerbsfähigeren, rentableren sowie ökologisch nachhaltigeren und sozialverträglicheren </w:t>
      </w:r>
      <w:r>
        <w:lastRenderedPageBreak/>
        <w:t>EU-Seeverkehrssektor einen europäischen Meeresraum mit klaren und transparenten Regeln, auch für den Beschäftigungssektor, zu schaffen;</w:t>
      </w:r>
    </w:p>
    <w:p w:rsidRPr="0020320E" w:rsidR="0020320E" w:rsidP="0060010D" w:rsidRDefault="0020320E" w14:paraId="48D9D5BC" w14:textId="77777777">
      <w:pPr>
        <w:widowControl w:val="0"/>
        <w:numPr>
          <w:ilvl w:val="0"/>
          <w:numId w:val="35"/>
        </w:numPr>
        <w:overflowPunct w:val="0"/>
        <w:autoSpaceDE w:val="0"/>
        <w:autoSpaceDN w:val="0"/>
        <w:adjustRightInd w:val="0"/>
        <w:ind w:left="567" w:hanging="567"/>
        <w:textAlignment w:val="baseline"/>
        <w:rPr>
          <w:szCs w:val="20"/>
        </w:rPr>
      </w:pPr>
      <w:r>
        <w:t>fordert, dass umgehend ein Aktionsplan aufgestellt wird, um auf lange währende illegale Aktivitäten sowie neue und sich verschärfende Bedrohungen wie den Betrieb von Schattenflotten und den zunehmenden geopolitischen Wettbewerb zu reagieren und den gegenwärtigen Erfordernissen der EU in der Verteidigungs-, Außen- und Handelspolitik zu entsprechen;</w:t>
      </w:r>
      <w:bookmarkEnd w:id="7"/>
    </w:p>
    <w:p w:rsidRPr="0020320E" w:rsidR="0020320E" w:rsidP="0060010D" w:rsidRDefault="0020320E" w14:paraId="67E96257" w14:textId="77777777">
      <w:pPr>
        <w:widowControl w:val="0"/>
        <w:numPr>
          <w:ilvl w:val="0"/>
          <w:numId w:val="35"/>
        </w:numPr>
        <w:overflowPunct w:val="0"/>
        <w:autoSpaceDE w:val="0"/>
        <w:autoSpaceDN w:val="0"/>
        <w:adjustRightInd w:val="0"/>
        <w:ind w:left="567" w:hanging="567"/>
        <w:contextualSpacing/>
        <w:textAlignment w:val="baseline"/>
        <w:rPr>
          <w:rFonts w:ascii="Calibri" w:hAnsi="Calibri"/>
        </w:rPr>
      </w:pPr>
      <w:r>
        <w:t>spricht sich dafür aus, für wahrhaft gleiche Wettbewerbsbedingungen zu sorgen, indem untersagt wird, nicht normgemäße Schiffe in europäischen Gewässern in Konkurrenz zu Schiffen zu betreiben, die in leistungsstarken und führenden Registern geführt werden;</w:t>
      </w:r>
    </w:p>
    <w:p w:rsidRPr="0020320E" w:rsidR="0020320E" w:rsidP="0060010D" w:rsidRDefault="0020320E" w14:paraId="7F6E83A9" w14:textId="57EC4066">
      <w:pPr>
        <w:widowControl w:val="0"/>
        <w:numPr>
          <w:ilvl w:val="0"/>
          <w:numId w:val="35"/>
        </w:numPr>
        <w:overflowPunct w:val="0"/>
        <w:autoSpaceDE w:val="0"/>
        <w:autoSpaceDN w:val="0"/>
        <w:adjustRightInd w:val="0"/>
        <w:ind w:left="567" w:hanging="567"/>
        <w:contextualSpacing/>
        <w:textAlignment w:val="baseline"/>
        <w:rPr>
          <w:rFonts w:ascii="Calibri" w:hAnsi="Calibri"/>
        </w:rPr>
      </w:pPr>
      <w:r>
        <w:t>betont, dass günstige Rahmenbedingungen dafür geschaffen werden müssen, dass in EU</w:t>
      </w:r>
      <w:r w:rsidR="001421CC">
        <w:noBreakHyphen/>
      </w:r>
      <w:r>
        <w:t xml:space="preserve">Eigentum stehende Tonnage wieder auf die Flaggen von EU-Mitgliedstaaten </w:t>
      </w:r>
      <w:proofErr w:type="spellStart"/>
      <w:r>
        <w:t>umgeflaggt</w:t>
      </w:r>
      <w:proofErr w:type="spellEnd"/>
      <w:r>
        <w:t xml:space="preserve"> wird;</w:t>
      </w:r>
    </w:p>
    <w:p w:rsidRPr="0020320E" w:rsidR="0020320E" w:rsidP="0060010D" w:rsidRDefault="0020320E" w14:paraId="4DBDE55A" w14:textId="77777777">
      <w:pPr>
        <w:widowControl w:val="0"/>
        <w:numPr>
          <w:ilvl w:val="0"/>
          <w:numId w:val="35"/>
        </w:numPr>
        <w:overflowPunct w:val="0"/>
        <w:autoSpaceDE w:val="0"/>
        <w:autoSpaceDN w:val="0"/>
        <w:adjustRightInd w:val="0"/>
        <w:ind w:left="567" w:hanging="567"/>
        <w:contextualSpacing/>
        <w:textAlignment w:val="baseline"/>
      </w:pPr>
      <w:r>
        <w:t>unterstreicht den Stellenwert eines neuen Sozialvertrags, in dessen Rahmen unter anderem die für den Sektor geltenden Rechtsvorschriften wirksam durchgesetzt werden, und dass die Politik dazu bereit sein muss, rechtsverbindliche Gesetzgebungsinitiativen auf den Weg zu bringen, damit Seeleute den gleichen Sozialschutz genießen wie an Land Beschäftigte.</w:t>
      </w:r>
    </w:p>
    <w:bookmarkEnd w:id="6"/>
    <w:p w:rsidRPr="0020320E" w:rsidR="0020320E" w:rsidRDefault="0020320E" w14:paraId="09148A63" w14:textId="77777777">
      <w:pPr>
        <w:widowControl w:val="0"/>
        <w:overflowPunct w:val="0"/>
        <w:autoSpaceDE w:val="0"/>
        <w:autoSpaceDN w:val="0"/>
        <w:adjustRightInd w:val="0"/>
        <w:ind w:left="709"/>
        <w:textAlignment w:val="baseline"/>
        <w:rPr>
          <w:szCs w:val="20"/>
          <w:lang w:val="en-GB"/>
        </w:rPr>
      </w:pPr>
    </w:p>
    <w:tbl>
      <w:tblPr>
        <w:tblW w:w="9322" w:type="dxa"/>
        <w:tblLook w:val="04A0" w:firstRow="1" w:lastRow="0" w:firstColumn="1" w:lastColumn="0" w:noHBand="0" w:noVBand="1"/>
      </w:tblPr>
      <w:tblGrid>
        <w:gridCol w:w="1418"/>
        <w:gridCol w:w="7904"/>
      </w:tblGrid>
      <w:tr w:rsidRPr="00FA33C4" w:rsidR="0020320E" w:rsidTr="0060010D" w14:paraId="2CB5D10F" w14:textId="77777777">
        <w:tc>
          <w:tcPr>
            <w:tcW w:w="1418" w:type="dxa"/>
          </w:tcPr>
          <w:p w:rsidRPr="00FA33C4" w:rsidR="0020320E" w:rsidP="0060010D" w:rsidRDefault="0020320E" w14:paraId="740D9F86" w14:textId="77777777">
            <w:pPr>
              <w:overflowPunct w:val="0"/>
              <w:autoSpaceDE w:val="0"/>
              <w:autoSpaceDN w:val="0"/>
              <w:adjustRightInd w:val="0"/>
              <w:textAlignment w:val="baseline"/>
              <w:rPr>
                <w:i/>
                <w:sz w:val="20"/>
                <w:szCs w:val="20"/>
              </w:rPr>
            </w:pPr>
            <w:r>
              <w:rPr>
                <w:b/>
                <w:i/>
                <w:sz w:val="20"/>
              </w:rPr>
              <w:t>Kontakt</w:t>
            </w:r>
          </w:p>
        </w:tc>
        <w:tc>
          <w:tcPr>
            <w:tcW w:w="7904" w:type="dxa"/>
          </w:tcPr>
          <w:p w:rsidRPr="00FA33C4" w:rsidR="0020320E" w:rsidP="0060010D" w:rsidRDefault="0020320E" w14:paraId="49ADD449" w14:textId="77777777">
            <w:pPr>
              <w:overflowPunct w:val="0"/>
              <w:autoSpaceDE w:val="0"/>
              <w:autoSpaceDN w:val="0"/>
              <w:adjustRightInd w:val="0"/>
              <w:textAlignment w:val="baseline"/>
              <w:rPr>
                <w:i/>
                <w:sz w:val="20"/>
                <w:szCs w:val="20"/>
              </w:rPr>
            </w:pPr>
            <w:r>
              <w:rPr>
                <w:i/>
                <w:sz w:val="20"/>
              </w:rPr>
              <w:t xml:space="preserve">Aleksandra </w:t>
            </w:r>
            <w:proofErr w:type="spellStart"/>
            <w:r>
              <w:rPr>
                <w:i/>
                <w:sz w:val="20"/>
              </w:rPr>
              <w:t>Sarman</w:t>
            </w:r>
            <w:proofErr w:type="spellEnd"/>
            <w:r>
              <w:rPr>
                <w:i/>
                <w:sz w:val="20"/>
              </w:rPr>
              <w:t xml:space="preserve"> </w:t>
            </w:r>
            <w:proofErr w:type="spellStart"/>
            <w:r>
              <w:rPr>
                <w:i/>
                <w:sz w:val="20"/>
              </w:rPr>
              <w:t>Grilc</w:t>
            </w:r>
            <w:proofErr w:type="spellEnd"/>
          </w:p>
        </w:tc>
      </w:tr>
      <w:tr w:rsidRPr="00FA33C4" w:rsidR="0020320E" w:rsidTr="0060010D" w14:paraId="1B816AB3" w14:textId="77777777">
        <w:tc>
          <w:tcPr>
            <w:tcW w:w="1418" w:type="dxa"/>
          </w:tcPr>
          <w:p w:rsidRPr="00FA33C4" w:rsidR="0020320E" w:rsidP="0060010D" w:rsidRDefault="0020320E" w14:paraId="5621EC70" w14:textId="77777777">
            <w:pPr>
              <w:overflowPunct w:val="0"/>
              <w:autoSpaceDE w:val="0"/>
              <w:autoSpaceDN w:val="0"/>
              <w:adjustRightInd w:val="0"/>
              <w:textAlignment w:val="baseline"/>
              <w:rPr>
                <w:i/>
                <w:sz w:val="20"/>
                <w:szCs w:val="20"/>
              </w:rPr>
            </w:pPr>
            <w:r>
              <w:rPr>
                <w:i/>
                <w:sz w:val="20"/>
              </w:rPr>
              <w:t>Tel.</w:t>
            </w:r>
          </w:p>
        </w:tc>
        <w:tc>
          <w:tcPr>
            <w:tcW w:w="7904" w:type="dxa"/>
          </w:tcPr>
          <w:p w:rsidRPr="00FA33C4" w:rsidR="0020320E" w:rsidP="0060010D" w:rsidRDefault="0020320E" w14:paraId="6E78632B" w14:textId="77777777">
            <w:pPr>
              <w:overflowPunct w:val="0"/>
              <w:autoSpaceDE w:val="0"/>
              <w:autoSpaceDN w:val="0"/>
              <w:adjustRightInd w:val="0"/>
              <w:textAlignment w:val="baseline"/>
              <w:rPr>
                <w:i/>
                <w:sz w:val="20"/>
                <w:szCs w:val="20"/>
              </w:rPr>
            </w:pPr>
            <w:r>
              <w:rPr>
                <w:i/>
                <w:sz w:val="20"/>
              </w:rPr>
              <w:t>+32 25468333</w:t>
            </w:r>
          </w:p>
        </w:tc>
      </w:tr>
      <w:tr w:rsidRPr="00FA33C4" w:rsidR="0020320E" w:rsidTr="0060010D" w14:paraId="15F5F4CB" w14:textId="77777777">
        <w:tc>
          <w:tcPr>
            <w:tcW w:w="1418" w:type="dxa"/>
          </w:tcPr>
          <w:p w:rsidRPr="00FA33C4" w:rsidR="0020320E" w:rsidP="0060010D" w:rsidRDefault="004E3508" w14:paraId="4EE71517" w14:textId="5A868EB8">
            <w:pPr>
              <w:overflowPunct w:val="0"/>
              <w:autoSpaceDE w:val="0"/>
              <w:autoSpaceDN w:val="0"/>
              <w:adjustRightInd w:val="0"/>
              <w:textAlignment w:val="baseline"/>
              <w:rPr>
                <w:i/>
                <w:sz w:val="20"/>
                <w:szCs w:val="20"/>
              </w:rPr>
            </w:pPr>
            <w:r>
              <w:rPr>
                <w:i/>
                <w:sz w:val="20"/>
              </w:rPr>
              <w:t>E-Mail</w:t>
            </w:r>
          </w:p>
        </w:tc>
        <w:tc>
          <w:tcPr>
            <w:tcW w:w="7904" w:type="dxa"/>
          </w:tcPr>
          <w:p w:rsidRPr="00FA33C4" w:rsidR="0020320E" w:rsidP="0060010D" w:rsidRDefault="001201F9" w14:paraId="1220F8D0" w14:textId="77777777">
            <w:pPr>
              <w:overflowPunct w:val="0"/>
              <w:autoSpaceDE w:val="0"/>
              <w:autoSpaceDN w:val="0"/>
              <w:adjustRightInd w:val="0"/>
              <w:textAlignment w:val="baseline"/>
              <w:rPr>
                <w:i/>
                <w:iCs/>
                <w:sz w:val="20"/>
                <w:szCs w:val="20"/>
              </w:rPr>
            </w:pPr>
            <w:hyperlink w:history="1" r:id="rId29">
              <w:r w:rsidR="00465FCD">
                <w:rPr>
                  <w:i/>
                  <w:color w:val="0000FF"/>
                  <w:sz w:val="20"/>
                  <w:u w:val="single"/>
                </w:rPr>
                <w:t>Aleksandra.SarmanGrilc@eesc.europa.eu</w:t>
              </w:r>
            </w:hyperlink>
          </w:p>
        </w:tc>
      </w:tr>
    </w:tbl>
    <w:p w:rsidR="004D7AC0" w:rsidRDefault="004D7AC0" w14:paraId="4982DDEF" w14:textId="77777777">
      <w:pPr>
        <w:pStyle w:val="ListParagraph"/>
        <w:ind w:left="0"/>
      </w:pPr>
    </w:p>
    <w:p w:rsidR="004D7AC0" w:rsidRDefault="004D7AC0" w14:paraId="4982DDF0" w14:textId="77777777">
      <w:pPr>
        <w:pStyle w:val="ListParagraph"/>
        <w:ind w:left="0"/>
      </w:pPr>
    </w:p>
    <w:p w:rsidR="004D7AC0" w:rsidRDefault="004D7AC0" w14:paraId="4982DDF1" w14:textId="77777777">
      <w:pPr>
        <w:pStyle w:val="ListParagraph"/>
        <w:ind w:left="0"/>
      </w:pPr>
    </w:p>
    <w:p w:rsidR="004D7AC0" w:rsidP="0060010D" w:rsidRDefault="004D7AC0" w14:paraId="4982DDF2" w14:textId="77777777">
      <w:pPr>
        <w:jc w:val="left"/>
      </w:pPr>
      <w:r>
        <w:br w:type="page"/>
      </w:r>
    </w:p>
    <w:p w:rsidR="004D7AC0" w:rsidRDefault="004D7AC0" w14:paraId="4982DDF3" w14:textId="77777777">
      <w:pPr>
        <w:pStyle w:val="Heading1"/>
        <w:rPr>
          <w:b/>
        </w:rPr>
      </w:pPr>
      <w:bookmarkStart w:name="_Toc75527083" w:id="8"/>
      <w:bookmarkStart w:name="_Toc189140688" w:id="9"/>
      <w:r>
        <w:rPr>
          <w:b/>
        </w:rPr>
        <w:lastRenderedPageBreak/>
        <w:t>BINNENMARKT, PRODUKTION, VERBRAUCH</w:t>
      </w:r>
      <w:bookmarkEnd w:id="8"/>
      <w:bookmarkEnd w:id="9"/>
    </w:p>
    <w:p w:rsidR="004D7AC0" w:rsidRDefault="004D7AC0" w14:paraId="4982DDF4" w14:textId="77777777"/>
    <w:p w:rsidRPr="005B5258" w:rsidR="005B5258" w:rsidRDefault="001201F9" w14:paraId="7999FA16" w14:textId="12A5961E">
      <w:pPr>
        <w:widowControl w:val="0"/>
        <w:numPr>
          <w:ilvl w:val="0"/>
          <w:numId w:val="14"/>
        </w:numPr>
        <w:overflowPunct w:val="0"/>
        <w:autoSpaceDE w:val="0"/>
        <w:autoSpaceDN w:val="0"/>
        <w:adjustRightInd w:val="0"/>
        <w:ind w:hanging="567"/>
        <w:textAlignment w:val="baseline"/>
        <w:rPr>
          <w:sz w:val="20"/>
          <w:szCs w:val="20"/>
        </w:rPr>
      </w:pPr>
      <w:hyperlink w:history="1" r:id="rId30">
        <w:r w:rsidR="005B5258">
          <w:rPr>
            <w:b/>
            <w:i/>
            <w:color w:val="0000FF"/>
            <w:sz w:val="28"/>
            <w:u w:val="single"/>
          </w:rPr>
          <w:t xml:space="preserve">Ladeausrüstung für Elektrofahrzeuge, </w:t>
        </w:r>
        <w:proofErr w:type="spellStart"/>
        <w:r w:rsidR="005B5258">
          <w:rPr>
            <w:b/>
            <w:i/>
            <w:color w:val="0000FF"/>
            <w:sz w:val="28"/>
            <w:u w:val="single"/>
          </w:rPr>
          <w:t>Druckgas</w:t>
        </w:r>
        <w:proofErr w:type="spellEnd"/>
        <w:r w:rsidR="005B5258">
          <w:rPr>
            <w:b/>
            <w:i/>
            <w:color w:val="0000FF"/>
            <w:sz w:val="28"/>
            <w:u w:val="single"/>
          </w:rPr>
          <w:t xml:space="preserve"> Zapfsäulen, Strom- und Gaszähler sowie Messgeräte für thermische Energie</w:t>
        </w:r>
      </w:hyperlink>
    </w:p>
    <w:p w:rsidRPr="005B5258" w:rsidR="005B5258" w:rsidRDefault="005B5258" w14:paraId="231C2936" w14:textId="77777777">
      <w:pPr>
        <w:tabs>
          <w:tab w:val="center" w:pos="284"/>
        </w:tabs>
        <w:overflowPunct w:val="0"/>
        <w:autoSpaceDE w:val="0"/>
        <w:autoSpaceDN w:val="0"/>
        <w:adjustRightInd w:val="0"/>
        <w:ind w:left="266" w:hanging="266"/>
        <w:textAlignment w:val="baseline"/>
        <w:rPr>
          <w:b/>
          <w:lang w:val="en-GB"/>
        </w:rPr>
      </w:pPr>
    </w:p>
    <w:tbl>
      <w:tblPr>
        <w:tblW w:w="9322" w:type="dxa"/>
        <w:tblLook w:val="04A0" w:firstRow="1" w:lastRow="0" w:firstColumn="1" w:lastColumn="0" w:noHBand="0" w:noVBand="1"/>
      </w:tblPr>
      <w:tblGrid>
        <w:gridCol w:w="2235"/>
        <w:gridCol w:w="7087"/>
      </w:tblGrid>
      <w:tr w:rsidRPr="00FA33C4" w:rsidR="005B5258" w:rsidTr="0060010D" w14:paraId="5540D175" w14:textId="77777777">
        <w:tc>
          <w:tcPr>
            <w:tcW w:w="2235" w:type="dxa"/>
            <w:vMerge w:val="restart"/>
          </w:tcPr>
          <w:p w:rsidRPr="00FA33C4" w:rsidR="005B5258" w:rsidRDefault="005B5258" w14:paraId="2614C17C" w14:textId="3FA02A79">
            <w:pPr>
              <w:tabs>
                <w:tab w:val="center" w:pos="284"/>
              </w:tabs>
              <w:overflowPunct w:val="0"/>
              <w:autoSpaceDE w:val="0"/>
              <w:autoSpaceDN w:val="0"/>
              <w:adjustRightInd w:val="0"/>
              <w:ind w:left="266" w:hanging="266"/>
              <w:textAlignment w:val="baseline"/>
              <w:rPr>
                <w:b/>
                <w:sz w:val="20"/>
                <w:szCs w:val="20"/>
              </w:rPr>
            </w:pPr>
            <w:r>
              <w:rPr>
                <w:b/>
                <w:sz w:val="20"/>
              </w:rPr>
              <w:t>Referenzdokument</w:t>
            </w:r>
          </w:p>
        </w:tc>
        <w:tc>
          <w:tcPr>
            <w:tcW w:w="7087" w:type="dxa"/>
          </w:tcPr>
          <w:p w:rsidRPr="00FA33C4" w:rsidR="00F02BB5" w:rsidRDefault="00F02BB5" w14:paraId="6ED29998" w14:textId="675BD2B5">
            <w:pPr>
              <w:tabs>
                <w:tab w:val="center" w:pos="284"/>
              </w:tabs>
              <w:overflowPunct w:val="0"/>
              <w:autoSpaceDE w:val="0"/>
              <w:autoSpaceDN w:val="0"/>
              <w:adjustRightInd w:val="0"/>
              <w:ind w:left="266" w:hanging="266"/>
              <w:textAlignment w:val="baseline"/>
              <w:rPr>
                <w:bCs/>
                <w:sz w:val="20"/>
                <w:szCs w:val="20"/>
              </w:rPr>
            </w:pPr>
            <w:r>
              <w:rPr>
                <w:sz w:val="20"/>
              </w:rPr>
              <w:t>Stellungnahme der Kategorie C</w:t>
            </w:r>
          </w:p>
          <w:p w:rsidRPr="00FA33C4" w:rsidR="005B5258" w:rsidRDefault="005B5258" w14:paraId="054F7B7B" w14:textId="757CA6A1">
            <w:pPr>
              <w:tabs>
                <w:tab w:val="center" w:pos="284"/>
              </w:tabs>
              <w:overflowPunct w:val="0"/>
              <w:autoSpaceDE w:val="0"/>
              <w:autoSpaceDN w:val="0"/>
              <w:adjustRightInd w:val="0"/>
              <w:ind w:left="266" w:hanging="266"/>
              <w:textAlignment w:val="baseline"/>
              <w:rPr>
                <w:sz w:val="20"/>
                <w:szCs w:val="20"/>
              </w:rPr>
            </w:pPr>
            <w:r>
              <w:rPr>
                <w:sz w:val="20"/>
              </w:rPr>
              <w:t>COM(2024) 561 final</w:t>
            </w:r>
          </w:p>
        </w:tc>
      </w:tr>
      <w:tr w:rsidRPr="00FA33C4" w:rsidR="005B5258" w:rsidTr="0060010D" w14:paraId="01D59A37" w14:textId="77777777">
        <w:tc>
          <w:tcPr>
            <w:tcW w:w="2235" w:type="dxa"/>
            <w:vMerge/>
          </w:tcPr>
          <w:p w:rsidRPr="00FA33C4" w:rsidR="005B5258" w:rsidRDefault="005B5258" w14:paraId="32B0630D" w14:textId="77777777">
            <w:pPr>
              <w:tabs>
                <w:tab w:val="center" w:pos="284"/>
              </w:tabs>
              <w:overflowPunct w:val="0"/>
              <w:autoSpaceDE w:val="0"/>
              <w:autoSpaceDN w:val="0"/>
              <w:adjustRightInd w:val="0"/>
              <w:ind w:left="266" w:hanging="266"/>
              <w:textAlignment w:val="baseline"/>
              <w:rPr>
                <w:b/>
                <w:sz w:val="20"/>
                <w:szCs w:val="20"/>
              </w:rPr>
            </w:pPr>
          </w:p>
        </w:tc>
        <w:tc>
          <w:tcPr>
            <w:tcW w:w="7087" w:type="dxa"/>
          </w:tcPr>
          <w:p w:rsidRPr="00FA33C4" w:rsidR="005B5258" w:rsidRDefault="005B5258" w14:paraId="33D4B2A1" w14:textId="4A11755C">
            <w:pPr>
              <w:tabs>
                <w:tab w:val="center" w:pos="284"/>
              </w:tabs>
              <w:overflowPunct w:val="0"/>
              <w:autoSpaceDE w:val="0"/>
              <w:autoSpaceDN w:val="0"/>
              <w:adjustRightInd w:val="0"/>
              <w:ind w:left="266" w:hanging="266"/>
              <w:textAlignment w:val="baseline"/>
              <w:rPr>
                <w:sz w:val="20"/>
                <w:szCs w:val="20"/>
              </w:rPr>
            </w:pPr>
            <w:r>
              <w:rPr>
                <w:sz w:val="20"/>
              </w:rPr>
              <w:t>EESC-2025-00177-00-00-AC</w:t>
            </w:r>
          </w:p>
        </w:tc>
      </w:tr>
    </w:tbl>
    <w:p w:rsidRPr="005B5258" w:rsidR="005B5258" w:rsidRDefault="005B5258" w14:paraId="7A89EDA5" w14:textId="77777777">
      <w:pPr>
        <w:tabs>
          <w:tab w:val="center" w:pos="284"/>
        </w:tabs>
        <w:overflowPunct w:val="0"/>
        <w:autoSpaceDE w:val="0"/>
        <w:autoSpaceDN w:val="0"/>
        <w:adjustRightInd w:val="0"/>
        <w:ind w:left="266" w:hanging="266"/>
        <w:textAlignment w:val="baseline"/>
        <w:rPr>
          <w:lang w:val="en-GB"/>
        </w:rPr>
      </w:pPr>
    </w:p>
    <w:p w:rsidRPr="005B5258" w:rsidR="005B5258" w:rsidRDefault="005B5258" w14:paraId="186EBF98"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5B5258" w:rsidR="005B5258" w:rsidRDefault="005B5258" w14:paraId="6BB8DCF1" w14:textId="77777777">
      <w:pPr>
        <w:keepNext/>
        <w:keepLines/>
        <w:tabs>
          <w:tab w:val="center" w:pos="284"/>
        </w:tabs>
        <w:overflowPunct w:val="0"/>
        <w:autoSpaceDE w:val="0"/>
        <w:autoSpaceDN w:val="0"/>
        <w:adjustRightInd w:val="0"/>
        <w:ind w:left="266" w:hanging="266"/>
        <w:textAlignment w:val="baseline"/>
        <w:rPr>
          <w:b/>
          <w:lang w:val="en-GB"/>
        </w:rPr>
      </w:pPr>
    </w:p>
    <w:p w:rsidRPr="005B5258" w:rsidR="005B5258" w:rsidRDefault="005B5258" w14:paraId="2E0108A1" w14:textId="77777777">
      <w:pPr>
        <w:overflowPunct w:val="0"/>
        <w:autoSpaceDE w:val="0"/>
        <w:autoSpaceDN w:val="0"/>
        <w:adjustRightInd w:val="0"/>
        <w:textAlignment w:val="baseline"/>
        <w:rPr>
          <w:bCs/>
          <w:iCs/>
        </w:rPr>
      </w:pPr>
      <w:r>
        <w:t>Der EWSA beschloss, eine befürwortende Stellungnahme zu diesem Vorschlag abzugeben.</w:t>
      </w:r>
    </w:p>
    <w:p w:rsidRPr="005B5258" w:rsidR="005B5258" w:rsidRDefault="005B5258" w14:paraId="4EB77E0C" w14:textId="77777777">
      <w:pPr>
        <w:overflowPunct w:val="0"/>
        <w:autoSpaceDE w:val="0"/>
        <w:autoSpaceDN w:val="0"/>
        <w:adjustRightInd w:val="0"/>
        <w:textAlignment w:val="baseline"/>
        <w:rPr>
          <w:bCs/>
          <w:iCs/>
          <w:lang w:val="en-GB"/>
        </w:rPr>
      </w:pPr>
    </w:p>
    <w:tbl>
      <w:tblPr>
        <w:tblW w:w="9322" w:type="dxa"/>
        <w:tblLook w:val="04A0" w:firstRow="1" w:lastRow="0" w:firstColumn="1" w:lastColumn="0" w:noHBand="0" w:noVBand="1"/>
      </w:tblPr>
      <w:tblGrid>
        <w:gridCol w:w="1418"/>
        <w:gridCol w:w="7904"/>
      </w:tblGrid>
      <w:tr w:rsidRPr="00FA33C4" w:rsidR="005B5258" w:rsidTr="0060010D" w14:paraId="7838A103" w14:textId="77777777">
        <w:tc>
          <w:tcPr>
            <w:tcW w:w="1418" w:type="dxa"/>
          </w:tcPr>
          <w:p w:rsidRPr="00FA33C4" w:rsidR="005B5258" w:rsidP="0060010D" w:rsidRDefault="005B5258" w14:paraId="706B817A" w14:textId="77777777">
            <w:pPr>
              <w:overflowPunct w:val="0"/>
              <w:autoSpaceDE w:val="0"/>
              <w:autoSpaceDN w:val="0"/>
              <w:adjustRightInd w:val="0"/>
              <w:textAlignment w:val="baseline"/>
              <w:rPr>
                <w:i/>
                <w:sz w:val="20"/>
                <w:szCs w:val="20"/>
              </w:rPr>
            </w:pPr>
            <w:r>
              <w:rPr>
                <w:b/>
                <w:i/>
                <w:sz w:val="20"/>
              </w:rPr>
              <w:t>Kontakt</w:t>
            </w:r>
          </w:p>
        </w:tc>
        <w:tc>
          <w:tcPr>
            <w:tcW w:w="7904" w:type="dxa"/>
          </w:tcPr>
          <w:p w:rsidRPr="00FA33C4" w:rsidR="005B5258" w:rsidP="0060010D" w:rsidRDefault="005B5258" w14:paraId="67530D78" w14:textId="77777777">
            <w:pPr>
              <w:overflowPunct w:val="0"/>
              <w:autoSpaceDE w:val="0"/>
              <w:autoSpaceDN w:val="0"/>
              <w:adjustRightInd w:val="0"/>
              <w:textAlignment w:val="baseline"/>
              <w:rPr>
                <w:i/>
                <w:sz w:val="20"/>
                <w:szCs w:val="20"/>
              </w:rPr>
            </w:pPr>
            <w:r>
              <w:rPr>
                <w:i/>
                <w:sz w:val="20"/>
              </w:rPr>
              <w:t xml:space="preserve">Alice </w:t>
            </w:r>
            <w:proofErr w:type="spellStart"/>
            <w:r>
              <w:rPr>
                <w:i/>
                <w:sz w:val="20"/>
              </w:rPr>
              <w:t>Tétu</w:t>
            </w:r>
            <w:proofErr w:type="spellEnd"/>
          </w:p>
        </w:tc>
      </w:tr>
      <w:tr w:rsidRPr="00FA33C4" w:rsidR="005B5258" w:rsidTr="0060010D" w14:paraId="29FF2DCC" w14:textId="77777777">
        <w:tc>
          <w:tcPr>
            <w:tcW w:w="1418" w:type="dxa"/>
          </w:tcPr>
          <w:p w:rsidRPr="00FA33C4" w:rsidR="005B5258" w:rsidP="0060010D" w:rsidRDefault="005B5258" w14:paraId="2F85E9ED" w14:textId="77777777">
            <w:pPr>
              <w:overflowPunct w:val="0"/>
              <w:autoSpaceDE w:val="0"/>
              <w:autoSpaceDN w:val="0"/>
              <w:adjustRightInd w:val="0"/>
              <w:textAlignment w:val="baseline"/>
              <w:rPr>
                <w:i/>
                <w:sz w:val="20"/>
                <w:szCs w:val="20"/>
              </w:rPr>
            </w:pPr>
            <w:r>
              <w:rPr>
                <w:i/>
                <w:sz w:val="20"/>
              </w:rPr>
              <w:t>Tel.</w:t>
            </w:r>
          </w:p>
        </w:tc>
        <w:tc>
          <w:tcPr>
            <w:tcW w:w="7904" w:type="dxa"/>
          </w:tcPr>
          <w:p w:rsidRPr="00FA33C4" w:rsidR="005B5258" w:rsidP="0060010D" w:rsidRDefault="005B5258" w14:paraId="3F6BEA10" w14:textId="77777777">
            <w:pPr>
              <w:overflowPunct w:val="0"/>
              <w:autoSpaceDE w:val="0"/>
              <w:autoSpaceDN w:val="0"/>
              <w:adjustRightInd w:val="0"/>
              <w:textAlignment w:val="baseline"/>
              <w:rPr>
                <w:i/>
                <w:sz w:val="20"/>
                <w:szCs w:val="20"/>
              </w:rPr>
            </w:pPr>
            <w:r>
              <w:rPr>
                <w:i/>
                <w:sz w:val="20"/>
              </w:rPr>
              <w:t>+ 32 25468286</w:t>
            </w:r>
          </w:p>
        </w:tc>
      </w:tr>
      <w:tr w:rsidRPr="00FA33C4" w:rsidR="005B5258" w:rsidTr="0060010D" w14:paraId="1A19F622" w14:textId="77777777">
        <w:tc>
          <w:tcPr>
            <w:tcW w:w="1418" w:type="dxa"/>
          </w:tcPr>
          <w:p w:rsidRPr="00FA33C4" w:rsidR="005B5258" w:rsidP="0060010D" w:rsidRDefault="00F02BB5" w14:paraId="3D8CB79D" w14:textId="1AD02277">
            <w:pPr>
              <w:overflowPunct w:val="0"/>
              <w:autoSpaceDE w:val="0"/>
              <w:autoSpaceDN w:val="0"/>
              <w:adjustRightInd w:val="0"/>
              <w:textAlignment w:val="baseline"/>
              <w:rPr>
                <w:i/>
                <w:sz w:val="20"/>
                <w:szCs w:val="20"/>
              </w:rPr>
            </w:pPr>
            <w:r>
              <w:rPr>
                <w:i/>
                <w:sz w:val="20"/>
              </w:rPr>
              <w:t>E-Mail</w:t>
            </w:r>
          </w:p>
        </w:tc>
        <w:tc>
          <w:tcPr>
            <w:tcW w:w="7904" w:type="dxa"/>
          </w:tcPr>
          <w:p w:rsidRPr="00FA33C4" w:rsidR="005B5258" w:rsidP="0060010D" w:rsidRDefault="001201F9" w14:paraId="5A6CC6F8" w14:textId="77777777">
            <w:pPr>
              <w:overflowPunct w:val="0"/>
              <w:autoSpaceDE w:val="0"/>
              <w:autoSpaceDN w:val="0"/>
              <w:adjustRightInd w:val="0"/>
              <w:textAlignment w:val="baseline"/>
              <w:rPr>
                <w:i/>
                <w:sz w:val="20"/>
                <w:szCs w:val="20"/>
              </w:rPr>
            </w:pPr>
            <w:hyperlink w:history="1" r:id="rId31">
              <w:r w:rsidR="00465FCD">
                <w:rPr>
                  <w:i/>
                  <w:color w:val="0000FF"/>
                  <w:sz w:val="20"/>
                  <w:u w:val="single"/>
                </w:rPr>
                <w:t>Alice.Tetu@eesc.europa.eu</w:t>
              </w:r>
            </w:hyperlink>
          </w:p>
        </w:tc>
      </w:tr>
    </w:tbl>
    <w:p w:rsidR="0084417F" w:rsidP="000D43E1" w:rsidRDefault="0084417F" w14:paraId="4982DE1C" w14:textId="3CD6FBC7">
      <w:pPr>
        <w:jc w:val="left"/>
      </w:pPr>
    </w:p>
    <w:p w:rsidRPr="001421CC" w:rsidR="000D43E1" w:rsidP="000D47FF" w:rsidRDefault="001201F9" w14:paraId="1E85D6DD" w14:textId="245E2CB6">
      <w:pPr>
        <w:pStyle w:val="ListParagraph"/>
        <w:numPr>
          <w:ilvl w:val="0"/>
          <w:numId w:val="59"/>
        </w:numPr>
        <w:ind w:left="567" w:hanging="567"/>
        <w:rPr>
          <w:b/>
          <w:bCs/>
          <w:i/>
          <w:iCs/>
          <w:sz w:val="28"/>
          <w:szCs w:val="28"/>
        </w:rPr>
      </w:pPr>
      <w:hyperlink w:history="1" r:id="rId32">
        <w:r w:rsidRPr="001421CC" w:rsidR="004B4D2E">
          <w:rPr>
            <w:rStyle w:val="Hyperlink"/>
            <w:b/>
            <w:i/>
            <w:sz w:val="28"/>
            <w:szCs w:val="28"/>
          </w:rPr>
          <w:t>Unterstützung sozialwirtschaftlicher Einrichtungen im Einklang mit den Vorschriften über staatliche Beihilfen: Überlegungen zu den Vorschlägen aus dem Bericht von Enrico Letta</w:t>
        </w:r>
      </w:hyperlink>
    </w:p>
    <w:p w:rsidRPr="0060010D" w:rsidR="00BC6AA1" w:rsidRDefault="00BC6AA1" w14:paraId="1AF13DC1"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1850"/>
        <w:gridCol w:w="7439"/>
      </w:tblGrid>
      <w:tr w:rsidRPr="00FA33C4" w:rsidR="009B04E2" w:rsidTr="0060010D" w14:paraId="6706979B" w14:textId="77777777">
        <w:trPr>
          <w:trHeight w:val="279"/>
        </w:trPr>
        <w:tc>
          <w:tcPr>
            <w:tcW w:w="821" w:type="pct"/>
          </w:tcPr>
          <w:p w:rsidRPr="00FA33C4" w:rsidR="009B04E2" w:rsidRDefault="009B04E2" w14:paraId="3F16C390" w14:textId="77777777">
            <w:pPr>
              <w:tabs>
                <w:tab w:val="center" w:pos="284"/>
              </w:tabs>
              <w:overflowPunct w:val="0"/>
              <w:autoSpaceDE w:val="0"/>
              <w:autoSpaceDN w:val="0"/>
              <w:adjustRightInd w:val="0"/>
              <w:ind w:left="266" w:hanging="266"/>
              <w:textAlignment w:val="baseline"/>
              <w:rPr>
                <w:b/>
                <w:sz w:val="20"/>
                <w:szCs w:val="20"/>
              </w:rPr>
            </w:pPr>
            <w:r>
              <w:rPr>
                <w:b/>
                <w:sz w:val="20"/>
              </w:rPr>
              <w:t>Berichterstatter</w:t>
            </w:r>
          </w:p>
        </w:tc>
        <w:tc>
          <w:tcPr>
            <w:tcW w:w="4179" w:type="pct"/>
          </w:tcPr>
          <w:p w:rsidRPr="00FA33C4" w:rsidR="009B04E2" w:rsidRDefault="009B04E2" w14:paraId="67594706" w14:textId="3DC6F31E">
            <w:pPr>
              <w:tabs>
                <w:tab w:val="center" w:pos="284"/>
              </w:tabs>
              <w:overflowPunct w:val="0"/>
              <w:autoSpaceDE w:val="0"/>
              <w:autoSpaceDN w:val="0"/>
              <w:adjustRightInd w:val="0"/>
              <w:ind w:left="266" w:hanging="266"/>
              <w:jc w:val="left"/>
              <w:textAlignment w:val="baseline"/>
              <w:rPr>
                <w:bCs/>
                <w:sz w:val="20"/>
                <w:szCs w:val="20"/>
              </w:rPr>
            </w:pPr>
            <w:r>
              <w:rPr>
                <w:sz w:val="20"/>
              </w:rPr>
              <w:t>Giuseppe GUERINI (Gruppe Organisationen der Zivilgesellschaft – IT)</w:t>
            </w:r>
          </w:p>
        </w:tc>
      </w:tr>
      <w:tr w:rsidRPr="00FA33C4" w:rsidR="009B04E2" w:rsidTr="0060010D" w14:paraId="3E8AE26E" w14:textId="77777777">
        <w:trPr>
          <w:trHeight w:val="165"/>
        </w:trPr>
        <w:tc>
          <w:tcPr>
            <w:tcW w:w="5000" w:type="pct"/>
            <w:gridSpan w:val="2"/>
          </w:tcPr>
          <w:p w:rsidRPr="00FA33C4" w:rsidR="009B04E2" w:rsidP="0060010D" w:rsidRDefault="009B04E2" w14:paraId="02F2FAC4" w14:textId="77777777">
            <w:pPr>
              <w:tabs>
                <w:tab w:val="center" w:pos="284"/>
              </w:tabs>
              <w:overflowPunct w:val="0"/>
              <w:autoSpaceDE w:val="0"/>
              <w:autoSpaceDN w:val="0"/>
              <w:adjustRightInd w:val="0"/>
              <w:ind w:left="266" w:hanging="266"/>
              <w:textAlignment w:val="baseline"/>
              <w:rPr>
                <w:sz w:val="20"/>
                <w:szCs w:val="20"/>
              </w:rPr>
            </w:pPr>
          </w:p>
        </w:tc>
      </w:tr>
      <w:tr w:rsidRPr="00FA33C4" w:rsidR="009B04E2" w:rsidTr="0060010D" w14:paraId="461881DC" w14:textId="77777777">
        <w:trPr>
          <w:trHeight w:val="500"/>
        </w:trPr>
        <w:tc>
          <w:tcPr>
            <w:tcW w:w="821" w:type="pct"/>
          </w:tcPr>
          <w:p w:rsidRPr="00FA33C4" w:rsidR="009B04E2" w:rsidRDefault="009B04E2" w14:paraId="711D7CC3" w14:textId="77777777">
            <w:pPr>
              <w:tabs>
                <w:tab w:val="center" w:pos="284"/>
              </w:tabs>
              <w:overflowPunct w:val="0"/>
              <w:autoSpaceDE w:val="0"/>
              <w:autoSpaceDN w:val="0"/>
              <w:adjustRightInd w:val="0"/>
              <w:ind w:left="266" w:hanging="266"/>
              <w:textAlignment w:val="baseline"/>
              <w:rPr>
                <w:b/>
                <w:sz w:val="20"/>
                <w:szCs w:val="20"/>
              </w:rPr>
            </w:pPr>
            <w:r>
              <w:rPr>
                <w:b/>
                <w:sz w:val="20"/>
              </w:rPr>
              <w:t>Referenzdokument</w:t>
            </w:r>
          </w:p>
        </w:tc>
        <w:tc>
          <w:tcPr>
            <w:tcW w:w="4179" w:type="pct"/>
          </w:tcPr>
          <w:p w:rsidRPr="00FA33C4" w:rsidR="009B04E2" w:rsidRDefault="009B04E2" w14:paraId="13483DC7" w14:textId="77777777">
            <w:pPr>
              <w:tabs>
                <w:tab w:val="center" w:pos="284"/>
              </w:tabs>
              <w:overflowPunct w:val="0"/>
              <w:autoSpaceDE w:val="0"/>
              <w:autoSpaceDN w:val="0"/>
              <w:adjustRightInd w:val="0"/>
              <w:ind w:left="266" w:hanging="266"/>
              <w:textAlignment w:val="baseline"/>
              <w:rPr>
                <w:sz w:val="20"/>
                <w:szCs w:val="20"/>
              </w:rPr>
            </w:pPr>
            <w:r>
              <w:rPr>
                <w:sz w:val="20"/>
              </w:rPr>
              <w:t>Initiativstellungnahme</w:t>
            </w:r>
          </w:p>
          <w:p w:rsidRPr="00FA33C4" w:rsidR="009B04E2" w:rsidRDefault="009B04E2" w14:paraId="5576B55D" w14:textId="77777777">
            <w:pPr>
              <w:tabs>
                <w:tab w:val="center" w:pos="284"/>
              </w:tabs>
              <w:overflowPunct w:val="0"/>
              <w:autoSpaceDE w:val="0"/>
              <w:autoSpaceDN w:val="0"/>
              <w:adjustRightInd w:val="0"/>
              <w:ind w:left="266" w:hanging="266"/>
              <w:textAlignment w:val="baseline"/>
              <w:rPr>
                <w:sz w:val="20"/>
                <w:szCs w:val="20"/>
              </w:rPr>
            </w:pPr>
            <w:r>
              <w:rPr>
                <w:sz w:val="20"/>
              </w:rPr>
              <w:t>EESC-2024-03043-00-00-AC</w:t>
            </w:r>
          </w:p>
        </w:tc>
      </w:tr>
    </w:tbl>
    <w:p w:rsidR="00726351" w:rsidRDefault="00726351" w14:paraId="10731C32" w14:textId="77777777">
      <w:pPr>
        <w:keepNext/>
        <w:keepLines/>
        <w:tabs>
          <w:tab w:val="center" w:pos="284"/>
        </w:tabs>
        <w:overflowPunct w:val="0"/>
        <w:autoSpaceDE w:val="0"/>
        <w:autoSpaceDN w:val="0"/>
        <w:adjustRightInd w:val="0"/>
        <w:ind w:left="266" w:hanging="266"/>
        <w:textAlignment w:val="baseline"/>
        <w:rPr>
          <w:b/>
          <w:lang w:val="en-GB"/>
        </w:rPr>
      </w:pPr>
    </w:p>
    <w:p w:rsidRPr="009B04E2" w:rsidR="009B04E2" w:rsidRDefault="009B04E2" w14:paraId="56A16D26" w14:textId="6324A8F8">
      <w:pPr>
        <w:keepNext/>
        <w:keepLines/>
        <w:tabs>
          <w:tab w:val="center" w:pos="284"/>
        </w:tabs>
        <w:overflowPunct w:val="0"/>
        <w:autoSpaceDE w:val="0"/>
        <w:autoSpaceDN w:val="0"/>
        <w:adjustRightInd w:val="0"/>
        <w:ind w:left="266" w:hanging="266"/>
        <w:textAlignment w:val="baseline"/>
        <w:rPr>
          <w:b/>
        </w:rPr>
      </w:pPr>
      <w:r>
        <w:rPr>
          <w:b/>
        </w:rPr>
        <w:t>Kernaussagen</w:t>
      </w:r>
    </w:p>
    <w:p w:rsidRPr="009B04E2" w:rsidR="009B04E2" w:rsidRDefault="009B04E2" w14:paraId="09E53714"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9B04E2" w:rsidR="009B04E2" w:rsidRDefault="009B04E2" w14:paraId="397EBFCD" w14:textId="77777777">
      <w:pPr>
        <w:overflowPunct w:val="0"/>
        <w:autoSpaceDE w:val="0"/>
        <w:autoSpaceDN w:val="0"/>
        <w:adjustRightInd w:val="0"/>
        <w:textAlignment w:val="baseline"/>
        <w:rPr>
          <w:bCs/>
          <w:iCs/>
        </w:rPr>
      </w:pPr>
      <w:r>
        <w:t>Der EWSA</w:t>
      </w:r>
    </w:p>
    <w:p w:rsidRPr="009B04E2" w:rsidR="009B04E2" w:rsidP="0060010D" w:rsidRDefault="009B04E2" w14:paraId="279BECB5" w14:textId="77777777">
      <w:pPr>
        <w:widowControl w:val="0"/>
        <w:numPr>
          <w:ilvl w:val="0"/>
          <w:numId w:val="36"/>
        </w:numPr>
        <w:overflowPunct w:val="0"/>
        <w:autoSpaceDE w:val="0"/>
        <w:autoSpaceDN w:val="0"/>
        <w:adjustRightInd w:val="0"/>
        <w:ind w:left="567" w:hanging="567"/>
        <w:textAlignment w:val="baseline"/>
        <w:rPr>
          <w:bCs/>
          <w:iCs/>
        </w:rPr>
      </w:pPr>
      <w:r>
        <w:t>betont, dass die notwendige starke öffentliche Unterstützung für sozialwirtschaftliche Einrichtungen, die häufig Aufgaben und Funktionen wahrnehmen, die früher dem Staat oblagen, mit dem Unionsrahmen für staatliche Beihilfen in Einklang gebracht werden muss;</w:t>
      </w:r>
    </w:p>
    <w:p w:rsidRPr="009B04E2" w:rsidR="009B04E2" w:rsidP="0060010D" w:rsidRDefault="009B04E2" w14:paraId="23D4912E" w14:textId="77777777">
      <w:pPr>
        <w:widowControl w:val="0"/>
        <w:numPr>
          <w:ilvl w:val="0"/>
          <w:numId w:val="36"/>
        </w:numPr>
        <w:overflowPunct w:val="0"/>
        <w:autoSpaceDE w:val="0"/>
        <w:autoSpaceDN w:val="0"/>
        <w:adjustRightInd w:val="0"/>
        <w:ind w:left="567" w:hanging="567"/>
        <w:textAlignment w:val="baseline"/>
        <w:rPr>
          <w:bCs/>
          <w:iCs/>
        </w:rPr>
      </w:pPr>
      <w:r>
        <w:t>bekräftigt, wie wichtig sozialwirtschaftliche Einrichtungen sind, wenn es darum geht, den sozialen Bedürfnissen der europäischen Bürgerinnen und Bürger konkret gerecht zu werden;</w:t>
      </w:r>
    </w:p>
    <w:p w:rsidRPr="009B04E2" w:rsidR="009B04E2" w:rsidP="0060010D" w:rsidRDefault="009B04E2" w14:paraId="2CD258BF" w14:textId="77777777">
      <w:pPr>
        <w:widowControl w:val="0"/>
        <w:numPr>
          <w:ilvl w:val="0"/>
          <w:numId w:val="36"/>
        </w:numPr>
        <w:overflowPunct w:val="0"/>
        <w:autoSpaceDE w:val="0"/>
        <w:autoSpaceDN w:val="0"/>
        <w:adjustRightInd w:val="0"/>
        <w:ind w:left="567" w:hanging="567"/>
        <w:textAlignment w:val="baseline"/>
        <w:rPr>
          <w:bCs/>
          <w:iCs/>
        </w:rPr>
      </w:pPr>
      <w:r>
        <w:t>verweist darauf, dass die Tätigkeiten sozialwirtschaftlicher Einrichtungen in einer Reihe von Fällen einen solidarischen Charakter haben und nicht als wirtschaftliche Tätigkeit gelten. Gleichzeitig ist der grenzüberschreitende Charakter der Tätigkeiten dieser Einrichtungen im Gesundheits- und Sozialbereich in vielen Fälle zweitrangig und so geringfügig, dass der Wettbewerb zwischen den Mitgliedstaaten nicht wesentlich beeinträchtigt wird;</w:t>
      </w:r>
    </w:p>
    <w:p w:rsidRPr="009B04E2" w:rsidR="009B04E2" w:rsidP="0060010D" w:rsidRDefault="009B04E2" w14:paraId="1CA3525C" w14:textId="77777777">
      <w:pPr>
        <w:widowControl w:val="0"/>
        <w:numPr>
          <w:ilvl w:val="0"/>
          <w:numId w:val="36"/>
        </w:numPr>
        <w:overflowPunct w:val="0"/>
        <w:autoSpaceDE w:val="0"/>
        <w:autoSpaceDN w:val="0"/>
        <w:adjustRightInd w:val="0"/>
        <w:ind w:left="567" w:hanging="567"/>
        <w:textAlignment w:val="baseline"/>
        <w:rPr>
          <w:bCs/>
          <w:iCs/>
        </w:rPr>
      </w:pPr>
      <w:r>
        <w:t>ist der Auffassung, dass die in der Allgemeinen Freistellungsverordnung festgelegten Regeln für die Gewährung von Beihilfen für benachteiligte Arbeitnehmer und Arbeitnehmer mit Behinderungen gestärkt und vereinfacht werden sollten;</w:t>
      </w:r>
    </w:p>
    <w:p w:rsidRPr="009B04E2" w:rsidR="009B04E2" w:rsidP="0060010D" w:rsidRDefault="009B04E2" w14:paraId="409B4506" w14:textId="77777777">
      <w:pPr>
        <w:widowControl w:val="0"/>
        <w:numPr>
          <w:ilvl w:val="0"/>
          <w:numId w:val="36"/>
        </w:numPr>
        <w:overflowPunct w:val="0"/>
        <w:autoSpaceDE w:val="0"/>
        <w:autoSpaceDN w:val="0"/>
        <w:adjustRightInd w:val="0"/>
        <w:ind w:left="567" w:hanging="567"/>
        <w:textAlignment w:val="baseline"/>
        <w:rPr>
          <w:bCs/>
          <w:iCs/>
        </w:rPr>
      </w:pPr>
      <w:r>
        <w:t>begrüßt den im Letta-Bericht unterbreiteten Vorschlag in Bezug auf die notwendige Anpassung des geltenden Rechtsrahmens für staatliche Beihilfen, um sozialwirtschaftlichen Unternehmen einen besseren Zugang zu Krediten und Finanzmitteln zu sichern;</w:t>
      </w:r>
    </w:p>
    <w:p w:rsidRPr="009B04E2" w:rsidR="009B04E2" w:rsidP="0060010D" w:rsidRDefault="009B04E2" w14:paraId="1FB3DA76" w14:textId="77777777">
      <w:pPr>
        <w:widowControl w:val="0"/>
        <w:numPr>
          <w:ilvl w:val="0"/>
          <w:numId w:val="36"/>
        </w:numPr>
        <w:overflowPunct w:val="0"/>
        <w:autoSpaceDE w:val="0"/>
        <w:autoSpaceDN w:val="0"/>
        <w:adjustRightInd w:val="0"/>
        <w:ind w:left="567" w:hanging="567"/>
        <w:textAlignment w:val="baseline"/>
        <w:rPr>
          <w:bCs/>
          <w:iCs/>
        </w:rPr>
      </w:pPr>
      <w:r>
        <w:t xml:space="preserve">stellt fest, dass der Rechtsrahmen für Beihilfen für Dienstleistungen von allgemeinem </w:t>
      </w:r>
      <w:r>
        <w:lastRenderedPageBreak/>
        <w:t>wirtschaftlichem Interesse (DAWI) von den Behörden nicht angemessen ausgeschöpft wird;</w:t>
      </w:r>
    </w:p>
    <w:p w:rsidRPr="009B04E2" w:rsidR="009B04E2" w:rsidP="0060010D" w:rsidRDefault="009B04E2" w14:paraId="51D0AE31" w14:textId="77777777">
      <w:pPr>
        <w:widowControl w:val="0"/>
        <w:numPr>
          <w:ilvl w:val="0"/>
          <w:numId w:val="36"/>
        </w:numPr>
        <w:overflowPunct w:val="0"/>
        <w:autoSpaceDE w:val="0"/>
        <w:autoSpaceDN w:val="0"/>
        <w:adjustRightInd w:val="0"/>
        <w:ind w:left="567" w:hanging="567"/>
        <w:textAlignment w:val="baseline"/>
        <w:rPr>
          <w:bCs/>
          <w:iCs/>
        </w:rPr>
      </w:pPr>
      <w:r>
        <w:t>begrüßt, dass in den politischen Leitlinien für die neue Europäische Kommission eine Überarbeitung der Beihilfevorschriften angekündigt wird, „um Fördermaßnahmen, insbesondere für erschwinglichen energieeffizienten und sozialen Wohnraum, zu ermöglichen“;</w:t>
      </w:r>
    </w:p>
    <w:p w:rsidRPr="009B04E2" w:rsidR="009B04E2" w:rsidP="0060010D" w:rsidRDefault="009B04E2" w14:paraId="4DB77906" w14:textId="77777777">
      <w:pPr>
        <w:widowControl w:val="0"/>
        <w:numPr>
          <w:ilvl w:val="0"/>
          <w:numId w:val="36"/>
        </w:numPr>
        <w:overflowPunct w:val="0"/>
        <w:autoSpaceDE w:val="0"/>
        <w:autoSpaceDN w:val="0"/>
        <w:adjustRightInd w:val="0"/>
        <w:ind w:left="567" w:hanging="567"/>
        <w:textAlignment w:val="baseline"/>
        <w:rPr>
          <w:bCs/>
          <w:iCs/>
        </w:rPr>
      </w:pPr>
      <w:r>
        <w:t>fordert die Europäische Kommission im Einklang mit dem Fahrplan von Lüttich für die Sozialwirtschaft nachdrücklich auf, ihre Bemühungen zur Umsetzung des Aktionsplans für die Sozialwirtschaft fortzusetzen und einem Mitglied der neuen Europäischen Kommission ein spezifisches Mandat für die Koordinierung der Umsetzung zu übertragen.</w:t>
      </w:r>
    </w:p>
    <w:p w:rsidRPr="000D47FF" w:rsidR="009B04E2" w:rsidRDefault="009B04E2" w14:paraId="12AAB240" w14:textId="77777777">
      <w:pPr>
        <w:widowControl w:val="0"/>
        <w:overflowPunct w:val="0"/>
        <w:autoSpaceDE w:val="0"/>
        <w:autoSpaceDN w:val="0"/>
        <w:adjustRightInd w:val="0"/>
        <w:ind w:left="709"/>
        <w:textAlignment w:val="baseline"/>
        <w:rPr>
          <w:bCs/>
          <w:iCs/>
          <w:lang w:val="en-GB"/>
        </w:rPr>
      </w:pPr>
    </w:p>
    <w:tbl>
      <w:tblPr>
        <w:tblW w:w="5000" w:type="pct"/>
        <w:tblLook w:val="04A0" w:firstRow="1" w:lastRow="0" w:firstColumn="1" w:lastColumn="0" w:noHBand="0" w:noVBand="1"/>
      </w:tblPr>
      <w:tblGrid>
        <w:gridCol w:w="2025"/>
        <w:gridCol w:w="7264"/>
      </w:tblGrid>
      <w:tr w:rsidRPr="00FA33C4" w:rsidR="009B04E2" w:rsidTr="0060010D" w14:paraId="06061533" w14:textId="77777777">
        <w:tc>
          <w:tcPr>
            <w:tcW w:w="1090" w:type="pct"/>
          </w:tcPr>
          <w:p w:rsidRPr="00FA33C4" w:rsidR="009B04E2" w:rsidP="0060010D" w:rsidRDefault="009B04E2" w14:paraId="3984F746" w14:textId="77777777">
            <w:pPr>
              <w:overflowPunct w:val="0"/>
              <w:autoSpaceDE w:val="0"/>
              <w:autoSpaceDN w:val="0"/>
              <w:adjustRightInd w:val="0"/>
              <w:textAlignment w:val="baseline"/>
              <w:rPr>
                <w:i/>
                <w:sz w:val="20"/>
                <w:szCs w:val="20"/>
              </w:rPr>
            </w:pPr>
            <w:r>
              <w:rPr>
                <w:b/>
                <w:i/>
                <w:sz w:val="20"/>
              </w:rPr>
              <w:t>Kontakt</w:t>
            </w:r>
          </w:p>
        </w:tc>
        <w:tc>
          <w:tcPr>
            <w:tcW w:w="3910" w:type="pct"/>
          </w:tcPr>
          <w:p w:rsidRPr="00FA33C4" w:rsidR="009B04E2" w:rsidP="0060010D" w:rsidRDefault="009B04E2" w14:paraId="3D0F10D8" w14:textId="77777777">
            <w:pPr>
              <w:overflowPunct w:val="0"/>
              <w:autoSpaceDE w:val="0"/>
              <w:autoSpaceDN w:val="0"/>
              <w:adjustRightInd w:val="0"/>
              <w:textAlignment w:val="baseline"/>
              <w:rPr>
                <w:i/>
                <w:sz w:val="20"/>
                <w:szCs w:val="20"/>
              </w:rPr>
            </w:pPr>
            <w:r>
              <w:rPr>
                <w:i/>
                <w:sz w:val="20"/>
              </w:rPr>
              <w:t xml:space="preserve">Annalisa </w:t>
            </w:r>
            <w:proofErr w:type="spellStart"/>
            <w:r>
              <w:rPr>
                <w:i/>
                <w:sz w:val="20"/>
              </w:rPr>
              <w:t>Tessarolo</w:t>
            </w:r>
            <w:proofErr w:type="spellEnd"/>
          </w:p>
        </w:tc>
      </w:tr>
      <w:tr w:rsidRPr="00FA33C4" w:rsidR="009B04E2" w:rsidTr="0060010D" w14:paraId="6F2C0004" w14:textId="77777777">
        <w:tc>
          <w:tcPr>
            <w:tcW w:w="1090" w:type="pct"/>
          </w:tcPr>
          <w:p w:rsidRPr="00FA33C4" w:rsidR="009B04E2" w:rsidP="0060010D" w:rsidRDefault="009B04E2" w14:paraId="3267FA21" w14:textId="77777777">
            <w:pPr>
              <w:overflowPunct w:val="0"/>
              <w:autoSpaceDE w:val="0"/>
              <w:autoSpaceDN w:val="0"/>
              <w:adjustRightInd w:val="0"/>
              <w:textAlignment w:val="baseline"/>
              <w:rPr>
                <w:i/>
                <w:sz w:val="20"/>
                <w:szCs w:val="20"/>
              </w:rPr>
            </w:pPr>
            <w:r>
              <w:rPr>
                <w:i/>
                <w:sz w:val="20"/>
              </w:rPr>
              <w:t>Tel.</w:t>
            </w:r>
          </w:p>
        </w:tc>
        <w:tc>
          <w:tcPr>
            <w:tcW w:w="3910" w:type="pct"/>
          </w:tcPr>
          <w:p w:rsidRPr="00FA33C4" w:rsidR="009B04E2" w:rsidP="0060010D" w:rsidRDefault="009B04E2" w14:paraId="59F38B18" w14:textId="77777777">
            <w:pPr>
              <w:overflowPunct w:val="0"/>
              <w:autoSpaceDE w:val="0"/>
              <w:autoSpaceDN w:val="0"/>
              <w:adjustRightInd w:val="0"/>
              <w:textAlignment w:val="baseline"/>
              <w:rPr>
                <w:i/>
                <w:sz w:val="20"/>
                <w:szCs w:val="20"/>
              </w:rPr>
            </w:pPr>
            <w:r>
              <w:rPr>
                <w:i/>
                <w:sz w:val="20"/>
              </w:rPr>
              <w:t>+32 25469732</w:t>
            </w:r>
          </w:p>
        </w:tc>
      </w:tr>
      <w:tr w:rsidRPr="00FA33C4" w:rsidR="009B04E2" w:rsidTr="0060010D" w14:paraId="20290266" w14:textId="77777777">
        <w:tc>
          <w:tcPr>
            <w:tcW w:w="1090" w:type="pct"/>
          </w:tcPr>
          <w:p w:rsidRPr="00FA33C4" w:rsidR="009B04E2" w:rsidP="0060010D" w:rsidRDefault="00BD6AD8" w14:paraId="060993AA" w14:textId="14698F1B">
            <w:pPr>
              <w:overflowPunct w:val="0"/>
              <w:autoSpaceDE w:val="0"/>
              <w:autoSpaceDN w:val="0"/>
              <w:adjustRightInd w:val="0"/>
              <w:textAlignment w:val="baseline"/>
              <w:rPr>
                <w:i/>
                <w:sz w:val="20"/>
                <w:szCs w:val="20"/>
              </w:rPr>
            </w:pPr>
            <w:r>
              <w:rPr>
                <w:i/>
                <w:sz w:val="20"/>
              </w:rPr>
              <w:t>E-Mail</w:t>
            </w:r>
          </w:p>
        </w:tc>
        <w:tc>
          <w:tcPr>
            <w:tcW w:w="3910" w:type="pct"/>
          </w:tcPr>
          <w:p w:rsidRPr="00FA33C4" w:rsidR="009B04E2" w:rsidP="0060010D" w:rsidRDefault="001201F9" w14:paraId="38729E20" w14:textId="77777777">
            <w:pPr>
              <w:overflowPunct w:val="0"/>
              <w:autoSpaceDE w:val="0"/>
              <w:autoSpaceDN w:val="0"/>
              <w:adjustRightInd w:val="0"/>
              <w:textAlignment w:val="baseline"/>
              <w:rPr>
                <w:i/>
                <w:sz w:val="20"/>
                <w:szCs w:val="20"/>
              </w:rPr>
            </w:pPr>
            <w:hyperlink w:history="1" r:id="rId33">
              <w:r w:rsidR="00465FCD">
                <w:rPr>
                  <w:i/>
                  <w:color w:val="0000FF"/>
                  <w:sz w:val="20"/>
                  <w:u w:val="single"/>
                </w:rPr>
                <w:t>Annalisa.Tessarolo@eesc.europa.eu</w:t>
              </w:r>
            </w:hyperlink>
          </w:p>
        </w:tc>
      </w:tr>
    </w:tbl>
    <w:p w:rsidR="00EE160A" w:rsidRDefault="00EE160A" w14:paraId="79E24043" w14:textId="77C83B07">
      <w:pPr>
        <w:pStyle w:val="ListParagraph"/>
        <w:ind w:left="0"/>
        <w:rPr>
          <w:lang w:val="en-GB"/>
        </w:rPr>
      </w:pPr>
    </w:p>
    <w:p w:rsidRPr="008B7409" w:rsidR="00EE160A" w:rsidP="00EE160A" w:rsidRDefault="001201F9" w14:paraId="578D82F0" w14:textId="1E2EC8F7">
      <w:pPr>
        <w:pStyle w:val="ListParagraph"/>
        <w:numPr>
          <w:ilvl w:val="0"/>
          <w:numId w:val="53"/>
        </w:numPr>
        <w:ind w:left="567" w:hanging="567"/>
        <w:rPr>
          <w:b/>
          <w:bCs/>
          <w:i/>
          <w:iCs/>
          <w:sz w:val="28"/>
          <w:szCs w:val="28"/>
        </w:rPr>
      </w:pPr>
      <w:hyperlink w:history="1" r:id="rId34">
        <w:r w:rsidRPr="008B7409" w:rsidR="004B4D2E">
          <w:rPr>
            <w:rStyle w:val="Hyperlink"/>
            <w:b/>
            <w:i/>
            <w:sz w:val="28"/>
            <w:szCs w:val="28"/>
          </w:rPr>
          <w:t>Die Wettbewerbspolitik als Herzstück der Wettbewerbsfähigkeit der EU</w:t>
        </w:r>
      </w:hyperlink>
    </w:p>
    <w:p w:rsidR="00EE160A" w:rsidRDefault="00EE160A" w14:paraId="71324E36" w14:textId="77777777">
      <w:pPr>
        <w:pStyle w:val="ListParagraph"/>
        <w:ind w:left="0"/>
        <w:rPr>
          <w:lang w:val="en-GB"/>
        </w:rPr>
      </w:pPr>
    </w:p>
    <w:tbl>
      <w:tblPr>
        <w:tblW w:w="5000" w:type="pct"/>
        <w:tblLook w:val="04A0" w:firstRow="1" w:lastRow="0" w:firstColumn="1" w:lastColumn="0" w:noHBand="0" w:noVBand="1"/>
      </w:tblPr>
      <w:tblGrid>
        <w:gridCol w:w="2025"/>
        <w:gridCol w:w="7264"/>
      </w:tblGrid>
      <w:tr w:rsidRPr="00FA33C4" w:rsidR="00B8503F" w:rsidTr="0060010D" w14:paraId="6B4D5454" w14:textId="77777777">
        <w:tc>
          <w:tcPr>
            <w:tcW w:w="1090" w:type="pct"/>
          </w:tcPr>
          <w:p w:rsidRPr="00FA33C4" w:rsidR="00B8503F" w:rsidRDefault="00B8503F" w14:paraId="6C58656A" w14:textId="77777777">
            <w:pPr>
              <w:tabs>
                <w:tab w:val="center" w:pos="284"/>
              </w:tabs>
              <w:overflowPunct w:val="0"/>
              <w:autoSpaceDE w:val="0"/>
              <w:autoSpaceDN w:val="0"/>
              <w:adjustRightInd w:val="0"/>
              <w:ind w:left="266" w:hanging="266"/>
              <w:textAlignment w:val="baseline"/>
              <w:rPr>
                <w:b/>
                <w:sz w:val="20"/>
                <w:szCs w:val="20"/>
              </w:rPr>
            </w:pPr>
            <w:r>
              <w:rPr>
                <w:b/>
                <w:sz w:val="20"/>
              </w:rPr>
              <w:t>Berichterstatterin</w:t>
            </w:r>
          </w:p>
        </w:tc>
        <w:tc>
          <w:tcPr>
            <w:tcW w:w="3910" w:type="pct"/>
          </w:tcPr>
          <w:p w:rsidRPr="00FA33C4" w:rsidR="00B8503F" w:rsidRDefault="00B8503F" w14:paraId="16378746" w14:textId="15A4AD8B">
            <w:pPr>
              <w:tabs>
                <w:tab w:val="center" w:pos="284"/>
              </w:tabs>
              <w:overflowPunct w:val="0"/>
              <w:autoSpaceDE w:val="0"/>
              <w:autoSpaceDN w:val="0"/>
              <w:adjustRightInd w:val="0"/>
              <w:ind w:left="266" w:hanging="266"/>
              <w:textAlignment w:val="baseline"/>
              <w:rPr>
                <w:sz w:val="20"/>
                <w:szCs w:val="20"/>
              </w:rPr>
            </w:pPr>
            <w:r>
              <w:rPr>
                <w:sz w:val="20"/>
              </w:rPr>
              <w:t>Isabel YGLESIAS (Gruppe Arbeitgeber – ES)</w:t>
            </w:r>
          </w:p>
        </w:tc>
      </w:tr>
      <w:tr w:rsidRPr="00FA33C4" w:rsidR="00B8503F" w:rsidTr="0060010D" w14:paraId="4275B663" w14:textId="77777777">
        <w:tc>
          <w:tcPr>
            <w:tcW w:w="5000" w:type="pct"/>
            <w:gridSpan w:val="2"/>
          </w:tcPr>
          <w:p w:rsidRPr="00FA33C4" w:rsidR="00B8503F" w:rsidP="0060010D" w:rsidRDefault="00B8503F" w14:paraId="10A91ACC" w14:textId="77777777">
            <w:pPr>
              <w:tabs>
                <w:tab w:val="center" w:pos="284"/>
              </w:tabs>
              <w:overflowPunct w:val="0"/>
              <w:autoSpaceDE w:val="0"/>
              <w:autoSpaceDN w:val="0"/>
              <w:adjustRightInd w:val="0"/>
              <w:ind w:left="266" w:hanging="266"/>
              <w:textAlignment w:val="baseline"/>
              <w:rPr>
                <w:sz w:val="20"/>
                <w:szCs w:val="20"/>
              </w:rPr>
            </w:pPr>
          </w:p>
        </w:tc>
      </w:tr>
      <w:tr w:rsidRPr="00FA33C4" w:rsidR="00B8503F" w:rsidTr="0060010D" w14:paraId="3DC3FE49" w14:textId="77777777">
        <w:tc>
          <w:tcPr>
            <w:tcW w:w="1090" w:type="pct"/>
            <w:vMerge w:val="restart"/>
          </w:tcPr>
          <w:p w:rsidRPr="00FA33C4" w:rsidR="00B8503F" w:rsidRDefault="00B8503F" w14:paraId="38E2C93C" w14:textId="77777777">
            <w:pPr>
              <w:tabs>
                <w:tab w:val="center" w:pos="284"/>
              </w:tabs>
              <w:overflowPunct w:val="0"/>
              <w:autoSpaceDE w:val="0"/>
              <w:autoSpaceDN w:val="0"/>
              <w:adjustRightInd w:val="0"/>
              <w:ind w:left="266" w:hanging="266"/>
              <w:textAlignment w:val="baseline"/>
              <w:rPr>
                <w:b/>
                <w:sz w:val="20"/>
                <w:szCs w:val="20"/>
              </w:rPr>
            </w:pPr>
            <w:r>
              <w:rPr>
                <w:b/>
                <w:sz w:val="20"/>
              </w:rPr>
              <w:t>Referenzdokument</w:t>
            </w:r>
          </w:p>
        </w:tc>
        <w:tc>
          <w:tcPr>
            <w:tcW w:w="3910" w:type="pct"/>
          </w:tcPr>
          <w:p w:rsidRPr="00FA33C4" w:rsidR="00B8503F" w:rsidRDefault="00B8503F" w14:paraId="6F4ED165" w14:textId="77777777">
            <w:pPr>
              <w:tabs>
                <w:tab w:val="center" w:pos="284"/>
              </w:tabs>
              <w:overflowPunct w:val="0"/>
              <w:autoSpaceDE w:val="0"/>
              <w:autoSpaceDN w:val="0"/>
              <w:adjustRightInd w:val="0"/>
              <w:ind w:left="266" w:hanging="266"/>
              <w:textAlignment w:val="baseline"/>
              <w:rPr>
                <w:sz w:val="20"/>
                <w:szCs w:val="20"/>
              </w:rPr>
            </w:pPr>
            <w:r>
              <w:rPr>
                <w:sz w:val="20"/>
              </w:rPr>
              <w:t>Initiativstellungnahme</w:t>
            </w:r>
          </w:p>
        </w:tc>
      </w:tr>
      <w:tr w:rsidRPr="00FA33C4" w:rsidR="00B8503F" w:rsidTr="0060010D" w14:paraId="061DD36D" w14:textId="77777777">
        <w:tc>
          <w:tcPr>
            <w:tcW w:w="1090" w:type="pct"/>
            <w:vMerge/>
          </w:tcPr>
          <w:p w:rsidRPr="00FA33C4" w:rsidR="00B8503F" w:rsidRDefault="00B8503F" w14:paraId="22FF1442" w14:textId="77777777">
            <w:pPr>
              <w:tabs>
                <w:tab w:val="center" w:pos="284"/>
              </w:tabs>
              <w:overflowPunct w:val="0"/>
              <w:autoSpaceDE w:val="0"/>
              <w:autoSpaceDN w:val="0"/>
              <w:adjustRightInd w:val="0"/>
              <w:ind w:left="266" w:hanging="266"/>
              <w:textAlignment w:val="baseline"/>
              <w:rPr>
                <w:b/>
                <w:sz w:val="20"/>
                <w:szCs w:val="20"/>
              </w:rPr>
            </w:pPr>
          </w:p>
        </w:tc>
        <w:tc>
          <w:tcPr>
            <w:tcW w:w="3910" w:type="pct"/>
          </w:tcPr>
          <w:p w:rsidRPr="00FA33C4" w:rsidR="00B8503F" w:rsidRDefault="00B8503F" w14:paraId="2EB8E45F" w14:textId="77777777">
            <w:pPr>
              <w:tabs>
                <w:tab w:val="center" w:pos="284"/>
              </w:tabs>
              <w:overflowPunct w:val="0"/>
              <w:autoSpaceDE w:val="0"/>
              <w:autoSpaceDN w:val="0"/>
              <w:adjustRightInd w:val="0"/>
              <w:ind w:left="266" w:hanging="266"/>
              <w:textAlignment w:val="baseline"/>
              <w:rPr>
                <w:sz w:val="20"/>
                <w:szCs w:val="20"/>
              </w:rPr>
            </w:pPr>
            <w:r>
              <w:rPr>
                <w:sz w:val="20"/>
              </w:rPr>
              <w:t>EESC-2024-01027-00-00-AC</w:t>
            </w:r>
          </w:p>
        </w:tc>
      </w:tr>
    </w:tbl>
    <w:p w:rsidRPr="00B8503F" w:rsidR="00B8503F" w:rsidRDefault="00B8503F" w14:paraId="4144B7F1" w14:textId="77777777">
      <w:pPr>
        <w:tabs>
          <w:tab w:val="center" w:pos="284"/>
        </w:tabs>
        <w:overflowPunct w:val="0"/>
        <w:autoSpaceDE w:val="0"/>
        <w:autoSpaceDN w:val="0"/>
        <w:adjustRightInd w:val="0"/>
        <w:ind w:left="266" w:hanging="266"/>
        <w:textAlignment w:val="baseline"/>
        <w:rPr>
          <w:lang w:val="en-GB"/>
        </w:rPr>
      </w:pPr>
    </w:p>
    <w:p w:rsidRPr="00B8503F" w:rsidR="00B8503F" w:rsidRDefault="00B8503F" w14:paraId="04516D00"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B8503F" w:rsidR="00B8503F" w:rsidRDefault="00B8503F" w14:paraId="42CF4150" w14:textId="77777777">
      <w:pPr>
        <w:keepNext/>
        <w:keepLines/>
        <w:tabs>
          <w:tab w:val="center" w:pos="284"/>
        </w:tabs>
        <w:overflowPunct w:val="0"/>
        <w:autoSpaceDE w:val="0"/>
        <w:autoSpaceDN w:val="0"/>
        <w:adjustRightInd w:val="0"/>
        <w:ind w:left="266" w:hanging="266"/>
        <w:textAlignment w:val="baseline"/>
        <w:rPr>
          <w:b/>
          <w:lang w:val="en-GB"/>
        </w:rPr>
      </w:pPr>
    </w:p>
    <w:p w:rsidR="00B8503F" w:rsidRDefault="00B8503F" w14:paraId="24096944" w14:textId="77777777">
      <w:pPr>
        <w:overflowPunct w:val="0"/>
        <w:autoSpaceDE w:val="0"/>
        <w:autoSpaceDN w:val="0"/>
        <w:adjustRightInd w:val="0"/>
        <w:textAlignment w:val="baseline"/>
        <w:rPr>
          <w:bCs/>
          <w:iCs/>
        </w:rPr>
      </w:pPr>
      <w:r>
        <w:t>Der EWSA</w:t>
      </w:r>
    </w:p>
    <w:p w:rsidRPr="00B8503F" w:rsidR="00B8503F" w:rsidP="0060010D" w:rsidRDefault="00B8503F" w14:paraId="181808F5" w14:textId="77777777">
      <w:pPr>
        <w:widowControl w:val="0"/>
        <w:numPr>
          <w:ilvl w:val="0"/>
          <w:numId w:val="37"/>
        </w:numPr>
        <w:overflowPunct w:val="0"/>
        <w:autoSpaceDE w:val="0"/>
        <w:autoSpaceDN w:val="0"/>
        <w:adjustRightInd w:val="0"/>
        <w:ind w:left="567" w:hanging="567"/>
        <w:textAlignment w:val="baseline"/>
      </w:pPr>
      <w:r>
        <w:t xml:space="preserve">betont, dass EU-Unternehmen bei ihren Umstellungsbemühungen durch </w:t>
      </w:r>
      <w:r>
        <w:rPr>
          <w:b/>
        </w:rPr>
        <w:t>staatliche Beihilfen</w:t>
      </w:r>
      <w:r>
        <w:t xml:space="preserve">, die als Hebel für die Mobilisierung der für dieses gemeinsame Ziel erforderlichen massiven Investitionen fungieren, zuverlässig unterstützt werden können. Um zu vermeiden, dass sich die Streuung der staatlichen Beihilfen zwischen den Mitgliedstaaten negativ auf die Wettbewerbsfähigkeit der EU auswirkt, muss unbedingt sichergestellt werden, dass </w:t>
      </w:r>
      <w:r>
        <w:rPr>
          <w:b/>
        </w:rPr>
        <w:t xml:space="preserve">die öffentliche Unterstützung so effizient wie möglich eingesetzt wird und </w:t>
      </w:r>
      <w:proofErr w:type="spellStart"/>
      <w:r>
        <w:rPr>
          <w:b/>
        </w:rPr>
        <w:t>Spillover</w:t>
      </w:r>
      <w:proofErr w:type="spellEnd"/>
      <w:r>
        <w:rPr>
          <w:b/>
        </w:rPr>
        <w:t>-Effekte sowie die europäischen Wertschöpfungsketten gestärkt werden</w:t>
      </w:r>
      <w:r>
        <w:t>;</w:t>
      </w:r>
    </w:p>
    <w:p w:rsidRPr="00B8503F" w:rsidR="00B8503F" w:rsidP="0060010D" w:rsidRDefault="00B8503F" w14:paraId="6D1C5BC5" w14:textId="77777777">
      <w:pPr>
        <w:widowControl w:val="0"/>
        <w:numPr>
          <w:ilvl w:val="0"/>
          <w:numId w:val="37"/>
        </w:numPr>
        <w:overflowPunct w:val="0"/>
        <w:autoSpaceDE w:val="0"/>
        <w:autoSpaceDN w:val="0"/>
        <w:adjustRightInd w:val="0"/>
        <w:ind w:left="567" w:hanging="567"/>
        <w:textAlignment w:val="baseline"/>
      </w:pPr>
      <w:r>
        <w:t>unterstreicht, dass die</w:t>
      </w:r>
      <w:r>
        <w:rPr>
          <w:b/>
        </w:rPr>
        <w:t xml:space="preserve"> entsprechenden Prüfverfahren weiterentwickelt werden könnten, um die Besonderheiten von Märkten</w:t>
      </w:r>
      <w:r>
        <w:t xml:space="preserve">, auf denen Infrastrukturinvestitionen, Innovation oder Nachhaltigkeit eine entscheidende Rolle spielen, </w:t>
      </w:r>
      <w:r>
        <w:rPr>
          <w:b/>
        </w:rPr>
        <w:t>stärker zu berücksichtigen</w:t>
      </w:r>
      <w:r>
        <w:t>. Darüber hinaus sollte eine Lösung gefunden werden, wie innovationsorientierte Zusammenschlüsse, die aktuell nicht unter die Schwellenwerte der Fusionskontrollverordnung fallen, kontrolliert werden können. Zusammenschlüsse sollten niemals zur Verteidigung nationaler Interessen genutzt werden, und bei der Fusionsanalyse sollte den Standpunkten aller Interessenträger Rechnung getragen werden;</w:t>
      </w:r>
    </w:p>
    <w:p w:rsidRPr="00B8503F" w:rsidR="00B8503F" w:rsidP="0060010D" w:rsidRDefault="00B8503F" w14:paraId="73F97A51" w14:textId="77777777">
      <w:pPr>
        <w:widowControl w:val="0"/>
        <w:numPr>
          <w:ilvl w:val="0"/>
          <w:numId w:val="37"/>
        </w:numPr>
        <w:overflowPunct w:val="0"/>
        <w:autoSpaceDE w:val="0"/>
        <w:autoSpaceDN w:val="0"/>
        <w:adjustRightInd w:val="0"/>
        <w:ind w:left="567" w:hanging="567"/>
        <w:textAlignment w:val="baseline"/>
      </w:pPr>
      <w:r>
        <w:t>empfiehlt, bei der Überprüfung der Vorschriften für wichtige Vorhaben von gemeinsamem europäischen Interesse (</w:t>
      </w:r>
      <w:r>
        <w:rPr>
          <w:b/>
        </w:rPr>
        <w:t>IPCEI</w:t>
      </w:r>
      <w:r>
        <w:t xml:space="preserve">) einen </w:t>
      </w:r>
      <w:r>
        <w:rPr>
          <w:b/>
        </w:rPr>
        <w:t>echten europäischen Ansatz</w:t>
      </w:r>
      <w:r>
        <w:t xml:space="preserve"> zu entwickeln, damit diese Instrumente echte Veränderungen bewirken, und der Europäische Fonds für Wettbewerbsfähigkeit muss mit einer europäischen Perspektive konzipiert und eingesetzt werden;</w:t>
      </w:r>
    </w:p>
    <w:p w:rsidRPr="00B8503F" w:rsidR="00B8503F" w:rsidP="0060010D" w:rsidRDefault="00B8503F" w14:paraId="44D6690A" w14:textId="77777777">
      <w:pPr>
        <w:widowControl w:val="0"/>
        <w:numPr>
          <w:ilvl w:val="0"/>
          <w:numId w:val="37"/>
        </w:numPr>
        <w:overflowPunct w:val="0"/>
        <w:autoSpaceDE w:val="0"/>
        <w:autoSpaceDN w:val="0"/>
        <w:adjustRightInd w:val="0"/>
        <w:ind w:left="567" w:hanging="567"/>
        <w:textAlignment w:val="baseline"/>
      </w:pPr>
      <w:r>
        <w:t xml:space="preserve">weist darauf hin, dass Unternehmen Sichtbarkeit und Rechtssicherheit benötigen. Während neue wettbewerbsrechtliche Ansätze entwickelt werden, sollten die </w:t>
      </w:r>
      <w:r>
        <w:rPr>
          <w:b/>
        </w:rPr>
        <w:t>Kartell-, Fusions- und Beihilfeverfahren weiter gestrafft und klare Leitlinien vorgelegt</w:t>
      </w:r>
      <w:r>
        <w:t xml:space="preserve"> werden. Ein auf bereits </w:t>
      </w:r>
      <w:r>
        <w:lastRenderedPageBreak/>
        <w:t>bestehenden Instrumenten zur Vertiefung des Binnenmarkts beruhender Ansatz sollte Vorrang haben.</w:t>
      </w:r>
    </w:p>
    <w:p w:rsidRPr="00B8503F" w:rsidR="00B8503F" w:rsidRDefault="00B8503F" w14:paraId="708888F6" w14:textId="77777777">
      <w:pPr>
        <w:widowControl w:val="0"/>
        <w:overflowPunct w:val="0"/>
        <w:autoSpaceDE w:val="0"/>
        <w:autoSpaceDN w:val="0"/>
        <w:adjustRightInd w:val="0"/>
        <w:ind w:left="567" w:hanging="567"/>
        <w:textAlignment w:val="baseline"/>
        <w:rPr>
          <w:lang w:val="en-GB"/>
        </w:rPr>
      </w:pPr>
    </w:p>
    <w:tbl>
      <w:tblPr>
        <w:tblW w:w="4941" w:type="pct"/>
        <w:tblLook w:val="04A0" w:firstRow="1" w:lastRow="0" w:firstColumn="1" w:lastColumn="0" w:noHBand="0" w:noVBand="1"/>
      </w:tblPr>
      <w:tblGrid>
        <w:gridCol w:w="2032"/>
        <w:gridCol w:w="7147"/>
      </w:tblGrid>
      <w:tr w:rsidRPr="00FA33C4" w:rsidR="00B8503F" w:rsidTr="00FA33C4" w14:paraId="6322D817" w14:textId="77777777">
        <w:tc>
          <w:tcPr>
            <w:tcW w:w="1107" w:type="pct"/>
          </w:tcPr>
          <w:p w:rsidRPr="00FA33C4" w:rsidR="00B8503F" w:rsidP="0060010D" w:rsidRDefault="00B8503F" w14:paraId="40FB2786" w14:textId="77777777">
            <w:pPr>
              <w:overflowPunct w:val="0"/>
              <w:autoSpaceDE w:val="0"/>
              <w:autoSpaceDN w:val="0"/>
              <w:adjustRightInd w:val="0"/>
              <w:textAlignment w:val="baseline"/>
              <w:rPr>
                <w:i/>
                <w:sz w:val="20"/>
                <w:szCs w:val="20"/>
              </w:rPr>
            </w:pPr>
            <w:r>
              <w:rPr>
                <w:b/>
                <w:i/>
                <w:sz w:val="20"/>
              </w:rPr>
              <w:t>Kontakt</w:t>
            </w:r>
          </w:p>
        </w:tc>
        <w:tc>
          <w:tcPr>
            <w:tcW w:w="3893" w:type="pct"/>
          </w:tcPr>
          <w:p w:rsidRPr="00FA33C4" w:rsidR="00B8503F" w:rsidP="0060010D" w:rsidRDefault="00B8503F" w14:paraId="7E2817B8" w14:textId="77777777">
            <w:pPr>
              <w:overflowPunct w:val="0"/>
              <w:autoSpaceDE w:val="0"/>
              <w:autoSpaceDN w:val="0"/>
              <w:adjustRightInd w:val="0"/>
              <w:textAlignment w:val="baseline"/>
              <w:rPr>
                <w:i/>
                <w:sz w:val="20"/>
                <w:szCs w:val="20"/>
              </w:rPr>
            </w:pPr>
            <w:proofErr w:type="spellStart"/>
            <w:r>
              <w:rPr>
                <w:i/>
                <w:sz w:val="20"/>
              </w:rPr>
              <w:t>Staffa</w:t>
            </w:r>
            <w:proofErr w:type="spellEnd"/>
            <w:r>
              <w:rPr>
                <w:i/>
                <w:sz w:val="20"/>
              </w:rPr>
              <w:t xml:space="preserve"> Silvia</w:t>
            </w:r>
          </w:p>
        </w:tc>
      </w:tr>
      <w:tr w:rsidRPr="00FA33C4" w:rsidR="00B8503F" w:rsidTr="00FA33C4" w14:paraId="69EE4A34" w14:textId="77777777">
        <w:tc>
          <w:tcPr>
            <w:tcW w:w="1107" w:type="pct"/>
          </w:tcPr>
          <w:p w:rsidRPr="00FA33C4" w:rsidR="00B8503F" w:rsidP="0060010D" w:rsidRDefault="00B8503F" w14:paraId="4AC8DA13" w14:textId="77777777">
            <w:pPr>
              <w:overflowPunct w:val="0"/>
              <w:autoSpaceDE w:val="0"/>
              <w:autoSpaceDN w:val="0"/>
              <w:adjustRightInd w:val="0"/>
              <w:textAlignment w:val="baseline"/>
              <w:rPr>
                <w:i/>
                <w:sz w:val="20"/>
                <w:szCs w:val="20"/>
              </w:rPr>
            </w:pPr>
            <w:r>
              <w:rPr>
                <w:i/>
                <w:sz w:val="20"/>
              </w:rPr>
              <w:t>Tel.</w:t>
            </w:r>
          </w:p>
        </w:tc>
        <w:tc>
          <w:tcPr>
            <w:tcW w:w="3893" w:type="pct"/>
          </w:tcPr>
          <w:p w:rsidRPr="00FA33C4" w:rsidR="00B8503F" w:rsidP="0060010D" w:rsidRDefault="00B8503F" w14:paraId="1662DE13" w14:textId="77777777">
            <w:pPr>
              <w:overflowPunct w:val="0"/>
              <w:autoSpaceDE w:val="0"/>
              <w:autoSpaceDN w:val="0"/>
              <w:adjustRightInd w:val="0"/>
              <w:textAlignment w:val="baseline"/>
              <w:rPr>
                <w:i/>
                <w:sz w:val="20"/>
                <w:szCs w:val="20"/>
              </w:rPr>
            </w:pPr>
            <w:r>
              <w:rPr>
                <w:i/>
                <w:sz w:val="20"/>
              </w:rPr>
              <w:t>+32 25468378</w:t>
            </w:r>
          </w:p>
        </w:tc>
      </w:tr>
      <w:tr w:rsidRPr="00FA33C4" w:rsidR="00B8503F" w:rsidTr="00FA33C4" w14:paraId="29EEA00D" w14:textId="77777777">
        <w:tc>
          <w:tcPr>
            <w:tcW w:w="1107" w:type="pct"/>
          </w:tcPr>
          <w:p w:rsidRPr="00FA33C4" w:rsidR="00B8503F" w:rsidP="0060010D" w:rsidRDefault="006C0A65" w14:paraId="75A19BC8" w14:textId="69A27546">
            <w:pPr>
              <w:overflowPunct w:val="0"/>
              <w:autoSpaceDE w:val="0"/>
              <w:autoSpaceDN w:val="0"/>
              <w:adjustRightInd w:val="0"/>
              <w:textAlignment w:val="baseline"/>
              <w:rPr>
                <w:i/>
                <w:sz w:val="20"/>
                <w:szCs w:val="20"/>
              </w:rPr>
            </w:pPr>
            <w:r>
              <w:rPr>
                <w:i/>
                <w:sz w:val="20"/>
              </w:rPr>
              <w:t>E-Mail</w:t>
            </w:r>
          </w:p>
        </w:tc>
        <w:tc>
          <w:tcPr>
            <w:tcW w:w="3893" w:type="pct"/>
          </w:tcPr>
          <w:p w:rsidRPr="00FA33C4" w:rsidR="00B8503F" w:rsidP="0060010D" w:rsidRDefault="001421CC" w14:paraId="53E24144" w14:textId="13EAF9E4">
            <w:pPr>
              <w:overflowPunct w:val="0"/>
              <w:autoSpaceDE w:val="0"/>
              <w:autoSpaceDN w:val="0"/>
              <w:adjustRightInd w:val="0"/>
              <w:textAlignment w:val="baseline"/>
              <w:rPr>
                <w:i/>
                <w:sz w:val="20"/>
                <w:szCs w:val="20"/>
              </w:rPr>
            </w:pPr>
            <w:hyperlink w:history="1" r:id="rId35">
              <w:r w:rsidRPr="001421CC" w:rsidR="00B8503F">
                <w:rPr>
                  <w:rStyle w:val="Hyperlink"/>
                  <w:i/>
                  <w:sz w:val="20"/>
                </w:rPr>
                <w:t>Silvia.Staffa@eesc.europa.eu</w:t>
              </w:r>
            </w:hyperlink>
          </w:p>
        </w:tc>
      </w:tr>
    </w:tbl>
    <w:p w:rsidR="009B04E2" w:rsidP="0060010D" w:rsidRDefault="009B04E2" w14:paraId="4982DE1E" w14:textId="427EDE1A">
      <w:pPr>
        <w:jc w:val="left"/>
      </w:pPr>
      <w:r>
        <w:br w:type="page"/>
      </w:r>
    </w:p>
    <w:p w:rsidR="004D7AC0" w:rsidP="0060010D" w:rsidRDefault="004D7AC0" w14:paraId="4982DE1F" w14:textId="77777777">
      <w:pPr>
        <w:pStyle w:val="Heading1"/>
        <w:keepNext/>
        <w:keepLines/>
        <w:rPr>
          <w:b/>
        </w:rPr>
      </w:pPr>
      <w:bookmarkStart w:name="_Toc189059540" w:id="10"/>
      <w:bookmarkStart w:name="_Toc70322234" w:id="11"/>
      <w:bookmarkStart w:name="_Toc75527084" w:id="12"/>
      <w:bookmarkStart w:name="_Toc189140689" w:id="13"/>
      <w:bookmarkEnd w:id="10"/>
      <w:r>
        <w:rPr>
          <w:b/>
        </w:rPr>
        <w:lastRenderedPageBreak/>
        <w:t>LANDWIRTSCHAFT, LÄNDLICHE ENTWICKLUNG, UMWELT</w:t>
      </w:r>
      <w:bookmarkEnd w:id="11"/>
      <w:bookmarkEnd w:id="12"/>
      <w:bookmarkEnd w:id="13"/>
    </w:p>
    <w:p w:rsidR="004D7AC0" w:rsidP="0060010D" w:rsidRDefault="004D7AC0" w14:paraId="4982DE20" w14:textId="77777777">
      <w:pPr>
        <w:keepNext/>
        <w:keepLines/>
      </w:pPr>
    </w:p>
    <w:p w:rsidRPr="00D24919" w:rsidR="00D24919" w:rsidP="0060010D" w:rsidRDefault="001201F9" w14:paraId="3C73BBEB" w14:textId="03CD3A6D">
      <w:pPr>
        <w:keepNext/>
        <w:keepLines/>
        <w:widowControl w:val="0"/>
        <w:numPr>
          <w:ilvl w:val="0"/>
          <w:numId w:val="10"/>
        </w:numPr>
        <w:overflowPunct w:val="0"/>
        <w:autoSpaceDE w:val="0"/>
        <w:autoSpaceDN w:val="0"/>
        <w:adjustRightInd w:val="0"/>
        <w:ind w:left="567" w:hanging="567"/>
        <w:textAlignment w:val="baseline"/>
        <w:rPr>
          <w:b/>
          <w:sz w:val="18"/>
          <w:szCs w:val="18"/>
        </w:rPr>
      </w:pPr>
      <w:hyperlink w:history="1" r:id="rId36">
        <w:r w:rsidR="00F70422">
          <w:rPr>
            <w:rStyle w:val="Hyperlink"/>
            <w:b/>
            <w:i/>
            <w:sz w:val="28"/>
          </w:rPr>
          <w:t>Maßnahmen zur Unterstützung der Bestandserhaltung gegenüber Ländern, die nicht nachhaltigen Fischfang zulassen</w:t>
        </w:r>
      </w:hyperlink>
    </w:p>
    <w:p w:rsidRPr="00D24919" w:rsidR="00D24919" w:rsidP="0060010D" w:rsidRDefault="00D24919" w14:paraId="3EFCF7F8" w14:textId="77777777">
      <w:pPr>
        <w:keepNext/>
        <w:keepLines/>
        <w:widowControl w:val="0"/>
        <w:overflowPunct w:val="0"/>
        <w:autoSpaceDE w:val="0"/>
        <w:autoSpaceDN w:val="0"/>
        <w:adjustRightInd w:val="0"/>
        <w:ind w:left="266"/>
        <w:textAlignment w:val="baseline"/>
        <w:rPr>
          <w:b/>
          <w:sz w:val="18"/>
          <w:szCs w:val="18"/>
          <w:lang w:val="en-GB"/>
        </w:rPr>
      </w:pPr>
    </w:p>
    <w:tbl>
      <w:tblPr>
        <w:tblW w:w="5000" w:type="pct"/>
        <w:tblLook w:val="04A0" w:firstRow="1" w:lastRow="0" w:firstColumn="1" w:lastColumn="0" w:noHBand="0" w:noVBand="1"/>
      </w:tblPr>
      <w:tblGrid>
        <w:gridCol w:w="1938"/>
        <w:gridCol w:w="7351"/>
      </w:tblGrid>
      <w:tr w:rsidRPr="00FA33C4" w:rsidR="00D24919" w:rsidTr="0060010D" w14:paraId="02FFF65B" w14:textId="77777777">
        <w:trPr>
          <w:trHeight w:val="216"/>
        </w:trPr>
        <w:tc>
          <w:tcPr>
            <w:tcW w:w="840" w:type="pct"/>
          </w:tcPr>
          <w:p w:rsidRPr="00FA33C4" w:rsidR="00D24919" w:rsidRDefault="00D24919" w14:paraId="09C1B785" w14:textId="77777777">
            <w:pPr>
              <w:tabs>
                <w:tab w:val="center" w:pos="284"/>
              </w:tabs>
              <w:overflowPunct w:val="0"/>
              <w:autoSpaceDE w:val="0"/>
              <w:autoSpaceDN w:val="0"/>
              <w:adjustRightInd w:val="0"/>
              <w:ind w:left="266" w:hanging="266"/>
              <w:textAlignment w:val="baseline"/>
              <w:rPr>
                <w:b/>
                <w:sz w:val="20"/>
                <w:szCs w:val="20"/>
              </w:rPr>
            </w:pPr>
            <w:r>
              <w:rPr>
                <w:b/>
                <w:sz w:val="20"/>
              </w:rPr>
              <w:t>Berichterstatter</w:t>
            </w:r>
          </w:p>
        </w:tc>
        <w:tc>
          <w:tcPr>
            <w:tcW w:w="4160" w:type="pct"/>
          </w:tcPr>
          <w:p w:rsidRPr="00FA33C4" w:rsidR="00D24919" w:rsidRDefault="00D24919" w14:paraId="67AA154C" w14:textId="77777777">
            <w:pPr>
              <w:tabs>
                <w:tab w:val="center" w:pos="284"/>
              </w:tabs>
              <w:overflowPunct w:val="0"/>
              <w:autoSpaceDE w:val="0"/>
              <w:autoSpaceDN w:val="0"/>
              <w:adjustRightInd w:val="0"/>
              <w:ind w:left="266" w:hanging="266"/>
              <w:textAlignment w:val="baseline"/>
              <w:rPr>
                <w:sz w:val="20"/>
                <w:szCs w:val="20"/>
              </w:rPr>
            </w:pPr>
            <w:r>
              <w:rPr>
                <w:sz w:val="20"/>
              </w:rPr>
              <w:t>Francisco Javier GARAT PÉREZ (Gruppe Organisationen der Zivilgesellschaft – ES)</w:t>
            </w:r>
          </w:p>
        </w:tc>
      </w:tr>
      <w:tr w:rsidRPr="00FA33C4" w:rsidR="00465FCD" w:rsidTr="0060010D" w14:paraId="4911FFB7" w14:textId="77777777">
        <w:trPr>
          <w:trHeight w:val="216"/>
        </w:trPr>
        <w:tc>
          <w:tcPr>
            <w:tcW w:w="840" w:type="pct"/>
          </w:tcPr>
          <w:p w:rsidRPr="00FA33C4" w:rsidR="00465FCD" w:rsidP="007554BE" w:rsidRDefault="00465FCD" w14:paraId="2069D8BB" w14:textId="77777777">
            <w:pPr>
              <w:tabs>
                <w:tab w:val="center" w:pos="284"/>
              </w:tabs>
              <w:overflowPunct w:val="0"/>
              <w:autoSpaceDE w:val="0"/>
              <w:autoSpaceDN w:val="0"/>
              <w:adjustRightInd w:val="0"/>
              <w:ind w:left="266" w:hanging="266"/>
              <w:textAlignment w:val="baseline"/>
              <w:rPr>
                <w:b/>
                <w:sz w:val="20"/>
                <w:szCs w:val="20"/>
              </w:rPr>
            </w:pPr>
          </w:p>
        </w:tc>
        <w:tc>
          <w:tcPr>
            <w:tcW w:w="4160" w:type="pct"/>
          </w:tcPr>
          <w:p w:rsidRPr="00FA33C4" w:rsidR="00465FCD" w:rsidP="007554BE" w:rsidRDefault="00465FCD" w14:paraId="17AC53A8" w14:textId="77777777">
            <w:pPr>
              <w:tabs>
                <w:tab w:val="center" w:pos="284"/>
              </w:tabs>
              <w:overflowPunct w:val="0"/>
              <w:autoSpaceDE w:val="0"/>
              <w:autoSpaceDN w:val="0"/>
              <w:adjustRightInd w:val="0"/>
              <w:ind w:left="266" w:hanging="266"/>
              <w:textAlignment w:val="baseline"/>
              <w:rPr>
                <w:sz w:val="20"/>
                <w:szCs w:val="20"/>
              </w:rPr>
            </w:pPr>
          </w:p>
        </w:tc>
      </w:tr>
      <w:tr w:rsidRPr="00FA33C4" w:rsidR="00D24919" w:rsidTr="0060010D" w14:paraId="23D77389" w14:textId="77777777">
        <w:trPr>
          <w:trHeight w:val="301"/>
        </w:trPr>
        <w:tc>
          <w:tcPr>
            <w:tcW w:w="840" w:type="pct"/>
          </w:tcPr>
          <w:p w:rsidRPr="00FA33C4" w:rsidR="00D24919" w:rsidRDefault="00D24919" w14:paraId="309AAA32" w14:textId="77777777">
            <w:pPr>
              <w:tabs>
                <w:tab w:val="center" w:pos="284"/>
              </w:tabs>
              <w:overflowPunct w:val="0"/>
              <w:autoSpaceDE w:val="0"/>
              <w:autoSpaceDN w:val="0"/>
              <w:adjustRightInd w:val="0"/>
              <w:ind w:left="266" w:hanging="266"/>
              <w:textAlignment w:val="baseline"/>
              <w:rPr>
                <w:b/>
                <w:sz w:val="20"/>
                <w:szCs w:val="20"/>
              </w:rPr>
            </w:pPr>
            <w:r>
              <w:rPr>
                <w:b/>
                <w:sz w:val="20"/>
              </w:rPr>
              <w:t>Referenzdokumente</w:t>
            </w:r>
          </w:p>
        </w:tc>
        <w:tc>
          <w:tcPr>
            <w:tcW w:w="4160" w:type="pct"/>
          </w:tcPr>
          <w:p w:rsidRPr="00FA33C4" w:rsidR="00435AEF" w:rsidRDefault="00435AEF" w14:paraId="1CFC571D" w14:textId="015863F1">
            <w:pPr>
              <w:tabs>
                <w:tab w:val="center" w:pos="284"/>
              </w:tabs>
              <w:overflowPunct w:val="0"/>
              <w:autoSpaceDE w:val="0"/>
              <w:autoSpaceDN w:val="0"/>
              <w:adjustRightInd w:val="0"/>
              <w:ind w:left="266" w:hanging="266"/>
              <w:textAlignment w:val="baseline"/>
              <w:rPr>
                <w:sz w:val="20"/>
                <w:szCs w:val="20"/>
              </w:rPr>
            </w:pPr>
            <w:r>
              <w:rPr>
                <w:sz w:val="20"/>
              </w:rPr>
              <w:t>COM(2024) 407 final</w:t>
            </w:r>
          </w:p>
          <w:p w:rsidRPr="00FA33C4" w:rsidR="00D24919" w:rsidRDefault="00D24919" w14:paraId="38800F4B" w14:textId="5838FADA">
            <w:pPr>
              <w:tabs>
                <w:tab w:val="center" w:pos="284"/>
              </w:tabs>
              <w:overflowPunct w:val="0"/>
              <w:autoSpaceDE w:val="0"/>
              <w:autoSpaceDN w:val="0"/>
              <w:adjustRightInd w:val="0"/>
              <w:ind w:left="266" w:hanging="266"/>
              <w:textAlignment w:val="baseline"/>
              <w:rPr>
                <w:sz w:val="20"/>
                <w:szCs w:val="20"/>
              </w:rPr>
            </w:pPr>
            <w:r>
              <w:rPr>
                <w:sz w:val="20"/>
              </w:rPr>
              <w:t>EESC-2024-04192-00-00-AC</w:t>
            </w:r>
          </w:p>
        </w:tc>
      </w:tr>
    </w:tbl>
    <w:p w:rsidR="00726351" w:rsidRDefault="00726351" w14:paraId="436FAD70" w14:textId="77777777">
      <w:pPr>
        <w:keepNext/>
        <w:keepLines/>
        <w:overflowPunct w:val="0"/>
        <w:autoSpaceDE w:val="0"/>
        <w:autoSpaceDN w:val="0"/>
        <w:adjustRightInd w:val="0"/>
        <w:ind w:left="266" w:hanging="266"/>
        <w:textAlignment w:val="baseline"/>
        <w:rPr>
          <w:b/>
          <w:lang w:val="en-GB"/>
        </w:rPr>
      </w:pPr>
    </w:p>
    <w:p w:rsidRPr="00D24919" w:rsidR="00D24919" w:rsidRDefault="00D24919" w14:paraId="2E7DAA98" w14:textId="1C59FDF0">
      <w:pPr>
        <w:keepNext/>
        <w:keepLines/>
        <w:overflowPunct w:val="0"/>
        <w:autoSpaceDE w:val="0"/>
        <w:autoSpaceDN w:val="0"/>
        <w:adjustRightInd w:val="0"/>
        <w:ind w:left="266" w:hanging="266"/>
        <w:textAlignment w:val="baseline"/>
        <w:rPr>
          <w:b/>
        </w:rPr>
      </w:pPr>
      <w:r>
        <w:rPr>
          <w:b/>
        </w:rPr>
        <w:t>Kernaussagen</w:t>
      </w:r>
    </w:p>
    <w:p w:rsidRPr="00D24919" w:rsidR="00D24919" w:rsidRDefault="00D24919" w14:paraId="26064889" w14:textId="77777777">
      <w:pPr>
        <w:keepNext/>
        <w:keepLines/>
        <w:tabs>
          <w:tab w:val="center" w:pos="284"/>
        </w:tabs>
        <w:overflowPunct w:val="0"/>
        <w:autoSpaceDE w:val="0"/>
        <w:autoSpaceDN w:val="0"/>
        <w:adjustRightInd w:val="0"/>
        <w:ind w:left="266" w:hanging="266"/>
        <w:textAlignment w:val="baseline"/>
        <w:rPr>
          <w:b/>
          <w:lang w:val="en-GB"/>
        </w:rPr>
      </w:pPr>
    </w:p>
    <w:p w:rsidRPr="00D24919" w:rsidR="00D24919" w:rsidRDefault="00D24919" w14:paraId="5A1975E7" w14:textId="77777777">
      <w:pPr>
        <w:overflowPunct w:val="0"/>
        <w:autoSpaceDE w:val="0"/>
        <w:autoSpaceDN w:val="0"/>
        <w:adjustRightInd w:val="0"/>
        <w:textAlignment w:val="baseline"/>
        <w:rPr>
          <w:bCs/>
          <w:iCs/>
        </w:rPr>
      </w:pPr>
      <w:r>
        <w:t>Der EWSA</w:t>
      </w:r>
    </w:p>
    <w:p w:rsidRPr="00D24919" w:rsidR="00D24919" w:rsidP="0060010D" w:rsidRDefault="00D24919" w14:paraId="5B86FB1D" w14:textId="77777777">
      <w:pPr>
        <w:widowControl w:val="0"/>
        <w:numPr>
          <w:ilvl w:val="0"/>
          <w:numId w:val="38"/>
        </w:numPr>
        <w:overflowPunct w:val="0"/>
        <w:autoSpaceDE w:val="0"/>
        <w:autoSpaceDN w:val="0"/>
        <w:adjustRightInd w:val="0"/>
        <w:ind w:left="567" w:hanging="567"/>
        <w:contextualSpacing/>
        <w:textAlignment w:val="baseline"/>
      </w:pPr>
      <w:r>
        <w:t>unterstützt den Vorschlag der Kommission zur Änderung der Verordnung (EU) Nr. 1026/2012, um nicht nachhaltige Fangmethoden zu verhindern und die Fischereiinteressen der EU zu schützen;</w:t>
      </w:r>
    </w:p>
    <w:p w:rsidRPr="00D24919" w:rsidR="00D24919" w:rsidP="0060010D" w:rsidRDefault="00D24919" w14:paraId="645C6651" w14:textId="77777777">
      <w:pPr>
        <w:widowControl w:val="0"/>
        <w:numPr>
          <w:ilvl w:val="0"/>
          <w:numId w:val="38"/>
        </w:numPr>
        <w:overflowPunct w:val="0"/>
        <w:autoSpaceDE w:val="0"/>
        <w:autoSpaceDN w:val="0"/>
        <w:adjustRightInd w:val="0"/>
        <w:ind w:left="567" w:hanging="567"/>
        <w:contextualSpacing/>
        <w:textAlignment w:val="baseline"/>
      </w:pPr>
      <w:r>
        <w:t>fordert, dass der Anwendungsbereich auf das Mittelmeer und auf internationale Gewässer ausgeweitet wird, um weltweit gegen nicht nachhaltige Methoden vorzugehen;</w:t>
      </w:r>
    </w:p>
    <w:p w:rsidRPr="00D24919" w:rsidR="00D24919" w:rsidP="0060010D" w:rsidRDefault="00D24919" w14:paraId="47CE2903" w14:textId="77777777">
      <w:pPr>
        <w:widowControl w:val="0"/>
        <w:numPr>
          <w:ilvl w:val="0"/>
          <w:numId w:val="38"/>
        </w:numPr>
        <w:overflowPunct w:val="0"/>
        <w:autoSpaceDE w:val="0"/>
        <w:autoSpaceDN w:val="0"/>
        <w:adjustRightInd w:val="0"/>
        <w:ind w:left="567" w:hanging="567"/>
        <w:contextualSpacing/>
        <w:textAlignment w:val="baseline"/>
      </w:pPr>
      <w:r>
        <w:t>fordert den Rat und das Europäische Parlament nachdrücklich auf, die Annahme des Vorschlags zu beschleunigen, für mehr Transparenz zu sorgen und sicherzustellen, dass Drittländer die Umstände für potenzielle EU-Sanktionen nachvollziehen können;</w:t>
      </w:r>
    </w:p>
    <w:p w:rsidRPr="00D24919" w:rsidR="00D24919" w:rsidP="0060010D" w:rsidRDefault="00D24919" w14:paraId="4B082E08" w14:textId="77777777">
      <w:pPr>
        <w:widowControl w:val="0"/>
        <w:numPr>
          <w:ilvl w:val="0"/>
          <w:numId w:val="38"/>
        </w:numPr>
        <w:overflowPunct w:val="0"/>
        <w:autoSpaceDE w:val="0"/>
        <w:autoSpaceDN w:val="0"/>
        <w:adjustRightInd w:val="0"/>
        <w:ind w:left="567" w:hanging="567"/>
        <w:contextualSpacing/>
        <w:textAlignment w:val="baseline"/>
      </w:pPr>
      <w:r>
        <w:t>unterstützt verstärkte Instrumente der EU zur Verhängung restriktiver Maßnahmen, einschließlich Einfuhrverboten, weltweit und im Einklang mit den Leitlinien der WTO, mit denen verantwortungsvolle Fischereimethoden und eine faire Behandlung aller Flotten gefördert werden;</w:t>
      </w:r>
    </w:p>
    <w:p w:rsidRPr="00D24919" w:rsidR="00D24919" w:rsidP="0060010D" w:rsidRDefault="00D24919" w14:paraId="13DACFDC" w14:textId="77777777">
      <w:pPr>
        <w:widowControl w:val="0"/>
        <w:numPr>
          <w:ilvl w:val="0"/>
          <w:numId w:val="38"/>
        </w:numPr>
        <w:overflowPunct w:val="0"/>
        <w:autoSpaceDE w:val="0"/>
        <w:autoSpaceDN w:val="0"/>
        <w:adjustRightInd w:val="0"/>
        <w:ind w:left="567" w:hanging="567"/>
        <w:contextualSpacing/>
        <w:textAlignment w:val="baseline"/>
      </w:pPr>
      <w:r>
        <w:t>spricht sich für einen fairen Wettbewerb aus, indem die Bemühungen zur Bekämpfung der Überfischung mit Maßnahmen im Rahmen der Verordnung über illegale, ungemeldete und unregulierte Fischerei (IUU-Fischerei) verknüpft werden;</w:t>
      </w:r>
    </w:p>
    <w:p w:rsidRPr="00D24919" w:rsidR="00D24919" w:rsidP="0060010D" w:rsidRDefault="00D24919" w14:paraId="4C64F46D" w14:textId="77777777">
      <w:pPr>
        <w:widowControl w:val="0"/>
        <w:numPr>
          <w:ilvl w:val="0"/>
          <w:numId w:val="38"/>
        </w:numPr>
        <w:overflowPunct w:val="0"/>
        <w:autoSpaceDE w:val="0"/>
        <w:autoSpaceDN w:val="0"/>
        <w:adjustRightInd w:val="0"/>
        <w:ind w:left="567" w:hanging="567"/>
        <w:contextualSpacing/>
        <w:textAlignment w:val="baseline"/>
      </w:pPr>
      <w:r>
        <w:t>fordert die EU auf, die Zusammenarbeit mit Ländern, die gebietsübergreifende Fischbestände und Bestände weit wandernder Fische bilateral oder im Rahmen regionaler Fischereiorganisationen (RFO) befischen, im Einklang mit dem mit dem Seerechtsübereinkommen der Vereinten Nationen und den damit verbundenen Übereinkommen zu verstärken;</w:t>
      </w:r>
    </w:p>
    <w:p w:rsidRPr="00D24919" w:rsidR="00D24919" w:rsidP="0060010D" w:rsidRDefault="00D24919" w14:paraId="5801DAB4" w14:textId="77777777">
      <w:pPr>
        <w:widowControl w:val="0"/>
        <w:numPr>
          <w:ilvl w:val="0"/>
          <w:numId w:val="38"/>
        </w:numPr>
        <w:overflowPunct w:val="0"/>
        <w:autoSpaceDE w:val="0"/>
        <w:autoSpaceDN w:val="0"/>
        <w:adjustRightInd w:val="0"/>
        <w:ind w:left="567" w:hanging="567"/>
        <w:contextualSpacing/>
        <w:textAlignment w:val="baseline"/>
      </w:pPr>
      <w:r>
        <w:t>betont, dass gegen aggressive Maßnahmen bestimmter Drittländer wie Norwegen vorgegangen werden muss, und empfiehlt strategische Allianzen mit Ländern wie Island, um eine stabile Versorgung mit Meereserzeugnissen sicherzustellen und die Position der EU im Nordostatlantik zu stärken;</w:t>
      </w:r>
    </w:p>
    <w:p w:rsidRPr="00D24919" w:rsidR="00D24919" w:rsidP="0060010D" w:rsidRDefault="00D24919" w14:paraId="5A3014D0" w14:textId="77777777">
      <w:pPr>
        <w:widowControl w:val="0"/>
        <w:numPr>
          <w:ilvl w:val="0"/>
          <w:numId w:val="38"/>
        </w:numPr>
        <w:overflowPunct w:val="0"/>
        <w:autoSpaceDE w:val="0"/>
        <w:autoSpaceDN w:val="0"/>
        <w:adjustRightInd w:val="0"/>
        <w:ind w:left="567" w:hanging="567"/>
        <w:contextualSpacing/>
        <w:textAlignment w:val="baseline"/>
      </w:pPr>
      <w:r>
        <w:t>kritisiert die begrenzte Nutzung des Finanzierungsmechanismus des Europäischen Wirtschaftsraums (EWR), um auf nicht der EU angehörende Küstenstaaten wie Norwegen Druck auszuüben, damit sie internationale Standards für das Fischereimanagement einhalten, und fordert die Festlegung von Bedingungen für den Marktzugang und Durchsetzungsmaßnahmen;</w:t>
      </w:r>
    </w:p>
    <w:p w:rsidRPr="00D24919" w:rsidR="00D24919" w:rsidP="0060010D" w:rsidRDefault="00D24919" w14:paraId="019B5F36" w14:textId="77777777">
      <w:pPr>
        <w:widowControl w:val="0"/>
        <w:numPr>
          <w:ilvl w:val="0"/>
          <w:numId w:val="38"/>
        </w:numPr>
        <w:overflowPunct w:val="0"/>
        <w:autoSpaceDE w:val="0"/>
        <w:autoSpaceDN w:val="0"/>
        <w:adjustRightInd w:val="0"/>
        <w:ind w:left="567" w:hanging="567"/>
        <w:contextualSpacing/>
        <w:textAlignment w:val="baseline"/>
      </w:pPr>
      <w:r>
        <w:t>fordert nachdrücklich, dass im Rahmen der überarbeiteten Verordnung unverzüglich Maßnahmen ergriffen werden, um gegen die unlauteren Praktiken Norwegens vorzugehen, insbesondere in Bezug auf Makrele und Kabeljau im Nordwestatlantik;</w:t>
      </w:r>
    </w:p>
    <w:p w:rsidRPr="00D24919" w:rsidR="00D24919" w:rsidP="0060010D" w:rsidRDefault="00D24919" w14:paraId="40A04075" w14:textId="77777777">
      <w:pPr>
        <w:widowControl w:val="0"/>
        <w:numPr>
          <w:ilvl w:val="0"/>
          <w:numId w:val="38"/>
        </w:numPr>
        <w:overflowPunct w:val="0"/>
        <w:autoSpaceDE w:val="0"/>
        <w:autoSpaceDN w:val="0"/>
        <w:adjustRightInd w:val="0"/>
        <w:ind w:left="567" w:hanging="567"/>
        <w:contextualSpacing/>
        <w:textAlignment w:val="baseline"/>
      </w:pPr>
      <w:r>
        <w:t xml:space="preserve">drängt auf </w:t>
      </w:r>
      <w:proofErr w:type="spellStart"/>
      <w:r>
        <w:t>Inklusivität</w:t>
      </w:r>
      <w:proofErr w:type="spellEnd"/>
      <w:r>
        <w:t xml:space="preserve"> und Transparenz bei den Verhandlungen mit den Küstenstaaten, wobei </w:t>
      </w:r>
      <w:r>
        <w:lastRenderedPageBreak/>
        <w:t>eine aktive Beteiligung der Interessenträger am Fischereimanagement und Sanktionen zu gewährleisten ist;</w:t>
      </w:r>
    </w:p>
    <w:p w:rsidR="00D24919" w:rsidP="0060010D" w:rsidRDefault="00D24919" w14:paraId="5ED597ED" w14:textId="77777777">
      <w:pPr>
        <w:widowControl w:val="0"/>
        <w:numPr>
          <w:ilvl w:val="0"/>
          <w:numId w:val="38"/>
        </w:numPr>
        <w:overflowPunct w:val="0"/>
        <w:autoSpaceDE w:val="0"/>
        <w:autoSpaceDN w:val="0"/>
        <w:adjustRightInd w:val="0"/>
        <w:ind w:left="567" w:hanging="567"/>
        <w:contextualSpacing/>
        <w:textAlignment w:val="baseline"/>
      </w:pPr>
      <w:r>
        <w:t>empfiehlt, Artikel 6 Absatz 1 dahingehend zu ändern, dass die zuständigen Beiräte unverzüglich unterrichtet werden, wenn festgestellt werden kann, dass ein Land nicht nachhaltigen Fischfang zulässt.</w:t>
      </w:r>
    </w:p>
    <w:p w:rsidRPr="00D24919" w:rsidR="008D05C8" w:rsidP="0060010D" w:rsidRDefault="008D05C8" w14:paraId="10263181" w14:textId="77777777">
      <w:pPr>
        <w:widowControl w:val="0"/>
        <w:overflowPunct w:val="0"/>
        <w:autoSpaceDE w:val="0"/>
        <w:autoSpaceDN w:val="0"/>
        <w:adjustRightInd w:val="0"/>
        <w:contextualSpacing/>
        <w:textAlignment w:val="baseline"/>
        <w:rPr>
          <w:lang w:val="en-GB" w:eastAsia="zh-CN"/>
        </w:rPr>
      </w:pPr>
    </w:p>
    <w:tbl>
      <w:tblPr>
        <w:tblW w:w="9322" w:type="dxa"/>
        <w:tblLook w:val="04A0" w:firstRow="1" w:lastRow="0" w:firstColumn="1" w:lastColumn="0" w:noHBand="0" w:noVBand="1"/>
      </w:tblPr>
      <w:tblGrid>
        <w:gridCol w:w="2127"/>
        <w:gridCol w:w="7195"/>
      </w:tblGrid>
      <w:tr w:rsidRPr="00FA33C4" w:rsidR="00D24919" w:rsidTr="0060010D" w14:paraId="235BE468" w14:textId="77777777">
        <w:tc>
          <w:tcPr>
            <w:tcW w:w="2127" w:type="dxa"/>
          </w:tcPr>
          <w:p w:rsidRPr="00FA33C4" w:rsidR="00D24919" w:rsidP="0060010D" w:rsidRDefault="00D24919" w14:paraId="43325915" w14:textId="77777777">
            <w:pPr>
              <w:overflowPunct w:val="0"/>
              <w:autoSpaceDE w:val="0"/>
              <w:autoSpaceDN w:val="0"/>
              <w:adjustRightInd w:val="0"/>
              <w:textAlignment w:val="baseline"/>
              <w:rPr>
                <w:i/>
                <w:sz w:val="20"/>
                <w:szCs w:val="20"/>
              </w:rPr>
            </w:pPr>
            <w:r>
              <w:rPr>
                <w:b/>
                <w:i/>
                <w:sz w:val="20"/>
              </w:rPr>
              <w:t xml:space="preserve">Kontakt </w:t>
            </w:r>
          </w:p>
        </w:tc>
        <w:tc>
          <w:tcPr>
            <w:tcW w:w="7195" w:type="dxa"/>
          </w:tcPr>
          <w:p w:rsidRPr="00FA33C4" w:rsidR="00D24919" w:rsidP="0060010D" w:rsidRDefault="00D24919" w14:paraId="7D904960" w14:textId="77777777">
            <w:pPr>
              <w:overflowPunct w:val="0"/>
              <w:autoSpaceDE w:val="0"/>
              <w:autoSpaceDN w:val="0"/>
              <w:adjustRightInd w:val="0"/>
              <w:textAlignment w:val="baseline"/>
              <w:rPr>
                <w:i/>
                <w:sz w:val="20"/>
                <w:szCs w:val="20"/>
              </w:rPr>
            </w:pPr>
            <w:r>
              <w:rPr>
                <w:i/>
                <w:sz w:val="20"/>
              </w:rPr>
              <w:t>Nicolas Stenger</w:t>
            </w:r>
          </w:p>
        </w:tc>
      </w:tr>
      <w:tr w:rsidRPr="00FA33C4" w:rsidR="00D24919" w:rsidTr="0060010D" w14:paraId="47B5DDD6" w14:textId="77777777">
        <w:tc>
          <w:tcPr>
            <w:tcW w:w="2127" w:type="dxa"/>
          </w:tcPr>
          <w:p w:rsidRPr="00FA33C4" w:rsidR="00D24919" w:rsidP="0060010D" w:rsidRDefault="00D24919" w14:paraId="17563F6D" w14:textId="77777777">
            <w:pPr>
              <w:overflowPunct w:val="0"/>
              <w:autoSpaceDE w:val="0"/>
              <w:autoSpaceDN w:val="0"/>
              <w:adjustRightInd w:val="0"/>
              <w:textAlignment w:val="baseline"/>
              <w:rPr>
                <w:i/>
                <w:sz w:val="20"/>
                <w:szCs w:val="20"/>
              </w:rPr>
            </w:pPr>
            <w:r>
              <w:rPr>
                <w:i/>
                <w:sz w:val="20"/>
              </w:rPr>
              <w:t>Tel.</w:t>
            </w:r>
          </w:p>
        </w:tc>
        <w:tc>
          <w:tcPr>
            <w:tcW w:w="7195" w:type="dxa"/>
          </w:tcPr>
          <w:p w:rsidRPr="00FA33C4" w:rsidR="00D24919" w:rsidP="0060010D" w:rsidRDefault="00D24919" w14:paraId="62CC03AD" w14:textId="77777777">
            <w:pPr>
              <w:overflowPunct w:val="0"/>
              <w:autoSpaceDE w:val="0"/>
              <w:autoSpaceDN w:val="0"/>
              <w:adjustRightInd w:val="0"/>
              <w:textAlignment w:val="baseline"/>
              <w:rPr>
                <w:i/>
                <w:sz w:val="20"/>
                <w:szCs w:val="20"/>
              </w:rPr>
            </w:pPr>
            <w:r>
              <w:rPr>
                <w:i/>
                <w:sz w:val="20"/>
              </w:rPr>
              <w:t>+32 25468152</w:t>
            </w:r>
          </w:p>
        </w:tc>
      </w:tr>
      <w:tr w:rsidRPr="00FA33C4" w:rsidR="00D24919" w:rsidTr="0060010D" w14:paraId="5094B071" w14:textId="77777777">
        <w:tc>
          <w:tcPr>
            <w:tcW w:w="2127" w:type="dxa"/>
          </w:tcPr>
          <w:p w:rsidRPr="00FA33C4" w:rsidR="00D24919" w:rsidP="0060010D" w:rsidRDefault="008D05C8" w14:paraId="270C3A5A" w14:textId="734706FD">
            <w:pPr>
              <w:overflowPunct w:val="0"/>
              <w:autoSpaceDE w:val="0"/>
              <w:autoSpaceDN w:val="0"/>
              <w:adjustRightInd w:val="0"/>
              <w:textAlignment w:val="baseline"/>
              <w:rPr>
                <w:i/>
                <w:sz w:val="20"/>
                <w:szCs w:val="20"/>
              </w:rPr>
            </w:pPr>
            <w:r>
              <w:rPr>
                <w:i/>
                <w:sz w:val="20"/>
              </w:rPr>
              <w:t>E-Mail</w:t>
            </w:r>
          </w:p>
        </w:tc>
        <w:tc>
          <w:tcPr>
            <w:tcW w:w="7195" w:type="dxa"/>
          </w:tcPr>
          <w:p w:rsidRPr="00FA33C4" w:rsidR="00D24919" w:rsidP="0060010D" w:rsidRDefault="001201F9" w14:paraId="1B275FD8" w14:textId="77777777">
            <w:pPr>
              <w:overflowPunct w:val="0"/>
              <w:autoSpaceDE w:val="0"/>
              <w:autoSpaceDN w:val="0"/>
              <w:adjustRightInd w:val="0"/>
              <w:textAlignment w:val="baseline"/>
              <w:rPr>
                <w:i/>
                <w:iCs/>
                <w:sz w:val="20"/>
                <w:szCs w:val="20"/>
              </w:rPr>
            </w:pPr>
            <w:hyperlink w:history="1" r:id="rId37">
              <w:r w:rsidR="00465FCD">
                <w:rPr>
                  <w:i/>
                  <w:color w:val="0000FF"/>
                  <w:sz w:val="20"/>
                  <w:u w:val="single"/>
                </w:rPr>
                <w:t>Nicolas.Stenger@eesc.europa.eu</w:t>
              </w:r>
            </w:hyperlink>
          </w:p>
        </w:tc>
      </w:tr>
    </w:tbl>
    <w:p w:rsidR="007F5784" w:rsidP="0060010D" w:rsidRDefault="007F5784" w14:paraId="715DB2BD" w14:textId="06E41C3D">
      <w:pPr>
        <w:jc w:val="left"/>
      </w:pPr>
    </w:p>
    <w:p w:rsidR="007F5784" w:rsidP="001421CC" w:rsidRDefault="007F5784" w14:paraId="14026A78" w14:textId="4FAE1588">
      <w:pPr>
        <w:pStyle w:val="Heading1"/>
        <w:keepNext/>
        <w:keepLines/>
        <w:pageBreakBefore/>
        <w:rPr>
          <w:b/>
        </w:rPr>
      </w:pPr>
      <w:bookmarkStart w:name="_Toc189140690" w:id="14"/>
      <w:r>
        <w:rPr>
          <w:b/>
        </w:rPr>
        <w:lastRenderedPageBreak/>
        <w:t>AUẞENBEZIEHUNGEN</w:t>
      </w:r>
      <w:bookmarkEnd w:id="14"/>
    </w:p>
    <w:p w:rsidR="007F5784" w:rsidP="0060010D" w:rsidRDefault="007F5784" w14:paraId="3BBB3E68" w14:textId="77777777">
      <w:pPr>
        <w:keepNext/>
        <w:keepLines/>
      </w:pPr>
    </w:p>
    <w:p w:rsidRPr="00C8173B" w:rsidR="00C8173B" w:rsidP="0060010D" w:rsidRDefault="001201F9" w14:paraId="29A16775" w14:textId="57A22188">
      <w:pPr>
        <w:keepNext/>
        <w:keepLines/>
        <w:widowControl w:val="0"/>
        <w:numPr>
          <w:ilvl w:val="0"/>
          <w:numId w:val="4"/>
        </w:numPr>
        <w:overflowPunct w:val="0"/>
        <w:autoSpaceDE w:val="0"/>
        <w:autoSpaceDN w:val="0"/>
        <w:adjustRightInd w:val="0"/>
        <w:ind w:hanging="567"/>
        <w:textAlignment w:val="baseline"/>
        <w:rPr>
          <w:b/>
          <w:bCs/>
          <w:i/>
          <w:iCs/>
          <w:sz w:val="28"/>
          <w:szCs w:val="28"/>
        </w:rPr>
      </w:pPr>
      <w:hyperlink w:history="1" r:id="rId38">
        <w:r w:rsidR="00C8173B">
          <w:rPr>
            <w:b/>
            <w:i/>
            <w:color w:val="0000FF"/>
            <w:sz w:val="28"/>
            <w:u w:val="single"/>
          </w:rPr>
          <w:t>Erarbeitung der Arktisstrategie der Europäischen Union 2024–2029 im Dialog mit der Zivilgesellschaft (Initiativstellungnahme)</w:t>
        </w:r>
      </w:hyperlink>
    </w:p>
    <w:p w:rsidRPr="00C8173B" w:rsidR="00C8173B" w:rsidP="0060010D" w:rsidRDefault="00C8173B" w14:paraId="27EAAC5C" w14:textId="77777777">
      <w:pPr>
        <w:keepNext/>
        <w:keepLines/>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2032"/>
        <w:gridCol w:w="7147"/>
      </w:tblGrid>
      <w:tr w:rsidRPr="00FA33C4" w:rsidR="00C8173B" w:rsidTr="000B1858" w14:paraId="029C2A93" w14:textId="77777777">
        <w:tc>
          <w:tcPr>
            <w:tcW w:w="1107" w:type="pct"/>
          </w:tcPr>
          <w:p w:rsidRPr="00FA33C4" w:rsidR="00C8173B" w:rsidRDefault="00C8173B" w14:paraId="70E313F2" w14:textId="77777777">
            <w:pPr>
              <w:tabs>
                <w:tab w:val="center" w:pos="284"/>
              </w:tabs>
              <w:overflowPunct w:val="0"/>
              <w:autoSpaceDE w:val="0"/>
              <w:autoSpaceDN w:val="0"/>
              <w:adjustRightInd w:val="0"/>
              <w:ind w:left="266" w:hanging="266"/>
              <w:textAlignment w:val="baseline"/>
              <w:rPr>
                <w:b/>
                <w:sz w:val="20"/>
                <w:szCs w:val="20"/>
              </w:rPr>
            </w:pPr>
            <w:r>
              <w:rPr>
                <w:b/>
                <w:sz w:val="20"/>
              </w:rPr>
              <w:t>Berichterstatter</w:t>
            </w:r>
          </w:p>
          <w:p w:rsidRPr="00FA33C4" w:rsidR="00C8173B" w:rsidRDefault="00C8173B" w14:paraId="5281128A" w14:textId="77777777">
            <w:pPr>
              <w:tabs>
                <w:tab w:val="center" w:pos="284"/>
              </w:tabs>
              <w:overflowPunct w:val="0"/>
              <w:autoSpaceDE w:val="0"/>
              <w:autoSpaceDN w:val="0"/>
              <w:adjustRightInd w:val="0"/>
              <w:ind w:left="266" w:hanging="266"/>
              <w:textAlignment w:val="baseline"/>
              <w:rPr>
                <w:b/>
                <w:sz w:val="20"/>
                <w:szCs w:val="20"/>
              </w:rPr>
            </w:pPr>
            <w:r>
              <w:rPr>
                <w:b/>
                <w:sz w:val="20"/>
              </w:rPr>
              <w:t>Ko-Berichterstatter</w:t>
            </w:r>
          </w:p>
        </w:tc>
        <w:tc>
          <w:tcPr>
            <w:tcW w:w="3893" w:type="pct"/>
          </w:tcPr>
          <w:p w:rsidRPr="00FA33C4" w:rsidR="00C8173B" w:rsidRDefault="00C8173B" w14:paraId="3CB11A11" w14:textId="77777777">
            <w:pPr>
              <w:tabs>
                <w:tab w:val="center" w:pos="284"/>
              </w:tabs>
              <w:overflowPunct w:val="0"/>
              <w:autoSpaceDE w:val="0"/>
              <w:autoSpaceDN w:val="0"/>
              <w:adjustRightInd w:val="0"/>
              <w:ind w:left="266" w:hanging="266"/>
              <w:textAlignment w:val="baseline"/>
              <w:rPr>
                <w:sz w:val="20"/>
                <w:szCs w:val="20"/>
              </w:rPr>
            </w:pPr>
            <w:r>
              <w:rPr>
                <w:sz w:val="20"/>
              </w:rPr>
              <w:t>Anders LADEFOGED (Gruppe Arbeitgeber – DK)</w:t>
            </w:r>
          </w:p>
          <w:p w:rsidRPr="00FA33C4" w:rsidR="00217685" w:rsidP="0060010D" w:rsidRDefault="00C8173B" w14:paraId="7141C129" w14:textId="066B055A">
            <w:pPr>
              <w:shd w:val="clear" w:color="auto" w:fill="FEFEFE"/>
              <w:jc w:val="left"/>
              <w:rPr>
                <w:sz w:val="20"/>
                <w:szCs w:val="20"/>
              </w:rPr>
            </w:pPr>
            <w:r>
              <w:rPr>
                <w:sz w:val="20"/>
              </w:rPr>
              <w:t>Christian MOOS (Gruppe Organisationen der Zivilgesellschaft – DE)</w:t>
            </w:r>
          </w:p>
        </w:tc>
      </w:tr>
      <w:tr w:rsidRPr="00FA33C4" w:rsidR="00C8173B" w:rsidTr="000B1858" w14:paraId="4A9CE5B5" w14:textId="77777777">
        <w:tc>
          <w:tcPr>
            <w:tcW w:w="5000" w:type="pct"/>
            <w:gridSpan w:val="2"/>
          </w:tcPr>
          <w:p w:rsidRPr="00FA33C4" w:rsidR="00C8173B" w:rsidP="0060010D" w:rsidRDefault="00C8173B" w14:paraId="3C19F370" w14:textId="77777777">
            <w:pPr>
              <w:tabs>
                <w:tab w:val="center" w:pos="284"/>
              </w:tabs>
              <w:overflowPunct w:val="0"/>
              <w:autoSpaceDE w:val="0"/>
              <w:autoSpaceDN w:val="0"/>
              <w:adjustRightInd w:val="0"/>
              <w:ind w:left="266" w:hanging="266"/>
              <w:textAlignment w:val="baseline"/>
              <w:rPr>
                <w:sz w:val="20"/>
                <w:szCs w:val="20"/>
              </w:rPr>
            </w:pPr>
          </w:p>
        </w:tc>
      </w:tr>
      <w:tr w:rsidRPr="00FA33C4" w:rsidR="00C8173B" w:rsidTr="000B1858" w14:paraId="46314555" w14:textId="77777777">
        <w:tc>
          <w:tcPr>
            <w:tcW w:w="1107" w:type="pct"/>
          </w:tcPr>
          <w:p w:rsidRPr="00FA33C4" w:rsidR="00C8173B" w:rsidRDefault="00C8173B" w14:paraId="00252F51" w14:textId="77777777">
            <w:pPr>
              <w:tabs>
                <w:tab w:val="center" w:pos="284"/>
              </w:tabs>
              <w:overflowPunct w:val="0"/>
              <w:autoSpaceDE w:val="0"/>
              <w:autoSpaceDN w:val="0"/>
              <w:adjustRightInd w:val="0"/>
              <w:ind w:left="266" w:hanging="266"/>
              <w:textAlignment w:val="baseline"/>
              <w:rPr>
                <w:b/>
                <w:sz w:val="20"/>
                <w:szCs w:val="20"/>
              </w:rPr>
            </w:pPr>
            <w:r>
              <w:rPr>
                <w:b/>
                <w:sz w:val="20"/>
              </w:rPr>
              <w:t>Referenzdokumente</w:t>
            </w:r>
          </w:p>
        </w:tc>
        <w:tc>
          <w:tcPr>
            <w:tcW w:w="3893" w:type="pct"/>
          </w:tcPr>
          <w:p w:rsidRPr="00FA33C4" w:rsidR="00B11B7E" w:rsidRDefault="00B11B7E" w14:paraId="103A511F" w14:textId="2925D730">
            <w:pPr>
              <w:tabs>
                <w:tab w:val="center" w:pos="284"/>
              </w:tabs>
              <w:overflowPunct w:val="0"/>
              <w:autoSpaceDE w:val="0"/>
              <w:autoSpaceDN w:val="0"/>
              <w:adjustRightInd w:val="0"/>
              <w:ind w:left="266" w:hanging="266"/>
              <w:jc w:val="left"/>
              <w:textAlignment w:val="baseline"/>
              <w:rPr>
                <w:sz w:val="20"/>
                <w:szCs w:val="20"/>
              </w:rPr>
            </w:pPr>
            <w:r>
              <w:rPr>
                <w:sz w:val="20"/>
              </w:rPr>
              <w:t>Initiativstellungnahme</w:t>
            </w:r>
          </w:p>
          <w:p w:rsidRPr="00FA33C4" w:rsidR="00C8173B" w:rsidRDefault="00C8173B" w14:paraId="2D94F2BF" w14:textId="29469CDD">
            <w:pPr>
              <w:tabs>
                <w:tab w:val="center" w:pos="284"/>
              </w:tabs>
              <w:overflowPunct w:val="0"/>
              <w:autoSpaceDE w:val="0"/>
              <w:autoSpaceDN w:val="0"/>
              <w:adjustRightInd w:val="0"/>
              <w:ind w:left="266" w:hanging="266"/>
              <w:jc w:val="left"/>
              <w:textAlignment w:val="baseline"/>
              <w:rPr>
                <w:sz w:val="20"/>
                <w:szCs w:val="20"/>
              </w:rPr>
            </w:pPr>
            <w:r>
              <w:rPr>
                <w:sz w:val="20"/>
              </w:rPr>
              <w:t>EESC-2024-03182-00-00-AC</w:t>
            </w:r>
          </w:p>
        </w:tc>
      </w:tr>
    </w:tbl>
    <w:p w:rsidRPr="00C8173B" w:rsidR="00C8173B" w:rsidRDefault="00C8173B" w14:paraId="6B3D9BBA" w14:textId="77777777">
      <w:pPr>
        <w:tabs>
          <w:tab w:val="center" w:pos="284"/>
        </w:tabs>
        <w:overflowPunct w:val="0"/>
        <w:autoSpaceDE w:val="0"/>
        <w:autoSpaceDN w:val="0"/>
        <w:adjustRightInd w:val="0"/>
        <w:ind w:left="266" w:hanging="266"/>
        <w:textAlignment w:val="baseline"/>
        <w:rPr>
          <w:lang w:val="en-GB"/>
        </w:rPr>
      </w:pPr>
    </w:p>
    <w:p w:rsidRPr="00C8173B" w:rsidR="00C8173B" w:rsidRDefault="00C8173B" w14:paraId="358C2435"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C8173B" w:rsidR="00C8173B" w:rsidRDefault="00C8173B" w14:paraId="5C55E5FC" w14:textId="77777777">
      <w:pPr>
        <w:keepNext/>
        <w:keepLines/>
        <w:tabs>
          <w:tab w:val="center" w:pos="284"/>
        </w:tabs>
        <w:overflowPunct w:val="0"/>
        <w:autoSpaceDE w:val="0"/>
        <w:autoSpaceDN w:val="0"/>
        <w:adjustRightInd w:val="0"/>
        <w:ind w:left="266" w:hanging="266"/>
        <w:textAlignment w:val="baseline"/>
        <w:rPr>
          <w:b/>
          <w:lang w:val="en-GB"/>
        </w:rPr>
      </w:pPr>
    </w:p>
    <w:p w:rsidRPr="00C8173B" w:rsidR="00C8173B" w:rsidRDefault="00C8173B" w14:paraId="6664E17E" w14:textId="77777777">
      <w:pPr>
        <w:overflowPunct w:val="0"/>
        <w:autoSpaceDE w:val="0"/>
        <w:autoSpaceDN w:val="0"/>
        <w:adjustRightInd w:val="0"/>
        <w:textAlignment w:val="baseline"/>
        <w:rPr>
          <w:bCs/>
          <w:iCs/>
        </w:rPr>
      </w:pPr>
      <w:r>
        <w:t>Der EWSA</w:t>
      </w:r>
    </w:p>
    <w:p w:rsidRPr="007C1ABC" w:rsidR="00C8173B" w:rsidP="0060010D" w:rsidRDefault="00C8173B" w14:paraId="472B7CA9" w14:textId="77777777">
      <w:pPr>
        <w:pStyle w:val="ListParagraph"/>
        <w:widowControl w:val="0"/>
        <w:numPr>
          <w:ilvl w:val="0"/>
          <w:numId w:val="39"/>
        </w:numPr>
        <w:overflowPunct w:val="0"/>
        <w:autoSpaceDE w:val="0"/>
        <w:autoSpaceDN w:val="0"/>
        <w:adjustRightInd w:val="0"/>
        <w:ind w:left="567" w:hanging="567"/>
        <w:textAlignment w:val="baseline"/>
      </w:pPr>
      <w:r>
        <w:t>betont, dass der neue institutionelle Zyklus für die EU eine günstige Gelegenheit ist, eine Bestandsaufnahme ihrer Arktispolitik vorzunehmen. Eine zeitgemäße Politik würde der EU die Möglichkeit geben, bei der Entwicklung einer widerstandsfähigen und prosperierenden Arktis eine größere Rolle zu spielen als bisher und gleichzeitig den strategischen ökologischen Wandel voranzutreiben und für Europas Sicherheitsinteressen sowie die Achtung der Menschenrechte einzutreten;</w:t>
      </w:r>
    </w:p>
    <w:p w:rsidRPr="007C1ABC" w:rsidR="00C8173B" w:rsidP="0060010D" w:rsidRDefault="00C8173B" w14:paraId="6A5A29B9" w14:textId="77777777">
      <w:pPr>
        <w:pStyle w:val="ListParagraph"/>
        <w:widowControl w:val="0"/>
        <w:numPr>
          <w:ilvl w:val="0"/>
          <w:numId w:val="39"/>
        </w:numPr>
        <w:overflowPunct w:val="0"/>
        <w:autoSpaceDE w:val="0"/>
        <w:autoSpaceDN w:val="0"/>
        <w:adjustRightInd w:val="0"/>
        <w:ind w:left="567" w:hanging="567"/>
        <w:textAlignment w:val="baseline"/>
      </w:pPr>
      <w:r>
        <w:t>betont, dass es erforderlich ist, die Zivilgesellschaft stärker in die Entscheidungsfindung in der Arktis einzubeziehen, da dadurch sowohl die Qualität als auch die Legitimation der weitreichenden Entscheidungen für die Region verbessert wird;</w:t>
      </w:r>
    </w:p>
    <w:p w:rsidRPr="007C1ABC" w:rsidR="00C8173B" w:rsidP="0060010D" w:rsidRDefault="00C8173B" w14:paraId="1FFF7F3E" w14:textId="77777777">
      <w:pPr>
        <w:pStyle w:val="ListParagraph"/>
        <w:widowControl w:val="0"/>
        <w:numPr>
          <w:ilvl w:val="0"/>
          <w:numId w:val="39"/>
        </w:numPr>
        <w:overflowPunct w:val="0"/>
        <w:autoSpaceDE w:val="0"/>
        <w:autoSpaceDN w:val="0"/>
        <w:adjustRightInd w:val="0"/>
        <w:ind w:left="567" w:hanging="567"/>
        <w:textAlignment w:val="baseline"/>
      </w:pPr>
      <w:r>
        <w:t>schlägt zur Einschätzung dessen, wie die Fonds und Instrumente der EU von den arktischen Interessenträgern wahrgenommen und praktisch genutzt werden, vor, im Rahmen einer aktualisierten EU-Strategie eine systematische Bestandsaufnahme durchzuführen, bei der</w:t>
      </w:r>
    </w:p>
    <w:p w:rsidRPr="007C1ABC" w:rsidR="00C8173B" w:rsidP="0060010D" w:rsidRDefault="00C8173B" w14:paraId="27C1299E" w14:textId="77777777">
      <w:pPr>
        <w:pStyle w:val="ListParagraph"/>
        <w:widowControl w:val="0"/>
        <w:numPr>
          <w:ilvl w:val="0"/>
          <w:numId w:val="45"/>
        </w:numPr>
        <w:overflowPunct w:val="0"/>
        <w:autoSpaceDE w:val="0"/>
        <w:autoSpaceDN w:val="0"/>
        <w:adjustRightInd w:val="0"/>
        <w:ind w:left="1134" w:hanging="567"/>
        <w:textAlignment w:val="baseline"/>
      </w:pPr>
      <w:r>
        <w:t>Beiträge von unterschiedlichen Vertretern der Zivilgesellschaft genutzt werden sollten;</w:t>
      </w:r>
    </w:p>
    <w:p w:rsidRPr="007C1ABC" w:rsidR="00C8173B" w:rsidP="0060010D" w:rsidRDefault="00C8173B" w14:paraId="38665FCD" w14:textId="77777777">
      <w:pPr>
        <w:pStyle w:val="ListParagraph"/>
        <w:widowControl w:val="0"/>
        <w:numPr>
          <w:ilvl w:val="0"/>
          <w:numId w:val="45"/>
        </w:numPr>
        <w:overflowPunct w:val="0"/>
        <w:autoSpaceDE w:val="0"/>
        <w:autoSpaceDN w:val="0"/>
        <w:adjustRightInd w:val="0"/>
        <w:ind w:left="1134" w:hanging="567"/>
        <w:textAlignment w:val="baseline"/>
      </w:pPr>
      <w:r>
        <w:t>die Verfahren zum Erhalt von EU-Mitteln vereinfacht bzw. die Menschen vor Ort bei der Bewältigung der Anforderungen unterstützt werden sollten;</w:t>
      </w:r>
    </w:p>
    <w:p w:rsidRPr="007C1ABC" w:rsidR="00C8173B" w:rsidP="0060010D" w:rsidRDefault="00C8173B" w14:paraId="4A76074D" w14:textId="77777777">
      <w:pPr>
        <w:pStyle w:val="ListParagraph"/>
        <w:widowControl w:val="0"/>
        <w:numPr>
          <w:ilvl w:val="0"/>
          <w:numId w:val="45"/>
        </w:numPr>
        <w:overflowPunct w:val="0"/>
        <w:autoSpaceDE w:val="0"/>
        <w:autoSpaceDN w:val="0"/>
        <w:adjustRightInd w:val="0"/>
        <w:ind w:left="1134" w:hanging="567"/>
        <w:textAlignment w:val="baseline"/>
      </w:pPr>
      <w:r>
        <w:t>herausgefunden werden sollte, ob ausreichend Mittel zur Verfügung stehen und die Programme zur Unterstützung der strategischen Ziele der EU in der Arktis angemessen sind.</w:t>
      </w:r>
    </w:p>
    <w:p w:rsidR="007C1ABC" w:rsidP="0060010D" w:rsidRDefault="00C8173B" w14:paraId="06FC79D8" w14:textId="52B90F69">
      <w:pPr>
        <w:widowControl w:val="0"/>
        <w:numPr>
          <w:ilvl w:val="0"/>
          <w:numId w:val="41"/>
        </w:numPr>
        <w:tabs>
          <w:tab w:val="clear" w:pos="720"/>
        </w:tabs>
        <w:overflowPunct w:val="0"/>
        <w:autoSpaceDE w:val="0"/>
        <w:autoSpaceDN w:val="0"/>
        <w:adjustRightInd w:val="0"/>
        <w:ind w:left="567" w:hanging="567"/>
        <w:textAlignment w:val="baseline"/>
      </w:pPr>
      <w:r>
        <w:t>fordert die Entscheidungsträger der Arktis auf allen Ebenen auf, bei der Umsetzung der Rechtsvorschriften strikter vorzugehen und zur Einbeziehung, Konsultation und Stärkung sämtlicher Teile der lokalen Zivilgesellschaft, einschließlich der indigenen Völker, bewährte Verfahren anzuwenden;</w:t>
      </w:r>
    </w:p>
    <w:p w:rsidRPr="007C1ABC" w:rsidR="00C8173B" w:rsidP="0060010D" w:rsidRDefault="00C8173B" w14:paraId="6387FF21" w14:textId="51DC2ECE">
      <w:pPr>
        <w:widowControl w:val="0"/>
        <w:numPr>
          <w:ilvl w:val="0"/>
          <w:numId w:val="41"/>
        </w:numPr>
        <w:tabs>
          <w:tab w:val="clear" w:pos="720"/>
        </w:tabs>
        <w:overflowPunct w:val="0"/>
        <w:autoSpaceDE w:val="0"/>
        <w:autoSpaceDN w:val="0"/>
        <w:adjustRightInd w:val="0"/>
        <w:ind w:left="567" w:hanging="567"/>
        <w:textAlignment w:val="baseline"/>
      </w:pPr>
      <w:r>
        <w:t>hebt hervor, dass Investitionen und Projekte den Menschen vor Ort zugutekommen sollten, und dass sichergestellt werden sollte, dass sämtliche gesellschaftlichen Gruppen (auch die indigenen Völker, junge Menschen und Frauen) die Ressourcen haben, die sie brauchen, um am Entscheidungsprozess teilzunehmen;</w:t>
      </w:r>
    </w:p>
    <w:p w:rsidRPr="00C8173B" w:rsidR="00C8173B" w:rsidP="0060010D" w:rsidRDefault="00C8173B" w14:paraId="7353903E" w14:textId="77777777">
      <w:pPr>
        <w:widowControl w:val="0"/>
        <w:numPr>
          <w:ilvl w:val="0"/>
          <w:numId w:val="41"/>
        </w:numPr>
        <w:tabs>
          <w:tab w:val="clear" w:pos="720"/>
        </w:tabs>
        <w:overflowPunct w:val="0"/>
        <w:autoSpaceDE w:val="0"/>
        <w:autoSpaceDN w:val="0"/>
        <w:adjustRightInd w:val="0"/>
        <w:ind w:left="567" w:hanging="567"/>
        <w:textAlignment w:val="baseline"/>
      </w:pPr>
      <w:r>
        <w:t>betont, dass die Genehmigungsverfahren für Projekte im Zusammenhang mit erneuerbaren Energien und der für den ökologischen Wandel notwendigen Rohstoffgewinnung dringend gestrafft werden müssen. Diese Verfahren sollten effizienter gestaltet werden, ohne Abstriche bei der ökologischen oder sozioökonomischen Überprüfung zu machen;</w:t>
      </w:r>
    </w:p>
    <w:p w:rsidRPr="00C8173B" w:rsidR="00C8173B" w:rsidP="0060010D" w:rsidRDefault="00C8173B" w14:paraId="67D19302" w14:textId="77777777">
      <w:pPr>
        <w:widowControl w:val="0"/>
        <w:numPr>
          <w:ilvl w:val="0"/>
          <w:numId w:val="41"/>
        </w:numPr>
        <w:tabs>
          <w:tab w:val="clear" w:pos="720"/>
        </w:tabs>
        <w:overflowPunct w:val="0"/>
        <w:autoSpaceDE w:val="0"/>
        <w:autoSpaceDN w:val="0"/>
        <w:adjustRightInd w:val="0"/>
        <w:ind w:left="567" w:hanging="567"/>
        <w:textAlignment w:val="baseline"/>
      </w:pPr>
      <w:r>
        <w:t xml:space="preserve">empfiehlt, die Zusammenarbeit der EU mit Grönland zu intensivieren, um den Zugang zu kritischen Rohstoffen zu diversifizieren und eine Partnerschaft zu schließen, die auf </w:t>
      </w:r>
      <w:r>
        <w:lastRenderedPageBreak/>
        <w:t>Demokratie, Rechtsstaatlichkeit und Menschenrechten basiert. Der Ausschuss fordert nachdrücklich, dass diese Zusammenarbeit bei den bevorstehenden Verhandlungen über den mehrjährigen Finanzrahmen (MFR) vorrangig behandelt wird.</w:t>
      </w:r>
    </w:p>
    <w:p w:rsidRPr="000D47FF" w:rsidR="00C8173B" w:rsidRDefault="00C8173B" w14:paraId="6E01908F" w14:textId="77777777">
      <w:pPr>
        <w:widowControl w:val="0"/>
        <w:overflowPunct w:val="0"/>
        <w:autoSpaceDE w:val="0"/>
        <w:autoSpaceDN w:val="0"/>
        <w:adjustRightInd w:val="0"/>
        <w:ind w:left="709"/>
        <w:textAlignment w:val="baseline"/>
        <w:rPr>
          <w:bCs/>
          <w:iCs/>
          <w:lang w:val="en-GB"/>
        </w:rPr>
      </w:pPr>
    </w:p>
    <w:tbl>
      <w:tblPr>
        <w:tblW w:w="5000" w:type="pct"/>
        <w:tblLook w:val="04A0" w:firstRow="1" w:lastRow="0" w:firstColumn="1" w:lastColumn="0" w:noHBand="0" w:noVBand="1"/>
      </w:tblPr>
      <w:tblGrid>
        <w:gridCol w:w="2025"/>
        <w:gridCol w:w="7264"/>
      </w:tblGrid>
      <w:tr w:rsidRPr="00FA33C4" w:rsidR="00C8173B" w:rsidTr="0060010D" w14:paraId="31438F49" w14:textId="77777777">
        <w:tc>
          <w:tcPr>
            <w:tcW w:w="1090" w:type="pct"/>
          </w:tcPr>
          <w:p w:rsidRPr="00FA33C4" w:rsidR="00C8173B" w:rsidP="0060010D" w:rsidRDefault="00C8173B" w14:paraId="4D13C02D" w14:textId="77777777">
            <w:pPr>
              <w:widowControl w:val="0"/>
              <w:overflowPunct w:val="0"/>
              <w:autoSpaceDE w:val="0"/>
              <w:autoSpaceDN w:val="0"/>
              <w:adjustRightInd w:val="0"/>
              <w:textAlignment w:val="baseline"/>
              <w:rPr>
                <w:i/>
                <w:sz w:val="20"/>
                <w:szCs w:val="20"/>
              </w:rPr>
            </w:pPr>
            <w:r>
              <w:rPr>
                <w:b/>
                <w:i/>
                <w:sz w:val="20"/>
              </w:rPr>
              <w:t>Kontakt</w:t>
            </w:r>
          </w:p>
        </w:tc>
        <w:tc>
          <w:tcPr>
            <w:tcW w:w="3910" w:type="pct"/>
          </w:tcPr>
          <w:p w:rsidRPr="00FA33C4" w:rsidR="00C8173B" w:rsidP="0060010D" w:rsidRDefault="00C8173B" w14:paraId="09C04C80" w14:textId="77777777">
            <w:pPr>
              <w:widowControl w:val="0"/>
              <w:overflowPunct w:val="0"/>
              <w:autoSpaceDE w:val="0"/>
              <w:autoSpaceDN w:val="0"/>
              <w:adjustRightInd w:val="0"/>
              <w:textAlignment w:val="baseline"/>
              <w:rPr>
                <w:i/>
                <w:sz w:val="20"/>
                <w:szCs w:val="20"/>
              </w:rPr>
            </w:pPr>
            <w:proofErr w:type="spellStart"/>
            <w:r>
              <w:rPr>
                <w:i/>
                <w:sz w:val="20"/>
              </w:rPr>
              <w:t>Maarit</w:t>
            </w:r>
            <w:proofErr w:type="spellEnd"/>
            <w:r>
              <w:rPr>
                <w:i/>
                <w:sz w:val="20"/>
              </w:rPr>
              <w:t xml:space="preserve"> </w:t>
            </w:r>
            <w:proofErr w:type="spellStart"/>
            <w:r>
              <w:rPr>
                <w:i/>
                <w:sz w:val="20"/>
              </w:rPr>
              <w:t>Laurila</w:t>
            </w:r>
            <w:proofErr w:type="spellEnd"/>
          </w:p>
        </w:tc>
      </w:tr>
      <w:tr w:rsidRPr="00FA33C4" w:rsidR="00C8173B" w:rsidTr="0060010D" w14:paraId="0DD46053" w14:textId="77777777">
        <w:tc>
          <w:tcPr>
            <w:tcW w:w="1090" w:type="pct"/>
          </w:tcPr>
          <w:p w:rsidRPr="00FA33C4" w:rsidR="00C8173B" w:rsidP="0060010D" w:rsidRDefault="00C8173B" w14:paraId="07DCB39F" w14:textId="77777777">
            <w:pPr>
              <w:widowControl w:val="0"/>
              <w:overflowPunct w:val="0"/>
              <w:autoSpaceDE w:val="0"/>
              <w:autoSpaceDN w:val="0"/>
              <w:adjustRightInd w:val="0"/>
              <w:textAlignment w:val="baseline"/>
              <w:rPr>
                <w:i/>
                <w:sz w:val="20"/>
                <w:szCs w:val="20"/>
              </w:rPr>
            </w:pPr>
            <w:r>
              <w:rPr>
                <w:i/>
                <w:sz w:val="20"/>
              </w:rPr>
              <w:t>Tel.</w:t>
            </w:r>
          </w:p>
        </w:tc>
        <w:tc>
          <w:tcPr>
            <w:tcW w:w="3910" w:type="pct"/>
          </w:tcPr>
          <w:p w:rsidRPr="00FA33C4" w:rsidR="00C8173B" w:rsidP="0060010D" w:rsidRDefault="00C8173B" w14:paraId="38E394E8" w14:textId="77777777">
            <w:pPr>
              <w:widowControl w:val="0"/>
              <w:overflowPunct w:val="0"/>
              <w:autoSpaceDE w:val="0"/>
              <w:autoSpaceDN w:val="0"/>
              <w:adjustRightInd w:val="0"/>
              <w:textAlignment w:val="baseline"/>
              <w:rPr>
                <w:i/>
                <w:sz w:val="20"/>
                <w:szCs w:val="20"/>
              </w:rPr>
            </w:pPr>
            <w:r>
              <w:rPr>
                <w:i/>
                <w:sz w:val="20"/>
              </w:rPr>
              <w:t>+32 25469739</w:t>
            </w:r>
          </w:p>
        </w:tc>
      </w:tr>
      <w:tr w:rsidRPr="00FA33C4" w:rsidR="00C8173B" w:rsidTr="0060010D" w14:paraId="0C60D958" w14:textId="77777777">
        <w:tc>
          <w:tcPr>
            <w:tcW w:w="1090" w:type="pct"/>
          </w:tcPr>
          <w:p w:rsidRPr="00FA33C4" w:rsidR="00C8173B" w:rsidP="0060010D" w:rsidRDefault="00C8173B" w14:paraId="2780140A" w14:textId="77777777">
            <w:pPr>
              <w:widowControl w:val="0"/>
              <w:overflowPunct w:val="0"/>
              <w:autoSpaceDE w:val="0"/>
              <w:autoSpaceDN w:val="0"/>
              <w:adjustRightInd w:val="0"/>
              <w:textAlignment w:val="baseline"/>
              <w:rPr>
                <w:i/>
                <w:sz w:val="20"/>
                <w:szCs w:val="20"/>
              </w:rPr>
            </w:pPr>
            <w:r>
              <w:rPr>
                <w:i/>
                <w:sz w:val="20"/>
              </w:rPr>
              <w:t>E-Mail</w:t>
            </w:r>
          </w:p>
        </w:tc>
        <w:tc>
          <w:tcPr>
            <w:tcW w:w="3910" w:type="pct"/>
          </w:tcPr>
          <w:p w:rsidRPr="00FA33C4" w:rsidR="00C8173B" w:rsidP="0060010D" w:rsidRDefault="001201F9" w14:paraId="778D8CD6" w14:textId="77777777">
            <w:pPr>
              <w:widowControl w:val="0"/>
              <w:overflowPunct w:val="0"/>
              <w:autoSpaceDE w:val="0"/>
              <w:autoSpaceDN w:val="0"/>
              <w:adjustRightInd w:val="0"/>
              <w:textAlignment w:val="baseline"/>
              <w:rPr>
                <w:i/>
                <w:iCs/>
                <w:sz w:val="20"/>
                <w:szCs w:val="20"/>
              </w:rPr>
            </w:pPr>
            <w:hyperlink w:history="1" r:id="rId39">
              <w:r w:rsidR="00C8173B">
                <w:rPr>
                  <w:i/>
                  <w:color w:val="0000FF"/>
                  <w:sz w:val="20"/>
                  <w:u w:val="single"/>
                </w:rPr>
                <w:t>Maarit.Laurila@eesc.europa.eu</w:t>
              </w:r>
            </w:hyperlink>
          </w:p>
        </w:tc>
      </w:tr>
    </w:tbl>
    <w:p w:rsidR="003A4752" w:rsidP="0060010D" w:rsidRDefault="003A4752" w14:paraId="63706094" w14:textId="20910515">
      <w:pPr>
        <w:jc w:val="left"/>
      </w:pPr>
    </w:p>
    <w:p w:rsidRPr="008B7409" w:rsidR="00A33529" w:rsidP="00A33529" w:rsidRDefault="001201F9" w14:paraId="06CEF2CF" w14:textId="2A84E9E3">
      <w:pPr>
        <w:pStyle w:val="ListParagraph"/>
        <w:numPr>
          <w:ilvl w:val="0"/>
          <w:numId w:val="58"/>
        </w:numPr>
        <w:ind w:left="567" w:hanging="567"/>
        <w:rPr>
          <w:b/>
          <w:bCs/>
          <w:i/>
          <w:iCs/>
          <w:sz w:val="28"/>
          <w:szCs w:val="28"/>
        </w:rPr>
      </w:pPr>
      <w:hyperlink w:history="1" r:id="rId40">
        <w:r w:rsidRPr="008B7409" w:rsidR="004B4D2E">
          <w:rPr>
            <w:rStyle w:val="Hyperlink"/>
            <w:b/>
            <w:i/>
            <w:sz w:val="28"/>
            <w:szCs w:val="28"/>
          </w:rPr>
          <w:t>Beteiligung junger Menschen am sozialen und zivilen Dialog im Mittelmeerraum</w:t>
        </w:r>
      </w:hyperlink>
    </w:p>
    <w:p w:rsidRPr="003A4752" w:rsidR="003A4752" w:rsidRDefault="003A4752" w14:paraId="55DBB8C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94"/>
        <w:gridCol w:w="7195"/>
      </w:tblGrid>
      <w:tr w:rsidRPr="00FA33C4" w:rsidR="003A4752" w:rsidTr="000D47FF" w14:paraId="55D7383C" w14:textId="77777777">
        <w:tc>
          <w:tcPr>
            <w:tcW w:w="1127" w:type="pct"/>
          </w:tcPr>
          <w:p w:rsidRPr="00FA33C4" w:rsidR="003A4752" w:rsidRDefault="003A4752" w14:paraId="694C75F8" w14:textId="77777777">
            <w:pPr>
              <w:tabs>
                <w:tab w:val="center" w:pos="284"/>
              </w:tabs>
              <w:overflowPunct w:val="0"/>
              <w:autoSpaceDE w:val="0"/>
              <w:autoSpaceDN w:val="0"/>
              <w:adjustRightInd w:val="0"/>
              <w:ind w:left="266" w:hanging="266"/>
              <w:textAlignment w:val="baseline"/>
              <w:rPr>
                <w:b/>
                <w:sz w:val="20"/>
                <w:szCs w:val="20"/>
              </w:rPr>
            </w:pPr>
            <w:r>
              <w:rPr>
                <w:b/>
                <w:sz w:val="20"/>
              </w:rPr>
              <w:t>Berichterstatter</w:t>
            </w:r>
          </w:p>
        </w:tc>
        <w:tc>
          <w:tcPr>
            <w:tcW w:w="3873" w:type="pct"/>
          </w:tcPr>
          <w:p w:rsidRPr="00FA33C4" w:rsidR="003A4752" w:rsidRDefault="003A4752" w14:paraId="35569678" w14:textId="28B927F4">
            <w:pPr>
              <w:tabs>
                <w:tab w:val="center" w:pos="284"/>
              </w:tabs>
              <w:overflowPunct w:val="0"/>
              <w:autoSpaceDE w:val="0"/>
              <w:autoSpaceDN w:val="0"/>
              <w:adjustRightInd w:val="0"/>
              <w:ind w:left="266" w:hanging="266"/>
              <w:textAlignment w:val="baseline"/>
              <w:rPr>
                <w:sz w:val="20"/>
                <w:szCs w:val="20"/>
              </w:rPr>
            </w:pPr>
            <w:r>
              <w:rPr>
                <w:sz w:val="20"/>
              </w:rPr>
              <w:t>Thomas WAGNSONNER (Gruppe Arbeitnehmer – AT)</w:t>
            </w:r>
          </w:p>
        </w:tc>
      </w:tr>
      <w:tr w:rsidRPr="00FA33C4" w:rsidR="003A4752" w:rsidTr="000D47FF" w14:paraId="07D7DB2B" w14:textId="77777777">
        <w:tc>
          <w:tcPr>
            <w:tcW w:w="1127" w:type="pct"/>
          </w:tcPr>
          <w:p w:rsidRPr="00FA33C4" w:rsidR="003A4752" w:rsidRDefault="003A4752" w14:paraId="3C9529F1" w14:textId="77777777">
            <w:pPr>
              <w:tabs>
                <w:tab w:val="center" w:pos="284"/>
              </w:tabs>
              <w:overflowPunct w:val="0"/>
              <w:autoSpaceDE w:val="0"/>
              <w:autoSpaceDN w:val="0"/>
              <w:adjustRightInd w:val="0"/>
              <w:ind w:left="266" w:hanging="266"/>
              <w:textAlignment w:val="baseline"/>
              <w:rPr>
                <w:b/>
                <w:sz w:val="20"/>
                <w:szCs w:val="20"/>
              </w:rPr>
            </w:pPr>
            <w:r>
              <w:rPr>
                <w:b/>
                <w:sz w:val="20"/>
              </w:rPr>
              <w:t>Ko-Berichterstatterin</w:t>
            </w:r>
          </w:p>
        </w:tc>
        <w:tc>
          <w:tcPr>
            <w:tcW w:w="3873" w:type="pct"/>
          </w:tcPr>
          <w:p w:rsidRPr="00FA33C4" w:rsidR="003A4752" w:rsidRDefault="003A4752" w14:paraId="4176DBB7" w14:textId="6D5B619F">
            <w:pPr>
              <w:tabs>
                <w:tab w:val="center" w:pos="284"/>
              </w:tabs>
              <w:overflowPunct w:val="0"/>
              <w:autoSpaceDE w:val="0"/>
              <w:autoSpaceDN w:val="0"/>
              <w:adjustRightInd w:val="0"/>
              <w:ind w:left="266" w:hanging="266"/>
              <w:jc w:val="left"/>
              <w:textAlignment w:val="baseline"/>
              <w:rPr>
                <w:sz w:val="20"/>
                <w:szCs w:val="20"/>
              </w:rPr>
            </w:pPr>
            <w:r>
              <w:rPr>
                <w:sz w:val="20"/>
              </w:rPr>
              <w:t>Lidija PAVIĆ-ROGOŠIĆ (Gruppe Organisationen der Zivilgesellschaft – HR)</w:t>
            </w:r>
          </w:p>
        </w:tc>
      </w:tr>
      <w:tr w:rsidRPr="00FA33C4" w:rsidR="003A4752" w:rsidTr="000B1858" w14:paraId="326AD7BB" w14:textId="77777777">
        <w:tc>
          <w:tcPr>
            <w:tcW w:w="5000" w:type="pct"/>
            <w:gridSpan w:val="2"/>
          </w:tcPr>
          <w:p w:rsidRPr="00FA33C4" w:rsidR="003A4752" w:rsidP="0060010D" w:rsidRDefault="003A4752" w14:paraId="7EFFB25F" w14:textId="77777777">
            <w:pPr>
              <w:tabs>
                <w:tab w:val="center" w:pos="284"/>
              </w:tabs>
              <w:overflowPunct w:val="0"/>
              <w:autoSpaceDE w:val="0"/>
              <w:autoSpaceDN w:val="0"/>
              <w:adjustRightInd w:val="0"/>
              <w:ind w:left="266" w:hanging="266"/>
              <w:textAlignment w:val="baseline"/>
              <w:rPr>
                <w:sz w:val="20"/>
                <w:szCs w:val="20"/>
              </w:rPr>
            </w:pPr>
          </w:p>
        </w:tc>
      </w:tr>
      <w:tr w:rsidRPr="00FA33C4" w:rsidR="003A4752" w:rsidTr="000D47FF" w14:paraId="6DFF7682" w14:textId="77777777">
        <w:tc>
          <w:tcPr>
            <w:tcW w:w="1127" w:type="pct"/>
          </w:tcPr>
          <w:p w:rsidRPr="00FA33C4" w:rsidR="003A4752" w:rsidRDefault="003A4752" w14:paraId="47E2E618" w14:textId="77777777">
            <w:pPr>
              <w:tabs>
                <w:tab w:val="center" w:pos="284"/>
              </w:tabs>
              <w:overflowPunct w:val="0"/>
              <w:autoSpaceDE w:val="0"/>
              <w:autoSpaceDN w:val="0"/>
              <w:adjustRightInd w:val="0"/>
              <w:ind w:left="266" w:hanging="266"/>
              <w:textAlignment w:val="baseline"/>
              <w:rPr>
                <w:b/>
                <w:sz w:val="20"/>
                <w:szCs w:val="20"/>
              </w:rPr>
            </w:pPr>
            <w:r>
              <w:rPr>
                <w:b/>
                <w:sz w:val="20"/>
              </w:rPr>
              <w:t>Referenzdokumente</w:t>
            </w:r>
          </w:p>
        </w:tc>
        <w:tc>
          <w:tcPr>
            <w:tcW w:w="3873" w:type="pct"/>
          </w:tcPr>
          <w:p w:rsidRPr="00FA33C4" w:rsidR="00114D45" w:rsidRDefault="00114D45" w14:paraId="7CB48587" w14:textId="2F429D10">
            <w:pPr>
              <w:tabs>
                <w:tab w:val="center" w:pos="284"/>
              </w:tabs>
              <w:overflowPunct w:val="0"/>
              <w:autoSpaceDE w:val="0"/>
              <w:autoSpaceDN w:val="0"/>
              <w:adjustRightInd w:val="0"/>
              <w:ind w:left="266" w:hanging="266"/>
              <w:textAlignment w:val="baseline"/>
              <w:rPr>
                <w:sz w:val="20"/>
                <w:szCs w:val="20"/>
              </w:rPr>
            </w:pPr>
            <w:r>
              <w:rPr>
                <w:sz w:val="20"/>
              </w:rPr>
              <w:t>Initiativstellungnahme</w:t>
            </w:r>
          </w:p>
          <w:p w:rsidRPr="00FA33C4" w:rsidR="003A4752" w:rsidRDefault="003A4752" w14:paraId="66A1F34B" w14:textId="471DF6D3">
            <w:pPr>
              <w:tabs>
                <w:tab w:val="center" w:pos="284"/>
              </w:tabs>
              <w:overflowPunct w:val="0"/>
              <w:autoSpaceDE w:val="0"/>
              <w:autoSpaceDN w:val="0"/>
              <w:adjustRightInd w:val="0"/>
              <w:ind w:left="266" w:hanging="266"/>
              <w:textAlignment w:val="baseline"/>
              <w:rPr>
                <w:sz w:val="20"/>
                <w:szCs w:val="20"/>
              </w:rPr>
            </w:pPr>
            <w:r>
              <w:rPr>
                <w:sz w:val="20"/>
              </w:rPr>
              <w:t>EESC-2024-00515-00-00-AC</w:t>
            </w:r>
          </w:p>
        </w:tc>
      </w:tr>
    </w:tbl>
    <w:p w:rsidRPr="003A4752" w:rsidR="003A4752" w:rsidRDefault="003A4752" w14:paraId="7B401AD2" w14:textId="77777777">
      <w:pPr>
        <w:keepNext/>
        <w:keepLines/>
        <w:tabs>
          <w:tab w:val="center" w:pos="284"/>
        </w:tabs>
        <w:overflowPunct w:val="0"/>
        <w:autoSpaceDE w:val="0"/>
        <w:autoSpaceDN w:val="0"/>
        <w:adjustRightInd w:val="0"/>
        <w:ind w:left="266" w:hanging="266"/>
        <w:textAlignment w:val="baseline"/>
        <w:rPr>
          <w:b/>
          <w:lang w:val="en-GB"/>
        </w:rPr>
      </w:pPr>
    </w:p>
    <w:p w:rsidRPr="003A4752" w:rsidR="003A4752" w:rsidRDefault="003A4752" w14:paraId="6551D4C3" w14:textId="77777777">
      <w:pPr>
        <w:keepNext/>
        <w:keepLines/>
        <w:tabs>
          <w:tab w:val="center" w:pos="284"/>
        </w:tabs>
        <w:overflowPunct w:val="0"/>
        <w:autoSpaceDE w:val="0"/>
        <w:autoSpaceDN w:val="0"/>
        <w:adjustRightInd w:val="0"/>
        <w:ind w:left="266" w:hanging="266"/>
        <w:textAlignment w:val="baseline"/>
        <w:rPr>
          <w:b/>
        </w:rPr>
      </w:pPr>
      <w:r>
        <w:rPr>
          <w:b/>
        </w:rPr>
        <w:t>Kernaussagen</w:t>
      </w:r>
    </w:p>
    <w:p w:rsidRPr="003A4752" w:rsidR="003A4752" w:rsidRDefault="003A4752" w14:paraId="0F5C1B07" w14:textId="77777777">
      <w:pPr>
        <w:keepNext/>
        <w:keepLines/>
        <w:tabs>
          <w:tab w:val="center" w:pos="284"/>
        </w:tabs>
        <w:overflowPunct w:val="0"/>
        <w:autoSpaceDE w:val="0"/>
        <w:autoSpaceDN w:val="0"/>
        <w:adjustRightInd w:val="0"/>
        <w:ind w:left="266" w:hanging="266"/>
        <w:textAlignment w:val="baseline"/>
        <w:rPr>
          <w:b/>
          <w:lang w:val="en-GB"/>
        </w:rPr>
      </w:pPr>
    </w:p>
    <w:p w:rsidRPr="003A4752" w:rsidR="003A4752" w:rsidRDefault="003A4752" w14:paraId="5B859B61" w14:textId="77777777">
      <w:pPr>
        <w:overflowPunct w:val="0"/>
        <w:autoSpaceDE w:val="0"/>
        <w:autoSpaceDN w:val="0"/>
        <w:adjustRightInd w:val="0"/>
        <w:textAlignment w:val="baseline"/>
        <w:rPr>
          <w:bCs/>
          <w:iCs/>
        </w:rPr>
      </w:pPr>
      <w:r>
        <w:t>Der EWSA</w:t>
      </w:r>
    </w:p>
    <w:p w:rsidRPr="003A4752" w:rsidR="003A4752" w:rsidP="0060010D" w:rsidRDefault="003A4752" w14:paraId="2D65C8C3"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empfiehlt, </w:t>
      </w:r>
      <w:r>
        <w:rPr>
          <w:b/>
        </w:rPr>
        <w:t>Jugendvertreter bei allen Jugendliche betreffende Legislativtätigkeiten einzubeziehen</w:t>
      </w:r>
      <w:r>
        <w:t xml:space="preserve"> und junge Menschen in </w:t>
      </w:r>
      <w:r>
        <w:rPr>
          <w:b/>
        </w:rPr>
        <w:t>alle Phasen</w:t>
      </w:r>
      <w:r>
        <w:t xml:space="preserve"> des </w:t>
      </w:r>
      <w:r>
        <w:rPr>
          <w:b/>
        </w:rPr>
        <w:t>politischen Entscheidungsprozesses</w:t>
      </w:r>
      <w:r>
        <w:t xml:space="preserve"> einzubeziehen, von der Entscheidungsfindung bis zur Umsetzung und Bewertung politischer Maßnahmen; </w:t>
      </w:r>
    </w:p>
    <w:p w:rsidRPr="003A4752" w:rsidR="003A4752" w:rsidP="0060010D" w:rsidRDefault="003A4752" w14:paraId="34D3A028"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plädiert dafür, das </w:t>
      </w:r>
      <w:r>
        <w:rPr>
          <w:b/>
        </w:rPr>
        <w:t>bürgerschaftliche Engagement durch die Bildungssysteme über partizipative Prozesse stärker zu fördern</w:t>
      </w:r>
      <w:r>
        <w:t xml:space="preserve"> und </w:t>
      </w:r>
      <w:r>
        <w:rPr>
          <w:b/>
        </w:rPr>
        <w:t>unterstützende Ökosysteme</w:t>
      </w:r>
      <w:r>
        <w:t xml:space="preserve"> für den Erwerb angemessener Kompetenzen (z. B. politische und digitale Kompetenzen) zu schaffen, damit sich junge Menschen selbstbewusst an institutionellen Verfahren beteiligen können;</w:t>
      </w:r>
    </w:p>
    <w:p w:rsidRPr="003A4752" w:rsidR="003A4752" w:rsidP="0060010D" w:rsidRDefault="003A4752" w14:paraId="35B3E4AA"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ist der Ansicht, dass </w:t>
      </w:r>
      <w:r>
        <w:rPr>
          <w:b/>
        </w:rPr>
        <w:t>Organisationen der Zivilgesellschaft und der Sozialpartner junge Menschen stärker unterstützen sollten</w:t>
      </w:r>
      <w:r>
        <w:t xml:space="preserve">, indem sie </w:t>
      </w:r>
      <w:r>
        <w:rPr>
          <w:b/>
        </w:rPr>
        <w:t>Workshops zum Kapazitätsaufbau</w:t>
      </w:r>
      <w:r>
        <w:t xml:space="preserve"> anbieten und ihnen den Zugang zu Ressourcen und die Teilhabe erleichtern; </w:t>
      </w:r>
    </w:p>
    <w:p w:rsidRPr="003A4752" w:rsidR="003A4752" w:rsidP="0060010D" w:rsidRDefault="003A4752" w14:paraId="51582832"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unterstreicht die</w:t>
      </w:r>
      <w:r>
        <w:rPr>
          <w:b/>
        </w:rPr>
        <w:t xml:space="preserve"> Bedeutung von Forschung mit Schwerpunkt auf der Teilhabe junger Menschen am Arbeitsmarkt, Bildung, partizipativen Prozessen</w:t>
      </w:r>
      <w:r>
        <w:t xml:space="preserve"> und dem gesellschaftlichen Leben; </w:t>
      </w:r>
    </w:p>
    <w:p w:rsidRPr="003A4752" w:rsidR="003A4752" w:rsidP="0060010D" w:rsidRDefault="003A4752" w14:paraId="3E0AE938"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betont, dass die </w:t>
      </w:r>
      <w:r>
        <w:rPr>
          <w:b/>
        </w:rPr>
        <w:t>Förderung der Teilnahme junger Beschäftigter an Tarifverhandlungen und die Einrichtung jugendorientierter repräsentativer Strukturen auf Unternehmensebene</w:t>
      </w:r>
      <w:r>
        <w:t xml:space="preserve"> ein wirksames Mittel ist, um die Beteiligung junger Menschen am sozialen Dialog strukturell zu verankern;</w:t>
      </w:r>
    </w:p>
    <w:p w:rsidRPr="003A4752" w:rsidR="003A4752" w:rsidP="0060010D" w:rsidRDefault="003A4752" w14:paraId="43A1E821"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stellt fest, dass die Vertretung von Jugendorganisationen und Jugendräten in Gesprächen mit staatlichen Behörden verstärkt werden sollte, indem </w:t>
      </w:r>
      <w:r>
        <w:rPr>
          <w:b/>
        </w:rPr>
        <w:t>Jugendarbeiter als zentrale Akteure in Konsultationsprozessen anerkannt werden</w:t>
      </w:r>
      <w:r>
        <w:t>. Sie sollten den notwendigen Raum und die erforderlichen Ressourcen für einen wirksamen Beitrag erhalten;</w:t>
      </w:r>
    </w:p>
    <w:p w:rsidRPr="003A4752" w:rsidR="003A4752" w:rsidP="0060010D" w:rsidRDefault="003A4752" w14:paraId="4DE1EC8F"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betont, dass Mittelmeerländer häufig durch </w:t>
      </w:r>
      <w:r>
        <w:rPr>
          <w:b/>
        </w:rPr>
        <w:t>mangelnde angemessene Rahmenbedingungen für einen wirksamen sozialen Dialog</w:t>
      </w:r>
      <w:r>
        <w:t xml:space="preserve"> gekennzeichnet sind, und betont daher, dass der </w:t>
      </w:r>
      <w:r>
        <w:rPr>
          <w:b/>
        </w:rPr>
        <w:t>soziale Dialog insbesondere auf nationaler, sektoraler und Unternehmensebene</w:t>
      </w:r>
      <w:r>
        <w:t xml:space="preserve"> durch die vollständige Umsetzung der wichtigsten </w:t>
      </w:r>
      <w:r>
        <w:rPr>
          <w:b/>
        </w:rPr>
        <w:t xml:space="preserve">IAO-Übereinkommen über den sozialen Dialog </w:t>
      </w:r>
      <w:r>
        <w:rPr>
          <w:b/>
        </w:rPr>
        <w:lastRenderedPageBreak/>
        <w:t>gestärkt werden muss</w:t>
      </w:r>
      <w:r>
        <w:t>;</w:t>
      </w:r>
    </w:p>
    <w:p w:rsidRPr="003A4752" w:rsidR="003A4752" w:rsidP="0060010D" w:rsidRDefault="003A4752" w14:paraId="6F3D10E6" w14:textId="77777777">
      <w:pPr>
        <w:widowControl w:val="0"/>
        <w:numPr>
          <w:ilvl w:val="0"/>
          <w:numId w:val="43"/>
        </w:numPr>
        <w:tabs>
          <w:tab w:val="clear" w:pos="720"/>
        </w:tabs>
        <w:overflowPunct w:val="0"/>
        <w:autoSpaceDE w:val="0"/>
        <w:autoSpaceDN w:val="0"/>
        <w:adjustRightInd w:val="0"/>
        <w:ind w:left="567" w:hanging="567"/>
        <w:textAlignment w:val="baseline"/>
        <w:rPr>
          <w:bCs/>
          <w:iCs/>
        </w:rPr>
      </w:pPr>
      <w:r>
        <w:t xml:space="preserve">fordert die Europäische Kommission auf, eine dritte Phase des </w:t>
      </w:r>
      <w:r>
        <w:rPr>
          <w:b/>
        </w:rPr>
        <w:t xml:space="preserve">Projekts für den </w:t>
      </w:r>
      <w:proofErr w:type="spellStart"/>
      <w:r>
        <w:rPr>
          <w:b/>
        </w:rPr>
        <w:t>Sozialen</w:t>
      </w:r>
      <w:proofErr w:type="spellEnd"/>
      <w:r>
        <w:rPr>
          <w:b/>
        </w:rPr>
        <w:t xml:space="preserve"> Dialog im südlichen Mittelmeerraum (</w:t>
      </w:r>
      <w:proofErr w:type="spellStart"/>
      <w:r>
        <w:rPr>
          <w:b/>
        </w:rPr>
        <w:t>SOLiD</w:t>
      </w:r>
      <w:proofErr w:type="spellEnd"/>
      <w:r>
        <w:rPr>
          <w:b/>
        </w:rPr>
        <w:t>)</w:t>
      </w:r>
      <w:r>
        <w:t xml:space="preserve"> zu unterstützen, das zur </w:t>
      </w:r>
      <w:r>
        <w:rPr>
          <w:b/>
        </w:rPr>
        <w:t>Entwicklung einer Jugendcharta</w:t>
      </w:r>
      <w:r>
        <w:t xml:space="preserve"> genutzt werden sollte, und zudem die Einrichtung </w:t>
      </w:r>
      <w:r>
        <w:rPr>
          <w:b/>
        </w:rPr>
        <w:t>jugendorientierter Konsultationsmechanismen</w:t>
      </w:r>
      <w:r>
        <w:t xml:space="preserve"> zu prüfen.</w:t>
      </w:r>
    </w:p>
    <w:p w:rsidRPr="003A4752" w:rsidR="007B1DCA" w:rsidRDefault="007B1DCA" w14:paraId="1A78A7B9" w14:textId="77777777">
      <w:pPr>
        <w:widowControl w:val="0"/>
        <w:overflowPunct w:val="0"/>
        <w:autoSpaceDE w:val="0"/>
        <w:autoSpaceDN w:val="0"/>
        <w:adjustRightInd w:val="0"/>
        <w:ind w:left="709"/>
        <w:textAlignment w:val="baseline"/>
        <w:rPr>
          <w:lang w:val="en-GB"/>
        </w:rPr>
      </w:pPr>
    </w:p>
    <w:tbl>
      <w:tblPr>
        <w:tblW w:w="4941" w:type="pct"/>
        <w:tblLook w:val="04A0" w:firstRow="1" w:lastRow="0" w:firstColumn="1" w:lastColumn="0" w:noHBand="0" w:noVBand="1"/>
      </w:tblPr>
      <w:tblGrid>
        <w:gridCol w:w="1243"/>
        <w:gridCol w:w="7936"/>
      </w:tblGrid>
      <w:tr w:rsidRPr="00FA33C4" w:rsidR="003A4752" w:rsidTr="0060010D" w14:paraId="0620DBD9" w14:textId="77777777">
        <w:tc>
          <w:tcPr>
            <w:tcW w:w="677" w:type="pct"/>
          </w:tcPr>
          <w:p w:rsidRPr="00FA33C4" w:rsidR="003A4752" w:rsidP="0060010D" w:rsidRDefault="003A4752" w14:paraId="05FFD1E7" w14:textId="77777777">
            <w:pPr>
              <w:overflowPunct w:val="0"/>
              <w:autoSpaceDE w:val="0"/>
              <w:autoSpaceDN w:val="0"/>
              <w:adjustRightInd w:val="0"/>
              <w:textAlignment w:val="baseline"/>
              <w:rPr>
                <w:i/>
                <w:sz w:val="20"/>
                <w:szCs w:val="20"/>
              </w:rPr>
            </w:pPr>
            <w:r>
              <w:rPr>
                <w:b/>
                <w:i/>
                <w:sz w:val="20"/>
              </w:rPr>
              <w:t>Kontakt</w:t>
            </w:r>
          </w:p>
        </w:tc>
        <w:tc>
          <w:tcPr>
            <w:tcW w:w="4323" w:type="pct"/>
          </w:tcPr>
          <w:p w:rsidRPr="00FA33C4" w:rsidR="003A4752" w:rsidP="0060010D" w:rsidRDefault="003A4752" w14:paraId="42245014" w14:textId="77777777">
            <w:pPr>
              <w:overflowPunct w:val="0"/>
              <w:autoSpaceDE w:val="0"/>
              <w:autoSpaceDN w:val="0"/>
              <w:adjustRightInd w:val="0"/>
              <w:textAlignment w:val="baseline"/>
              <w:rPr>
                <w:i/>
                <w:sz w:val="20"/>
                <w:szCs w:val="20"/>
              </w:rPr>
            </w:pPr>
            <w:r>
              <w:rPr>
                <w:i/>
                <w:sz w:val="20"/>
              </w:rPr>
              <w:t>Andreas Berger</w:t>
            </w:r>
          </w:p>
        </w:tc>
      </w:tr>
      <w:tr w:rsidRPr="00FA33C4" w:rsidR="003A4752" w:rsidTr="0060010D" w14:paraId="486C6D3D" w14:textId="77777777">
        <w:tc>
          <w:tcPr>
            <w:tcW w:w="677" w:type="pct"/>
          </w:tcPr>
          <w:p w:rsidRPr="00FA33C4" w:rsidR="003A4752" w:rsidP="0060010D" w:rsidRDefault="003A4752" w14:paraId="359EB95F" w14:textId="77777777">
            <w:pPr>
              <w:overflowPunct w:val="0"/>
              <w:autoSpaceDE w:val="0"/>
              <w:autoSpaceDN w:val="0"/>
              <w:adjustRightInd w:val="0"/>
              <w:textAlignment w:val="baseline"/>
              <w:rPr>
                <w:i/>
                <w:sz w:val="20"/>
                <w:szCs w:val="20"/>
              </w:rPr>
            </w:pPr>
            <w:r>
              <w:rPr>
                <w:i/>
                <w:sz w:val="20"/>
              </w:rPr>
              <w:t>Tel.</w:t>
            </w:r>
          </w:p>
        </w:tc>
        <w:tc>
          <w:tcPr>
            <w:tcW w:w="4323" w:type="pct"/>
          </w:tcPr>
          <w:p w:rsidRPr="00FA33C4" w:rsidR="003A4752" w:rsidP="0060010D" w:rsidRDefault="003A4752" w14:paraId="253A4B6D" w14:textId="77777777">
            <w:pPr>
              <w:overflowPunct w:val="0"/>
              <w:autoSpaceDE w:val="0"/>
              <w:autoSpaceDN w:val="0"/>
              <w:adjustRightInd w:val="0"/>
              <w:textAlignment w:val="baseline"/>
              <w:rPr>
                <w:i/>
                <w:sz w:val="20"/>
                <w:szCs w:val="20"/>
              </w:rPr>
            </w:pPr>
            <w:r>
              <w:rPr>
                <w:i/>
                <w:sz w:val="20"/>
              </w:rPr>
              <w:t>+32 25469062</w:t>
            </w:r>
          </w:p>
        </w:tc>
      </w:tr>
      <w:tr w:rsidRPr="00FA33C4" w:rsidR="003A4752" w:rsidTr="0060010D" w14:paraId="081DE08D" w14:textId="77777777">
        <w:tc>
          <w:tcPr>
            <w:tcW w:w="677" w:type="pct"/>
          </w:tcPr>
          <w:p w:rsidRPr="00FA33C4" w:rsidR="003A4752" w:rsidP="0060010D" w:rsidRDefault="003A4752" w14:paraId="02A7926F" w14:textId="77777777">
            <w:pPr>
              <w:overflowPunct w:val="0"/>
              <w:autoSpaceDE w:val="0"/>
              <w:autoSpaceDN w:val="0"/>
              <w:adjustRightInd w:val="0"/>
              <w:textAlignment w:val="baseline"/>
              <w:rPr>
                <w:i/>
                <w:sz w:val="20"/>
                <w:szCs w:val="20"/>
              </w:rPr>
            </w:pPr>
            <w:r>
              <w:rPr>
                <w:i/>
                <w:sz w:val="20"/>
              </w:rPr>
              <w:t>E-Mail</w:t>
            </w:r>
          </w:p>
        </w:tc>
        <w:tc>
          <w:tcPr>
            <w:tcW w:w="4323" w:type="pct"/>
          </w:tcPr>
          <w:p w:rsidRPr="00FA33C4" w:rsidR="00B95DFE" w:rsidP="0060010D" w:rsidRDefault="001201F9" w14:paraId="71A9548F" w14:textId="2420701F">
            <w:pPr>
              <w:overflowPunct w:val="0"/>
              <w:autoSpaceDE w:val="0"/>
              <w:autoSpaceDN w:val="0"/>
              <w:adjustRightInd w:val="0"/>
              <w:textAlignment w:val="baseline"/>
              <w:rPr>
                <w:i/>
                <w:sz w:val="20"/>
                <w:szCs w:val="20"/>
              </w:rPr>
            </w:pPr>
            <w:hyperlink w:history="1" r:id="rId41">
              <w:r w:rsidR="00465FCD">
                <w:rPr>
                  <w:i/>
                  <w:color w:val="0000FF"/>
                  <w:sz w:val="20"/>
                  <w:u w:val="single"/>
                </w:rPr>
                <w:t>Andreas.Berger@eesc.europa.eu</w:t>
              </w:r>
            </w:hyperlink>
          </w:p>
        </w:tc>
      </w:tr>
    </w:tbl>
    <w:p w:rsidR="000D394D" w:rsidP="0060010D" w:rsidRDefault="00726351" w14:paraId="2E28EF19" w14:textId="12AC3A26">
      <w:pPr>
        <w:jc w:val="center"/>
      </w:pPr>
      <w:r>
        <w:t>_____________</w:t>
      </w:r>
    </w:p>
    <w:sectPr w:rsidR="000D394D" w:rsidSect="00EE160A">
      <w:headerReference w:type="even" r:id="rId42"/>
      <w:headerReference w:type="default" r:id="rId43"/>
      <w:footerReference w:type="even" r:id="rId44"/>
      <w:footerReference w:type="default" r:id="rId45"/>
      <w:headerReference w:type="first" r:id="rId46"/>
      <w:footerReference w:type="first" r:id="rId47"/>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p w14:paraId="6A7B786B" w14:textId="77777777" w:rsidR="0067428C" w:rsidRDefault="0067428C"/>
  </w:endnote>
  <w:endnote w:type="continuationSeparator" w:id="0">
    <w:p w14:paraId="11583423" w14:textId="77777777" w:rsidR="001E391D" w:rsidRDefault="001E391D" w:rsidP="00B518C9">
      <w:pPr>
        <w:spacing w:line="240" w:lineRule="auto"/>
      </w:pPr>
      <w:r>
        <w:continuationSeparator/>
      </w:r>
    </w:p>
    <w:p w14:paraId="39BAB809" w14:textId="77777777" w:rsidR="0067428C" w:rsidRDefault="006742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79485" w14:textId="77777777" w:rsidR="00F70422" w:rsidRDefault="00F70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0B3A5CA6" w:rsidR="00B518C9" w:rsidRPr="00EE160A" w:rsidRDefault="00EE160A" w:rsidP="00EE160A">
    <w:pPr>
      <w:pStyle w:val="Footer"/>
    </w:pPr>
    <w:r>
      <w:t xml:space="preserve">EESC-2024-04576-00-00-TCD-TRA (EN) </w:t>
    </w:r>
    <w:r>
      <w:fldChar w:fldCharType="begin"/>
    </w:r>
    <w:r>
      <w:instrText xml:space="preserve"> PAGE  \* Arabic  \* MERGEFORMAT </w:instrText>
    </w:r>
    <w:r>
      <w:fldChar w:fldCharType="separate"/>
    </w:r>
    <w:r w:rsidR="0060010D">
      <w:t>1</w:t>
    </w:r>
    <w:r>
      <w:fldChar w:fldCharType="end"/>
    </w:r>
    <w:r>
      <w:t>/</w:t>
    </w:r>
    <w:r w:rsidR="001201F9">
      <w:fldChar w:fldCharType="begin"/>
    </w:r>
    <w:r w:rsidR="001201F9">
      <w:instrText xml:space="preserve"> NUMPAGES </w:instrText>
    </w:r>
    <w:r w:rsidR="001201F9">
      <w:fldChar w:fldCharType="separate"/>
    </w:r>
    <w:r w:rsidR="0060010D">
      <w:t>1</w:t>
    </w:r>
    <w:r w:rsidR="001201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2F793" w14:textId="77777777" w:rsidR="00F70422" w:rsidRDefault="00F7042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AE05C" w14:textId="77777777" w:rsidR="00EE160A" w:rsidRPr="00EE160A" w:rsidRDefault="00EE160A" w:rsidP="00EE160A">
    <w:pPr>
      <w:pStyle w:val="Footer"/>
    </w:pPr>
  </w:p>
  <w:p w14:paraId="4A980EDD" w14:textId="77777777" w:rsidR="0067428C" w:rsidRDefault="0067428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4ACCB52D" w:rsidR="0067428C" w:rsidRDefault="00EE160A" w:rsidP="00EE160A">
    <w:pPr>
      <w:pStyle w:val="Footer"/>
    </w:pPr>
    <w:r>
      <w:t xml:space="preserve">EESC-2024-04576-00-00-TCD-TRA (EN) </w:t>
    </w:r>
    <w:r>
      <w:fldChar w:fldCharType="begin"/>
    </w:r>
    <w:r>
      <w:instrText xml:space="preserve"> PAGE  \* Arabic  \* MERGEFORMAT </w:instrText>
    </w:r>
    <w:r>
      <w:fldChar w:fldCharType="separate"/>
    </w:r>
    <w:r>
      <w:t>2</w:t>
    </w:r>
    <w:r>
      <w:fldChar w:fldCharType="end"/>
    </w:r>
    <w:r>
      <w:t>/</w:t>
    </w:r>
    <w:r w:rsidR="001201F9">
      <w:fldChar w:fldCharType="begin"/>
    </w:r>
    <w:r w:rsidR="001201F9">
      <w:instrText xml:space="preserve"> NUMPAGES </w:instrText>
    </w:r>
    <w:r w:rsidR="001201F9">
      <w:fldChar w:fldCharType="separate"/>
    </w:r>
    <w:r>
      <w:t>20</w:t>
    </w:r>
    <w:r w:rsidR="001201F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EE160A" w:rsidRDefault="00EE160A" w:rsidP="00EE16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p w14:paraId="08E2B71D" w14:textId="77777777" w:rsidR="0067428C" w:rsidRDefault="0067428C"/>
  </w:footnote>
  <w:footnote w:type="continuationSeparator" w:id="0">
    <w:p w14:paraId="1175CF01" w14:textId="77777777" w:rsidR="001E391D" w:rsidRDefault="001E391D" w:rsidP="00B518C9">
      <w:pPr>
        <w:spacing w:line="240" w:lineRule="auto"/>
      </w:pPr>
      <w:r>
        <w:continuationSeparator/>
      </w:r>
    </w:p>
    <w:p w14:paraId="51B8FE93" w14:textId="77777777" w:rsidR="0067428C" w:rsidRDefault="006742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97B65" w14:textId="77777777" w:rsidR="00F70422" w:rsidRDefault="00F704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529BA" w14:textId="77777777" w:rsidR="00F70422" w:rsidRDefault="00F704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2CB9" w14:textId="77777777" w:rsidR="00F70422" w:rsidRDefault="00F704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5832" w14:textId="77777777" w:rsidR="00EE160A" w:rsidRPr="00EE160A" w:rsidRDefault="00EE160A" w:rsidP="00EE160A">
    <w:pPr>
      <w:pStyle w:val="Header"/>
    </w:pPr>
  </w:p>
  <w:p w14:paraId="30C7FC30" w14:textId="77777777" w:rsidR="0067428C" w:rsidRDefault="0067428C"/>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77777777" w:rsidR="0067428C" w:rsidRPr="00EE160A" w:rsidRDefault="0067428C" w:rsidP="00EE160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EE160A" w:rsidRDefault="00EE160A" w:rsidP="00EE16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0A9EBF3E"/>
    <w:lvl w:ilvl="0">
      <w:numFmt w:val="decimal"/>
      <w:lvlText w:val="*"/>
      <w:lvlJc w:val="left"/>
    </w:lvl>
  </w:abstractNum>
  <w:abstractNum w:abstractNumId="2" w15:restartNumberingAfterBreak="0">
    <w:nsid w:val="07625E33"/>
    <w:multiLevelType w:val="hybridMultilevel"/>
    <w:tmpl w:val="11CE6238"/>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D2797"/>
    <w:multiLevelType w:val="hybridMultilevel"/>
    <w:tmpl w:val="1716239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D8728A4"/>
    <w:multiLevelType w:val="hybridMultilevel"/>
    <w:tmpl w:val="CE566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C1308"/>
    <w:multiLevelType w:val="hybridMultilevel"/>
    <w:tmpl w:val="8AB8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8A3065"/>
    <w:multiLevelType w:val="multilevel"/>
    <w:tmpl w:val="BD1A3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0B785C"/>
    <w:multiLevelType w:val="hybridMultilevel"/>
    <w:tmpl w:val="CC6A90FA"/>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3C06228"/>
    <w:multiLevelType w:val="hybridMultilevel"/>
    <w:tmpl w:val="3A8679E8"/>
    <w:lvl w:ilvl="0" w:tplc="080C0003">
      <w:start w:val="1"/>
      <w:numFmt w:val="bullet"/>
      <w:lvlText w:val="o"/>
      <w:lvlJc w:val="left"/>
      <w:pPr>
        <w:ind w:left="1440" w:hanging="360"/>
      </w:pPr>
      <w:rPr>
        <w:rFonts w:ascii="Courier New" w:hAnsi="Courier New" w:cs="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9" w15:restartNumberingAfterBreak="0">
    <w:nsid w:val="16491D67"/>
    <w:multiLevelType w:val="multilevel"/>
    <w:tmpl w:val="D56ABE9E"/>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58650E"/>
    <w:multiLevelType w:val="multilevel"/>
    <w:tmpl w:val="BCEADDB6"/>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873D06"/>
    <w:multiLevelType w:val="hybridMultilevel"/>
    <w:tmpl w:val="3418E956"/>
    <w:lvl w:ilvl="0" w:tplc="3DE2637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6575D"/>
    <w:multiLevelType w:val="hybridMultilevel"/>
    <w:tmpl w:val="43486F84"/>
    <w:lvl w:ilvl="0" w:tplc="AF12CBD4">
      <w:start w:val="1"/>
      <w:numFmt w:val="bullet"/>
      <w:lvlText w:val="-"/>
      <w:lvlJc w:val="left"/>
      <w:pPr>
        <w:ind w:left="720" w:hanging="360"/>
      </w:pPr>
      <w:rPr>
        <w:rFonts w:ascii="Courier New" w:hAnsi="Courier New" w:hint="default"/>
      </w:rPr>
    </w:lvl>
    <w:lvl w:ilvl="1" w:tplc="AF12CBD4">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A21B6F"/>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C50B29"/>
    <w:multiLevelType w:val="hybridMultilevel"/>
    <w:tmpl w:val="CADE636E"/>
    <w:lvl w:ilvl="0" w:tplc="B6CEA77C">
      <w:numFmt w:val="bullet"/>
      <w:lvlText w:val="-"/>
      <w:lvlJc w:val="left"/>
      <w:pPr>
        <w:ind w:left="1080" w:hanging="360"/>
      </w:pPr>
      <w:rPr>
        <w:rFonts w:ascii="Times New Roman" w:eastAsia="Times New Roman" w:hAnsi="Times New Roman" w:cs="Times New Roman" w:hint="default"/>
      </w:rPr>
    </w:lvl>
    <w:lvl w:ilvl="1" w:tplc="10000003" w:tentative="1">
      <w:start w:val="1"/>
      <w:numFmt w:val="bullet"/>
      <w:lvlText w:val="o"/>
      <w:lvlJc w:val="left"/>
      <w:pPr>
        <w:ind w:left="1800" w:hanging="360"/>
      </w:pPr>
      <w:rPr>
        <w:rFonts w:ascii="Courier New" w:hAnsi="Courier New" w:cs="Courier New" w:hint="default"/>
      </w:rPr>
    </w:lvl>
    <w:lvl w:ilvl="2" w:tplc="10000005" w:tentative="1">
      <w:start w:val="1"/>
      <w:numFmt w:val="bullet"/>
      <w:lvlText w:val=""/>
      <w:lvlJc w:val="left"/>
      <w:pPr>
        <w:ind w:left="2520" w:hanging="360"/>
      </w:pPr>
      <w:rPr>
        <w:rFonts w:ascii="Wingdings" w:hAnsi="Wingdings" w:hint="default"/>
      </w:rPr>
    </w:lvl>
    <w:lvl w:ilvl="3" w:tplc="10000001" w:tentative="1">
      <w:start w:val="1"/>
      <w:numFmt w:val="bullet"/>
      <w:lvlText w:val=""/>
      <w:lvlJc w:val="left"/>
      <w:pPr>
        <w:ind w:left="3240" w:hanging="360"/>
      </w:pPr>
      <w:rPr>
        <w:rFonts w:ascii="Symbol" w:hAnsi="Symbol" w:hint="default"/>
      </w:rPr>
    </w:lvl>
    <w:lvl w:ilvl="4" w:tplc="10000003" w:tentative="1">
      <w:start w:val="1"/>
      <w:numFmt w:val="bullet"/>
      <w:lvlText w:val="o"/>
      <w:lvlJc w:val="left"/>
      <w:pPr>
        <w:ind w:left="3960" w:hanging="360"/>
      </w:pPr>
      <w:rPr>
        <w:rFonts w:ascii="Courier New" w:hAnsi="Courier New" w:cs="Courier New" w:hint="default"/>
      </w:rPr>
    </w:lvl>
    <w:lvl w:ilvl="5" w:tplc="10000005" w:tentative="1">
      <w:start w:val="1"/>
      <w:numFmt w:val="bullet"/>
      <w:lvlText w:val=""/>
      <w:lvlJc w:val="left"/>
      <w:pPr>
        <w:ind w:left="4680" w:hanging="360"/>
      </w:pPr>
      <w:rPr>
        <w:rFonts w:ascii="Wingdings" w:hAnsi="Wingdings" w:hint="default"/>
      </w:rPr>
    </w:lvl>
    <w:lvl w:ilvl="6" w:tplc="10000001" w:tentative="1">
      <w:start w:val="1"/>
      <w:numFmt w:val="bullet"/>
      <w:lvlText w:val=""/>
      <w:lvlJc w:val="left"/>
      <w:pPr>
        <w:ind w:left="5400" w:hanging="360"/>
      </w:pPr>
      <w:rPr>
        <w:rFonts w:ascii="Symbol" w:hAnsi="Symbol" w:hint="default"/>
      </w:rPr>
    </w:lvl>
    <w:lvl w:ilvl="7" w:tplc="10000003" w:tentative="1">
      <w:start w:val="1"/>
      <w:numFmt w:val="bullet"/>
      <w:lvlText w:val="o"/>
      <w:lvlJc w:val="left"/>
      <w:pPr>
        <w:ind w:left="6120" w:hanging="360"/>
      </w:pPr>
      <w:rPr>
        <w:rFonts w:ascii="Courier New" w:hAnsi="Courier New" w:cs="Courier New" w:hint="default"/>
      </w:rPr>
    </w:lvl>
    <w:lvl w:ilvl="8" w:tplc="10000005" w:tentative="1">
      <w:start w:val="1"/>
      <w:numFmt w:val="bullet"/>
      <w:lvlText w:val=""/>
      <w:lvlJc w:val="left"/>
      <w:pPr>
        <w:ind w:left="6840" w:hanging="360"/>
      </w:pPr>
      <w:rPr>
        <w:rFonts w:ascii="Wingdings" w:hAnsi="Wingdings" w:hint="default"/>
      </w:rPr>
    </w:lvl>
  </w:abstractNum>
  <w:abstractNum w:abstractNumId="15" w15:restartNumberingAfterBreak="0">
    <w:nsid w:val="225F56E6"/>
    <w:multiLevelType w:val="hybridMultilevel"/>
    <w:tmpl w:val="10B8B8DE"/>
    <w:lvl w:ilvl="0" w:tplc="B6CEA77C">
      <w:numFmt w:val="bullet"/>
      <w:lvlText w:val="-"/>
      <w:lvlJc w:val="left"/>
      <w:pPr>
        <w:ind w:left="1080" w:hanging="360"/>
      </w:pPr>
      <w:rPr>
        <w:rFonts w:ascii="Times New Roman" w:eastAsia="Times New Roman" w:hAnsi="Times New Roman"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6"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E5E150A"/>
    <w:multiLevelType w:val="hybridMultilevel"/>
    <w:tmpl w:val="93F6C0A0"/>
    <w:lvl w:ilvl="0" w:tplc="4D6452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5040CE"/>
    <w:multiLevelType w:val="hybridMultilevel"/>
    <w:tmpl w:val="6C34969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30BC6AAE"/>
    <w:multiLevelType w:val="hybridMultilevel"/>
    <w:tmpl w:val="D1262386"/>
    <w:lvl w:ilvl="0" w:tplc="B6CEA77C">
      <w:numFmt w:val="bullet"/>
      <w:lvlText w:val="-"/>
      <w:lvlJc w:val="left"/>
      <w:pPr>
        <w:ind w:left="1800" w:hanging="360"/>
      </w:pPr>
      <w:rPr>
        <w:rFonts w:ascii="Times New Roman" w:eastAsia="Times New Roman" w:hAnsi="Times New Roman" w:cs="Times New Roman"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20" w15:restartNumberingAfterBreak="0">
    <w:nsid w:val="30E755C9"/>
    <w:multiLevelType w:val="hybridMultilevel"/>
    <w:tmpl w:val="B3C657AE"/>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1" w15:restartNumberingAfterBreak="0">
    <w:nsid w:val="31DE4B69"/>
    <w:multiLevelType w:val="hybridMultilevel"/>
    <w:tmpl w:val="891EDEC6"/>
    <w:lvl w:ilvl="0" w:tplc="AF12CBD4">
      <w:start w:val="1"/>
      <w:numFmt w:val="bullet"/>
      <w:lvlText w:val="-"/>
      <w:lvlJc w:val="left"/>
      <w:pPr>
        <w:ind w:left="720" w:hanging="360"/>
      </w:pPr>
      <w:rPr>
        <w:rFonts w:ascii="Courier New" w:hAnsi="Courier New"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84B5515"/>
    <w:multiLevelType w:val="hybridMultilevel"/>
    <w:tmpl w:val="693A430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8EC65EF"/>
    <w:multiLevelType w:val="hybridMultilevel"/>
    <w:tmpl w:val="3D7ADF28"/>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39483721"/>
    <w:multiLevelType w:val="multilevel"/>
    <w:tmpl w:val="D3ACF16C"/>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C00A62"/>
    <w:multiLevelType w:val="hybridMultilevel"/>
    <w:tmpl w:val="59F2225A"/>
    <w:lvl w:ilvl="0" w:tplc="B6CEA77C">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FD92FE9"/>
    <w:multiLevelType w:val="hybridMultilevel"/>
    <w:tmpl w:val="7D409E8C"/>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7" w15:restartNumberingAfterBreak="0">
    <w:nsid w:val="400962DD"/>
    <w:multiLevelType w:val="hybridMultilevel"/>
    <w:tmpl w:val="F9C45ECC"/>
    <w:lvl w:ilvl="0" w:tplc="B50059E0">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05F3BCA"/>
    <w:multiLevelType w:val="hybridMultilevel"/>
    <w:tmpl w:val="4D563730"/>
    <w:lvl w:ilvl="0" w:tplc="AAFC2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EA616C"/>
    <w:multiLevelType w:val="hybridMultilevel"/>
    <w:tmpl w:val="4D90FFD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42173C0A"/>
    <w:multiLevelType w:val="hybridMultilevel"/>
    <w:tmpl w:val="7148644C"/>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424340C0"/>
    <w:multiLevelType w:val="hybridMultilevel"/>
    <w:tmpl w:val="6E2AC2F2"/>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2" w15:restartNumberingAfterBreak="0">
    <w:nsid w:val="4AE04918"/>
    <w:multiLevelType w:val="hybridMultilevel"/>
    <w:tmpl w:val="E4EA7E5C"/>
    <w:lvl w:ilvl="0" w:tplc="AF12CBD4">
      <w:start w:val="1"/>
      <w:numFmt w:val="bullet"/>
      <w:lvlText w:val="-"/>
      <w:lvlJc w:val="left"/>
      <w:pPr>
        <w:ind w:left="644" w:hanging="360"/>
      </w:pPr>
      <w:rPr>
        <w:rFonts w:ascii="Courier New" w:hAnsi="Courier New"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4F0D630B"/>
    <w:multiLevelType w:val="hybridMultilevel"/>
    <w:tmpl w:val="C5CCC4D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4F4D7876"/>
    <w:multiLevelType w:val="multilevel"/>
    <w:tmpl w:val="D690E6EE"/>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050CAD"/>
    <w:multiLevelType w:val="hybridMultilevel"/>
    <w:tmpl w:val="1A5A5EFE"/>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0837B0"/>
    <w:multiLevelType w:val="hybridMultilevel"/>
    <w:tmpl w:val="1FBE17A4"/>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7" w15:restartNumberingAfterBreak="0">
    <w:nsid w:val="5B674753"/>
    <w:multiLevelType w:val="hybridMultilevel"/>
    <w:tmpl w:val="0AC68FFE"/>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8" w15:restartNumberingAfterBreak="0">
    <w:nsid w:val="615E179C"/>
    <w:multiLevelType w:val="multilevel"/>
    <w:tmpl w:val="ADBC7640"/>
    <w:lvl w:ilvl="0">
      <w:start w:val="1"/>
      <w:numFmt w:val="bullet"/>
      <w:lvlText w:val="-"/>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757837"/>
    <w:multiLevelType w:val="hybridMultilevel"/>
    <w:tmpl w:val="6AA4B698"/>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0" w15:restartNumberingAfterBreak="0">
    <w:nsid w:val="63546C05"/>
    <w:multiLevelType w:val="hybridMultilevel"/>
    <w:tmpl w:val="75024BC6"/>
    <w:lvl w:ilvl="0" w:tplc="AF12CBD4">
      <w:start w:val="1"/>
      <w:numFmt w:val="bullet"/>
      <w:lvlText w:val="-"/>
      <w:lvlJc w:val="left"/>
      <w:pPr>
        <w:ind w:left="1800" w:hanging="360"/>
      </w:pPr>
      <w:rPr>
        <w:rFonts w:ascii="Courier New" w:hAnsi="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67D76F1C"/>
    <w:multiLevelType w:val="hybridMultilevel"/>
    <w:tmpl w:val="10C0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060C86"/>
    <w:multiLevelType w:val="hybridMultilevel"/>
    <w:tmpl w:val="98FEC9B2"/>
    <w:lvl w:ilvl="0" w:tplc="AF12CBD4">
      <w:start w:val="1"/>
      <w:numFmt w:val="bullet"/>
      <w:lvlText w:val="-"/>
      <w:lvlJc w:val="left"/>
      <w:pPr>
        <w:ind w:left="644" w:hanging="360"/>
      </w:pPr>
      <w:rPr>
        <w:rFonts w:ascii="Courier New" w:hAnsi="Courier New"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3" w15:restartNumberingAfterBreak="0">
    <w:nsid w:val="69CD19CB"/>
    <w:multiLevelType w:val="hybridMultilevel"/>
    <w:tmpl w:val="4CC0F4A8"/>
    <w:lvl w:ilvl="0" w:tplc="B6CEA77C">
      <w:numFmt w:val="bullet"/>
      <w:lvlText w:val="-"/>
      <w:lvlJc w:val="left"/>
      <w:pPr>
        <w:ind w:left="644" w:hanging="360"/>
      </w:pPr>
      <w:rPr>
        <w:rFonts w:ascii="Times New Roman" w:eastAsia="Times New Roman" w:hAnsi="Times New Roman" w:cs="Times New Roman"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4"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5" w15:restartNumberingAfterBreak="0">
    <w:nsid w:val="6C5016E5"/>
    <w:multiLevelType w:val="hybridMultilevel"/>
    <w:tmpl w:val="1B9465C8"/>
    <w:lvl w:ilvl="0" w:tplc="AF12CBD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8A7397"/>
    <w:multiLevelType w:val="hybridMultilevel"/>
    <w:tmpl w:val="8A72C30E"/>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7" w15:restartNumberingAfterBreak="0">
    <w:nsid w:val="6F75235B"/>
    <w:multiLevelType w:val="hybridMultilevel"/>
    <w:tmpl w:val="D9B4837A"/>
    <w:lvl w:ilvl="0" w:tplc="B6CEA77C">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73BD5860"/>
    <w:multiLevelType w:val="hybridMultilevel"/>
    <w:tmpl w:val="276A6EA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9"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921077"/>
    <w:multiLevelType w:val="hybridMultilevel"/>
    <w:tmpl w:val="80F25020"/>
    <w:lvl w:ilvl="0" w:tplc="4EC090BC">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7985C0D"/>
    <w:multiLevelType w:val="hybridMultilevel"/>
    <w:tmpl w:val="54548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9CD744B"/>
    <w:multiLevelType w:val="hybridMultilevel"/>
    <w:tmpl w:val="85688018"/>
    <w:lvl w:ilvl="0" w:tplc="AF12CBD4">
      <w:start w:val="1"/>
      <w:numFmt w:val="bullet"/>
      <w:lvlText w:val="-"/>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3" w15:restartNumberingAfterBreak="0">
    <w:nsid w:val="7B2C1C8C"/>
    <w:multiLevelType w:val="hybridMultilevel"/>
    <w:tmpl w:val="6C00BF66"/>
    <w:lvl w:ilvl="0" w:tplc="AF12CBD4">
      <w:start w:val="1"/>
      <w:numFmt w:val="bullet"/>
      <w:lvlText w:val="-"/>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4" w15:restartNumberingAfterBreak="0">
    <w:nsid w:val="7BFB222A"/>
    <w:multiLevelType w:val="multilevel"/>
    <w:tmpl w:val="AB02D804"/>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E4744B9"/>
    <w:multiLevelType w:val="hybridMultilevel"/>
    <w:tmpl w:val="C98C8974"/>
    <w:lvl w:ilvl="0" w:tplc="AF12CBD4">
      <w:start w:val="1"/>
      <w:numFmt w:val="bullet"/>
      <w:lvlText w:val="-"/>
      <w:lvlJc w:val="left"/>
      <w:pPr>
        <w:ind w:left="360" w:hanging="360"/>
      </w:pPr>
      <w:rPr>
        <w:rFonts w:ascii="Courier New" w:hAnsi="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44"/>
  </w:num>
  <w:num w:numId="3">
    <w:abstractNumId w:val="49"/>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sz w:val="22"/>
          <w:szCs w:val="22"/>
        </w:rPr>
      </w:lvl>
    </w:lvlOverride>
  </w:num>
  <w:num w:numId="5">
    <w:abstractNumId w:val="33"/>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16"/>
  </w:num>
  <w:num w:numId="8">
    <w:abstractNumId w:val="18"/>
  </w:num>
  <w:num w:numId="9">
    <w:abstractNumId w:val="15"/>
  </w:num>
  <w:num w:numId="10">
    <w:abstractNumId w:val="1"/>
    <w:lvlOverride w:ilvl="0">
      <w:lvl w:ilvl="0">
        <w:start w:val="1"/>
        <w:numFmt w:val="bullet"/>
        <w:lvlText w:val=""/>
        <w:legacy w:legacy="1" w:legacySpace="0" w:legacyIndent="283"/>
        <w:lvlJc w:val="left"/>
        <w:pPr>
          <w:ind w:left="851" w:hanging="283"/>
        </w:pPr>
        <w:rPr>
          <w:rFonts w:ascii="Symbol" w:hAnsi="Symbol" w:hint="default"/>
          <w:color w:val="auto"/>
          <w:sz w:val="22"/>
          <w:szCs w:val="22"/>
        </w:rPr>
      </w:lvl>
    </w:lvlOverride>
  </w:num>
  <w:num w:numId="11">
    <w:abstractNumId w:val="39"/>
  </w:num>
  <w:num w:numId="12">
    <w:abstractNumId w:val="6"/>
  </w:num>
  <w:num w:numId="13">
    <w:abstractNumId w:val="8"/>
  </w:num>
  <w:num w:numId="14">
    <w:abstractNumId w:val="1"/>
    <w:lvlOverride w:ilvl="0">
      <w:lvl w:ilvl="0">
        <w:start w:val="1"/>
        <w:numFmt w:val="bullet"/>
        <w:lvlText w:val=""/>
        <w:legacy w:legacy="1" w:legacySpace="0" w:legacyIndent="283"/>
        <w:lvlJc w:val="left"/>
        <w:pPr>
          <w:ind w:left="567" w:hanging="283"/>
        </w:pPr>
        <w:rPr>
          <w:rFonts w:ascii="Symbol" w:hAnsi="Symbol" w:hint="default"/>
          <w:color w:val="auto"/>
          <w:sz w:val="22"/>
          <w:szCs w:val="22"/>
        </w:rPr>
      </w:lvl>
    </w:lvlOverride>
  </w:num>
  <w:num w:numId="15">
    <w:abstractNumId w:val="46"/>
  </w:num>
  <w:num w:numId="16">
    <w:abstractNumId w:val="25"/>
  </w:num>
  <w:num w:numId="17">
    <w:abstractNumId w:val="47"/>
  </w:num>
  <w:num w:numId="18">
    <w:abstractNumId w:val="37"/>
  </w:num>
  <w:num w:numId="19">
    <w:abstractNumId w:val="31"/>
  </w:num>
  <w:num w:numId="20">
    <w:abstractNumId w:val="26"/>
  </w:num>
  <w:num w:numId="21">
    <w:abstractNumId w:val="43"/>
  </w:num>
  <w:num w:numId="22">
    <w:abstractNumId w:val="30"/>
  </w:num>
  <w:num w:numId="23">
    <w:abstractNumId w:val="14"/>
  </w:num>
  <w:num w:numId="24">
    <w:abstractNumId w:val="19"/>
  </w:num>
  <w:num w:numId="25">
    <w:abstractNumId w:val="34"/>
  </w:num>
  <w:num w:numId="26">
    <w:abstractNumId w:val="13"/>
  </w:num>
  <w:num w:numId="27">
    <w:abstractNumId w:val="54"/>
  </w:num>
  <w:num w:numId="28">
    <w:abstractNumId w:val="10"/>
  </w:num>
  <w:num w:numId="29">
    <w:abstractNumId w:val="32"/>
  </w:num>
  <w:num w:numId="30">
    <w:abstractNumId w:val="41"/>
  </w:num>
  <w:num w:numId="31">
    <w:abstractNumId w:val="22"/>
  </w:num>
  <w:num w:numId="32">
    <w:abstractNumId w:val="53"/>
  </w:num>
  <w:num w:numId="33">
    <w:abstractNumId w:val="23"/>
  </w:num>
  <w:num w:numId="34">
    <w:abstractNumId w:val="21"/>
  </w:num>
  <w:num w:numId="35">
    <w:abstractNumId w:val="52"/>
  </w:num>
  <w:num w:numId="36">
    <w:abstractNumId w:val="36"/>
  </w:num>
  <w:num w:numId="37">
    <w:abstractNumId w:val="42"/>
  </w:num>
  <w:num w:numId="38">
    <w:abstractNumId w:val="55"/>
  </w:num>
  <w:num w:numId="39">
    <w:abstractNumId w:val="7"/>
  </w:num>
  <w:num w:numId="40">
    <w:abstractNumId w:val="40"/>
  </w:num>
  <w:num w:numId="41">
    <w:abstractNumId w:val="38"/>
  </w:num>
  <w:num w:numId="42">
    <w:abstractNumId w:val="9"/>
  </w:num>
  <w:num w:numId="43">
    <w:abstractNumId w:val="24"/>
  </w:num>
  <w:num w:numId="44">
    <w:abstractNumId w:val="3"/>
  </w:num>
  <w:num w:numId="45">
    <w:abstractNumId w:val="20"/>
  </w:num>
  <w:num w:numId="46">
    <w:abstractNumId w:val="51"/>
  </w:num>
  <w:num w:numId="47">
    <w:abstractNumId w:val="12"/>
  </w:num>
  <w:num w:numId="48">
    <w:abstractNumId w:val="48"/>
  </w:num>
  <w:num w:numId="49">
    <w:abstractNumId w:val="29"/>
  </w:num>
  <w:num w:numId="50">
    <w:abstractNumId w:val="4"/>
  </w:num>
  <w:num w:numId="51">
    <w:abstractNumId w:val="5"/>
  </w:num>
  <w:num w:numId="52">
    <w:abstractNumId w:val="2"/>
  </w:num>
  <w:num w:numId="53">
    <w:abstractNumId w:val="50"/>
  </w:num>
  <w:num w:numId="54">
    <w:abstractNumId w:val="17"/>
  </w:num>
  <w:num w:numId="55">
    <w:abstractNumId w:val="27"/>
  </w:num>
  <w:num w:numId="56">
    <w:abstractNumId w:val="45"/>
  </w:num>
  <w:num w:numId="57">
    <w:abstractNumId w:val="35"/>
  </w:num>
  <w:num w:numId="58">
    <w:abstractNumId w:val="28"/>
  </w:num>
  <w:num w:numId="59">
    <w:abstractNumId w:val="1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63DFF"/>
    <w:rsid w:val="000A6A5A"/>
    <w:rsid w:val="000B40B4"/>
    <w:rsid w:val="000D394D"/>
    <w:rsid w:val="000D43E1"/>
    <w:rsid w:val="000D47FF"/>
    <w:rsid w:val="000D533F"/>
    <w:rsid w:val="000E4936"/>
    <w:rsid w:val="00114D45"/>
    <w:rsid w:val="00116EE0"/>
    <w:rsid w:val="001201F9"/>
    <w:rsid w:val="001208E1"/>
    <w:rsid w:val="00126764"/>
    <w:rsid w:val="001421CC"/>
    <w:rsid w:val="00154A6C"/>
    <w:rsid w:val="00175F5A"/>
    <w:rsid w:val="001900C9"/>
    <w:rsid w:val="001C5762"/>
    <w:rsid w:val="001E391D"/>
    <w:rsid w:val="0020320E"/>
    <w:rsid w:val="00217685"/>
    <w:rsid w:val="00225BB6"/>
    <w:rsid w:val="00232656"/>
    <w:rsid w:val="00247F8B"/>
    <w:rsid w:val="002538AC"/>
    <w:rsid w:val="0027707F"/>
    <w:rsid w:val="00293191"/>
    <w:rsid w:val="002A0851"/>
    <w:rsid w:val="002A5636"/>
    <w:rsid w:val="002B7981"/>
    <w:rsid w:val="002E05A2"/>
    <w:rsid w:val="003066BE"/>
    <w:rsid w:val="00321FDD"/>
    <w:rsid w:val="003227CC"/>
    <w:rsid w:val="003358E7"/>
    <w:rsid w:val="00343F74"/>
    <w:rsid w:val="00392B2D"/>
    <w:rsid w:val="003A4752"/>
    <w:rsid w:val="003C2964"/>
    <w:rsid w:val="003F326D"/>
    <w:rsid w:val="003F79EF"/>
    <w:rsid w:val="0041135D"/>
    <w:rsid w:val="00421AAB"/>
    <w:rsid w:val="004229C4"/>
    <w:rsid w:val="004255DD"/>
    <w:rsid w:val="0043191A"/>
    <w:rsid w:val="00435AEF"/>
    <w:rsid w:val="00444504"/>
    <w:rsid w:val="00465FCD"/>
    <w:rsid w:val="00486DAE"/>
    <w:rsid w:val="004A5CD7"/>
    <w:rsid w:val="004B4D2E"/>
    <w:rsid w:val="004D7AC0"/>
    <w:rsid w:val="004E3508"/>
    <w:rsid w:val="004E411F"/>
    <w:rsid w:val="0052107B"/>
    <w:rsid w:val="00532089"/>
    <w:rsid w:val="005404CB"/>
    <w:rsid w:val="00586B4B"/>
    <w:rsid w:val="00593C9F"/>
    <w:rsid w:val="005A0BDA"/>
    <w:rsid w:val="005A3D14"/>
    <w:rsid w:val="005A4C58"/>
    <w:rsid w:val="005B5258"/>
    <w:rsid w:val="005C66E1"/>
    <w:rsid w:val="005E7651"/>
    <w:rsid w:val="005F55DC"/>
    <w:rsid w:val="0060010D"/>
    <w:rsid w:val="0061005F"/>
    <w:rsid w:val="00625CA3"/>
    <w:rsid w:val="00641262"/>
    <w:rsid w:val="0067428C"/>
    <w:rsid w:val="006B21A0"/>
    <w:rsid w:val="006C0A65"/>
    <w:rsid w:val="006C533B"/>
    <w:rsid w:val="006C6ECE"/>
    <w:rsid w:val="006D16C7"/>
    <w:rsid w:val="006D2C8A"/>
    <w:rsid w:val="006D2D64"/>
    <w:rsid w:val="006E2EF5"/>
    <w:rsid w:val="00720580"/>
    <w:rsid w:val="00726351"/>
    <w:rsid w:val="007448E4"/>
    <w:rsid w:val="00754027"/>
    <w:rsid w:val="007554BE"/>
    <w:rsid w:val="00766B1A"/>
    <w:rsid w:val="007A0BE6"/>
    <w:rsid w:val="007B1DCA"/>
    <w:rsid w:val="007C1ABC"/>
    <w:rsid w:val="007F5784"/>
    <w:rsid w:val="00832938"/>
    <w:rsid w:val="00840FC8"/>
    <w:rsid w:val="0084417F"/>
    <w:rsid w:val="008452C8"/>
    <w:rsid w:val="00845F24"/>
    <w:rsid w:val="00850929"/>
    <w:rsid w:val="0086679E"/>
    <w:rsid w:val="008761FA"/>
    <w:rsid w:val="0088219D"/>
    <w:rsid w:val="00892F37"/>
    <w:rsid w:val="008B5FC5"/>
    <w:rsid w:val="008B7409"/>
    <w:rsid w:val="008C7452"/>
    <w:rsid w:val="008D05C8"/>
    <w:rsid w:val="008D44E2"/>
    <w:rsid w:val="0090254F"/>
    <w:rsid w:val="009144BA"/>
    <w:rsid w:val="00941874"/>
    <w:rsid w:val="0094356F"/>
    <w:rsid w:val="00945147"/>
    <w:rsid w:val="009B04E2"/>
    <w:rsid w:val="00A073FB"/>
    <w:rsid w:val="00A20E9D"/>
    <w:rsid w:val="00A272B2"/>
    <w:rsid w:val="00A30FAD"/>
    <w:rsid w:val="00A33529"/>
    <w:rsid w:val="00A50553"/>
    <w:rsid w:val="00A5081E"/>
    <w:rsid w:val="00A512D0"/>
    <w:rsid w:val="00A71030"/>
    <w:rsid w:val="00A73AFE"/>
    <w:rsid w:val="00A94349"/>
    <w:rsid w:val="00AC7540"/>
    <w:rsid w:val="00AE5791"/>
    <w:rsid w:val="00AF6DC1"/>
    <w:rsid w:val="00B11B7E"/>
    <w:rsid w:val="00B16AE4"/>
    <w:rsid w:val="00B203DA"/>
    <w:rsid w:val="00B47C02"/>
    <w:rsid w:val="00B518C9"/>
    <w:rsid w:val="00B80EC0"/>
    <w:rsid w:val="00B8503F"/>
    <w:rsid w:val="00B87220"/>
    <w:rsid w:val="00B95DFE"/>
    <w:rsid w:val="00B97319"/>
    <w:rsid w:val="00BA081D"/>
    <w:rsid w:val="00BA2F3D"/>
    <w:rsid w:val="00BB020C"/>
    <w:rsid w:val="00BB118B"/>
    <w:rsid w:val="00BB7501"/>
    <w:rsid w:val="00BC003D"/>
    <w:rsid w:val="00BC15D3"/>
    <w:rsid w:val="00BC1D26"/>
    <w:rsid w:val="00BC5818"/>
    <w:rsid w:val="00BC6AA1"/>
    <w:rsid w:val="00BD3C24"/>
    <w:rsid w:val="00BD6AD8"/>
    <w:rsid w:val="00BE54B3"/>
    <w:rsid w:val="00C008B4"/>
    <w:rsid w:val="00C05074"/>
    <w:rsid w:val="00C17ABD"/>
    <w:rsid w:val="00C26C67"/>
    <w:rsid w:val="00C3059A"/>
    <w:rsid w:val="00C4084F"/>
    <w:rsid w:val="00C417FE"/>
    <w:rsid w:val="00C522B6"/>
    <w:rsid w:val="00C8173B"/>
    <w:rsid w:val="00C821A5"/>
    <w:rsid w:val="00D24919"/>
    <w:rsid w:val="00D26CB8"/>
    <w:rsid w:val="00D43613"/>
    <w:rsid w:val="00D63232"/>
    <w:rsid w:val="00D66820"/>
    <w:rsid w:val="00D7076A"/>
    <w:rsid w:val="00D7172A"/>
    <w:rsid w:val="00D81F5E"/>
    <w:rsid w:val="00D92269"/>
    <w:rsid w:val="00DC329C"/>
    <w:rsid w:val="00DE176A"/>
    <w:rsid w:val="00DE7710"/>
    <w:rsid w:val="00E00A6B"/>
    <w:rsid w:val="00E13806"/>
    <w:rsid w:val="00E16E3C"/>
    <w:rsid w:val="00E57BB9"/>
    <w:rsid w:val="00E77899"/>
    <w:rsid w:val="00EA3596"/>
    <w:rsid w:val="00EB5E2E"/>
    <w:rsid w:val="00EB629E"/>
    <w:rsid w:val="00EC0F9A"/>
    <w:rsid w:val="00EE160A"/>
    <w:rsid w:val="00EF40DB"/>
    <w:rsid w:val="00F02BB5"/>
    <w:rsid w:val="00F54496"/>
    <w:rsid w:val="00F70422"/>
    <w:rsid w:val="00F83C17"/>
    <w:rsid w:val="00F96D7F"/>
    <w:rsid w:val="00FA33C4"/>
    <w:rsid w:val="00FA4B28"/>
    <w:rsid w:val="00FA7854"/>
    <w:rsid w:val="00FC456F"/>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uiPriority w:val="39"/>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EE160A"/>
    <w:rPr>
      <w:color w:val="605E5C"/>
      <w:shd w:val="clear" w:color="auto" w:fill="E1DFDD"/>
    </w:rPr>
  </w:style>
  <w:style w:type="paragraph" w:styleId="TOC2">
    <w:name w:val="toc 2"/>
    <w:basedOn w:val="Normal"/>
    <w:next w:val="Normal"/>
    <w:autoRedefine/>
    <w:uiPriority w:val="39"/>
    <w:unhideWhenUsed/>
    <w:rsid w:val="008761FA"/>
    <w:pPr>
      <w:spacing w:after="100"/>
      <w:ind w:left="220"/>
    </w:pPr>
  </w:style>
  <w:style w:type="character" w:styleId="UnresolvedMention">
    <w:name w:val="Unresolved Mention"/>
    <w:basedOn w:val="DefaultParagraphFont"/>
    <w:uiPriority w:val="99"/>
    <w:semiHidden/>
    <w:unhideWhenUsed/>
    <w:rsid w:val="001421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de/our-work/opinions-information-reports/opinions/future-supply-and-pricing-electricity-eu" TargetMode="External"/><Relationship Id="rId39" Type="http://schemas.openxmlformats.org/officeDocument/2006/relationships/hyperlink" Target="mailto:Maarit.Laurila@eesc.europa.eu" TargetMode="External"/><Relationship Id="rId21" Type="http://schemas.openxmlformats.org/officeDocument/2006/relationships/hyperlink" Target="mailto:Krisztina.PerlakyToth@eesc.europa.eu" TargetMode="External"/><Relationship Id="rId34" Type="http://schemas.openxmlformats.org/officeDocument/2006/relationships/hyperlink" Target="https://www.eesc.europa.eu/de/our-work/opinions-information-reports/opinions/competition-policy-heart-eus-competitiveness" TargetMode="External"/><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customXml" Target="../customXml/item1.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Aleksandra.SarmanGrilc@eesc.europa.eu" TargetMode="External"/><Relationship Id="rId11" Type="http://schemas.openxmlformats.org/officeDocument/2006/relationships/image" Target="media/image1.jpeg"/><Relationship Id="rId24" Type="http://schemas.openxmlformats.org/officeDocument/2006/relationships/hyperlink" Target="https://www.eesc.europa.eu/de/our-work/opinions-information-reports/opinions/pro-worker-ai-levers-harnessing-potential-and-mitigating-risks-ai-connection-employment-and-labour-market-policies" TargetMode="External"/><Relationship Id="rId32" Type="http://schemas.openxmlformats.org/officeDocument/2006/relationships/hyperlink" Target="https://www.eesc.europa.eu/de/our-work/opinions-information-reports/opinions/how-support-social-economy-entities-line-state-aid-rules-thoughts-following-suggestions-enrico-lettas-report" TargetMode="External"/><Relationship Id="rId37" Type="http://schemas.openxmlformats.org/officeDocument/2006/relationships/hyperlink" Target="mailto:Nicolas.Stenger@eesc.europa.eu" TargetMode="External"/><Relationship Id="rId40" Type="http://schemas.openxmlformats.org/officeDocument/2006/relationships/hyperlink" Target="https://www.eesc.europa.eu/de/our-work/opinions-information-reports/opinions/youth-involvement-social-and-civil-dialogue-mediterranean-region" TargetMode="External"/><Relationship Id="rId45" Type="http://schemas.openxmlformats.org/officeDocument/2006/relationships/footer" Target="footer5.xml"/><Relationship Id="rId53" Type="http://schemas.openxmlformats.org/officeDocument/2006/relationships/customXml" Target="../customXml/item4.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June.Bedaton@eesc.europa.eu" TargetMode="External"/><Relationship Id="rId28" Type="http://schemas.openxmlformats.org/officeDocument/2006/relationships/hyperlink" Target="https://www.eesc.europa.eu/de/our-work/opinions-information-reports/opinions/towards-eu-maritime-strategy-navigating-future-through-coordinated-investment-policies-legislative-initiatives-social" TargetMode="External"/><Relationship Id="rId36" Type="http://schemas.openxmlformats.org/officeDocument/2006/relationships/hyperlink" Target="https://www.eesc.europa.eu/de/our-work/opinions-information-reports/opinions/conservation-fish-stocks-relation-countries-allowing-non-sustainable-fishing" TargetMode="Externa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Alice.Tetu@eesc.europa.eu" TargetMode="External"/><Relationship Id="rId44" Type="http://schemas.openxmlformats.org/officeDocument/2006/relationships/footer" Target="footer4.xml"/><Relationship Id="rId52"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de/our-work/opinions-information-reports/opinions/evaluation-european-commissions-annual-reports-rule-law-european-union" TargetMode="External"/><Relationship Id="rId27" Type="http://schemas.openxmlformats.org/officeDocument/2006/relationships/hyperlink" Target="mailto:Maja.Radman@eesc.europa.eu" TargetMode="External"/><Relationship Id="rId30" Type="http://schemas.openxmlformats.org/officeDocument/2006/relationships/hyperlink" Target="https://www.eesc.europa.eu/de/our-work/opinions-information-reports/opinions/electric-vehicle-supply-equipment-compressed-gas-dispensers-and-electricity-gas-and-thermal-energy-meters" TargetMode="External"/><Relationship Id="rId35" Type="http://schemas.openxmlformats.org/officeDocument/2006/relationships/hyperlink" Target="Silvia.Staffa@eesc.europa.eu"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customXml" Target="../customXml/item2.xml"/><Relationship Id="rId12" Type="http://schemas.openxmlformats.org/officeDocument/2006/relationships/hyperlink" Target="https://www.eesc.europa.eu/de/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Ana.Dumitrache@eesc.europa.eu" TargetMode="External"/><Relationship Id="rId33" Type="http://schemas.openxmlformats.org/officeDocument/2006/relationships/hyperlink" Target="mailto:Annalisa.Tessarolo@eesc.europa.eu" TargetMode="External"/><Relationship Id="rId38" Type="http://schemas.openxmlformats.org/officeDocument/2006/relationships/hyperlink" Target="https://www.eesc.europa.eu/de/our-work/opinions-information-reports/opinions/developing-europes-strategy-arctic-dialogue-civil-society" TargetMode="External"/><Relationship Id="rId46" Type="http://schemas.openxmlformats.org/officeDocument/2006/relationships/header" Target="header6.xml"/><Relationship Id="rId20" Type="http://schemas.openxmlformats.org/officeDocument/2006/relationships/hyperlink" Target="https://www.eesc.europa.eu/de/our-work/opinions-information-reports/opinions/euro-area-economic-policy-2025" TargetMode="External"/><Relationship Id="rId41" Type="http://schemas.openxmlformats.org/officeDocument/2006/relationships/hyperlink" Target="mailto:Andreas.Berger@eesc.europa.eu" TargetMode="Externa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F7M6YNZUATRX-1659962339-4637</_dlc_DocId>
    <_dlc_DocIdUrl xmlns="59ace41b-6786-4ce3-be71-52c27066c6ef">
      <Url>http://dm/eesc/2024/_layouts/15/DocIdRedir.aspx?ID=F7M6YNZUATRX-1659962339-4637</Url>
      <Description>F7M6YNZUATRX-1659962339-4637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2025-01-31T12:00:00+00:00</ProductionDate>
    <DocumentNumber xmlns="91e51ac0-4aa1-4d5e-9a67-017d481be00b">4576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2025-02-26T12:00:00+00:00</MeetingDate>
    <TaxCatchAll xmlns="59ace41b-6786-4ce3-be71-52c27066c6ef">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710</FicheNumber>
    <OriginalSender xmlns="59ace41b-6786-4ce3-be71-52c27066c6ef">
      <UserInfo>
        <DisplayName>Jonnek Holger</DisplayName>
        <AccountId>1547</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91e51ac0-4aa1-4d5e-9a67-017d481be00b" xsi:nil="true"/>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34DD74551733C243A24AB255EE6A94DB" ma:contentTypeVersion="4" ma:contentTypeDescription="Defines the documents for Document Manager V2" ma:contentTypeScope="" ma:versionID="6dc1781ba7fab92d7d66b168e0cae93f">
  <xsd:schema xmlns:xsd="http://www.w3.org/2001/XMLSchema" xmlns:xs="http://www.w3.org/2001/XMLSchema" xmlns:p="http://schemas.microsoft.com/office/2006/metadata/properties" xmlns:ns2="59ace41b-6786-4ce3-be71-52c27066c6ef" xmlns:ns3="http://schemas.microsoft.com/sharepoint/v3/fields" xmlns:ns4="91e51ac0-4aa1-4d5e-9a67-017d481be00b" targetNamespace="http://schemas.microsoft.com/office/2006/metadata/properties" ma:root="true" ma:fieldsID="f33a43edcf383b76f4f66ff8ebd76d7b" ns2:_="" ns3:_="" ns4:_="">
    <xsd:import namespace="59ace41b-6786-4ce3-be71-52c27066c6ef"/>
    <xsd:import namespace="http://schemas.microsoft.com/sharepoint/v3/fields"/>
    <xsd:import namespace="91e51ac0-4aa1-4d5e-9a67-017d481be00b"/>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1e51ac0-4aa1-4d5e-9a67-017d481be00b"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C257DF-54AB-410C-B656-0F492DA6D0C3}"/>
</file>

<file path=customXml/itemProps2.xml><?xml version="1.0" encoding="utf-8"?>
<ds:datastoreItem xmlns:ds="http://schemas.openxmlformats.org/officeDocument/2006/customXml" ds:itemID="{4E5ABBE8-E2CB-4CF3-B94E-3951C6E5D19F}"/>
</file>

<file path=customXml/itemProps3.xml><?xml version="1.0" encoding="utf-8"?>
<ds:datastoreItem xmlns:ds="http://schemas.openxmlformats.org/officeDocument/2006/customXml" ds:itemID="{A2D6786E-02A2-46B6-8619-48F684B4BFEF}"/>
</file>

<file path=customXml/itemProps4.xml><?xml version="1.0" encoding="utf-8"?>
<ds:datastoreItem xmlns:ds="http://schemas.openxmlformats.org/officeDocument/2006/customXml" ds:itemID="{3D22CDEF-B15F-4468-877E-B2A455CA605E}"/>
</file>

<file path=docProps/app.xml><?xml version="1.0" encoding="utf-8"?>
<Properties xmlns="http://schemas.openxmlformats.org/officeDocument/2006/extended-properties" xmlns:vt="http://schemas.openxmlformats.org/officeDocument/2006/docPropsVTypes">
  <Template>Normal.dotm</Template>
  <TotalTime>0</TotalTime>
  <Pages>17</Pages>
  <Words>4588</Words>
  <Characters>26158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Company>CESE-CdR</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Zusammenfassung der verabschiedeten Stellungnahmen - 593. Plenartagung - Januar 2025</dc:title>
  <dc:subject>TCD</dc:subject>
  <dc:creator>Nieddu Emma</dc:creator>
  <cp:keywords>EESC-2024-04576-00-00-TCD-TRA-EN</cp:keywords>
  <dc:description>Rapporteur:  - Original language: EN - Date of document: 31/01/2025 - Date of meeting: 30/26/2025 14:30 - External documents:  - Administrator: MME TAMASAUSKIENE Julija</dc:description>
  <cp:lastModifiedBy>Jonnek Holger</cp:lastModifiedBy>
  <cp:revision>21</cp:revision>
  <dcterms:created xsi:type="dcterms:W3CDTF">2025-01-29T15:08:00Z</dcterms:created>
  <dcterms:modified xsi:type="dcterms:W3CDTF">2025-01-31T10:25:00Z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29/01/2025, 02/05/2022, 02/05/2022, 28/06/2021</vt:lpwstr>
  </property>
  <property fmtid="{D5CDD505-2E9C-101B-9397-08002B2CF9AE}" pid="4" name="Pref_Time">
    <vt:lpwstr>15:29:38, 12:28:29, 12:25:37, 08:41:48</vt:lpwstr>
  </property>
  <property fmtid="{D5CDD505-2E9C-101B-9397-08002B2CF9AE}" pid="5" name="Pref_User">
    <vt:lpwstr>amett, enied, enied, enied</vt:lpwstr>
  </property>
  <property fmtid="{D5CDD505-2E9C-101B-9397-08002B2CF9AE}" pid="6" name="Pref_FileName">
    <vt:lpwstr>EESC-2024-04576-00-00-TCD-ORI.docx, Summary of opinions.docx, COR-EESC-2022-02370-00-00-ADMIN-ORI.docx, Synthese des avis Template.docx</vt:lpwstr>
  </property>
  <property fmtid="{D5CDD505-2E9C-101B-9397-08002B2CF9AE}" pid="7" name="ContentTypeId">
    <vt:lpwstr>0x010100EA97B91038054C99906057A708A1480A0034DD74551733C243A24AB255EE6A94DB</vt:lpwstr>
  </property>
  <property fmtid="{D5CDD505-2E9C-101B-9397-08002B2CF9AE}" pid="8" name="_dlc_DocIdItemGuid">
    <vt:lpwstr>f1c46203-6071-4091-8c38-fae6e05245ab</vt:lpwstr>
  </property>
  <property fmtid="{D5CDD505-2E9C-101B-9397-08002B2CF9AE}" pid="9" name="AvailableTranslations">
    <vt:lpwstr>28;#LV|46f7e311-5d9f-4663-b433-18aeccb7ace7;#22;#BG|1a1b3951-7821-4e6a-85f5-5673fc08bd2c;#12;#IT|0774613c-01ed-4e5d-a25d-11d2388de825;#14;#FR|d2afafd3-4c81-4f60-8f52-ee33f2f54ff3;#17;#PL|1e03da61-4678-4e07-b136-b5024ca9197b;#5;#EN|f2175f21-25d7-44a3-96da-d6a61b075e1b;#29;#EL|6d4f4d51-af9b-4650-94b4-4276bee85c91;#26;#SK|46d9fce0-ef79-4f71-b89b-cd6aa82426b8;#24;#ES|e7a6b05b-ae16-40c8-add9-68b64b03aeba;#30;#HR|2f555653-ed1a-4fe6-8362-9082d95989e5;#36;#PT|50ccc04a-eadd-42ae-a0cb-acaf45f812ba;#31;#NL|55c6556c-b4f4-441d-9acf-c498d4f838bd;#33;#ET|ff6c3f4c-b02c-4c3c-ab07-2c37995a7a0a;#16;#DA|5d49c027-8956-412b-aa16-e85a0f96ad0e;#27;#SL|98a412ae-eb01-49e9-ae3d-585a81724cfc;#34;#LT|a7ff5ce7-6123-4f68-865a-a57c31810414;#21;#SV|c2ed69e7-a339-43d7-8f22-d93680a92aa0;#35;#FI|87606a43-d45f-42d6-b8c9-e1a3457db5b7;#25;#DE|f6b31e5a-26fa-4935-b661-318e46daf27e;#32;#HU|6b229040-c589-4408-b4c1-4285663d20a8</vt:lpwstr>
  </property>
  <property fmtid="{D5CDD505-2E9C-101B-9397-08002B2CF9AE}" pid="10" name="DocumentType_0">
    <vt:lpwstr>TCD|cd9d6eb6-3f4f-424a-b2d1-57c9d450eaaf</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4576</vt:i4>
  </property>
  <property fmtid="{D5CDD505-2E9C-101B-9397-08002B2CF9AE}" pid="14" name="DocumentVersion">
    <vt:i4>0</vt:i4>
  </property>
  <property fmtid="{D5CDD505-2E9C-101B-9397-08002B2CF9AE}" pid="15" name="DocumentStatus">
    <vt:lpwstr>3;#TRA|150d2a88-1431-44e6-a8ca-0bb753ab8672</vt:lpwstr>
  </property>
  <property fmtid="{D5CDD505-2E9C-101B-9397-08002B2CF9AE}" pid="16" name="DocumentPart">
    <vt:i4>0</vt:i4>
  </property>
  <property fmtid="{D5CDD505-2E9C-101B-9397-08002B2CF9AE}" pid="17" name="DossierName">
    <vt:lpwstr/>
  </property>
  <property fmtid="{D5CDD505-2E9C-101B-9397-08002B2CF9AE}" pid="18" name="DocumentSource">
    <vt:lpwstr>1;#EESC|422833ec-8d7e-4e65-8e4e-8bed07ffb729</vt:lpwstr>
  </property>
  <property fmtid="{D5CDD505-2E9C-101B-9397-08002B2CF9AE}" pid="20" name="DocumentType">
    <vt:lpwstr>13;#TCD|cd9d6eb6-3f4f-424a-b2d1-57c9d450eaaf</vt:lpwstr>
  </property>
  <property fmtid="{D5CDD505-2E9C-101B-9397-08002B2CF9AE}" pid="21" name="RequestingService">
    <vt:lpwstr>Greffe</vt:lpwstr>
  </property>
  <property fmtid="{D5CDD505-2E9C-101B-9397-08002B2CF9AE}" pid="22" name="Confidentiality">
    <vt:lpwstr>6;#Unrestricted|826e22d7-d029-4ec0-a450-0c28ff673572</vt:lpwstr>
  </property>
  <property fmtid="{D5CDD505-2E9C-101B-9397-08002B2CF9AE}" pid="23" name="MeetingName_0">
    <vt:lpwstr>SPL-CES|32d8cb1f-c9ec-4365-95c7-8385a18618ac</vt:lpwstr>
  </property>
  <property fmtid="{D5CDD505-2E9C-101B-9397-08002B2CF9AE}" pid="24" name="Confidentiality_0">
    <vt:lpwstr>Unrestricted|826e22d7-d029-4ec0-a450-0c28ff673572</vt:lpwstr>
  </property>
  <property fmtid="{D5CDD505-2E9C-101B-9397-08002B2CF9AE}" pid="25" name="OriginalLanguage">
    <vt:lpwstr>5;#EN|f2175f21-25d7-44a3-96da-d6a61b075e1b</vt:lpwstr>
  </property>
  <property fmtid="{D5CDD505-2E9C-101B-9397-08002B2CF9AE}" pid="26" name="MeetingName">
    <vt:lpwstr>7;#SPL-CES|32d8cb1f-c9ec-4365-95c7-8385a18618ac</vt:lpwstr>
  </property>
  <property fmtid="{D5CDD505-2E9C-101B-9397-08002B2CF9AE}" pid="27" name="MeetingDate">
    <vt:filetime>2025-02-26T12:00:00Z</vt:filetime>
  </property>
  <property fmtid="{D5CDD505-2E9C-101B-9397-08002B2CF9AE}" pid="28" name="AvailableTranslations_0">
    <vt:lpwstr>IT|0774613c-01ed-4e5d-a25d-11d2388de825;EN|f2175f21-25d7-44a3-96da-d6a61b075e1b;PT|50ccc04a-eadd-42ae-a0cb-acaf45f812ba</vt:lpwstr>
  </property>
  <property fmtid="{D5CDD505-2E9C-101B-9397-08002B2CF9AE}" pid="29" name="DocumentStatus_0">
    <vt:lpwstr>TRA|150d2a88-1431-44e6-a8ca-0bb753ab8672</vt:lpwstr>
  </property>
  <property fmtid="{D5CDD505-2E9C-101B-9397-08002B2CF9AE}" pid="30" name="OriginalLanguage_0">
    <vt:lpwstr>EN|f2175f21-25d7-44a3-96da-d6a61b075e1b</vt:lpwstr>
  </property>
  <property fmtid="{D5CDD505-2E9C-101B-9397-08002B2CF9AE}" pid="31" name="TaxCatchAll">
    <vt:lpwstr>13;#TCD|cd9d6eb6-3f4f-424a-b2d1-57c9d450eaaf;#12;#IT|0774613c-01ed-4e5d-a25d-11d2388de825;#8;#Final|ea5e6674-7b27-4bac-b091-73adbb394efe;#7;#SPL-CES|32d8cb1f-c9ec-4365-95c7-8385a18618ac;#6;#Unrestricted|826e22d7-d029-4ec0-a450-0c28ff673572;#5;#EN|f2175f21-25d7-44a3-96da-d6a61b075e1b;#3;#TRA|150d2a88-1431-44e6-a8ca-0bb753ab8672;#36;#PT|50ccc04a-eadd-42ae-a0cb-acaf45f812ba;#1;#EESC|422833ec-8d7e-4e65-8e4e-8bed07ffb729</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710</vt:i4>
  </property>
  <property fmtid="{D5CDD505-2E9C-101B-9397-08002B2CF9AE}" pid="36" name="DocumentLanguage">
    <vt:lpwstr>25;#DE|f6b31e5a-26fa-4935-b661-318e46daf27e</vt:lpwstr>
  </property>
  <property fmtid="{D5CDD505-2E9C-101B-9397-08002B2CF9AE}" pid="37" name="_docset_NoMedatataSyncRequired">
    <vt:lpwstr>False</vt:lpwstr>
  </property>
</Properties>
</file>