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DD4D" w14:textId="6B8BBC93" w:rsidR="004D7AC0" w:rsidRDefault="00B5345C" w:rsidP="007554BE">
      <w:pPr>
        <w:jc w:val="center"/>
      </w:pPr>
      <w:r>
        <w:rPr>
          <w:noProof/>
        </w:rPr>
        <w:drawing>
          <wp:inline distT="0" distB="0" distL="0" distR="0" wp14:anchorId="57849027" wp14:editId="38FA0B2E">
            <wp:extent cx="1792605" cy="1239520"/>
            <wp:effectExtent l="0" t="0" r="0" b="0"/>
            <wp:docPr id="1" name="Picture 1" title="EESCLogo_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C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82DE48" wp14:editId="6ACE3D9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Default="004D7AC0" w:rsidP="007554BE"/>
    <w:p w14:paraId="4982DD4F" w14:textId="79E07CDA" w:rsidR="004D7AC0" w:rsidRDefault="004D7AC0" w:rsidP="007554BE">
      <w:pPr>
        <w:jc w:val="right"/>
      </w:pPr>
      <w:r>
        <w:t xml:space="preserve">V Bruselu dne </w:t>
      </w:r>
      <w:r w:rsidR="006A1DF9">
        <w:t>4. </w:t>
      </w:r>
      <w:r>
        <w:t>února 2025</w:t>
      </w:r>
    </w:p>
    <w:p w14:paraId="4982DD50" w14:textId="77777777" w:rsidR="004D7AC0" w:rsidRDefault="004D7AC0"/>
    <w:p w14:paraId="4982DD51" w14:textId="77777777" w:rsidR="004D7AC0" w:rsidRDefault="004D7AC0"/>
    <w:p w14:paraId="4982DD52" w14:textId="77777777" w:rsidR="004D7AC0" w:rsidRDefault="004D7AC0"/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="004D7AC0" w14:paraId="4982DD59" w14:textId="77777777" w:rsidTr="00600C84">
        <w:tc>
          <w:tcPr>
            <w:tcW w:w="9289" w:type="dxa"/>
            <w:tcBorders>
              <w:bottom w:val="double" w:sz="4" w:space="0" w:color="auto"/>
            </w:tcBorders>
          </w:tcPr>
          <w:p w14:paraId="4982DD53" w14:textId="71722E52" w:rsidR="003066BE" w:rsidRDefault="006C6ECE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59</w:t>
            </w:r>
            <w:r w:rsidR="006A1DF9">
              <w:rPr>
                <w:b/>
                <w:sz w:val="32"/>
              </w:rPr>
              <w:t>3. </w:t>
            </w:r>
            <w:r>
              <w:rPr>
                <w:b/>
                <w:sz w:val="32"/>
              </w:rPr>
              <w:t>PLENÁRNÍ ZASEDÁNÍ</w:t>
            </w:r>
          </w:p>
          <w:p w14:paraId="4982DD54" w14:textId="77777777" w:rsidR="003066BE" w:rsidRDefault="003066BE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5" w14:textId="6208C54C" w:rsidR="003066BE" w:rsidRDefault="0085092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2</w:t>
            </w:r>
            <w:r w:rsidR="006A1DF9">
              <w:rPr>
                <w:b/>
                <w:sz w:val="32"/>
              </w:rPr>
              <w:t>2. a </w:t>
            </w:r>
            <w:r>
              <w:rPr>
                <w:b/>
                <w:sz w:val="32"/>
              </w:rPr>
              <w:t>2</w:t>
            </w:r>
            <w:r w:rsidR="006A1DF9">
              <w:rPr>
                <w:b/>
                <w:sz w:val="32"/>
              </w:rPr>
              <w:t>3. </w:t>
            </w:r>
            <w:r>
              <w:rPr>
                <w:b/>
                <w:sz w:val="32"/>
              </w:rPr>
              <w:t>ledna 2025</w:t>
            </w:r>
          </w:p>
          <w:p w14:paraId="4982DD56" w14:textId="77777777" w:rsidR="003066BE" w:rsidRDefault="003066BE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7" w14:textId="08C8C5D9" w:rsidR="004D7AC0" w:rsidRPr="0081153B" w:rsidRDefault="00754027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SOUHRN PŘIJATÝCH STANOVISEK, USNESENÍ</w:t>
            </w:r>
            <w:r w:rsidR="006A1DF9">
              <w:rPr>
                <w:b/>
                <w:sz w:val="32"/>
              </w:rPr>
              <w:t xml:space="preserve"> A </w:t>
            </w:r>
            <w:r>
              <w:rPr>
                <w:b/>
                <w:sz w:val="32"/>
              </w:rPr>
              <w:t>INFORMAČNÍCH / HODNOTÍCÍCH ZPRÁV</w:t>
            </w:r>
          </w:p>
          <w:p w14:paraId="4982DD58" w14:textId="77777777" w:rsidR="004D7AC0" w:rsidRDefault="004D7AC0">
            <w:pPr>
              <w:snapToGrid w:val="0"/>
            </w:pPr>
          </w:p>
        </w:tc>
      </w:tr>
      <w:tr w:rsidR="004D7AC0" w14:paraId="4982DD5F" w14:textId="77777777" w:rsidTr="00600C84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5C867" w14:textId="380B562D" w:rsidR="00726351" w:rsidRDefault="004D7AC0">
            <w:pPr>
              <w:snapToGrid w:val="0"/>
              <w:jc w:val="center"/>
            </w:pPr>
            <w:r>
              <w:t>Tento dokument je</w:t>
            </w:r>
            <w:r w:rsidR="006A1DF9">
              <w:t xml:space="preserve"> k </w:t>
            </w:r>
            <w:r>
              <w:t>dispozici ve všech úředních jazycích Evropské unie na internetových stránkách EHSV na adrese:</w:t>
            </w:r>
          </w:p>
          <w:p w14:paraId="65F2BC50" w14:textId="77777777" w:rsidR="00726351" w:rsidRDefault="00726351">
            <w:pPr>
              <w:snapToGrid w:val="0"/>
              <w:jc w:val="center"/>
            </w:pPr>
          </w:p>
          <w:p w14:paraId="4982DD5A" w14:textId="4D4D220C" w:rsidR="004D7AC0" w:rsidRPr="0081153B" w:rsidRDefault="00B5345C">
            <w:pPr>
              <w:snapToGrid w:val="0"/>
              <w:jc w:val="center"/>
            </w:pPr>
            <w:hyperlink r:id="rId12" w:history="1">
              <w:r>
                <w:rPr>
                  <w:rStyle w:val="Hyperlink"/>
                </w:rPr>
                <w:t>https://www.eesc.europa.eu/cs/our-work/opinions-information-reports/plenary-session-summaries</w:t>
              </w:r>
            </w:hyperlink>
          </w:p>
          <w:p w14:paraId="4982DD5B" w14:textId="77777777" w:rsidR="004D7AC0" w:rsidRPr="0081153B" w:rsidRDefault="004D7AC0">
            <w:pPr>
              <w:snapToGrid w:val="0"/>
              <w:jc w:val="center"/>
            </w:pPr>
          </w:p>
          <w:p w14:paraId="4982DD5C" w14:textId="77777777" w:rsidR="004D7AC0" w:rsidRPr="0081153B" w:rsidRDefault="004D7AC0">
            <w:pPr>
              <w:snapToGrid w:val="0"/>
              <w:jc w:val="center"/>
              <w:rPr>
                <w:rFonts w:eastAsia="SimSun"/>
              </w:rPr>
            </w:pPr>
          </w:p>
          <w:p w14:paraId="64A40D96" w14:textId="633DC013" w:rsidR="00726351" w:rsidRDefault="004D7AC0">
            <w:pPr>
              <w:snapToGrid w:val="0"/>
              <w:jc w:val="center"/>
            </w:pPr>
            <w:r>
              <w:t>Uvedená stanoviska jsou</w:t>
            </w:r>
            <w:r w:rsidR="006A1DF9">
              <w:t xml:space="preserve"> k </w:t>
            </w:r>
            <w:r>
              <w:t>dispozici on-line prostřednictvím vyhledávače EHSV:</w:t>
            </w:r>
          </w:p>
          <w:p w14:paraId="0E196128" w14:textId="77777777" w:rsidR="00726351" w:rsidRDefault="00726351">
            <w:pPr>
              <w:snapToGrid w:val="0"/>
              <w:jc w:val="center"/>
            </w:pPr>
          </w:p>
          <w:p w14:paraId="4982DD5D" w14:textId="23201122" w:rsidR="004D7AC0" w:rsidRPr="00044561" w:rsidRDefault="00B5345C">
            <w:pPr>
              <w:snapToGrid w:val="0"/>
              <w:jc w:val="center"/>
            </w:pPr>
            <w:hyperlink r:id="rId13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4982DD5E" w14:textId="77777777" w:rsidR="004D7AC0" w:rsidRPr="00044561" w:rsidRDefault="004D7AC0">
            <w:pPr>
              <w:snapToGrid w:val="0"/>
              <w:jc w:val="center"/>
            </w:pPr>
          </w:p>
        </w:tc>
      </w:tr>
    </w:tbl>
    <w:p w14:paraId="4982DD60" w14:textId="77777777" w:rsidR="004D7AC0" w:rsidRDefault="004D7AC0"/>
    <w:p w14:paraId="4982DD61" w14:textId="77777777" w:rsidR="004D7AC0" w:rsidRDefault="004D7AC0"/>
    <w:p w14:paraId="4982DD62" w14:textId="77777777" w:rsidR="004D7AC0" w:rsidRDefault="004D7AC0">
      <w:pPr>
        <w:sectPr w:rsidR="004D7AC0" w:rsidSect="00EE160A">
          <w:footerReference w:type="default" r:id="rId14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77777777" w:rsidR="004D7AC0" w:rsidRPr="00A81AFE" w:rsidRDefault="004D7AC0">
      <w:pPr>
        <w:rPr>
          <w:b/>
        </w:rPr>
      </w:pPr>
      <w:r>
        <w:rPr>
          <w:b/>
        </w:rPr>
        <w:lastRenderedPageBreak/>
        <w:t>Obsah: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82DD64" w14:textId="77777777" w:rsidR="004D7AC0" w:rsidRPr="00A81AFE" w:rsidRDefault="004D7AC0" w:rsidP="0060010D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05CBC5BE" w14:textId="7E957AC1" w:rsidR="00413188" w:rsidRDefault="004D7AC0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577875" w:history="1">
            <w:r w:rsidR="00413188" w:rsidRPr="001D0621">
              <w:rPr>
                <w:rStyle w:val="Hyperlink"/>
                <w:bCs/>
                <w:noProof/>
              </w:rPr>
              <w:t>1.</w:t>
            </w:r>
            <w:r w:rsidR="0041318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413188" w:rsidRPr="001D0621">
              <w:rPr>
                <w:rStyle w:val="Hyperlink"/>
                <w:b/>
                <w:noProof/>
              </w:rPr>
              <w:t>HOSPODÁŘSKÁ</w:t>
            </w:r>
            <w:r w:rsidR="006A1DF9">
              <w:rPr>
                <w:rStyle w:val="Hyperlink"/>
                <w:b/>
                <w:noProof/>
              </w:rPr>
              <w:t xml:space="preserve"> A </w:t>
            </w:r>
            <w:r w:rsidR="00413188" w:rsidRPr="001D0621">
              <w:rPr>
                <w:rStyle w:val="Hyperlink"/>
                <w:b/>
                <w:noProof/>
              </w:rPr>
              <w:t>MĚNOVÁ UNIE, HOSPODÁŘSKÁ</w:t>
            </w:r>
            <w:r w:rsidR="006A1DF9">
              <w:rPr>
                <w:rStyle w:val="Hyperlink"/>
                <w:b/>
                <w:noProof/>
              </w:rPr>
              <w:t xml:space="preserve"> A </w:t>
            </w:r>
            <w:r w:rsidR="00413188" w:rsidRPr="001D0621">
              <w:rPr>
                <w:rStyle w:val="Hyperlink"/>
                <w:b/>
                <w:noProof/>
              </w:rPr>
              <w:t>SOCIÁLNÍ SOUDRŽNOST</w:t>
            </w:r>
            <w:r w:rsidR="00413188">
              <w:rPr>
                <w:noProof/>
                <w:webHidden/>
              </w:rPr>
              <w:tab/>
            </w:r>
            <w:r w:rsidR="00413188">
              <w:rPr>
                <w:noProof/>
                <w:webHidden/>
              </w:rPr>
              <w:fldChar w:fldCharType="begin"/>
            </w:r>
            <w:r w:rsidR="00413188">
              <w:rPr>
                <w:noProof/>
                <w:webHidden/>
              </w:rPr>
              <w:instrText xml:space="preserve"> PAGEREF _Toc189577875 \h </w:instrText>
            </w:r>
            <w:r w:rsidR="00413188">
              <w:rPr>
                <w:noProof/>
                <w:webHidden/>
              </w:rPr>
            </w:r>
            <w:r w:rsidR="00413188">
              <w:rPr>
                <w:noProof/>
                <w:webHidden/>
              </w:rPr>
              <w:fldChar w:fldCharType="separate"/>
            </w:r>
            <w:r w:rsidR="00B3150C">
              <w:rPr>
                <w:noProof/>
                <w:webHidden/>
              </w:rPr>
              <w:t>3</w:t>
            </w:r>
            <w:r w:rsidR="00413188">
              <w:rPr>
                <w:noProof/>
                <w:webHidden/>
              </w:rPr>
              <w:fldChar w:fldCharType="end"/>
            </w:r>
          </w:hyperlink>
        </w:p>
        <w:p w14:paraId="0B392C33" w14:textId="76A7FCB9" w:rsidR="00413188" w:rsidRDefault="0041318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9577885" w:history="1">
            <w:r w:rsidRPr="001D0621">
              <w:rPr>
                <w:rStyle w:val="Hyperlink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D0621">
              <w:rPr>
                <w:rStyle w:val="Hyperlink"/>
                <w:b/>
                <w:noProof/>
              </w:rPr>
              <w:t>ZAMĚSTNANOST, SOCIÁLNÍ VĚCI, OBČANSTVÍ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150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167B5" w14:textId="343262CA" w:rsidR="00413188" w:rsidRDefault="0041318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9577897" w:history="1">
            <w:r w:rsidRPr="001D0621">
              <w:rPr>
                <w:rStyle w:val="Hyperlink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D0621">
              <w:rPr>
                <w:rStyle w:val="Hyperlink"/>
                <w:b/>
                <w:noProof/>
              </w:rPr>
              <w:t>DOPRAVA, ENERGETIKA, INFRASTRUKTURA</w:t>
            </w:r>
            <w:r w:rsidR="006A1DF9">
              <w:rPr>
                <w:rStyle w:val="Hyperlink"/>
                <w:b/>
                <w:noProof/>
              </w:rPr>
              <w:t xml:space="preserve"> A </w:t>
            </w:r>
            <w:r w:rsidRPr="001D0621">
              <w:rPr>
                <w:rStyle w:val="Hyperlink"/>
                <w:b/>
                <w:noProof/>
              </w:rPr>
              <w:t>INFORMAČNÍ SPOLEČNOST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150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45682" w14:textId="2CE0AA44" w:rsidR="00413188" w:rsidRDefault="0041318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9577898" w:history="1">
            <w:r w:rsidRPr="001D0621">
              <w:rPr>
                <w:rStyle w:val="Hyperlink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D0621">
              <w:rPr>
                <w:rStyle w:val="Hyperlink"/>
                <w:b/>
                <w:noProof/>
              </w:rPr>
              <w:t>JEDNOTNÝ TRH, VÝROBA</w:t>
            </w:r>
            <w:r w:rsidR="006A1DF9">
              <w:rPr>
                <w:rStyle w:val="Hyperlink"/>
                <w:b/>
                <w:noProof/>
              </w:rPr>
              <w:t xml:space="preserve"> A </w:t>
            </w:r>
            <w:r w:rsidRPr="001D0621">
              <w:rPr>
                <w:rStyle w:val="Hyperlink"/>
                <w:b/>
                <w:noProof/>
              </w:rPr>
              <w:t>SPOTŘEBA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_Toc189577898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150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78534" w14:textId="4E599CDD" w:rsidR="00413188" w:rsidRDefault="0041318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9577899" w:history="1">
            <w:r w:rsidRPr="001D0621">
              <w:rPr>
                <w:rStyle w:val="Hyperlink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D0621">
              <w:rPr>
                <w:rStyle w:val="Hyperlink"/>
                <w:b/>
                <w:noProof/>
              </w:rPr>
              <w:t>ZEMĚDĚLSTVÍ, ROZVOJ VENKOVA, ŽIVOTNÍ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_Toc189577899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150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DFCC6" w14:textId="6177AAA0" w:rsidR="00413188" w:rsidRDefault="0041318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9577900" w:history="1">
            <w:r w:rsidRPr="001D0621">
              <w:rPr>
                <w:rStyle w:val="Hyperlink"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1D0621">
              <w:rPr>
                <w:rStyle w:val="Hyperlink"/>
                <w:b/>
                <w:noProof/>
              </w:rPr>
              <w:t>VNĚJŠÍ VZTAHY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_Toc189577900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150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2DD6A" w14:textId="5B270C73" w:rsidR="004D7AC0" w:rsidRDefault="004D7AC0">
          <w:r>
            <w:rPr>
              <w:b/>
            </w:rPr>
            <w:fldChar w:fldCharType="end"/>
          </w:r>
        </w:p>
      </w:sdtContent>
    </w:sdt>
    <w:p w14:paraId="4982DD6B" w14:textId="77777777" w:rsidR="004D7AC0" w:rsidRDefault="004D7AC0"/>
    <w:p w14:paraId="4982DD6C" w14:textId="77777777" w:rsidR="004D7AC0" w:rsidRDefault="004D7AC0" w:rsidP="0060010D">
      <w:pPr>
        <w:jc w:val="left"/>
      </w:pPr>
      <w:r>
        <w:br w:type="page"/>
      </w:r>
    </w:p>
    <w:p w14:paraId="4982DD6D" w14:textId="7B4C9D63" w:rsidR="004D7AC0" w:rsidRDefault="004D7AC0">
      <w:pPr>
        <w:pStyle w:val="Heading1"/>
        <w:rPr>
          <w:b/>
        </w:rPr>
      </w:pPr>
      <w:bookmarkStart w:id="0" w:name="_Toc189577875"/>
      <w:r>
        <w:rPr>
          <w:b/>
        </w:rPr>
        <w:lastRenderedPageBreak/>
        <w:t>HOSPODÁŘSKÁ</w:t>
      </w:r>
      <w:r w:rsidR="006A1DF9">
        <w:rPr>
          <w:b/>
        </w:rPr>
        <w:t xml:space="preserve"> A </w:t>
      </w:r>
      <w:r>
        <w:rPr>
          <w:b/>
        </w:rPr>
        <w:t>MĚNOVÁ UNIE, HOSPODÁŘSKÁ</w:t>
      </w:r>
      <w:r w:rsidR="006A1DF9">
        <w:rPr>
          <w:b/>
        </w:rPr>
        <w:t xml:space="preserve"> A </w:t>
      </w:r>
      <w:r>
        <w:rPr>
          <w:b/>
        </w:rPr>
        <w:t>SOCIÁLNÍ SOUDRŽNOST</w:t>
      </w:r>
      <w:bookmarkEnd w:id="0"/>
    </w:p>
    <w:p w14:paraId="4982DD6E" w14:textId="77777777" w:rsidR="004D7AC0" w:rsidRDefault="004D7AC0"/>
    <w:bookmarkStart w:id="1" w:name="_Toc75527081"/>
    <w:p w14:paraId="0690E424" w14:textId="77777777" w:rsidR="001409C3" w:rsidRPr="0089691D" w:rsidRDefault="001409C3" w:rsidP="001409C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r>
        <w:fldChar w:fldCharType="begin"/>
      </w:r>
      <w:r>
        <w:instrText xml:space="preserve"> HYPERLINK "https://www.eesc.europa.eu/cs/our-work/opinions-information-reports/opinions/euro-area-economic-policy-2025" </w:instrText>
      </w:r>
      <w:r>
        <w:fldChar w:fldCharType="separate"/>
      </w:r>
      <w:r w:rsidRPr="0089691D">
        <w:rPr>
          <w:rStyle w:val="Hyperlink"/>
          <w:b/>
          <w:i/>
          <w:sz w:val="28"/>
        </w:rPr>
        <w:t>Hospodářská politika eurozóny 2025</w:t>
      </w:r>
      <w:r>
        <w:rPr>
          <w:rStyle w:val="Hyperlink"/>
          <w:b/>
          <w:i/>
          <w:sz w:val="28"/>
        </w:rPr>
        <w:fldChar w:fldCharType="end"/>
      </w:r>
      <w:r w:rsidRPr="0089691D">
        <w:rPr>
          <w:b/>
          <w:i/>
          <w:sz w:val="28"/>
        </w:rPr>
        <w:t xml:space="preserve"> </w:t>
      </w:r>
    </w:p>
    <w:p w14:paraId="7F8CEB80" w14:textId="77777777" w:rsidR="001409C3" w:rsidRPr="0089691D" w:rsidRDefault="001409C3" w:rsidP="001409C3">
      <w:pPr>
        <w:widowControl w:val="0"/>
        <w:ind w:left="284"/>
        <w:rPr>
          <w:b/>
          <w:i/>
          <w:iCs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71"/>
        <w:gridCol w:w="33"/>
      </w:tblGrid>
      <w:tr w:rsidR="001409C3" w:rsidRPr="0089691D" w14:paraId="517793C6" w14:textId="77777777" w:rsidTr="00510D14">
        <w:tc>
          <w:tcPr>
            <w:tcW w:w="1701" w:type="dxa"/>
          </w:tcPr>
          <w:p w14:paraId="423753E6" w14:textId="04847723" w:rsidR="001409C3" w:rsidRPr="00413188" w:rsidRDefault="001409C3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1409C3">
              <w:rPr>
                <w:b/>
                <w:sz w:val="20"/>
                <w:szCs w:val="20"/>
              </w:rPr>
              <w:t>Zpravodaj</w:t>
            </w:r>
          </w:p>
        </w:tc>
        <w:tc>
          <w:tcPr>
            <w:tcW w:w="6804" w:type="dxa"/>
            <w:gridSpan w:val="2"/>
          </w:tcPr>
          <w:p w14:paraId="5F9A6789" w14:textId="77777777" w:rsidR="001409C3" w:rsidRPr="001409C3" w:rsidRDefault="001409C3" w:rsidP="00510D14">
            <w:pPr>
              <w:tabs>
                <w:tab w:val="center" w:pos="284"/>
              </w:tabs>
              <w:ind w:left="266" w:hanging="266"/>
              <w:rPr>
                <w:bCs/>
                <w:sz w:val="20"/>
                <w:szCs w:val="20"/>
              </w:rPr>
            </w:pPr>
            <w:r w:rsidRPr="001409C3">
              <w:rPr>
                <w:sz w:val="20"/>
                <w:szCs w:val="20"/>
              </w:rPr>
              <w:t>Juraj SIPKO (Organizace občanské společnosti – SK)</w:t>
            </w:r>
          </w:p>
          <w:p w14:paraId="4182C976" w14:textId="77777777" w:rsidR="001409C3" w:rsidRPr="001409C3" w:rsidRDefault="001409C3" w:rsidP="00510D14">
            <w:pPr>
              <w:tabs>
                <w:tab w:val="center" w:pos="284"/>
              </w:tabs>
              <w:ind w:left="266" w:hanging="266"/>
              <w:rPr>
                <w:bCs/>
                <w:sz w:val="20"/>
                <w:szCs w:val="20"/>
                <w:lang w:val="en-US"/>
              </w:rPr>
            </w:pPr>
          </w:p>
        </w:tc>
      </w:tr>
      <w:tr w:rsidR="001409C3" w:rsidRPr="0089691D" w14:paraId="5EFCB719" w14:textId="77777777" w:rsidTr="00510D14">
        <w:trPr>
          <w:gridAfter w:val="1"/>
          <w:wAfter w:w="33" w:type="dxa"/>
        </w:trPr>
        <w:tc>
          <w:tcPr>
            <w:tcW w:w="1701" w:type="dxa"/>
          </w:tcPr>
          <w:p w14:paraId="736CFFF3" w14:textId="77777777" w:rsidR="001409C3" w:rsidRPr="001409C3" w:rsidRDefault="001409C3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1409C3">
              <w:rPr>
                <w:b/>
                <w:sz w:val="20"/>
                <w:szCs w:val="20"/>
              </w:rPr>
              <w:t>Odkazy</w:t>
            </w:r>
          </w:p>
        </w:tc>
        <w:tc>
          <w:tcPr>
            <w:tcW w:w="6771" w:type="dxa"/>
          </w:tcPr>
          <w:p w14:paraId="37A3F222" w14:textId="77777777" w:rsidR="001409C3" w:rsidRPr="001409C3" w:rsidRDefault="001409C3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1409C3">
              <w:rPr>
                <w:sz w:val="20"/>
                <w:szCs w:val="20"/>
              </w:rPr>
              <w:t>COM(2024) 704 final</w:t>
            </w:r>
          </w:p>
          <w:p w14:paraId="278CC8B6" w14:textId="77777777" w:rsidR="001409C3" w:rsidRPr="001409C3" w:rsidRDefault="001409C3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1409C3">
              <w:rPr>
                <w:sz w:val="20"/>
                <w:szCs w:val="20"/>
              </w:rPr>
              <w:t>EESC-2024-03910-00-00-AC-TRA</w:t>
            </w:r>
          </w:p>
        </w:tc>
      </w:tr>
    </w:tbl>
    <w:p w14:paraId="200910C7" w14:textId="77777777" w:rsidR="001409C3" w:rsidRPr="0089691D" w:rsidRDefault="001409C3" w:rsidP="001409C3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16D55BD7" w14:textId="77777777" w:rsidR="001409C3" w:rsidRPr="0089691D" w:rsidRDefault="001409C3" w:rsidP="001409C3">
      <w:pPr>
        <w:keepNext/>
        <w:keepLines/>
        <w:tabs>
          <w:tab w:val="center" w:pos="284"/>
        </w:tabs>
        <w:ind w:left="266" w:hanging="266"/>
        <w:rPr>
          <w:b/>
        </w:rPr>
      </w:pPr>
      <w:r w:rsidRPr="0089691D">
        <w:rPr>
          <w:b/>
        </w:rPr>
        <w:t>Hlavní body</w:t>
      </w:r>
    </w:p>
    <w:p w14:paraId="12310DC4" w14:textId="77777777" w:rsidR="001409C3" w:rsidRPr="0089691D" w:rsidRDefault="001409C3" w:rsidP="001409C3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7EE9D6B1" w14:textId="77777777" w:rsidR="001409C3" w:rsidRPr="0089691D" w:rsidRDefault="001409C3" w:rsidP="001409C3">
      <w:r w:rsidRPr="0089691D">
        <w:t>EHSV:</w:t>
      </w:r>
    </w:p>
    <w:p w14:paraId="6BDE30DF" w14:textId="77777777" w:rsidR="001409C3" w:rsidRPr="0089691D" w:rsidRDefault="001409C3" w:rsidP="001409C3">
      <w:pPr>
        <w:rPr>
          <w:bCs/>
          <w:iCs/>
        </w:rPr>
      </w:pPr>
    </w:p>
    <w:p w14:paraId="4605BC7E" w14:textId="5282D87A" w:rsidR="001409C3" w:rsidRPr="0089691D" w:rsidRDefault="001409C3" w:rsidP="001409C3">
      <w:pPr>
        <w:pStyle w:val="Heading2"/>
        <w:numPr>
          <w:ilvl w:val="0"/>
          <w:numId w:val="60"/>
        </w:numPr>
        <w:ind w:left="567" w:hanging="567"/>
      </w:pPr>
      <w:bookmarkStart w:id="2" w:name="_Toc189577876"/>
      <w:r w:rsidRPr="0089691D">
        <w:t>vyzývá</w:t>
      </w:r>
      <w:r w:rsidR="006A1DF9">
        <w:t xml:space="preserve"> k </w:t>
      </w:r>
      <w:r w:rsidRPr="0089691D">
        <w:t>přijetí naléhavých opatření na úrovni hospodářské politiky</w:t>
      </w:r>
      <w:r w:rsidR="006A1DF9">
        <w:t xml:space="preserve"> k </w:t>
      </w:r>
      <w:r w:rsidRPr="0089691D">
        <w:t>zajištění ekonomické</w:t>
      </w:r>
      <w:r w:rsidR="006A1DF9">
        <w:t xml:space="preserve"> a </w:t>
      </w:r>
      <w:r w:rsidRPr="0089691D">
        <w:t>systémové odolnosti</w:t>
      </w:r>
      <w:r w:rsidR="006A1DF9">
        <w:t xml:space="preserve"> a </w:t>
      </w:r>
      <w:r w:rsidRPr="0089691D">
        <w:t>opatření</w:t>
      </w:r>
      <w:r w:rsidR="006A1DF9">
        <w:t xml:space="preserve"> s </w:t>
      </w:r>
      <w:r w:rsidRPr="0089691D">
        <w:t>cílem zajistit udržitelný</w:t>
      </w:r>
      <w:r w:rsidR="006A1DF9">
        <w:t xml:space="preserve"> a </w:t>
      </w:r>
      <w:r w:rsidRPr="0089691D">
        <w:t>odolný hospodářský růst států eurozóny, zejména ve srovnání</w:t>
      </w:r>
      <w:r w:rsidR="006A1DF9">
        <w:t xml:space="preserve"> s </w:t>
      </w:r>
      <w:r w:rsidRPr="0089691D">
        <w:t>největšími konkurenty ve světové ekonomice;</w:t>
      </w:r>
      <w:bookmarkEnd w:id="2"/>
    </w:p>
    <w:p w14:paraId="651D13C0" w14:textId="026B4C89" w:rsidR="001409C3" w:rsidRPr="0089691D" w:rsidRDefault="001409C3" w:rsidP="001409C3">
      <w:pPr>
        <w:pStyle w:val="Heading2"/>
        <w:numPr>
          <w:ilvl w:val="0"/>
          <w:numId w:val="60"/>
        </w:numPr>
        <w:ind w:left="567" w:hanging="567"/>
      </w:pPr>
      <w:bookmarkStart w:id="3" w:name="_Toc189577877"/>
      <w:r w:rsidRPr="0089691D">
        <w:t>doporučuje prohloubit vnitřní trh, přijmout</w:t>
      </w:r>
      <w:r w:rsidR="006A1DF9">
        <w:t xml:space="preserve"> a </w:t>
      </w:r>
      <w:r w:rsidRPr="0089691D">
        <w:t>zavést opatření pro společně koordinovanou průmyslovou politiku</w:t>
      </w:r>
      <w:r w:rsidR="006A1DF9">
        <w:t xml:space="preserve"> a </w:t>
      </w:r>
      <w:r w:rsidRPr="0089691D">
        <w:t>také neprodleně provést strukturální reformy jednotlivých států. Je třeba řešit nadměrná administrativní</w:t>
      </w:r>
      <w:r w:rsidR="006A1DF9">
        <w:t xml:space="preserve"> a </w:t>
      </w:r>
      <w:r w:rsidRPr="0089691D">
        <w:t>regulační opatření;</w:t>
      </w:r>
      <w:bookmarkEnd w:id="3"/>
    </w:p>
    <w:p w14:paraId="278B8EC2" w14:textId="015CC6F2" w:rsidR="001409C3" w:rsidRPr="0089691D" w:rsidRDefault="001409C3" w:rsidP="001409C3">
      <w:pPr>
        <w:pStyle w:val="Heading2"/>
        <w:numPr>
          <w:ilvl w:val="0"/>
          <w:numId w:val="60"/>
        </w:numPr>
        <w:ind w:left="567" w:hanging="567"/>
      </w:pPr>
      <w:bookmarkStart w:id="4" w:name="_Toc189577878"/>
      <w:r w:rsidRPr="0089691D">
        <w:t>poukazuje na to, že se zdá nutné vzájemně propojit zabezpečení fiskální udržitelnosti</w:t>
      </w:r>
      <w:r w:rsidR="006A1DF9">
        <w:t xml:space="preserve"> s </w:t>
      </w:r>
      <w:r w:rsidRPr="0089691D">
        <w:t>nevyhnutelným uvolněním finančních prostředků,</w:t>
      </w:r>
      <w:r w:rsidR="006A1DF9">
        <w:t xml:space="preserve"> a </w:t>
      </w:r>
      <w:r w:rsidRPr="0089691D">
        <w:t>to nejen za účelem obnovení hospodářské prosperity, ale také ve veřejném zájmu;</w:t>
      </w:r>
      <w:bookmarkEnd w:id="4"/>
    </w:p>
    <w:p w14:paraId="2FF0726F" w14:textId="76825D60" w:rsidR="001409C3" w:rsidRPr="0089691D" w:rsidRDefault="001409C3" w:rsidP="001409C3">
      <w:pPr>
        <w:pStyle w:val="Heading2"/>
        <w:numPr>
          <w:ilvl w:val="0"/>
          <w:numId w:val="60"/>
        </w:numPr>
        <w:ind w:left="567" w:hanging="567"/>
      </w:pPr>
      <w:bookmarkStart w:id="5" w:name="_Toc189577879"/>
      <w:r w:rsidRPr="0089691D">
        <w:t>podporuje zaměření na zvýšení konkurenceschopnosti, zejména snížením investiční mezery ve srovnání</w:t>
      </w:r>
      <w:r w:rsidR="006A1DF9">
        <w:t xml:space="preserve"> s </w:t>
      </w:r>
      <w:r w:rsidRPr="0089691D">
        <w:t>USA</w:t>
      </w:r>
      <w:r w:rsidR="006A1DF9">
        <w:t xml:space="preserve"> a </w:t>
      </w:r>
      <w:r w:rsidRPr="0089691D">
        <w:t>dalšími hlavními konkurenty ve světové ekonomice, jakož</w:t>
      </w:r>
      <w:r w:rsidR="006A1DF9">
        <w:t xml:space="preserve"> i </w:t>
      </w:r>
      <w:r w:rsidRPr="0089691D">
        <w:t>vytvoření podmínek pro vznik rizikového kapitálu, zejména pro oblast startupů</w:t>
      </w:r>
      <w:r w:rsidR="006A1DF9">
        <w:t xml:space="preserve"> a </w:t>
      </w:r>
      <w:r w:rsidRPr="0089691D">
        <w:t>při rozšiřování podniků</w:t>
      </w:r>
      <w:r w:rsidR="006A1DF9">
        <w:t xml:space="preserve"> a </w:t>
      </w:r>
      <w:r w:rsidRPr="0089691D">
        <w:t>společností (</w:t>
      </w:r>
      <w:r w:rsidRPr="0089691D">
        <w:rPr>
          <w:i/>
          <w:iCs/>
        </w:rPr>
        <w:t>scale-up</w:t>
      </w:r>
      <w:r w:rsidRPr="0089691D">
        <w:t>);</w:t>
      </w:r>
      <w:bookmarkEnd w:id="5"/>
    </w:p>
    <w:p w14:paraId="3662CA84" w14:textId="524D86E6" w:rsidR="001409C3" w:rsidRPr="0089691D" w:rsidRDefault="001409C3" w:rsidP="001409C3">
      <w:pPr>
        <w:pStyle w:val="Heading2"/>
        <w:numPr>
          <w:ilvl w:val="0"/>
          <w:numId w:val="60"/>
        </w:numPr>
        <w:ind w:left="567" w:hanging="567"/>
      </w:pPr>
      <w:bookmarkStart w:id="6" w:name="_Toc189577880"/>
      <w:r w:rsidRPr="0089691D">
        <w:t>je toho názoru, že hospodářská politika členských států eurozóny se netýká pouze stability, udržitelnosti</w:t>
      </w:r>
      <w:r w:rsidR="006A1DF9">
        <w:t xml:space="preserve"> a </w:t>
      </w:r>
      <w:r w:rsidRPr="0089691D">
        <w:t>dolaďování (</w:t>
      </w:r>
      <w:r w:rsidRPr="0089691D">
        <w:rPr>
          <w:i/>
          <w:iCs/>
        </w:rPr>
        <w:t>fine-tuning</w:t>
      </w:r>
      <w:r w:rsidRPr="0089691D">
        <w:t>) vývoje klíčových makroekonomických ukazatelů, ale že se především týká hlubokých strukturálních</w:t>
      </w:r>
      <w:r w:rsidR="006A1DF9">
        <w:t xml:space="preserve"> a </w:t>
      </w:r>
      <w:r w:rsidRPr="0089691D">
        <w:t>institucionálních reforem;</w:t>
      </w:r>
      <w:bookmarkEnd w:id="6"/>
    </w:p>
    <w:p w14:paraId="06FFFAA8" w14:textId="1B657CC0" w:rsidR="001409C3" w:rsidRPr="0089691D" w:rsidRDefault="001409C3" w:rsidP="001409C3">
      <w:pPr>
        <w:pStyle w:val="Heading2"/>
        <w:numPr>
          <w:ilvl w:val="0"/>
          <w:numId w:val="60"/>
        </w:numPr>
        <w:ind w:left="567" w:hanging="567"/>
      </w:pPr>
      <w:bookmarkStart w:id="7" w:name="_Toc189577881"/>
      <w:r w:rsidRPr="0089691D">
        <w:t>podotýká, že je tudíž nutné revidovat institucionální</w:t>
      </w:r>
      <w:r w:rsidR="006A1DF9">
        <w:t xml:space="preserve"> a </w:t>
      </w:r>
      <w:r w:rsidRPr="0089691D">
        <w:t>legislativní opatření</w:t>
      </w:r>
      <w:r w:rsidR="006A1DF9">
        <w:t xml:space="preserve"> v </w:t>
      </w:r>
      <w:r w:rsidRPr="0089691D">
        <w:t>oblasti flexibility trhu práce, růstu reálných mezd</w:t>
      </w:r>
      <w:r w:rsidR="006A1DF9">
        <w:t xml:space="preserve"> a </w:t>
      </w:r>
      <w:r w:rsidRPr="0089691D">
        <w:t>produktivity práce</w:t>
      </w:r>
      <w:r w:rsidR="006A1DF9">
        <w:t xml:space="preserve"> a </w:t>
      </w:r>
      <w:r w:rsidRPr="0089691D">
        <w:t>že bude třeba posílit oblast sociálního zabezpečení</w:t>
      </w:r>
      <w:r w:rsidR="006A1DF9">
        <w:t xml:space="preserve"> a </w:t>
      </w:r>
      <w:r w:rsidRPr="0089691D">
        <w:t>podpořit inkluzi, jakož</w:t>
      </w:r>
      <w:r w:rsidR="006A1DF9">
        <w:t xml:space="preserve"> i </w:t>
      </w:r>
      <w:r w:rsidRPr="0089691D">
        <w:t>přístup</w:t>
      </w:r>
      <w:r w:rsidR="006A1DF9">
        <w:t xml:space="preserve"> k </w:t>
      </w:r>
      <w:r w:rsidRPr="0089691D">
        <w:t>bydlení;</w:t>
      </w:r>
      <w:bookmarkEnd w:id="7"/>
    </w:p>
    <w:p w14:paraId="253FA433" w14:textId="2A873C2A" w:rsidR="001409C3" w:rsidRPr="0089691D" w:rsidRDefault="001409C3" w:rsidP="001409C3">
      <w:pPr>
        <w:pStyle w:val="Heading2"/>
        <w:numPr>
          <w:ilvl w:val="0"/>
          <w:numId w:val="60"/>
        </w:numPr>
        <w:ind w:left="567" w:hanging="567"/>
      </w:pPr>
      <w:bookmarkStart w:id="8" w:name="_Toc189577882"/>
      <w:r w:rsidRPr="0089691D">
        <w:t>konstatuje, že vzhledem ke zvýšeným výdajům spojeným</w:t>
      </w:r>
      <w:r w:rsidR="006A1DF9">
        <w:t xml:space="preserve"> s </w:t>
      </w:r>
      <w:r w:rsidRPr="0089691D">
        <w:t>financováním procesu transformace, obrany</w:t>
      </w:r>
      <w:r w:rsidR="006A1DF9">
        <w:t xml:space="preserve"> a </w:t>
      </w:r>
      <w:r w:rsidRPr="0089691D">
        <w:t>stárnutí obyvatelstva</w:t>
      </w:r>
      <w:r w:rsidR="006A1DF9">
        <w:t xml:space="preserve"> a </w:t>
      </w:r>
      <w:r w:rsidRPr="0089691D">
        <w:t>ke zvýšeným výdajům na dluhovou službu (</w:t>
      </w:r>
      <w:r w:rsidRPr="0089691D">
        <w:rPr>
          <w:i/>
          <w:iCs/>
        </w:rPr>
        <w:t>borrowing costs</w:t>
      </w:r>
      <w:r w:rsidRPr="0089691D">
        <w:t xml:space="preserve"> nebo </w:t>
      </w:r>
      <w:r w:rsidRPr="0089691D">
        <w:rPr>
          <w:i/>
          <w:iCs/>
        </w:rPr>
        <w:t>debt service</w:t>
      </w:r>
      <w:r w:rsidRPr="0089691D">
        <w:t>) je důležité zajistit důvěryhodný střednědobý fiskální rámec;</w:t>
      </w:r>
      <w:bookmarkEnd w:id="8"/>
    </w:p>
    <w:p w14:paraId="158AEF9A" w14:textId="40027687" w:rsidR="001409C3" w:rsidRPr="0089691D" w:rsidRDefault="001409C3" w:rsidP="001409C3">
      <w:pPr>
        <w:pStyle w:val="Heading2"/>
        <w:numPr>
          <w:ilvl w:val="0"/>
          <w:numId w:val="60"/>
        </w:numPr>
        <w:ind w:left="567" w:hanging="567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9" w:name="_Toc189577883"/>
      <w:r w:rsidRPr="0089691D">
        <w:t>podporuje Komisi na cestě ke zlepšení celkové účinnosti veřejných financí</w:t>
      </w:r>
      <w:r w:rsidR="006A1DF9">
        <w:t xml:space="preserve"> a </w:t>
      </w:r>
      <w:r w:rsidRPr="0089691D">
        <w:t>snížení objemu finančních prostředků</w:t>
      </w:r>
      <w:r w:rsidR="006A1DF9">
        <w:t xml:space="preserve"> v </w:t>
      </w:r>
      <w:r w:rsidRPr="0089691D">
        <w:t>daňových rájích. EHSV rovněž podporuje záměry skupiny G20</w:t>
      </w:r>
      <w:r w:rsidR="006A1DF9">
        <w:t xml:space="preserve"> v </w:t>
      </w:r>
      <w:r w:rsidRPr="0089691D">
        <w:t>oblasti zdaňování korporací;</w:t>
      </w:r>
      <w:bookmarkEnd w:id="9"/>
    </w:p>
    <w:p w14:paraId="0E16ADD5" w14:textId="2F13BA73" w:rsidR="001409C3" w:rsidRPr="0089691D" w:rsidRDefault="001409C3" w:rsidP="001409C3">
      <w:pPr>
        <w:pStyle w:val="Heading2"/>
        <w:numPr>
          <w:ilvl w:val="0"/>
          <w:numId w:val="60"/>
        </w:numPr>
        <w:ind w:left="567" w:hanging="567"/>
      </w:pPr>
      <w:bookmarkStart w:id="10" w:name="_Toc189577884"/>
      <w:r w:rsidRPr="0089691D">
        <w:t>zdůrazňuje potřebu mimořádné odpovědnosti</w:t>
      </w:r>
      <w:r w:rsidR="006A1DF9">
        <w:t xml:space="preserve"> a </w:t>
      </w:r>
      <w:r w:rsidRPr="0089691D">
        <w:t>angažovanosti při přijímání</w:t>
      </w:r>
      <w:r w:rsidR="006A1DF9">
        <w:t xml:space="preserve"> a </w:t>
      </w:r>
      <w:r w:rsidRPr="0089691D">
        <w:t>provádění jednotlivých opatření. Při plnění mimořádných úkolů bude více než kdy jindy zapotřebí dialog</w:t>
      </w:r>
      <w:r w:rsidR="006A1DF9">
        <w:t xml:space="preserve"> a </w:t>
      </w:r>
      <w:r w:rsidRPr="0089691D">
        <w:t>spolupráce všech kompetentních</w:t>
      </w:r>
      <w:r w:rsidR="006A1DF9">
        <w:t xml:space="preserve"> a </w:t>
      </w:r>
      <w:r w:rsidRPr="0089691D">
        <w:t>odpovědných aktérů na cestě</w:t>
      </w:r>
      <w:r w:rsidR="006A1DF9">
        <w:t xml:space="preserve"> k </w:t>
      </w:r>
      <w:r w:rsidRPr="0089691D">
        <w:t>udržitelnému</w:t>
      </w:r>
      <w:r w:rsidR="006A1DF9">
        <w:t xml:space="preserve"> a </w:t>
      </w:r>
      <w:r w:rsidRPr="0089691D">
        <w:t>odolnému ekonomickému vývoji</w:t>
      </w:r>
      <w:r w:rsidR="006A1DF9">
        <w:t xml:space="preserve"> v </w:t>
      </w:r>
      <w:r w:rsidRPr="0089691D">
        <w:t>eurozóně.</w:t>
      </w:r>
      <w:bookmarkEnd w:id="10"/>
    </w:p>
    <w:p w14:paraId="1717716A" w14:textId="77777777" w:rsidR="001409C3" w:rsidRPr="0089691D" w:rsidRDefault="001409C3" w:rsidP="001409C3">
      <w:pPr>
        <w:rPr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1409C3" w:rsidRPr="0089691D" w14:paraId="1123B985" w14:textId="77777777" w:rsidTr="00510D14">
        <w:tc>
          <w:tcPr>
            <w:tcW w:w="1418" w:type="dxa"/>
          </w:tcPr>
          <w:p w14:paraId="7966A959" w14:textId="77777777" w:rsidR="001409C3" w:rsidRPr="001409C3" w:rsidRDefault="001409C3" w:rsidP="00510D14">
            <w:pPr>
              <w:rPr>
                <w:b/>
                <w:i/>
                <w:sz w:val="20"/>
                <w:szCs w:val="20"/>
              </w:rPr>
            </w:pPr>
            <w:r w:rsidRPr="001409C3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5670" w:type="dxa"/>
          </w:tcPr>
          <w:p w14:paraId="727BC439" w14:textId="77777777" w:rsidR="001409C3" w:rsidRPr="001409C3" w:rsidRDefault="001409C3" w:rsidP="00510D14">
            <w:pPr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 xml:space="preserve">Krisztina PERLAKY-TÓTH </w:t>
            </w:r>
          </w:p>
        </w:tc>
      </w:tr>
      <w:tr w:rsidR="001409C3" w:rsidRPr="0089691D" w14:paraId="5FE0D971" w14:textId="77777777" w:rsidTr="00510D14">
        <w:tc>
          <w:tcPr>
            <w:tcW w:w="1418" w:type="dxa"/>
          </w:tcPr>
          <w:p w14:paraId="2290CBB4" w14:textId="77777777" w:rsidR="001409C3" w:rsidRPr="001409C3" w:rsidRDefault="001409C3" w:rsidP="00510D14">
            <w:pPr>
              <w:jc w:val="right"/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5670" w:type="dxa"/>
          </w:tcPr>
          <w:p w14:paraId="27E38E8F" w14:textId="77777777" w:rsidR="001409C3" w:rsidRPr="001409C3" w:rsidRDefault="001409C3" w:rsidP="00510D14">
            <w:pPr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+32 2</w:t>
            </w:r>
            <w:r w:rsidRPr="001409C3">
              <w:rPr>
                <w:sz w:val="20"/>
                <w:szCs w:val="20"/>
              </w:rPr>
              <w:t xml:space="preserve"> </w:t>
            </w:r>
            <w:r w:rsidRPr="001409C3">
              <w:rPr>
                <w:i/>
                <w:sz w:val="20"/>
                <w:szCs w:val="20"/>
              </w:rPr>
              <w:t>5469740</w:t>
            </w:r>
          </w:p>
        </w:tc>
      </w:tr>
      <w:tr w:rsidR="001409C3" w:rsidRPr="0089691D" w14:paraId="690B34C8" w14:textId="77777777" w:rsidTr="00510D14">
        <w:tc>
          <w:tcPr>
            <w:tcW w:w="1418" w:type="dxa"/>
          </w:tcPr>
          <w:p w14:paraId="5002A78E" w14:textId="77777777" w:rsidR="001409C3" w:rsidRPr="001409C3" w:rsidRDefault="001409C3" w:rsidP="00510D14">
            <w:pPr>
              <w:jc w:val="right"/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5670" w:type="dxa"/>
          </w:tcPr>
          <w:p w14:paraId="10E2D4D2" w14:textId="77777777" w:rsidR="001409C3" w:rsidRPr="001409C3" w:rsidRDefault="001409C3" w:rsidP="00510D14">
            <w:pPr>
              <w:rPr>
                <w:i/>
                <w:sz w:val="20"/>
                <w:szCs w:val="20"/>
              </w:rPr>
            </w:pPr>
            <w:hyperlink r:id="rId15" w:history="1">
              <w:r w:rsidRPr="001409C3">
                <w:rPr>
                  <w:rStyle w:val="Hyperlink"/>
                  <w:i/>
                  <w:sz w:val="20"/>
                  <w:szCs w:val="20"/>
                </w:rPr>
                <w:t>Krisztina.PerlakyToth@eesc.europa.eu</w:t>
              </w:r>
            </w:hyperlink>
            <w:r w:rsidRPr="001409C3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6DF4DB35" w14:textId="77777777" w:rsidR="001409C3" w:rsidRPr="0089691D" w:rsidRDefault="001409C3" w:rsidP="001409C3">
      <w:pPr>
        <w:jc w:val="center"/>
      </w:pPr>
    </w:p>
    <w:p w14:paraId="4982DD99" w14:textId="77777777" w:rsidR="004D7AC0" w:rsidRDefault="004D7AC0" w:rsidP="0060010D">
      <w:pPr>
        <w:pStyle w:val="Heading1"/>
        <w:keepNext/>
        <w:keepLines/>
        <w:rPr>
          <w:b/>
        </w:rPr>
      </w:pPr>
      <w:bookmarkStart w:id="11" w:name="_Toc189577885"/>
      <w:r>
        <w:rPr>
          <w:b/>
        </w:rPr>
        <w:t>ZAMĚSTNANOST, SOCIÁLNÍ VĚCI, OBČANSTVÍ</w:t>
      </w:r>
      <w:bookmarkEnd w:id="1"/>
      <w:bookmarkEnd w:id="11"/>
    </w:p>
    <w:p w14:paraId="4982DD9A" w14:textId="77777777" w:rsidR="004D7AC0" w:rsidRDefault="004D7AC0" w:rsidP="0060010D">
      <w:pPr>
        <w:keepNext/>
        <w:keepLines/>
      </w:pPr>
    </w:p>
    <w:p w14:paraId="1A25F1DE" w14:textId="67D298F5" w:rsidR="001409C3" w:rsidRPr="00A04AFA" w:rsidRDefault="001409C3" w:rsidP="001409C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Style w:val="Hyperlink"/>
          <w:b/>
        </w:rPr>
      </w:pPr>
      <w:hyperlink r:id="rId16" w:history="1">
        <w:r>
          <w:rPr>
            <w:rStyle w:val="Hyperlink"/>
            <w:b/>
            <w:i/>
            <w:sz w:val="28"/>
          </w:rPr>
          <w:t>Výroční zprávy EU</w:t>
        </w:r>
        <w:r w:rsidR="006A1DF9">
          <w:rPr>
            <w:rStyle w:val="Hyperlink"/>
            <w:b/>
            <w:i/>
            <w:sz w:val="28"/>
          </w:rPr>
          <w:t xml:space="preserve"> o </w:t>
        </w:r>
        <w:r>
          <w:rPr>
            <w:rStyle w:val="Hyperlink"/>
            <w:b/>
            <w:i/>
            <w:sz w:val="28"/>
          </w:rPr>
          <w:t>právním státu</w:t>
        </w:r>
      </w:hyperlink>
    </w:p>
    <w:p w14:paraId="3CBC81AE" w14:textId="77777777" w:rsidR="001409C3" w:rsidRPr="001409C3" w:rsidRDefault="001409C3" w:rsidP="001409C3">
      <w:pPr>
        <w:tabs>
          <w:tab w:val="center" w:pos="284"/>
        </w:tabs>
        <w:ind w:left="567" w:hanging="567"/>
        <w:rPr>
          <w:sz w:val="14"/>
          <w:szCs w:val="1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="001409C3" w:rsidRPr="001409C3" w14:paraId="6F866BE5" w14:textId="77777777" w:rsidTr="00510D14">
        <w:tc>
          <w:tcPr>
            <w:tcW w:w="1701" w:type="dxa"/>
          </w:tcPr>
          <w:p w14:paraId="26C7B43F" w14:textId="77777777" w:rsidR="001409C3" w:rsidRPr="001409C3" w:rsidRDefault="001409C3" w:rsidP="00510D14">
            <w:pPr>
              <w:tabs>
                <w:tab w:val="center" w:pos="284"/>
              </w:tabs>
              <w:ind w:left="567" w:hanging="567"/>
              <w:rPr>
                <w:b/>
                <w:sz w:val="20"/>
                <w:szCs w:val="20"/>
              </w:rPr>
            </w:pPr>
            <w:r w:rsidRPr="001409C3">
              <w:rPr>
                <w:b/>
                <w:sz w:val="20"/>
                <w:szCs w:val="20"/>
              </w:rPr>
              <w:t>Zpravodajka</w:t>
            </w:r>
          </w:p>
        </w:tc>
        <w:tc>
          <w:tcPr>
            <w:tcW w:w="5670" w:type="dxa"/>
          </w:tcPr>
          <w:p w14:paraId="565AAC07" w14:textId="77777777" w:rsidR="001409C3" w:rsidRPr="001409C3" w:rsidRDefault="001409C3" w:rsidP="00510D14">
            <w:pPr>
              <w:rPr>
                <w:sz w:val="20"/>
                <w:szCs w:val="20"/>
              </w:rPr>
            </w:pPr>
            <w:r w:rsidRPr="001409C3">
              <w:rPr>
                <w:sz w:val="20"/>
                <w:szCs w:val="20"/>
              </w:rPr>
              <w:t>Ozlem YILDIRIM (Zaměstnanci – FR)</w:t>
            </w:r>
          </w:p>
        </w:tc>
      </w:tr>
      <w:tr w:rsidR="001409C3" w:rsidRPr="001409C3" w14:paraId="524E6123" w14:textId="77777777" w:rsidTr="00510D14">
        <w:tc>
          <w:tcPr>
            <w:tcW w:w="1701" w:type="dxa"/>
          </w:tcPr>
          <w:p w14:paraId="12E62ADA" w14:textId="77777777" w:rsidR="001409C3" w:rsidRPr="001409C3" w:rsidRDefault="001409C3" w:rsidP="00510D14">
            <w:pPr>
              <w:tabs>
                <w:tab w:val="center" w:pos="284"/>
              </w:tabs>
              <w:ind w:left="567" w:hanging="567"/>
              <w:rPr>
                <w:b/>
                <w:sz w:val="20"/>
                <w:szCs w:val="20"/>
              </w:rPr>
            </w:pPr>
            <w:r w:rsidRPr="001409C3">
              <w:rPr>
                <w:b/>
                <w:sz w:val="20"/>
                <w:szCs w:val="20"/>
              </w:rPr>
              <w:t>Spoluzpravodaj</w:t>
            </w:r>
          </w:p>
        </w:tc>
        <w:tc>
          <w:tcPr>
            <w:tcW w:w="5670" w:type="dxa"/>
          </w:tcPr>
          <w:p w14:paraId="2306AE03" w14:textId="77777777" w:rsidR="001409C3" w:rsidRPr="001409C3" w:rsidRDefault="001409C3" w:rsidP="00510D14">
            <w:pPr>
              <w:rPr>
                <w:sz w:val="20"/>
                <w:szCs w:val="20"/>
              </w:rPr>
            </w:pPr>
            <w:r w:rsidRPr="001409C3">
              <w:rPr>
                <w:sz w:val="20"/>
                <w:szCs w:val="20"/>
              </w:rPr>
              <w:t>Christian MOOS (Organizace občanské společnosti – DE)</w:t>
            </w:r>
          </w:p>
        </w:tc>
      </w:tr>
      <w:tr w:rsidR="001409C3" w:rsidRPr="001409C3" w14:paraId="0AB86ECE" w14:textId="77777777" w:rsidTr="00510D14">
        <w:tc>
          <w:tcPr>
            <w:tcW w:w="1701" w:type="dxa"/>
          </w:tcPr>
          <w:p w14:paraId="23F15076" w14:textId="77777777" w:rsidR="001409C3" w:rsidRPr="001409C3" w:rsidRDefault="001409C3" w:rsidP="00510D14">
            <w:pPr>
              <w:tabs>
                <w:tab w:val="center" w:pos="284"/>
              </w:tabs>
              <w:ind w:left="567" w:hanging="567"/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5670" w:type="dxa"/>
          </w:tcPr>
          <w:p w14:paraId="7BA8830C" w14:textId="77777777" w:rsidR="001409C3" w:rsidRPr="001409C3" w:rsidRDefault="001409C3" w:rsidP="00510D14">
            <w:pPr>
              <w:rPr>
                <w:sz w:val="8"/>
                <w:szCs w:val="8"/>
                <w:lang w:val="es-ES"/>
              </w:rPr>
            </w:pPr>
          </w:p>
        </w:tc>
      </w:tr>
      <w:tr w:rsidR="001409C3" w:rsidRPr="001409C3" w14:paraId="463D15B8" w14:textId="77777777" w:rsidTr="00510D14">
        <w:tc>
          <w:tcPr>
            <w:tcW w:w="1701" w:type="dxa"/>
          </w:tcPr>
          <w:p w14:paraId="607F89A9" w14:textId="77777777" w:rsidR="001409C3" w:rsidRPr="001409C3" w:rsidRDefault="001409C3" w:rsidP="00510D14">
            <w:pPr>
              <w:tabs>
                <w:tab w:val="center" w:pos="284"/>
              </w:tabs>
              <w:ind w:left="567" w:hanging="567"/>
              <w:rPr>
                <w:b/>
                <w:sz w:val="20"/>
                <w:szCs w:val="20"/>
              </w:rPr>
            </w:pPr>
            <w:r w:rsidRPr="001409C3">
              <w:rPr>
                <w:b/>
                <w:sz w:val="20"/>
                <w:szCs w:val="20"/>
              </w:rPr>
              <w:t>Odkaz</w:t>
            </w:r>
          </w:p>
        </w:tc>
        <w:tc>
          <w:tcPr>
            <w:tcW w:w="5670" w:type="dxa"/>
          </w:tcPr>
          <w:p w14:paraId="17D0F469" w14:textId="77777777" w:rsidR="001409C3" w:rsidRPr="001409C3" w:rsidRDefault="001409C3" w:rsidP="00510D14">
            <w:pPr>
              <w:tabs>
                <w:tab w:val="center" w:pos="284"/>
              </w:tabs>
              <w:ind w:left="567" w:hanging="567"/>
              <w:rPr>
                <w:sz w:val="20"/>
                <w:szCs w:val="20"/>
              </w:rPr>
            </w:pPr>
            <w:r w:rsidRPr="001409C3">
              <w:rPr>
                <w:sz w:val="20"/>
                <w:szCs w:val="20"/>
              </w:rPr>
              <w:t>EESC-2024-01961-00-00-AC</w:t>
            </w:r>
          </w:p>
        </w:tc>
      </w:tr>
    </w:tbl>
    <w:p w14:paraId="307708D0" w14:textId="77777777" w:rsidR="001409C3" w:rsidRPr="001409C3" w:rsidRDefault="001409C3" w:rsidP="001409C3">
      <w:pPr>
        <w:keepNext/>
        <w:keepLines/>
        <w:tabs>
          <w:tab w:val="center" w:pos="284"/>
        </w:tabs>
        <w:ind w:left="266" w:hanging="266"/>
        <w:rPr>
          <w:b/>
          <w:sz w:val="20"/>
          <w:szCs w:val="20"/>
        </w:rPr>
      </w:pPr>
    </w:p>
    <w:p w14:paraId="6199ECA7" w14:textId="77777777" w:rsidR="001409C3" w:rsidRDefault="001409C3" w:rsidP="001409C3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69189B62" w14:textId="77777777" w:rsidR="001409C3" w:rsidRDefault="001409C3" w:rsidP="001409C3"/>
    <w:p w14:paraId="700DDAD6" w14:textId="77777777" w:rsidR="001409C3" w:rsidRPr="00AE1448" w:rsidRDefault="001409C3" w:rsidP="001409C3">
      <w:r>
        <w:t>EHSV:</w:t>
      </w:r>
    </w:p>
    <w:p w14:paraId="5E913495" w14:textId="3F1C0D19" w:rsidR="001409C3" w:rsidRPr="000C552D" w:rsidRDefault="001409C3" w:rsidP="001409C3">
      <w:pPr>
        <w:pStyle w:val="ListParagraph"/>
        <w:numPr>
          <w:ilvl w:val="0"/>
          <w:numId w:val="7"/>
        </w:numPr>
        <w:ind w:left="567" w:hanging="567"/>
      </w:pPr>
      <w:r>
        <w:t>odsuzuje skutečnost, že se zhoršuje situace</w:t>
      </w:r>
      <w:r w:rsidR="006A1DF9">
        <w:t xml:space="preserve"> v </w:t>
      </w:r>
      <w:r>
        <w:t>oblasti lidských práv, právního státu</w:t>
      </w:r>
      <w:r w:rsidR="006A1DF9">
        <w:t xml:space="preserve"> a </w:t>
      </w:r>
      <w:r>
        <w:t>demokracie. Vítá soubor nástrojů na podporu právního státu, který zavedla Evropská komise. Výroční zprávy</w:t>
      </w:r>
      <w:r w:rsidR="006A1DF9">
        <w:t xml:space="preserve"> o </w:t>
      </w:r>
      <w:r>
        <w:t>právním státu představují pokrok, EHSV se nicméně domnívá, že</w:t>
      </w:r>
      <w:r w:rsidR="006A1DF9">
        <w:t xml:space="preserve"> i </w:t>
      </w:r>
      <w:r>
        <w:t>nadále přetrvávají určité nedostatky</w:t>
      </w:r>
      <w:r w:rsidR="006A1DF9">
        <w:t xml:space="preserve"> a </w:t>
      </w:r>
      <w:r>
        <w:t>že je třeba docílit dalšího zlepšení;</w:t>
      </w:r>
    </w:p>
    <w:p w14:paraId="039B2740" w14:textId="6ABF9243" w:rsidR="001409C3" w:rsidRDefault="001409C3" w:rsidP="001409C3">
      <w:pPr>
        <w:pStyle w:val="ListParagraph"/>
        <w:numPr>
          <w:ilvl w:val="0"/>
          <w:numId w:val="7"/>
        </w:numPr>
        <w:ind w:left="567" w:hanging="567"/>
      </w:pPr>
      <w:r>
        <w:t>je toho názoru, že by Komise měla zajistit, aby byla do přípravy zpráv</w:t>
      </w:r>
      <w:r w:rsidR="006A1DF9">
        <w:t xml:space="preserve"> i </w:t>
      </w:r>
      <w:r>
        <w:t>do návazných kroků na vnitrostátní úrovni patřičně zapojena občanská společnost, což by umožnilo zaručit aktivní</w:t>
      </w:r>
      <w:r w:rsidR="006A1DF9">
        <w:t xml:space="preserve"> a </w:t>
      </w:r>
      <w:r>
        <w:t>spoluodpovědnou účast zainteresovaných stran, mj.</w:t>
      </w:r>
      <w:r w:rsidR="006A1DF9">
        <w:t xml:space="preserve"> i s </w:t>
      </w:r>
      <w:r>
        <w:t>pomocí EHSV;</w:t>
      </w:r>
    </w:p>
    <w:p w14:paraId="723D8409" w14:textId="0F68189F" w:rsidR="001409C3" w:rsidRDefault="001409C3" w:rsidP="001409C3">
      <w:pPr>
        <w:pStyle w:val="ListParagraph"/>
        <w:numPr>
          <w:ilvl w:val="0"/>
          <w:numId w:val="7"/>
        </w:numPr>
        <w:ind w:left="567" w:hanging="567"/>
      </w:pPr>
      <w:r>
        <w:t>doporučuje Komisi, aby při svých analýzách postupovala detailněji</w:t>
      </w:r>
      <w:r w:rsidR="006A1DF9">
        <w:t xml:space="preserve"> a </w:t>
      </w:r>
      <w:r>
        <w:t>aby do nich za tímto účelem zapojovala nezávislé experty, ověřovala situaci přímo na místě</w:t>
      </w:r>
      <w:r w:rsidR="006A1DF9">
        <w:t xml:space="preserve"> a </w:t>
      </w:r>
      <w:r>
        <w:t>formulovala svá konstatování přímočařeji;</w:t>
      </w:r>
    </w:p>
    <w:p w14:paraId="3CFF398B" w14:textId="49DC0E38" w:rsidR="001409C3" w:rsidRPr="00F32027" w:rsidRDefault="001409C3" w:rsidP="001409C3">
      <w:pPr>
        <w:pStyle w:val="ListParagraph"/>
        <w:numPr>
          <w:ilvl w:val="0"/>
          <w:numId w:val="7"/>
        </w:numPr>
        <w:ind w:left="567" w:hanging="567"/>
      </w:pPr>
      <w:r>
        <w:t>doporučuje rozšířit kapitolu věnovanou ve výročních zprávách</w:t>
      </w:r>
      <w:r w:rsidR="006A1DF9">
        <w:t xml:space="preserve"> o </w:t>
      </w:r>
      <w:r>
        <w:t>právním státu organizacím občanské společnosti, aby tak bylo možné provádět hodnocení, které bude vycházet</w:t>
      </w:r>
      <w:r w:rsidR="006A1DF9">
        <w:t xml:space="preserve"> z </w:t>
      </w:r>
      <w:r>
        <w:t>objektivních kritérií</w:t>
      </w:r>
      <w:r w:rsidR="006A1DF9">
        <w:t xml:space="preserve"> a </w:t>
      </w:r>
      <w:r>
        <w:t>transparentního dialogu</w:t>
      </w:r>
      <w:r w:rsidR="006A1DF9">
        <w:t xml:space="preserve"> s </w:t>
      </w:r>
      <w:r>
        <w:t>těmito organizacemi;</w:t>
      </w:r>
    </w:p>
    <w:p w14:paraId="264F4F1B" w14:textId="56C524FD" w:rsidR="001409C3" w:rsidRPr="00F32027" w:rsidRDefault="001409C3" w:rsidP="001409C3">
      <w:pPr>
        <w:pStyle w:val="ListParagraph"/>
        <w:numPr>
          <w:ilvl w:val="0"/>
          <w:numId w:val="7"/>
        </w:numPr>
        <w:ind w:left="567" w:hanging="567"/>
      </w:pPr>
      <w:r>
        <w:t>vybízí Komisi, aby do zpráv zahrnovala přesněji formulovaná doporučení, jejichž uskutečňování bude možné měřit,</w:t>
      </w:r>
      <w:r w:rsidR="006A1DF9">
        <w:t xml:space="preserve"> a </w:t>
      </w:r>
      <w:r>
        <w:t>připojovala</w:t>
      </w:r>
      <w:r w:rsidR="006A1DF9">
        <w:t xml:space="preserve"> k </w:t>
      </w:r>
      <w:r>
        <w:t>nim jasná kritéria, ukazatele</w:t>
      </w:r>
      <w:r w:rsidR="006A1DF9">
        <w:t xml:space="preserve"> a </w:t>
      </w:r>
      <w:r>
        <w:t>lhůty. Žádá, aby bylo převádění těchto doporučení do praxe pečlivěji posuzováno</w:t>
      </w:r>
      <w:r w:rsidR="006A1DF9">
        <w:t xml:space="preserve"> a </w:t>
      </w:r>
      <w:r>
        <w:t>aby</w:t>
      </w:r>
      <w:r w:rsidR="006A1DF9">
        <w:t xml:space="preserve"> o </w:t>
      </w:r>
      <w:r>
        <w:t>něm byly podávány transparentní informace, včetně informací</w:t>
      </w:r>
      <w:r w:rsidR="006A1DF9">
        <w:t xml:space="preserve"> o </w:t>
      </w:r>
      <w:r>
        <w:t>tom, které členské státy daná kritéria</w:t>
      </w:r>
      <w:r w:rsidR="006A1DF9">
        <w:t xml:space="preserve"> a </w:t>
      </w:r>
      <w:r>
        <w:t>dané lhůty nesplnily. Vyzývá Komisi, aby své výroční zprávě</w:t>
      </w:r>
      <w:r w:rsidR="006A1DF9">
        <w:t xml:space="preserve"> o </w:t>
      </w:r>
      <w:r>
        <w:t>právním státu dodala důraznější účinek</w:t>
      </w:r>
      <w:r w:rsidR="006A1DF9">
        <w:t xml:space="preserve"> v </w:t>
      </w:r>
      <w:r>
        <w:t>podobě možné aktivace jiných mechanismů právního státu</w:t>
      </w:r>
      <w:r w:rsidR="006A1DF9">
        <w:t xml:space="preserve"> v </w:t>
      </w:r>
      <w:r>
        <w:t>případě, kdy určitá země neprovede kroky, které jí byly ve zprávě doporučeny;</w:t>
      </w:r>
    </w:p>
    <w:p w14:paraId="4B9A8ED5" w14:textId="50A4E589" w:rsidR="001409C3" w:rsidRPr="000C552D" w:rsidRDefault="001409C3" w:rsidP="001409C3">
      <w:pPr>
        <w:pStyle w:val="ListParagraph"/>
        <w:numPr>
          <w:ilvl w:val="0"/>
          <w:numId w:val="7"/>
        </w:numPr>
        <w:ind w:left="567" w:hanging="567"/>
      </w:pPr>
      <w:r>
        <w:t>doporučuje Komisi, aby zprávy</w:t>
      </w:r>
      <w:r w:rsidR="006A1DF9">
        <w:t xml:space="preserve"> o </w:t>
      </w:r>
      <w:r>
        <w:t>právním státu formulovala jednodušším způsobem</w:t>
      </w:r>
      <w:r w:rsidR="006A1DF9">
        <w:t xml:space="preserve"> a </w:t>
      </w:r>
      <w:r>
        <w:t>přiblížila je tak široké veřejnosti</w:t>
      </w:r>
      <w:r w:rsidR="006A1DF9">
        <w:t xml:space="preserve"> a </w:t>
      </w:r>
      <w:r>
        <w:t>novinářům</w:t>
      </w:r>
      <w:r w:rsidR="006A1DF9">
        <w:t xml:space="preserve"> a </w:t>
      </w:r>
      <w:r>
        <w:t>aby navrhla komplexní komunikační strategii, jejímž cílem bude zvýšit povědomí</w:t>
      </w:r>
      <w:r w:rsidR="006A1DF9">
        <w:t xml:space="preserve"> o </w:t>
      </w:r>
      <w:r>
        <w:t>základních právech</w:t>
      </w:r>
      <w:r w:rsidR="006A1DF9">
        <w:t xml:space="preserve"> a </w:t>
      </w:r>
      <w:r>
        <w:t>právním státu;</w:t>
      </w:r>
    </w:p>
    <w:p w14:paraId="03665AEC" w14:textId="7A32D0C5" w:rsidR="001409C3" w:rsidRPr="00F32027" w:rsidRDefault="001409C3" w:rsidP="001409C3">
      <w:pPr>
        <w:pStyle w:val="ListParagraph"/>
        <w:numPr>
          <w:ilvl w:val="0"/>
          <w:numId w:val="7"/>
        </w:numPr>
        <w:ind w:left="567" w:hanging="567"/>
      </w:pPr>
      <w:r>
        <w:t>bere se zájmem na vědomí skutečnost, že si předsedkyně Komise přeje vytvořit platformu občanské společnosti.</w:t>
      </w:r>
      <w:r w:rsidR="006A1DF9">
        <w:t xml:space="preserve"> V </w:t>
      </w:r>
      <w:r>
        <w:t>této souvislosti připomíná, že se kvalitativní dialog neomezuje na pouhou konzultaci. EHSV musí být zapojen do řízení platforem tohoto typu</w:t>
      </w:r>
      <w:r w:rsidR="006A1DF9">
        <w:t xml:space="preserve"> a </w:t>
      </w:r>
      <w:r>
        <w:t>musí</w:t>
      </w:r>
      <w:r w:rsidR="006A1DF9">
        <w:t xml:space="preserve"> v </w:t>
      </w:r>
      <w:r>
        <w:t>nich hrát zásadní roli, neboť je institucí, jíž byl ve Smlouvě svěřen úkol informovat</w:t>
      </w:r>
      <w:r w:rsidR="006A1DF9">
        <w:t xml:space="preserve"> o </w:t>
      </w:r>
      <w:r>
        <w:t>názorech podnikatelských sdružení, odborových svazů</w:t>
      </w:r>
      <w:r w:rsidR="006A1DF9">
        <w:t xml:space="preserve"> a </w:t>
      </w:r>
      <w:r>
        <w:t xml:space="preserve">organizované občanské společnosti. </w:t>
      </w:r>
    </w:p>
    <w:p w14:paraId="08BAC589" w14:textId="77777777" w:rsidR="001409C3" w:rsidRPr="001409C3" w:rsidRDefault="001409C3" w:rsidP="001409C3">
      <w:pPr>
        <w:rPr>
          <w:sz w:val="20"/>
          <w:szCs w:val="20"/>
        </w:rPr>
      </w:pPr>
    </w:p>
    <w:tbl>
      <w:tblPr>
        <w:tblStyle w:val="TableGrid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5"/>
      </w:tblGrid>
      <w:tr w:rsidR="001409C3" w:rsidRPr="001409C3" w14:paraId="3E14F1F1" w14:textId="77777777" w:rsidTr="00510D14">
        <w:trPr>
          <w:trHeight w:val="60"/>
        </w:trPr>
        <w:tc>
          <w:tcPr>
            <w:tcW w:w="1556" w:type="pct"/>
            <w:hideMark/>
          </w:tcPr>
          <w:p w14:paraId="0038DC49" w14:textId="77777777" w:rsidR="001409C3" w:rsidRPr="001409C3" w:rsidRDefault="001409C3" w:rsidP="00510D14">
            <w:pPr>
              <w:rPr>
                <w:i/>
                <w:sz w:val="20"/>
                <w:szCs w:val="20"/>
              </w:rPr>
            </w:pPr>
            <w:r w:rsidRPr="001409C3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444" w:type="pct"/>
            <w:hideMark/>
          </w:tcPr>
          <w:p w14:paraId="206782E3" w14:textId="77777777" w:rsidR="001409C3" w:rsidRPr="001409C3" w:rsidRDefault="001409C3" w:rsidP="00510D14">
            <w:pPr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June Bedaton</w:t>
            </w:r>
          </w:p>
        </w:tc>
      </w:tr>
      <w:tr w:rsidR="001409C3" w:rsidRPr="001409C3" w14:paraId="540CA850" w14:textId="77777777" w:rsidTr="00510D14">
        <w:tc>
          <w:tcPr>
            <w:tcW w:w="1556" w:type="pct"/>
            <w:hideMark/>
          </w:tcPr>
          <w:p w14:paraId="44928A9C" w14:textId="77777777" w:rsidR="001409C3" w:rsidRPr="001409C3" w:rsidRDefault="001409C3" w:rsidP="00510D14">
            <w:pPr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444" w:type="pct"/>
            <w:hideMark/>
          </w:tcPr>
          <w:p w14:paraId="44DC5744" w14:textId="77777777" w:rsidR="001409C3" w:rsidRPr="001409C3" w:rsidRDefault="001409C3" w:rsidP="00510D14">
            <w:pPr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+32 25468134</w:t>
            </w:r>
          </w:p>
        </w:tc>
      </w:tr>
      <w:tr w:rsidR="001409C3" w:rsidRPr="001409C3" w14:paraId="4B59A6D1" w14:textId="77777777" w:rsidTr="00510D14">
        <w:tc>
          <w:tcPr>
            <w:tcW w:w="1556" w:type="pct"/>
            <w:hideMark/>
          </w:tcPr>
          <w:p w14:paraId="04A1F263" w14:textId="77777777" w:rsidR="001409C3" w:rsidRPr="001409C3" w:rsidRDefault="001409C3" w:rsidP="00510D14">
            <w:pPr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444" w:type="pct"/>
            <w:hideMark/>
          </w:tcPr>
          <w:p w14:paraId="53DC73F7" w14:textId="77777777" w:rsidR="001409C3" w:rsidRPr="001409C3" w:rsidRDefault="001409C3" w:rsidP="00510D14">
            <w:pPr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June.Bedaton@eesc.europa.eu</w:t>
            </w:r>
          </w:p>
        </w:tc>
      </w:tr>
    </w:tbl>
    <w:p w14:paraId="496182D5" w14:textId="77777777" w:rsidR="001409C3" w:rsidRPr="001409C3" w:rsidRDefault="001409C3" w:rsidP="001409C3">
      <w:pPr>
        <w:jc w:val="center"/>
        <w:rPr>
          <w:sz w:val="20"/>
          <w:szCs w:val="20"/>
        </w:rPr>
      </w:pPr>
    </w:p>
    <w:p w14:paraId="1B3AE897" w14:textId="4C7BE647" w:rsidR="000B40B4" w:rsidRPr="00EE160A" w:rsidRDefault="000B40B4" w:rsidP="0060010D">
      <w:pPr>
        <w:jc w:val="left"/>
      </w:pPr>
      <w:r>
        <w:br w:type="page"/>
      </w:r>
    </w:p>
    <w:p w14:paraId="69A629FE" w14:textId="5F33AFEA" w:rsidR="001409C3" w:rsidRPr="00A04AFA" w:rsidRDefault="001409C3" w:rsidP="001409C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Style w:val="Hyperlink"/>
          <w:b/>
        </w:rPr>
      </w:pPr>
      <w:hyperlink r:id="rId17" w:history="1">
        <w:r>
          <w:rPr>
            <w:rStyle w:val="Hyperlink"/>
            <w:b/>
            <w:i/>
            <w:sz w:val="28"/>
          </w:rPr>
          <w:t>Umělá inteligence podporující zájmy pracovníků – nástroje pro využití potenciálu</w:t>
        </w:r>
        <w:r w:rsidR="006A1DF9">
          <w:rPr>
            <w:rStyle w:val="Hyperlink"/>
            <w:b/>
            <w:i/>
            <w:sz w:val="28"/>
          </w:rPr>
          <w:t xml:space="preserve"> a </w:t>
        </w:r>
        <w:r>
          <w:rPr>
            <w:rStyle w:val="Hyperlink"/>
            <w:b/>
            <w:i/>
            <w:sz w:val="28"/>
          </w:rPr>
          <w:t>zmírnění rizik umělé inteligence</w:t>
        </w:r>
        <w:r w:rsidR="006A1DF9">
          <w:rPr>
            <w:rStyle w:val="Hyperlink"/>
            <w:b/>
            <w:i/>
            <w:sz w:val="28"/>
          </w:rPr>
          <w:t xml:space="preserve"> v </w:t>
        </w:r>
        <w:r>
          <w:rPr>
            <w:rStyle w:val="Hyperlink"/>
            <w:b/>
            <w:i/>
            <w:sz w:val="28"/>
          </w:rPr>
          <w:t>souvislosti</w:t>
        </w:r>
        <w:r w:rsidR="006A1DF9">
          <w:rPr>
            <w:rStyle w:val="Hyperlink"/>
            <w:b/>
            <w:i/>
            <w:sz w:val="28"/>
          </w:rPr>
          <w:t xml:space="preserve"> s </w:t>
        </w:r>
        <w:r>
          <w:rPr>
            <w:rStyle w:val="Hyperlink"/>
            <w:b/>
            <w:i/>
            <w:sz w:val="28"/>
          </w:rPr>
          <w:t>politikami zaměstnanosti</w:t>
        </w:r>
        <w:r w:rsidR="006A1DF9">
          <w:rPr>
            <w:rStyle w:val="Hyperlink"/>
            <w:b/>
            <w:i/>
            <w:sz w:val="28"/>
          </w:rPr>
          <w:t xml:space="preserve"> a </w:t>
        </w:r>
        <w:r>
          <w:rPr>
            <w:rStyle w:val="Hyperlink"/>
            <w:b/>
            <w:i/>
            <w:sz w:val="28"/>
          </w:rPr>
          <w:t>trhu práce</w:t>
        </w:r>
      </w:hyperlink>
    </w:p>
    <w:p w14:paraId="26A5E944" w14:textId="77777777" w:rsidR="001409C3" w:rsidRPr="001409C3" w:rsidRDefault="001409C3" w:rsidP="001409C3">
      <w:pPr>
        <w:tabs>
          <w:tab w:val="center" w:pos="284"/>
        </w:tabs>
        <w:ind w:left="567" w:hanging="567"/>
        <w:rPr>
          <w:sz w:val="14"/>
          <w:szCs w:val="14"/>
          <w:lang w:val="pt-PT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406"/>
      </w:tblGrid>
      <w:tr w:rsidR="001409C3" w:rsidRPr="001409C3" w14:paraId="312945EF" w14:textId="77777777" w:rsidTr="00510D14">
        <w:tc>
          <w:tcPr>
            <w:tcW w:w="1593" w:type="dxa"/>
          </w:tcPr>
          <w:p w14:paraId="45F29012" w14:textId="77777777" w:rsidR="001409C3" w:rsidRPr="001409C3" w:rsidRDefault="001409C3" w:rsidP="00510D14">
            <w:pPr>
              <w:tabs>
                <w:tab w:val="center" w:pos="284"/>
              </w:tabs>
              <w:spacing w:after="120"/>
              <w:ind w:left="-109"/>
              <w:rPr>
                <w:b/>
                <w:sz w:val="20"/>
                <w:szCs w:val="20"/>
              </w:rPr>
            </w:pPr>
            <w:r w:rsidRPr="001409C3">
              <w:rPr>
                <w:b/>
                <w:sz w:val="20"/>
                <w:szCs w:val="20"/>
              </w:rPr>
              <w:t>Zpravodajka</w:t>
            </w:r>
          </w:p>
        </w:tc>
        <w:tc>
          <w:tcPr>
            <w:tcW w:w="8046" w:type="dxa"/>
          </w:tcPr>
          <w:p w14:paraId="058DEF7D" w14:textId="77777777" w:rsidR="001409C3" w:rsidRPr="001409C3" w:rsidRDefault="001409C3" w:rsidP="00510D14">
            <w:pPr>
              <w:spacing w:after="120"/>
              <w:rPr>
                <w:sz w:val="20"/>
                <w:szCs w:val="20"/>
              </w:rPr>
            </w:pPr>
            <w:r w:rsidRPr="001409C3">
              <w:rPr>
                <w:sz w:val="20"/>
                <w:szCs w:val="20"/>
              </w:rPr>
              <w:t>Franca SALIS-MADINIER (skupina Zaměstnanci – FR)</w:t>
            </w:r>
          </w:p>
        </w:tc>
      </w:tr>
      <w:tr w:rsidR="001409C3" w:rsidRPr="001409C3" w14:paraId="2BA6C7FC" w14:textId="77777777" w:rsidTr="00510D14">
        <w:tc>
          <w:tcPr>
            <w:tcW w:w="1593" w:type="dxa"/>
          </w:tcPr>
          <w:p w14:paraId="176CAC28" w14:textId="77777777" w:rsidR="001409C3" w:rsidRPr="001409C3" w:rsidRDefault="001409C3" w:rsidP="00510D14">
            <w:pPr>
              <w:tabs>
                <w:tab w:val="center" w:pos="284"/>
              </w:tabs>
              <w:ind w:left="-109"/>
              <w:rPr>
                <w:b/>
                <w:sz w:val="20"/>
                <w:szCs w:val="20"/>
              </w:rPr>
            </w:pPr>
            <w:r w:rsidRPr="001409C3">
              <w:rPr>
                <w:b/>
                <w:sz w:val="20"/>
                <w:szCs w:val="20"/>
              </w:rPr>
              <w:t>Odkaz</w:t>
            </w:r>
          </w:p>
        </w:tc>
        <w:tc>
          <w:tcPr>
            <w:tcW w:w="8046" w:type="dxa"/>
          </w:tcPr>
          <w:p w14:paraId="3F153533" w14:textId="77777777" w:rsidR="001409C3" w:rsidRPr="001409C3" w:rsidRDefault="001409C3" w:rsidP="00510D14">
            <w:pPr>
              <w:tabs>
                <w:tab w:val="center" w:pos="284"/>
              </w:tabs>
              <w:rPr>
                <w:sz w:val="20"/>
                <w:szCs w:val="20"/>
              </w:rPr>
            </w:pPr>
            <w:r w:rsidRPr="001409C3">
              <w:rPr>
                <w:sz w:val="20"/>
                <w:szCs w:val="20"/>
              </w:rPr>
              <w:t>EESC-2024-01024-00-00-AC-TRA</w:t>
            </w:r>
          </w:p>
        </w:tc>
      </w:tr>
    </w:tbl>
    <w:p w14:paraId="3852DBF3" w14:textId="77777777" w:rsidR="001409C3" w:rsidRPr="001409C3" w:rsidRDefault="001409C3" w:rsidP="001409C3">
      <w:pPr>
        <w:keepNext/>
        <w:keepLines/>
        <w:tabs>
          <w:tab w:val="center" w:pos="0"/>
        </w:tabs>
        <w:rPr>
          <w:b/>
          <w:sz w:val="20"/>
          <w:szCs w:val="20"/>
        </w:rPr>
      </w:pPr>
    </w:p>
    <w:p w14:paraId="5DCCC51A" w14:textId="77777777" w:rsidR="001409C3" w:rsidRDefault="001409C3" w:rsidP="001409C3">
      <w:pPr>
        <w:keepNext/>
        <w:keepLines/>
        <w:tabs>
          <w:tab w:val="center" w:pos="0"/>
        </w:tabs>
        <w:rPr>
          <w:b/>
        </w:rPr>
      </w:pPr>
      <w:r>
        <w:rPr>
          <w:b/>
        </w:rPr>
        <w:t>Hlavní body</w:t>
      </w:r>
    </w:p>
    <w:p w14:paraId="13B26FC2" w14:textId="77777777" w:rsidR="001409C3" w:rsidRPr="00EA52FB" w:rsidRDefault="001409C3" w:rsidP="001409C3"/>
    <w:p w14:paraId="3F761BE0" w14:textId="77777777" w:rsidR="001409C3" w:rsidRDefault="001409C3" w:rsidP="001409C3">
      <w:pPr>
        <w:spacing w:line="276" w:lineRule="auto"/>
      </w:pPr>
      <w:r>
        <w:t>EHSV:</w:t>
      </w:r>
    </w:p>
    <w:p w14:paraId="31183545" w14:textId="77777777" w:rsidR="001409C3" w:rsidRPr="00EA52FB" w:rsidRDefault="001409C3" w:rsidP="001409C3">
      <w:pPr>
        <w:spacing w:line="276" w:lineRule="auto"/>
      </w:pPr>
    </w:p>
    <w:p w14:paraId="08C06A31" w14:textId="7DD1CF9D" w:rsidR="001409C3" w:rsidRPr="00EA52FB" w:rsidRDefault="001409C3" w:rsidP="00E83B88">
      <w:pPr>
        <w:pStyle w:val="ListParagraph"/>
        <w:numPr>
          <w:ilvl w:val="0"/>
          <w:numId w:val="8"/>
        </w:numPr>
        <w:spacing w:line="276" w:lineRule="auto"/>
        <w:ind w:left="567" w:hanging="567"/>
      </w:pPr>
      <w:r>
        <w:t>domnívá se, že zásadní roli při ochraně základních práv pracovníků</w:t>
      </w:r>
      <w:r w:rsidR="006A1DF9">
        <w:t xml:space="preserve"> a </w:t>
      </w:r>
      <w:r>
        <w:t>při prosazování „důvěryhodné“ AI ve světě práce hraje sociální dialog</w:t>
      </w:r>
      <w:r w:rsidR="006A1DF9">
        <w:t xml:space="preserve"> a </w:t>
      </w:r>
      <w:r>
        <w:t>zapojení zaměstnanců. Jedním</w:t>
      </w:r>
      <w:r w:rsidR="006A1DF9">
        <w:t xml:space="preserve"> z </w:t>
      </w:r>
      <w:r>
        <w:t>nástrojů</w:t>
      </w:r>
      <w:r w:rsidR="006A1DF9">
        <w:t xml:space="preserve"> k </w:t>
      </w:r>
      <w:r>
        <w:t>minimalizaci rizik</w:t>
      </w:r>
      <w:r w:rsidR="006A1DF9">
        <w:t xml:space="preserve"> a </w:t>
      </w:r>
      <w:r>
        <w:t>škodlivých dopadů systémů AI je větší zapojení zaměstnanců</w:t>
      </w:r>
      <w:r w:rsidR="006A1DF9">
        <w:t xml:space="preserve"> a </w:t>
      </w:r>
      <w:r>
        <w:t>jejich zástupců;</w:t>
      </w:r>
    </w:p>
    <w:p w14:paraId="58B69046" w14:textId="15518EE1" w:rsidR="001409C3" w:rsidRPr="00EA52FB" w:rsidRDefault="001409C3" w:rsidP="00E83B88">
      <w:pPr>
        <w:pStyle w:val="Heading2"/>
        <w:numPr>
          <w:ilvl w:val="0"/>
          <w:numId w:val="8"/>
        </w:numPr>
        <w:spacing w:line="276" w:lineRule="auto"/>
        <w:ind w:left="567" w:hanging="567"/>
      </w:pPr>
      <w:bookmarkStart w:id="12" w:name="_Toc189577886"/>
      <w:r>
        <w:t>zdůrazňuje, že legislativní iniciativy nebo jakékoliv jiné iniciativy pro přizpůsobení stávajících právních předpisů by měly řešit nedostatky</w:t>
      </w:r>
      <w:r w:rsidR="006A1DF9">
        <w:t xml:space="preserve"> v </w:t>
      </w:r>
      <w:r>
        <w:t>ochraně práv zaměstnanců na pracovišti</w:t>
      </w:r>
      <w:r w:rsidR="006A1DF9">
        <w:t xml:space="preserve"> a </w:t>
      </w:r>
      <w:r>
        <w:t>zajistit, že veškeré interakce mezi člověkem</w:t>
      </w:r>
      <w:r w:rsidR="006A1DF9">
        <w:t xml:space="preserve"> a </w:t>
      </w:r>
      <w:r>
        <w:t>strojem zůstanou pod kontrolou člověka;</w:t>
      </w:r>
      <w:bookmarkEnd w:id="12"/>
    </w:p>
    <w:p w14:paraId="6EC9A94A" w14:textId="77777777" w:rsidR="001409C3" w:rsidRPr="00EA52FB" w:rsidRDefault="001409C3" w:rsidP="00E83B88">
      <w:pPr>
        <w:pStyle w:val="Heading2"/>
        <w:numPr>
          <w:ilvl w:val="0"/>
          <w:numId w:val="8"/>
        </w:numPr>
        <w:spacing w:line="276" w:lineRule="auto"/>
        <w:ind w:left="567" w:hanging="567"/>
      </w:pPr>
      <w:bookmarkStart w:id="13" w:name="_Toc189577887"/>
      <w:r>
        <w:t>má za to, že stávající právní ustanovení EU týkající se využívání AI na pracovišti by měla být podpořena jednoznačnými pokyny;</w:t>
      </w:r>
      <w:bookmarkEnd w:id="13"/>
    </w:p>
    <w:p w14:paraId="4970703F" w14:textId="66AF959D" w:rsidR="001409C3" w:rsidRPr="00EA52FB" w:rsidRDefault="001409C3" w:rsidP="00E83B88">
      <w:pPr>
        <w:pStyle w:val="Heading2"/>
        <w:numPr>
          <w:ilvl w:val="0"/>
          <w:numId w:val="8"/>
        </w:numPr>
        <w:spacing w:line="276" w:lineRule="auto"/>
        <w:ind w:left="567" w:hanging="567"/>
      </w:pPr>
      <w:bookmarkStart w:id="14" w:name="_Toc189577888"/>
      <w:r>
        <w:t>podporuje rychlé provedení článku 4 aktu</w:t>
      </w:r>
      <w:r w:rsidR="006A1DF9">
        <w:t xml:space="preserve"> o </w:t>
      </w:r>
      <w:r>
        <w:t>umělé inteligenci</w:t>
      </w:r>
      <w:r w:rsidR="006A1DF9">
        <w:t xml:space="preserve"> s </w:t>
      </w:r>
      <w:r>
        <w:t>cílem umožnit zaměstnancům zvládat nástroje AI;</w:t>
      </w:r>
      <w:bookmarkEnd w:id="14"/>
    </w:p>
    <w:p w14:paraId="798EFE2B" w14:textId="4649CA12" w:rsidR="001409C3" w:rsidRPr="00EA52FB" w:rsidRDefault="001409C3" w:rsidP="00E83B88">
      <w:pPr>
        <w:pStyle w:val="Heading2"/>
        <w:numPr>
          <w:ilvl w:val="0"/>
          <w:numId w:val="8"/>
        </w:numPr>
        <w:spacing w:line="276" w:lineRule="auto"/>
        <w:ind w:left="567" w:hanging="567"/>
      </w:pPr>
      <w:bookmarkStart w:id="15" w:name="_Toc189577889"/>
      <w:r>
        <w:t>zastává názor, že veřejné orgány musí provádět iniciativy zaměřené na rozvoj dovedností pracovníků</w:t>
      </w:r>
      <w:r w:rsidR="006A1DF9">
        <w:t xml:space="preserve"> a </w:t>
      </w:r>
      <w:r>
        <w:t>občanů</w:t>
      </w:r>
      <w:r w:rsidR="006A1DF9">
        <w:t xml:space="preserve"> s </w:t>
      </w:r>
      <w:r>
        <w:t>cílem zajistit, aby systémy AI lidi spíše podporovaly než nahrazovaly;</w:t>
      </w:r>
      <w:bookmarkEnd w:id="15"/>
    </w:p>
    <w:p w14:paraId="7DB9BD4A" w14:textId="684B07CC" w:rsidR="001409C3" w:rsidRPr="00EA52FB" w:rsidRDefault="001409C3" w:rsidP="00E83B88">
      <w:pPr>
        <w:pStyle w:val="Heading2"/>
        <w:numPr>
          <w:ilvl w:val="0"/>
          <w:numId w:val="8"/>
        </w:numPr>
        <w:spacing w:line="276" w:lineRule="auto"/>
        <w:ind w:left="567" w:hanging="567"/>
      </w:pPr>
      <w:bookmarkStart w:id="16" w:name="_Toc189577890"/>
      <w:r>
        <w:t>důrazně požaduje, aby byl prosazován sociální dialog</w:t>
      </w:r>
      <w:r w:rsidR="006A1DF9">
        <w:t xml:space="preserve"> o </w:t>
      </w:r>
      <w:r>
        <w:t>zavádění systémů AI na základě právního nástroje EU ad hoc, jenž bude obsahovat ustanovení</w:t>
      </w:r>
      <w:r w:rsidR="006A1DF9">
        <w:t xml:space="preserve"> k </w:t>
      </w:r>
      <w:r>
        <w:t>účinnějšímu dosažení následujících cílů:</w:t>
      </w:r>
      <w:bookmarkEnd w:id="16"/>
    </w:p>
    <w:p w14:paraId="599FC1E2" w14:textId="4CF61427" w:rsidR="001409C3" w:rsidRPr="00EA52FB" w:rsidRDefault="001409C3" w:rsidP="00E83B88">
      <w:pPr>
        <w:pStyle w:val="Heading2"/>
        <w:numPr>
          <w:ilvl w:val="0"/>
          <w:numId w:val="61"/>
        </w:numPr>
        <w:spacing w:line="276" w:lineRule="auto"/>
        <w:ind w:left="851" w:hanging="284"/>
      </w:pPr>
      <w:bookmarkStart w:id="17" w:name="_Toc189577891"/>
      <w:r>
        <w:t>umožnit prosazování článku 88 obecného nařízení</w:t>
      </w:r>
      <w:r w:rsidR="006A1DF9">
        <w:t xml:space="preserve"> o </w:t>
      </w:r>
      <w:r>
        <w:t>ochraně osobních údajů (nařízení GDPR),</w:t>
      </w:r>
      <w:bookmarkEnd w:id="17"/>
    </w:p>
    <w:p w14:paraId="60DDDAA2" w14:textId="4B1637C8" w:rsidR="001409C3" w:rsidRPr="00EA52FB" w:rsidRDefault="001409C3" w:rsidP="00E83B88">
      <w:pPr>
        <w:pStyle w:val="Heading2"/>
        <w:numPr>
          <w:ilvl w:val="0"/>
          <w:numId w:val="61"/>
        </w:numPr>
        <w:spacing w:line="276" w:lineRule="auto"/>
        <w:ind w:left="851" w:hanging="284"/>
      </w:pPr>
      <w:bookmarkStart w:id="18" w:name="_Toc189577892"/>
      <w:r>
        <w:t>rozšířit oblast působnosti ustanovení obsažených ve směrnici</w:t>
      </w:r>
      <w:r w:rsidR="006A1DF9">
        <w:t xml:space="preserve"> o </w:t>
      </w:r>
      <w:r>
        <w:t>práci prostřednictvím platforem</w:t>
      </w:r>
      <w:r w:rsidR="006A1DF9">
        <w:t xml:space="preserve"> a </w:t>
      </w:r>
      <w:r>
        <w:t>řešit výzvy, před něž staví systémy algoritmického řízení všechny pracovníky,</w:t>
      </w:r>
      <w:bookmarkEnd w:id="18"/>
    </w:p>
    <w:p w14:paraId="3A196965" w14:textId="43E388AB" w:rsidR="001409C3" w:rsidRPr="00EA52FB" w:rsidRDefault="001409C3" w:rsidP="00E83B88">
      <w:pPr>
        <w:pStyle w:val="Heading2"/>
        <w:numPr>
          <w:ilvl w:val="0"/>
          <w:numId w:val="61"/>
        </w:numPr>
        <w:spacing w:line="276" w:lineRule="auto"/>
        <w:ind w:left="851" w:hanging="284"/>
      </w:pPr>
      <w:bookmarkStart w:id="19" w:name="_Toc189577893"/>
      <w:r>
        <w:t>posílit pravidla platná podle směrnice 2002/14/ES při zavádění vysoce rizikových systémů AI</w:t>
      </w:r>
      <w:r w:rsidR="006A1DF9">
        <w:t xml:space="preserve"> a </w:t>
      </w:r>
      <w:r>
        <w:t>poskytnout jednoznačné pokyny</w:t>
      </w:r>
      <w:r w:rsidR="006A1DF9">
        <w:t xml:space="preserve"> k </w:t>
      </w:r>
      <w:r>
        <w:t>ustanovení směrnice 89/391/EHS</w:t>
      </w:r>
      <w:r w:rsidR="006A1DF9">
        <w:t xml:space="preserve"> o </w:t>
      </w:r>
      <w:r>
        <w:t>bezpečnosti</w:t>
      </w:r>
      <w:r w:rsidR="006A1DF9">
        <w:t xml:space="preserve"> a </w:t>
      </w:r>
      <w:r>
        <w:t>ochraně zdraví při práci,</w:t>
      </w:r>
      <w:bookmarkEnd w:id="19"/>
    </w:p>
    <w:p w14:paraId="7BED1AC9" w14:textId="15C17309" w:rsidR="001409C3" w:rsidRPr="00EA52FB" w:rsidRDefault="001409C3" w:rsidP="00E83B88">
      <w:pPr>
        <w:pStyle w:val="Heading2"/>
        <w:numPr>
          <w:ilvl w:val="0"/>
          <w:numId w:val="61"/>
        </w:numPr>
        <w:spacing w:line="276" w:lineRule="auto"/>
        <w:ind w:left="851" w:hanging="284"/>
      </w:pPr>
      <w:bookmarkStart w:id="20" w:name="_Toc189577894"/>
      <w:r>
        <w:t>rozšířit informování</w:t>
      </w:r>
      <w:r w:rsidR="006A1DF9">
        <w:t xml:space="preserve"> o </w:t>
      </w:r>
      <w:r>
        <w:t>posouzení vlivu na ochranu osobních údajů na zástupce zaměstnanců, jak je stanoveno ve směrnici</w:t>
      </w:r>
      <w:r w:rsidR="006A1DF9">
        <w:t xml:space="preserve"> o </w:t>
      </w:r>
      <w:r>
        <w:t>práci prostřednictvím platforem,</w:t>
      </w:r>
      <w:bookmarkEnd w:id="20"/>
    </w:p>
    <w:p w14:paraId="52297BB7" w14:textId="77777777" w:rsidR="001409C3" w:rsidRPr="00EA52FB" w:rsidRDefault="001409C3" w:rsidP="00E83B88">
      <w:pPr>
        <w:pStyle w:val="Heading2"/>
        <w:numPr>
          <w:ilvl w:val="0"/>
          <w:numId w:val="61"/>
        </w:numPr>
        <w:spacing w:line="276" w:lineRule="auto"/>
        <w:ind w:left="851" w:hanging="284"/>
      </w:pPr>
      <w:bookmarkStart w:id="21" w:name="_Toc189577895"/>
      <w:r>
        <w:t>poskytovat předběžná posouzení dopadů na základní práva, která mají poskytovatelé provádět před zavedením vysoce rizikových systémů,</w:t>
      </w:r>
      <w:bookmarkEnd w:id="21"/>
    </w:p>
    <w:p w14:paraId="1C7C0E7F" w14:textId="1D0C321D" w:rsidR="001409C3" w:rsidRDefault="001409C3" w:rsidP="00E83B88">
      <w:pPr>
        <w:pStyle w:val="Heading2"/>
        <w:numPr>
          <w:ilvl w:val="0"/>
          <w:numId w:val="61"/>
        </w:numPr>
        <w:spacing w:line="276" w:lineRule="auto"/>
        <w:ind w:left="851" w:hanging="284"/>
      </w:pPr>
      <w:bookmarkStart w:id="22" w:name="_Toc189577896"/>
      <w:r>
        <w:t>vytvořit jasné pokyny ohledně toho, jak využívat sandboxy</w:t>
      </w:r>
      <w:r w:rsidR="006A1DF9">
        <w:t xml:space="preserve"> a </w:t>
      </w:r>
      <w:r>
        <w:t>testování</w:t>
      </w:r>
      <w:r w:rsidR="006A1DF9">
        <w:t xml:space="preserve"> v </w:t>
      </w:r>
      <w:r>
        <w:t>reálných podmínkách.</w:t>
      </w:r>
      <w:bookmarkEnd w:id="22"/>
    </w:p>
    <w:p w14:paraId="5E44F102" w14:textId="77777777" w:rsidR="001409C3" w:rsidRDefault="001409C3" w:rsidP="001409C3"/>
    <w:p w14:paraId="15DEAF86" w14:textId="52AD8AF2" w:rsidR="001409C3" w:rsidRPr="00A456D7" w:rsidRDefault="001409C3" w:rsidP="001409C3">
      <w:pPr>
        <w:keepNext/>
        <w:keepLines/>
        <w:widowControl w:val="0"/>
        <w:rPr>
          <w:bCs/>
        </w:rPr>
      </w:pPr>
      <w:r>
        <w:t>Vzhledem</w:t>
      </w:r>
      <w:r w:rsidR="006A1DF9">
        <w:t xml:space="preserve"> k </w:t>
      </w:r>
      <w:r>
        <w:t>rozdílným názorům předložili členové skupiny Zaměstnavatelé</w:t>
      </w:r>
      <w:r w:rsidR="006A1DF9">
        <w:t xml:space="preserve"> v </w:t>
      </w:r>
      <w:r>
        <w:t>EHSV protistanovisko. EHSV toto protistanovisko sice zamítl (112 členů hlasovalo pro jeho přijetí, 136 proti</w:t>
      </w:r>
      <w:r w:rsidR="006A1DF9">
        <w:t xml:space="preserve"> a </w:t>
      </w:r>
      <w:r>
        <w:t>11 členů se zdrželo hlasování), při hlasování jej však podpořila více než jedna čtvrtina členů,</w:t>
      </w:r>
      <w:r w:rsidR="006A1DF9">
        <w:t xml:space="preserve"> a </w:t>
      </w:r>
      <w:r>
        <w:t>proto bylo</w:t>
      </w:r>
      <w:r w:rsidR="006A1DF9">
        <w:t xml:space="preserve"> v </w:t>
      </w:r>
      <w:r>
        <w:t>souladu</w:t>
      </w:r>
      <w:r w:rsidR="006A1DF9">
        <w:t xml:space="preserve"> s </w:t>
      </w:r>
      <w:r>
        <w:t>jednacím řádem EHSV připojeno ke stanovisku jako příloha.</w:t>
      </w:r>
    </w:p>
    <w:p w14:paraId="1B005A55" w14:textId="77777777" w:rsidR="001409C3" w:rsidRPr="001409C3" w:rsidRDefault="001409C3" w:rsidP="001409C3">
      <w:pPr>
        <w:spacing w:line="276" w:lineRule="auto"/>
        <w:rPr>
          <w:sz w:val="20"/>
          <w:szCs w:val="20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7712"/>
      </w:tblGrid>
      <w:tr w:rsidR="001409C3" w:rsidRPr="001409C3" w14:paraId="0216D14E" w14:textId="77777777" w:rsidTr="00510D14">
        <w:tc>
          <w:tcPr>
            <w:tcW w:w="1134" w:type="dxa"/>
          </w:tcPr>
          <w:p w14:paraId="7796409F" w14:textId="77777777" w:rsidR="001409C3" w:rsidRPr="001409C3" w:rsidRDefault="001409C3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1409C3">
              <w:rPr>
                <w:b/>
                <w:i/>
                <w:sz w:val="20"/>
                <w:szCs w:val="20"/>
              </w:rPr>
              <w:lastRenderedPageBreak/>
              <w:t>Kontakt:</w:t>
            </w:r>
          </w:p>
        </w:tc>
        <w:tc>
          <w:tcPr>
            <w:tcW w:w="8363" w:type="dxa"/>
          </w:tcPr>
          <w:p w14:paraId="5A3A1A7B" w14:textId="77777777" w:rsidR="001409C3" w:rsidRPr="001409C3" w:rsidRDefault="001409C3" w:rsidP="00510D14">
            <w:pPr>
              <w:spacing w:line="240" w:lineRule="auto"/>
              <w:ind w:hanging="12"/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Ana Dumitrache</w:t>
            </w:r>
          </w:p>
        </w:tc>
      </w:tr>
      <w:tr w:rsidR="001409C3" w:rsidRPr="001409C3" w14:paraId="1168E4DD" w14:textId="77777777" w:rsidTr="00510D14">
        <w:tc>
          <w:tcPr>
            <w:tcW w:w="1134" w:type="dxa"/>
          </w:tcPr>
          <w:p w14:paraId="40685109" w14:textId="77777777" w:rsidR="001409C3" w:rsidRPr="001409C3" w:rsidRDefault="001409C3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8363" w:type="dxa"/>
          </w:tcPr>
          <w:p w14:paraId="7CF9ACD8" w14:textId="77777777" w:rsidR="001409C3" w:rsidRPr="001409C3" w:rsidRDefault="001409C3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+32 2546 8131</w:t>
            </w:r>
          </w:p>
        </w:tc>
      </w:tr>
      <w:tr w:rsidR="001409C3" w:rsidRPr="001409C3" w14:paraId="12A4E66E" w14:textId="77777777" w:rsidTr="00510D14">
        <w:tc>
          <w:tcPr>
            <w:tcW w:w="1134" w:type="dxa"/>
          </w:tcPr>
          <w:p w14:paraId="0020B8A6" w14:textId="77777777" w:rsidR="001409C3" w:rsidRPr="001409C3" w:rsidRDefault="001409C3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1409C3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8363" w:type="dxa"/>
          </w:tcPr>
          <w:p w14:paraId="02585AED" w14:textId="77777777" w:rsidR="001409C3" w:rsidRPr="001409C3" w:rsidRDefault="001409C3" w:rsidP="00510D14">
            <w:pPr>
              <w:spacing w:line="240" w:lineRule="auto"/>
              <w:rPr>
                <w:i/>
                <w:sz w:val="20"/>
                <w:szCs w:val="20"/>
              </w:rPr>
            </w:pPr>
            <w:hyperlink r:id="rId18" w:history="1">
              <w:r w:rsidRPr="001409C3">
                <w:rPr>
                  <w:rStyle w:val="Hyperlink"/>
                  <w:i/>
                  <w:sz w:val="20"/>
                  <w:szCs w:val="20"/>
                </w:rPr>
                <w:t>Ana.Dumitrache@eesc.europa.eu</w:t>
              </w:r>
            </w:hyperlink>
          </w:p>
        </w:tc>
      </w:tr>
    </w:tbl>
    <w:p w14:paraId="4982DDC2" w14:textId="5E500753" w:rsidR="000D43E1" w:rsidRDefault="000D43E1">
      <w:pPr>
        <w:jc w:val="left"/>
      </w:pPr>
      <w:r>
        <w:br w:type="page"/>
      </w:r>
    </w:p>
    <w:p w14:paraId="4982DDC5" w14:textId="7E69F68A" w:rsidR="004D7AC0" w:rsidRPr="000D43E1" w:rsidRDefault="004D7AC0" w:rsidP="0060010D">
      <w:pPr>
        <w:jc w:val="left"/>
        <w:rPr>
          <w:sz w:val="16"/>
          <w:szCs w:val="16"/>
        </w:rPr>
      </w:pPr>
    </w:p>
    <w:p w14:paraId="4982DDC6" w14:textId="10850D5F" w:rsidR="004D7AC0" w:rsidRDefault="004D7AC0" w:rsidP="0060010D">
      <w:pPr>
        <w:pStyle w:val="Heading1"/>
        <w:keepNext/>
        <w:keepLines/>
        <w:rPr>
          <w:b/>
        </w:rPr>
      </w:pPr>
      <w:bookmarkStart w:id="23" w:name="_Toc24617160"/>
      <w:bookmarkStart w:id="24" w:name="_Toc75527082"/>
      <w:bookmarkStart w:id="25" w:name="_Toc189577897"/>
      <w:r>
        <w:rPr>
          <w:b/>
        </w:rPr>
        <w:t>DOPRAVA, ENERGETIKA, INFRASTRUKTURA</w:t>
      </w:r>
      <w:r w:rsidR="006A1DF9">
        <w:rPr>
          <w:b/>
        </w:rPr>
        <w:t xml:space="preserve"> A </w:t>
      </w:r>
      <w:r>
        <w:rPr>
          <w:b/>
        </w:rPr>
        <w:t>INFORMAČNÍ SPOLEČNOST</w:t>
      </w:r>
      <w:bookmarkEnd w:id="23"/>
      <w:bookmarkEnd w:id="24"/>
      <w:bookmarkEnd w:id="25"/>
    </w:p>
    <w:p w14:paraId="4982DDC7" w14:textId="04E3199A" w:rsidR="004D7AC0" w:rsidRDefault="004D7AC0" w:rsidP="0060010D">
      <w:pPr>
        <w:keepNext/>
        <w:keepLines/>
      </w:pPr>
    </w:p>
    <w:p w14:paraId="4026A489" w14:textId="43D4B368" w:rsidR="00BD0CD4" w:rsidRPr="00CC2981" w:rsidRDefault="00BD0CD4" w:rsidP="00BD0CD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u w:val="single"/>
        </w:rPr>
      </w:pPr>
      <w:hyperlink r:id="rId19" w:history="1">
        <w:r>
          <w:rPr>
            <w:rStyle w:val="Hyperlink"/>
            <w:b/>
            <w:i/>
            <w:sz w:val="28"/>
          </w:rPr>
          <w:t>Budoucnost dodávek</w:t>
        </w:r>
        <w:r w:rsidR="006A1DF9">
          <w:rPr>
            <w:rStyle w:val="Hyperlink"/>
            <w:b/>
            <w:i/>
            <w:sz w:val="28"/>
          </w:rPr>
          <w:t xml:space="preserve"> a </w:t>
        </w:r>
        <w:r>
          <w:rPr>
            <w:rStyle w:val="Hyperlink"/>
            <w:b/>
            <w:i/>
            <w:sz w:val="28"/>
          </w:rPr>
          <w:t>cen elektrické energie</w:t>
        </w:r>
        <w:r w:rsidR="006A1DF9">
          <w:rPr>
            <w:rStyle w:val="Hyperlink"/>
            <w:b/>
            <w:i/>
            <w:sz w:val="28"/>
          </w:rPr>
          <w:t xml:space="preserve"> v </w:t>
        </w:r>
        <w:r>
          <w:rPr>
            <w:rStyle w:val="Hyperlink"/>
            <w:b/>
            <w:i/>
            <w:sz w:val="28"/>
          </w:rPr>
          <w:t>EU</w:t>
        </w:r>
      </w:hyperlink>
    </w:p>
    <w:p w14:paraId="2582FFF3" w14:textId="77777777" w:rsidR="00BD0CD4" w:rsidRPr="00BD0CD4" w:rsidRDefault="00BD0CD4" w:rsidP="00BD0CD4">
      <w:pPr>
        <w:widowControl w:val="0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5488"/>
      </w:tblGrid>
      <w:tr w:rsidR="00BD0CD4" w:rsidRPr="00BD0CD4" w14:paraId="685523A0" w14:textId="77777777" w:rsidTr="00510D14">
        <w:tc>
          <w:tcPr>
            <w:tcW w:w="1708" w:type="dxa"/>
          </w:tcPr>
          <w:p w14:paraId="2DA1E180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BD0CD4">
              <w:rPr>
                <w:b/>
                <w:sz w:val="20"/>
                <w:szCs w:val="20"/>
              </w:rPr>
              <w:t xml:space="preserve">Zpravodaj </w:t>
            </w:r>
          </w:p>
        </w:tc>
        <w:tc>
          <w:tcPr>
            <w:tcW w:w="5488" w:type="dxa"/>
          </w:tcPr>
          <w:p w14:paraId="3654A545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BD0CD4">
              <w:rPr>
                <w:sz w:val="20"/>
                <w:szCs w:val="20"/>
              </w:rPr>
              <w:t>Jan DIRX (skupina Organizace občanské společnosti – NL)</w:t>
            </w:r>
          </w:p>
        </w:tc>
      </w:tr>
      <w:tr w:rsidR="00BD0CD4" w:rsidRPr="00BD0CD4" w14:paraId="006759CD" w14:textId="77777777" w:rsidTr="00510D14">
        <w:tc>
          <w:tcPr>
            <w:tcW w:w="1708" w:type="dxa"/>
          </w:tcPr>
          <w:p w14:paraId="2544AFFB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BD0CD4">
              <w:rPr>
                <w:b/>
                <w:sz w:val="20"/>
                <w:szCs w:val="20"/>
              </w:rPr>
              <w:t>Spoluzpravodaj</w:t>
            </w:r>
          </w:p>
        </w:tc>
        <w:tc>
          <w:tcPr>
            <w:tcW w:w="5488" w:type="dxa"/>
          </w:tcPr>
          <w:p w14:paraId="571FF784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BD0CD4">
              <w:rPr>
                <w:sz w:val="20"/>
                <w:szCs w:val="20"/>
              </w:rPr>
              <w:t>Thomas KATTNIG (Zaměstnanci – AT)</w:t>
            </w:r>
          </w:p>
        </w:tc>
      </w:tr>
      <w:tr w:rsidR="00BD0CD4" w:rsidRPr="00BD0CD4" w14:paraId="6DF2BBA2" w14:textId="77777777" w:rsidTr="00510D14">
        <w:tc>
          <w:tcPr>
            <w:tcW w:w="7196" w:type="dxa"/>
            <w:gridSpan w:val="2"/>
          </w:tcPr>
          <w:p w14:paraId="17ECAE98" w14:textId="77777777" w:rsidR="00BD0CD4" w:rsidRPr="00BD0CD4" w:rsidRDefault="00BD0CD4" w:rsidP="00510D14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  <w:tr w:rsidR="00BD0CD4" w:rsidRPr="00BD0CD4" w14:paraId="51CA1922" w14:textId="77777777" w:rsidTr="00510D14">
        <w:tc>
          <w:tcPr>
            <w:tcW w:w="1708" w:type="dxa"/>
          </w:tcPr>
          <w:p w14:paraId="141529D3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BD0CD4">
              <w:rPr>
                <w:b/>
                <w:sz w:val="20"/>
                <w:szCs w:val="20"/>
              </w:rPr>
              <w:t>Odkazy</w:t>
            </w:r>
          </w:p>
        </w:tc>
        <w:tc>
          <w:tcPr>
            <w:tcW w:w="5488" w:type="dxa"/>
          </w:tcPr>
          <w:p w14:paraId="0AF245F8" w14:textId="05EA915B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BD0CD4">
              <w:rPr>
                <w:sz w:val="20"/>
                <w:szCs w:val="20"/>
              </w:rPr>
              <w:t>stanovisko</w:t>
            </w:r>
            <w:r w:rsidR="006A1DF9">
              <w:rPr>
                <w:sz w:val="20"/>
                <w:szCs w:val="20"/>
              </w:rPr>
              <w:t xml:space="preserve"> z </w:t>
            </w:r>
            <w:r w:rsidRPr="00BD0CD4">
              <w:rPr>
                <w:sz w:val="20"/>
                <w:szCs w:val="20"/>
              </w:rPr>
              <w:t>vlastní iniciativy</w:t>
            </w:r>
          </w:p>
          <w:p w14:paraId="0B72E50F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BD0CD4">
              <w:rPr>
                <w:sz w:val="20"/>
                <w:szCs w:val="20"/>
              </w:rPr>
              <w:t>EESC-2024-00983-00-00-AC</w:t>
            </w:r>
          </w:p>
        </w:tc>
      </w:tr>
    </w:tbl>
    <w:p w14:paraId="51331F64" w14:textId="77777777" w:rsidR="00BD0CD4" w:rsidRPr="00BD0CD4" w:rsidRDefault="00BD0CD4" w:rsidP="00BD0CD4">
      <w:pPr>
        <w:keepNext/>
        <w:keepLines/>
        <w:tabs>
          <w:tab w:val="center" w:pos="284"/>
        </w:tabs>
        <w:ind w:left="266" w:hanging="266"/>
        <w:rPr>
          <w:b/>
          <w:sz w:val="20"/>
          <w:szCs w:val="20"/>
        </w:rPr>
      </w:pPr>
    </w:p>
    <w:p w14:paraId="31482AB4" w14:textId="77777777" w:rsidR="00BD0CD4" w:rsidRPr="00CC2981" w:rsidRDefault="00BD0CD4" w:rsidP="00BD0CD4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389AFA08" w14:textId="77777777" w:rsidR="00BD0CD4" w:rsidRPr="00CC2981" w:rsidRDefault="00BD0CD4" w:rsidP="00BD0CD4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2C76D90D" w14:textId="77777777" w:rsidR="00BD0CD4" w:rsidRPr="00CC2981" w:rsidRDefault="00BD0CD4" w:rsidP="00BD0CD4">
      <w:pPr>
        <w:rPr>
          <w:bCs/>
          <w:iCs/>
        </w:rPr>
      </w:pPr>
      <w:r>
        <w:t>EHSV:</w:t>
      </w:r>
    </w:p>
    <w:p w14:paraId="6671A0E3" w14:textId="06BB252D" w:rsidR="00BD0CD4" w:rsidRDefault="00BD0CD4" w:rsidP="00E83B88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spacing w:after="120"/>
        <w:ind w:hanging="567"/>
        <w:textAlignment w:val="baseline"/>
      </w:pPr>
      <w:r>
        <w:t>je přesvědčen, že cílem reformy trhu</w:t>
      </w:r>
      <w:r w:rsidR="006A1DF9">
        <w:t xml:space="preserve"> s </w:t>
      </w:r>
      <w:r>
        <w:t>elektřinou by mělo být nejen to, aby byl nejpozději do roku 2050 splněn cíl klimatické neutrality, ale že je současně třeba sledovat</w:t>
      </w:r>
      <w:r w:rsidR="006A1DF9">
        <w:t xml:space="preserve"> i </w:t>
      </w:r>
      <w:r>
        <w:t>cíle zabezpečení dodávek</w:t>
      </w:r>
      <w:r w:rsidR="006A1DF9">
        <w:t xml:space="preserve"> a </w:t>
      </w:r>
      <w:r>
        <w:t>dosažení stabilních</w:t>
      </w:r>
      <w:r w:rsidR="006A1DF9">
        <w:t xml:space="preserve"> a </w:t>
      </w:r>
      <w:r>
        <w:t>dostupných cen. Současně je též</w:t>
      </w:r>
      <w:r w:rsidR="006A1DF9">
        <w:t xml:space="preserve"> v </w:t>
      </w:r>
      <w:r>
        <w:t>zájmu ochrany zranitelných skupin nutné zaručit právo na energii;</w:t>
      </w:r>
    </w:p>
    <w:p w14:paraId="30360426" w14:textId="02A438E6" w:rsidR="00BD0CD4" w:rsidRDefault="00BD0CD4" w:rsidP="00E83B88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spacing w:after="120"/>
        <w:ind w:hanging="567"/>
        <w:textAlignment w:val="baseline"/>
      </w:pPr>
      <w:r>
        <w:t>navrhuje model, který stanoví vládní regulaci tam, kde je to nutné,</w:t>
      </w:r>
      <w:r w:rsidR="006A1DF9">
        <w:t xml:space="preserve"> a </w:t>
      </w:r>
      <w:r>
        <w:t>povoluje soukromé podnikání tam, kde je to možné. Tento systém by mohl fungovat formou „e-agentury“ zřízené vládou, která se stane tvůrcem trhu</w:t>
      </w:r>
      <w:r w:rsidR="006A1DF9">
        <w:t xml:space="preserve"> s </w:t>
      </w:r>
      <w:r>
        <w:t>elektřinou;</w:t>
      </w:r>
    </w:p>
    <w:p w14:paraId="2349FDEC" w14:textId="61691427" w:rsidR="00BD0CD4" w:rsidRDefault="00BD0CD4" w:rsidP="00E83B88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spacing w:after="120"/>
        <w:ind w:hanging="567"/>
        <w:textAlignment w:val="baseline"/>
      </w:pPr>
      <w:r>
        <w:t>má za to, že je třeba podporovat malokapacitní výrobu elektřiny, aby byla cena elektřiny pro spotřebitele dostupná</w:t>
      </w:r>
      <w:r w:rsidR="006A1DF9">
        <w:t xml:space="preserve"> a </w:t>
      </w:r>
      <w:r>
        <w:t>aby se zvýšily možnosti flexibility</w:t>
      </w:r>
      <w:r w:rsidR="006A1DF9">
        <w:t xml:space="preserve"> v </w:t>
      </w:r>
      <w:r>
        <w:t>rámci sítí;</w:t>
      </w:r>
    </w:p>
    <w:p w14:paraId="689F1196" w14:textId="35442204" w:rsidR="00BD0CD4" w:rsidRDefault="00BD0CD4" w:rsidP="00E83B88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spacing w:after="120"/>
        <w:ind w:hanging="567"/>
        <w:textAlignment w:val="baseline"/>
      </w:pPr>
      <w:r>
        <w:t>domnívá se, že vzhledem</w:t>
      </w:r>
      <w:r w:rsidR="006A1DF9">
        <w:t xml:space="preserve"> k </w:t>
      </w:r>
      <w:r>
        <w:t>očekávanému nárůstu cen bude</w:t>
      </w:r>
      <w:r w:rsidR="006A1DF9">
        <w:t xml:space="preserve"> s </w:t>
      </w:r>
      <w:r>
        <w:t>ohledem na náklady na elektřinu</w:t>
      </w:r>
      <w:r w:rsidR="006A1DF9">
        <w:t xml:space="preserve"> v </w:t>
      </w:r>
      <w:r>
        <w:t>období do roku 2030</w:t>
      </w:r>
      <w:r w:rsidR="006A1DF9">
        <w:t xml:space="preserve"> a v </w:t>
      </w:r>
      <w:r>
        <w:t>dalších letech nutné, aby vlády přehodnotily svou politiku</w:t>
      </w:r>
      <w:r w:rsidR="006A1DF9">
        <w:t xml:space="preserve"> v </w:t>
      </w:r>
      <w:r>
        <w:t>oblasti zdanění dodávek elektřiny pro spotřebitele.</w:t>
      </w:r>
    </w:p>
    <w:p w14:paraId="397292F1" w14:textId="77777777" w:rsidR="00BD0CD4" w:rsidRPr="00BD0CD4" w:rsidRDefault="00BD0CD4" w:rsidP="00BD0CD4">
      <w:pPr>
        <w:widowControl w:val="0"/>
        <w:spacing w:after="120"/>
        <w:ind w:left="568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BD0CD4" w:rsidRPr="00BD0CD4" w14:paraId="0690C9EA" w14:textId="77777777" w:rsidTr="00510D14">
        <w:tc>
          <w:tcPr>
            <w:tcW w:w="1418" w:type="dxa"/>
          </w:tcPr>
          <w:p w14:paraId="7B7BED28" w14:textId="77777777" w:rsidR="00BD0CD4" w:rsidRPr="00BD0CD4" w:rsidRDefault="00BD0CD4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BD0CD4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5670" w:type="dxa"/>
          </w:tcPr>
          <w:p w14:paraId="5C460DEB" w14:textId="77777777" w:rsidR="00BD0CD4" w:rsidRPr="00BD0CD4" w:rsidRDefault="00BD0CD4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BD0CD4">
              <w:rPr>
                <w:i/>
                <w:sz w:val="20"/>
                <w:szCs w:val="20"/>
              </w:rPr>
              <w:t>Maja RADMAN</w:t>
            </w:r>
          </w:p>
        </w:tc>
      </w:tr>
      <w:tr w:rsidR="00BD0CD4" w:rsidRPr="00BD0CD4" w14:paraId="3A4C1DEB" w14:textId="77777777" w:rsidTr="00510D14">
        <w:tc>
          <w:tcPr>
            <w:tcW w:w="1418" w:type="dxa"/>
          </w:tcPr>
          <w:p w14:paraId="7B9ECBCE" w14:textId="77777777" w:rsidR="00BD0CD4" w:rsidRPr="00BD0CD4" w:rsidRDefault="00BD0CD4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BD0CD4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5670" w:type="dxa"/>
          </w:tcPr>
          <w:p w14:paraId="15FD87B6" w14:textId="77777777" w:rsidR="00BD0CD4" w:rsidRPr="00BD0CD4" w:rsidRDefault="00BD0CD4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BD0CD4">
              <w:rPr>
                <w:i/>
                <w:sz w:val="20"/>
                <w:szCs w:val="20"/>
              </w:rPr>
              <w:t>+32 25469051</w:t>
            </w:r>
          </w:p>
        </w:tc>
      </w:tr>
      <w:tr w:rsidR="00BD0CD4" w:rsidRPr="00BD0CD4" w14:paraId="2149F71B" w14:textId="77777777" w:rsidTr="00510D14">
        <w:tc>
          <w:tcPr>
            <w:tcW w:w="1418" w:type="dxa"/>
          </w:tcPr>
          <w:p w14:paraId="1524A12E" w14:textId="77777777" w:rsidR="00BD0CD4" w:rsidRPr="00BD0CD4" w:rsidRDefault="00BD0CD4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BD0CD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5670" w:type="dxa"/>
          </w:tcPr>
          <w:p w14:paraId="39482F43" w14:textId="77777777" w:rsidR="00BD0CD4" w:rsidRPr="00BD0CD4" w:rsidRDefault="00BD0CD4" w:rsidP="00510D14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hyperlink r:id="rId20" w:history="1">
              <w:r w:rsidRPr="00BD0CD4">
                <w:rPr>
                  <w:rStyle w:val="Hyperlink"/>
                  <w:i/>
                  <w:sz w:val="20"/>
                  <w:szCs w:val="20"/>
                </w:rPr>
                <w:t>Maja.Radman@eesc.europa.eu</w:t>
              </w:r>
            </w:hyperlink>
          </w:p>
        </w:tc>
      </w:tr>
    </w:tbl>
    <w:p w14:paraId="2FA727E3" w14:textId="77777777" w:rsidR="007554BE" w:rsidRPr="00BD0CD4" w:rsidRDefault="007554BE" w:rsidP="007554BE">
      <w:pPr>
        <w:jc w:val="left"/>
        <w:rPr>
          <w:sz w:val="20"/>
          <w:szCs w:val="20"/>
        </w:rPr>
      </w:pPr>
    </w:p>
    <w:p w14:paraId="0F2E9BAF" w14:textId="77777777" w:rsidR="007554BE" w:rsidRDefault="007554BE" w:rsidP="007554BE">
      <w:pPr>
        <w:jc w:val="left"/>
      </w:pPr>
    </w:p>
    <w:p w14:paraId="32F2F9FF" w14:textId="0B19FBA9" w:rsidR="00BD0CD4" w:rsidRPr="00927448" w:rsidRDefault="00BD0CD4" w:rsidP="00E83B88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u w:val="single"/>
        </w:rPr>
      </w:pPr>
      <w:hyperlink r:id="rId21" w:history="1">
        <w:r>
          <w:rPr>
            <w:rStyle w:val="Hyperlink"/>
            <w:b/>
            <w:i/>
            <w:sz w:val="28"/>
          </w:rPr>
          <w:t>Směrem</w:t>
        </w:r>
        <w:r w:rsidR="006A1DF9">
          <w:rPr>
            <w:rStyle w:val="Hyperlink"/>
            <w:b/>
            <w:i/>
            <w:sz w:val="28"/>
          </w:rPr>
          <w:t xml:space="preserve"> k </w:t>
        </w:r>
        <w:r>
          <w:rPr>
            <w:rStyle w:val="Hyperlink"/>
            <w:b/>
            <w:i/>
            <w:sz w:val="28"/>
          </w:rPr>
          <w:t>námořní strategii EU: cesta do budoucna vede přes koordinované investiční politiky, legislativní iniciativy, sociální dialog</w:t>
        </w:r>
        <w:r w:rsidR="006A1DF9">
          <w:rPr>
            <w:rStyle w:val="Hyperlink"/>
            <w:b/>
            <w:i/>
            <w:sz w:val="28"/>
          </w:rPr>
          <w:t xml:space="preserve"> a </w:t>
        </w:r>
        <w:r>
          <w:rPr>
            <w:rStyle w:val="Hyperlink"/>
            <w:b/>
            <w:i/>
            <w:sz w:val="28"/>
          </w:rPr>
          <w:t>zapojení občanské společnosti</w:t>
        </w:r>
      </w:hyperlink>
    </w:p>
    <w:p w14:paraId="2E6D70A6" w14:textId="77777777" w:rsidR="00BD0CD4" w:rsidRPr="00BD0CD4" w:rsidRDefault="00BD0CD4" w:rsidP="00BD0CD4">
      <w:pPr>
        <w:widowControl w:val="0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5965"/>
      </w:tblGrid>
      <w:tr w:rsidR="00BD0CD4" w:rsidRPr="00BD0CD4" w14:paraId="75470E9C" w14:textId="77777777" w:rsidTr="00510D14">
        <w:tc>
          <w:tcPr>
            <w:tcW w:w="1940" w:type="dxa"/>
          </w:tcPr>
          <w:p w14:paraId="37874EF2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BD0CD4">
              <w:rPr>
                <w:b/>
                <w:sz w:val="20"/>
                <w:szCs w:val="20"/>
              </w:rPr>
              <w:t xml:space="preserve">Zpravodajka </w:t>
            </w:r>
          </w:p>
        </w:tc>
        <w:tc>
          <w:tcPr>
            <w:tcW w:w="5965" w:type="dxa"/>
          </w:tcPr>
          <w:p w14:paraId="5CEC6E0F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BD0CD4">
              <w:rPr>
                <w:sz w:val="20"/>
                <w:szCs w:val="20"/>
              </w:rPr>
              <w:t>Ágnes CSER (skupina Organizace občanské společnosti – BE)</w:t>
            </w:r>
          </w:p>
        </w:tc>
      </w:tr>
      <w:tr w:rsidR="00BD0CD4" w:rsidRPr="00BD0CD4" w14:paraId="18D46618" w14:textId="77777777" w:rsidTr="00510D14">
        <w:tc>
          <w:tcPr>
            <w:tcW w:w="1940" w:type="dxa"/>
          </w:tcPr>
          <w:p w14:paraId="42087CB8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BD0CD4">
              <w:rPr>
                <w:b/>
                <w:sz w:val="20"/>
                <w:szCs w:val="20"/>
              </w:rPr>
              <w:t>Spoluzpravodajka</w:t>
            </w:r>
          </w:p>
        </w:tc>
        <w:tc>
          <w:tcPr>
            <w:tcW w:w="5965" w:type="dxa"/>
          </w:tcPr>
          <w:p w14:paraId="5AA57708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BD0CD4">
              <w:rPr>
                <w:sz w:val="20"/>
                <w:szCs w:val="20"/>
              </w:rPr>
              <w:t>Tanja BUZEK (skupina Zaměstnanci – DE)</w:t>
            </w:r>
          </w:p>
        </w:tc>
      </w:tr>
      <w:tr w:rsidR="00BD0CD4" w:rsidRPr="00BD0CD4" w14:paraId="455F6A8F" w14:textId="77777777" w:rsidTr="00510D14">
        <w:tc>
          <w:tcPr>
            <w:tcW w:w="7905" w:type="dxa"/>
            <w:gridSpan w:val="2"/>
          </w:tcPr>
          <w:p w14:paraId="275D67AF" w14:textId="77777777" w:rsidR="00BD0CD4" w:rsidRPr="00BD0CD4" w:rsidRDefault="00BD0CD4" w:rsidP="00510D14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  <w:tr w:rsidR="00BD0CD4" w:rsidRPr="00BD0CD4" w14:paraId="44E83874" w14:textId="77777777" w:rsidTr="00510D14">
        <w:tc>
          <w:tcPr>
            <w:tcW w:w="1940" w:type="dxa"/>
          </w:tcPr>
          <w:p w14:paraId="7887BC73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BD0CD4">
              <w:rPr>
                <w:b/>
                <w:sz w:val="20"/>
                <w:szCs w:val="20"/>
              </w:rPr>
              <w:t>Odkaz</w:t>
            </w:r>
          </w:p>
        </w:tc>
        <w:tc>
          <w:tcPr>
            <w:tcW w:w="5965" w:type="dxa"/>
          </w:tcPr>
          <w:p w14:paraId="0A557314" w14:textId="5B200DED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BD0CD4">
              <w:rPr>
                <w:sz w:val="20"/>
                <w:szCs w:val="20"/>
              </w:rPr>
              <w:t>stanovisko</w:t>
            </w:r>
            <w:r w:rsidR="006A1DF9">
              <w:rPr>
                <w:sz w:val="20"/>
                <w:szCs w:val="20"/>
              </w:rPr>
              <w:t xml:space="preserve"> z </w:t>
            </w:r>
            <w:r w:rsidRPr="00BD0CD4">
              <w:rPr>
                <w:sz w:val="20"/>
                <w:szCs w:val="20"/>
              </w:rPr>
              <w:t>vlastní iniciativy</w:t>
            </w:r>
          </w:p>
          <w:p w14:paraId="0B2C7DF1" w14:textId="77777777" w:rsidR="00BD0CD4" w:rsidRPr="00BD0CD4" w:rsidRDefault="00BD0CD4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BD0CD4">
              <w:rPr>
                <w:sz w:val="20"/>
                <w:szCs w:val="20"/>
              </w:rPr>
              <w:t>EESC-2024-00720-00-00-AC</w:t>
            </w:r>
          </w:p>
        </w:tc>
      </w:tr>
    </w:tbl>
    <w:p w14:paraId="1BCA92EF" w14:textId="77777777" w:rsidR="00BD0CD4" w:rsidRPr="00BD0CD4" w:rsidRDefault="00BD0CD4" w:rsidP="00BD0CD4">
      <w:pPr>
        <w:tabs>
          <w:tab w:val="center" w:pos="284"/>
        </w:tabs>
        <w:ind w:left="266" w:hanging="266"/>
        <w:rPr>
          <w:sz w:val="20"/>
          <w:szCs w:val="20"/>
        </w:rPr>
      </w:pPr>
    </w:p>
    <w:p w14:paraId="457397AA" w14:textId="77777777" w:rsidR="00BD0CD4" w:rsidRPr="00A6689B" w:rsidRDefault="00BD0CD4" w:rsidP="00BD0CD4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7E8E417A" w14:textId="77777777" w:rsidR="00BD0CD4" w:rsidRPr="00A6689B" w:rsidRDefault="00BD0CD4" w:rsidP="00BD0CD4">
      <w:pPr>
        <w:keepNext/>
        <w:keepLines/>
        <w:tabs>
          <w:tab w:val="center" w:pos="284"/>
        </w:tabs>
        <w:ind w:left="266" w:hanging="266"/>
        <w:rPr>
          <w:b/>
        </w:rPr>
      </w:pPr>
      <w:bookmarkStart w:id="26" w:name="_Hlk188970948"/>
    </w:p>
    <w:p w14:paraId="3272D4AA" w14:textId="77777777" w:rsidR="00BD0CD4" w:rsidRPr="00A6689B" w:rsidRDefault="00BD0CD4" w:rsidP="00BD0CD4">
      <w:pPr>
        <w:rPr>
          <w:bCs/>
          <w:iCs/>
        </w:rPr>
      </w:pPr>
      <w:r>
        <w:t>EHSV:</w:t>
      </w:r>
    </w:p>
    <w:p w14:paraId="7A555499" w14:textId="77C97650" w:rsidR="00BD0CD4" w:rsidRPr="00293FCF" w:rsidRDefault="00BD0CD4" w:rsidP="00E83B88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hanging="567"/>
        <w:textAlignment w:val="baseline"/>
      </w:pPr>
      <w:bookmarkStart w:id="27" w:name="_Hlk188970778"/>
      <w:r>
        <w:t>vyzývá</w:t>
      </w:r>
      <w:r w:rsidR="006A1DF9">
        <w:t xml:space="preserve"> k </w:t>
      </w:r>
      <w:r>
        <w:t xml:space="preserve">přijetí nové námořní strategie EU, která by měla za cíl vytvořit evropský námořní </w:t>
      </w:r>
      <w:r>
        <w:lastRenderedPageBreak/>
        <w:t>prostor pro konkurenceschopnější</w:t>
      </w:r>
      <w:r w:rsidR="006A1DF9">
        <w:t xml:space="preserve"> a </w:t>
      </w:r>
      <w:r>
        <w:t>ekonomicky, environmentálně</w:t>
      </w:r>
      <w:r w:rsidR="006A1DF9">
        <w:t xml:space="preserve"> a </w:t>
      </w:r>
      <w:r>
        <w:t>sociálně udržitelnější odvětví lodní dopravy EU</w:t>
      </w:r>
      <w:r w:rsidR="006A1DF9">
        <w:t xml:space="preserve"> s </w:t>
      </w:r>
      <w:r>
        <w:t>jasnými</w:t>
      </w:r>
      <w:r w:rsidR="006A1DF9">
        <w:t xml:space="preserve"> a </w:t>
      </w:r>
      <w:r>
        <w:t>transparentními pravidly, mj. co se týče aspektu zaměstnanosti;</w:t>
      </w:r>
    </w:p>
    <w:p w14:paraId="369B5F6E" w14:textId="6923A9A5" w:rsidR="00BD0CD4" w:rsidRPr="00B6367C" w:rsidRDefault="00BD0CD4" w:rsidP="00E83B88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hanging="567"/>
        <w:textAlignment w:val="baseline"/>
      </w:pPr>
      <w:r>
        <w:t>žádá, aby byl neprodleně zaveden akční plán, který by umožnil reagovat na dlouhodobé nezákonné činnosti, nové</w:t>
      </w:r>
      <w:r w:rsidR="006A1DF9">
        <w:t xml:space="preserve"> a </w:t>
      </w:r>
      <w:r>
        <w:t>vyvíjející se hrozby (například působení stínových flotil)</w:t>
      </w:r>
      <w:r w:rsidR="006A1DF9">
        <w:t xml:space="preserve"> a </w:t>
      </w:r>
      <w:r>
        <w:t>rostoucí geopolitické soupeření</w:t>
      </w:r>
      <w:r w:rsidR="006A1DF9">
        <w:t xml:space="preserve"> a </w:t>
      </w:r>
      <w:r>
        <w:t>který by odpovídal aktuálním potřebám</w:t>
      </w:r>
      <w:r w:rsidR="006A1DF9">
        <w:t xml:space="preserve"> v </w:t>
      </w:r>
      <w:r>
        <w:t>oblasti obrany EU, jejích mezinárodních vztahů</w:t>
      </w:r>
      <w:r w:rsidR="006A1DF9">
        <w:t xml:space="preserve"> a </w:t>
      </w:r>
      <w:r>
        <w:t>její obchodní politiky;</w:t>
      </w:r>
      <w:bookmarkEnd w:id="27"/>
    </w:p>
    <w:p w14:paraId="01A8BD88" w14:textId="7770A557" w:rsidR="00BD0CD4" w:rsidRPr="00ED501A" w:rsidRDefault="00BD0CD4" w:rsidP="00BD0CD4">
      <w:pPr>
        <w:pStyle w:val="ListParagraph"/>
        <w:widowControl w:val="0"/>
        <w:numPr>
          <w:ilvl w:val="0"/>
          <w:numId w:val="30"/>
        </w:numPr>
        <w:spacing w:after="200" w:line="276" w:lineRule="auto"/>
        <w:ind w:left="567" w:hanging="567"/>
      </w:pPr>
      <w:r>
        <w:t>domnívá se, že je třeba vytvořit skutečně rovné podmínky,</w:t>
      </w:r>
      <w:r w:rsidR="006A1DF9">
        <w:t xml:space="preserve"> v </w:t>
      </w:r>
      <w:r>
        <w:t>jejichž rámci nebudou smět plavidla nesplňující normy operovat</w:t>
      </w:r>
      <w:r w:rsidR="006A1DF9">
        <w:t xml:space="preserve"> v </w:t>
      </w:r>
      <w:r>
        <w:t>evropských vodách</w:t>
      </w:r>
      <w:r w:rsidR="006A1DF9">
        <w:t xml:space="preserve"> a </w:t>
      </w:r>
      <w:r>
        <w:t>konkurovat plavidlům zapsaným</w:t>
      </w:r>
      <w:r w:rsidR="006A1DF9">
        <w:t xml:space="preserve"> v </w:t>
      </w:r>
      <w:r>
        <w:t>předních rejstřících, které plnění norem účinně prosazují;</w:t>
      </w:r>
    </w:p>
    <w:p w14:paraId="417BB138" w14:textId="4DCC5CB7" w:rsidR="00BD0CD4" w:rsidRPr="00ED501A" w:rsidRDefault="00BD0CD4" w:rsidP="00BD0CD4">
      <w:pPr>
        <w:pStyle w:val="ListParagraph"/>
        <w:widowControl w:val="0"/>
        <w:numPr>
          <w:ilvl w:val="0"/>
          <w:numId w:val="30"/>
        </w:numPr>
        <w:spacing w:after="200" w:line="276" w:lineRule="auto"/>
        <w:ind w:left="567" w:hanging="567"/>
      </w:pPr>
      <w:r>
        <w:t>zdůrazňuje, že je třeba vytvořit příznivé prostředí pro změnu vlajky</w:t>
      </w:r>
      <w:r w:rsidR="006A1DF9">
        <w:t xml:space="preserve"> u </w:t>
      </w:r>
      <w:r>
        <w:t>tonáže pod kontrolou EU zpět na vlajky členských států EU;</w:t>
      </w:r>
    </w:p>
    <w:p w14:paraId="414A8EA2" w14:textId="5A91FAA6" w:rsidR="00BD0CD4" w:rsidRPr="00293FCF" w:rsidRDefault="00BD0CD4" w:rsidP="00BD0CD4">
      <w:pPr>
        <w:pStyle w:val="ListParagraph"/>
        <w:widowControl w:val="0"/>
        <w:numPr>
          <w:ilvl w:val="0"/>
          <w:numId w:val="30"/>
        </w:numPr>
        <w:spacing w:after="200" w:line="276" w:lineRule="auto"/>
        <w:ind w:left="567" w:hanging="567"/>
      </w:pPr>
      <w:r>
        <w:t>upozorňuje, že je nutné uzavřít novou sociální smlouvu,</w:t>
      </w:r>
      <w:r w:rsidR="006A1DF9">
        <w:t xml:space="preserve"> v </w:t>
      </w:r>
      <w:r>
        <w:t>jejímž rámci budou mj. účinně prosazovány stávající právní předpisy</w:t>
      </w:r>
      <w:r w:rsidR="006A1DF9">
        <w:t xml:space="preserve"> v </w:t>
      </w:r>
      <w:r>
        <w:t>tomto odvětví,</w:t>
      </w:r>
      <w:r w:rsidR="006A1DF9">
        <w:t xml:space="preserve"> a </w:t>
      </w:r>
      <w:r>
        <w:t>prokázat politickou vůli</w:t>
      </w:r>
      <w:r w:rsidR="006A1DF9">
        <w:t xml:space="preserve"> k </w:t>
      </w:r>
      <w:r>
        <w:t>přijetí právně závazných legislativních iniciativ, které námořníkům zaručí stejnou úroveň sociální ochrany, jakou mají pracovníci na pevnině.</w:t>
      </w:r>
    </w:p>
    <w:bookmarkEnd w:id="26"/>
    <w:p w14:paraId="644EA142" w14:textId="77777777" w:rsidR="00BD0CD4" w:rsidRPr="00BD0CD4" w:rsidRDefault="00BD0CD4" w:rsidP="00BD0CD4">
      <w:pPr>
        <w:widowControl w:val="0"/>
        <w:ind w:left="709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279"/>
      </w:tblGrid>
      <w:tr w:rsidR="00BD0CD4" w:rsidRPr="00BD0CD4" w14:paraId="7B127B10" w14:textId="77777777" w:rsidTr="00510D14">
        <w:tc>
          <w:tcPr>
            <w:tcW w:w="1809" w:type="dxa"/>
          </w:tcPr>
          <w:p w14:paraId="378D5AF6" w14:textId="77777777" w:rsidR="00BD0CD4" w:rsidRPr="00BD0CD4" w:rsidRDefault="00BD0CD4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BD0CD4">
              <w:rPr>
                <w:b/>
                <w:i/>
                <w:sz w:val="20"/>
                <w:szCs w:val="20"/>
              </w:rPr>
              <w:t>Kontaktní osoba:</w:t>
            </w:r>
          </w:p>
        </w:tc>
        <w:tc>
          <w:tcPr>
            <w:tcW w:w="5279" w:type="dxa"/>
          </w:tcPr>
          <w:p w14:paraId="44E75E1E" w14:textId="77777777" w:rsidR="00BD0CD4" w:rsidRPr="00BD0CD4" w:rsidRDefault="00BD0CD4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BD0CD4">
              <w:rPr>
                <w:i/>
                <w:sz w:val="20"/>
                <w:szCs w:val="20"/>
              </w:rPr>
              <w:t>Aleksandra Sarman Grilc</w:t>
            </w:r>
          </w:p>
        </w:tc>
      </w:tr>
      <w:tr w:rsidR="00BD0CD4" w:rsidRPr="00BD0CD4" w14:paraId="60BBE33A" w14:textId="77777777" w:rsidTr="00510D14">
        <w:tc>
          <w:tcPr>
            <w:tcW w:w="1809" w:type="dxa"/>
          </w:tcPr>
          <w:p w14:paraId="0F0810AC" w14:textId="77777777" w:rsidR="00BD0CD4" w:rsidRPr="00BD0CD4" w:rsidRDefault="00BD0CD4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BD0CD4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5279" w:type="dxa"/>
          </w:tcPr>
          <w:p w14:paraId="437453B3" w14:textId="77777777" w:rsidR="00BD0CD4" w:rsidRPr="00BD0CD4" w:rsidRDefault="00BD0CD4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BD0CD4">
              <w:rPr>
                <w:i/>
                <w:sz w:val="20"/>
                <w:szCs w:val="20"/>
              </w:rPr>
              <w:t>+32 25468333</w:t>
            </w:r>
          </w:p>
        </w:tc>
      </w:tr>
      <w:tr w:rsidR="00BD0CD4" w:rsidRPr="00BD0CD4" w14:paraId="23740881" w14:textId="77777777" w:rsidTr="00510D14">
        <w:tc>
          <w:tcPr>
            <w:tcW w:w="1809" w:type="dxa"/>
          </w:tcPr>
          <w:p w14:paraId="230902D0" w14:textId="77777777" w:rsidR="00BD0CD4" w:rsidRPr="00BD0CD4" w:rsidRDefault="00BD0CD4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BD0CD4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5279" w:type="dxa"/>
          </w:tcPr>
          <w:p w14:paraId="2BBD97C4" w14:textId="77777777" w:rsidR="00BD0CD4" w:rsidRPr="00BD0CD4" w:rsidRDefault="00BD0CD4" w:rsidP="00510D14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hyperlink r:id="rId22" w:history="1">
              <w:r w:rsidRPr="00BD0CD4">
                <w:rPr>
                  <w:rStyle w:val="Hyperlink"/>
                  <w:i/>
                  <w:sz w:val="20"/>
                  <w:szCs w:val="20"/>
                </w:rPr>
                <w:t>Aleksandra.SarmanGrilc@eesc.europa.eu</w:t>
              </w:r>
            </w:hyperlink>
          </w:p>
        </w:tc>
      </w:tr>
    </w:tbl>
    <w:p w14:paraId="4982DDF0" w14:textId="77777777" w:rsidR="004D7AC0" w:rsidRDefault="004D7AC0">
      <w:pPr>
        <w:pStyle w:val="ListParagraph"/>
        <w:ind w:left="0"/>
      </w:pPr>
    </w:p>
    <w:p w14:paraId="4982DDF1" w14:textId="77777777" w:rsidR="004D7AC0" w:rsidRDefault="004D7AC0">
      <w:pPr>
        <w:pStyle w:val="ListParagraph"/>
        <w:ind w:left="0"/>
      </w:pPr>
    </w:p>
    <w:p w14:paraId="4982DDF2" w14:textId="77777777" w:rsidR="004D7AC0" w:rsidRDefault="004D7AC0" w:rsidP="0060010D">
      <w:pPr>
        <w:jc w:val="left"/>
      </w:pPr>
      <w:r>
        <w:br w:type="page"/>
      </w:r>
    </w:p>
    <w:p w14:paraId="4982DDF3" w14:textId="3B101120" w:rsidR="004D7AC0" w:rsidRDefault="004D7AC0">
      <w:pPr>
        <w:pStyle w:val="Heading1"/>
        <w:rPr>
          <w:b/>
        </w:rPr>
      </w:pPr>
      <w:bookmarkStart w:id="28" w:name="_Toc75527083"/>
      <w:bookmarkStart w:id="29" w:name="_Toc189577898"/>
      <w:r>
        <w:rPr>
          <w:b/>
        </w:rPr>
        <w:lastRenderedPageBreak/>
        <w:t>JEDNOTNÝ TRH, VÝROBA</w:t>
      </w:r>
      <w:r w:rsidR="006A1DF9">
        <w:rPr>
          <w:b/>
        </w:rPr>
        <w:t xml:space="preserve"> A </w:t>
      </w:r>
      <w:r>
        <w:rPr>
          <w:b/>
        </w:rPr>
        <w:t>SPOTŘEBA</w:t>
      </w:r>
      <w:bookmarkEnd w:id="28"/>
      <w:bookmarkEnd w:id="29"/>
    </w:p>
    <w:p w14:paraId="4982DDF4" w14:textId="77777777" w:rsidR="004D7AC0" w:rsidRDefault="004D7AC0"/>
    <w:p w14:paraId="7999FA16" w14:textId="29F5D11C" w:rsidR="005B5258" w:rsidRPr="005B5258" w:rsidRDefault="005B525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23" w:history="1">
        <w:r>
          <w:rPr>
            <w:b/>
            <w:i/>
            <w:color w:val="0000FF"/>
            <w:sz w:val="28"/>
            <w:u w:val="single"/>
          </w:rPr>
          <w:t>Dobíjecí zařízení elektrických vozidel, výdejní stojany stlačeného plynu</w:t>
        </w:r>
        <w:r w:rsidR="006A1DF9">
          <w:rPr>
            <w:b/>
            <w:i/>
            <w:color w:val="0000FF"/>
            <w:sz w:val="28"/>
            <w:u w:val="single"/>
          </w:rPr>
          <w:t xml:space="preserve"> a </w:t>
        </w:r>
        <w:r>
          <w:rPr>
            <w:b/>
            <w:i/>
            <w:color w:val="0000FF"/>
            <w:sz w:val="28"/>
            <w:u w:val="single"/>
          </w:rPr>
          <w:t>elektroměry, plynoměry</w:t>
        </w:r>
        <w:r w:rsidR="006A1DF9">
          <w:rPr>
            <w:b/>
            <w:i/>
            <w:color w:val="0000FF"/>
            <w:sz w:val="28"/>
            <w:u w:val="single"/>
          </w:rPr>
          <w:t xml:space="preserve"> a </w:t>
        </w:r>
        <w:r>
          <w:rPr>
            <w:b/>
            <w:i/>
            <w:color w:val="0000FF"/>
            <w:sz w:val="28"/>
            <w:u w:val="single"/>
          </w:rPr>
          <w:t>měřidla tepelné energie</w:t>
        </w:r>
      </w:hyperlink>
    </w:p>
    <w:p w14:paraId="231C2936" w14:textId="5BE6CC0A" w:rsidR="005B5258" w:rsidRDefault="005B5258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</w:tblGrid>
      <w:tr w:rsidR="00913119" w:rsidRPr="00913119" w14:paraId="57FBE4EF" w14:textId="77777777" w:rsidTr="00510D14">
        <w:tc>
          <w:tcPr>
            <w:tcW w:w="2518" w:type="dxa"/>
          </w:tcPr>
          <w:p w14:paraId="56203DCB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913119">
              <w:rPr>
                <w:b/>
                <w:sz w:val="20"/>
                <w:szCs w:val="20"/>
              </w:rPr>
              <w:t>Stanovisko kategorie C</w:t>
            </w:r>
          </w:p>
        </w:tc>
        <w:tc>
          <w:tcPr>
            <w:tcW w:w="5103" w:type="dxa"/>
          </w:tcPr>
          <w:p w14:paraId="2DEF7F85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  <w:tr w:rsidR="00913119" w:rsidRPr="00913119" w14:paraId="6140625A" w14:textId="77777777" w:rsidTr="00510D14">
        <w:tc>
          <w:tcPr>
            <w:tcW w:w="7621" w:type="dxa"/>
            <w:gridSpan w:val="2"/>
          </w:tcPr>
          <w:p w14:paraId="758A99EF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  <w:tr w:rsidR="00913119" w:rsidRPr="00913119" w14:paraId="32DB2BBC" w14:textId="77777777" w:rsidTr="00510D14">
        <w:tc>
          <w:tcPr>
            <w:tcW w:w="2518" w:type="dxa"/>
            <w:vMerge w:val="restart"/>
          </w:tcPr>
          <w:p w14:paraId="7E0A12B3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913119">
              <w:rPr>
                <w:b/>
                <w:sz w:val="20"/>
                <w:szCs w:val="20"/>
              </w:rPr>
              <w:t>Odkazy</w:t>
            </w:r>
          </w:p>
        </w:tc>
        <w:tc>
          <w:tcPr>
            <w:tcW w:w="5103" w:type="dxa"/>
          </w:tcPr>
          <w:p w14:paraId="637C4E78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913119">
              <w:rPr>
                <w:sz w:val="20"/>
                <w:szCs w:val="20"/>
              </w:rPr>
              <w:t>COM(2024) 561 final – 2024/0311 (COD)</w:t>
            </w:r>
          </w:p>
        </w:tc>
      </w:tr>
      <w:tr w:rsidR="00913119" w:rsidRPr="00913119" w14:paraId="1C120D95" w14:textId="77777777" w:rsidTr="00510D14">
        <w:tc>
          <w:tcPr>
            <w:tcW w:w="2518" w:type="dxa"/>
            <w:vMerge/>
          </w:tcPr>
          <w:p w14:paraId="1D29927B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14:paraId="5EE54196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913119">
              <w:rPr>
                <w:sz w:val="20"/>
                <w:szCs w:val="20"/>
              </w:rPr>
              <w:t>EESC-2025-00177-00-00-AC-TRA</w:t>
            </w:r>
          </w:p>
        </w:tc>
      </w:tr>
    </w:tbl>
    <w:p w14:paraId="7B9FCACB" w14:textId="77777777" w:rsidR="00913119" w:rsidRPr="00AA49B1" w:rsidRDefault="00913119" w:rsidP="00913119">
      <w:pPr>
        <w:tabs>
          <w:tab w:val="center" w:pos="284"/>
        </w:tabs>
        <w:ind w:left="266" w:hanging="266"/>
      </w:pPr>
    </w:p>
    <w:p w14:paraId="3C33BA65" w14:textId="77777777" w:rsidR="00913119" w:rsidRPr="00AA49B1" w:rsidRDefault="00913119" w:rsidP="00913119">
      <w:pPr>
        <w:keepNext/>
        <w:keepLines/>
        <w:tabs>
          <w:tab w:val="center" w:pos="284"/>
        </w:tabs>
        <w:ind w:left="266" w:hanging="266"/>
        <w:rPr>
          <w:b/>
        </w:rPr>
      </w:pPr>
      <w:r w:rsidRPr="00AA49B1">
        <w:rPr>
          <w:b/>
        </w:rPr>
        <w:t>Hlavní body</w:t>
      </w:r>
    </w:p>
    <w:p w14:paraId="278276DB" w14:textId="77777777" w:rsidR="00913119" w:rsidRPr="00AA49B1" w:rsidRDefault="00913119" w:rsidP="00913119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531671F2" w14:textId="41D1568A" w:rsidR="00913119" w:rsidRPr="00AA49B1" w:rsidRDefault="00913119" w:rsidP="00913119">
      <w:pPr>
        <w:rPr>
          <w:bCs/>
          <w:iCs/>
        </w:rPr>
      </w:pPr>
      <w:r w:rsidRPr="00AA49B1">
        <w:t>EHSV se rozhodl zaujmout</w:t>
      </w:r>
      <w:r w:rsidR="006A1DF9">
        <w:t xml:space="preserve"> k </w:t>
      </w:r>
      <w:r w:rsidRPr="00AA49B1">
        <w:t>navrhovanému znění příznivé stanovisko.</w:t>
      </w:r>
    </w:p>
    <w:p w14:paraId="1F1E2835" w14:textId="77777777" w:rsidR="00913119" w:rsidRPr="00AA49B1" w:rsidRDefault="00913119" w:rsidP="00913119">
      <w:pPr>
        <w:rPr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562"/>
      </w:tblGrid>
      <w:tr w:rsidR="00913119" w:rsidRPr="00913119" w14:paraId="5C1B3279" w14:textId="77777777" w:rsidTr="00510D14">
        <w:tc>
          <w:tcPr>
            <w:tcW w:w="1526" w:type="dxa"/>
          </w:tcPr>
          <w:p w14:paraId="62F9442E" w14:textId="77777777" w:rsidR="00913119" w:rsidRPr="00913119" w:rsidRDefault="00913119" w:rsidP="00510D14">
            <w:pPr>
              <w:rPr>
                <w:i/>
                <w:sz w:val="20"/>
                <w:szCs w:val="20"/>
              </w:rPr>
            </w:pPr>
            <w:r w:rsidRPr="00913119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5562" w:type="dxa"/>
          </w:tcPr>
          <w:p w14:paraId="0FB98B21" w14:textId="77777777" w:rsidR="00913119" w:rsidRPr="00913119" w:rsidRDefault="00913119" w:rsidP="00510D14">
            <w:pPr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Alice Tétu</w:t>
            </w:r>
          </w:p>
        </w:tc>
      </w:tr>
      <w:tr w:rsidR="00913119" w:rsidRPr="00913119" w14:paraId="62057FD7" w14:textId="77777777" w:rsidTr="00510D14">
        <w:tc>
          <w:tcPr>
            <w:tcW w:w="1526" w:type="dxa"/>
          </w:tcPr>
          <w:p w14:paraId="1A6C42B9" w14:textId="77777777" w:rsidR="00913119" w:rsidRPr="00913119" w:rsidRDefault="00913119" w:rsidP="00510D14">
            <w:pPr>
              <w:jc w:val="right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5562" w:type="dxa"/>
          </w:tcPr>
          <w:p w14:paraId="464862DD" w14:textId="77777777" w:rsidR="00913119" w:rsidRPr="00913119" w:rsidRDefault="00913119" w:rsidP="00510D14">
            <w:pPr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+ 32 25468286</w:t>
            </w:r>
          </w:p>
        </w:tc>
      </w:tr>
      <w:tr w:rsidR="00913119" w:rsidRPr="00913119" w14:paraId="6615A4C0" w14:textId="77777777" w:rsidTr="00510D14">
        <w:tc>
          <w:tcPr>
            <w:tcW w:w="1526" w:type="dxa"/>
          </w:tcPr>
          <w:p w14:paraId="080646DB" w14:textId="77777777" w:rsidR="00913119" w:rsidRPr="00913119" w:rsidRDefault="00913119" w:rsidP="00510D14">
            <w:pPr>
              <w:jc w:val="right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5562" w:type="dxa"/>
          </w:tcPr>
          <w:p w14:paraId="73D8FAAD" w14:textId="77777777" w:rsidR="00913119" w:rsidRPr="00913119" w:rsidRDefault="00913119" w:rsidP="00510D14">
            <w:pPr>
              <w:rPr>
                <w:i/>
                <w:sz w:val="20"/>
                <w:szCs w:val="20"/>
              </w:rPr>
            </w:pPr>
            <w:hyperlink r:id="rId24" w:history="1">
              <w:r w:rsidRPr="00913119">
                <w:rPr>
                  <w:rStyle w:val="Hyperlink"/>
                  <w:i/>
                  <w:sz w:val="20"/>
                  <w:szCs w:val="20"/>
                </w:rPr>
                <w:t>Alice.Tetu@eesc.europa.eu</w:t>
              </w:r>
            </w:hyperlink>
          </w:p>
        </w:tc>
      </w:tr>
    </w:tbl>
    <w:p w14:paraId="7C08FFF5" w14:textId="77777777" w:rsidR="00EE160A" w:rsidRDefault="00EE160A" w:rsidP="00EE160A">
      <w:pPr>
        <w:jc w:val="left"/>
      </w:pPr>
    </w:p>
    <w:p w14:paraId="4982DE1C" w14:textId="3CD6FBC7" w:rsidR="0084417F" w:rsidRDefault="0084417F" w:rsidP="000D43E1">
      <w:pPr>
        <w:jc w:val="left"/>
      </w:pPr>
    </w:p>
    <w:p w14:paraId="2343D6CF" w14:textId="77777777" w:rsidR="00913119" w:rsidRPr="0003586F" w:rsidRDefault="00913119" w:rsidP="00E83B88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hyperlink r:id="rId25" w:history="1">
        <w:r>
          <w:rPr>
            <w:rStyle w:val="Hyperlink"/>
            <w:b/>
            <w:i/>
            <w:sz w:val="28"/>
          </w:rPr>
          <w:t>Subjekty sociální ekonomiky / pravidla státní podpory</w:t>
        </w:r>
      </w:hyperlink>
    </w:p>
    <w:p w14:paraId="7C9499F6" w14:textId="77777777" w:rsidR="00913119" w:rsidRPr="0015733B" w:rsidRDefault="00913119" w:rsidP="00913119">
      <w:pPr>
        <w:tabs>
          <w:tab w:val="center" w:pos="284"/>
        </w:tabs>
        <w:ind w:left="266" w:hanging="266"/>
        <w:rPr>
          <w:b/>
          <w:sz w:val="16"/>
          <w:szCs w:val="16"/>
        </w:rPr>
      </w:pPr>
    </w:p>
    <w:tbl>
      <w:tblPr>
        <w:tblStyle w:val="TableGrid"/>
        <w:tblW w:w="46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8"/>
        <w:gridCol w:w="5944"/>
      </w:tblGrid>
      <w:tr w:rsidR="00913119" w:rsidRPr="00913119" w14:paraId="3FCC246E" w14:textId="77777777" w:rsidTr="00510D14">
        <w:trPr>
          <w:trHeight w:val="290"/>
        </w:trPr>
        <w:tc>
          <w:tcPr>
            <w:tcW w:w="1467" w:type="pct"/>
          </w:tcPr>
          <w:p w14:paraId="6BE37F9B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913119">
              <w:rPr>
                <w:b/>
                <w:sz w:val="20"/>
                <w:szCs w:val="20"/>
              </w:rPr>
              <w:t>Zpravodaj</w:t>
            </w:r>
          </w:p>
        </w:tc>
        <w:tc>
          <w:tcPr>
            <w:tcW w:w="3533" w:type="pct"/>
          </w:tcPr>
          <w:p w14:paraId="11A34649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jc w:val="left"/>
              <w:rPr>
                <w:bCs/>
                <w:sz w:val="20"/>
                <w:szCs w:val="20"/>
              </w:rPr>
            </w:pPr>
            <w:r w:rsidRPr="00913119">
              <w:rPr>
                <w:sz w:val="20"/>
                <w:szCs w:val="20"/>
              </w:rPr>
              <w:t>Giuseppe GUERINI (Organizace občanské společnosti – IT)</w:t>
            </w:r>
          </w:p>
        </w:tc>
      </w:tr>
      <w:tr w:rsidR="00913119" w:rsidRPr="00913119" w14:paraId="7642B230" w14:textId="77777777" w:rsidTr="00510D14">
        <w:trPr>
          <w:trHeight w:val="165"/>
        </w:trPr>
        <w:tc>
          <w:tcPr>
            <w:tcW w:w="5000" w:type="pct"/>
            <w:gridSpan w:val="2"/>
          </w:tcPr>
          <w:p w14:paraId="159E557F" w14:textId="77777777" w:rsidR="00913119" w:rsidRPr="00913119" w:rsidRDefault="00913119" w:rsidP="00510D14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  <w:tr w:rsidR="00913119" w:rsidRPr="00913119" w14:paraId="655B53CB" w14:textId="77777777" w:rsidTr="00510D14">
        <w:trPr>
          <w:trHeight w:val="623"/>
        </w:trPr>
        <w:tc>
          <w:tcPr>
            <w:tcW w:w="1467" w:type="pct"/>
            <w:vMerge w:val="restart"/>
          </w:tcPr>
          <w:p w14:paraId="77BADF75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913119">
              <w:rPr>
                <w:b/>
                <w:sz w:val="20"/>
                <w:szCs w:val="20"/>
              </w:rPr>
              <w:t>Odkaz</w:t>
            </w:r>
          </w:p>
        </w:tc>
        <w:tc>
          <w:tcPr>
            <w:tcW w:w="3533" w:type="pct"/>
          </w:tcPr>
          <w:p w14:paraId="571B8DCE" w14:textId="1516E70C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913119">
              <w:rPr>
                <w:sz w:val="20"/>
                <w:szCs w:val="20"/>
              </w:rPr>
              <w:t>stanovisko</w:t>
            </w:r>
            <w:r w:rsidR="006A1DF9">
              <w:rPr>
                <w:sz w:val="20"/>
                <w:szCs w:val="20"/>
              </w:rPr>
              <w:t xml:space="preserve"> z </w:t>
            </w:r>
            <w:r w:rsidRPr="00913119">
              <w:rPr>
                <w:sz w:val="20"/>
                <w:szCs w:val="20"/>
              </w:rPr>
              <w:t>vlastní iniciativy</w:t>
            </w:r>
          </w:p>
          <w:p w14:paraId="571BECE1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913119">
              <w:rPr>
                <w:sz w:val="20"/>
                <w:szCs w:val="20"/>
              </w:rPr>
              <w:t>EESC-2024-03043-00-00-AC</w:t>
            </w:r>
          </w:p>
        </w:tc>
      </w:tr>
      <w:tr w:rsidR="00913119" w:rsidRPr="00913119" w14:paraId="184B6053" w14:textId="77777777" w:rsidTr="00510D14">
        <w:trPr>
          <w:trHeight w:val="146"/>
        </w:trPr>
        <w:tc>
          <w:tcPr>
            <w:tcW w:w="1467" w:type="pct"/>
            <w:vMerge/>
          </w:tcPr>
          <w:p w14:paraId="7BAA8DB3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33" w:type="pct"/>
          </w:tcPr>
          <w:p w14:paraId="590B0F00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</w:tbl>
    <w:p w14:paraId="1EBB0428" w14:textId="77777777" w:rsidR="00913119" w:rsidRPr="00A6689B" w:rsidRDefault="00913119" w:rsidP="00913119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079B2842" w14:textId="77777777" w:rsidR="00913119" w:rsidRPr="0015733B" w:rsidRDefault="00913119" w:rsidP="00913119">
      <w:pPr>
        <w:keepNext/>
        <w:keepLines/>
        <w:tabs>
          <w:tab w:val="center" w:pos="284"/>
        </w:tabs>
        <w:ind w:left="266" w:hanging="266"/>
        <w:rPr>
          <w:b/>
          <w:sz w:val="16"/>
          <w:szCs w:val="16"/>
        </w:rPr>
      </w:pPr>
    </w:p>
    <w:p w14:paraId="66642884" w14:textId="77777777" w:rsidR="00913119" w:rsidRPr="00A6689B" w:rsidRDefault="00913119" w:rsidP="00913119">
      <w:pPr>
        <w:rPr>
          <w:bCs/>
          <w:iCs/>
        </w:rPr>
      </w:pPr>
      <w:r>
        <w:t>EHSV:</w:t>
      </w:r>
    </w:p>
    <w:p w14:paraId="2B73472A" w14:textId="77777777" w:rsidR="00913119" w:rsidRPr="0015733B" w:rsidRDefault="00913119" w:rsidP="00913119">
      <w:pPr>
        <w:rPr>
          <w:bCs/>
          <w:iCs/>
          <w:sz w:val="16"/>
          <w:szCs w:val="16"/>
        </w:rPr>
      </w:pPr>
    </w:p>
    <w:p w14:paraId="007DEFBA" w14:textId="1B0F2A7C" w:rsidR="00913119" w:rsidRPr="00343FCF" w:rsidRDefault="00913119" w:rsidP="00E83B88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upozorňuje, že značné veřejné dotace pro subjekty sociální ekonomiky, které často přebírají funkce, jež dříve zastával stát, musí být</w:t>
      </w:r>
      <w:r w:rsidR="006A1DF9">
        <w:t xml:space="preserve"> v </w:t>
      </w:r>
      <w:r>
        <w:t>souladu</w:t>
      </w:r>
      <w:r w:rsidR="006A1DF9">
        <w:t xml:space="preserve"> s </w:t>
      </w:r>
      <w:r>
        <w:t>evropskými pravidly státní podpory;</w:t>
      </w:r>
    </w:p>
    <w:p w14:paraId="7A626166" w14:textId="77777777" w:rsidR="00913119" w:rsidRPr="00343FCF" w:rsidRDefault="00913119" w:rsidP="001368C7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připomíná význam subjektů sociální ekonomiky při zajišťování konkrétních reakcí na sociální potřeby evropských občanů;</w:t>
      </w:r>
    </w:p>
    <w:p w14:paraId="2B3F740D" w14:textId="58134850" w:rsidR="00913119" w:rsidRPr="00343FCF" w:rsidRDefault="00913119" w:rsidP="001368C7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podotýká, že činnosti subjektů sociální ekonomiky mají</w:t>
      </w:r>
      <w:r w:rsidR="006A1DF9">
        <w:t xml:space="preserve"> v </w:t>
      </w:r>
      <w:r>
        <w:t>mnoha případech solidární povahu</w:t>
      </w:r>
      <w:r w:rsidR="006A1DF9">
        <w:t xml:space="preserve"> a </w:t>
      </w:r>
      <w:r>
        <w:t>nespadají do rámce hospodářských aktivit. Zároveň je</w:t>
      </w:r>
      <w:r w:rsidR="006A1DF9">
        <w:t xml:space="preserve"> v </w:t>
      </w:r>
      <w:r>
        <w:t>mnoha případech přeshraniční charakter činností těchto subjektů</w:t>
      </w:r>
      <w:r w:rsidR="006A1DF9">
        <w:t xml:space="preserve"> v </w:t>
      </w:r>
      <w:r>
        <w:t>sociální</w:t>
      </w:r>
      <w:r w:rsidR="006A1DF9">
        <w:t xml:space="preserve"> a </w:t>
      </w:r>
      <w:r>
        <w:t>zdravotní oblasti tak zanedbatelný</w:t>
      </w:r>
      <w:r w:rsidR="006A1DF9">
        <w:t xml:space="preserve"> a </w:t>
      </w:r>
      <w:r>
        <w:t>nevýrazný, že nijak zásadně nenarušuje hospodářskou soutěž mezi členskými státy;</w:t>
      </w:r>
    </w:p>
    <w:p w14:paraId="3C53EE9D" w14:textId="3E55F4D0" w:rsidR="00913119" w:rsidRPr="00C439A8" w:rsidRDefault="00913119" w:rsidP="001368C7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domnívá se, že je třeba posílit</w:t>
      </w:r>
      <w:r w:rsidR="006A1DF9">
        <w:t xml:space="preserve"> a </w:t>
      </w:r>
      <w:r>
        <w:t>zjednodušit pravidla poskytování podpory na nábor znevýhodněných pracovníků nebo pracovníků se zdravotním postižením stanovené</w:t>
      </w:r>
      <w:r w:rsidR="006A1DF9">
        <w:t xml:space="preserve"> v </w:t>
      </w:r>
      <w:r>
        <w:t>nařízení</w:t>
      </w:r>
      <w:r w:rsidR="006A1DF9">
        <w:t xml:space="preserve"> o </w:t>
      </w:r>
      <w:r>
        <w:t>blokových výjimkách;</w:t>
      </w:r>
    </w:p>
    <w:p w14:paraId="7AF5D958" w14:textId="6A0D402A" w:rsidR="00913119" w:rsidRPr="00343FCF" w:rsidRDefault="00913119" w:rsidP="001368C7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vítá další návrh</w:t>
      </w:r>
      <w:r w:rsidR="006A1DF9">
        <w:t xml:space="preserve"> z </w:t>
      </w:r>
      <w:r>
        <w:t>Lettovy zprávy, který se týká nezbytné změny stávajícího právního rámce státních podpor tak, aby byl podpořen lepší přístup podniků sociální ekonomiky</w:t>
      </w:r>
      <w:r w:rsidR="006A1DF9">
        <w:t xml:space="preserve"> k </w:t>
      </w:r>
      <w:r>
        <w:t>úvěrům</w:t>
      </w:r>
      <w:r w:rsidR="006A1DF9">
        <w:t xml:space="preserve"> a </w:t>
      </w:r>
      <w:r>
        <w:t>financování;</w:t>
      </w:r>
    </w:p>
    <w:p w14:paraId="449FFCC7" w14:textId="77777777" w:rsidR="00913119" w:rsidRPr="00C439A8" w:rsidRDefault="00913119" w:rsidP="001368C7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konstatuje, že veřejné orgány dostatečně nevyužívají právní rámec podpory služeb obecného hospodářského zájmu;</w:t>
      </w:r>
    </w:p>
    <w:p w14:paraId="48B14937" w14:textId="1AFCDB6B" w:rsidR="00913119" w:rsidRPr="00C439A8" w:rsidRDefault="00913119" w:rsidP="001368C7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s potěšením vítá politické směry pro příští Evropskou komisi, zejména následující záměr: </w:t>
      </w:r>
      <w:r>
        <w:lastRenderedPageBreak/>
        <w:t>„Zrevidujeme také naše pravidla státní podpory</w:t>
      </w:r>
      <w:r w:rsidR="006A1DF9">
        <w:t xml:space="preserve"> s </w:t>
      </w:r>
      <w:r>
        <w:t>cílem umožnit opatření na podporu bydlení, zejména pro dostupné energeticky účinné</w:t>
      </w:r>
      <w:r w:rsidR="006A1DF9">
        <w:t xml:space="preserve"> a </w:t>
      </w:r>
      <w:r>
        <w:t>sociální bydlení.“;</w:t>
      </w:r>
    </w:p>
    <w:p w14:paraId="5452A489" w14:textId="1B34BC2E" w:rsidR="00913119" w:rsidRDefault="00913119" w:rsidP="001368C7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vyzývá Evropskou komisi, aby pokračovala ve svém závazku provádět akční plán pro sociální ekonomiku, který byl přijat</w:t>
      </w:r>
      <w:r w:rsidR="006A1DF9">
        <w:t xml:space="preserve"> v </w:t>
      </w:r>
      <w:r>
        <w:t>rámci Lutyšského plánu pro sociální ekonomiku</w:t>
      </w:r>
      <w:r w:rsidR="006A1DF9">
        <w:t xml:space="preserve"> v </w:t>
      </w:r>
      <w:r>
        <w:t>Evropské unii (</w:t>
      </w:r>
      <w:r>
        <w:rPr>
          <w:i/>
          <w:iCs/>
        </w:rPr>
        <w:t>Liège Roadmap for Social Economy in the European Union</w:t>
      </w:r>
      <w:r>
        <w:t>),</w:t>
      </w:r>
      <w:r w:rsidR="006A1DF9">
        <w:t xml:space="preserve"> a </w:t>
      </w:r>
      <w:r>
        <w:t>aby jednoho</w:t>
      </w:r>
      <w:r w:rsidR="006A1DF9">
        <w:t xml:space="preserve"> z </w:t>
      </w:r>
      <w:r>
        <w:t>členů nového sboru komisařů pověřila zvláštním úkolem koordinovat jeho provádění.</w:t>
      </w:r>
    </w:p>
    <w:p w14:paraId="017F08A5" w14:textId="77777777" w:rsidR="00913119" w:rsidRPr="00913119" w:rsidRDefault="00913119" w:rsidP="00913119">
      <w:pPr>
        <w:widowControl w:val="0"/>
        <w:ind w:left="709"/>
        <w:rPr>
          <w:bCs/>
          <w:iCs/>
          <w:sz w:val="14"/>
          <w:szCs w:val="14"/>
        </w:rPr>
      </w:pPr>
    </w:p>
    <w:tbl>
      <w:tblPr>
        <w:tblStyle w:val="TableGrid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5"/>
      </w:tblGrid>
      <w:tr w:rsidR="00913119" w:rsidRPr="00913119" w14:paraId="12D586A7" w14:textId="77777777" w:rsidTr="00510D14">
        <w:tc>
          <w:tcPr>
            <w:tcW w:w="1556" w:type="pct"/>
          </w:tcPr>
          <w:p w14:paraId="017B5280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444" w:type="pct"/>
          </w:tcPr>
          <w:p w14:paraId="7318A096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Annalisa Tessarolo</w:t>
            </w:r>
          </w:p>
        </w:tc>
      </w:tr>
      <w:tr w:rsidR="00913119" w:rsidRPr="00913119" w14:paraId="22A5253E" w14:textId="77777777" w:rsidTr="00510D14">
        <w:tc>
          <w:tcPr>
            <w:tcW w:w="1556" w:type="pct"/>
          </w:tcPr>
          <w:p w14:paraId="249B6C0B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444" w:type="pct"/>
          </w:tcPr>
          <w:p w14:paraId="798C9E63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+32 25469732</w:t>
            </w:r>
          </w:p>
        </w:tc>
      </w:tr>
      <w:tr w:rsidR="00913119" w:rsidRPr="00913119" w14:paraId="32E88C49" w14:textId="77777777" w:rsidTr="00510D14">
        <w:tc>
          <w:tcPr>
            <w:tcW w:w="1556" w:type="pct"/>
          </w:tcPr>
          <w:p w14:paraId="349276F1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444" w:type="pct"/>
          </w:tcPr>
          <w:p w14:paraId="71E9D6F6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hyperlink r:id="rId26" w:history="1">
              <w:r w:rsidRPr="00913119">
                <w:rPr>
                  <w:rStyle w:val="Hyperlink"/>
                  <w:i/>
                  <w:sz w:val="20"/>
                  <w:szCs w:val="20"/>
                </w:rPr>
                <w:t>Annalisa.Tessarolo@eesc.europa.eu</w:t>
              </w:r>
            </w:hyperlink>
          </w:p>
        </w:tc>
      </w:tr>
    </w:tbl>
    <w:p w14:paraId="1E5A9C2C" w14:textId="77777777" w:rsidR="00913119" w:rsidRDefault="00913119" w:rsidP="00913119">
      <w:pPr>
        <w:jc w:val="center"/>
      </w:pPr>
    </w:p>
    <w:p w14:paraId="79E24043" w14:textId="77C83B07" w:rsidR="00EE160A" w:rsidRDefault="00EE160A">
      <w:pPr>
        <w:pStyle w:val="ListParagraph"/>
        <w:ind w:left="0"/>
        <w:rPr>
          <w:lang w:val="en-GB"/>
        </w:rPr>
      </w:pPr>
    </w:p>
    <w:p w14:paraId="17B1907E" w14:textId="7366E1EB" w:rsidR="001368C7" w:rsidRDefault="00913119" w:rsidP="001368C7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Style w:val="Hyperlink"/>
          <w:b/>
        </w:rPr>
      </w:pPr>
      <w:hyperlink r:id="rId27" w:tgtFrame="_blank" w:history="1">
        <w:r>
          <w:rPr>
            <w:rStyle w:val="Hyperlink"/>
            <w:b/>
            <w:i/>
            <w:sz w:val="28"/>
          </w:rPr>
          <w:t>Politika hospodářské soutěže jakožto základ konkurenceschopnosti EU</w:t>
        </w:r>
      </w:hyperlink>
    </w:p>
    <w:p w14:paraId="75EDE365" w14:textId="77777777" w:rsidR="00913119" w:rsidRPr="005E4210" w:rsidRDefault="00913119" w:rsidP="00913119">
      <w:pPr>
        <w:widowControl w:val="0"/>
        <w:ind w:left="266"/>
        <w:rPr>
          <w:b/>
        </w:rPr>
      </w:pPr>
    </w:p>
    <w:tbl>
      <w:tblPr>
        <w:tblStyle w:val="TableGrid"/>
        <w:tblW w:w="47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662"/>
      </w:tblGrid>
      <w:tr w:rsidR="00913119" w:rsidRPr="00913119" w14:paraId="6C063B58" w14:textId="77777777" w:rsidTr="00510D14">
        <w:tc>
          <w:tcPr>
            <w:tcW w:w="1148" w:type="pct"/>
          </w:tcPr>
          <w:p w14:paraId="4239836A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913119">
              <w:rPr>
                <w:b/>
                <w:sz w:val="20"/>
                <w:szCs w:val="20"/>
              </w:rPr>
              <w:t>Zpravodajka</w:t>
            </w:r>
          </w:p>
        </w:tc>
        <w:tc>
          <w:tcPr>
            <w:tcW w:w="3852" w:type="pct"/>
          </w:tcPr>
          <w:p w14:paraId="33735EBD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913119">
              <w:rPr>
                <w:sz w:val="20"/>
                <w:szCs w:val="20"/>
              </w:rPr>
              <w:t>Isabel YGLESIAS (Zaměstnavatelé – ES)</w:t>
            </w:r>
          </w:p>
        </w:tc>
      </w:tr>
      <w:tr w:rsidR="00913119" w:rsidRPr="00913119" w14:paraId="4436033C" w14:textId="77777777" w:rsidTr="00510D14">
        <w:tc>
          <w:tcPr>
            <w:tcW w:w="5000" w:type="pct"/>
            <w:gridSpan w:val="2"/>
          </w:tcPr>
          <w:p w14:paraId="461F9222" w14:textId="77777777" w:rsidR="00913119" w:rsidRPr="00913119" w:rsidRDefault="00913119" w:rsidP="00510D14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  <w:tr w:rsidR="00913119" w:rsidRPr="00913119" w14:paraId="36A9E39E" w14:textId="77777777" w:rsidTr="00510D14">
        <w:tc>
          <w:tcPr>
            <w:tcW w:w="1148" w:type="pct"/>
            <w:vMerge w:val="restart"/>
          </w:tcPr>
          <w:p w14:paraId="6726E950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913119">
              <w:rPr>
                <w:b/>
                <w:sz w:val="20"/>
                <w:szCs w:val="20"/>
              </w:rPr>
              <w:t>Odkaz</w:t>
            </w:r>
          </w:p>
        </w:tc>
        <w:tc>
          <w:tcPr>
            <w:tcW w:w="3852" w:type="pct"/>
          </w:tcPr>
          <w:p w14:paraId="5AD19E11" w14:textId="6A154A2D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913119">
              <w:rPr>
                <w:sz w:val="20"/>
                <w:szCs w:val="20"/>
              </w:rPr>
              <w:t>stanovisko</w:t>
            </w:r>
            <w:r w:rsidR="006A1DF9">
              <w:rPr>
                <w:sz w:val="20"/>
                <w:szCs w:val="20"/>
              </w:rPr>
              <w:t xml:space="preserve"> z </w:t>
            </w:r>
            <w:r w:rsidRPr="00913119">
              <w:rPr>
                <w:sz w:val="20"/>
                <w:szCs w:val="20"/>
              </w:rPr>
              <w:t>vlastní iniciativy</w:t>
            </w:r>
          </w:p>
        </w:tc>
      </w:tr>
      <w:tr w:rsidR="00913119" w:rsidRPr="00913119" w14:paraId="7514078C" w14:textId="77777777" w:rsidTr="00510D14">
        <w:tc>
          <w:tcPr>
            <w:tcW w:w="1148" w:type="pct"/>
            <w:vMerge/>
          </w:tcPr>
          <w:p w14:paraId="2E8DFE64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52" w:type="pct"/>
          </w:tcPr>
          <w:p w14:paraId="1864FB93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913119">
              <w:rPr>
                <w:sz w:val="20"/>
                <w:szCs w:val="20"/>
              </w:rPr>
              <w:t>EESC-2024-01027-00-00-AC</w:t>
            </w:r>
          </w:p>
        </w:tc>
      </w:tr>
    </w:tbl>
    <w:p w14:paraId="25E7D529" w14:textId="77777777" w:rsidR="001368C7" w:rsidRPr="00A6689B" w:rsidRDefault="001368C7" w:rsidP="00913119">
      <w:pPr>
        <w:tabs>
          <w:tab w:val="center" w:pos="284"/>
        </w:tabs>
        <w:ind w:left="266" w:hanging="266"/>
      </w:pPr>
    </w:p>
    <w:p w14:paraId="6EED1862" w14:textId="77777777" w:rsidR="00913119" w:rsidRPr="00A6689B" w:rsidRDefault="00913119" w:rsidP="00913119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Hlavní body</w:t>
      </w:r>
    </w:p>
    <w:p w14:paraId="18CD6509" w14:textId="77777777" w:rsidR="00913119" w:rsidRPr="00A6689B" w:rsidRDefault="00913119" w:rsidP="00913119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1AA9C072" w14:textId="77777777" w:rsidR="00913119" w:rsidRPr="00A6689B" w:rsidRDefault="00913119" w:rsidP="00913119">
      <w:pPr>
        <w:rPr>
          <w:bCs/>
          <w:iCs/>
        </w:rPr>
      </w:pPr>
      <w:r>
        <w:t>EHSV:</w:t>
      </w:r>
    </w:p>
    <w:p w14:paraId="7D489566" w14:textId="60644DDF" w:rsidR="00913119" w:rsidRPr="000B7B8D" w:rsidRDefault="00913119" w:rsidP="001368C7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upozorňuje, že podniky</w:t>
      </w:r>
      <w:r w:rsidR="006A1DF9">
        <w:t xml:space="preserve"> v </w:t>
      </w:r>
      <w:r>
        <w:t>EU lze</w:t>
      </w:r>
      <w:r w:rsidR="006A1DF9">
        <w:t xml:space="preserve"> v </w:t>
      </w:r>
      <w:r>
        <w:t>jejich úsilí</w:t>
      </w:r>
      <w:r w:rsidR="006A1DF9">
        <w:t xml:space="preserve"> o </w:t>
      </w:r>
      <w:r>
        <w:t xml:space="preserve">transformaci spolehlivě podpořit </w:t>
      </w:r>
      <w:r w:rsidRPr="001368C7">
        <w:rPr>
          <w:b/>
        </w:rPr>
        <w:t>státní podporou</w:t>
      </w:r>
      <w:r>
        <w:t>,</w:t>
      </w:r>
      <w:r w:rsidR="006A1DF9">
        <w:t xml:space="preserve"> a </w:t>
      </w:r>
      <w:r>
        <w:t>mobilizovat tak obrovské investice potřebné</w:t>
      </w:r>
      <w:r w:rsidR="006A1DF9">
        <w:t xml:space="preserve"> k </w:t>
      </w:r>
      <w:r>
        <w:t xml:space="preserve">dosažení tohoto společného cíle. Aby se zabránilo negativnímu dopadu rozptýlení státní podpory mezi členskými státy na konkurenceschopnost EU, je nezbytné zajistit, aby byla </w:t>
      </w:r>
      <w:r w:rsidRPr="001368C7">
        <w:rPr>
          <w:b/>
        </w:rPr>
        <w:t>veřejná podpora využívána co nejefektivněji, čímž se umocní vedlejší účinky</w:t>
      </w:r>
      <w:r w:rsidR="006A1DF9">
        <w:rPr>
          <w:b/>
        </w:rPr>
        <w:t xml:space="preserve"> a </w:t>
      </w:r>
      <w:r w:rsidRPr="001368C7">
        <w:rPr>
          <w:b/>
        </w:rPr>
        <w:t>posílí evropské hodnotové řetězce</w:t>
      </w:r>
      <w:r>
        <w:t>;</w:t>
      </w:r>
    </w:p>
    <w:p w14:paraId="64986EE7" w14:textId="2C00EEA3" w:rsidR="00913119" w:rsidRPr="000B7B8D" w:rsidRDefault="00913119" w:rsidP="001368C7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zdůrazňuje, že </w:t>
      </w:r>
      <w:r w:rsidRPr="001368C7">
        <w:rPr>
          <w:b/>
        </w:rPr>
        <w:t>posuzování fúzí by se mohlo změnit tak, aby při něm byla lépe zohledněna zvláštní povaha trhů</w:t>
      </w:r>
      <w:r>
        <w:t>, na kterých hrají stěžejní úlohu investice do infrastruktury, inovace nebo udržitelnost. Kromě toho by mělo být nalezeno řešení, které by umožnilo kontrolovat fúze motivované inovacemi, na něž se</w:t>
      </w:r>
      <w:r w:rsidR="006A1DF9">
        <w:t xml:space="preserve"> v </w:t>
      </w:r>
      <w:r>
        <w:t>současné době nevztahují prahové hodnoty stanovené</w:t>
      </w:r>
      <w:r w:rsidR="006A1DF9">
        <w:t xml:space="preserve"> v </w:t>
      </w:r>
      <w:r>
        <w:t>nařízení Komise</w:t>
      </w:r>
      <w:r w:rsidR="006A1DF9">
        <w:t xml:space="preserve"> o </w:t>
      </w:r>
      <w:r>
        <w:t>spojování podniků. Fúze by se nikdy neměly využívat</w:t>
      </w:r>
      <w:r w:rsidR="006A1DF9">
        <w:t xml:space="preserve"> k </w:t>
      </w:r>
      <w:r>
        <w:t>ochraně národních zájmů</w:t>
      </w:r>
      <w:r w:rsidR="006A1DF9">
        <w:t xml:space="preserve"> a </w:t>
      </w:r>
      <w:r>
        <w:t>při analýze fúzí by měly být zohledněny názory všech zúčastněných stran;</w:t>
      </w:r>
    </w:p>
    <w:p w14:paraId="46E36FB4" w14:textId="41AD33AD" w:rsidR="00913119" w:rsidRPr="000B7B8D" w:rsidRDefault="00913119" w:rsidP="001368C7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doporučuje, aby byl při přezkumu pravidel týkajících se </w:t>
      </w:r>
      <w:r w:rsidRPr="001368C7">
        <w:rPr>
          <w:b/>
        </w:rPr>
        <w:t>významných projektů společného evropského zájmu</w:t>
      </w:r>
      <w:r>
        <w:t xml:space="preserve"> vytvořen nástroj založený na </w:t>
      </w:r>
      <w:r w:rsidRPr="001368C7">
        <w:rPr>
          <w:b/>
        </w:rPr>
        <w:t>skutečně evropském přístupu</w:t>
      </w:r>
      <w:r>
        <w:t>, díky němuž přinesou tyto nástroje opravdovou změnu. Stejně tak</w:t>
      </w:r>
      <w:r w:rsidR="006A1DF9">
        <w:t xml:space="preserve"> i </w:t>
      </w:r>
      <w:r>
        <w:t>při navrhování</w:t>
      </w:r>
      <w:r w:rsidR="006A1DF9">
        <w:t xml:space="preserve"> a </w:t>
      </w:r>
      <w:r>
        <w:t>využívání Evropského fondu pro konkurenceschopnost je třeba mít na paměti evropskou perspektivu;</w:t>
      </w:r>
    </w:p>
    <w:p w14:paraId="1E4139CA" w14:textId="0001D4F6" w:rsidR="00913119" w:rsidRDefault="00913119" w:rsidP="001368C7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podotýká, že</w:t>
      </w:r>
      <w:r w:rsidR="006A1DF9">
        <w:t xml:space="preserve"> k </w:t>
      </w:r>
      <w:r>
        <w:t>podniky potřebují mít přehled</w:t>
      </w:r>
      <w:r w:rsidR="006A1DF9">
        <w:t xml:space="preserve"> a </w:t>
      </w:r>
      <w:r>
        <w:t>právní jistotu. Zároveň</w:t>
      </w:r>
      <w:r w:rsidR="006A1DF9">
        <w:t xml:space="preserve"> s </w:t>
      </w:r>
      <w:r>
        <w:t>tím, jak se rozvíjejí nové přístupy</w:t>
      </w:r>
      <w:r w:rsidR="006A1DF9">
        <w:t xml:space="preserve"> k </w:t>
      </w:r>
      <w:r>
        <w:t xml:space="preserve">hospodářské soutěži, je třeba vynaložit další úsilí na </w:t>
      </w:r>
      <w:r w:rsidRPr="001368C7">
        <w:rPr>
          <w:b/>
        </w:rPr>
        <w:t>zefektivnění antimonopolních postupů, postupů týkajících se fúzí</w:t>
      </w:r>
      <w:r w:rsidR="006A1DF9">
        <w:rPr>
          <w:b/>
        </w:rPr>
        <w:t xml:space="preserve"> a </w:t>
      </w:r>
      <w:r w:rsidRPr="001368C7">
        <w:rPr>
          <w:b/>
        </w:rPr>
        <w:t>státní podpory</w:t>
      </w:r>
      <w:r w:rsidR="006A1DF9">
        <w:rPr>
          <w:b/>
        </w:rPr>
        <w:t xml:space="preserve"> a </w:t>
      </w:r>
      <w:r w:rsidRPr="001368C7">
        <w:rPr>
          <w:b/>
        </w:rPr>
        <w:t>vypracovat jasné pokyny</w:t>
      </w:r>
      <w:r>
        <w:t>. Je třeba upřednostnit přístup založený na využívání již existujících nástrojů</w:t>
      </w:r>
      <w:r w:rsidR="006A1DF9">
        <w:t xml:space="preserve"> k </w:t>
      </w:r>
      <w:r>
        <w:t>prohloubení jednotného trhu.</w:t>
      </w:r>
    </w:p>
    <w:p w14:paraId="4752B55A" w14:textId="77777777" w:rsidR="00913119" w:rsidRPr="00913119" w:rsidRDefault="00913119" w:rsidP="00913119">
      <w:pPr>
        <w:widowControl w:val="0"/>
        <w:ind w:left="567" w:hanging="567"/>
        <w:rPr>
          <w:sz w:val="20"/>
          <w:szCs w:val="20"/>
        </w:rPr>
      </w:pPr>
    </w:p>
    <w:tbl>
      <w:tblPr>
        <w:tblStyle w:val="TableGrid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5"/>
      </w:tblGrid>
      <w:tr w:rsidR="00913119" w:rsidRPr="00913119" w14:paraId="38C1D52D" w14:textId="77777777" w:rsidTr="00510D14">
        <w:tc>
          <w:tcPr>
            <w:tcW w:w="1556" w:type="pct"/>
          </w:tcPr>
          <w:p w14:paraId="4B0415A9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3444" w:type="pct"/>
          </w:tcPr>
          <w:p w14:paraId="76BFD7AC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Staffa Silvia</w:t>
            </w:r>
          </w:p>
        </w:tc>
      </w:tr>
      <w:tr w:rsidR="00913119" w:rsidRPr="00913119" w14:paraId="078FD254" w14:textId="77777777" w:rsidTr="00510D14">
        <w:tc>
          <w:tcPr>
            <w:tcW w:w="1556" w:type="pct"/>
          </w:tcPr>
          <w:p w14:paraId="7F1BE434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3444" w:type="pct"/>
          </w:tcPr>
          <w:p w14:paraId="6C0E9C51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+32 25468378</w:t>
            </w:r>
          </w:p>
        </w:tc>
      </w:tr>
      <w:tr w:rsidR="00913119" w:rsidRPr="00913119" w14:paraId="68E6C2EF" w14:textId="77777777" w:rsidTr="00510D14">
        <w:tc>
          <w:tcPr>
            <w:tcW w:w="1556" w:type="pct"/>
          </w:tcPr>
          <w:p w14:paraId="3384A095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3444" w:type="pct"/>
          </w:tcPr>
          <w:p w14:paraId="02113339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Silvia.Staffa@eesc.europa.eu</w:t>
            </w:r>
          </w:p>
        </w:tc>
      </w:tr>
    </w:tbl>
    <w:p w14:paraId="4982DE1E" w14:textId="427EDE1A" w:rsidR="009B04E2" w:rsidRDefault="009B04E2" w:rsidP="0060010D">
      <w:pPr>
        <w:jc w:val="left"/>
      </w:pPr>
      <w:r>
        <w:br w:type="page"/>
      </w:r>
    </w:p>
    <w:p w14:paraId="4982DE1F" w14:textId="77777777" w:rsidR="004D7AC0" w:rsidRDefault="004D7AC0" w:rsidP="0060010D">
      <w:pPr>
        <w:pStyle w:val="Heading1"/>
        <w:keepNext/>
        <w:keepLines/>
        <w:rPr>
          <w:b/>
        </w:rPr>
      </w:pPr>
      <w:bookmarkStart w:id="30" w:name="_Toc189059540"/>
      <w:bookmarkStart w:id="31" w:name="_Toc70322234"/>
      <w:bookmarkStart w:id="32" w:name="_Toc75527084"/>
      <w:bookmarkStart w:id="33" w:name="_Toc189577899"/>
      <w:bookmarkEnd w:id="30"/>
      <w:r>
        <w:rPr>
          <w:b/>
        </w:rPr>
        <w:lastRenderedPageBreak/>
        <w:t>ZEMĚDĚLSTVÍ, ROZVOJ VENKOVA, ŽIVOTNÍ PROSTŘEDÍ</w:t>
      </w:r>
      <w:bookmarkEnd w:id="31"/>
      <w:bookmarkEnd w:id="32"/>
      <w:bookmarkEnd w:id="33"/>
    </w:p>
    <w:p w14:paraId="4982DE20" w14:textId="77777777" w:rsidR="004D7AC0" w:rsidRDefault="004D7AC0" w:rsidP="0060010D">
      <w:pPr>
        <w:keepNext/>
        <w:keepLines/>
      </w:pPr>
    </w:p>
    <w:p w14:paraId="6FD9FD46" w14:textId="18DBC1A4" w:rsidR="00913119" w:rsidRPr="00270ECA" w:rsidRDefault="00913119" w:rsidP="00270ECA">
      <w:pPr>
        <w:pStyle w:val="ListParagraph"/>
        <w:widowControl w:val="0"/>
        <w:numPr>
          <w:ilvl w:val="0"/>
          <w:numId w:val="6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sz w:val="18"/>
          <w:szCs w:val="18"/>
        </w:rPr>
      </w:pPr>
      <w:hyperlink r:id="rId28" w:history="1">
        <w:r w:rsidRPr="00270ECA">
          <w:rPr>
            <w:rStyle w:val="Hyperlink"/>
            <w:b/>
            <w:i/>
            <w:sz w:val="28"/>
          </w:rPr>
          <w:t>Zachování populací ryb ve vztahu</w:t>
        </w:r>
        <w:r w:rsidR="006A1DF9">
          <w:rPr>
            <w:rStyle w:val="Hyperlink"/>
            <w:b/>
            <w:i/>
            <w:sz w:val="28"/>
          </w:rPr>
          <w:t xml:space="preserve"> k </w:t>
        </w:r>
        <w:r w:rsidRPr="00270ECA">
          <w:rPr>
            <w:rStyle w:val="Hyperlink"/>
            <w:b/>
            <w:i/>
            <w:sz w:val="28"/>
          </w:rPr>
          <w:t>zemím, které umožňují neudržitelný rybolov</w:t>
        </w:r>
      </w:hyperlink>
    </w:p>
    <w:p w14:paraId="18D660B7" w14:textId="77777777" w:rsidR="00913119" w:rsidRPr="00564E32" w:rsidRDefault="00913119" w:rsidP="00913119">
      <w:pPr>
        <w:widowControl w:val="0"/>
        <w:ind w:left="266"/>
        <w:rPr>
          <w:b/>
          <w:sz w:val="18"/>
          <w:szCs w:val="18"/>
        </w:rPr>
      </w:pPr>
    </w:p>
    <w:tbl>
      <w:tblPr>
        <w:tblStyle w:val="TableGrid"/>
        <w:tblW w:w="45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6746"/>
      </w:tblGrid>
      <w:tr w:rsidR="00913119" w:rsidRPr="00913119" w14:paraId="7D850CE4" w14:textId="77777777" w:rsidTr="0050230B">
        <w:trPr>
          <w:trHeight w:val="216"/>
        </w:trPr>
        <w:tc>
          <w:tcPr>
            <w:tcW w:w="924" w:type="pct"/>
          </w:tcPr>
          <w:p w14:paraId="734910BD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913119">
              <w:rPr>
                <w:b/>
                <w:sz w:val="20"/>
                <w:szCs w:val="20"/>
              </w:rPr>
              <w:t>Zpravodaj</w:t>
            </w:r>
          </w:p>
        </w:tc>
        <w:tc>
          <w:tcPr>
            <w:tcW w:w="4076" w:type="pct"/>
          </w:tcPr>
          <w:p w14:paraId="55140EB5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913119">
              <w:rPr>
                <w:sz w:val="20"/>
                <w:szCs w:val="20"/>
              </w:rPr>
              <w:t>Francisco Javier GARAT PÉREZ (Organizace občanské společnosti – ES)</w:t>
            </w:r>
          </w:p>
        </w:tc>
      </w:tr>
      <w:tr w:rsidR="00913119" w:rsidRPr="00913119" w14:paraId="4187C216" w14:textId="77777777" w:rsidTr="00510D14">
        <w:trPr>
          <w:trHeight w:val="301"/>
        </w:trPr>
        <w:tc>
          <w:tcPr>
            <w:tcW w:w="924" w:type="pct"/>
            <w:vMerge w:val="restart"/>
          </w:tcPr>
          <w:p w14:paraId="744C908B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913119">
              <w:rPr>
                <w:b/>
                <w:sz w:val="20"/>
                <w:szCs w:val="20"/>
              </w:rPr>
              <w:t>Odkazy</w:t>
            </w:r>
          </w:p>
        </w:tc>
        <w:tc>
          <w:tcPr>
            <w:tcW w:w="4076" w:type="pct"/>
          </w:tcPr>
          <w:p w14:paraId="38521F4E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913119">
              <w:rPr>
                <w:sz w:val="20"/>
                <w:szCs w:val="20"/>
              </w:rPr>
              <w:t>EESC-2024-04192-00-00-AC</w:t>
            </w:r>
          </w:p>
        </w:tc>
      </w:tr>
      <w:tr w:rsidR="00913119" w:rsidRPr="00913119" w14:paraId="06180779" w14:textId="77777777" w:rsidTr="00510D14">
        <w:trPr>
          <w:trHeight w:val="124"/>
        </w:trPr>
        <w:tc>
          <w:tcPr>
            <w:tcW w:w="924" w:type="pct"/>
            <w:vMerge/>
          </w:tcPr>
          <w:p w14:paraId="102D9C2A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076" w:type="pct"/>
          </w:tcPr>
          <w:p w14:paraId="40CCA663" w14:textId="77777777" w:rsidR="00913119" w:rsidRPr="00913119" w:rsidRDefault="00913119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</w:tbl>
    <w:p w14:paraId="62E368D3" w14:textId="77777777" w:rsidR="00913119" w:rsidRPr="00A6689B" w:rsidRDefault="00913119" w:rsidP="00913119">
      <w:pPr>
        <w:keepNext/>
        <w:keepLines/>
        <w:ind w:left="266" w:hanging="266"/>
        <w:rPr>
          <w:b/>
        </w:rPr>
      </w:pPr>
      <w:r>
        <w:rPr>
          <w:b/>
        </w:rPr>
        <w:t>Hlavní body</w:t>
      </w:r>
    </w:p>
    <w:p w14:paraId="49394583" w14:textId="77777777" w:rsidR="00913119" w:rsidRPr="00A521C7" w:rsidRDefault="00913119" w:rsidP="00913119">
      <w:pPr>
        <w:keepNext/>
        <w:keepLines/>
        <w:tabs>
          <w:tab w:val="center" w:pos="284"/>
        </w:tabs>
        <w:ind w:left="266" w:hanging="266"/>
        <w:rPr>
          <w:b/>
          <w:sz w:val="14"/>
          <w:szCs w:val="14"/>
        </w:rPr>
      </w:pPr>
    </w:p>
    <w:p w14:paraId="352C8AC8" w14:textId="77777777" w:rsidR="00913119" w:rsidRPr="00A6689B" w:rsidRDefault="00913119" w:rsidP="00913119">
      <w:pPr>
        <w:rPr>
          <w:bCs/>
          <w:iCs/>
        </w:rPr>
      </w:pPr>
      <w:r>
        <w:t>EHSV:</w:t>
      </w:r>
    </w:p>
    <w:p w14:paraId="08D4EC7B" w14:textId="77777777" w:rsidR="00913119" w:rsidRPr="00A521C7" w:rsidRDefault="00913119" w:rsidP="00913119">
      <w:pPr>
        <w:ind w:left="284" w:hanging="284"/>
        <w:rPr>
          <w:bCs/>
          <w:iCs/>
          <w:sz w:val="14"/>
          <w:szCs w:val="14"/>
        </w:rPr>
      </w:pPr>
    </w:p>
    <w:p w14:paraId="6B80EBA5" w14:textId="08D230B5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line="276" w:lineRule="auto"/>
        <w:ind w:left="567" w:hanging="567"/>
      </w:pPr>
      <w:r>
        <w:t>podporuje návrh Evropské komise na změnu nařízení (EU) č. 1026/2012, jehož cílem je předcházet neudržitelným rybolovným postupům</w:t>
      </w:r>
      <w:r w:rsidR="006A1DF9">
        <w:t xml:space="preserve"> a </w:t>
      </w:r>
      <w:r>
        <w:t>chránit rybolovné zájmy EU;</w:t>
      </w:r>
    </w:p>
    <w:p w14:paraId="4BDD054A" w14:textId="45920C10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line="276" w:lineRule="auto"/>
        <w:ind w:left="567" w:hanging="567"/>
      </w:pPr>
      <w:r>
        <w:t>vyzývá</w:t>
      </w:r>
      <w:r w:rsidR="006A1DF9">
        <w:t xml:space="preserve"> k </w:t>
      </w:r>
      <w:r>
        <w:t>rozšíření oblasti působnosti tak, aby byly zahrnuty vody Středozemního moře</w:t>
      </w:r>
      <w:r w:rsidR="006A1DF9">
        <w:t xml:space="preserve"> a </w:t>
      </w:r>
      <w:r>
        <w:t>mezinárodní vody, díky čemuž by se neudržitelné postupy potíraly celosvětově;</w:t>
      </w:r>
    </w:p>
    <w:p w14:paraId="7920B488" w14:textId="4CE95AFD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after="200" w:line="276" w:lineRule="auto"/>
        <w:ind w:left="567" w:hanging="567"/>
      </w:pPr>
      <w:r>
        <w:t>vyzývá Radu</w:t>
      </w:r>
      <w:r w:rsidR="006A1DF9">
        <w:t xml:space="preserve"> a </w:t>
      </w:r>
      <w:r>
        <w:t>Evropský parlament, aby urychlily přijímání tohoto návrhu, zvýšily transparentnost</w:t>
      </w:r>
      <w:r w:rsidR="006A1DF9">
        <w:t xml:space="preserve"> a </w:t>
      </w:r>
      <w:r>
        <w:t>zajistily, že země mimo EU budou seznámeny</w:t>
      </w:r>
      <w:r w:rsidR="006A1DF9">
        <w:t xml:space="preserve"> s </w:t>
      </w:r>
      <w:r>
        <w:t>tím,</w:t>
      </w:r>
      <w:r w:rsidR="006A1DF9">
        <w:t xml:space="preserve"> v </w:t>
      </w:r>
      <w:r>
        <w:t>jakých situacích hrozí možné postihy ze strany EU;</w:t>
      </w:r>
    </w:p>
    <w:p w14:paraId="76BABEA3" w14:textId="247DC5EB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after="200" w:line="276" w:lineRule="auto"/>
        <w:ind w:left="567" w:hanging="567"/>
      </w:pPr>
      <w:r>
        <w:t>podporuje posílení nástrojů EU pro ukládání omezujících opatření</w:t>
      </w:r>
      <w:r w:rsidR="006A1DF9">
        <w:t xml:space="preserve"> v </w:t>
      </w:r>
      <w:r>
        <w:t>celosvětovém měřítku,</w:t>
      </w:r>
      <w:r w:rsidR="006A1DF9">
        <w:t xml:space="preserve"> a </w:t>
      </w:r>
      <w:r>
        <w:t>to včetně zákazů dovozu,</w:t>
      </w:r>
      <w:r w:rsidR="006A1DF9">
        <w:t xml:space="preserve"> v </w:t>
      </w:r>
      <w:r>
        <w:t>souladu</w:t>
      </w:r>
      <w:r w:rsidR="006A1DF9">
        <w:t xml:space="preserve"> s </w:t>
      </w:r>
      <w:r>
        <w:t>pokyny Světové obchodní organizace (WTO)</w:t>
      </w:r>
      <w:r w:rsidR="006A1DF9">
        <w:t xml:space="preserve"> s </w:t>
      </w:r>
      <w:r>
        <w:t>cílem podpořit odpovědné rybolovné postupy</w:t>
      </w:r>
      <w:r w:rsidR="006A1DF9">
        <w:t xml:space="preserve"> a </w:t>
      </w:r>
      <w:r>
        <w:t>spravedlivé zacházení se všemi loďstvy;</w:t>
      </w:r>
    </w:p>
    <w:p w14:paraId="75306F85" w14:textId="19D3921B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after="200" w:line="276" w:lineRule="auto"/>
        <w:ind w:left="567" w:hanging="567"/>
      </w:pPr>
      <w:r>
        <w:t>zasazuje se</w:t>
      </w:r>
      <w:r w:rsidR="006A1DF9">
        <w:t xml:space="preserve"> o </w:t>
      </w:r>
      <w:r>
        <w:t>spravedlivou hospodářskou soutěž prostřednictvím propojení úsilí</w:t>
      </w:r>
      <w:r w:rsidR="006A1DF9">
        <w:t xml:space="preserve"> o </w:t>
      </w:r>
      <w:r>
        <w:t>boj proti nadměrnému rybolovu</w:t>
      </w:r>
      <w:r w:rsidR="006A1DF9">
        <w:t xml:space="preserve"> s </w:t>
      </w:r>
      <w:r>
        <w:t>opatřeními přijatými podle nařízení proti nezákonnému, nehlášenému</w:t>
      </w:r>
      <w:r w:rsidR="006A1DF9">
        <w:t xml:space="preserve"> a </w:t>
      </w:r>
      <w:r>
        <w:t>neregulovanému rybolovu (rybolov NNN);</w:t>
      </w:r>
    </w:p>
    <w:p w14:paraId="5E332857" w14:textId="6777FB14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after="200" w:line="276" w:lineRule="auto"/>
        <w:ind w:left="567" w:hanging="567"/>
      </w:pPr>
      <w:r>
        <w:t>vyzývá EU, aby</w:t>
      </w:r>
      <w:r w:rsidR="006A1DF9">
        <w:t xml:space="preserve"> v </w:t>
      </w:r>
      <w:r>
        <w:t>souladu</w:t>
      </w:r>
      <w:r w:rsidR="006A1DF9">
        <w:t xml:space="preserve"> s </w:t>
      </w:r>
      <w:r>
        <w:t>UNCLOS</w:t>
      </w:r>
      <w:r w:rsidR="006A1DF9">
        <w:t xml:space="preserve"> a </w:t>
      </w:r>
      <w:r>
        <w:t>souvisejícími dohodami posílila spolupráci se zeměmi, které dvoustranně nebo</w:t>
      </w:r>
      <w:r w:rsidR="006A1DF9">
        <w:t xml:space="preserve"> v </w:t>
      </w:r>
      <w:r>
        <w:t>rámci regionálních organizací pro řízení rybolovu využívají tažné</w:t>
      </w:r>
      <w:r w:rsidR="006A1DF9">
        <w:t xml:space="preserve"> a </w:t>
      </w:r>
      <w:r>
        <w:t>vysoce stěhovavé rybí populace;</w:t>
      </w:r>
    </w:p>
    <w:p w14:paraId="6B9F8884" w14:textId="592E53C2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after="200" w:line="276" w:lineRule="auto"/>
        <w:ind w:left="567" w:hanging="567"/>
      </w:pPr>
      <w:r>
        <w:t>zdůrazňuje, že je nutné řešit agresivní kroky některých třetích zemí, například Norska,</w:t>
      </w:r>
      <w:r w:rsidR="006A1DF9">
        <w:t xml:space="preserve"> a </w:t>
      </w:r>
      <w:r>
        <w:t>doporučuje vytvořit strategická spojenectví se zeměmi, jako je Island,</w:t>
      </w:r>
      <w:r w:rsidR="006A1DF9">
        <w:t xml:space="preserve"> v </w:t>
      </w:r>
      <w:r>
        <w:t>zájmu zajištění stabilního přísunu mořských plodů</w:t>
      </w:r>
      <w:r w:rsidR="006A1DF9">
        <w:t xml:space="preserve"> a </w:t>
      </w:r>
      <w:r>
        <w:t>posílení postavení EU</w:t>
      </w:r>
      <w:r w:rsidR="006A1DF9">
        <w:t xml:space="preserve"> v </w:t>
      </w:r>
      <w:r>
        <w:t>severovýchodním Atlantiku;</w:t>
      </w:r>
    </w:p>
    <w:p w14:paraId="624513E8" w14:textId="38A755BD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after="200" w:line="276" w:lineRule="auto"/>
        <w:ind w:left="567" w:hanging="567"/>
      </w:pPr>
      <w:r>
        <w:t>negativně hodnotí omezené využití finančního mechanismu Evropského hospodářského prostoru (EHP) jako nástroje tlaku na pobřežní státy mimo EU, jako je Norsko, aby dodržovaly mezinárodní normy pro řízení rybolovu,</w:t>
      </w:r>
      <w:r w:rsidR="006A1DF9">
        <w:t xml:space="preserve"> a </w:t>
      </w:r>
      <w:r>
        <w:t>vyzývá ke stanovení podmínek pro přístup na trh</w:t>
      </w:r>
      <w:r w:rsidR="006A1DF9">
        <w:t xml:space="preserve"> a </w:t>
      </w:r>
      <w:r>
        <w:t>donucovacích opatření;</w:t>
      </w:r>
    </w:p>
    <w:p w14:paraId="0F19911D" w14:textId="578641A8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after="200" w:line="276" w:lineRule="auto"/>
        <w:ind w:left="567" w:hanging="567"/>
      </w:pPr>
      <w:r>
        <w:t>naléhavě vyzývá, aby byla urychleně přijata opatření podle revidovaného nařízení, jež by byla zaměřena na nekalé praktiky Norska, zejména pokud jde</w:t>
      </w:r>
      <w:r w:rsidR="006A1DF9">
        <w:t xml:space="preserve"> o </w:t>
      </w:r>
      <w:r>
        <w:t>makrelu obecnou</w:t>
      </w:r>
      <w:r w:rsidR="006A1DF9">
        <w:t xml:space="preserve"> a </w:t>
      </w:r>
      <w:r>
        <w:t>tresku obecnou</w:t>
      </w:r>
      <w:r w:rsidR="006A1DF9">
        <w:t xml:space="preserve"> v </w:t>
      </w:r>
      <w:r>
        <w:t>severozápadním Atlantiku;</w:t>
      </w:r>
    </w:p>
    <w:p w14:paraId="62E0B33D" w14:textId="42AC8D9F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after="200" w:line="276" w:lineRule="auto"/>
        <w:ind w:left="567" w:hanging="567"/>
      </w:pPr>
      <w:r>
        <w:t>žádá, aby bylo jednání</w:t>
      </w:r>
      <w:r w:rsidR="006A1DF9">
        <w:t xml:space="preserve"> s </w:t>
      </w:r>
      <w:r>
        <w:t>pobřežními státy inkluzivní</w:t>
      </w:r>
      <w:r w:rsidR="006A1DF9">
        <w:t xml:space="preserve"> a </w:t>
      </w:r>
      <w:r>
        <w:t>transparentní</w:t>
      </w:r>
      <w:r w:rsidR="006A1DF9">
        <w:t xml:space="preserve"> a </w:t>
      </w:r>
      <w:r>
        <w:t>byla zajištěna aktivní účast zainteresovaných stran na řízení rybolovu</w:t>
      </w:r>
      <w:r w:rsidR="006A1DF9">
        <w:t xml:space="preserve"> a </w:t>
      </w:r>
      <w:r>
        <w:t>sankcích;</w:t>
      </w:r>
    </w:p>
    <w:p w14:paraId="614923B8" w14:textId="2F61DDB3" w:rsidR="00913119" w:rsidRPr="00B02283" w:rsidRDefault="00913119" w:rsidP="00270ECA">
      <w:pPr>
        <w:pStyle w:val="ListParagraph"/>
        <w:widowControl w:val="0"/>
        <w:numPr>
          <w:ilvl w:val="0"/>
          <w:numId w:val="11"/>
        </w:numPr>
        <w:spacing w:after="140" w:line="276" w:lineRule="auto"/>
        <w:ind w:left="567" w:hanging="567"/>
      </w:pPr>
      <w:r>
        <w:t xml:space="preserve">doporučuje upravit </w:t>
      </w:r>
      <w:r w:rsidR="006A1DF9">
        <w:t>čl. </w:t>
      </w:r>
      <w:r>
        <w:t xml:space="preserve">6 </w:t>
      </w:r>
      <w:r w:rsidR="006A1DF9">
        <w:t>odst. </w:t>
      </w:r>
      <w:r>
        <w:t>1 tak, aby bylo nutné okamžitě informovat příslušné poradní sbory, jakmile by určitá země mohla být označena za zemi umožňující neudržitelný rybolov.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2"/>
      </w:tblGrid>
      <w:tr w:rsidR="00913119" w:rsidRPr="00913119" w14:paraId="2FBAC7BC" w14:textId="77777777" w:rsidTr="00510D14">
        <w:tc>
          <w:tcPr>
            <w:tcW w:w="2127" w:type="dxa"/>
          </w:tcPr>
          <w:p w14:paraId="4DEC2DA6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b/>
                <w:i/>
                <w:sz w:val="20"/>
                <w:szCs w:val="20"/>
              </w:rPr>
              <w:t xml:space="preserve">Kontakt: </w:t>
            </w:r>
          </w:p>
        </w:tc>
        <w:tc>
          <w:tcPr>
            <w:tcW w:w="4252" w:type="dxa"/>
          </w:tcPr>
          <w:p w14:paraId="78A0110B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Nicolas Stenger</w:t>
            </w:r>
          </w:p>
        </w:tc>
      </w:tr>
      <w:tr w:rsidR="00913119" w:rsidRPr="00913119" w14:paraId="14CD185B" w14:textId="77777777" w:rsidTr="00510D14">
        <w:tc>
          <w:tcPr>
            <w:tcW w:w="2127" w:type="dxa"/>
          </w:tcPr>
          <w:p w14:paraId="2B8D5123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4252" w:type="dxa"/>
          </w:tcPr>
          <w:p w14:paraId="676E7D62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+32 25468152</w:t>
            </w:r>
          </w:p>
        </w:tc>
      </w:tr>
      <w:tr w:rsidR="00913119" w:rsidRPr="00913119" w14:paraId="7F8FC667" w14:textId="77777777" w:rsidTr="00510D14">
        <w:tc>
          <w:tcPr>
            <w:tcW w:w="2127" w:type="dxa"/>
          </w:tcPr>
          <w:p w14:paraId="1B2C2949" w14:textId="77777777" w:rsidR="00913119" w:rsidRPr="00913119" w:rsidRDefault="00913119" w:rsidP="00510D14">
            <w:pPr>
              <w:spacing w:line="240" w:lineRule="auto"/>
              <w:rPr>
                <w:i/>
                <w:sz w:val="20"/>
                <w:szCs w:val="20"/>
              </w:rPr>
            </w:pPr>
            <w:r w:rsidRPr="00913119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4252" w:type="dxa"/>
          </w:tcPr>
          <w:p w14:paraId="0838A147" w14:textId="77777777" w:rsidR="00913119" w:rsidRPr="00913119" w:rsidRDefault="00913119" w:rsidP="00510D14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hyperlink r:id="rId29" w:history="1">
              <w:r w:rsidRPr="00913119">
                <w:rPr>
                  <w:rStyle w:val="Hyperlink"/>
                  <w:i/>
                  <w:sz w:val="20"/>
                  <w:szCs w:val="20"/>
                </w:rPr>
                <w:t>Nicolas.Stenger@eesc.europa.eu</w:t>
              </w:r>
            </w:hyperlink>
          </w:p>
        </w:tc>
      </w:tr>
    </w:tbl>
    <w:p w14:paraId="336B487F" w14:textId="77777777" w:rsidR="00270ECA" w:rsidRDefault="00270ECA">
      <w:r>
        <w:br w:type="page"/>
      </w:r>
    </w:p>
    <w:p w14:paraId="14026A78" w14:textId="4FAE1588" w:rsidR="007F5784" w:rsidRDefault="007F5784" w:rsidP="0060010D">
      <w:pPr>
        <w:pStyle w:val="Heading1"/>
        <w:keepNext/>
        <w:keepLines/>
        <w:rPr>
          <w:b/>
        </w:rPr>
      </w:pPr>
      <w:bookmarkStart w:id="34" w:name="_Toc189577900"/>
      <w:r>
        <w:rPr>
          <w:b/>
        </w:rPr>
        <w:lastRenderedPageBreak/>
        <w:t>VNĚJŠÍ VZTAHY</w:t>
      </w:r>
      <w:bookmarkEnd w:id="34"/>
    </w:p>
    <w:p w14:paraId="3BBB3E68" w14:textId="77777777" w:rsidR="007F5784" w:rsidRDefault="007F5784" w:rsidP="0060010D">
      <w:pPr>
        <w:keepNext/>
        <w:keepLines/>
      </w:pPr>
    </w:p>
    <w:p w14:paraId="57A6EE63" w14:textId="138584D1" w:rsidR="00413188" w:rsidRPr="001368C7" w:rsidRDefault="00413188" w:rsidP="00270ECA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bCs/>
          <w:i/>
          <w:iCs/>
          <w:sz w:val="28"/>
          <w:szCs w:val="28"/>
        </w:rPr>
      </w:pPr>
      <w:hyperlink r:id="rId30" w:history="1">
        <w:r w:rsidRPr="001368C7">
          <w:rPr>
            <w:b/>
            <w:i/>
            <w:color w:val="0000FF"/>
            <w:sz w:val="28"/>
            <w:u w:val="single"/>
          </w:rPr>
          <w:t>Vypracování evropské strategie pro Arktidu (stanovisko</w:t>
        </w:r>
        <w:r w:rsidR="006A1DF9">
          <w:rPr>
            <w:b/>
            <w:i/>
            <w:color w:val="0000FF"/>
            <w:sz w:val="28"/>
            <w:u w:val="single"/>
          </w:rPr>
          <w:t xml:space="preserve"> z </w:t>
        </w:r>
        <w:r w:rsidRPr="001368C7">
          <w:rPr>
            <w:b/>
            <w:i/>
            <w:color w:val="0000FF"/>
            <w:sz w:val="28"/>
            <w:u w:val="single"/>
          </w:rPr>
          <w:t>vlastní iniciativy)</w:t>
        </w:r>
      </w:hyperlink>
    </w:p>
    <w:p w14:paraId="3A143E75" w14:textId="77777777" w:rsidR="00413188" w:rsidRPr="00A6689B" w:rsidRDefault="00413188" w:rsidP="00413188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49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1"/>
      </w:tblGrid>
      <w:tr w:rsidR="00413188" w:rsidRPr="00A6689B" w14:paraId="793638EE" w14:textId="77777777" w:rsidTr="00510D14">
        <w:tc>
          <w:tcPr>
            <w:tcW w:w="1107" w:type="pct"/>
          </w:tcPr>
          <w:p w14:paraId="35ACD6F6" w14:textId="77777777" w:rsidR="00413188" w:rsidRPr="00413188" w:rsidRDefault="00413188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413188">
              <w:rPr>
                <w:b/>
                <w:sz w:val="20"/>
                <w:szCs w:val="20"/>
              </w:rPr>
              <w:t>Zpravodaj</w:t>
            </w:r>
          </w:p>
          <w:p w14:paraId="42BF67A5" w14:textId="77777777" w:rsidR="00413188" w:rsidRPr="00413188" w:rsidRDefault="00413188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413188">
              <w:rPr>
                <w:b/>
                <w:sz w:val="20"/>
                <w:szCs w:val="20"/>
              </w:rPr>
              <w:t>Spoluzpravodaj</w:t>
            </w:r>
          </w:p>
        </w:tc>
        <w:tc>
          <w:tcPr>
            <w:tcW w:w="3893" w:type="pct"/>
          </w:tcPr>
          <w:p w14:paraId="43F7FB55" w14:textId="77777777" w:rsidR="00413188" w:rsidRPr="00413188" w:rsidRDefault="00413188" w:rsidP="00510D14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413188">
              <w:rPr>
                <w:b/>
                <w:sz w:val="20"/>
                <w:szCs w:val="20"/>
              </w:rPr>
              <w:t>Anders LADEFOGED (</w:t>
            </w:r>
            <w:r w:rsidRPr="00413188">
              <w:rPr>
                <w:sz w:val="20"/>
                <w:szCs w:val="20"/>
              </w:rPr>
              <w:t>Zaměstnavatelé – DA)</w:t>
            </w:r>
          </w:p>
          <w:p w14:paraId="1B71D648" w14:textId="77777777" w:rsidR="00413188" w:rsidRPr="00413188" w:rsidRDefault="00413188" w:rsidP="00510D14">
            <w:pPr>
              <w:shd w:val="clear" w:color="auto" w:fill="FEFEFE"/>
              <w:jc w:val="left"/>
              <w:rPr>
                <w:sz w:val="20"/>
                <w:szCs w:val="20"/>
              </w:rPr>
            </w:pPr>
            <w:r w:rsidRPr="00413188">
              <w:rPr>
                <w:b/>
                <w:sz w:val="20"/>
                <w:szCs w:val="20"/>
              </w:rPr>
              <w:t xml:space="preserve">Christian MOOS </w:t>
            </w:r>
            <w:r w:rsidRPr="00413188">
              <w:rPr>
                <w:sz w:val="20"/>
                <w:szCs w:val="20"/>
              </w:rPr>
              <w:t>(Organizace občanské společnosti – DE)</w:t>
            </w:r>
          </w:p>
        </w:tc>
      </w:tr>
      <w:tr w:rsidR="00413188" w:rsidRPr="00A6689B" w14:paraId="31671528" w14:textId="77777777" w:rsidTr="00510D14">
        <w:tc>
          <w:tcPr>
            <w:tcW w:w="5000" w:type="pct"/>
            <w:gridSpan w:val="2"/>
          </w:tcPr>
          <w:p w14:paraId="30330C2E" w14:textId="77777777" w:rsidR="00413188" w:rsidRPr="00413188" w:rsidRDefault="00413188" w:rsidP="00510D14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  <w:tr w:rsidR="00413188" w:rsidRPr="00A6689B" w14:paraId="6AAF59C1" w14:textId="77777777" w:rsidTr="00510D14">
        <w:tc>
          <w:tcPr>
            <w:tcW w:w="1107" w:type="pct"/>
          </w:tcPr>
          <w:p w14:paraId="5AA36E34" w14:textId="77777777" w:rsidR="00413188" w:rsidRPr="00413188" w:rsidRDefault="00413188" w:rsidP="00510D14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413188">
              <w:rPr>
                <w:b/>
                <w:sz w:val="20"/>
                <w:szCs w:val="20"/>
              </w:rPr>
              <w:t>Odkaz</w:t>
            </w:r>
          </w:p>
        </w:tc>
        <w:tc>
          <w:tcPr>
            <w:tcW w:w="3893" w:type="pct"/>
          </w:tcPr>
          <w:p w14:paraId="4AC7B674" w14:textId="77777777" w:rsidR="00413188" w:rsidRPr="00413188" w:rsidRDefault="00413188" w:rsidP="00510D14">
            <w:pPr>
              <w:tabs>
                <w:tab w:val="center" w:pos="284"/>
              </w:tabs>
              <w:ind w:left="266" w:hanging="266"/>
              <w:jc w:val="left"/>
              <w:rPr>
                <w:sz w:val="20"/>
                <w:szCs w:val="20"/>
              </w:rPr>
            </w:pPr>
            <w:r w:rsidRPr="00413188">
              <w:rPr>
                <w:sz w:val="20"/>
                <w:szCs w:val="20"/>
              </w:rPr>
              <w:t>EESC-2024-03182-00-00-AC</w:t>
            </w:r>
          </w:p>
        </w:tc>
      </w:tr>
    </w:tbl>
    <w:p w14:paraId="6413243E" w14:textId="77777777" w:rsidR="00413188" w:rsidRPr="00A6689B" w:rsidRDefault="00413188" w:rsidP="00413188">
      <w:pPr>
        <w:tabs>
          <w:tab w:val="center" w:pos="284"/>
        </w:tabs>
        <w:ind w:left="266" w:hanging="266"/>
      </w:pPr>
    </w:p>
    <w:p w14:paraId="4D624447" w14:textId="77777777" w:rsidR="00413188" w:rsidRPr="00EA6155" w:rsidRDefault="00413188" w:rsidP="00413188">
      <w:pPr>
        <w:keepNext/>
        <w:keepLines/>
        <w:tabs>
          <w:tab w:val="center" w:pos="284"/>
        </w:tabs>
        <w:ind w:left="266" w:hanging="266"/>
        <w:rPr>
          <w:b/>
        </w:rPr>
      </w:pPr>
      <w:r w:rsidRPr="00EA6155">
        <w:rPr>
          <w:b/>
        </w:rPr>
        <w:t>Hlavní body</w:t>
      </w:r>
    </w:p>
    <w:p w14:paraId="4DE224E5" w14:textId="77777777" w:rsidR="00413188" w:rsidRPr="00EA6155" w:rsidRDefault="00413188" w:rsidP="00413188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77AE3B81" w14:textId="77777777" w:rsidR="00413188" w:rsidRPr="00EA6155" w:rsidRDefault="00413188" w:rsidP="00413188">
      <w:r w:rsidRPr="00EA6155">
        <w:t>EHSV:</w:t>
      </w:r>
    </w:p>
    <w:p w14:paraId="722DCDA7" w14:textId="77777777" w:rsidR="00413188" w:rsidRPr="00EA6155" w:rsidRDefault="00413188" w:rsidP="00413188">
      <w:pPr>
        <w:rPr>
          <w:bCs/>
          <w:iCs/>
        </w:rPr>
      </w:pPr>
    </w:p>
    <w:p w14:paraId="6237815E" w14:textId="75C66B76" w:rsidR="00413188" w:rsidRPr="00EA6155" w:rsidRDefault="00413188" w:rsidP="00270ECA">
      <w:pPr>
        <w:pStyle w:val="NormalWeb"/>
        <w:numPr>
          <w:ilvl w:val="0"/>
          <w:numId w:val="12"/>
        </w:numPr>
        <w:tabs>
          <w:tab w:val="clear" w:pos="720"/>
        </w:tabs>
        <w:spacing w:before="0" w:beforeAutospacing="0" w:after="0" w:afterAutospacing="0" w:line="288" w:lineRule="auto"/>
        <w:ind w:left="567" w:hanging="567"/>
        <w:jc w:val="both"/>
        <w:rPr>
          <w:sz w:val="22"/>
          <w:szCs w:val="22"/>
        </w:rPr>
      </w:pPr>
      <w:r w:rsidRPr="00EA6155">
        <w:rPr>
          <w:sz w:val="22"/>
          <w:szCs w:val="22"/>
        </w:rPr>
        <w:t>zdůrazňuje, že nový institucionální cyklus je jasnou příležitostí ke zhodnocení politiky EU pro Arktidu. Díky aktualizované politice může EU hrát významnější roli při zvyšování odolnosti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prosperity Arktidy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zároveň prosazovat evropské strategické zájmy</w:t>
      </w:r>
      <w:r w:rsidR="006A1DF9">
        <w:rPr>
          <w:sz w:val="22"/>
          <w:szCs w:val="22"/>
        </w:rPr>
        <w:t xml:space="preserve"> v </w:t>
      </w:r>
      <w:r w:rsidRPr="00EA6155">
        <w:rPr>
          <w:sz w:val="22"/>
          <w:szCs w:val="22"/>
        </w:rPr>
        <w:t>oblasti ekologické transformace, bezpečnosti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dodržování lidských práv;</w:t>
      </w:r>
    </w:p>
    <w:p w14:paraId="4CB3BBA6" w14:textId="4B8E1604" w:rsidR="00413188" w:rsidRPr="00EA6155" w:rsidRDefault="00413188" w:rsidP="00270ECA">
      <w:pPr>
        <w:pStyle w:val="NormalWeb"/>
        <w:numPr>
          <w:ilvl w:val="0"/>
          <w:numId w:val="12"/>
        </w:numPr>
        <w:tabs>
          <w:tab w:val="clear" w:pos="720"/>
        </w:tabs>
        <w:spacing w:before="0" w:beforeAutospacing="0" w:after="0" w:afterAutospacing="0" w:line="288" w:lineRule="auto"/>
        <w:ind w:left="567" w:hanging="567"/>
        <w:jc w:val="both"/>
        <w:rPr>
          <w:sz w:val="22"/>
          <w:szCs w:val="22"/>
        </w:rPr>
      </w:pPr>
      <w:r w:rsidRPr="00EA6155">
        <w:rPr>
          <w:sz w:val="22"/>
          <w:szCs w:val="22"/>
        </w:rPr>
        <w:t>upozorňuje na nutnost zvýšit účast občanské společnosti</w:t>
      </w:r>
      <w:r w:rsidR="006A1DF9">
        <w:rPr>
          <w:sz w:val="22"/>
          <w:szCs w:val="22"/>
        </w:rPr>
        <w:t xml:space="preserve"> v </w:t>
      </w:r>
      <w:r w:rsidRPr="00EA6155">
        <w:rPr>
          <w:sz w:val="22"/>
          <w:szCs w:val="22"/>
        </w:rPr>
        <w:t>Arktidě na rozhodování, neboť to umožní zlepšit kvalitu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posílit legitimitu rozhodnutí, která budou mít na tento region dalekosáhlé důsledky;</w:t>
      </w:r>
    </w:p>
    <w:p w14:paraId="7F539056" w14:textId="11FF82C9" w:rsidR="00413188" w:rsidRPr="00EA6155" w:rsidRDefault="00413188" w:rsidP="00270ECA">
      <w:pPr>
        <w:pStyle w:val="NormalWeb"/>
        <w:numPr>
          <w:ilvl w:val="0"/>
          <w:numId w:val="12"/>
        </w:numPr>
        <w:tabs>
          <w:tab w:val="clear" w:pos="720"/>
        </w:tabs>
        <w:spacing w:before="0" w:beforeAutospacing="0" w:after="0" w:afterAutospacing="0" w:line="288" w:lineRule="auto"/>
        <w:ind w:left="567" w:hanging="567"/>
        <w:jc w:val="both"/>
        <w:rPr>
          <w:sz w:val="22"/>
          <w:szCs w:val="22"/>
        </w:rPr>
      </w:pPr>
      <w:r w:rsidRPr="00EA6155">
        <w:rPr>
          <w:sz w:val="22"/>
          <w:szCs w:val="22"/>
        </w:rPr>
        <w:t>navrhuje, aby bylo</w:t>
      </w:r>
      <w:r w:rsidR="006A1DF9">
        <w:rPr>
          <w:sz w:val="22"/>
          <w:szCs w:val="22"/>
        </w:rPr>
        <w:t xml:space="preserve"> v </w:t>
      </w:r>
      <w:r w:rsidRPr="00EA6155">
        <w:rPr>
          <w:sz w:val="22"/>
          <w:szCs w:val="22"/>
        </w:rPr>
        <w:t>rámci aktualizované strategie EU prováděno systematické hodnocení toho, jak zainteresované strany</w:t>
      </w:r>
      <w:r w:rsidR="006A1DF9">
        <w:rPr>
          <w:sz w:val="22"/>
          <w:szCs w:val="22"/>
        </w:rPr>
        <w:t xml:space="preserve"> v </w:t>
      </w:r>
      <w:r w:rsidRPr="00EA6155">
        <w:rPr>
          <w:sz w:val="22"/>
          <w:szCs w:val="22"/>
        </w:rPr>
        <w:t>Arktidě vnímají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využívají fondy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nástroje EU. Toto hodnocení by mělo:</w:t>
      </w:r>
    </w:p>
    <w:p w14:paraId="6403FB17" w14:textId="67BB9816" w:rsidR="00413188" w:rsidRPr="00EA6155" w:rsidRDefault="00413188" w:rsidP="00D32824">
      <w:pPr>
        <w:pStyle w:val="NormalWeb"/>
        <w:numPr>
          <w:ilvl w:val="0"/>
          <w:numId w:val="13"/>
        </w:numPr>
        <w:spacing w:before="0" w:beforeAutospacing="0" w:after="0" w:afterAutospacing="0" w:line="288" w:lineRule="auto"/>
        <w:ind w:left="851" w:hanging="284"/>
        <w:jc w:val="both"/>
        <w:rPr>
          <w:sz w:val="22"/>
          <w:szCs w:val="22"/>
        </w:rPr>
      </w:pPr>
      <w:r w:rsidRPr="00EA6155">
        <w:rPr>
          <w:sz w:val="22"/>
          <w:szCs w:val="22"/>
        </w:rPr>
        <w:t>vycházet</w:t>
      </w:r>
      <w:r w:rsidR="006A1DF9">
        <w:rPr>
          <w:sz w:val="22"/>
          <w:szCs w:val="22"/>
        </w:rPr>
        <w:t xml:space="preserve"> z </w:t>
      </w:r>
      <w:r w:rsidRPr="00EA6155">
        <w:rPr>
          <w:sz w:val="22"/>
          <w:szCs w:val="22"/>
        </w:rPr>
        <w:t>informací zástupců občanské společnosti</w:t>
      </w:r>
      <w:r w:rsidR="006A1DF9">
        <w:rPr>
          <w:sz w:val="22"/>
          <w:szCs w:val="22"/>
        </w:rPr>
        <w:t xml:space="preserve"> v </w:t>
      </w:r>
      <w:r w:rsidRPr="00EA6155">
        <w:rPr>
          <w:sz w:val="22"/>
          <w:szCs w:val="22"/>
        </w:rPr>
        <w:t>širším slova smyslu,</w:t>
      </w:r>
    </w:p>
    <w:p w14:paraId="07C49E31" w14:textId="59201A78" w:rsidR="00413188" w:rsidRPr="00EA6155" w:rsidRDefault="00413188" w:rsidP="00D32824">
      <w:pPr>
        <w:pStyle w:val="NormalWeb"/>
        <w:numPr>
          <w:ilvl w:val="0"/>
          <w:numId w:val="13"/>
        </w:numPr>
        <w:spacing w:before="0" w:beforeAutospacing="0" w:after="0" w:afterAutospacing="0" w:line="288" w:lineRule="auto"/>
        <w:ind w:left="851" w:hanging="284"/>
        <w:jc w:val="both"/>
        <w:rPr>
          <w:sz w:val="22"/>
          <w:szCs w:val="22"/>
        </w:rPr>
      </w:pPr>
      <w:r w:rsidRPr="00EA6155">
        <w:rPr>
          <w:sz w:val="22"/>
          <w:szCs w:val="22"/>
        </w:rPr>
        <w:t>zaměřit se na co největší zjednodušení postupů pro příjemce nebo na poskytování pomoci místním komunitám</w:t>
      </w:r>
      <w:r w:rsidR="006A1DF9">
        <w:rPr>
          <w:sz w:val="22"/>
          <w:szCs w:val="22"/>
        </w:rPr>
        <w:t xml:space="preserve"> s </w:t>
      </w:r>
      <w:r w:rsidRPr="00EA6155">
        <w:rPr>
          <w:sz w:val="22"/>
          <w:szCs w:val="22"/>
        </w:rPr>
        <w:t>vyřizováním požadavků a</w:t>
      </w:r>
    </w:p>
    <w:p w14:paraId="1CF56271" w14:textId="09ACA941" w:rsidR="00413188" w:rsidRPr="00EA6155" w:rsidRDefault="00413188" w:rsidP="00D32824">
      <w:pPr>
        <w:pStyle w:val="NormalWeb"/>
        <w:numPr>
          <w:ilvl w:val="0"/>
          <w:numId w:val="13"/>
        </w:numPr>
        <w:spacing w:before="0" w:beforeAutospacing="0" w:after="0" w:afterAutospacing="0" w:line="288" w:lineRule="auto"/>
        <w:ind w:left="851" w:hanging="284"/>
        <w:jc w:val="both"/>
        <w:rPr>
          <w:sz w:val="22"/>
          <w:szCs w:val="22"/>
        </w:rPr>
      </w:pPr>
      <w:r w:rsidRPr="00EA6155">
        <w:rPr>
          <w:sz w:val="22"/>
          <w:szCs w:val="22"/>
        </w:rPr>
        <w:t>jasně ukázat, zda jsou</w:t>
      </w:r>
      <w:r w:rsidR="006A1DF9">
        <w:rPr>
          <w:sz w:val="22"/>
          <w:szCs w:val="22"/>
        </w:rPr>
        <w:t xml:space="preserve"> k </w:t>
      </w:r>
      <w:r w:rsidRPr="00EA6155">
        <w:rPr>
          <w:sz w:val="22"/>
          <w:szCs w:val="22"/>
        </w:rPr>
        <w:t>dispozici dostatečné finanční prostředky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vhodné programy na podporu strategických cílů EU</w:t>
      </w:r>
      <w:r w:rsidR="006A1DF9">
        <w:rPr>
          <w:sz w:val="22"/>
          <w:szCs w:val="22"/>
        </w:rPr>
        <w:t xml:space="preserve"> v </w:t>
      </w:r>
      <w:r w:rsidRPr="00EA6155">
        <w:rPr>
          <w:sz w:val="22"/>
          <w:szCs w:val="22"/>
        </w:rPr>
        <w:t>Arktidě;</w:t>
      </w:r>
    </w:p>
    <w:p w14:paraId="63AF0244" w14:textId="71B186BD" w:rsidR="00413188" w:rsidRPr="00EA6155" w:rsidRDefault="00413188" w:rsidP="00270ECA">
      <w:pPr>
        <w:pStyle w:val="NormalWeb"/>
        <w:numPr>
          <w:ilvl w:val="0"/>
          <w:numId w:val="12"/>
        </w:numPr>
        <w:tabs>
          <w:tab w:val="clear" w:pos="720"/>
        </w:tabs>
        <w:spacing w:before="0" w:beforeAutospacing="0" w:after="0" w:afterAutospacing="0" w:line="288" w:lineRule="auto"/>
        <w:ind w:left="567" w:hanging="567"/>
        <w:jc w:val="both"/>
        <w:rPr>
          <w:sz w:val="22"/>
          <w:szCs w:val="22"/>
        </w:rPr>
      </w:pPr>
      <w:r w:rsidRPr="00EA6155">
        <w:rPr>
          <w:sz w:val="22"/>
          <w:szCs w:val="22"/>
        </w:rPr>
        <w:t>vyzývá činitele</w:t>
      </w:r>
      <w:r w:rsidR="006A1DF9">
        <w:rPr>
          <w:sz w:val="22"/>
          <w:szCs w:val="22"/>
        </w:rPr>
        <w:t xml:space="preserve"> s </w:t>
      </w:r>
      <w:r w:rsidRPr="00EA6155">
        <w:rPr>
          <w:sz w:val="22"/>
          <w:szCs w:val="22"/>
        </w:rPr>
        <w:t>rozhodovací pravomocí</w:t>
      </w:r>
      <w:r w:rsidR="006A1DF9">
        <w:rPr>
          <w:sz w:val="22"/>
          <w:szCs w:val="22"/>
        </w:rPr>
        <w:t xml:space="preserve"> v </w:t>
      </w:r>
      <w:r w:rsidRPr="00EA6155">
        <w:rPr>
          <w:sz w:val="22"/>
          <w:szCs w:val="22"/>
        </w:rPr>
        <w:t>Arktidě na všech úrovních, aby důsledně naplňovali právní závazky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uplatňovali osvědčené postupy</w:t>
      </w:r>
      <w:r w:rsidR="006A1DF9">
        <w:rPr>
          <w:sz w:val="22"/>
          <w:szCs w:val="22"/>
        </w:rPr>
        <w:t xml:space="preserve"> s </w:t>
      </w:r>
      <w:r w:rsidRPr="00EA6155">
        <w:rPr>
          <w:sz w:val="22"/>
          <w:szCs w:val="22"/>
        </w:rPr>
        <w:t>cílem začleňovat, konzultovat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posilovat postavení všech složek místní občanské společnosti, včetně původních obyvatel;</w:t>
      </w:r>
    </w:p>
    <w:p w14:paraId="5942C79A" w14:textId="546D514A" w:rsidR="00413188" w:rsidRPr="00EA6155" w:rsidRDefault="00413188" w:rsidP="00270ECA">
      <w:pPr>
        <w:pStyle w:val="NormalWeb"/>
        <w:numPr>
          <w:ilvl w:val="0"/>
          <w:numId w:val="12"/>
        </w:numPr>
        <w:tabs>
          <w:tab w:val="clear" w:pos="720"/>
        </w:tabs>
        <w:spacing w:before="0" w:beforeAutospacing="0" w:after="0" w:afterAutospacing="0" w:line="288" w:lineRule="auto"/>
        <w:ind w:left="567" w:hanging="567"/>
        <w:jc w:val="both"/>
        <w:rPr>
          <w:sz w:val="22"/>
          <w:szCs w:val="22"/>
        </w:rPr>
      </w:pPr>
      <w:r w:rsidRPr="00EA6155">
        <w:rPr>
          <w:sz w:val="22"/>
          <w:szCs w:val="22"/>
        </w:rPr>
        <w:t>zdůrazňuje, že by investice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projekty měly prospívat místním komunitám,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že je třeba zajistit, aby všechny složky těchto komunit, včetně původních obyvatel, mladých lidí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žen, měly dostatečné zdroje</w:t>
      </w:r>
      <w:r w:rsidR="006A1DF9">
        <w:rPr>
          <w:sz w:val="22"/>
          <w:szCs w:val="22"/>
        </w:rPr>
        <w:t xml:space="preserve"> k </w:t>
      </w:r>
      <w:r w:rsidRPr="00EA6155">
        <w:rPr>
          <w:sz w:val="22"/>
          <w:szCs w:val="22"/>
        </w:rPr>
        <w:t>účasti na rozhodovacích procesech;</w:t>
      </w:r>
    </w:p>
    <w:p w14:paraId="27AB2999" w14:textId="2F6C41A8" w:rsidR="00413188" w:rsidRPr="00EA6155" w:rsidRDefault="00413188" w:rsidP="00270ECA">
      <w:pPr>
        <w:pStyle w:val="NormalWeb"/>
        <w:numPr>
          <w:ilvl w:val="0"/>
          <w:numId w:val="12"/>
        </w:numPr>
        <w:tabs>
          <w:tab w:val="clear" w:pos="720"/>
        </w:tabs>
        <w:spacing w:before="0" w:beforeAutospacing="0" w:after="0" w:afterAutospacing="0" w:line="288" w:lineRule="auto"/>
        <w:ind w:left="567" w:hanging="567"/>
        <w:jc w:val="both"/>
        <w:rPr>
          <w:sz w:val="22"/>
          <w:szCs w:val="22"/>
        </w:rPr>
      </w:pPr>
      <w:r w:rsidRPr="00EA6155">
        <w:rPr>
          <w:sz w:val="22"/>
          <w:szCs w:val="22"/>
        </w:rPr>
        <w:t>vyzdvihuje naléhavou nutnost racionalizovat povolovací postupy</w:t>
      </w:r>
      <w:r w:rsidR="006A1DF9">
        <w:rPr>
          <w:sz w:val="22"/>
          <w:szCs w:val="22"/>
        </w:rPr>
        <w:t xml:space="preserve"> u </w:t>
      </w:r>
      <w:r w:rsidRPr="00EA6155">
        <w:rPr>
          <w:sz w:val="22"/>
          <w:szCs w:val="22"/>
        </w:rPr>
        <w:t>projektů</w:t>
      </w:r>
      <w:r w:rsidR="006A1DF9">
        <w:rPr>
          <w:sz w:val="22"/>
          <w:szCs w:val="22"/>
        </w:rPr>
        <w:t xml:space="preserve"> v </w:t>
      </w:r>
      <w:r w:rsidRPr="00EA6155">
        <w:rPr>
          <w:sz w:val="22"/>
          <w:szCs w:val="22"/>
        </w:rPr>
        <w:t>oblasti energie</w:t>
      </w:r>
      <w:r w:rsidR="006A1DF9">
        <w:rPr>
          <w:sz w:val="22"/>
          <w:szCs w:val="22"/>
        </w:rPr>
        <w:t xml:space="preserve"> z </w:t>
      </w:r>
      <w:r w:rsidRPr="00EA6155">
        <w:rPr>
          <w:sz w:val="22"/>
          <w:szCs w:val="22"/>
        </w:rPr>
        <w:t>obnovitelných zdrojů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těžby surovin nezbytných</w:t>
      </w:r>
      <w:r w:rsidR="006A1DF9">
        <w:rPr>
          <w:sz w:val="22"/>
          <w:szCs w:val="22"/>
        </w:rPr>
        <w:t xml:space="preserve"> k </w:t>
      </w:r>
      <w:r w:rsidRPr="00EA6155">
        <w:rPr>
          <w:sz w:val="22"/>
          <w:szCs w:val="22"/>
        </w:rPr>
        <w:t>ekologické transformaci. Tyto postupy by měly být účinnější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neoslabovat environmentální ani socioekonomickou kontrolu;</w:t>
      </w:r>
    </w:p>
    <w:p w14:paraId="5ED30DFA" w14:textId="65D62DE4" w:rsidR="00413188" w:rsidRPr="00EA6155" w:rsidRDefault="00413188" w:rsidP="00D32824">
      <w:pPr>
        <w:pStyle w:val="NormalWeb"/>
        <w:keepNext/>
        <w:keepLines/>
        <w:numPr>
          <w:ilvl w:val="0"/>
          <w:numId w:val="12"/>
        </w:numPr>
        <w:tabs>
          <w:tab w:val="clear" w:pos="720"/>
        </w:tabs>
        <w:spacing w:before="0" w:beforeAutospacing="0" w:after="0" w:afterAutospacing="0" w:line="288" w:lineRule="auto"/>
        <w:ind w:left="567" w:hanging="567"/>
        <w:jc w:val="both"/>
        <w:rPr>
          <w:sz w:val="22"/>
          <w:szCs w:val="22"/>
        </w:rPr>
      </w:pPr>
      <w:r w:rsidRPr="00EA6155">
        <w:rPr>
          <w:sz w:val="22"/>
          <w:szCs w:val="22"/>
        </w:rPr>
        <w:t>doporučuje posílit spolupráci EU</w:t>
      </w:r>
      <w:r w:rsidR="006A1DF9">
        <w:rPr>
          <w:sz w:val="22"/>
          <w:szCs w:val="22"/>
        </w:rPr>
        <w:t xml:space="preserve"> s </w:t>
      </w:r>
      <w:r w:rsidRPr="00EA6155">
        <w:rPr>
          <w:sz w:val="22"/>
          <w:szCs w:val="22"/>
        </w:rPr>
        <w:t>Grónskem</w:t>
      </w:r>
      <w:r w:rsidR="006A1DF9">
        <w:rPr>
          <w:sz w:val="22"/>
          <w:szCs w:val="22"/>
        </w:rPr>
        <w:t xml:space="preserve"> s </w:t>
      </w:r>
      <w:r w:rsidRPr="00EA6155">
        <w:rPr>
          <w:sz w:val="22"/>
          <w:szCs w:val="22"/>
        </w:rPr>
        <w:t>cílem diverzifikovat přístup ke kritickým nerostným surovinám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posílit partnerství založené na demokracii, dodržování zásady právního státu</w:t>
      </w:r>
      <w:r w:rsidR="006A1DF9">
        <w:rPr>
          <w:sz w:val="22"/>
          <w:szCs w:val="22"/>
        </w:rPr>
        <w:t xml:space="preserve"> a </w:t>
      </w:r>
      <w:r w:rsidRPr="00EA6155">
        <w:rPr>
          <w:sz w:val="22"/>
          <w:szCs w:val="22"/>
        </w:rPr>
        <w:t>respektování lidských práv. Výbor požaduje, aby se tato spolupráce stala prioritou při nadcházejících jednáních</w:t>
      </w:r>
      <w:r w:rsidR="006A1DF9">
        <w:rPr>
          <w:sz w:val="22"/>
          <w:szCs w:val="22"/>
        </w:rPr>
        <w:t xml:space="preserve"> o </w:t>
      </w:r>
      <w:r w:rsidRPr="00EA6155">
        <w:rPr>
          <w:sz w:val="22"/>
          <w:szCs w:val="22"/>
        </w:rPr>
        <w:t>víceletém finančním rámci (VFR).</w:t>
      </w:r>
    </w:p>
    <w:p w14:paraId="61CC1040" w14:textId="77777777" w:rsidR="00413188" w:rsidRPr="00413188" w:rsidRDefault="00413188" w:rsidP="00413188">
      <w:pPr>
        <w:pStyle w:val="NormalWeb"/>
        <w:keepNext/>
        <w:keepLines/>
        <w:spacing w:before="0" w:beforeAutospacing="0" w:after="0" w:afterAutospacing="0" w:line="288" w:lineRule="auto"/>
        <w:jc w:val="both"/>
        <w:rPr>
          <w:sz w:val="20"/>
          <w:szCs w:val="20"/>
        </w:rPr>
      </w:pPr>
    </w:p>
    <w:tbl>
      <w:tblPr>
        <w:tblStyle w:val="TableGrid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5"/>
      </w:tblGrid>
      <w:tr w:rsidR="00413188" w:rsidRPr="00413188" w14:paraId="2B3C05D2" w14:textId="77777777" w:rsidTr="00510D14">
        <w:tc>
          <w:tcPr>
            <w:tcW w:w="1556" w:type="pct"/>
          </w:tcPr>
          <w:p w14:paraId="6C985EAF" w14:textId="77777777" w:rsidR="00413188" w:rsidRPr="00413188" w:rsidRDefault="00413188" w:rsidP="00510D14">
            <w:pPr>
              <w:rPr>
                <w:i/>
                <w:sz w:val="20"/>
                <w:szCs w:val="20"/>
              </w:rPr>
            </w:pPr>
            <w:r w:rsidRPr="00413188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444" w:type="pct"/>
          </w:tcPr>
          <w:p w14:paraId="2C754DF2" w14:textId="77777777" w:rsidR="00413188" w:rsidRPr="00413188" w:rsidRDefault="00413188" w:rsidP="00510D14">
            <w:pPr>
              <w:rPr>
                <w:i/>
                <w:sz w:val="20"/>
                <w:szCs w:val="20"/>
              </w:rPr>
            </w:pPr>
            <w:r w:rsidRPr="00413188">
              <w:rPr>
                <w:i/>
                <w:sz w:val="20"/>
                <w:szCs w:val="20"/>
              </w:rPr>
              <w:t>Maarit Laurila</w:t>
            </w:r>
          </w:p>
        </w:tc>
      </w:tr>
      <w:tr w:rsidR="00413188" w:rsidRPr="00413188" w14:paraId="03D4A78C" w14:textId="77777777" w:rsidTr="00510D14">
        <w:tc>
          <w:tcPr>
            <w:tcW w:w="1556" w:type="pct"/>
          </w:tcPr>
          <w:p w14:paraId="38B81903" w14:textId="77777777" w:rsidR="00413188" w:rsidRPr="00413188" w:rsidRDefault="00413188" w:rsidP="00510D14">
            <w:pPr>
              <w:rPr>
                <w:i/>
                <w:sz w:val="20"/>
                <w:szCs w:val="20"/>
              </w:rPr>
            </w:pPr>
            <w:r w:rsidRPr="00413188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444" w:type="pct"/>
          </w:tcPr>
          <w:p w14:paraId="09A46C1F" w14:textId="77777777" w:rsidR="00413188" w:rsidRPr="00413188" w:rsidRDefault="00413188" w:rsidP="00510D14">
            <w:pPr>
              <w:rPr>
                <w:i/>
                <w:sz w:val="20"/>
                <w:szCs w:val="20"/>
              </w:rPr>
            </w:pPr>
            <w:r w:rsidRPr="00413188">
              <w:rPr>
                <w:i/>
                <w:sz w:val="20"/>
                <w:szCs w:val="20"/>
              </w:rPr>
              <w:t>+32 25469739</w:t>
            </w:r>
          </w:p>
        </w:tc>
      </w:tr>
      <w:tr w:rsidR="00413188" w:rsidRPr="00413188" w14:paraId="2D216E30" w14:textId="77777777" w:rsidTr="00510D14">
        <w:tc>
          <w:tcPr>
            <w:tcW w:w="1556" w:type="pct"/>
          </w:tcPr>
          <w:p w14:paraId="102C67E0" w14:textId="77777777" w:rsidR="00413188" w:rsidRPr="00413188" w:rsidRDefault="00413188" w:rsidP="00510D14">
            <w:pPr>
              <w:rPr>
                <w:i/>
                <w:sz w:val="20"/>
                <w:szCs w:val="20"/>
              </w:rPr>
            </w:pPr>
            <w:r w:rsidRPr="00413188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444" w:type="pct"/>
          </w:tcPr>
          <w:p w14:paraId="1299B0D4" w14:textId="77777777" w:rsidR="00413188" w:rsidRPr="00413188" w:rsidRDefault="00413188" w:rsidP="00510D14">
            <w:pPr>
              <w:rPr>
                <w:i/>
                <w:iCs/>
                <w:sz w:val="20"/>
                <w:szCs w:val="20"/>
              </w:rPr>
            </w:pPr>
            <w:hyperlink r:id="rId31" w:history="1">
              <w:r w:rsidRPr="00413188">
                <w:rPr>
                  <w:rStyle w:val="Hyperlink"/>
                  <w:i/>
                  <w:sz w:val="20"/>
                  <w:szCs w:val="20"/>
                </w:rPr>
                <w:t>Maarit.Laurila@eesc.europa.eu</w:t>
              </w:r>
            </w:hyperlink>
          </w:p>
        </w:tc>
      </w:tr>
    </w:tbl>
    <w:p w14:paraId="768CF19D" w14:textId="77777777" w:rsidR="00413188" w:rsidRPr="00EA6155" w:rsidRDefault="00413188" w:rsidP="00413188">
      <w:pPr>
        <w:jc w:val="center"/>
      </w:pPr>
    </w:p>
    <w:p w14:paraId="63706094" w14:textId="20910515" w:rsidR="003A4752" w:rsidRDefault="003A4752" w:rsidP="0060010D">
      <w:pPr>
        <w:jc w:val="left"/>
      </w:pPr>
    </w:p>
    <w:p w14:paraId="07875666" w14:textId="77777777" w:rsidR="00413188" w:rsidRPr="001368C7" w:rsidRDefault="00413188" w:rsidP="00D32824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rPr>
          <w:b/>
          <w:bCs/>
          <w:i/>
          <w:iCs/>
          <w:sz w:val="28"/>
          <w:szCs w:val="28"/>
        </w:rPr>
      </w:pPr>
      <w:hyperlink r:id="rId32" w:history="1">
        <w:r w:rsidRPr="001368C7">
          <w:rPr>
            <w:rStyle w:val="Hyperlink"/>
            <w:b/>
            <w:i/>
            <w:sz w:val="28"/>
          </w:rPr>
          <w:t>Zapojení mládeže: Středomoří</w:t>
        </w:r>
      </w:hyperlink>
    </w:p>
    <w:p w14:paraId="6E0A4D1C" w14:textId="77777777" w:rsidR="00413188" w:rsidRPr="00A6689B" w:rsidRDefault="00413188" w:rsidP="00413188">
      <w:pPr>
        <w:tabs>
          <w:tab w:val="center" w:pos="284"/>
        </w:tabs>
        <w:spacing w:line="264" w:lineRule="auto"/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8"/>
      </w:tblGrid>
      <w:tr w:rsidR="00413188" w:rsidRPr="00A6689B" w14:paraId="4A261249" w14:textId="77777777" w:rsidTr="00510D14">
        <w:tc>
          <w:tcPr>
            <w:tcW w:w="1094" w:type="pct"/>
          </w:tcPr>
          <w:p w14:paraId="1C3D2502" w14:textId="77777777" w:rsidR="00413188" w:rsidRPr="00413188" w:rsidRDefault="00413188" w:rsidP="00510D14">
            <w:pPr>
              <w:tabs>
                <w:tab w:val="center" w:pos="284"/>
              </w:tabs>
              <w:spacing w:line="264" w:lineRule="auto"/>
              <w:ind w:left="266" w:hanging="266"/>
              <w:rPr>
                <w:b/>
                <w:sz w:val="20"/>
                <w:szCs w:val="20"/>
              </w:rPr>
            </w:pPr>
            <w:r w:rsidRPr="00413188">
              <w:rPr>
                <w:b/>
                <w:sz w:val="20"/>
                <w:szCs w:val="20"/>
              </w:rPr>
              <w:t>Zpravodaj</w:t>
            </w:r>
          </w:p>
        </w:tc>
        <w:tc>
          <w:tcPr>
            <w:tcW w:w="3906" w:type="pct"/>
          </w:tcPr>
          <w:p w14:paraId="70C17EB0" w14:textId="77777777" w:rsidR="00413188" w:rsidRPr="00413188" w:rsidRDefault="00413188" w:rsidP="00510D14">
            <w:pPr>
              <w:tabs>
                <w:tab w:val="center" w:pos="284"/>
              </w:tabs>
              <w:spacing w:line="264" w:lineRule="auto"/>
              <w:ind w:left="266" w:hanging="266"/>
              <w:rPr>
                <w:sz w:val="20"/>
                <w:szCs w:val="20"/>
              </w:rPr>
            </w:pPr>
            <w:r w:rsidRPr="00413188">
              <w:rPr>
                <w:sz w:val="20"/>
                <w:szCs w:val="20"/>
              </w:rPr>
              <w:t>Thomas Wagnsonner (skupina Zaměstnanci – AT)</w:t>
            </w:r>
          </w:p>
        </w:tc>
      </w:tr>
      <w:tr w:rsidR="00413188" w:rsidRPr="00A6689B" w14:paraId="28F1E85A" w14:textId="77777777" w:rsidTr="00510D14">
        <w:tc>
          <w:tcPr>
            <w:tcW w:w="1094" w:type="pct"/>
          </w:tcPr>
          <w:p w14:paraId="3198472C" w14:textId="77777777" w:rsidR="00413188" w:rsidRPr="00413188" w:rsidRDefault="00413188" w:rsidP="00510D14">
            <w:pPr>
              <w:tabs>
                <w:tab w:val="center" w:pos="284"/>
              </w:tabs>
              <w:spacing w:line="264" w:lineRule="auto"/>
              <w:ind w:left="266" w:hanging="266"/>
              <w:rPr>
                <w:b/>
                <w:sz w:val="20"/>
                <w:szCs w:val="20"/>
              </w:rPr>
            </w:pPr>
            <w:r w:rsidRPr="00413188">
              <w:rPr>
                <w:b/>
                <w:sz w:val="20"/>
                <w:szCs w:val="20"/>
              </w:rPr>
              <w:t>Spoluzpravodajka</w:t>
            </w:r>
          </w:p>
        </w:tc>
        <w:tc>
          <w:tcPr>
            <w:tcW w:w="3906" w:type="pct"/>
          </w:tcPr>
          <w:p w14:paraId="39EF35DB" w14:textId="77777777" w:rsidR="00413188" w:rsidRPr="00413188" w:rsidRDefault="00413188" w:rsidP="00510D14">
            <w:pPr>
              <w:tabs>
                <w:tab w:val="center" w:pos="284"/>
              </w:tabs>
              <w:spacing w:line="264" w:lineRule="auto"/>
              <w:ind w:left="266" w:hanging="266"/>
              <w:jc w:val="left"/>
              <w:rPr>
                <w:sz w:val="20"/>
                <w:szCs w:val="20"/>
              </w:rPr>
            </w:pPr>
            <w:r w:rsidRPr="00413188">
              <w:rPr>
                <w:sz w:val="20"/>
                <w:szCs w:val="20"/>
              </w:rPr>
              <w:t>Lidija Pavić-Rogošić (skupina Organizace občanské společnosti – HR)</w:t>
            </w:r>
          </w:p>
        </w:tc>
      </w:tr>
      <w:tr w:rsidR="00413188" w:rsidRPr="00A6689B" w14:paraId="328E20DD" w14:textId="77777777" w:rsidTr="00510D14">
        <w:tc>
          <w:tcPr>
            <w:tcW w:w="5000" w:type="pct"/>
            <w:gridSpan w:val="2"/>
          </w:tcPr>
          <w:p w14:paraId="636B9DB5" w14:textId="77777777" w:rsidR="00413188" w:rsidRPr="00413188" w:rsidRDefault="00413188" w:rsidP="00510D14">
            <w:pPr>
              <w:tabs>
                <w:tab w:val="center" w:pos="284"/>
              </w:tabs>
              <w:spacing w:line="264" w:lineRule="auto"/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  <w:tr w:rsidR="00413188" w:rsidRPr="00A6689B" w14:paraId="3CB09A7D" w14:textId="77777777" w:rsidTr="00510D14">
        <w:tc>
          <w:tcPr>
            <w:tcW w:w="1094" w:type="pct"/>
            <w:vMerge w:val="restart"/>
          </w:tcPr>
          <w:p w14:paraId="118F9EA5" w14:textId="77777777" w:rsidR="00413188" w:rsidRPr="00413188" w:rsidRDefault="00413188" w:rsidP="00510D14">
            <w:pPr>
              <w:tabs>
                <w:tab w:val="center" w:pos="284"/>
              </w:tabs>
              <w:spacing w:line="264" w:lineRule="auto"/>
              <w:ind w:left="266" w:hanging="266"/>
              <w:rPr>
                <w:b/>
                <w:sz w:val="20"/>
                <w:szCs w:val="20"/>
              </w:rPr>
            </w:pPr>
            <w:r w:rsidRPr="00413188">
              <w:rPr>
                <w:b/>
                <w:sz w:val="20"/>
                <w:szCs w:val="20"/>
              </w:rPr>
              <w:t>Odkaz</w:t>
            </w:r>
          </w:p>
        </w:tc>
        <w:tc>
          <w:tcPr>
            <w:tcW w:w="3906" w:type="pct"/>
          </w:tcPr>
          <w:p w14:paraId="4DC5EA0C" w14:textId="77777777" w:rsidR="00413188" w:rsidRPr="00413188" w:rsidRDefault="00413188" w:rsidP="00510D14">
            <w:pPr>
              <w:tabs>
                <w:tab w:val="center" w:pos="284"/>
              </w:tabs>
              <w:spacing w:line="264" w:lineRule="auto"/>
              <w:ind w:left="266" w:hanging="266"/>
              <w:rPr>
                <w:sz w:val="20"/>
                <w:szCs w:val="20"/>
              </w:rPr>
            </w:pPr>
            <w:r w:rsidRPr="00413188">
              <w:rPr>
                <w:sz w:val="20"/>
                <w:szCs w:val="20"/>
              </w:rPr>
              <w:t>EESC-2024-00515-00-00-AC</w:t>
            </w:r>
          </w:p>
        </w:tc>
      </w:tr>
      <w:tr w:rsidR="00413188" w:rsidRPr="00A6689B" w14:paraId="3384077E" w14:textId="77777777" w:rsidTr="00510D14">
        <w:tc>
          <w:tcPr>
            <w:tcW w:w="1094" w:type="pct"/>
            <w:vMerge/>
          </w:tcPr>
          <w:p w14:paraId="5E2375DD" w14:textId="77777777" w:rsidR="00413188" w:rsidRPr="00413188" w:rsidRDefault="00413188" w:rsidP="00510D14">
            <w:pPr>
              <w:tabs>
                <w:tab w:val="center" w:pos="284"/>
              </w:tabs>
              <w:spacing w:line="264" w:lineRule="auto"/>
              <w:ind w:left="266" w:hanging="266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06" w:type="pct"/>
          </w:tcPr>
          <w:p w14:paraId="116D91EE" w14:textId="77777777" w:rsidR="00413188" w:rsidRPr="00413188" w:rsidRDefault="00413188" w:rsidP="00510D14">
            <w:pPr>
              <w:tabs>
                <w:tab w:val="center" w:pos="284"/>
              </w:tabs>
              <w:spacing w:line="264" w:lineRule="auto"/>
              <w:ind w:left="266" w:hanging="266"/>
              <w:rPr>
                <w:sz w:val="20"/>
                <w:szCs w:val="20"/>
                <w:lang w:val="en-US"/>
              </w:rPr>
            </w:pPr>
          </w:p>
        </w:tc>
      </w:tr>
    </w:tbl>
    <w:p w14:paraId="6B2030CE" w14:textId="77777777" w:rsidR="00413188" w:rsidRPr="00A6689B" w:rsidRDefault="00413188" w:rsidP="00413188">
      <w:pPr>
        <w:keepNext/>
        <w:keepLines/>
        <w:tabs>
          <w:tab w:val="center" w:pos="284"/>
        </w:tabs>
        <w:spacing w:line="264" w:lineRule="auto"/>
        <w:ind w:left="266" w:hanging="266"/>
        <w:rPr>
          <w:b/>
        </w:rPr>
      </w:pPr>
      <w:r>
        <w:rPr>
          <w:b/>
        </w:rPr>
        <w:t>Hlavní body</w:t>
      </w:r>
    </w:p>
    <w:p w14:paraId="4CFD4C57" w14:textId="77777777" w:rsidR="00413188" w:rsidRPr="00A6689B" w:rsidRDefault="00413188" w:rsidP="00413188">
      <w:pPr>
        <w:keepNext/>
        <w:keepLines/>
        <w:tabs>
          <w:tab w:val="center" w:pos="284"/>
        </w:tabs>
        <w:spacing w:line="264" w:lineRule="auto"/>
        <w:ind w:left="266" w:hanging="266"/>
        <w:rPr>
          <w:b/>
        </w:rPr>
      </w:pPr>
    </w:p>
    <w:p w14:paraId="2C668909" w14:textId="77777777" w:rsidR="00413188" w:rsidRPr="00A6689B" w:rsidRDefault="00413188" w:rsidP="00413188">
      <w:pPr>
        <w:spacing w:line="264" w:lineRule="auto"/>
        <w:rPr>
          <w:bCs/>
          <w:iCs/>
        </w:rPr>
      </w:pPr>
      <w:r>
        <w:t>EHSV:</w:t>
      </w:r>
    </w:p>
    <w:p w14:paraId="74A3F988" w14:textId="77777777" w:rsidR="00413188" w:rsidRPr="00A6689B" w:rsidRDefault="00413188" w:rsidP="00413188">
      <w:pPr>
        <w:spacing w:line="264" w:lineRule="auto"/>
        <w:rPr>
          <w:bCs/>
          <w:iCs/>
        </w:rPr>
      </w:pPr>
    </w:p>
    <w:p w14:paraId="51A8B963" w14:textId="753F9E0E" w:rsidR="00413188" w:rsidRPr="001368C7" w:rsidRDefault="00413188" w:rsidP="00D32824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rPr>
          <w:bCs/>
          <w:iCs/>
        </w:rPr>
      </w:pPr>
      <w:r>
        <w:t>doporučuje, aby</w:t>
      </w:r>
      <w:r w:rsidRPr="001368C7">
        <w:rPr>
          <w:b/>
        </w:rPr>
        <w:t xml:space="preserve"> se zástupci mládeže účastnili všech právních činností zaměřených na mládež</w:t>
      </w:r>
      <w:r w:rsidR="006A1DF9">
        <w:t xml:space="preserve"> a </w:t>
      </w:r>
      <w:r>
        <w:t xml:space="preserve">aby byli mladí lidé zapojeni do </w:t>
      </w:r>
      <w:r w:rsidRPr="001368C7">
        <w:rPr>
          <w:b/>
        </w:rPr>
        <w:t>všech fází procesu tvorby politik</w:t>
      </w:r>
      <w:r>
        <w:t>, od rozhodování až po provádění</w:t>
      </w:r>
      <w:r w:rsidR="006A1DF9">
        <w:t xml:space="preserve"> a </w:t>
      </w:r>
      <w:r>
        <w:t xml:space="preserve">hodnocení politik; </w:t>
      </w:r>
    </w:p>
    <w:p w14:paraId="50DCE2DB" w14:textId="1295F1A8" w:rsidR="00413188" w:rsidRPr="001368C7" w:rsidRDefault="00413188" w:rsidP="00D32824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rPr>
          <w:bCs/>
          <w:iCs/>
        </w:rPr>
      </w:pPr>
      <w:r>
        <w:t xml:space="preserve">konstatuje, že </w:t>
      </w:r>
      <w:r w:rsidRPr="001368C7">
        <w:rPr>
          <w:b/>
        </w:rPr>
        <w:t>vzdělávací systémy by měly</w:t>
      </w:r>
      <w:r>
        <w:t xml:space="preserve"> více </w:t>
      </w:r>
      <w:r w:rsidRPr="001368C7">
        <w:rPr>
          <w:b/>
        </w:rPr>
        <w:t>podporovat občanskou angažovanost</w:t>
      </w:r>
      <w:r>
        <w:t xml:space="preserve"> prostřednictvím </w:t>
      </w:r>
      <w:r w:rsidRPr="001368C7">
        <w:rPr>
          <w:b/>
        </w:rPr>
        <w:t>participativních procesů</w:t>
      </w:r>
      <w:r w:rsidR="006A1DF9">
        <w:t xml:space="preserve"> a </w:t>
      </w:r>
      <w:r>
        <w:t xml:space="preserve">vytvářet </w:t>
      </w:r>
      <w:r w:rsidRPr="001368C7">
        <w:rPr>
          <w:b/>
        </w:rPr>
        <w:t>podpůrné ucelené systémy</w:t>
      </w:r>
      <w:r>
        <w:t xml:space="preserve"> pro získávání vhodných dovedností, aby se mladí lidé mohli sebejistě zapojovat do institucionálních procesů;</w:t>
      </w:r>
    </w:p>
    <w:p w14:paraId="44F7C7DF" w14:textId="15FB2564" w:rsidR="00413188" w:rsidRPr="001368C7" w:rsidRDefault="00413188" w:rsidP="00D32824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rPr>
          <w:bCs/>
          <w:iCs/>
        </w:rPr>
      </w:pPr>
      <w:r>
        <w:t>má za to, že by</w:t>
      </w:r>
      <w:r w:rsidRPr="001368C7">
        <w:rPr>
          <w:b/>
        </w:rPr>
        <w:t xml:space="preserve"> organizace občanské společnosti</w:t>
      </w:r>
      <w:r w:rsidR="006A1DF9">
        <w:rPr>
          <w:b/>
        </w:rPr>
        <w:t xml:space="preserve"> a </w:t>
      </w:r>
      <w:r w:rsidRPr="001368C7">
        <w:rPr>
          <w:b/>
        </w:rPr>
        <w:t>sociálních partnerů měly</w:t>
      </w:r>
      <w:r>
        <w:t xml:space="preserve"> více </w:t>
      </w:r>
      <w:r w:rsidRPr="001368C7">
        <w:rPr>
          <w:b/>
        </w:rPr>
        <w:t>podporovat mladé lidi</w:t>
      </w:r>
      <w:r>
        <w:t xml:space="preserve"> tím, že budou pořádat </w:t>
      </w:r>
      <w:r w:rsidRPr="001368C7">
        <w:rPr>
          <w:b/>
        </w:rPr>
        <w:t>semináře zaměřené na budování kapacit</w:t>
      </w:r>
      <w:r>
        <w:t>, aby jim usnadnili získávání zdrojů</w:t>
      </w:r>
      <w:r w:rsidR="006A1DF9">
        <w:t xml:space="preserve"> a </w:t>
      </w:r>
      <w:r>
        <w:t xml:space="preserve">možností zapojení; </w:t>
      </w:r>
    </w:p>
    <w:p w14:paraId="70BB8775" w14:textId="17317DD7" w:rsidR="00413188" w:rsidRPr="001368C7" w:rsidRDefault="00413188" w:rsidP="00D32824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rPr>
          <w:bCs/>
          <w:iCs/>
        </w:rPr>
      </w:pPr>
      <w:r>
        <w:t xml:space="preserve">zdůrazňuje </w:t>
      </w:r>
      <w:r w:rsidRPr="001368C7">
        <w:rPr>
          <w:b/>
        </w:rPr>
        <w:t>význam výzkumu</w:t>
      </w:r>
      <w:r>
        <w:t xml:space="preserve">, který se zabývá </w:t>
      </w:r>
      <w:r w:rsidRPr="001368C7">
        <w:rPr>
          <w:b/>
        </w:rPr>
        <w:t>uplatněním mladých lidí na trhu práce</w:t>
      </w:r>
      <w:r w:rsidR="006A1DF9">
        <w:rPr>
          <w:b/>
        </w:rPr>
        <w:t xml:space="preserve"> a </w:t>
      </w:r>
      <w:r w:rsidRPr="001368C7">
        <w:rPr>
          <w:b/>
        </w:rPr>
        <w:t>jejich zapojením do vzdělávání, participativních procesů</w:t>
      </w:r>
      <w:r w:rsidR="006A1DF9">
        <w:t xml:space="preserve"> a </w:t>
      </w:r>
      <w:r>
        <w:t xml:space="preserve">komunitního života; </w:t>
      </w:r>
    </w:p>
    <w:p w14:paraId="65487E5A" w14:textId="5282A57C" w:rsidR="00413188" w:rsidRPr="001368C7" w:rsidRDefault="00413188" w:rsidP="00D32824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rPr>
          <w:bCs/>
          <w:iCs/>
        </w:rPr>
      </w:pPr>
      <w:r>
        <w:t xml:space="preserve">zdůrazňuje, že </w:t>
      </w:r>
      <w:r w:rsidRPr="001368C7">
        <w:rPr>
          <w:b/>
        </w:rPr>
        <w:t>motivování mladých pracovníků</w:t>
      </w:r>
      <w:r w:rsidR="006A1DF9">
        <w:t xml:space="preserve"> k </w:t>
      </w:r>
      <w:r>
        <w:t xml:space="preserve">účasti na </w:t>
      </w:r>
      <w:r w:rsidRPr="001368C7">
        <w:rPr>
          <w:b/>
        </w:rPr>
        <w:t>kolektivním vyjednávání</w:t>
      </w:r>
      <w:r w:rsidR="006A1DF9">
        <w:t xml:space="preserve"> a </w:t>
      </w:r>
      <w:r>
        <w:t xml:space="preserve">vytvoření </w:t>
      </w:r>
      <w:r w:rsidRPr="001368C7">
        <w:rPr>
          <w:b/>
        </w:rPr>
        <w:t>struktur zaměřených na reprezentaci mládeže na úrovni podniků</w:t>
      </w:r>
      <w:r>
        <w:t xml:space="preserve"> představuje účinný způsob, jak strukturálně začlenit účast mládeže do struktur sociálního dialogu;</w:t>
      </w:r>
    </w:p>
    <w:p w14:paraId="29241D6F" w14:textId="5547318E" w:rsidR="00413188" w:rsidRPr="001368C7" w:rsidRDefault="00413188" w:rsidP="00D32824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rPr>
          <w:bCs/>
          <w:iCs/>
        </w:rPr>
      </w:pPr>
      <w:r>
        <w:t>konstatuje, že by se mělo posílit zastoupení mládežnických organizací</w:t>
      </w:r>
      <w:r w:rsidR="006A1DF9">
        <w:t xml:space="preserve"> a </w:t>
      </w:r>
      <w:r>
        <w:t>rad mládeže</w:t>
      </w:r>
      <w:r w:rsidR="006A1DF9">
        <w:t xml:space="preserve"> v </w:t>
      </w:r>
      <w:r>
        <w:t xml:space="preserve">diskusích se státními orgány tím, že </w:t>
      </w:r>
      <w:r w:rsidRPr="001368C7">
        <w:rPr>
          <w:b/>
        </w:rPr>
        <w:t>pracovníci</w:t>
      </w:r>
      <w:r w:rsidR="006A1DF9">
        <w:rPr>
          <w:b/>
        </w:rPr>
        <w:t xml:space="preserve"> s </w:t>
      </w:r>
      <w:r w:rsidRPr="001368C7">
        <w:rPr>
          <w:b/>
        </w:rPr>
        <w:t>mládeží budou uznáváni jako klíčoví aktéři při konzultacích</w:t>
      </w:r>
      <w:r w:rsidR="006A1DF9">
        <w:t xml:space="preserve"> a </w:t>
      </w:r>
      <w:r>
        <w:t>bude jim poskytnut nezbytný prostor</w:t>
      </w:r>
      <w:r w:rsidR="006A1DF9">
        <w:t xml:space="preserve"> a </w:t>
      </w:r>
      <w:r>
        <w:t>zdroje, aby</w:t>
      </w:r>
      <w:r w:rsidR="006A1DF9">
        <w:t xml:space="preserve"> k </w:t>
      </w:r>
      <w:r>
        <w:t>nim mohli účinně přispívat;</w:t>
      </w:r>
    </w:p>
    <w:p w14:paraId="698A03E3" w14:textId="13F5E3DC" w:rsidR="00413188" w:rsidRPr="001368C7" w:rsidRDefault="00413188" w:rsidP="00D32824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rPr>
          <w:bCs/>
          <w:iCs/>
        </w:rPr>
      </w:pPr>
      <w:r>
        <w:t xml:space="preserve">zdůrazňuje, že země ve Středomoří často </w:t>
      </w:r>
      <w:r w:rsidRPr="001368C7">
        <w:rPr>
          <w:b/>
        </w:rPr>
        <w:t>nemají dostačující nebo vhodné rámce pro účinný sociální dialog</w:t>
      </w:r>
      <w:r>
        <w:t>,</w:t>
      </w:r>
      <w:r w:rsidR="006A1DF9">
        <w:t xml:space="preserve"> a </w:t>
      </w:r>
      <w:r>
        <w:t xml:space="preserve">proto zdůrazňuje, že je nutné </w:t>
      </w:r>
      <w:r w:rsidRPr="001368C7">
        <w:rPr>
          <w:b/>
        </w:rPr>
        <w:t>posílit sociální dialog</w:t>
      </w:r>
      <w:r>
        <w:t xml:space="preserve"> zejména na </w:t>
      </w:r>
      <w:r w:rsidRPr="001368C7">
        <w:rPr>
          <w:b/>
        </w:rPr>
        <w:t>celostátní, odvětvové</w:t>
      </w:r>
      <w:r w:rsidR="006A1DF9">
        <w:rPr>
          <w:b/>
        </w:rPr>
        <w:t xml:space="preserve"> a </w:t>
      </w:r>
      <w:r w:rsidRPr="001368C7">
        <w:rPr>
          <w:b/>
        </w:rPr>
        <w:t>podnikové úrovni</w:t>
      </w:r>
      <w:r>
        <w:t xml:space="preserve"> díky úplnému provedení klíčových </w:t>
      </w:r>
      <w:r w:rsidRPr="001368C7">
        <w:rPr>
          <w:b/>
        </w:rPr>
        <w:t>úmluv MOP</w:t>
      </w:r>
      <w:r w:rsidR="006A1DF9">
        <w:rPr>
          <w:b/>
        </w:rPr>
        <w:t xml:space="preserve"> o </w:t>
      </w:r>
      <w:r w:rsidRPr="001368C7">
        <w:rPr>
          <w:b/>
        </w:rPr>
        <w:t>sociálním dialogu</w:t>
      </w:r>
      <w:r>
        <w:t>;</w:t>
      </w:r>
    </w:p>
    <w:p w14:paraId="6EC41020" w14:textId="1D475D12" w:rsidR="00413188" w:rsidRPr="001368C7" w:rsidRDefault="00413188" w:rsidP="00D32824">
      <w:pPr>
        <w:pStyle w:val="ListParagraph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rPr>
          <w:bCs/>
          <w:iCs/>
        </w:rPr>
      </w:pPr>
      <w:r>
        <w:t xml:space="preserve">vyzývá Evropskou komisi, aby podpořila třetí fázi projektu </w:t>
      </w:r>
      <w:r w:rsidRPr="001368C7">
        <w:rPr>
          <w:b/>
        </w:rPr>
        <w:t>sociálního dialogu</w:t>
      </w:r>
      <w:r w:rsidR="006A1DF9">
        <w:rPr>
          <w:b/>
        </w:rPr>
        <w:t xml:space="preserve"> v </w:t>
      </w:r>
      <w:r w:rsidRPr="001368C7">
        <w:rPr>
          <w:b/>
        </w:rPr>
        <w:t>jižním Středomoří (SOLiD)</w:t>
      </w:r>
      <w:r>
        <w:t>, který by měl být využit</w:t>
      </w:r>
      <w:r w:rsidR="006A1DF9">
        <w:t xml:space="preserve"> k </w:t>
      </w:r>
      <w:r w:rsidRPr="001368C7">
        <w:rPr>
          <w:b/>
        </w:rPr>
        <w:t>sepsání Charty mládeže</w:t>
      </w:r>
      <w:r>
        <w:t>,</w:t>
      </w:r>
      <w:r w:rsidR="006A1DF9">
        <w:t xml:space="preserve"> a </w:t>
      </w:r>
      <w:r>
        <w:t xml:space="preserve">aby rovněž prozkoumala možnost vytvořit </w:t>
      </w:r>
      <w:r w:rsidRPr="001368C7">
        <w:rPr>
          <w:b/>
        </w:rPr>
        <w:t>mechanismy konzultací zaměřených na problematiku mládeže</w:t>
      </w:r>
      <w:r>
        <w:t>.</w:t>
      </w:r>
    </w:p>
    <w:p w14:paraId="72AB94B5" w14:textId="77777777" w:rsidR="00413188" w:rsidRPr="00114CCC" w:rsidRDefault="00413188" w:rsidP="00413188">
      <w:pPr>
        <w:widowControl w:val="0"/>
        <w:spacing w:line="264" w:lineRule="auto"/>
        <w:ind w:left="709"/>
      </w:pPr>
    </w:p>
    <w:tbl>
      <w:tblPr>
        <w:tblStyle w:val="TableGrid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5"/>
      </w:tblGrid>
      <w:tr w:rsidR="00413188" w:rsidRPr="00413188" w14:paraId="4BB20359" w14:textId="77777777" w:rsidTr="00510D14">
        <w:tc>
          <w:tcPr>
            <w:tcW w:w="1556" w:type="pct"/>
          </w:tcPr>
          <w:p w14:paraId="3B74D1F9" w14:textId="77777777" w:rsidR="00413188" w:rsidRPr="00413188" w:rsidRDefault="00413188" w:rsidP="00510D14">
            <w:pPr>
              <w:spacing w:line="264" w:lineRule="auto"/>
              <w:rPr>
                <w:i/>
                <w:sz w:val="20"/>
                <w:szCs w:val="20"/>
              </w:rPr>
            </w:pPr>
            <w:r w:rsidRPr="00413188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444" w:type="pct"/>
          </w:tcPr>
          <w:p w14:paraId="0BA81ECB" w14:textId="77777777" w:rsidR="00413188" w:rsidRPr="00413188" w:rsidRDefault="00413188" w:rsidP="00510D14">
            <w:pPr>
              <w:spacing w:line="264" w:lineRule="auto"/>
              <w:rPr>
                <w:i/>
                <w:sz w:val="20"/>
                <w:szCs w:val="20"/>
              </w:rPr>
            </w:pPr>
            <w:r w:rsidRPr="00413188">
              <w:rPr>
                <w:i/>
                <w:sz w:val="20"/>
                <w:szCs w:val="20"/>
              </w:rPr>
              <w:t>Andreas Berger</w:t>
            </w:r>
          </w:p>
        </w:tc>
      </w:tr>
      <w:tr w:rsidR="00413188" w:rsidRPr="00413188" w14:paraId="0C4308A6" w14:textId="77777777" w:rsidTr="00510D14">
        <w:tc>
          <w:tcPr>
            <w:tcW w:w="1556" w:type="pct"/>
          </w:tcPr>
          <w:p w14:paraId="0737509E" w14:textId="77777777" w:rsidR="00413188" w:rsidRPr="00413188" w:rsidRDefault="00413188" w:rsidP="00510D14">
            <w:pPr>
              <w:spacing w:line="264" w:lineRule="auto"/>
              <w:rPr>
                <w:i/>
                <w:sz w:val="20"/>
                <w:szCs w:val="20"/>
              </w:rPr>
            </w:pPr>
            <w:r w:rsidRPr="00413188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444" w:type="pct"/>
          </w:tcPr>
          <w:p w14:paraId="701C645C" w14:textId="77777777" w:rsidR="00413188" w:rsidRPr="00413188" w:rsidRDefault="00413188" w:rsidP="00510D14">
            <w:pPr>
              <w:spacing w:line="264" w:lineRule="auto"/>
              <w:rPr>
                <w:i/>
                <w:sz w:val="20"/>
                <w:szCs w:val="20"/>
              </w:rPr>
            </w:pPr>
            <w:r w:rsidRPr="00413188">
              <w:rPr>
                <w:i/>
                <w:sz w:val="20"/>
                <w:szCs w:val="20"/>
              </w:rPr>
              <w:t>+32 25469062</w:t>
            </w:r>
          </w:p>
        </w:tc>
      </w:tr>
      <w:tr w:rsidR="00413188" w:rsidRPr="00413188" w14:paraId="405080D8" w14:textId="77777777" w:rsidTr="00510D14">
        <w:tc>
          <w:tcPr>
            <w:tcW w:w="1556" w:type="pct"/>
          </w:tcPr>
          <w:p w14:paraId="02AF7916" w14:textId="77777777" w:rsidR="00413188" w:rsidRPr="00413188" w:rsidRDefault="00413188" w:rsidP="00510D14">
            <w:pPr>
              <w:spacing w:line="264" w:lineRule="auto"/>
              <w:rPr>
                <w:i/>
                <w:sz w:val="20"/>
                <w:szCs w:val="20"/>
              </w:rPr>
            </w:pPr>
            <w:r w:rsidRPr="00413188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444" w:type="pct"/>
          </w:tcPr>
          <w:p w14:paraId="20C4FDFC" w14:textId="77777777" w:rsidR="00413188" w:rsidRPr="00413188" w:rsidRDefault="00413188" w:rsidP="00510D14">
            <w:pPr>
              <w:spacing w:line="264" w:lineRule="auto"/>
              <w:rPr>
                <w:i/>
                <w:sz w:val="20"/>
                <w:szCs w:val="20"/>
              </w:rPr>
            </w:pPr>
            <w:hyperlink r:id="rId33" w:history="1">
              <w:r w:rsidRPr="00413188">
                <w:rPr>
                  <w:rStyle w:val="Hyperlink"/>
                  <w:i/>
                  <w:sz w:val="20"/>
                  <w:szCs w:val="20"/>
                </w:rPr>
                <w:t>Andreas.Berger@eesc.europa.eu</w:t>
              </w:r>
            </w:hyperlink>
          </w:p>
        </w:tc>
      </w:tr>
    </w:tbl>
    <w:p w14:paraId="2E28EF19" w14:textId="5882E95A" w:rsidR="000D394D" w:rsidRDefault="00726351" w:rsidP="0060010D">
      <w:pPr>
        <w:jc w:val="center"/>
      </w:pPr>
      <w:r>
        <w:t>_____________</w:t>
      </w:r>
    </w:p>
    <w:sectPr w:rsidR="000D394D" w:rsidSect="00EE160A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0FBB" w14:textId="77777777" w:rsidR="001E391D" w:rsidRDefault="001E391D" w:rsidP="00B518C9">
      <w:pPr>
        <w:spacing w:line="240" w:lineRule="auto"/>
      </w:pPr>
      <w:r>
        <w:separator/>
      </w:r>
    </w:p>
    <w:p w14:paraId="6A7B786B" w14:textId="77777777" w:rsidR="0067428C" w:rsidRDefault="0067428C"/>
  </w:endnote>
  <w:endnote w:type="continuationSeparator" w:id="0">
    <w:p w14:paraId="11583423" w14:textId="77777777" w:rsidR="001E391D" w:rsidRDefault="001E391D" w:rsidP="00B518C9">
      <w:pPr>
        <w:spacing w:line="240" w:lineRule="auto"/>
      </w:pPr>
      <w:r>
        <w:continuationSeparator/>
      </w:r>
    </w:p>
    <w:p w14:paraId="39BAB809" w14:textId="77777777" w:rsidR="0067428C" w:rsidRDefault="006742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DE51" w14:textId="0B3A5CA6" w:rsidR="00B518C9" w:rsidRPr="00EE160A" w:rsidRDefault="00EE160A" w:rsidP="00EE160A">
    <w:pPr>
      <w:pStyle w:val="Footer"/>
    </w:pPr>
    <w:r>
      <w:t xml:space="preserve">EESC-2024-04576-00-00-TCD-TRA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0010D">
      <w:t>1</w:t>
    </w:r>
    <w:r>
      <w:fldChar w:fldCharType="end"/>
    </w:r>
    <w:r>
      <w:t>/</w:t>
    </w:r>
    <w:fldSimple w:instr=" NUMPAGES ">
      <w:r w:rsidR="0060010D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E05C" w14:textId="77777777" w:rsidR="00EE160A" w:rsidRPr="00EE160A" w:rsidRDefault="00EE160A" w:rsidP="00EE160A">
    <w:pPr>
      <w:pStyle w:val="Footer"/>
    </w:pPr>
  </w:p>
  <w:p w14:paraId="4A980EDD" w14:textId="77777777" w:rsidR="0067428C" w:rsidRDefault="006742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A535" w14:textId="4ACCB52D" w:rsidR="0067428C" w:rsidRDefault="00EE160A" w:rsidP="00EE160A">
    <w:pPr>
      <w:pStyle w:val="Footer"/>
    </w:pPr>
    <w:r>
      <w:t xml:space="preserve">EESC-2024-04576-00-00-TCD-TRA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20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99D3" w14:textId="77777777" w:rsidR="00EE160A" w:rsidRPr="00EE160A" w:rsidRDefault="00EE160A" w:rsidP="00EE1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DB26" w14:textId="77777777" w:rsidR="001E391D" w:rsidRDefault="001E391D" w:rsidP="00B518C9">
      <w:pPr>
        <w:spacing w:line="240" w:lineRule="auto"/>
      </w:pPr>
      <w:r>
        <w:separator/>
      </w:r>
    </w:p>
    <w:p w14:paraId="08E2B71D" w14:textId="77777777" w:rsidR="0067428C" w:rsidRDefault="0067428C"/>
  </w:footnote>
  <w:footnote w:type="continuationSeparator" w:id="0">
    <w:p w14:paraId="1175CF01" w14:textId="77777777" w:rsidR="001E391D" w:rsidRDefault="001E391D" w:rsidP="00B518C9">
      <w:pPr>
        <w:spacing w:line="240" w:lineRule="auto"/>
      </w:pPr>
      <w:r>
        <w:continuationSeparator/>
      </w:r>
    </w:p>
    <w:p w14:paraId="51B8FE93" w14:textId="77777777" w:rsidR="0067428C" w:rsidRDefault="006742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5832" w14:textId="77777777" w:rsidR="00EE160A" w:rsidRPr="00EE160A" w:rsidRDefault="00EE160A" w:rsidP="00EE160A">
    <w:pPr>
      <w:pStyle w:val="Header"/>
    </w:pPr>
  </w:p>
  <w:p w14:paraId="30C7FC30" w14:textId="77777777" w:rsidR="0067428C" w:rsidRDefault="006742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2C5D" w14:textId="77777777" w:rsidR="0067428C" w:rsidRPr="00EE160A" w:rsidRDefault="0067428C" w:rsidP="00EE1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5D0A" w14:textId="77777777" w:rsidR="00EE160A" w:rsidRPr="00EE160A" w:rsidRDefault="00EE160A" w:rsidP="00EE1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E78A658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C97AF652"/>
    <w:lvl w:ilvl="0">
      <w:numFmt w:val="decimal"/>
      <w:lvlText w:val="*"/>
      <w:lvlJc w:val="left"/>
    </w:lvl>
  </w:abstractNum>
  <w:abstractNum w:abstractNumId="2" w15:restartNumberingAfterBreak="0">
    <w:nsid w:val="00AA2461"/>
    <w:multiLevelType w:val="hybridMultilevel"/>
    <w:tmpl w:val="F9B2C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25E33"/>
    <w:multiLevelType w:val="hybridMultilevel"/>
    <w:tmpl w:val="11CE6238"/>
    <w:lvl w:ilvl="0" w:tplc="4D645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D2797"/>
    <w:multiLevelType w:val="hybridMultilevel"/>
    <w:tmpl w:val="17162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75156"/>
    <w:multiLevelType w:val="hybridMultilevel"/>
    <w:tmpl w:val="7A50B5B6"/>
    <w:lvl w:ilvl="0" w:tplc="7760318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4F2F70"/>
    <w:multiLevelType w:val="hybridMultilevel"/>
    <w:tmpl w:val="D4542328"/>
    <w:lvl w:ilvl="0" w:tplc="09460FF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D8728A4"/>
    <w:multiLevelType w:val="hybridMultilevel"/>
    <w:tmpl w:val="CE56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C1308"/>
    <w:multiLevelType w:val="hybridMultilevel"/>
    <w:tmpl w:val="8AB8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A3065"/>
    <w:multiLevelType w:val="multilevel"/>
    <w:tmpl w:val="B6DEEF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0B785C"/>
    <w:multiLevelType w:val="hybridMultilevel"/>
    <w:tmpl w:val="CC6A90FA"/>
    <w:lvl w:ilvl="0" w:tplc="AF12CBD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C06228"/>
    <w:multiLevelType w:val="hybridMultilevel"/>
    <w:tmpl w:val="FB56B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491D67"/>
    <w:multiLevelType w:val="multilevel"/>
    <w:tmpl w:val="D56ABE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8650E"/>
    <w:multiLevelType w:val="multilevel"/>
    <w:tmpl w:val="BCEADD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873D06"/>
    <w:multiLevelType w:val="hybridMultilevel"/>
    <w:tmpl w:val="7A68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6575D"/>
    <w:multiLevelType w:val="hybridMultilevel"/>
    <w:tmpl w:val="43486F84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F12CBD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21B6F"/>
    <w:multiLevelType w:val="multilevel"/>
    <w:tmpl w:val="D690E6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C50B29"/>
    <w:multiLevelType w:val="hybridMultilevel"/>
    <w:tmpl w:val="CADE636E"/>
    <w:lvl w:ilvl="0" w:tplc="B6CEA7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5F56E6"/>
    <w:multiLevelType w:val="hybridMultilevel"/>
    <w:tmpl w:val="10B8B8DE"/>
    <w:lvl w:ilvl="0" w:tplc="B6CEA7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5F2241"/>
    <w:multiLevelType w:val="hybridMultilevel"/>
    <w:tmpl w:val="AA8C266C"/>
    <w:lvl w:ilvl="0" w:tplc="72BE5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B6CEA7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E150A"/>
    <w:multiLevelType w:val="hybridMultilevel"/>
    <w:tmpl w:val="93F6C0A0"/>
    <w:lvl w:ilvl="0" w:tplc="4D645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040CE"/>
    <w:multiLevelType w:val="hybridMultilevel"/>
    <w:tmpl w:val="1B5AB524"/>
    <w:lvl w:ilvl="0" w:tplc="72BE52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BC6AAE"/>
    <w:multiLevelType w:val="hybridMultilevel"/>
    <w:tmpl w:val="D1262386"/>
    <w:lvl w:ilvl="0" w:tplc="B6CEA7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0E755C9"/>
    <w:multiLevelType w:val="hybridMultilevel"/>
    <w:tmpl w:val="B3C657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1DE4B69"/>
    <w:multiLevelType w:val="hybridMultilevel"/>
    <w:tmpl w:val="891EDEC6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B5515"/>
    <w:multiLevelType w:val="hybridMultilevel"/>
    <w:tmpl w:val="693A4304"/>
    <w:lvl w:ilvl="0" w:tplc="AF12CB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EC65EF"/>
    <w:multiLevelType w:val="hybridMultilevel"/>
    <w:tmpl w:val="3D7ADF28"/>
    <w:lvl w:ilvl="0" w:tplc="AF12CB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483721"/>
    <w:multiLevelType w:val="multilevel"/>
    <w:tmpl w:val="D3ACF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C00A62"/>
    <w:multiLevelType w:val="hybridMultilevel"/>
    <w:tmpl w:val="59F2225A"/>
    <w:lvl w:ilvl="0" w:tplc="B6CEA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92FE9"/>
    <w:multiLevelType w:val="hybridMultilevel"/>
    <w:tmpl w:val="7D409E8C"/>
    <w:lvl w:ilvl="0" w:tplc="B6CEA7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00962DD"/>
    <w:multiLevelType w:val="hybridMultilevel"/>
    <w:tmpl w:val="7E96C0B4"/>
    <w:lvl w:ilvl="0" w:tplc="72BE5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5F3BCA"/>
    <w:multiLevelType w:val="hybridMultilevel"/>
    <w:tmpl w:val="D7E6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A616C"/>
    <w:multiLevelType w:val="hybridMultilevel"/>
    <w:tmpl w:val="4D90FFD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2173C0A"/>
    <w:multiLevelType w:val="hybridMultilevel"/>
    <w:tmpl w:val="7148644C"/>
    <w:lvl w:ilvl="0" w:tplc="B6CEA7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4340C0"/>
    <w:multiLevelType w:val="hybridMultilevel"/>
    <w:tmpl w:val="6E2AC2F2"/>
    <w:lvl w:ilvl="0" w:tplc="B6CEA7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AE04918"/>
    <w:multiLevelType w:val="hybridMultilevel"/>
    <w:tmpl w:val="E4EA7E5C"/>
    <w:lvl w:ilvl="0" w:tplc="AF12CBD4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4F0D630B"/>
    <w:multiLevelType w:val="hybridMultilevel"/>
    <w:tmpl w:val="C5CCC4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4D7876"/>
    <w:multiLevelType w:val="multilevel"/>
    <w:tmpl w:val="D690E6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050CAD"/>
    <w:multiLevelType w:val="hybridMultilevel"/>
    <w:tmpl w:val="1A5A5EFE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0837B0"/>
    <w:multiLevelType w:val="hybridMultilevel"/>
    <w:tmpl w:val="1FBE17A4"/>
    <w:lvl w:ilvl="0" w:tplc="AF12CBD4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B674753"/>
    <w:multiLevelType w:val="hybridMultilevel"/>
    <w:tmpl w:val="0AC68FFE"/>
    <w:lvl w:ilvl="0" w:tplc="B6CEA7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15E179C"/>
    <w:multiLevelType w:val="multilevel"/>
    <w:tmpl w:val="ADBC76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757837"/>
    <w:multiLevelType w:val="hybridMultilevel"/>
    <w:tmpl w:val="BD888486"/>
    <w:lvl w:ilvl="0" w:tplc="72BE52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546C05"/>
    <w:multiLevelType w:val="hybridMultilevel"/>
    <w:tmpl w:val="75024BC6"/>
    <w:lvl w:ilvl="0" w:tplc="AF12CBD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68131E0"/>
    <w:multiLevelType w:val="hybridMultilevel"/>
    <w:tmpl w:val="BD6A117A"/>
    <w:lvl w:ilvl="0" w:tplc="72BE52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D76F1C"/>
    <w:multiLevelType w:val="hybridMultilevel"/>
    <w:tmpl w:val="0C10445A"/>
    <w:lvl w:ilvl="0" w:tplc="72BE5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060C86"/>
    <w:multiLevelType w:val="hybridMultilevel"/>
    <w:tmpl w:val="98FEC9B2"/>
    <w:lvl w:ilvl="0" w:tplc="AF12CBD4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93A17A7"/>
    <w:multiLevelType w:val="hybridMultilevel"/>
    <w:tmpl w:val="BD98EEE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9CD19CB"/>
    <w:multiLevelType w:val="hybridMultilevel"/>
    <w:tmpl w:val="4CC0F4A8"/>
    <w:lvl w:ilvl="0" w:tplc="B6CEA7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0" w15:restartNumberingAfterBreak="0">
    <w:nsid w:val="6C5016E5"/>
    <w:multiLevelType w:val="hybridMultilevel"/>
    <w:tmpl w:val="1B9465C8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8A7397"/>
    <w:multiLevelType w:val="hybridMultilevel"/>
    <w:tmpl w:val="8A72C30E"/>
    <w:lvl w:ilvl="0" w:tplc="B6CEA7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F75235B"/>
    <w:multiLevelType w:val="hybridMultilevel"/>
    <w:tmpl w:val="D9B4837A"/>
    <w:lvl w:ilvl="0" w:tplc="B6CEA7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14946EC"/>
    <w:multiLevelType w:val="hybridMultilevel"/>
    <w:tmpl w:val="E97020F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4" w15:restartNumberingAfterBreak="0">
    <w:nsid w:val="73BD5860"/>
    <w:multiLevelType w:val="hybridMultilevel"/>
    <w:tmpl w:val="276A6E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921077"/>
    <w:multiLevelType w:val="hybridMultilevel"/>
    <w:tmpl w:val="B37C1456"/>
    <w:lvl w:ilvl="0" w:tplc="4D645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985C0D"/>
    <w:multiLevelType w:val="hybridMultilevel"/>
    <w:tmpl w:val="5454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CD744B"/>
    <w:multiLevelType w:val="hybridMultilevel"/>
    <w:tmpl w:val="85688018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2C1C8C"/>
    <w:multiLevelType w:val="hybridMultilevel"/>
    <w:tmpl w:val="6C00BF66"/>
    <w:lvl w:ilvl="0" w:tplc="AF12CBD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BFB222A"/>
    <w:multiLevelType w:val="multilevel"/>
    <w:tmpl w:val="AB02D8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4744B9"/>
    <w:multiLevelType w:val="hybridMultilevel"/>
    <w:tmpl w:val="C98C8974"/>
    <w:lvl w:ilvl="0" w:tplc="AF12CB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3721005">
    <w:abstractNumId w:val="0"/>
  </w:num>
  <w:num w:numId="2" w16cid:durableId="1060978478">
    <w:abstractNumId w:val="49"/>
  </w:num>
  <w:num w:numId="3" w16cid:durableId="2102488977">
    <w:abstractNumId w:val="55"/>
  </w:num>
  <w:num w:numId="4" w16cid:durableId="114546467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5" w16cid:durableId="1582257087">
    <w:abstractNumId w:val="36"/>
  </w:num>
  <w:num w:numId="6" w16cid:durableId="1406033522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7" w16cid:durableId="129978666">
    <w:abstractNumId w:val="19"/>
  </w:num>
  <w:num w:numId="8" w16cid:durableId="1530147017">
    <w:abstractNumId w:val="21"/>
  </w:num>
  <w:num w:numId="9" w16cid:durableId="822233263">
    <w:abstractNumId w:val="18"/>
  </w:num>
  <w:num w:numId="10" w16cid:durableId="90434068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color w:val="auto"/>
          <w:sz w:val="22"/>
          <w:szCs w:val="22"/>
        </w:rPr>
      </w:lvl>
    </w:lvlOverride>
  </w:num>
  <w:num w:numId="11" w16cid:durableId="1402945159">
    <w:abstractNumId w:val="42"/>
  </w:num>
  <w:num w:numId="12" w16cid:durableId="2011567841">
    <w:abstractNumId w:val="9"/>
  </w:num>
  <w:num w:numId="13" w16cid:durableId="1450657882">
    <w:abstractNumId w:val="11"/>
  </w:num>
  <w:num w:numId="14" w16cid:durableId="92229706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2"/>
          <w:szCs w:val="22"/>
        </w:rPr>
      </w:lvl>
    </w:lvlOverride>
  </w:num>
  <w:num w:numId="15" w16cid:durableId="1814448745">
    <w:abstractNumId w:val="51"/>
  </w:num>
  <w:num w:numId="16" w16cid:durableId="1103568576">
    <w:abstractNumId w:val="28"/>
  </w:num>
  <w:num w:numId="17" w16cid:durableId="1195077251">
    <w:abstractNumId w:val="52"/>
  </w:num>
  <w:num w:numId="18" w16cid:durableId="97993840">
    <w:abstractNumId w:val="40"/>
  </w:num>
  <w:num w:numId="19" w16cid:durableId="2116096551">
    <w:abstractNumId w:val="34"/>
  </w:num>
  <w:num w:numId="20" w16cid:durableId="1383404054">
    <w:abstractNumId w:val="29"/>
  </w:num>
  <w:num w:numId="21" w16cid:durableId="269166795">
    <w:abstractNumId w:val="48"/>
  </w:num>
  <w:num w:numId="22" w16cid:durableId="693848547">
    <w:abstractNumId w:val="33"/>
  </w:num>
  <w:num w:numId="23" w16cid:durableId="996107109">
    <w:abstractNumId w:val="17"/>
  </w:num>
  <w:num w:numId="24" w16cid:durableId="966010685">
    <w:abstractNumId w:val="22"/>
  </w:num>
  <w:num w:numId="25" w16cid:durableId="1040743645">
    <w:abstractNumId w:val="37"/>
  </w:num>
  <w:num w:numId="26" w16cid:durableId="87624601">
    <w:abstractNumId w:val="16"/>
  </w:num>
  <w:num w:numId="27" w16cid:durableId="1678383895">
    <w:abstractNumId w:val="60"/>
  </w:num>
  <w:num w:numId="28" w16cid:durableId="394932643">
    <w:abstractNumId w:val="13"/>
  </w:num>
  <w:num w:numId="29" w16cid:durableId="753866876">
    <w:abstractNumId w:val="35"/>
  </w:num>
  <w:num w:numId="30" w16cid:durableId="1203901952">
    <w:abstractNumId w:val="45"/>
  </w:num>
  <w:num w:numId="31" w16cid:durableId="1173373776">
    <w:abstractNumId w:val="25"/>
  </w:num>
  <w:num w:numId="32" w16cid:durableId="829637742">
    <w:abstractNumId w:val="59"/>
  </w:num>
  <w:num w:numId="33" w16cid:durableId="511409641">
    <w:abstractNumId w:val="26"/>
  </w:num>
  <w:num w:numId="34" w16cid:durableId="2051956877">
    <w:abstractNumId w:val="24"/>
  </w:num>
  <w:num w:numId="35" w16cid:durableId="1715422833">
    <w:abstractNumId w:val="58"/>
  </w:num>
  <w:num w:numId="36" w16cid:durableId="1942759555">
    <w:abstractNumId w:val="39"/>
  </w:num>
  <w:num w:numId="37" w16cid:durableId="900872322">
    <w:abstractNumId w:val="46"/>
  </w:num>
  <w:num w:numId="38" w16cid:durableId="553928780">
    <w:abstractNumId w:val="61"/>
  </w:num>
  <w:num w:numId="39" w16cid:durableId="1076633004">
    <w:abstractNumId w:val="10"/>
  </w:num>
  <w:num w:numId="40" w16cid:durableId="1558515983">
    <w:abstractNumId w:val="43"/>
  </w:num>
  <w:num w:numId="41" w16cid:durableId="1795908271">
    <w:abstractNumId w:val="41"/>
  </w:num>
  <w:num w:numId="42" w16cid:durableId="413087921">
    <w:abstractNumId w:val="12"/>
  </w:num>
  <w:num w:numId="43" w16cid:durableId="1581796542">
    <w:abstractNumId w:val="27"/>
  </w:num>
  <w:num w:numId="44" w16cid:durableId="2031637494">
    <w:abstractNumId w:val="4"/>
  </w:num>
  <w:num w:numId="45" w16cid:durableId="480511842">
    <w:abstractNumId w:val="23"/>
  </w:num>
  <w:num w:numId="46" w16cid:durableId="1726832904">
    <w:abstractNumId w:val="57"/>
  </w:num>
  <w:num w:numId="47" w16cid:durableId="275720201">
    <w:abstractNumId w:val="15"/>
  </w:num>
  <w:num w:numId="48" w16cid:durableId="1811629704">
    <w:abstractNumId w:val="54"/>
  </w:num>
  <w:num w:numId="49" w16cid:durableId="515191058">
    <w:abstractNumId w:val="32"/>
  </w:num>
  <w:num w:numId="50" w16cid:durableId="1014304747">
    <w:abstractNumId w:val="7"/>
  </w:num>
  <w:num w:numId="51" w16cid:durableId="720709021">
    <w:abstractNumId w:val="8"/>
  </w:num>
  <w:num w:numId="52" w16cid:durableId="619146348">
    <w:abstractNumId w:val="3"/>
  </w:num>
  <w:num w:numId="53" w16cid:durableId="1733894369">
    <w:abstractNumId w:val="56"/>
  </w:num>
  <w:num w:numId="54" w16cid:durableId="854079510">
    <w:abstractNumId w:val="20"/>
  </w:num>
  <w:num w:numId="55" w16cid:durableId="1204707615">
    <w:abstractNumId w:val="30"/>
  </w:num>
  <w:num w:numId="56" w16cid:durableId="1245143050">
    <w:abstractNumId w:val="50"/>
  </w:num>
  <w:num w:numId="57" w16cid:durableId="417940875">
    <w:abstractNumId w:val="38"/>
  </w:num>
  <w:num w:numId="58" w16cid:durableId="1184901194">
    <w:abstractNumId w:val="31"/>
  </w:num>
  <w:num w:numId="59" w16cid:durableId="333073088">
    <w:abstractNumId w:val="14"/>
  </w:num>
  <w:num w:numId="60" w16cid:durableId="1528790679">
    <w:abstractNumId w:val="44"/>
  </w:num>
  <w:num w:numId="61" w16cid:durableId="902374823">
    <w:abstractNumId w:val="2"/>
  </w:num>
  <w:num w:numId="62" w16cid:durableId="139227334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color w:val="auto"/>
        </w:rPr>
      </w:lvl>
    </w:lvlOverride>
  </w:num>
  <w:num w:numId="63" w16cid:durableId="26638464">
    <w:abstractNumId w:val="6"/>
  </w:num>
  <w:num w:numId="64" w16cid:durableId="1098717780">
    <w:abstractNumId w:val="47"/>
  </w:num>
  <w:num w:numId="65" w16cid:durableId="636841133">
    <w:abstractNumId w:val="53"/>
  </w:num>
  <w:num w:numId="66" w16cid:durableId="526216339">
    <w:abstractNumId w:val="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0"/>
    <w:rsid w:val="00010A4D"/>
    <w:rsid w:val="00063DFF"/>
    <w:rsid w:val="000A6A5A"/>
    <w:rsid w:val="000B40B4"/>
    <w:rsid w:val="000D394D"/>
    <w:rsid w:val="000D43E1"/>
    <w:rsid w:val="000D533F"/>
    <w:rsid w:val="000E4936"/>
    <w:rsid w:val="00111FD2"/>
    <w:rsid w:val="00114D45"/>
    <w:rsid w:val="00116EE0"/>
    <w:rsid w:val="001208E1"/>
    <w:rsid w:val="00124011"/>
    <w:rsid w:val="00126764"/>
    <w:rsid w:val="001368C7"/>
    <w:rsid w:val="001409C3"/>
    <w:rsid w:val="00154A6C"/>
    <w:rsid w:val="00175F5A"/>
    <w:rsid w:val="001900C9"/>
    <w:rsid w:val="001C5762"/>
    <w:rsid w:val="001E391D"/>
    <w:rsid w:val="0020320E"/>
    <w:rsid w:val="00217685"/>
    <w:rsid w:val="00225BB6"/>
    <w:rsid w:val="00232656"/>
    <w:rsid w:val="00247F8B"/>
    <w:rsid w:val="002538AC"/>
    <w:rsid w:val="00270ECA"/>
    <w:rsid w:val="0027707F"/>
    <w:rsid w:val="00293191"/>
    <w:rsid w:val="002A5636"/>
    <w:rsid w:val="002B7981"/>
    <w:rsid w:val="002E05A2"/>
    <w:rsid w:val="0030428C"/>
    <w:rsid w:val="003066BE"/>
    <w:rsid w:val="00321FDD"/>
    <w:rsid w:val="003227CC"/>
    <w:rsid w:val="00343F74"/>
    <w:rsid w:val="00387738"/>
    <w:rsid w:val="00392B2D"/>
    <w:rsid w:val="003A4752"/>
    <w:rsid w:val="003C2964"/>
    <w:rsid w:val="003F326D"/>
    <w:rsid w:val="003F6586"/>
    <w:rsid w:val="003F79EF"/>
    <w:rsid w:val="0041135D"/>
    <w:rsid w:val="00413188"/>
    <w:rsid w:val="00421AAB"/>
    <w:rsid w:val="004229C4"/>
    <w:rsid w:val="004255DD"/>
    <w:rsid w:val="0043191A"/>
    <w:rsid w:val="00435AEF"/>
    <w:rsid w:val="00444504"/>
    <w:rsid w:val="00465FCD"/>
    <w:rsid w:val="00486DAE"/>
    <w:rsid w:val="004A5CD7"/>
    <w:rsid w:val="004D7AC0"/>
    <w:rsid w:val="004E3508"/>
    <w:rsid w:val="004E411F"/>
    <w:rsid w:val="0050230B"/>
    <w:rsid w:val="0052107B"/>
    <w:rsid w:val="00532089"/>
    <w:rsid w:val="005404CB"/>
    <w:rsid w:val="00586B4B"/>
    <w:rsid w:val="00593C9F"/>
    <w:rsid w:val="005A0BDA"/>
    <w:rsid w:val="005A3D14"/>
    <w:rsid w:val="005A4C58"/>
    <w:rsid w:val="005B5258"/>
    <w:rsid w:val="005C66E1"/>
    <w:rsid w:val="005E7651"/>
    <w:rsid w:val="005F55DC"/>
    <w:rsid w:val="0060010D"/>
    <w:rsid w:val="00625CA3"/>
    <w:rsid w:val="00641262"/>
    <w:rsid w:val="0067428C"/>
    <w:rsid w:val="00690E63"/>
    <w:rsid w:val="00696118"/>
    <w:rsid w:val="006A1DF9"/>
    <w:rsid w:val="006B21A0"/>
    <w:rsid w:val="006C0A65"/>
    <w:rsid w:val="006C533B"/>
    <w:rsid w:val="006C6ECE"/>
    <w:rsid w:val="006D16C7"/>
    <w:rsid w:val="006D2C8A"/>
    <w:rsid w:val="006D2D64"/>
    <w:rsid w:val="006E2EF5"/>
    <w:rsid w:val="00705FCA"/>
    <w:rsid w:val="00720580"/>
    <w:rsid w:val="00726351"/>
    <w:rsid w:val="007448E4"/>
    <w:rsid w:val="00754027"/>
    <w:rsid w:val="007554BE"/>
    <w:rsid w:val="00766B1A"/>
    <w:rsid w:val="007A0BE6"/>
    <w:rsid w:val="007B1DCA"/>
    <w:rsid w:val="007C1ABC"/>
    <w:rsid w:val="007F5784"/>
    <w:rsid w:val="00832938"/>
    <w:rsid w:val="00840FC8"/>
    <w:rsid w:val="0084417F"/>
    <w:rsid w:val="008452C8"/>
    <w:rsid w:val="00845F24"/>
    <w:rsid w:val="00850929"/>
    <w:rsid w:val="0086679E"/>
    <w:rsid w:val="008761FA"/>
    <w:rsid w:val="0088219D"/>
    <w:rsid w:val="00892F37"/>
    <w:rsid w:val="00893917"/>
    <w:rsid w:val="008B5FC5"/>
    <w:rsid w:val="008C7452"/>
    <w:rsid w:val="008D05C8"/>
    <w:rsid w:val="008D44E2"/>
    <w:rsid w:val="0090254F"/>
    <w:rsid w:val="00913119"/>
    <w:rsid w:val="009144BA"/>
    <w:rsid w:val="00941874"/>
    <w:rsid w:val="0094356F"/>
    <w:rsid w:val="00945147"/>
    <w:rsid w:val="009B04E2"/>
    <w:rsid w:val="00A073FB"/>
    <w:rsid w:val="00A20E9D"/>
    <w:rsid w:val="00A272B2"/>
    <w:rsid w:val="00A30FAD"/>
    <w:rsid w:val="00A33529"/>
    <w:rsid w:val="00A50553"/>
    <w:rsid w:val="00A5081E"/>
    <w:rsid w:val="00A512D0"/>
    <w:rsid w:val="00A71030"/>
    <w:rsid w:val="00A94349"/>
    <w:rsid w:val="00AC7540"/>
    <w:rsid w:val="00AE1921"/>
    <w:rsid w:val="00AE5791"/>
    <w:rsid w:val="00AE6517"/>
    <w:rsid w:val="00AF6DC1"/>
    <w:rsid w:val="00B11B7E"/>
    <w:rsid w:val="00B16AE4"/>
    <w:rsid w:val="00B203DA"/>
    <w:rsid w:val="00B3150C"/>
    <w:rsid w:val="00B47C02"/>
    <w:rsid w:val="00B50FA2"/>
    <w:rsid w:val="00B518C9"/>
    <w:rsid w:val="00B5345C"/>
    <w:rsid w:val="00B77A31"/>
    <w:rsid w:val="00B80EC0"/>
    <w:rsid w:val="00B8503F"/>
    <w:rsid w:val="00B87220"/>
    <w:rsid w:val="00B95DFE"/>
    <w:rsid w:val="00B97319"/>
    <w:rsid w:val="00BA081D"/>
    <w:rsid w:val="00BA2F3D"/>
    <w:rsid w:val="00BB020C"/>
    <w:rsid w:val="00BB118B"/>
    <w:rsid w:val="00BB7501"/>
    <w:rsid w:val="00BC003D"/>
    <w:rsid w:val="00BC15D3"/>
    <w:rsid w:val="00BC1D26"/>
    <w:rsid w:val="00BC5818"/>
    <w:rsid w:val="00BC6AA1"/>
    <w:rsid w:val="00BD0CD4"/>
    <w:rsid w:val="00BD3C24"/>
    <w:rsid w:val="00BD6AD8"/>
    <w:rsid w:val="00BE54B3"/>
    <w:rsid w:val="00C008B4"/>
    <w:rsid w:val="00C05074"/>
    <w:rsid w:val="00C17ABD"/>
    <w:rsid w:val="00C26C67"/>
    <w:rsid w:val="00C3059A"/>
    <w:rsid w:val="00C4084F"/>
    <w:rsid w:val="00C417FE"/>
    <w:rsid w:val="00C8173B"/>
    <w:rsid w:val="00C821A5"/>
    <w:rsid w:val="00D24919"/>
    <w:rsid w:val="00D26CB8"/>
    <w:rsid w:val="00D32824"/>
    <w:rsid w:val="00D43613"/>
    <w:rsid w:val="00D63232"/>
    <w:rsid w:val="00D66820"/>
    <w:rsid w:val="00D7076A"/>
    <w:rsid w:val="00D7172A"/>
    <w:rsid w:val="00D81F5E"/>
    <w:rsid w:val="00D92269"/>
    <w:rsid w:val="00DC329C"/>
    <w:rsid w:val="00DE176A"/>
    <w:rsid w:val="00DE7710"/>
    <w:rsid w:val="00E00A6B"/>
    <w:rsid w:val="00E13806"/>
    <w:rsid w:val="00E16E3C"/>
    <w:rsid w:val="00E26D1D"/>
    <w:rsid w:val="00E57BB9"/>
    <w:rsid w:val="00E77899"/>
    <w:rsid w:val="00E83B88"/>
    <w:rsid w:val="00EA3596"/>
    <w:rsid w:val="00EB5E2E"/>
    <w:rsid w:val="00EB629E"/>
    <w:rsid w:val="00EC0F9A"/>
    <w:rsid w:val="00EE160A"/>
    <w:rsid w:val="00EF40DB"/>
    <w:rsid w:val="00F02BB5"/>
    <w:rsid w:val="00F54496"/>
    <w:rsid w:val="00F70422"/>
    <w:rsid w:val="00F76017"/>
    <w:rsid w:val="00F83C17"/>
    <w:rsid w:val="00F96D7F"/>
    <w:rsid w:val="00FA33C4"/>
    <w:rsid w:val="00FA4B28"/>
    <w:rsid w:val="00FA7854"/>
    <w:rsid w:val="00FC456F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982DD4D"/>
  <w15:chartTrackingRefBased/>
  <w15:docId w15:val="{CC2967CE-8393-4E48-B2BE-AAD92919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Nad,Odstavec_muj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C6EC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160A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8761FA"/>
    <w:pPr>
      <w:spacing w:after="100"/>
      <w:ind w:left="220"/>
    </w:p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Nad Char,Odstavec_muj Char"/>
    <w:link w:val="ListParagraph"/>
    <w:uiPriority w:val="34"/>
    <w:locked/>
    <w:rsid w:val="001409C3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1318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yperlink" Target="mailto:Ana.Dumitrache@eesc.europa.eu" TargetMode="External"/><Relationship Id="rId26" Type="http://schemas.openxmlformats.org/officeDocument/2006/relationships/hyperlink" Target="mailto:Annalisa.Tessarolo@eesc.europa.eu" TargetMode="External"/><Relationship Id="rId39" Type="http://schemas.openxmlformats.org/officeDocument/2006/relationships/footer" Target="footer4.xml"/><Relationship Id="rId21" Type="http://schemas.openxmlformats.org/officeDocument/2006/relationships/hyperlink" Target="https://www.eesc.europa.eu/cs/our-work/opinions-information-reports/opinions/towards-eu-maritime-strategy-navigating-future-through-coordinated-investment-policies-legislative-initiatives-social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esc.europa.eu/cs/our-work/opinions-information-reports/opinions/evaluation-european-commissions-annual-reports-rule-law-european-union" TargetMode="External"/><Relationship Id="rId20" Type="http://schemas.openxmlformats.org/officeDocument/2006/relationships/hyperlink" Target="mailto:Maja.Radman@eesc.europa.eu" TargetMode="External"/><Relationship Id="rId29" Type="http://schemas.openxmlformats.org/officeDocument/2006/relationships/hyperlink" Target="mailto:Nicolas.Stenger@eesc.europa.e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Alice.Tetu@eesc.europa.eu" TargetMode="External"/><Relationship Id="rId32" Type="http://schemas.openxmlformats.org/officeDocument/2006/relationships/hyperlink" Target="https://www.eesc.europa.eu/cs/our-work/opinions-information-reports/opinions/youth-involvement-social-and-civil-dialogue-mediterranean-region" TargetMode="External"/><Relationship Id="rId37" Type="http://schemas.openxmlformats.org/officeDocument/2006/relationships/footer" Target="footer3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Krisztina.PerlakyToth@eesc.europa.eu" TargetMode="External"/><Relationship Id="rId23" Type="http://schemas.openxmlformats.org/officeDocument/2006/relationships/hyperlink" Target="https://www.eesc.europa.eu/cs/our-work/opinions-information-reports/opinions/electric-vehicle-supply-equipment-compressed-gas-dispensers-and-electricity-gas-and-thermal-energy-meters" TargetMode="External"/><Relationship Id="rId28" Type="http://schemas.openxmlformats.org/officeDocument/2006/relationships/hyperlink" Target="https://www.eesc.europa.eu/cs/our-work/opinions-information-reports/opinions/conservation-fish-stocks-relation-countries-allowing-non-sustainable-fishing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eesc.europa.eu/cs/our-work/opinions-information-reports/opinions/future-supply-and-pricing-electricity-eu" TargetMode="External"/><Relationship Id="rId31" Type="http://schemas.openxmlformats.org/officeDocument/2006/relationships/hyperlink" Target="mailto:Maarit.Laurila@eesc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Aleksandra.SarmanGrilc@eesc.europa.eu" TargetMode="External"/><Relationship Id="rId27" Type="http://schemas.openxmlformats.org/officeDocument/2006/relationships/hyperlink" Target="https://www.eesc.europa.eu/cs/our-work/opinions-information-reports/opinions/competition-policy-heart-eus-competitiveness" TargetMode="External"/><Relationship Id="rId30" Type="http://schemas.openxmlformats.org/officeDocument/2006/relationships/hyperlink" Target="https://www.eesc.europa.eu/cs/our-work/opinions-information-reports/opinions/developing-europes-strategy-arctic-2024-29-dialogue-civil-society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esc.europa.eu/cs/our-work/opinions-information-reports/plenary-session-summaries" TargetMode="External"/><Relationship Id="rId17" Type="http://schemas.openxmlformats.org/officeDocument/2006/relationships/hyperlink" Target="https://www.eesc.europa.eu/cs/our-work/opinions-information-reports/opinions/pro-worker-ai-levers-harnessing-potential-and-mitigating-risks-ai-connection-employment-and-labour-market-policies" TargetMode="External"/><Relationship Id="rId25" Type="http://schemas.openxmlformats.org/officeDocument/2006/relationships/hyperlink" Target="https://www.eesc.europa.eu/cs/our-work/opinions-information-reports/opinions/how-support-social-economy-entities-line-state-aid-rules-thoughts-following-suggestions-enrico-lettas-report" TargetMode="External"/><Relationship Id="rId33" Type="http://schemas.openxmlformats.org/officeDocument/2006/relationships/hyperlink" Target="mailto:Andreas.Berger@eesc.europa.eu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34DD74551733C243A24AB255EE6A94DB" ma:contentTypeVersion="4" ma:contentTypeDescription="Defines the documents for Document Manager V2" ma:contentTypeScope="" ma:versionID="6dc1781ba7fab92d7d66b168e0cae93f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91e51ac0-4aa1-4d5e-9a67-017d481be00b" targetNamespace="http://schemas.microsoft.com/office/2006/metadata/properties" ma:root="true" ma:fieldsID="f33a43edcf383b76f4f66ff8ebd76d7b" ns2:_="" ns3:_="" ns4:_="">
    <xsd:import namespace="59ace41b-6786-4ce3-be71-52c27066c6ef"/>
    <xsd:import namespace="http://schemas.microsoft.com/sharepoint/v3/fields"/>
    <xsd:import namespace="91e51ac0-4aa1-4d5e-9a67-017d481be0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51ac0-4aa1-4d5e-9a67-017d481be00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F7M6YNZUATRX-1659962339-4689</_dlc_DocId>
    <_dlc_DocIdUrl xmlns="59ace41b-6786-4ce3-be71-52c27066c6ef">
      <Url>http://dm/eesc/2024/_layouts/15/DocIdRedir.aspx?ID=F7M6YNZUATRX-1659962339-4689</Url>
      <Description>F7M6YNZUATRX-1659962339-4689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2025-02-04T12:00:00+00:00</ProductionDate>
    <DocumentNumber xmlns="91e51ac0-4aa1-4d5e-9a67-017d481be00b">4576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2025-02-26T12:00:00+00:00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710</FicheNumber>
    <OriginalSender xmlns="59ace41b-6786-4ce3-be71-52c27066c6ef">
      <UserInfo>
        <DisplayName>Sigmund Vaclav</DisplayName>
        <AccountId>1537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1e51ac0-4aa1-4d5e-9a67-017d481be00b" xsi:nil="true"/>
    <DossierName_0 xmlns="http://schemas.microsoft.com/sharepoint/v3/fields">
      <Terms xmlns="http://schemas.microsoft.com/office/infopath/2007/PartnerControls"/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ECF582C7-54EF-447E-AC6C-3EB31ED392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22D975-F1F6-40D9-844A-B3B4F6705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3889F-7823-4FF5-BF3C-80FED5666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91e51ac0-4aa1-4d5e-9a67-017d481b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358B0-8964-4F84-BA10-DB1E849609E2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91e51ac0-4aa1-4d5e-9a67-017d481be0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Company>CESE-CdR</Company>
  <LinksUpToDate>false</LinksUpToDate>
  <CharactersWithSpaces>26674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stanovisek - 593. plenární zasedání - leden 2025</dc:title>
  <dc:subject>TCD</dc:subject>
  <dc:creator>Nieddu Emma</dc:creator>
  <cp:keywords>EESC-2024-04576-00-00-TCD-TRA-EN</cp:keywords>
  <dc:description>Rapporteur:  - Original language: EN - Date of document: 04/02/2025 - Date of meeting: 30/26/2025 14:30 - External documents:  - Administrator: MME TAMASAUSKIENE Julija</dc:description>
  <cp:lastModifiedBy>Lepouttre Koenraad</cp:lastModifiedBy>
  <cp:revision>2</cp:revision>
  <dcterms:created xsi:type="dcterms:W3CDTF">2025-02-05T07:55:00Z</dcterms:created>
  <dcterms:modified xsi:type="dcterms:W3CDTF">2025-02-05T07:55:00Z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29/01/2025, 02/05/2022, 02/05/2022, 28/06/2021</vt:lpwstr>
  </property>
  <property fmtid="{D5CDD505-2E9C-101B-9397-08002B2CF9AE}" pid="4" name="Pref_Time">
    <vt:lpwstr>15:29:38, 12:28:29, 12:25:37, 08:41:48</vt:lpwstr>
  </property>
  <property fmtid="{D5CDD505-2E9C-101B-9397-08002B2CF9AE}" pid="5" name="Pref_User">
    <vt:lpwstr>amett, enied, enied, enied</vt:lpwstr>
  </property>
  <property fmtid="{D5CDD505-2E9C-101B-9397-08002B2CF9AE}" pid="6" name="Pref_FileName">
    <vt:lpwstr>EESC-2024-04576-00-00-TCD-ORI.docx,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0x010100EA97B91038054C99906057A708A1480A0034DD74551733C243A24AB255EE6A94DB</vt:lpwstr>
  </property>
  <property fmtid="{D5CDD505-2E9C-101B-9397-08002B2CF9AE}" pid="8" name="_dlc_DocIdItemGuid">
    <vt:lpwstr>69a73cf8-1bd2-4be9-860b-f127b80f955b</vt:lpwstr>
  </property>
  <property fmtid="{D5CDD505-2E9C-101B-9397-08002B2CF9AE}" pid="9" name="AvailableTranslations">
    <vt:lpwstr>28;#LV|46f7e311-5d9f-4663-b433-18aeccb7ace7;#22;#BG|1a1b3951-7821-4e6a-85f5-5673fc08bd2c;#12;#IT|0774613c-01ed-4e5d-a25d-11d2388de825;#14;#FR|d2afafd3-4c81-4f60-8f52-ee33f2f54ff3;#17;#PL|1e03da61-4678-4e07-b136-b5024ca9197b;#5;#EN|f2175f21-25d7-44a3-96da-d6a61b075e1b;#29;#EL|6d4f4d51-af9b-4650-94b4-4276bee85c91;#26;#SK|46d9fce0-ef79-4f71-b89b-cd6aa82426b8;#24;#ES|e7a6b05b-ae16-40c8-add9-68b64b03aeba;#30;#HR|2f555653-ed1a-4fe6-8362-9082d95989e5;#36;#PT|50ccc04a-eadd-42ae-a0cb-acaf45f812ba;#31;#NL|55c6556c-b4f4-441d-9acf-c498d4f838bd;#37;#RO|feb747a2-64cd-4299-af12-4833ddc30497;#33;#ET|ff6c3f4c-b02c-4c3c-ab07-2c37995a7a0a;#16;#DA|5d49c027-8956-412b-aa16-e85a0f96ad0e;#27;#SL|98a412ae-eb01-49e9-ae3d-585a81724cfc;#34;#LT|a7ff5ce7-6123-4f68-865a-a57c31810414;#43;#CS|72f9705b-0217-4fd3-bea2-cbc7ed80e26e;#21;#SV|c2ed69e7-a339-43d7-8f22-d93680a92aa0;#35;#FI|87606a43-d45f-42d6-b8c9-e1a3457db5b7;#25;#DE|f6b31e5a-26fa-4935-b661-318e46daf27e;#32;#HU|6b229040-c589-4408-b4c1-4285663d20a8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4576</vt:i4>
  </property>
  <property fmtid="{D5CDD505-2E9C-101B-9397-08002B2CF9AE}" pid="14" name="DocumentVersion">
    <vt:i4>0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19" name="DocumentType">
    <vt:lpwstr>13;#TCD|cd9d6eb6-3f4f-424a-b2d1-57c9d450eaaf</vt:lpwstr>
  </property>
  <property fmtid="{D5CDD505-2E9C-101B-9397-08002B2CF9AE}" pid="20" name="RequestingService">
    <vt:lpwstr>Greffe</vt:lpwstr>
  </property>
  <property fmtid="{D5CDD505-2E9C-101B-9397-08002B2CF9AE}" pid="21" name="Confidentiality">
    <vt:lpwstr>6;#Unrestricted|826e22d7-d029-4ec0-a450-0c28ff673572</vt:lpwstr>
  </property>
  <property fmtid="{D5CDD505-2E9C-101B-9397-08002B2CF9AE}" pid="22" name="MeetingName_0">
    <vt:lpwstr>SPL-CES|32d8cb1f-c9ec-4365-95c7-8385a18618ac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>7;#SPL-CES|32d8cb1f-c9ec-4365-95c7-8385a18618ac</vt:lpwstr>
  </property>
  <property fmtid="{D5CDD505-2E9C-101B-9397-08002B2CF9AE}" pid="26" name="MeetingDate">
    <vt:filetime>2025-02-26T12:00:00Z</vt:filetime>
  </property>
  <property fmtid="{D5CDD505-2E9C-101B-9397-08002B2CF9AE}" pid="27" name="AvailableTranslations_0">
    <vt:lpwstr>LV|46f7e311-5d9f-4663-b433-18aeccb7ace7;BG|1a1b3951-7821-4e6a-85f5-5673fc08bd2c;IT|0774613c-01ed-4e5d-a25d-11d2388de825;FR|d2afafd3-4c81-4f60-8f52-ee33f2f54ff3;PL|1e03da61-4678-4e07-b136-b5024ca9197b;EN|f2175f21-25d7-44a3-96da-d6a61b075e1b;EL|6d4f4d51-af9b-4650-94b4-4276bee85c91;SK|46d9fce0-ef79-4f71-b89b-cd6aa82426b8;ES|e7a6b05b-ae16-40c8-add9-68b64b03aeba;HR|2f555653-ed1a-4fe6-8362-9082d95989e5;PT|50ccc04a-eadd-42ae-a0cb-acaf45f812ba;NL|55c6556c-b4f4-441d-9acf-c498d4f838bd;RO|feb747a2-64cd-4299-af12-4833ddc30497;ET|ff6c3f4c-b02c-4c3c-ab07-2c37995a7a0a;DA|5d49c027-8956-412b-aa16-e85a0f96ad0e;SL|98a412ae-eb01-49e9-ae3d-585a81724cfc;LT|a7ff5ce7-6123-4f68-865a-a57c31810414;SV|c2ed69e7-a339-43d7-8f22-d93680a92aa0;FI|87606a43-d45f-42d6-b8c9-e1a3457db5b7;DE|f6b31e5a-26fa-4935-b661-318e46daf27e;HU|6b229040-c589-4408-b4c1-4285663d20a8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37;#RO|feb747a2-64cd-4299-af12-4833ddc30497;#36;#PT|50ccc04a-eadd-42ae-a0cb-acaf45f812ba;#35;#FI|87606a43-d45f-42d6-b8c9-e1a3457db5b7;#34;#LT|a7ff5ce7-6123-4f68-865a-a57c31810414;#33;#ET|ff6c3f4c-b02c-4c3c-ab07-2c37995a7a0a;#32;#HU|6b229040-c589-4408-b4c1-4285663d20a8;#31;#NL|55c6556c-b4f4-441d-9acf-c498d4f838bd;#30;#HR|2f555653-ed1a-4fe6-8362-9082d95989e5;#29;#EL|6d4f4d51-af9b-4650-94b4-4276bee85c91;#28;#LV|46f7e311-5d9f-4663-b433-18aeccb7ace7;#27;#SL|98a412ae-eb01-49e9-ae3d-585a81724cfc;#26;#SK|46d9fce0-ef79-4f71-b89b-cd6aa82426b8;#25;#DE|f6b31e5a-26fa-4935-b661-318e46daf27e;#24;#ES|e7a6b05b-ae16-40c8-add9-68b64b03aeba;#22;#BG|1a1b3951-7821-4e6a-85f5-5673fc08bd2c;#21;#SV|c2ed69e7-a339-43d7-8f22-d93680a92aa0;#17;#PL|1e03da61-4678-4e07-b136-b5024ca9197b;#16;#DA|5d49c027-8956-412b-aa16-e85a0f96ad0e;#14;#FR|d2afafd3-4c81-4f60-8f52-ee33f2f54ff3;#13;#TCD|cd9d6eb6-3f4f-424a-b2d1-57c9d450eaaf;#12;#IT|0774613c-01ed-4e5d-a25d-11d2388de825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710</vt:i4>
  </property>
  <property fmtid="{D5CDD505-2E9C-101B-9397-08002B2CF9AE}" pid="35" name="DocumentLanguage">
    <vt:lpwstr>43;#CS|72f9705b-0217-4fd3-bea2-cbc7ed80e26e</vt:lpwstr>
  </property>
</Properties>
</file>