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6498" w:rsidR="003C2229" w:rsidP="00686EC2" w:rsidRDefault="00852D70" w14:paraId="35A2306C" w14:textId="7496F378">
      <w:pPr>
        <w:spacing w:line="240" w:lineRule="auto"/>
        <w:rPr>
          <w:rFonts w:ascii="Verdana" w:hAnsi="Verdana"/>
          <w:sz w:val="20"/>
        </w:rPr>
      </w:pPr>
      <w:r>
        <w:rPr>
          <w:rFonts w:ascii="Verdana" w:hAnsi="Verdana"/>
          <w:noProof/>
          <w:sz w:val="20"/>
        </w:rPr>
        <mc:AlternateContent>
          <mc:Choice Requires="wps">
            <w:drawing>
              <wp:anchor distT="0" distB="0" distL="114300" distR="114300" simplePos="0" relativeHeight="251659264" behindDoc="1" locked="0" layoutInCell="0" allowOverlap="1" wp14:editId="1D9FDE2F" wp14:anchorId="02E0DDBB">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21382" w:rsidRDefault="00321382" w14:paraId="6C3A69A6"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E0DDBB">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321382" w:rsidRDefault="00321382" w14:paraId="6C3A69A6"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r w:rsidR="00560D89">
        <w:rPr>
          <w:rFonts w:ascii="Verdana" w:hAnsi="Verdana"/>
          <w:noProof/>
          <w:sz w:val="20"/>
          <w:lang w:val="en-US"/>
        </w:rPr>
        <w:drawing>
          <wp:inline distT="0" distB="0" distL="0" distR="0" wp14:anchorId="5E073083" wp14:editId="54DCFD69">
            <wp:extent cx="5754422"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041"/>
        <w:gridCol w:w="4030"/>
      </w:tblGrid>
      <w:tr w:rsidRPr="00946498" w:rsidR="00C93E55" w:rsidTr="00705C0F" w14:paraId="16E539E7" w14:textId="77777777">
        <w:trPr>
          <w:cantSplit/>
        </w:trPr>
        <w:tc>
          <w:tcPr>
            <w:tcW w:w="5168" w:type="dxa"/>
          </w:tcPr>
          <w:p w:rsidRPr="00946498" w:rsidR="00C93E55" w:rsidP="002F79A3" w:rsidRDefault="00C93E55" w14:paraId="2A287900" w14:textId="785C4E6C">
            <w:pPr>
              <w:spacing w:before="120" w:after="120" w:line="240" w:lineRule="auto"/>
              <w:rPr>
                <w:rFonts w:ascii="Verdana" w:hAnsi="Verdana"/>
                <w:b/>
                <w:bCs/>
                <w:sz w:val="20"/>
              </w:rPr>
            </w:pPr>
            <w:r>
              <w:rPr>
                <w:rFonts w:ascii="Verdana" w:hAnsi="Verdana"/>
                <w:b/>
                <w:sz w:val="20"/>
              </w:rPr>
              <w:t>Nr. 7/2025</w:t>
            </w:r>
          </w:p>
        </w:tc>
        <w:tc>
          <w:tcPr>
            <w:tcW w:w="4119" w:type="dxa"/>
          </w:tcPr>
          <w:p w:rsidRPr="00946498" w:rsidR="00C93E55" w:rsidP="00F92DAC" w:rsidRDefault="00A110EC" w14:paraId="6DB6BFB3" w14:textId="58A0F620">
            <w:pPr>
              <w:spacing w:before="120" w:after="120" w:line="240" w:lineRule="auto"/>
              <w:jc w:val="right"/>
              <w:rPr>
                <w:rFonts w:ascii="Verdana" w:hAnsi="Verdana"/>
                <w:b/>
                <w:bCs/>
                <w:sz w:val="20"/>
              </w:rPr>
            </w:pPr>
            <w:r>
              <w:rPr>
                <w:rFonts w:ascii="Verdana" w:hAnsi="Verdana"/>
                <w:b/>
                <w:sz w:val="20"/>
              </w:rPr>
              <w:t>27 februarie 2025</w:t>
            </w:r>
          </w:p>
        </w:tc>
      </w:tr>
    </w:tbl>
    <w:p w:rsidRPr="00946498" w:rsidR="00F83179" w:rsidP="00686EC2" w:rsidRDefault="00F83179" w14:paraId="72EB20C4" w14:textId="02453474">
      <w:pPr>
        <w:spacing w:line="240" w:lineRule="auto"/>
        <w:rPr>
          <w:rFonts w:ascii="Verdana" w:hAnsi="Verdana"/>
          <w:sz w:val="20"/>
        </w:rPr>
      </w:pPr>
    </w:p>
    <w:p w:rsidRPr="00946498" w:rsidR="00F83179" w:rsidP="00686EC2" w:rsidRDefault="00F83179" w14:paraId="4154F4D7" w14:textId="77777777">
      <w:pPr>
        <w:spacing w:line="240" w:lineRule="auto"/>
        <w:rPr>
          <w:rFonts w:ascii="Verdana" w:hAnsi="Verdana"/>
          <w:sz w:val="20"/>
        </w:rPr>
        <w:sectPr w:rsidRPr="00946498" w:rsidR="00F83179" w:rsidSect="00837B82">
          <w:headerReference w:type="even" r:id="rId12"/>
          <w:headerReference w:type="default" r:id="rId13"/>
          <w:footerReference w:type="even" r:id="rId14"/>
          <w:footerReference w:type="default" r:id="rId15"/>
          <w:headerReference w:type="first" r:id="rId16"/>
          <w:footerReference w:type="first" r:id="rId17"/>
          <w:pgSz w:w="11907" w:h="16839" w:code="9"/>
          <w:pgMar w:top="425" w:right="1418" w:bottom="1418" w:left="1418" w:header="709" w:footer="709" w:gutter="0"/>
          <w:cols w:space="720"/>
          <w:docGrid w:linePitch="299"/>
        </w:sectPr>
      </w:pPr>
    </w:p>
    <w:p w:rsidR="00A110EC" w:rsidP="008850E4" w:rsidRDefault="00A110EC" w14:paraId="18734088" w14:textId="187F6C1D">
      <w:pPr>
        <w:rPr>
          <w:rFonts w:ascii="Verdana" w:hAnsi="Verdana"/>
          <w:sz w:val="18"/>
        </w:rPr>
      </w:pPr>
    </w:p>
    <w:p w:rsidRPr="00DA0099" w:rsidR="00B5704D" w:rsidP="00B5704D" w:rsidRDefault="00B5704D" w14:paraId="5AB1AFC0" w14:textId="62576772">
      <w:pPr>
        <w:jc w:val="center"/>
        <w:rPr>
          <w:rFonts w:ascii="Verdana" w:hAnsi="Verdana"/>
          <w:b/>
          <w:bCs/>
          <w:color w:val="0070C0"/>
          <w:sz w:val="28"/>
          <w:szCs w:val="24"/>
        </w:rPr>
      </w:pPr>
      <w:r>
        <w:rPr>
          <w:rFonts w:ascii="Verdana" w:hAnsi="Verdana"/>
          <w:b/>
          <w:color w:val="0070C0"/>
          <w:sz w:val="28"/>
        </w:rPr>
        <w:t>Prioritatea Președinției poloneze a UE: consolidarea securității europene și menținerea unității Europei</w:t>
      </w:r>
    </w:p>
    <w:p w:rsidRPr="00946498" w:rsidR="00B5704D" w:rsidP="00B5704D" w:rsidRDefault="00B5704D" w14:paraId="6DB0313D" w14:textId="77777777">
      <w:pPr>
        <w:rPr>
          <w:rFonts w:ascii="Verdana" w:hAnsi="Verdana"/>
          <w:sz w:val="18"/>
        </w:rPr>
      </w:pPr>
    </w:p>
    <w:p w:rsidR="00184D84" w:rsidP="00B5704D" w:rsidRDefault="00B5704D" w14:paraId="26D522C0" w14:textId="5EB68E52">
      <w:pPr>
        <w:rPr>
          <w:rFonts w:ascii="Verdana" w:hAnsi="Verdana"/>
          <w:b/>
          <w:bCs/>
          <w:sz w:val="20"/>
        </w:rPr>
      </w:pPr>
      <w:r>
        <w:rPr>
          <w:rFonts w:ascii="Verdana" w:hAnsi="Verdana"/>
          <w:b/>
          <w:sz w:val="20"/>
        </w:rPr>
        <w:t>În sesiunea sa plenară din februarie, Comitetul Economic și Social European (CESE) a găzduit o dezbatere privind prioritățile politice ale actualei Președinții a Consiliului Uniunii Europene, care a început în ianuarie și va continua până în iunie 2025.</w:t>
      </w:r>
    </w:p>
    <w:p w:rsidR="00B5704D" w:rsidP="00B5704D" w:rsidRDefault="00B5704D" w14:paraId="7B3B4E66" w14:textId="6AE764E6">
      <w:pPr>
        <w:rPr>
          <w:rFonts w:ascii="Verdana" w:hAnsi="Verdana"/>
          <w:sz w:val="18"/>
        </w:rPr>
      </w:pPr>
    </w:p>
    <w:p w:rsidR="00763DD2" w:rsidP="00B5704D" w:rsidRDefault="00763DD2" w14:paraId="284E68DF" w14:textId="218A9DC8">
      <w:pPr>
        <w:rPr>
          <w:rFonts w:ascii="Verdana" w:hAnsi="Verdana"/>
          <w:sz w:val="18"/>
        </w:rPr>
      </w:pPr>
      <w:r>
        <w:rPr>
          <w:rFonts w:ascii="Verdana" w:hAnsi="Verdana"/>
          <w:sz w:val="18"/>
        </w:rPr>
        <w:t xml:space="preserve">Principala sarcină a Președinției poloneze va fi de a menține Europa unită, de a avansa și de a lua decizii rapide, a declarat </w:t>
      </w:r>
      <w:r>
        <w:rPr>
          <w:rFonts w:ascii="Verdana" w:hAnsi="Verdana"/>
          <w:b/>
          <w:sz w:val="18"/>
        </w:rPr>
        <w:t xml:space="preserve">Magdalena </w:t>
      </w:r>
      <w:proofErr w:type="spellStart"/>
      <w:r>
        <w:rPr>
          <w:rFonts w:ascii="Verdana" w:hAnsi="Verdana"/>
          <w:b/>
          <w:sz w:val="18"/>
        </w:rPr>
        <w:t>Sobkowiak-Czarnecka</w:t>
      </w:r>
      <w:proofErr w:type="spellEnd"/>
      <w:r>
        <w:rPr>
          <w:rFonts w:ascii="Verdana" w:hAnsi="Verdana"/>
          <w:sz w:val="18"/>
        </w:rPr>
        <w:t xml:space="preserve">, </w:t>
      </w:r>
      <w:proofErr w:type="spellStart"/>
      <w:r>
        <w:rPr>
          <w:rFonts w:ascii="Verdana" w:hAnsi="Verdana"/>
          <w:sz w:val="18"/>
        </w:rPr>
        <w:t>subsecretara</w:t>
      </w:r>
      <w:proofErr w:type="spellEnd"/>
      <w:r>
        <w:rPr>
          <w:rFonts w:ascii="Verdana" w:hAnsi="Verdana"/>
          <w:sz w:val="18"/>
        </w:rPr>
        <w:t xml:space="preserve"> de stat poloneză pentru afaceri europene, în cadrul sesiunii plenare a CESE din 27 februarie 2025.</w:t>
      </w:r>
    </w:p>
    <w:p w:rsidR="00763DD2" w:rsidP="00B5704D" w:rsidRDefault="00763DD2" w14:paraId="744A33F7" w14:textId="77777777">
      <w:pPr>
        <w:rPr>
          <w:rFonts w:ascii="Verdana" w:hAnsi="Verdana"/>
          <w:sz w:val="18"/>
        </w:rPr>
      </w:pPr>
    </w:p>
    <w:p w:rsidR="00763DD2" w:rsidP="00763DD2" w:rsidRDefault="00763DD2" w14:paraId="46883361" w14:textId="2C202297">
      <w:pPr>
        <w:rPr>
          <w:rFonts w:ascii="Verdana" w:hAnsi="Verdana"/>
          <w:sz w:val="18"/>
        </w:rPr>
      </w:pPr>
      <w:r>
        <w:rPr>
          <w:rFonts w:ascii="Verdana" w:hAnsi="Verdana"/>
          <w:sz w:val="18"/>
        </w:rPr>
        <w:t>Făcând referire la securitatea externă a UE și, în special, la războiul de agresiune împotriva Ucrainei, ea a declarat: „securitatea este cea mai mare nevoie a tuturor europenilor și poate însemna ceva diferit pentru fiecare, în funcție de locul în care se află în Europa. Obiectivul nostru este de a continua să ajutăm Ucraina și de a menține unitatea în interiorul UE.”</w:t>
      </w:r>
    </w:p>
    <w:p w:rsidR="00763DD2" w:rsidP="00763DD2" w:rsidRDefault="00763DD2" w14:paraId="014BA76E" w14:textId="14CCE13E">
      <w:pPr>
        <w:rPr>
          <w:rFonts w:ascii="Verdana" w:hAnsi="Verdana"/>
          <w:sz w:val="18"/>
        </w:rPr>
      </w:pPr>
    </w:p>
    <w:p w:rsidR="00D26DD6" w:rsidP="00763DD2" w:rsidRDefault="003F1A2A" w14:paraId="7BC4C238" w14:textId="56687AC9">
      <w:pPr>
        <w:rPr>
          <w:rFonts w:ascii="Verdana" w:hAnsi="Verdana"/>
          <w:sz w:val="18"/>
        </w:rPr>
      </w:pPr>
      <w:r>
        <w:rPr>
          <w:rFonts w:ascii="Verdana" w:hAnsi="Verdana"/>
          <w:sz w:val="18"/>
        </w:rPr>
        <w:t xml:space="preserve">Ea a menționat cel de-al 16-lea pachet de sancțiuni împotriva Rusiei, adoptat cu doar câteva zile în urmă, ca fiind una dintre primele realizări ale Președinției poloneze, și a subliniat că viitoarea extindere a UE ar trebui să se bazeze pe merite și să aplice aceleași reguli tuturor țărilor candidate. Dna </w:t>
      </w:r>
      <w:proofErr w:type="spellStart"/>
      <w:r>
        <w:rPr>
          <w:rFonts w:ascii="Verdana" w:hAnsi="Verdana"/>
          <w:sz w:val="18"/>
        </w:rPr>
        <w:t>Sobkowiak-Czarnecka</w:t>
      </w:r>
      <w:proofErr w:type="spellEnd"/>
      <w:r>
        <w:rPr>
          <w:rFonts w:ascii="Verdana" w:hAnsi="Verdana"/>
          <w:sz w:val="18"/>
        </w:rPr>
        <w:t xml:space="preserve"> a declarat, de asemenea, că ar trebui să se ajungă încă de pe acum la un compromis privind creșterea finanțării UE pentru apărare, fără a mai aștepta noul cadru financiar multianual.</w:t>
      </w:r>
    </w:p>
    <w:p w:rsidR="00763DD2" w:rsidP="00763DD2" w:rsidRDefault="00763DD2" w14:paraId="43DB2FE9" w14:textId="3472AE3E">
      <w:pPr>
        <w:rPr>
          <w:rFonts w:ascii="Verdana" w:hAnsi="Verdana"/>
          <w:sz w:val="18"/>
        </w:rPr>
      </w:pPr>
    </w:p>
    <w:p w:rsidR="00397909" w:rsidP="00763DD2" w:rsidRDefault="00755D16" w14:paraId="43EEE21B" w14:textId="76F3AE0F">
      <w:pPr>
        <w:rPr>
          <w:rFonts w:ascii="Verdana" w:hAnsi="Verdana"/>
          <w:sz w:val="18"/>
        </w:rPr>
      </w:pPr>
      <w:r>
        <w:rPr>
          <w:rFonts w:ascii="Verdana" w:hAnsi="Verdana"/>
          <w:sz w:val="18"/>
        </w:rPr>
        <w:t xml:space="preserve">Președintele CESE, </w:t>
      </w:r>
      <w:r>
        <w:rPr>
          <w:rFonts w:ascii="Verdana" w:hAnsi="Verdana"/>
          <w:b/>
          <w:sz w:val="18"/>
        </w:rPr>
        <w:t xml:space="preserve">Oliver </w:t>
      </w:r>
      <w:proofErr w:type="spellStart"/>
      <w:r>
        <w:rPr>
          <w:rFonts w:ascii="Verdana" w:hAnsi="Verdana"/>
          <w:b/>
          <w:sz w:val="18"/>
        </w:rPr>
        <w:t>Röpke</w:t>
      </w:r>
      <w:proofErr w:type="spellEnd"/>
      <w:r>
        <w:rPr>
          <w:rFonts w:ascii="Verdana" w:hAnsi="Verdana"/>
          <w:sz w:val="18"/>
        </w:rPr>
        <w:t>, a subliniat că Polonia preia președinția prin rotație a UE într</w:t>
      </w:r>
      <w:r w:rsidR="00560D89">
        <w:rPr>
          <w:rFonts w:ascii="Verdana" w:hAnsi="Verdana"/>
          <w:sz w:val="18"/>
        </w:rPr>
        <w:noBreakHyphen/>
      </w:r>
      <w:r>
        <w:rPr>
          <w:rFonts w:ascii="Verdana" w:hAnsi="Verdana"/>
          <w:sz w:val="18"/>
        </w:rPr>
        <w:t>o perioadă marcată de provocări dificile, precum tensiunile geopolitice și crizele energetice: „dezbaterea de astăzi a reafirmat importanța crucială a stabilității, rezilienței și unității în conturarea viitorului Uniunii Europene. Prioritățile președinției poloneze se aliniază îndeaproape la ambițiile noastre colective, în special în ceea ce privește promovarea unei abordări multidimensionale a securității. Într-o perioadă de incertitudine la nivel mondial, angajamentul nostru față de o acțiune decisivă și bazată pe cooperare rămâne neclintit. Le mulțumesc tuturor participanților pentru contribuțiile lor valoroase la această discuție esențială.”</w:t>
      </w:r>
    </w:p>
    <w:p w:rsidR="00397909" w:rsidP="00763DD2" w:rsidRDefault="00397909" w14:paraId="7F763C67" w14:textId="77777777">
      <w:pPr>
        <w:rPr>
          <w:rFonts w:ascii="Verdana" w:hAnsi="Verdana"/>
          <w:sz w:val="18"/>
        </w:rPr>
      </w:pPr>
    </w:p>
    <w:p w:rsidRPr="00E561B1" w:rsidR="00E561B1" w:rsidP="00A403B7" w:rsidRDefault="00E561B1" w14:paraId="26B2AFE1" w14:textId="611933B8">
      <w:pPr>
        <w:rPr>
          <w:rFonts w:ascii="Verdana" w:hAnsi="Verdana"/>
          <w:b/>
          <w:bCs/>
          <w:sz w:val="18"/>
        </w:rPr>
      </w:pPr>
      <w:r>
        <w:rPr>
          <w:rFonts w:ascii="Verdana" w:hAnsi="Verdana"/>
          <w:b/>
          <w:sz w:val="18"/>
        </w:rPr>
        <w:t>Direcția politică a Președinției poloneze a UE și cooperarea cu CESE</w:t>
      </w:r>
    </w:p>
    <w:p w:rsidR="00755D16" w:rsidP="00A403B7" w:rsidRDefault="00755D16" w14:paraId="7D13F45F" w14:textId="77777777">
      <w:pPr>
        <w:rPr>
          <w:rFonts w:ascii="Verdana" w:hAnsi="Verdana"/>
          <w:sz w:val="18"/>
        </w:rPr>
      </w:pPr>
    </w:p>
    <w:p w:rsidR="00755D16" w:rsidP="00A403B7" w:rsidRDefault="00755D16" w14:paraId="519BCD7F" w14:textId="0FD485D0">
      <w:pPr>
        <w:rPr>
          <w:rFonts w:ascii="Verdana" w:hAnsi="Verdana"/>
          <w:sz w:val="18"/>
        </w:rPr>
      </w:pPr>
      <w:r>
        <w:rPr>
          <w:rFonts w:ascii="Verdana" w:hAnsi="Verdana"/>
          <w:sz w:val="18"/>
        </w:rPr>
        <w:t>Pentru a aborda cele mai presante probleme cu care se confruntă Europa, Polonia va coordona o președinție care urmează o abordare favorabilă incluziunii și care combină, pe de o parte, obiectivele de mediu și climatice și, pe de altă parte, competitivitatea economică.</w:t>
      </w:r>
    </w:p>
    <w:p w:rsidR="00C73E17" w:rsidP="008850E4" w:rsidRDefault="00E561B1" w14:paraId="660FD575" w14:textId="57877CAC">
      <w:pPr>
        <w:rPr>
          <w:rFonts w:ascii="Verdana" w:hAnsi="Verdana"/>
          <w:sz w:val="18"/>
        </w:rPr>
      </w:pPr>
      <w:r>
        <w:rPr>
          <w:rFonts w:ascii="Verdana" w:hAnsi="Verdana"/>
          <w:sz w:val="18"/>
        </w:rPr>
        <w:lastRenderedPageBreak/>
        <w:t>Sub deviza „Securitate, Europa!”, lucrările Președinției poloneze a UE se vor axa pe șapte dimensiuni ale securității – externă, internă, economică, alimentară, energetică, sanitară și informațională:</w:t>
      </w:r>
    </w:p>
    <w:p w:rsidR="00C73E17" w:rsidP="008850E4" w:rsidRDefault="00C73E17" w14:paraId="24D74A2C" w14:textId="77777777">
      <w:pPr>
        <w:rPr>
          <w:rFonts w:ascii="Verdana" w:hAnsi="Verdana"/>
          <w:sz w:val="18"/>
        </w:rPr>
      </w:pPr>
    </w:p>
    <w:p w:rsidR="007159BA" w:rsidP="007159BA" w:rsidRDefault="007159BA" w14:paraId="49909965" w14:textId="6ECAE7D4">
      <w:pPr>
        <w:pStyle w:val="ListParagraph"/>
        <w:numPr>
          <w:ilvl w:val="0"/>
          <w:numId w:val="4"/>
        </w:numPr>
        <w:ind w:left="284" w:hanging="284"/>
        <w:rPr>
          <w:rFonts w:ascii="Verdana" w:hAnsi="Verdana"/>
          <w:sz w:val="18"/>
        </w:rPr>
      </w:pPr>
      <w:r>
        <w:rPr>
          <w:rFonts w:ascii="Verdana" w:hAnsi="Verdana"/>
          <w:b/>
          <w:sz w:val="18"/>
        </w:rPr>
        <w:t>Securitatea externă și militară</w:t>
      </w:r>
      <w:r>
        <w:rPr>
          <w:rFonts w:ascii="Verdana" w:hAnsi="Verdana"/>
          <w:sz w:val="18"/>
        </w:rPr>
        <w:t xml:space="preserve"> – abordarea chestiunii războiului în curs din Ucraina, finanțarea programului de întărire a frontierelor denumit „Scutul estic” și promovarea unei industrii europene de apărare solide.</w:t>
      </w:r>
    </w:p>
    <w:p w:rsidRPr="008C4C63" w:rsidR="007159BA" w:rsidP="00D22D31" w:rsidRDefault="007159BA" w14:paraId="4B598B89" w14:textId="70F81448">
      <w:pPr>
        <w:pStyle w:val="ListParagraph"/>
        <w:numPr>
          <w:ilvl w:val="0"/>
          <w:numId w:val="4"/>
        </w:numPr>
        <w:ind w:left="284" w:hanging="284"/>
        <w:rPr>
          <w:rFonts w:ascii="Verdana" w:hAnsi="Verdana"/>
          <w:sz w:val="18"/>
        </w:rPr>
      </w:pPr>
      <w:r>
        <w:rPr>
          <w:rFonts w:ascii="Verdana" w:hAnsi="Verdana"/>
          <w:b/>
          <w:sz w:val="18"/>
        </w:rPr>
        <w:t>Securitatea internă</w:t>
      </w:r>
      <w:r>
        <w:rPr>
          <w:rFonts w:ascii="Verdana" w:hAnsi="Verdana"/>
          <w:sz w:val="18"/>
        </w:rPr>
        <w:t xml:space="preserve"> – gestionarea răspunsului rapid la dezastrele naturale și modul de organizare a ajutorului, în cooperare cu ONG-urile.</w:t>
      </w:r>
    </w:p>
    <w:p w:rsidR="00B4334B" w:rsidP="00B4334B" w:rsidRDefault="00B4334B" w14:paraId="7E5565EF" w14:textId="0E1A0B7F">
      <w:pPr>
        <w:pStyle w:val="ListParagraph"/>
        <w:numPr>
          <w:ilvl w:val="0"/>
          <w:numId w:val="4"/>
        </w:numPr>
        <w:ind w:left="284" w:hanging="284"/>
        <w:rPr>
          <w:rFonts w:ascii="Verdana" w:hAnsi="Verdana"/>
          <w:sz w:val="18"/>
        </w:rPr>
      </w:pPr>
      <w:r>
        <w:rPr>
          <w:rFonts w:ascii="Verdana" w:hAnsi="Verdana"/>
          <w:b/>
          <w:sz w:val="18"/>
        </w:rPr>
        <w:t>Securitatea economică</w:t>
      </w:r>
      <w:r>
        <w:rPr>
          <w:rFonts w:ascii="Verdana" w:hAnsi="Verdana"/>
          <w:sz w:val="18"/>
        </w:rPr>
        <w:t xml:space="preserve"> – reformarea cadrului financiar multianual al UE, creșterea disponibilității fondurilor europene pentru beneficiari și consolidarea politicii de coeziune sub deviza „mai multă putere pentru regiuni, mai puțină putere în mâna Bruxelles-ului”.</w:t>
      </w:r>
    </w:p>
    <w:p w:rsidRPr="00946498" w:rsidR="00B4334B" w:rsidP="00B4334B" w:rsidRDefault="00B4334B" w14:paraId="399C2FFC" w14:textId="2D1029EF">
      <w:pPr>
        <w:pStyle w:val="ListParagraph"/>
        <w:numPr>
          <w:ilvl w:val="0"/>
          <w:numId w:val="4"/>
        </w:numPr>
        <w:ind w:left="284" w:hanging="284"/>
        <w:rPr>
          <w:rFonts w:ascii="Verdana" w:hAnsi="Verdana"/>
          <w:sz w:val="18"/>
        </w:rPr>
      </w:pPr>
      <w:r>
        <w:rPr>
          <w:rFonts w:ascii="Verdana" w:hAnsi="Verdana"/>
          <w:b/>
          <w:sz w:val="18"/>
        </w:rPr>
        <w:t>Securitatea alimentară și climatică</w:t>
      </w:r>
      <w:r>
        <w:rPr>
          <w:rFonts w:ascii="Verdana" w:hAnsi="Verdana"/>
          <w:sz w:val="18"/>
        </w:rPr>
        <w:t xml:space="preserve"> – reducerea decalajului dintre agricultură și activismul climatic, cu un angajament în favoarea competitivității și un cadru practic privind clima.</w:t>
      </w:r>
    </w:p>
    <w:p w:rsidRPr="00946498" w:rsidR="007159BA" w:rsidP="007159BA" w:rsidRDefault="007159BA" w14:paraId="454AEA6D" w14:textId="53CDE016">
      <w:pPr>
        <w:pStyle w:val="ListParagraph"/>
        <w:numPr>
          <w:ilvl w:val="0"/>
          <w:numId w:val="4"/>
        </w:numPr>
        <w:ind w:left="284" w:hanging="284"/>
        <w:rPr>
          <w:rFonts w:ascii="Verdana" w:hAnsi="Verdana"/>
          <w:sz w:val="18"/>
        </w:rPr>
      </w:pPr>
      <w:r>
        <w:rPr>
          <w:rFonts w:ascii="Verdana" w:hAnsi="Verdana"/>
          <w:b/>
          <w:sz w:val="18"/>
        </w:rPr>
        <w:t>Securitatea energetică</w:t>
      </w:r>
      <w:r>
        <w:rPr>
          <w:rFonts w:ascii="Verdana" w:hAnsi="Verdana"/>
          <w:sz w:val="18"/>
        </w:rPr>
        <w:t xml:space="preserve"> – reducerea dependenței de surse externe de energie, accelerarea tranziției energetice cu tehnologii europene și reducerea costurilor energiei.</w:t>
      </w:r>
    </w:p>
    <w:p w:rsidRPr="00946498" w:rsidR="007159BA" w:rsidP="007159BA" w:rsidRDefault="007159BA" w14:paraId="50BE8935" w14:textId="42F15281">
      <w:pPr>
        <w:pStyle w:val="ListParagraph"/>
        <w:numPr>
          <w:ilvl w:val="0"/>
          <w:numId w:val="4"/>
        </w:numPr>
        <w:ind w:left="284" w:hanging="284"/>
        <w:rPr>
          <w:rFonts w:ascii="Verdana" w:hAnsi="Verdana"/>
          <w:sz w:val="18"/>
        </w:rPr>
      </w:pPr>
      <w:r>
        <w:rPr>
          <w:rFonts w:ascii="Verdana" w:hAnsi="Verdana"/>
          <w:b/>
          <w:sz w:val="18"/>
        </w:rPr>
        <w:t>Securitatea sanitară</w:t>
      </w:r>
      <w:r>
        <w:rPr>
          <w:rFonts w:ascii="Verdana" w:hAnsi="Verdana"/>
          <w:sz w:val="18"/>
        </w:rPr>
        <w:t xml:space="preserve"> – consolidarea independenței UE în producția de medicamente și abordarea provocărilor în materie de sănătate mintală, în special în rândul copiilor și al tinerilor.</w:t>
      </w:r>
    </w:p>
    <w:p w:rsidR="007159BA" w:rsidP="007159BA" w:rsidRDefault="007159BA" w14:paraId="78736EDD" w14:textId="5EC77630">
      <w:pPr>
        <w:pStyle w:val="ListParagraph"/>
        <w:numPr>
          <w:ilvl w:val="0"/>
          <w:numId w:val="4"/>
        </w:numPr>
        <w:ind w:left="284" w:hanging="284"/>
        <w:rPr>
          <w:rFonts w:ascii="Verdana" w:hAnsi="Verdana"/>
          <w:sz w:val="18"/>
        </w:rPr>
      </w:pPr>
      <w:r>
        <w:rPr>
          <w:rFonts w:ascii="Verdana" w:hAnsi="Verdana"/>
          <w:b/>
          <w:sz w:val="18"/>
        </w:rPr>
        <w:t>Securitatea informațiilor</w:t>
      </w:r>
      <w:r>
        <w:rPr>
          <w:rFonts w:ascii="Verdana" w:hAnsi="Verdana"/>
          <w:sz w:val="18"/>
        </w:rPr>
        <w:t xml:space="preserve"> – combaterea dezinformării, îmbunătățirea securității cibernetice și gestionarea impactului realității virtuale asupra sănătății mintale, în special pentru generațiile mai tinere.</w:t>
      </w:r>
    </w:p>
    <w:p w:rsidR="001243FA" w:rsidP="008850E4" w:rsidRDefault="001243FA" w14:paraId="2B10D785" w14:textId="77777777">
      <w:pPr>
        <w:rPr>
          <w:rFonts w:ascii="Verdana" w:hAnsi="Verdana"/>
          <w:sz w:val="18"/>
        </w:rPr>
      </w:pPr>
    </w:p>
    <w:p w:rsidR="00A110EC" w:rsidP="008850E4" w:rsidRDefault="002E59F4" w14:paraId="4725528F" w14:textId="23140AF3">
      <w:pPr>
        <w:rPr>
          <w:rFonts w:ascii="Verdana" w:hAnsi="Verdana"/>
          <w:sz w:val="18"/>
        </w:rPr>
      </w:pPr>
      <w:r>
        <w:rPr>
          <w:rFonts w:ascii="Verdana" w:hAnsi="Verdana"/>
          <w:sz w:val="18"/>
        </w:rPr>
        <w:t xml:space="preserve">În ultimele luni, </w:t>
      </w:r>
      <w:hyperlink w:history="1" r:id="rId18">
        <w:r>
          <w:rPr>
            <w:rStyle w:val="Hyperlink"/>
            <w:rFonts w:ascii="Verdana" w:hAnsi="Verdana"/>
            <w:sz w:val="18"/>
          </w:rPr>
          <w:t>cooperar</w:t>
        </w:r>
        <w:r>
          <w:rPr>
            <w:rStyle w:val="Hyperlink"/>
            <w:rFonts w:ascii="Verdana" w:hAnsi="Verdana"/>
            <w:sz w:val="18"/>
          </w:rPr>
          <w:t>e</w:t>
        </w:r>
        <w:r>
          <w:rPr>
            <w:rStyle w:val="Hyperlink"/>
            <w:rFonts w:ascii="Verdana" w:hAnsi="Verdana"/>
            <w:sz w:val="18"/>
          </w:rPr>
          <w:t xml:space="preserve">a dintre Comitet și Președinția poloneză </w:t>
        </w:r>
      </w:hyperlink>
      <w:r>
        <w:rPr>
          <w:rFonts w:ascii="Verdana" w:hAnsi="Verdana"/>
          <w:sz w:val="18"/>
        </w:rPr>
        <w:t xml:space="preserve">a fost puternică și productivă. CESE a elaborat 15 </w:t>
      </w:r>
      <w:hyperlink w:history="1" r:id="rId19">
        <w:r>
          <w:rPr>
            <w:rStyle w:val="Hyperlink"/>
            <w:rFonts w:ascii="Verdana" w:hAnsi="Verdana"/>
            <w:sz w:val="18"/>
          </w:rPr>
          <w:t>avize exp</w:t>
        </w:r>
        <w:r>
          <w:rPr>
            <w:rStyle w:val="Hyperlink"/>
            <w:rFonts w:ascii="Verdana" w:hAnsi="Verdana"/>
            <w:sz w:val="18"/>
          </w:rPr>
          <w:t>l</w:t>
        </w:r>
        <w:r>
          <w:rPr>
            <w:rStyle w:val="Hyperlink"/>
            <w:rFonts w:ascii="Verdana" w:hAnsi="Verdana"/>
            <w:sz w:val="18"/>
          </w:rPr>
          <w:t>oratorii</w:t>
        </w:r>
      </w:hyperlink>
      <w:r>
        <w:rPr>
          <w:rFonts w:ascii="Verdana" w:hAnsi="Verdana"/>
          <w:sz w:val="18"/>
        </w:rPr>
        <w:t>, care au fost deja adoptate sau vor fi adoptate în curând.</w:t>
      </w:r>
    </w:p>
    <w:p w:rsidR="00A110EC" w:rsidP="008850E4" w:rsidRDefault="00A110EC" w14:paraId="25B27C0A" w14:textId="6A870899">
      <w:pPr>
        <w:rPr>
          <w:rFonts w:ascii="Verdana" w:hAnsi="Verdana"/>
          <w:sz w:val="18"/>
        </w:rPr>
      </w:pPr>
    </w:p>
    <w:p w:rsidR="00315B08" w:rsidP="008850E4" w:rsidRDefault="00315B08" w14:paraId="73A2F86F" w14:textId="12FCDA52">
      <w:pPr>
        <w:rPr>
          <w:rFonts w:ascii="Verdana" w:hAnsi="Verdana"/>
          <w:sz w:val="18"/>
        </w:rPr>
      </w:pPr>
      <w:r>
        <w:rPr>
          <w:rFonts w:ascii="Verdana" w:hAnsi="Verdana"/>
          <w:sz w:val="18"/>
        </w:rPr>
        <w:t>Contribuția societății civile organizate este esențială pentru elaborarea politicilor referitoare la o serie de teme importante, cum ar fi reziliența, inovarea și competitivitatea, iar CESE este mândru să își joace rolul în proiectul european, garantând că toți cetățenii pot beneficia de obiectivul esențial al prosperității comune.</w:t>
      </w:r>
    </w:p>
    <w:p w:rsidR="00315B08" w:rsidP="008850E4" w:rsidRDefault="00315B08" w14:paraId="02962EB4" w14:textId="77777777">
      <w:pPr>
        <w:rPr>
          <w:rFonts w:ascii="Verdana" w:hAnsi="Verdana"/>
          <w:sz w:val="18"/>
        </w:rPr>
      </w:pPr>
    </w:p>
    <w:p w:rsidR="00A110EC" w:rsidP="008850E4" w:rsidRDefault="00E561B1" w14:paraId="6F5DD11D" w14:textId="44B564EF">
      <w:pPr>
        <w:rPr>
          <w:rFonts w:ascii="Verdana" w:hAnsi="Verdana"/>
          <w:sz w:val="18"/>
        </w:rPr>
      </w:pPr>
      <w:r>
        <w:rPr>
          <w:rFonts w:ascii="Verdana" w:hAnsi="Verdana"/>
          <w:b/>
          <w:sz w:val="18"/>
        </w:rPr>
        <w:t>Opiniile reprezentanților societății civile</w:t>
      </w:r>
    </w:p>
    <w:p w:rsidR="00A110EC" w:rsidP="008850E4" w:rsidRDefault="00A110EC" w14:paraId="2625F94A" w14:textId="19D94E7F">
      <w:pPr>
        <w:rPr>
          <w:rFonts w:ascii="Verdana" w:hAnsi="Verdana"/>
          <w:sz w:val="18"/>
        </w:rPr>
      </w:pPr>
    </w:p>
    <w:p w:rsidRPr="00CF6769" w:rsidR="00CF6769" w:rsidP="00CF6769" w:rsidRDefault="00E561B1" w14:paraId="42433486" w14:textId="1B9CD277">
      <w:pPr>
        <w:rPr>
          <w:rFonts w:ascii="Verdana" w:hAnsi="Verdana"/>
          <w:sz w:val="18"/>
          <w:szCs w:val="18"/>
        </w:rPr>
      </w:pPr>
      <w:r>
        <w:rPr>
          <w:rFonts w:ascii="Verdana" w:hAnsi="Verdana"/>
          <w:sz w:val="18"/>
        </w:rPr>
        <w:t xml:space="preserve">În timpul dezbaterii, </w:t>
      </w:r>
      <w:proofErr w:type="spellStart"/>
      <w:r>
        <w:rPr>
          <w:rFonts w:ascii="Verdana" w:hAnsi="Verdana"/>
          <w:b/>
          <w:sz w:val="18"/>
        </w:rPr>
        <w:t>Stefano</w:t>
      </w:r>
      <w:proofErr w:type="spellEnd"/>
      <w:r>
        <w:rPr>
          <w:rFonts w:ascii="Verdana" w:hAnsi="Verdana"/>
          <w:b/>
          <w:sz w:val="18"/>
        </w:rPr>
        <w:t xml:space="preserve"> </w:t>
      </w:r>
      <w:proofErr w:type="spellStart"/>
      <w:r>
        <w:rPr>
          <w:rFonts w:ascii="Verdana" w:hAnsi="Verdana"/>
          <w:b/>
          <w:sz w:val="18"/>
        </w:rPr>
        <w:t>Mallia</w:t>
      </w:r>
      <w:proofErr w:type="spellEnd"/>
      <w:r>
        <w:rPr>
          <w:rFonts w:ascii="Verdana" w:hAnsi="Verdana"/>
          <w:sz w:val="18"/>
        </w:rPr>
        <w:t xml:space="preserve">, președintele Grupului „Angajatori” al CESE, a declarat: „Salutăm noul accent pus pe simplificare. Reducerea sarcinilor administrative pentru întreprinderi ne poate ajuta să economisim 37 miliarde EUR, ceea ce poate stimula productivitatea și poate crea întreprinderi mai </w:t>
      </w:r>
      <w:proofErr w:type="spellStart"/>
      <w:r>
        <w:rPr>
          <w:rFonts w:ascii="Verdana" w:hAnsi="Verdana"/>
          <w:sz w:val="18"/>
        </w:rPr>
        <w:t>reziliente</w:t>
      </w:r>
      <w:proofErr w:type="spellEnd"/>
      <w:r>
        <w:rPr>
          <w:rFonts w:ascii="Verdana" w:hAnsi="Verdana"/>
          <w:sz w:val="18"/>
        </w:rPr>
        <w:t xml:space="preserve"> și stabilitate economică pe termen lung. Europa are nevoie de curajul politic de a trece de la vorbe la fapte.”</w:t>
      </w:r>
    </w:p>
    <w:p w:rsidR="000C733D" w:rsidP="00CF6769" w:rsidRDefault="000C733D" w14:paraId="2B66BAC7" w14:textId="77777777">
      <w:pPr>
        <w:rPr>
          <w:rFonts w:ascii="Verdana" w:hAnsi="Verdana"/>
          <w:sz w:val="18"/>
          <w:szCs w:val="18"/>
        </w:rPr>
      </w:pPr>
    </w:p>
    <w:p w:rsidRPr="00CF6769" w:rsidR="00CF6769" w:rsidP="00CF6769" w:rsidRDefault="000C733D" w14:paraId="7773FA14" w14:textId="4BC5755A">
      <w:pPr>
        <w:rPr>
          <w:rFonts w:ascii="Verdana" w:hAnsi="Verdana"/>
          <w:sz w:val="18"/>
          <w:szCs w:val="18"/>
        </w:rPr>
      </w:pPr>
      <w:r>
        <w:rPr>
          <w:rFonts w:ascii="Verdana" w:hAnsi="Verdana"/>
          <w:sz w:val="18"/>
        </w:rPr>
        <w:t xml:space="preserve">Reamintind publicului importanța investițiilor în capitalul uman, </w:t>
      </w:r>
      <w:proofErr w:type="spellStart"/>
      <w:r>
        <w:rPr>
          <w:rFonts w:ascii="Verdana" w:hAnsi="Verdana"/>
          <w:b/>
          <w:sz w:val="18"/>
        </w:rPr>
        <w:t>Mateusz</w:t>
      </w:r>
      <w:proofErr w:type="spellEnd"/>
      <w:r>
        <w:rPr>
          <w:rFonts w:ascii="Verdana" w:hAnsi="Verdana"/>
          <w:b/>
          <w:sz w:val="18"/>
        </w:rPr>
        <w:t xml:space="preserve"> </w:t>
      </w:r>
      <w:proofErr w:type="spellStart"/>
      <w:r>
        <w:rPr>
          <w:rFonts w:ascii="Verdana" w:hAnsi="Verdana"/>
          <w:b/>
          <w:sz w:val="18"/>
        </w:rPr>
        <w:t>Szymański</w:t>
      </w:r>
      <w:proofErr w:type="spellEnd"/>
      <w:r>
        <w:rPr>
          <w:rFonts w:ascii="Verdana" w:hAnsi="Verdana"/>
          <w:sz w:val="18"/>
        </w:rPr>
        <w:t xml:space="preserve">, membru al CESE, reprezentant al Grupului „Lucrători” al CESE, a subliniat că „inteligența artificială și digitalizarea ar trebui valorificate în beneficiul tuturor. Cu toate acestea, constatăm că, în domeniul muncii, sunt prea puține propuneri legislative. </w:t>
      </w:r>
      <w:proofErr w:type="spellStart"/>
      <w:r>
        <w:rPr>
          <w:rFonts w:ascii="Verdana" w:hAnsi="Verdana"/>
          <w:sz w:val="18"/>
        </w:rPr>
        <w:t>Dereglementarea</w:t>
      </w:r>
      <w:proofErr w:type="spellEnd"/>
      <w:r>
        <w:rPr>
          <w:rFonts w:ascii="Verdana" w:hAnsi="Verdana"/>
          <w:sz w:val="18"/>
        </w:rPr>
        <w:t xml:space="preserve"> cu orice preț nu este o opțiune.”</w:t>
      </w:r>
    </w:p>
    <w:p w:rsidR="008E4530" w:rsidP="00E561B1" w:rsidRDefault="008E4530" w14:paraId="3F063774" w14:textId="77777777">
      <w:pPr>
        <w:rPr>
          <w:rFonts w:ascii="Verdana" w:hAnsi="Verdana"/>
          <w:sz w:val="18"/>
          <w:szCs w:val="18"/>
        </w:rPr>
      </w:pPr>
    </w:p>
    <w:p w:rsidR="00E561B1" w:rsidP="00CF6769" w:rsidRDefault="008E4530" w14:paraId="73898BC8" w14:textId="7CE4E812">
      <w:pPr>
        <w:rPr>
          <w:rFonts w:ascii="Verdana" w:hAnsi="Verdana"/>
          <w:sz w:val="18"/>
          <w:szCs w:val="18"/>
        </w:rPr>
      </w:pPr>
      <w:r>
        <w:rPr>
          <w:rFonts w:ascii="Verdana" w:hAnsi="Verdana"/>
          <w:sz w:val="18"/>
        </w:rPr>
        <w:t xml:space="preserve">În numele Grupului „Organizații ale societății civile” al CESE, </w:t>
      </w:r>
      <w:proofErr w:type="spellStart"/>
      <w:r>
        <w:rPr>
          <w:rFonts w:ascii="Verdana" w:hAnsi="Verdana"/>
          <w:b/>
          <w:sz w:val="18"/>
        </w:rPr>
        <w:t>Justyna</w:t>
      </w:r>
      <w:proofErr w:type="spellEnd"/>
      <w:r>
        <w:rPr>
          <w:rFonts w:ascii="Verdana" w:hAnsi="Verdana"/>
          <w:b/>
          <w:sz w:val="18"/>
        </w:rPr>
        <w:t xml:space="preserve"> </w:t>
      </w:r>
      <w:proofErr w:type="spellStart"/>
      <w:r>
        <w:rPr>
          <w:rFonts w:ascii="Verdana" w:hAnsi="Verdana"/>
          <w:b/>
          <w:sz w:val="18"/>
        </w:rPr>
        <w:t>Kalina</w:t>
      </w:r>
      <w:proofErr w:type="spellEnd"/>
      <w:r>
        <w:rPr>
          <w:rFonts w:ascii="Verdana" w:hAnsi="Verdana"/>
          <w:b/>
          <w:sz w:val="18"/>
        </w:rPr>
        <w:t xml:space="preserve"> </w:t>
      </w:r>
      <w:proofErr w:type="spellStart"/>
      <w:r>
        <w:rPr>
          <w:rFonts w:ascii="Verdana" w:hAnsi="Verdana"/>
          <w:b/>
          <w:sz w:val="18"/>
        </w:rPr>
        <w:t>Ochędzan</w:t>
      </w:r>
      <w:proofErr w:type="spellEnd"/>
      <w:r>
        <w:rPr>
          <w:rFonts w:ascii="Verdana" w:hAnsi="Verdana"/>
          <w:sz w:val="18"/>
        </w:rPr>
        <w:t>, membră a CESE, a declarat: „«Securitate, Europa!» Cu toții ar trebui să ținem seama de acest motto, pentru că suntem martorii unor evenimente istorice decisive, iar chiar lângă frontierele noastre se poartă un război. Securitatea are multe fațete – nu numai militare, ci și sociale, economice și energetice.”</w:t>
      </w:r>
    </w:p>
    <w:p w:rsidRPr="00946498" w:rsidR="00CD2604" w:rsidP="00795B49" w:rsidRDefault="00CD2604" w14:paraId="3B3F5F47" w14:textId="3F563130">
      <w:pPr>
        <w:rPr>
          <w:rFonts w:ascii="Verdana" w:hAnsi="Verdana"/>
          <w:sz w:val="18"/>
        </w:rPr>
      </w:pPr>
    </w:p>
    <w:p w:rsidRPr="00946498" w:rsidR="005F089F" w:rsidP="00795B49" w:rsidRDefault="005F089F" w14:paraId="65E15DD5" w14:textId="77777777">
      <w:pPr>
        <w:rPr>
          <w:rFonts w:ascii="Verdana" w:hAnsi="Verdana"/>
          <w:sz w:val="18"/>
        </w:rPr>
      </w:pPr>
    </w:p>
    <w:p w:rsidRPr="00946498" w:rsidR="005C43A1" w:rsidP="00795B49" w:rsidRDefault="005C43A1" w14:paraId="4255D68F" w14:textId="77777777">
      <w:pPr>
        <w:rPr>
          <w:rFonts w:ascii="Verdana" w:hAnsi="Verdana"/>
          <w:bCs/>
          <w:sz w:val="18"/>
          <w:szCs w:val="18"/>
        </w:rPr>
      </w:pPr>
    </w:p>
    <w:p w:rsidRPr="00946498" w:rsidR="00BD7293" w:rsidP="00BD7293" w:rsidRDefault="00BD7293" w14:paraId="721508B5" w14:textId="77777777">
      <w:pPr>
        <w:jc w:val="center"/>
        <w:rPr>
          <w:rFonts w:ascii="Verdana" w:hAnsi="Verdana"/>
          <w:sz w:val="18"/>
          <w:szCs w:val="18"/>
        </w:rPr>
      </w:pPr>
      <w:r>
        <w:rPr>
          <w:rFonts w:ascii="Verdana" w:hAnsi="Verdana"/>
          <w:b/>
          <w:sz w:val="18"/>
        </w:rPr>
        <w:t>Pentru informații suplimentare, vă rugăm să contactați:</w:t>
      </w:r>
    </w:p>
    <w:p w:rsidRPr="00946498" w:rsidR="00BD7293" w:rsidP="00BD7293" w:rsidRDefault="00BD7293" w14:paraId="2BFC0303" w14:textId="77777777">
      <w:pPr>
        <w:pStyle w:val="Heading1"/>
        <w:numPr>
          <w:ilvl w:val="0"/>
          <w:numId w:val="0"/>
        </w:numPr>
        <w:ind w:left="360"/>
        <w:jc w:val="center"/>
        <w:rPr>
          <w:rFonts w:ascii="Verdana" w:hAnsi="Verdana"/>
          <w:sz w:val="18"/>
          <w:szCs w:val="18"/>
        </w:rPr>
      </w:pPr>
      <w:r>
        <w:rPr>
          <w:rFonts w:ascii="Verdana" w:hAnsi="Verdana"/>
          <w:sz w:val="18"/>
        </w:rPr>
        <w:t xml:space="preserve">Unitatea Presă a CESE – Marco </w:t>
      </w:r>
      <w:proofErr w:type="spellStart"/>
      <w:r>
        <w:rPr>
          <w:rFonts w:ascii="Verdana" w:hAnsi="Verdana"/>
          <w:sz w:val="18"/>
        </w:rPr>
        <w:t>Pezzani</w:t>
      </w:r>
      <w:proofErr w:type="spellEnd"/>
      <w:r>
        <w:rPr>
          <w:rFonts w:ascii="Verdana" w:hAnsi="Verdana"/>
          <w:sz w:val="18"/>
        </w:rPr>
        <w:br/>
        <w:t>Tel. fix +32 (0)2 546 97 93 – Tel. mobil +32 (0)470 881 903</w:t>
      </w:r>
    </w:p>
    <w:p w:rsidRPr="00946498" w:rsidR="00BD7293" w:rsidP="00BD7293" w:rsidRDefault="00884DC8" w14:paraId="7E0C5C48" w14:textId="77777777">
      <w:pPr>
        <w:jc w:val="center"/>
        <w:rPr>
          <w:rFonts w:ascii="Verdana" w:hAnsi="Verdana"/>
          <w:sz w:val="18"/>
          <w:szCs w:val="18"/>
        </w:rPr>
      </w:pPr>
      <w:hyperlink w:history="1" r:id="rId20">
        <w:r w:rsidR="007B0DF0">
          <w:rPr>
            <w:rStyle w:val="Hyperlink"/>
            <w:rFonts w:ascii="Verdana" w:hAnsi="Verdana"/>
            <w:sz w:val="18"/>
          </w:rPr>
          <w:t>marco.pezzani@eesc.europa.eu</w:t>
        </w:r>
      </w:hyperlink>
    </w:p>
    <w:p w:rsidRPr="00946498" w:rsidR="00BD7293" w:rsidP="00BD7293" w:rsidRDefault="00BD7293" w14:paraId="3B3D4053" w14:textId="5DAC4801">
      <w:pPr>
        <w:pStyle w:val="Heading1"/>
        <w:numPr>
          <w:ilvl w:val="0"/>
          <w:numId w:val="0"/>
        </w:numPr>
        <w:jc w:val="center"/>
        <w:rPr>
          <w:rFonts w:ascii="Verdana" w:hAnsi="Verdana"/>
          <w:b/>
          <w:bCs/>
          <w:sz w:val="18"/>
          <w:szCs w:val="18"/>
        </w:rPr>
      </w:pPr>
      <w:r>
        <w:rPr>
          <w:rFonts w:ascii="Verdana" w:hAnsi="Verdana"/>
          <w:b/>
          <w:sz w:val="18"/>
        </w:rPr>
        <w:t>@EESC_PRESS</w:t>
      </w:r>
    </w:p>
    <w:p w:rsidRPr="00946498" w:rsidR="006F287C" w:rsidP="006F287C" w:rsidRDefault="006F287C" w14:paraId="3553274E" w14:textId="5217A61D">
      <w:pPr>
        <w:rPr>
          <w:rFonts w:ascii="Verdana" w:hAnsi="Verdana"/>
          <w:sz w:val="18"/>
        </w:rPr>
      </w:pPr>
    </w:p>
    <w:p w:rsidRPr="00946498" w:rsidR="00F83179" w:rsidP="00CE439D" w:rsidRDefault="00F83179" w14:paraId="2F3F2A91" w14:textId="77777777">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Pr="00946498" w:rsidR="00F83179" w:rsidP="00CE439D" w:rsidRDefault="00F83179" w14:paraId="2550D65E" w14:textId="77777777">
      <w:pPr>
        <w:rPr>
          <w:rFonts w:ascii="Verdana" w:hAnsi="Verdana"/>
          <w:i/>
          <w:sz w:val="16"/>
          <w:szCs w:val="16"/>
        </w:rPr>
      </w:pPr>
      <w:r>
        <w:rPr>
          <w:rFonts w:ascii="Verdana" w:hAnsi="Verdana"/>
          <w:i/>
          <w:sz w:val="16"/>
        </w:rPr>
        <w:t>Comitetul Economic și Social European asigură reprezentarea diverselor componente cu caracter economic și social ale societății civile organizate. Este un organ instituțional consultativ, instituit prin Tratatul de la Roma din 1957. Rolul său consultativ le permite membrilor Comitetului, deci și organizațiilor pe care ei le reprezintă, să participe la procesul de luare a deciziilor la nivelul UE.</w:t>
      </w:r>
    </w:p>
    <w:p w:rsidRPr="00946498" w:rsidR="00F83179" w:rsidP="00AB5D9C" w:rsidRDefault="00F83179" w14:paraId="293C97E3" w14:textId="77777777">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Pr="00946498" w:rsidR="00F83179"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3F1B" w14:textId="77777777" w:rsidR="00D8197C" w:rsidRDefault="00D8197C">
      <w:r>
        <w:separator/>
      </w:r>
    </w:p>
  </w:endnote>
  <w:endnote w:type="continuationSeparator" w:id="0">
    <w:p w14:paraId="2442DD8B" w14:textId="77777777" w:rsidR="00D8197C" w:rsidRDefault="00D8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8189" w14:textId="77777777" w:rsidR="00EC6C95" w:rsidRDefault="00EC6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proofErr w:type="spellStart"/>
    <w:r>
      <w:rPr>
        <w:rFonts w:ascii="Verdana" w:hAnsi="Verdana"/>
        <w:sz w:val="16"/>
      </w:rPr>
      <w:t>Rue</w:t>
    </w:r>
    <w:proofErr w:type="spellEnd"/>
    <w:r>
      <w:rPr>
        <w:rFonts w:ascii="Verdana" w:hAnsi="Verdana"/>
        <w:sz w:val="16"/>
      </w:rPr>
      <w:t xml:space="preserve"> </w:t>
    </w:r>
    <w:proofErr w:type="spellStart"/>
    <w:r>
      <w:rPr>
        <w:rFonts w:ascii="Verdana" w:hAnsi="Verdana"/>
        <w:sz w:val="16"/>
      </w:rPr>
      <w:t>Belliard</w:t>
    </w:r>
    <w:proofErr w:type="spellEnd"/>
    <w:r>
      <w:rPr>
        <w:rFonts w:ascii="Verdana" w:hAnsi="Verdana"/>
        <w:sz w:val="16"/>
      </w:rPr>
      <w:t>/</w:t>
    </w:r>
    <w:proofErr w:type="spellStart"/>
    <w:r>
      <w:rPr>
        <w:rFonts w:ascii="Verdana" w:hAnsi="Verdana"/>
        <w:sz w:val="16"/>
      </w:rPr>
      <w:t>Belliardstraat</w:t>
    </w:r>
    <w:proofErr w:type="spellEnd"/>
    <w:r>
      <w:rPr>
        <w:rFonts w:ascii="Verdana" w:hAnsi="Verdana"/>
        <w:sz w:val="16"/>
      </w:rPr>
      <w:t xml:space="preserve"> 99 – 1040 Bruxelles/</w:t>
    </w:r>
    <w:proofErr w:type="spellStart"/>
    <w:r>
      <w:rPr>
        <w:rFonts w:ascii="Verdana" w:hAnsi="Verdana"/>
        <w:sz w:val="16"/>
      </w:rPr>
      <w:t>Brussel</w:t>
    </w:r>
    <w:proofErr w:type="spellEnd"/>
    <w:r>
      <w:rPr>
        <w:rFonts w:ascii="Verdana" w:hAnsi="Verdana"/>
        <w:sz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Tel. +32 25469406 – Fax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E-mail: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Urmăriți CESE pe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4D35" w14:textId="77777777" w:rsidR="00EC6C95" w:rsidRDefault="00EC6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D5E2A" w14:textId="77777777" w:rsidR="00D8197C" w:rsidRDefault="00D8197C">
      <w:r>
        <w:separator/>
      </w:r>
    </w:p>
  </w:footnote>
  <w:footnote w:type="continuationSeparator" w:id="0">
    <w:p w14:paraId="04475277" w14:textId="77777777" w:rsidR="00D8197C" w:rsidRDefault="00D8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00BE" w14:textId="77777777" w:rsidR="00EC6C95" w:rsidRDefault="00EC6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7DAB" w14:textId="77777777" w:rsidR="00EC6C95" w:rsidRDefault="00EC6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063F" w14:textId="77777777" w:rsidR="00EC6C95" w:rsidRDefault="00EC6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94F2E1E"/>
    <w:multiLevelType w:val="hybridMultilevel"/>
    <w:tmpl w:val="DDC43F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6751BEF"/>
    <w:multiLevelType w:val="hybridMultilevel"/>
    <w:tmpl w:val="AEF436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BD6CE7"/>
    <w:multiLevelType w:val="hybridMultilevel"/>
    <w:tmpl w:val="43C432C4"/>
    <w:lvl w:ilvl="0" w:tplc="08090011">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DD620D5"/>
    <w:multiLevelType w:val="hybridMultilevel"/>
    <w:tmpl w:val="E72891F4"/>
    <w:lvl w:ilvl="0" w:tplc="AA2E32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3A176A"/>
    <w:multiLevelType w:val="hybridMultilevel"/>
    <w:tmpl w:val="E29038CE"/>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F5"/>
    <w:rsid w:val="00000BF5"/>
    <w:rsid w:val="00023F9C"/>
    <w:rsid w:val="00035866"/>
    <w:rsid w:val="000440D3"/>
    <w:rsid w:val="00045128"/>
    <w:rsid w:val="00045131"/>
    <w:rsid w:val="00046C01"/>
    <w:rsid w:val="00046C51"/>
    <w:rsid w:val="0004715C"/>
    <w:rsid w:val="00050AFC"/>
    <w:rsid w:val="00066609"/>
    <w:rsid w:val="00067F21"/>
    <w:rsid w:val="00071F79"/>
    <w:rsid w:val="000C733D"/>
    <w:rsid w:val="000D316B"/>
    <w:rsid w:val="000D5B69"/>
    <w:rsid w:val="000F2AD2"/>
    <w:rsid w:val="00100731"/>
    <w:rsid w:val="00104DFA"/>
    <w:rsid w:val="00105E49"/>
    <w:rsid w:val="00112EAE"/>
    <w:rsid w:val="00115153"/>
    <w:rsid w:val="001243FA"/>
    <w:rsid w:val="00132CB8"/>
    <w:rsid w:val="00142677"/>
    <w:rsid w:val="001527B2"/>
    <w:rsid w:val="00155ED8"/>
    <w:rsid w:val="00177BD4"/>
    <w:rsid w:val="001846CE"/>
    <w:rsid w:val="00184D84"/>
    <w:rsid w:val="0018613F"/>
    <w:rsid w:val="001930A7"/>
    <w:rsid w:val="001A424C"/>
    <w:rsid w:val="001B1143"/>
    <w:rsid w:val="001C5F46"/>
    <w:rsid w:val="001D73C0"/>
    <w:rsid w:val="001E00F2"/>
    <w:rsid w:val="002150A2"/>
    <w:rsid w:val="00220030"/>
    <w:rsid w:val="00227A31"/>
    <w:rsid w:val="0023666D"/>
    <w:rsid w:val="0024064E"/>
    <w:rsid w:val="00247AE0"/>
    <w:rsid w:val="002560DE"/>
    <w:rsid w:val="0026528E"/>
    <w:rsid w:val="002734F3"/>
    <w:rsid w:val="00275154"/>
    <w:rsid w:val="00285BD5"/>
    <w:rsid w:val="002A2267"/>
    <w:rsid w:val="002B4379"/>
    <w:rsid w:val="002D0CCC"/>
    <w:rsid w:val="002D4E0D"/>
    <w:rsid w:val="002D5709"/>
    <w:rsid w:val="002E59F4"/>
    <w:rsid w:val="002F1B62"/>
    <w:rsid w:val="002F79A3"/>
    <w:rsid w:val="00302A8A"/>
    <w:rsid w:val="00307B36"/>
    <w:rsid w:val="00315B08"/>
    <w:rsid w:val="00321382"/>
    <w:rsid w:val="00337F0A"/>
    <w:rsid w:val="00342785"/>
    <w:rsid w:val="00347036"/>
    <w:rsid w:val="0035711A"/>
    <w:rsid w:val="00364474"/>
    <w:rsid w:val="003759BE"/>
    <w:rsid w:val="00384F7A"/>
    <w:rsid w:val="0038577F"/>
    <w:rsid w:val="003872F9"/>
    <w:rsid w:val="00394D81"/>
    <w:rsid w:val="003959F5"/>
    <w:rsid w:val="00397909"/>
    <w:rsid w:val="003A77E7"/>
    <w:rsid w:val="003B714A"/>
    <w:rsid w:val="003C1F6B"/>
    <w:rsid w:val="003C2229"/>
    <w:rsid w:val="003C60BB"/>
    <w:rsid w:val="003E76A5"/>
    <w:rsid w:val="003F1A2A"/>
    <w:rsid w:val="004138F2"/>
    <w:rsid w:val="00414734"/>
    <w:rsid w:val="00415456"/>
    <w:rsid w:val="00421465"/>
    <w:rsid w:val="0042470A"/>
    <w:rsid w:val="00424928"/>
    <w:rsid w:val="004417A9"/>
    <w:rsid w:val="004605FD"/>
    <w:rsid w:val="00474606"/>
    <w:rsid w:val="00486D46"/>
    <w:rsid w:val="004873DA"/>
    <w:rsid w:val="00494BBC"/>
    <w:rsid w:val="004C0408"/>
    <w:rsid w:val="004C14F0"/>
    <w:rsid w:val="004D28EB"/>
    <w:rsid w:val="004D6672"/>
    <w:rsid w:val="004E422F"/>
    <w:rsid w:val="004F1D3B"/>
    <w:rsid w:val="004F4C5B"/>
    <w:rsid w:val="005042EC"/>
    <w:rsid w:val="00512080"/>
    <w:rsid w:val="00522754"/>
    <w:rsid w:val="005244B3"/>
    <w:rsid w:val="005270ED"/>
    <w:rsid w:val="00527D5E"/>
    <w:rsid w:val="005520A7"/>
    <w:rsid w:val="00552EA9"/>
    <w:rsid w:val="005549A1"/>
    <w:rsid w:val="00554BEC"/>
    <w:rsid w:val="00556CD0"/>
    <w:rsid w:val="00560900"/>
    <w:rsid w:val="00560D89"/>
    <w:rsid w:val="00566D83"/>
    <w:rsid w:val="0056705F"/>
    <w:rsid w:val="005730BB"/>
    <w:rsid w:val="00574D18"/>
    <w:rsid w:val="00582C7E"/>
    <w:rsid w:val="005A0E46"/>
    <w:rsid w:val="005A186C"/>
    <w:rsid w:val="005A1ABE"/>
    <w:rsid w:val="005A1BC6"/>
    <w:rsid w:val="005B3342"/>
    <w:rsid w:val="005C07A3"/>
    <w:rsid w:val="005C08F4"/>
    <w:rsid w:val="005C2258"/>
    <w:rsid w:val="005C43A1"/>
    <w:rsid w:val="005C46DB"/>
    <w:rsid w:val="005C5238"/>
    <w:rsid w:val="005D3D97"/>
    <w:rsid w:val="005D4A5F"/>
    <w:rsid w:val="005D4F9B"/>
    <w:rsid w:val="005E1801"/>
    <w:rsid w:val="005E2455"/>
    <w:rsid w:val="005F089F"/>
    <w:rsid w:val="00612931"/>
    <w:rsid w:val="00612B3A"/>
    <w:rsid w:val="006150AF"/>
    <w:rsid w:val="006211A8"/>
    <w:rsid w:val="00624950"/>
    <w:rsid w:val="00626C38"/>
    <w:rsid w:val="00631847"/>
    <w:rsid w:val="00633F6A"/>
    <w:rsid w:val="0063783D"/>
    <w:rsid w:val="00640DDB"/>
    <w:rsid w:val="00640E00"/>
    <w:rsid w:val="0064141E"/>
    <w:rsid w:val="0064298E"/>
    <w:rsid w:val="00642F54"/>
    <w:rsid w:val="00651B8D"/>
    <w:rsid w:val="00662EE3"/>
    <w:rsid w:val="00680F1F"/>
    <w:rsid w:val="00686EC2"/>
    <w:rsid w:val="00692F34"/>
    <w:rsid w:val="006960CD"/>
    <w:rsid w:val="006977DE"/>
    <w:rsid w:val="006A0D60"/>
    <w:rsid w:val="006A2E23"/>
    <w:rsid w:val="006A744F"/>
    <w:rsid w:val="006B3979"/>
    <w:rsid w:val="006B4D96"/>
    <w:rsid w:val="006B4DBE"/>
    <w:rsid w:val="006E1BC9"/>
    <w:rsid w:val="006E2FE3"/>
    <w:rsid w:val="006E4259"/>
    <w:rsid w:val="006F287C"/>
    <w:rsid w:val="006F338B"/>
    <w:rsid w:val="006F774D"/>
    <w:rsid w:val="007027DF"/>
    <w:rsid w:val="00712975"/>
    <w:rsid w:val="00712EA3"/>
    <w:rsid w:val="007159BA"/>
    <w:rsid w:val="007253F3"/>
    <w:rsid w:val="007313DC"/>
    <w:rsid w:val="0073691E"/>
    <w:rsid w:val="00741024"/>
    <w:rsid w:val="00750138"/>
    <w:rsid w:val="00755D16"/>
    <w:rsid w:val="00761BCA"/>
    <w:rsid w:val="00763DD2"/>
    <w:rsid w:val="00777FD0"/>
    <w:rsid w:val="007808D7"/>
    <w:rsid w:val="0079001F"/>
    <w:rsid w:val="007933A1"/>
    <w:rsid w:val="00795B49"/>
    <w:rsid w:val="007A23CA"/>
    <w:rsid w:val="007A5486"/>
    <w:rsid w:val="007B0DF0"/>
    <w:rsid w:val="007B7A3F"/>
    <w:rsid w:val="007C080D"/>
    <w:rsid w:val="007C71FD"/>
    <w:rsid w:val="007D5510"/>
    <w:rsid w:val="007D76CF"/>
    <w:rsid w:val="007E14EC"/>
    <w:rsid w:val="007E7541"/>
    <w:rsid w:val="007F693C"/>
    <w:rsid w:val="00807DED"/>
    <w:rsid w:val="008133EA"/>
    <w:rsid w:val="008141F8"/>
    <w:rsid w:val="00816631"/>
    <w:rsid w:val="00826961"/>
    <w:rsid w:val="00836955"/>
    <w:rsid w:val="00837B82"/>
    <w:rsid w:val="008412F6"/>
    <w:rsid w:val="00852D70"/>
    <w:rsid w:val="00853D56"/>
    <w:rsid w:val="00874A65"/>
    <w:rsid w:val="008820BE"/>
    <w:rsid w:val="00882391"/>
    <w:rsid w:val="00884DC8"/>
    <w:rsid w:val="008850E4"/>
    <w:rsid w:val="008928C0"/>
    <w:rsid w:val="008A055C"/>
    <w:rsid w:val="008A15C7"/>
    <w:rsid w:val="008C4C63"/>
    <w:rsid w:val="008C573E"/>
    <w:rsid w:val="008E2965"/>
    <w:rsid w:val="008E4530"/>
    <w:rsid w:val="008E60E8"/>
    <w:rsid w:val="008E71E6"/>
    <w:rsid w:val="008F4CA5"/>
    <w:rsid w:val="00904607"/>
    <w:rsid w:val="009100DF"/>
    <w:rsid w:val="0091356C"/>
    <w:rsid w:val="00915B25"/>
    <w:rsid w:val="00921A9C"/>
    <w:rsid w:val="00923601"/>
    <w:rsid w:val="00945B9A"/>
    <w:rsid w:val="00946498"/>
    <w:rsid w:val="00950ECF"/>
    <w:rsid w:val="00955D3C"/>
    <w:rsid w:val="009572EA"/>
    <w:rsid w:val="009666A2"/>
    <w:rsid w:val="00981B81"/>
    <w:rsid w:val="0098368F"/>
    <w:rsid w:val="00990253"/>
    <w:rsid w:val="009A4C63"/>
    <w:rsid w:val="009C2FCF"/>
    <w:rsid w:val="009D3245"/>
    <w:rsid w:val="009E41C4"/>
    <w:rsid w:val="009E5EAE"/>
    <w:rsid w:val="009E75B7"/>
    <w:rsid w:val="00A010F0"/>
    <w:rsid w:val="00A110EC"/>
    <w:rsid w:val="00A1723B"/>
    <w:rsid w:val="00A403B7"/>
    <w:rsid w:val="00A6016E"/>
    <w:rsid w:val="00A70691"/>
    <w:rsid w:val="00A74687"/>
    <w:rsid w:val="00A778B6"/>
    <w:rsid w:val="00A8615B"/>
    <w:rsid w:val="00A96CE7"/>
    <w:rsid w:val="00AA61D9"/>
    <w:rsid w:val="00AB5D9C"/>
    <w:rsid w:val="00AF2692"/>
    <w:rsid w:val="00B15098"/>
    <w:rsid w:val="00B2321D"/>
    <w:rsid w:val="00B239E2"/>
    <w:rsid w:val="00B26429"/>
    <w:rsid w:val="00B3271E"/>
    <w:rsid w:val="00B40FE0"/>
    <w:rsid w:val="00B4334B"/>
    <w:rsid w:val="00B514E0"/>
    <w:rsid w:val="00B5704D"/>
    <w:rsid w:val="00B62E63"/>
    <w:rsid w:val="00B66648"/>
    <w:rsid w:val="00B66DB9"/>
    <w:rsid w:val="00B6700D"/>
    <w:rsid w:val="00B67595"/>
    <w:rsid w:val="00B710AF"/>
    <w:rsid w:val="00B75489"/>
    <w:rsid w:val="00B8166F"/>
    <w:rsid w:val="00B871EF"/>
    <w:rsid w:val="00B87297"/>
    <w:rsid w:val="00B9349D"/>
    <w:rsid w:val="00B96D77"/>
    <w:rsid w:val="00BA72BC"/>
    <w:rsid w:val="00BA7E3D"/>
    <w:rsid w:val="00BB36F5"/>
    <w:rsid w:val="00BC0660"/>
    <w:rsid w:val="00BD617C"/>
    <w:rsid w:val="00BD7293"/>
    <w:rsid w:val="00BF0A2A"/>
    <w:rsid w:val="00BF0E86"/>
    <w:rsid w:val="00BF393E"/>
    <w:rsid w:val="00BF6293"/>
    <w:rsid w:val="00C0652E"/>
    <w:rsid w:val="00C22A5C"/>
    <w:rsid w:val="00C25FED"/>
    <w:rsid w:val="00C3214C"/>
    <w:rsid w:val="00C52FA9"/>
    <w:rsid w:val="00C656C5"/>
    <w:rsid w:val="00C72B00"/>
    <w:rsid w:val="00C73E17"/>
    <w:rsid w:val="00C740E7"/>
    <w:rsid w:val="00C8634A"/>
    <w:rsid w:val="00C93E55"/>
    <w:rsid w:val="00C97D1B"/>
    <w:rsid w:val="00CB17D3"/>
    <w:rsid w:val="00CB448F"/>
    <w:rsid w:val="00CB5993"/>
    <w:rsid w:val="00CC276E"/>
    <w:rsid w:val="00CC5490"/>
    <w:rsid w:val="00CD2604"/>
    <w:rsid w:val="00CD658F"/>
    <w:rsid w:val="00CE439D"/>
    <w:rsid w:val="00CE6DB7"/>
    <w:rsid w:val="00CE7AC7"/>
    <w:rsid w:val="00CF3901"/>
    <w:rsid w:val="00CF6769"/>
    <w:rsid w:val="00D016BE"/>
    <w:rsid w:val="00D06185"/>
    <w:rsid w:val="00D1029C"/>
    <w:rsid w:val="00D212E0"/>
    <w:rsid w:val="00D26DD6"/>
    <w:rsid w:val="00D33655"/>
    <w:rsid w:val="00D41605"/>
    <w:rsid w:val="00D44F8B"/>
    <w:rsid w:val="00D56843"/>
    <w:rsid w:val="00D6369C"/>
    <w:rsid w:val="00D65D94"/>
    <w:rsid w:val="00D70036"/>
    <w:rsid w:val="00D75C6E"/>
    <w:rsid w:val="00D80790"/>
    <w:rsid w:val="00D8197C"/>
    <w:rsid w:val="00D831D3"/>
    <w:rsid w:val="00D9016E"/>
    <w:rsid w:val="00D9379D"/>
    <w:rsid w:val="00D93A09"/>
    <w:rsid w:val="00DA0099"/>
    <w:rsid w:val="00DB20AC"/>
    <w:rsid w:val="00DB575B"/>
    <w:rsid w:val="00DB6FF3"/>
    <w:rsid w:val="00DC207D"/>
    <w:rsid w:val="00DC66B3"/>
    <w:rsid w:val="00DD29BC"/>
    <w:rsid w:val="00DD3BAC"/>
    <w:rsid w:val="00DE0845"/>
    <w:rsid w:val="00DF5312"/>
    <w:rsid w:val="00E001D1"/>
    <w:rsid w:val="00E002B7"/>
    <w:rsid w:val="00E01BEB"/>
    <w:rsid w:val="00E059CF"/>
    <w:rsid w:val="00E27081"/>
    <w:rsid w:val="00E33656"/>
    <w:rsid w:val="00E346F6"/>
    <w:rsid w:val="00E47ED9"/>
    <w:rsid w:val="00E561B1"/>
    <w:rsid w:val="00EA17E9"/>
    <w:rsid w:val="00EA22E5"/>
    <w:rsid w:val="00EC55A1"/>
    <w:rsid w:val="00EC6C95"/>
    <w:rsid w:val="00ED35AF"/>
    <w:rsid w:val="00ED61A2"/>
    <w:rsid w:val="00EE424A"/>
    <w:rsid w:val="00EE66AF"/>
    <w:rsid w:val="00EF5F0D"/>
    <w:rsid w:val="00F01633"/>
    <w:rsid w:val="00F135E2"/>
    <w:rsid w:val="00F27CD5"/>
    <w:rsid w:val="00F35A2B"/>
    <w:rsid w:val="00F376C6"/>
    <w:rsid w:val="00F45A6F"/>
    <w:rsid w:val="00F51000"/>
    <w:rsid w:val="00F61167"/>
    <w:rsid w:val="00F711B3"/>
    <w:rsid w:val="00F7410C"/>
    <w:rsid w:val="00F76B4C"/>
    <w:rsid w:val="00F82A68"/>
    <w:rsid w:val="00F83179"/>
    <w:rsid w:val="00F84076"/>
    <w:rsid w:val="00F90CFF"/>
    <w:rsid w:val="00F92DAC"/>
    <w:rsid w:val="00FA1B78"/>
    <w:rsid w:val="00FD794D"/>
    <w:rsid w:val="00FE59ED"/>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ro-RO"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ro-RO"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ro-RO"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ro-RO"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ro-RO"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ro-RO"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ro-RO"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ro-RO"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ro-RO"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ro-RO"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ro-RO"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ro-RO"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ro-RO"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ro-RO"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ro-RO"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2E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7344">
      <w:bodyDiv w:val="1"/>
      <w:marLeft w:val="0"/>
      <w:marRight w:val="0"/>
      <w:marTop w:val="0"/>
      <w:marBottom w:val="0"/>
      <w:divBdr>
        <w:top w:val="none" w:sz="0" w:space="0" w:color="auto"/>
        <w:left w:val="none" w:sz="0" w:space="0" w:color="auto"/>
        <w:bottom w:val="none" w:sz="0" w:space="0" w:color="auto"/>
        <w:right w:val="none" w:sz="0" w:space="0" w:color="auto"/>
      </w:divBdr>
    </w:div>
    <w:div w:id="274794976">
      <w:bodyDiv w:val="1"/>
      <w:marLeft w:val="0"/>
      <w:marRight w:val="0"/>
      <w:marTop w:val="0"/>
      <w:marBottom w:val="0"/>
      <w:divBdr>
        <w:top w:val="none" w:sz="0" w:space="0" w:color="auto"/>
        <w:left w:val="none" w:sz="0" w:space="0" w:color="auto"/>
        <w:bottom w:val="none" w:sz="0" w:space="0" w:color="auto"/>
        <w:right w:val="none" w:sz="0" w:space="0" w:color="auto"/>
      </w:divBdr>
    </w:div>
    <w:div w:id="569652106">
      <w:bodyDiv w:val="1"/>
      <w:marLeft w:val="0"/>
      <w:marRight w:val="0"/>
      <w:marTop w:val="0"/>
      <w:marBottom w:val="0"/>
      <w:divBdr>
        <w:top w:val="none" w:sz="0" w:space="0" w:color="auto"/>
        <w:left w:val="none" w:sz="0" w:space="0" w:color="auto"/>
        <w:bottom w:val="none" w:sz="0" w:space="0" w:color="auto"/>
        <w:right w:val="none" w:sz="0" w:space="0" w:color="auto"/>
      </w:divBdr>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esc.europa.eu/ro/initiatives/polish-presidency-council-eu" TargetMode="External"/><Relationship Id="rId26" Type="http://schemas.openxmlformats.org/officeDocument/2006/relationships/customXml" Target="../customXml/item4.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3.xml"/><Relationship Id="rId16" Type="http://schemas.openxmlformats.org/officeDocument/2006/relationships/header" Target="header3.xml"/><Relationship Id="rId20" Type="http://schemas.openxmlformats.org/officeDocument/2006/relationships/hyperlink" Target="mailto:marco.pezzani@eesc.europa.eu" TargetMode="Externa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hyperlink" Target="https://www.eesc.europa.eu/ro/initiatives/polish-presidency-council-eu/exploratory-opinions" TargetMode="Externa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A6WAAD5KZT2Q-604569563-3246</_dlc_DocId>
    <_dlc_DocIdUrl xmlns="1a33af13-4045-4f88-9d7b-618e30f79918">
      <Url>http://dm/eesc/2025/_layouts/15/DocIdRedir.aspx?ID=A6WAAD5KZT2Q-604569563-3246</Url>
      <Description>A6WAAD5KZT2Q-604569563-3246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2025-02-28T12:00:00+00:00</ProductionDate>
    <DocumentNumber xmlns="be3ca9a7-9286-4008-99ec-aebc20da9dc2">664</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13</Value>
      <Value>12</Value>
      <Value>8</Value>
      <Value>5</Value>
      <Value>54</Value>
      <Value>36</Value>
      <Value>1</Value>
      <Value>34</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1983</FicheNumber>
    <OriginalSender xmlns="1a33af13-4045-4f88-9d7b-618e30f79918">
      <UserInfo>
        <DisplayName>Soldan Aureliana Cristiana</DisplayName>
        <AccountId>1535</AccountId>
        <AccountType/>
      </UserInfo>
    </OriginalSender>
    <DocumentPart xmlns="1a33af13-4045-4f88-9d7b-618e30f79918">0</DocumentPart>
    <AdoptionDate xmlns="1a33af13-4045-4f88-9d7b-618e30f79918" xsi:nil="true"/>
    <RequestingService xmlns="1a33af13-4045-4f88-9d7b-618e30f79918">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CBF60317-DB2D-45DB-AE6E-76B8A61939AE}"/>
</file>

<file path=customXml/itemProps2.xml><?xml version="1.0" encoding="utf-8"?>
<ds:datastoreItem xmlns:ds="http://schemas.openxmlformats.org/officeDocument/2006/customXml" ds:itemID="{7D2BF968-C38F-4408-A816-B3DB6B33C769}"/>
</file>

<file path=customXml/itemProps3.xml><?xml version="1.0" encoding="utf-8"?>
<ds:datastoreItem xmlns:ds="http://schemas.openxmlformats.org/officeDocument/2006/customXml" ds:itemID="{02BF3101-9858-4A4D-BAA6-9CB44EA48936}"/>
</file>

<file path=customXml/itemProps4.xml><?xml version="1.0" encoding="utf-8"?>
<ds:datastoreItem xmlns:ds="http://schemas.openxmlformats.org/officeDocument/2006/customXml" ds:itemID="{F7A50D58-A219-4C3C-9A48-11A4A9517276}"/>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Polish EU Presidency priority: strengthening European security and keeping Europe united</vt:lpstr>
    </vt:vector>
  </TitlesOfParts>
  <Company>CESE-CdR</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Prioritatea Președinției poloneze a UE: consolidarea securității europene și menținerea unității Europei</dc:title>
  <dc:subject>CP</dc:subject>
  <dc:creator>Emma Nieddu</dc:creator>
  <cp:keywords>EESC-2025-00664-00-01-CP-TRA-EN</cp:keywords>
  <dc:description>Rapporteur:  - Original language: EN - Date of document: 28-02-2025 - Date of meeting:  - External documents:  - Administrator: M. PEZZANI Marco</dc:description>
  <cp:lastModifiedBy>Soldan Aureliana Cristiana</cp:lastModifiedBy>
  <cp:revision>12</cp:revision>
  <cp:lastPrinted>2007-06-05T13:08:00Z</cp:lastPrinted>
  <dcterms:created xsi:type="dcterms:W3CDTF">2025-02-28T08:37:00Z</dcterms:created>
  <dcterms:modified xsi:type="dcterms:W3CDTF">2025-02-28T08:40:00Z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27/02/2025, 27/02/2025, 05/04/2022</vt:lpwstr>
  </property>
  <property fmtid="{D5CDD505-2E9C-101B-9397-08002B2CF9AE}" pid="4" name="Pref_Time">
    <vt:lpwstr>16:56:31, 14:40:27, 16:28:46</vt:lpwstr>
  </property>
  <property fmtid="{D5CDD505-2E9C-101B-9397-08002B2CF9AE}" pid="5" name="Pref_User">
    <vt:lpwstr>pacup, amett, enied</vt:lpwstr>
  </property>
  <property fmtid="{D5CDD505-2E9C-101B-9397-08002B2CF9AE}" pid="6" name="Pref_FileName">
    <vt:lpwstr>EESC-2025-00664-00-01-CP-ORI.docx, EESC-2025-00664-00-00-CP-ORI.docx, EESC-2022-01954-00-00-ADMIN-ORI.docx</vt:lpwstr>
  </property>
  <property fmtid="{D5CDD505-2E9C-101B-9397-08002B2CF9AE}" pid="7" name="ContentTypeId">
    <vt:lpwstr>0x010100EA97B91038054C99906057A708A1480A006BB3B767F3CF4149BF520211D4A86BC0</vt:lpwstr>
  </property>
  <property fmtid="{D5CDD505-2E9C-101B-9397-08002B2CF9AE}" pid="8" name="_dlc_DocIdItemGuid">
    <vt:lpwstr>007b8ad8-5eea-4560-96a4-90ac5e3dd34d</vt:lpwstr>
  </property>
  <property fmtid="{D5CDD505-2E9C-101B-9397-08002B2CF9AE}" pid="9" name="AvailableTranslations">
    <vt:lpwstr>34;#IT|0774613c-01ed-4e5d-a25d-11d2388de825;#36;#RO|feb747a2-64cd-4299-af12-4833ddc30497;#12;#FR|d2afafd3-4c81-4f60-8f52-ee33f2f54ff3;#5;#EN|f2175f21-25d7-44a3-96da-d6a61b075e1b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664</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54;#CP|de8ad211-9e8d-408b-8324-674d21bb7d18</vt:lpwstr>
  </property>
  <property fmtid="{D5CDD505-2E9C-101B-9397-08002B2CF9AE}" pid="21" name="RequestingService">
    <vt:lpwstr>Presse</vt:lpwstr>
  </property>
  <property fmtid="{D5CDD505-2E9C-101B-9397-08002B2CF9AE}" pid="22" name="Confidentiality">
    <vt:lpwstr>15;#Unrestricted|826e22d7-d029-4ec0-a450-0c28ff673572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15;#Unrestricted|826e22d7-d029-4ec0-a450-0c28ff673572;#13;#TRA|150d2a88-1431-44e6-a8ca-0bb753ab8672;#8;#Final|ea5e6674-7b27-4bac-b091-73adbb394efe;#5;#EN|f2175f21-25d7-44a3-96da-d6a61b075e1b;#54;#CP|de8ad211-9e8d-408b-8324-674d21bb7d18;#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1983</vt:i4>
  </property>
  <property fmtid="{D5CDD505-2E9C-101B-9397-08002B2CF9AE}" pid="36" name="DocumentLanguage">
    <vt:lpwstr>36;#RO|feb747a2-64cd-4299-af12-4833ddc30497</vt:lpwstr>
  </property>
  <property fmtid="{D5CDD505-2E9C-101B-9397-08002B2CF9AE}" pid="37" name="_docset_NoMedatataSyncRequired">
    <vt:lpwstr>False</vt:lpwstr>
  </property>
</Properties>
</file>