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AC0" w:rsidP="004D7AC0" w:rsidRDefault="00AA36F2" w14:paraId="4982DD4D" w14:textId="57B2C4E5">
      <w:pPr>
        <w:jc w:val="center"/>
      </w:pPr>
      <w:r>
        <w:rPr>
          <w:noProof/>
        </w:rPr>
        <w:drawing>
          <wp:inline distT="0" distB="0" distL="0" distR="0" wp14:anchorId="1BE92C2F" wp14:editId="6C2B6446">
            <wp:extent cx="1792605" cy="1239520"/>
            <wp:effectExtent l="0" t="0" r="0" b="0"/>
            <wp:docPr id="1" name="Picture 1" title="EESCLogo_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P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A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00385B97" wp14:anchorId="4982DE48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4D7AC0" w:rsidP="004D7AC0" w:rsidRDefault="004D7AC0" w14:paraId="4982DE54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982DE48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4D7AC0" w:rsidP="004D7AC0" w:rsidRDefault="004D7AC0" w14:paraId="4982DE54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PT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7AC0" w:rsidP="004D7AC0" w:rsidRDefault="004D7AC0" w14:paraId="4982DD4E" w14:textId="77777777"/>
    <w:p w:rsidR="004D7AC0" w:rsidP="004D7AC0" w:rsidRDefault="004D7AC0" w14:paraId="4982DD4F" w14:textId="1A2FDAEC">
      <w:pPr>
        <w:jc w:val="right"/>
      </w:pPr>
      <w:r>
        <w:t>Bruxelas, 17 de dezembro de 2024</w:t>
      </w:r>
    </w:p>
    <w:p w:rsidR="004D7AC0" w:rsidP="004D7AC0" w:rsidRDefault="004D7AC0" w14:paraId="4982DD50" w14:textId="77777777"/>
    <w:p w:rsidR="004D7AC0" w:rsidP="004D7AC0" w:rsidRDefault="004D7AC0" w14:paraId="4982DD51" w14:textId="77777777"/>
    <w:p w:rsidR="004D7AC0" w:rsidP="004D7AC0" w:rsidRDefault="004D7AC0" w14:paraId="4982DD52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="004D7AC0" w:rsidTr="00863A8F" w14:paraId="4982DD59" w14:textId="77777777">
        <w:tc>
          <w:tcPr>
            <w:tcW w:w="9289" w:type="dxa"/>
            <w:tcBorders>
              <w:bottom w:val="double" w:color="auto" w:sz="4" w:space="0"/>
            </w:tcBorders>
          </w:tcPr>
          <w:p w:rsidR="003066BE" w:rsidP="00863A8F" w:rsidRDefault="008C47BA" w14:paraId="4982DD53" w14:textId="29474CC3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592.ª REUNIÃO PLENÁRIA</w:t>
            </w:r>
          </w:p>
          <w:p w:rsidR="003066BE" w:rsidP="00863A8F" w:rsidRDefault="003066BE" w14:paraId="4982DD54" w14:textId="77777777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="003066BE" w:rsidP="00863A8F" w:rsidRDefault="009E3EE2" w14:paraId="4982DD55" w14:textId="24514D05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4 e 5 de dezembro de 2024</w:t>
            </w:r>
          </w:p>
          <w:p w:rsidR="003066BE" w:rsidP="00863A8F" w:rsidRDefault="003066BE" w14:paraId="4982DD56" w14:textId="77777777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:rsidRPr="0081153B" w:rsidR="004D7AC0" w:rsidP="00863A8F" w:rsidRDefault="00754027" w14:paraId="4982DD57" w14:textId="5A35E792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SÍNTESE DOS PARECERES, RESOLUÇÕES E RELATÓRIOS DE INFORMAÇÃO E AVALIAÇÃO ADOTADOS</w:t>
            </w:r>
          </w:p>
          <w:p w:rsidR="004D7AC0" w:rsidP="00863A8F" w:rsidRDefault="004D7AC0" w14:paraId="4982DD58" w14:textId="77777777">
            <w:pPr>
              <w:snapToGrid w:val="0"/>
            </w:pPr>
          </w:p>
        </w:tc>
      </w:tr>
      <w:tr w:rsidR="004D7AC0" w:rsidTr="00863A8F" w14:paraId="4982DD5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81153B" w:rsidR="004D7AC0" w:rsidP="00863A8F" w:rsidRDefault="004D7AC0" w14:paraId="4982DD5A" w14:textId="0C0FF99D">
            <w:pPr>
              <w:snapToGrid w:val="0"/>
              <w:jc w:val="center"/>
            </w:pPr>
            <w:r>
              <w:t>O presente documento pode ser consultado em todas as línguas oficiais da União Europeia no sítio Web do CESE, no seguinte endereço:</w:t>
            </w:r>
            <w:r>
              <w:br/>
            </w:r>
            <w:r>
              <w:br/>
            </w:r>
            <w:hyperlink w:history="1" r:id="rId12">
              <w:r>
                <w:rPr>
                  <w:rStyle w:val="Hyperlink"/>
                </w:rPr>
                <w:t>https://www.eesc.europa.eu/pt/our-work/opinions-information-reports/plenary-session-summaries</w:t>
              </w:r>
            </w:hyperlink>
          </w:p>
          <w:p w:rsidRPr="0081153B" w:rsidR="004D7AC0" w:rsidP="00863A8F" w:rsidRDefault="004D7AC0" w14:paraId="4982DD5C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044561" w:rsidR="004D7AC0" w:rsidP="00863A8F" w:rsidRDefault="004D7AC0" w14:paraId="4982DD5D" w14:textId="77777777">
            <w:pPr>
              <w:snapToGrid w:val="0"/>
              <w:jc w:val="center"/>
            </w:pPr>
            <w:r>
              <w:t xml:space="preserve">Os pareceres mencionados podem ser consultados em linha através do motor de busca do CESE: </w:t>
            </w:r>
            <w:r>
              <w:br/>
            </w:r>
            <w:r>
              <w:br/>
            </w:r>
            <w:hyperlink w:history="1" r:id="rId13">
              <w:r>
                <w:rPr>
                  <w:rStyle w:val="Hyperlink"/>
                </w:rPr>
                <w:t>https://dmsearch.eesc.europa.eu/search/opinion</w:t>
              </w:r>
            </w:hyperlink>
          </w:p>
          <w:p w:rsidRPr="00044561" w:rsidR="004D7AC0" w:rsidP="00863A8F" w:rsidRDefault="004D7AC0" w14:paraId="4982DD5E" w14:textId="77777777">
            <w:pPr>
              <w:snapToGrid w:val="0"/>
              <w:jc w:val="center"/>
            </w:pPr>
          </w:p>
        </w:tc>
      </w:tr>
    </w:tbl>
    <w:p w:rsidR="004D7AC0" w:rsidP="004D7AC0" w:rsidRDefault="004D7AC0" w14:paraId="4982DD60" w14:textId="77777777"/>
    <w:p w:rsidR="004D7AC0" w:rsidP="004D7AC0" w:rsidRDefault="004D7AC0" w14:paraId="4982DD61" w14:textId="77777777"/>
    <w:p w:rsidR="004D7AC0" w:rsidP="004D7AC0" w:rsidRDefault="004D7AC0" w14:paraId="4982DD62" w14:textId="72DC7F56">
      <w:pPr>
        <w:sectPr w:rsidR="004D7AC0" w:rsidSect="00902A1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A81AFE" w:rsidR="004D7AC0" w:rsidP="004D7AC0" w:rsidRDefault="004D7AC0" w14:paraId="4982DD63" w14:textId="77777777">
      <w:pPr>
        <w:rPr>
          <w:b/>
        </w:rPr>
      </w:pPr>
      <w:r>
        <w:rPr>
          <w:b/>
        </w:rPr>
        <w:lastRenderedPageBreak/>
        <w:t>Índice</w:t>
      </w:r>
    </w:p>
    <w:sdt>
      <w:sdtPr>
        <w:rPr>
          <w:rFonts w:ascii="Times New Roman" w:hAnsi="Times New Roman" w:eastAsia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A81AFE" w:rsidR="004D7AC0" w:rsidP="004D7AC0" w:rsidRDefault="004D7AC0" w14:paraId="4982DD64" w14:textId="77777777">
          <w:pPr>
            <w:pStyle w:val="TOCHeading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:rsidRPr="009E0936" w:rsidR="00906A7F" w:rsidRDefault="004D7AC0" w14:paraId="12EA0B3E" w14:textId="7EC0BAD0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84733994">
            <w:r w:rsidRPr="009E0936" w:rsidR="00906A7F">
              <w:rPr>
                <w:rStyle w:val="Hyperlink"/>
                <w:noProof/>
              </w:rPr>
              <w:t>1.</w:t>
            </w:r>
            <w:r w:rsidRPr="009E0936" w:rsidR="00906A7F"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9E0936" w:rsidR="00906A7F">
              <w:rPr>
                <w:rStyle w:val="Hyperlink"/>
                <w:noProof/>
              </w:rPr>
              <w:t>RESOLUÇÃO</w:t>
            </w:r>
            <w:r w:rsidRPr="009E0936" w:rsidR="00906A7F">
              <w:rPr>
                <w:noProof/>
                <w:webHidden/>
              </w:rPr>
              <w:tab/>
            </w:r>
            <w:r w:rsidRPr="009E0936" w:rsidR="00906A7F">
              <w:rPr>
                <w:noProof/>
                <w:webHidden/>
              </w:rPr>
              <w:fldChar w:fldCharType="begin"/>
            </w:r>
            <w:r w:rsidRPr="009E0936" w:rsidR="00906A7F">
              <w:rPr>
                <w:noProof/>
                <w:webHidden/>
              </w:rPr>
              <w:instrText xml:space="preserve"> PAGEREF _Toc184733994 \h </w:instrText>
            </w:r>
            <w:r w:rsidRPr="009E0936" w:rsidR="00906A7F">
              <w:rPr>
                <w:noProof/>
                <w:webHidden/>
              </w:rPr>
            </w:r>
            <w:r w:rsidRPr="009E0936" w:rsidR="00906A7F">
              <w:rPr>
                <w:noProof/>
                <w:webHidden/>
              </w:rPr>
              <w:fldChar w:fldCharType="separate"/>
            </w:r>
            <w:r w:rsidR="00435C4B">
              <w:rPr>
                <w:noProof/>
                <w:webHidden/>
              </w:rPr>
              <w:t>3</w:t>
            </w:r>
            <w:r w:rsidRPr="009E0936" w:rsidR="00906A7F">
              <w:rPr>
                <w:noProof/>
                <w:webHidden/>
              </w:rPr>
              <w:fldChar w:fldCharType="end"/>
            </w:r>
          </w:hyperlink>
        </w:p>
        <w:p w:rsidRPr="009E0936" w:rsidR="00906A7F" w:rsidP="00906A7F" w:rsidRDefault="00F260F0" w14:paraId="023B3AF1" w14:textId="64D05F28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hyperlink w:history="1" w:anchor="_Toc184733995">
            <w:r w:rsidRPr="009E0936" w:rsidR="00906A7F">
              <w:rPr>
                <w:rStyle w:val="Hyperlink"/>
                <w:noProof/>
              </w:rPr>
              <w:t>2.</w:t>
            </w:r>
            <w:r w:rsidRPr="009E0936" w:rsidR="00906A7F"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9E0936" w:rsidR="00906A7F">
              <w:rPr>
                <w:rStyle w:val="Hyperlink"/>
                <w:noProof/>
              </w:rPr>
              <w:t>UNIÃO ECONÓMICA E MONETÁRIA E COESÃO ECONÓMICA E SOCIAL</w:t>
            </w:r>
            <w:r w:rsidRPr="009E0936" w:rsidR="00906A7F">
              <w:rPr>
                <w:noProof/>
                <w:webHidden/>
              </w:rPr>
              <w:tab/>
            </w:r>
            <w:r w:rsidRPr="009E0936" w:rsidR="00906A7F">
              <w:rPr>
                <w:noProof/>
                <w:webHidden/>
              </w:rPr>
              <w:fldChar w:fldCharType="begin"/>
            </w:r>
            <w:r w:rsidRPr="009E0936" w:rsidR="00906A7F">
              <w:rPr>
                <w:noProof/>
                <w:webHidden/>
              </w:rPr>
              <w:instrText xml:space="preserve"> PAGEREF _Toc184733995 \h </w:instrText>
            </w:r>
            <w:r w:rsidRPr="009E0936" w:rsidR="00906A7F">
              <w:rPr>
                <w:noProof/>
                <w:webHidden/>
              </w:rPr>
            </w:r>
            <w:r w:rsidRPr="009E0936" w:rsidR="00906A7F">
              <w:rPr>
                <w:noProof/>
                <w:webHidden/>
              </w:rPr>
              <w:fldChar w:fldCharType="separate"/>
            </w:r>
            <w:r w:rsidR="00435C4B">
              <w:rPr>
                <w:noProof/>
                <w:webHidden/>
              </w:rPr>
              <w:t>5</w:t>
            </w:r>
            <w:r w:rsidRPr="009E0936" w:rsidR="00906A7F">
              <w:rPr>
                <w:noProof/>
                <w:webHidden/>
              </w:rPr>
              <w:fldChar w:fldCharType="end"/>
            </w:r>
          </w:hyperlink>
        </w:p>
        <w:p w:rsidRPr="009E0936" w:rsidR="00906A7F" w:rsidRDefault="00F260F0" w14:paraId="3550DE4F" w14:textId="014DED63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hyperlink w:history="1" w:anchor="_Toc184734007">
            <w:r w:rsidRPr="009E0936" w:rsidR="00906A7F">
              <w:rPr>
                <w:rStyle w:val="Hyperlink"/>
                <w:noProof/>
              </w:rPr>
              <w:t>3.</w:t>
            </w:r>
            <w:r w:rsidRPr="009E0936" w:rsidR="00906A7F"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9E0936" w:rsidR="00906A7F">
              <w:rPr>
                <w:rStyle w:val="Hyperlink"/>
                <w:noProof/>
              </w:rPr>
              <w:t>EMPREGO, ASSUNTOS SOCIAIS E CIDADANIA</w:t>
            </w:r>
            <w:r w:rsidRPr="009E0936" w:rsidR="00906A7F">
              <w:rPr>
                <w:noProof/>
                <w:webHidden/>
              </w:rPr>
              <w:tab/>
            </w:r>
            <w:r w:rsidRPr="009E0936" w:rsidR="00906A7F">
              <w:rPr>
                <w:noProof/>
                <w:webHidden/>
              </w:rPr>
              <w:fldChar w:fldCharType="begin"/>
            </w:r>
            <w:r w:rsidRPr="009E0936" w:rsidR="00906A7F">
              <w:rPr>
                <w:noProof/>
                <w:webHidden/>
              </w:rPr>
              <w:instrText xml:space="preserve"> PAGEREF _Toc184734007 \h </w:instrText>
            </w:r>
            <w:r w:rsidRPr="009E0936" w:rsidR="00906A7F">
              <w:rPr>
                <w:noProof/>
                <w:webHidden/>
              </w:rPr>
            </w:r>
            <w:r w:rsidRPr="009E0936" w:rsidR="00906A7F">
              <w:rPr>
                <w:noProof/>
                <w:webHidden/>
              </w:rPr>
              <w:fldChar w:fldCharType="separate"/>
            </w:r>
            <w:r w:rsidR="00435C4B">
              <w:rPr>
                <w:noProof/>
                <w:webHidden/>
              </w:rPr>
              <w:t>10</w:t>
            </w:r>
            <w:r w:rsidRPr="009E0936" w:rsidR="00906A7F">
              <w:rPr>
                <w:noProof/>
                <w:webHidden/>
              </w:rPr>
              <w:fldChar w:fldCharType="end"/>
            </w:r>
          </w:hyperlink>
        </w:p>
        <w:p w:rsidRPr="009E0936" w:rsidR="00906A7F" w:rsidRDefault="00F260F0" w14:paraId="7A6D3D5D" w14:textId="48A19A95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hyperlink w:history="1" w:anchor="_Toc184734008">
            <w:r w:rsidRPr="009E0936" w:rsidR="00906A7F">
              <w:rPr>
                <w:rStyle w:val="Hyperlink"/>
                <w:noProof/>
              </w:rPr>
              <w:t>4.</w:t>
            </w:r>
            <w:r w:rsidRPr="009E0936" w:rsidR="00906A7F"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9E0936" w:rsidR="00906A7F">
              <w:rPr>
                <w:rStyle w:val="Hyperlink"/>
                <w:noProof/>
              </w:rPr>
              <w:t>TRANSPORTES, ENERGIA, INFRAESTRUTURAS E SOCIEDADE DA INFORMAÇÃO</w:t>
            </w:r>
            <w:r w:rsidRPr="009E0936" w:rsidR="00906A7F">
              <w:rPr>
                <w:noProof/>
                <w:webHidden/>
              </w:rPr>
              <w:tab/>
            </w:r>
            <w:r w:rsidRPr="009E0936" w:rsidR="00906A7F">
              <w:rPr>
                <w:noProof/>
                <w:webHidden/>
              </w:rPr>
              <w:fldChar w:fldCharType="begin"/>
            </w:r>
            <w:r w:rsidRPr="009E0936" w:rsidR="00906A7F">
              <w:rPr>
                <w:noProof/>
                <w:webHidden/>
              </w:rPr>
              <w:instrText xml:space="preserve"> PAGEREF _Toc184734008 \h </w:instrText>
            </w:r>
            <w:r w:rsidRPr="009E0936" w:rsidR="00906A7F">
              <w:rPr>
                <w:noProof/>
                <w:webHidden/>
              </w:rPr>
            </w:r>
            <w:r w:rsidRPr="009E0936" w:rsidR="00906A7F">
              <w:rPr>
                <w:noProof/>
                <w:webHidden/>
              </w:rPr>
              <w:fldChar w:fldCharType="separate"/>
            </w:r>
            <w:r w:rsidR="00435C4B">
              <w:rPr>
                <w:noProof/>
                <w:webHidden/>
              </w:rPr>
              <w:t>11</w:t>
            </w:r>
            <w:r w:rsidRPr="009E0936" w:rsidR="00906A7F">
              <w:rPr>
                <w:noProof/>
                <w:webHidden/>
              </w:rPr>
              <w:fldChar w:fldCharType="end"/>
            </w:r>
          </w:hyperlink>
        </w:p>
        <w:p w:rsidRPr="009E0936" w:rsidR="00906A7F" w:rsidRDefault="00F260F0" w14:paraId="4BD80043" w14:textId="35C7E8AD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hyperlink w:history="1" w:anchor="_Toc184734009">
            <w:r w:rsidRPr="009E0936" w:rsidR="00906A7F">
              <w:rPr>
                <w:rStyle w:val="Hyperlink"/>
                <w:noProof/>
              </w:rPr>
              <w:t>5.</w:t>
            </w:r>
            <w:r w:rsidRPr="009E0936" w:rsidR="00906A7F"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9E0936" w:rsidR="00906A7F">
              <w:rPr>
                <w:rStyle w:val="Hyperlink"/>
                <w:noProof/>
              </w:rPr>
              <w:t>MERCADO ÚNICO, PRODUÇÃO E CONSUMO</w:t>
            </w:r>
            <w:r w:rsidRPr="009E0936" w:rsidR="00906A7F">
              <w:rPr>
                <w:noProof/>
                <w:webHidden/>
              </w:rPr>
              <w:tab/>
            </w:r>
            <w:r w:rsidRPr="009E0936" w:rsidR="00906A7F">
              <w:rPr>
                <w:noProof/>
                <w:webHidden/>
              </w:rPr>
              <w:fldChar w:fldCharType="begin"/>
            </w:r>
            <w:r w:rsidRPr="009E0936" w:rsidR="00906A7F">
              <w:rPr>
                <w:noProof/>
                <w:webHidden/>
              </w:rPr>
              <w:instrText xml:space="preserve"> PAGEREF _Toc184734009 \h </w:instrText>
            </w:r>
            <w:r w:rsidRPr="009E0936" w:rsidR="00906A7F">
              <w:rPr>
                <w:noProof/>
                <w:webHidden/>
              </w:rPr>
            </w:r>
            <w:r w:rsidRPr="009E0936" w:rsidR="00906A7F">
              <w:rPr>
                <w:noProof/>
                <w:webHidden/>
              </w:rPr>
              <w:fldChar w:fldCharType="separate"/>
            </w:r>
            <w:r w:rsidR="00435C4B">
              <w:rPr>
                <w:noProof/>
                <w:webHidden/>
              </w:rPr>
              <w:t>13</w:t>
            </w:r>
            <w:r w:rsidRPr="009E0936" w:rsidR="00906A7F">
              <w:rPr>
                <w:noProof/>
                <w:webHidden/>
              </w:rPr>
              <w:fldChar w:fldCharType="end"/>
            </w:r>
          </w:hyperlink>
        </w:p>
        <w:p w:rsidRPr="009E0936" w:rsidR="00906A7F" w:rsidRDefault="00F260F0" w14:paraId="388EDE56" w14:textId="153D715A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hyperlink w:history="1" w:anchor="_Toc184734010">
            <w:r w:rsidRPr="009E0936" w:rsidR="00906A7F">
              <w:rPr>
                <w:rStyle w:val="Hyperlink"/>
                <w:noProof/>
              </w:rPr>
              <w:t>6.</w:t>
            </w:r>
            <w:r w:rsidRPr="009E0936" w:rsidR="00906A7F"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9E0936" w:rsidR="00906A7F">
              <w:rPr>
                <w:rStyle w:val="Hyperlink"/>
                <w:noProof/>
              </w:rPr>
              <w:t>AGRICULTURA, DESENVOLVIMENTO RURAL E AMBIENTE</w:t>
            </w:r>
            <w:r w:rsidRPr="009E0936" w:rsidR="00906A7F">
              <w:rPr>
                <w:noProof/>
                <w:webHidden/>
              </w:rPr>
              <w:tab/>
            </w:r>
            <w:r w:rsidRPr="009E0936" w:rsidR="00906A7F">
              <w:rPr>
                <w:noProof/>
                <w:webHidden/>
              </w:rPr>
              <w:fldChar w:fldCharType="begin"/>
            </w:r>
            <w:r w:rsidRPr="009E0936" w:rsidR="00906A7F">
              <w:rPr>
                <w:noProof/>
                <w:webHidden/>
              </w:rPr>
              <w:instrText xml:space="preserve"> PAGEREF _Toc184734010 \h </w:instrText>
            </w:r>
            <w:r w:rsidRPr="009E0936" w:rsidR="00906A7F">
              <w:rPr>
                <w:noProof/>
                <w:webHidden/>
              </w:rPr>
            </w:r>
            <w:r w:rsidRPr="009E0936" w:rsidR="00906A7F">
              <w:rPr>
                <w:noProof/>
                <w:webHidden/>
              </w:rPr>
              <w:fldChar w:fldCharType="separate"/>
            </w:r>
            <w:r w:rsidR="00435C4B">
              <w:rPr>
                <w:noProof/>
                <w:webHidden/>
              </w:rPr>
              <w:t>15</w:t>
            </w:r>
            <w:r w:rsidRPr="009E0936" w:rsidR="00906A7F">
              <w:rPr>
                <w:noProof/>
                <w:webHidden/>
              </w:rPr>
              <w:fldChar w:fldCharType="end"/>
            </w:r>
          </w:hyperlink>
        </w:p>
        <w:p w:rsidRPr="009E0936" w:rsidR="00906A7F" w:rsidRDefault="00F260F0" w14:paraId="2C4C672E" w14:textId="142A6903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hyperlink w:history="1" w:anchor="_Toc184734017">
            <w:r w:rsidRPr="009E0936" w:rsidR="00906A7F">
              <w:rPr>
                <w:rStyle w:val="Hyperlink"/>
                <w:noProof/>
              </w:rPr>
              <w:t>7.</w:t>
            </w:r>
            <w:r w:rsidRPr="009E0936" w:rsidR="00906A7F"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9E0936" w:rsidR="00906A7F">
              <w:rPr>
                <w:rStyle w:val="Hyperlink"/>
                <w:noProof/>
              </w:rPr>
              <w:t>RELAÇÕES EXTERNAS</w:t>
            </w:r>
            <w:r w:rsidRPr="009E0936" w:rsidR="00906A7F">
              <w:rPr>
                <w:noProof/>
                <w:webHidden/>
              </w:rPr>
              <w:tab/>
            </w:r>
            <w:r w:rsidRPr="009E0936" w:rsidR="00906A7F">
              <w:rPr>
                <w:noProof/>
                <w:webHidden/>
              </w:rPr>
              <w:fldChar w:fldCharType="begin"/>
            </w:r>
            <w:r w:rsidRPr="009E0936" w:rsidR="00906A7F">
              <w:rPr>
                <w:noProof/>
                <w:webHidden/>
              </w:rPr>
              <w:instrText xml:space="preserve"> PAGEREF _Toc184734017 \h </w:instrText>
            </w:r>
            <w:r w:rsidRPr="009E0936" w:rsidR="00906A7F">
              <w:rPr>
                <w:noProof/>
                <w:webHidden/>
              </w:rPr>
            </w:r>
            <w:r w:rsidRPr="009E0936" w:rsidR="00906A7F">
              <w:rPr>
                <w:noProof/>
                <w:webHidden/>
              </w:rPr>
              <w:fldChar w:fldCharType="separate"/>
            </w:r>
            <w:r w:rsidR="00435C4B">
              <w:rPr>
                <w:noProof/>
                <w:webHidden/>
              </w:rPr>
              <w:t>19</w:t>
            </w:r>
            <w:r w:rsidRPr="009E0936" w:rsidR="00906A7F">
              <w:rPr>
                <w:noProof/>
                <w:webHidden/>
              </w:rPr>
              <w:fldChar w:fldCharType="end"/>
            </w:r>
          </w:hyperlink>
        </w:p>
        <w:p w:rsidRPr="009E0936" w:rsidR="00906A7F" w:rsidRDefault="00F260F0" w14:paraId="0A1F1147" w14:textId="32B27B85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hAnsiTheme="minorHAnsi" w:eastAsiaTheme="minorEastAsia"/>
              <w:noProof/>
              <w:szCs w:val="20"/>
              <w:lang w:eastAsia="pt-PT" w:bidi="hi-x-bh-SDL"/>
            </w:rPr>
          </w:pPr>
          <w:hyperlink w:history="1" w:anchor="_Toc184734018">
            <w:r w:rsidRPr="009E0936" w:rsidR="00906A7F">
              <w:rPr>
                <w:rStyle w:val="Hyperlink"/>
                <w:noProof/>
              </w:rPr>
              <w:t>8.</w:t>
            </w:r>
            <w:r w:rsidRPr="009E0936" w:rsidR="00906A7F">
              <w:rPr>
                <w:rFonts w:asciiTheme="minorHAnsi" w:hAnsiTheme="minorHAnsi" w:eastAsiaTheme="minorEastAsia"/>
                <w:noProof/>
                <w:szCs w:val="20"/>
                <w:lang w:eastAsia="pt-PT" w:bidi="hi-x-bh-SDL"/>
              </w:rPr>
              <w:tab/>
            </w:r>
            <w:r w:rsidRPr="009E0936" w:rsidR="00906A7F">
              <w:rPr>
                <w:rStyle w:val="Hyperlink"/>
                <w:noProof/>
              </w:rPr>
              <w:t>COMISSÃO CONSULTIVA DAS MUTAÇÕES INDUSTRIAIS</w:t>
            </w:r>
            <w:r w:rsidRPr="009E0936" w:rsidR="00906A7F">
              <w:rPr>
                <w:noProof/>
                <w:webHidden/>
              </w:rPr>
              <w:tab/>
            </w:r>
            <w:r w:rsidRPr="009E0936" w:rsidR="00906A7F">
              <w:rPr>
                <w:noProof/>
                <w:webHidden/>
              </w:rPr>
              <w:fldChar w:fldCharType="begin"/>
            </w:r>
            <w:r w:rsidRPr="009E0936" w:rsidR="00906A7F">
              <w:rPr>
                <w:noProof/>
                <w:webHidden/>
              </w:rPr>
              <w:instrText xml:space="preserve"> PAGEREF _Toc184734018 \h </w:instrText>
            </w:r>
            <w:r w:rsidRPr="009E0936" w:rsidR="00906A7F">
              <w:rPr>
                <w:noProof/>
                <w:webHidden/>
              </w:rPr>
            </w:r>
            <w:r w:rsidRPr="009E0936" w:rsidR="00906A7F">
              <w:rPr>
                <w:noProof/>
                <w:webHidden/>
              </w:rPr>
              <w:fldChar w:fldCharType="separate"/>
            </w:r>
            <w:r w:rsidR="00435C4B">
              <w:rPr>
                <w:noProof/>
                <w:webHidden/>
              </w:rPr>
              <w:t>22</w:t>
            </w:r>
            <w:r w:rsidRPr="009E0936" w:rsidR="00906A7F">
              <w:rPr>
                <w:noProof/>
                <w:webHidden/>
              </w:rPr>
              <w:fldChar w:fldCharType="end"/>
            </w:r>
          </w:hyperlink>
        </w:p>
        <w:p w:rsidR="004D7AC0" w:rsidP="004D7AC0" w:rsidRDefault="004D7AC0" w14:paraId="4982DD6A" w14:textId="64E681CB">
          <w:r>
            <w:rPr>
              <w:b/>
            </w:rPr>
            <w:fldChar w:fldCharType="end"/>
          </w:r>
        </w:p>
      </w:sdtContent>
    </w:sdt>
    <w:p w:rsidR="004D7AC0" w:rsidP="004D7AC0" w:rsidRDefault="004D7AC0" w14:paraId="4982DD6B" w14:textId="77777777"/>
    <w:p w:rsidR="004D7AC0" w:rsidP="004D7AC0" w:rsidRDefault="004D7AC0" w14:paraId="4982DD6C" w14:textId="30F70A8C">
      <w:pPr>
        <w:spacing w:after="160" w:line="259" w:lineRule="auto"/>
        <w:jc w:val="left"/>
      </w:pPr>
      <w:r>
        <w:br w:type="page"/>
      </w:r>
    </w:p>
    <w:p w:rsidR="002673F7" w:rsidP="004D7AC0" w:rsidRDefault="002673F7" w14:paraId="2C14AA4D" w14:textId="2AF2A0E3">
      <w:pPr>
        <w:pStyle w:val="Heading1"/>
        <w:rPr>
          <w:b/>
        </w:rPr>
      </w:pPr>
      <w:bookmarkStart w:name="_Toc184733994" w:id="0"/>
      <w:r>
        <w:rPr>
          <w:b/>
        </w:rPr>
        <w:lastRenderedPageBreak/>
        <w:t>RESOLUÇÃO</w:t>
      </w:r>
      <w:bookmarkEnd w:id="0"/>
    </w:p>
    <w:p w:rsidR="002673F7" w:rsidP="002673F7" w:rsidRDefault="002673F7" w14:paraId="3912EA4C" w14:textId="5657EB09"/>
    <w:p w:rsidRPr="007224BE" w:rsidR="00E85F55" w:rsidP="007224BE" w:rsidRDefault="00F260F0" w14:paraId="5E0BF013" w14:textId="5EA1F7D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20">
        <w:r w:rsidR="00E85F55">
          <w:rPr>
            <w:b/>
            <w:i/>
            <w:color w:val="0000FF"/>
            <w:sz w:val="28"/>
            <w:u w:val="single"/>
          </w:rPr>
          <w:t>Resolução – Contributo do Comité Económico e Social Europeu para o programa de trabalho da Comissão Europeia para 2025</w:t>
        </w:r>
      </w:hyperlink>
    </w:p>
    <w:p w:rsidRPr="00E85F55" w:rsidR="00E85F55" w:rsidP="00E85F55" w:rsidRDefault="00E85F55" w14:paraId="7F2B3E69" w14:textId="77777777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Cs/>
          <w:lang w:val="en-GB"/>
        </w:rPr>
      </w:pPr>
    </w:p>
    <w:tbl>
      <w:tblPr>
        <w:tblStyle w:val="TableGrid1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2"/>
        <w:gridCol w:w="7479"/>
      </w:tblGrid>
      <w:tr w:rsidRPr="00E85F55" w:rsidR="00E85F55" w:rsidTr="00863A8F" w14:paraId="2F18C2E9" w14:textId="77777777">
        <w:tc>
          <w:tcPr>
            <w:tcW w:w="1093" w:type="pct"/>
          </w:tcPr>
          <w:p w:rsidRPr="00E85F55" w:rsidR="00E85F55" w:rsidP="00E85F55" w:rsidRDefault="00E85F55" w14:paraId="390649B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Relatores</w:t>
            </w:r>
          </w:p>
        </w:tc>
        <w:tc>
          <w:tcPr>
            <w:tcW w:w="3907" w:type="pct"/>
          </w:tcPr>
          <w:p w:rsidRPr="00E85F55" w:rsidR="00E85F55" w:rsidP="00E85F55" w:rsidRDefault="00E85F55" w14:paraId="4145D56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Cinzia Del Rio (IT – Grupo dos Trabalhadores)</w:t>
            </w:r>
          </w:p>
        </w:tc>
      </w:tr>
      <w:tr w:rsidRPr="00E85F55" w:rsidR="00E85F55" w:rsidTr="00863A8F" w14:paraId="3025319A" w14:textId="77777777">
        <w:tc>
          <w:tcPr>
            <w:tcW w:w="1093" w:type="pct"/>
          </w:tcPr>
          <w:p w:rsidRPr="00E85F55" w:rsidR="00E85F55" w:rsidP="00E85F55" w:rsidRDefault="00E85F55" w14:paraId="63FA2D1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907" w:type="pct"/>
          </w:tcPr>
          <w:p w:rsidRPr="00E85F55" w:rsidR="00E85F55" w:rsidP="00E85F55" w:rsidRDefault="00E85F55" w14:paraId="0FA10AB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Christa Schweng (AT – Grupo dos Empregadores)</w:t>
            </w:r>
          </w:p>
        </w:tc>
      </w:tr>
      <w:tr w:rsidRPr="00E85F55" w:rsidR="00E85F55" w:rsidTr="00863A8F" w14:paraId="09863B83" w14:textId="77777777">
        <w:tc>
          <w:tcPr>
            <w:tcW w:w="1093" w:type="pct"/>
          </w:tcPr>
          <w:p w:rsidRPr="00E85F55" w:rsidR="00E85F55" w:rsidP="00E85F55" w:rsidRDefault="00E85F55" w14:paraId="1DECA4F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907" w:type="pct"/>
          </w:tcPr>
          <w:p w:rsidRPr="00E85F55" w:rsidR="00E85F55" w:rsidP="00E85F55" w:rsidRDefault="00E85F55" w14:paraId="1A82085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Ioannis Vardakastanis (EL – Grupo das Organizações da Sociedade Civil)</w:t>
            </w:r>
          </w:p>
        </w:tc>
      </w:tr>
      <w:tr w:rsidRPr="00E85F55" w:rsidR="00E85F55" w:rsidTr="00863A8F" w14:paraId="5A8ADB6B" w14:textId="77777777">
        <w:tc>
          <w:tcPr>
            <w:tcW w:w="5000" w:type="pct"/>
            <w:gridSpan w:val="2"/>
          </w:tcPr>
          <w:p w:rsidRPr="00E85F55" w:rsidR="00E85F55" w:rsidP="00E85F55" w:rsidRDefault="00E85F55" w14:paraId="7DA5BE8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E85F55" w:rsidR="00E85F55" w:rsidTr="00863A8F" w14:paraId="1EADF646" w14:textId="77777777">
        <w:tc>
          <w:tcPr>
            <w:tcW w:w="1093" w:type="pct"/>
            <w:vMerge w:val="restart"/>
          </w:tcPr>
          <w:p w:rsidRPr="00E85F55" w:rsidR="00E85F55" w:rsidP="00E85F55" w:rsidRDefault="00E85F55" w14:paraId="1C106F5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3907" w:type="pct"/>
          </w:tcPr>
          <w:p w:rsidRPr="00E85F55" w:rsidR="00E85F55" w:rsidP="00E85F55" w:rsidRDefault="00E85F55" w14:paraId="3D8B28E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EESC-2024-03700-00-00-RES</w:t>
            </w:r>
          </w:p>
        </w:tc>
      </w:tr>
      <w:tr w:rsidRPr="00E85F55" w:rsidR="00E85F55" w:rsidTr="00863A8F" w14:paraId="5F02857D" w14:textId="77777777">
        <w:tc>
          <w:tcPr>
            <w:tcW w:w="1093" w:type="pct"/>
            <w:vMerge/>
          </w:tcPr>
          <w:p w:rsidRPr="00E85F55" w:rsidR="00E85F55" w:rsidP="00E85F55" w:rsidRDefault="00E85F55" w14:paraId="12CD9DA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907" w:type="pct"/>
          </w:tcPr>
          <w:p w:rsidRPr="00E85F55" w:rsidR="00E85F55" w:rsidP="00E85F55" w:rsidRDefault="00E85F55" w14:paraId="7526727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E85F55" w:rsidR="00E85F55" w:rsidP="00E85F55" w:rsidRDefault="00E85F55" w14:paraId="7EC7FE3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E85F55" w:rsidR="00E85F55" w:rsidP="00E85F55" w:rsidRDefault="00E85F55" w14:paraId="5970CD8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="00E85F55" w:rsidP="00E85F55" w:rsidRDefault="00E85F55" w14:paraId="5789F249" w14:textId="0CF7127D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</w:t>
      </w:r>
      <w:r w:rsidR="00CB24EE">
        <w:t xml:space="preserve"> (CESE)</w:t>
      </w:r>
      <w:r>
        <w:t>:</w:t>
      </w:r>
    </w:p>
    <w:p w:rsidRPr="00E85F55" w:rsidR="007224BE" w:rsidP="00E85F55" w:rsidRDefault="007224BE" w14:paraId="312AE980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E85F55" w:rsidR="00E85F55" w:rsidP="00643D0B" w:rsidRDefault="00E85F55" w14:paraId="1CC512CF" w14:textId="2ECAE52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perante uma nova realidade geopolítica e desafios cada vez mais complexos, insta as instituições da UE a darem seguimento ao relatório de Mario Draghi e a atuarem com determinação para assegurar uma competitividade sustentável, prosperidade para todos e a liderança da UE a longo prazo na cena mundial. Por conseguinte, é imperativo melhorar todas as políticas conducentes ao reforço da produtividade e da competitividade da UE, alinhando os investimentos económicos vitais pelos objetivos sociais e ambientais comuns, promovendo a economia social de mercado e velando pelo bem-estar das gerações futuras, implementando uma Estratégia Industrial para a Europa sólida (Pacto da Indústria Limpa) e investindo maciçamente a fim de transformar a economia de forma a preservar a integridade do mercado único e a colmatar as lacunas em matéria de crescimento, produtividade e inovação entre a UE e os parceiros internacionais e principais concorrentes;</w:t>
      </w:r>
    </w:p>
    <w:p w:rsidRPr="00E85F55" w:rsidR="00E85F55" w:rsidP="00643D0B" w:rsidRDefault="00E85F55" w14:paraId="4F6F60B8" w14:textId="38C60121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reconhece a importância de reduzir os encargos administrativos e os custos de conformidade, mas sublinha que tal deve ser conseguido de forma transparente e inclusiva, sem prejudicar os objetivos legislativos subjacentes e mantendo os elevados padrões atuais, nomeadamente em matéria de bem-estar social e de proteção do ambiente. Para as pequenas e médias empresas (PME), o princípio «pensar primeiro em pequena escala» deve tornar-se realidade, proporcionando um quadro legislativo estável, racionalizando e reduzindo os processos administrativos, garantindo condições de concorrência equitativas no mercado único e proporcionando às PME acesso a energias renováveis a preços acessíveis;</w:t>
      </w:r>
    </w:p>
    <w:p w:rsidRPr="00E85F55" w:rsidR="00E85F55" w:rsidP="00643D0B" w:rsidRDefault="00E85F55" w14:paraId="7EDE64A8" w14:textId="1F262169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congratula-se com a proposta de um novo plano de ação para a aplicação do Pilar Europeu dos Direitos Sociais, apelando para uma abordagem plural no sentido de aplicar, executar e acompanhar as iniciativas existentes nos domínios social e do emprego, juntamente com apoio financeiro, bem como de dar resposta aos desafios sociais e de emprego através de novas medidas legislativas e não legislativas e apoiar políticas de coesão sólidas para combater as desigualdades; </w:t>
      </w:r>
    </w:p>
    <w:p w:rsidRPr="00E85F55" w:rsidR="00E85F55" w:rsidP="00643D0B" w:rsidRDefault="00E85F55" w14:paraId="34C87DDD" w14:textId="7777777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preconiza o acompanhamento dos investimentos sociais no âmbito do processo do Semestre Europeu com base no novo Quadro de Convergência Social, que é um instrumento acordado para acompanhar progressos e assegurar que as políticas sociais, no âmbito do Pilar Europeu dos Direitos Sociais, são adequadamente aplicadas e financiadas;</w:t>
      </w:r>
    </w:p>
    <w:p w:rsidRPr="00E85F55" w:rsidR="00E85F55" w:rsidP="00643D0B" w:rsidRDefault="00E85F55" w14:paraId="0A915271" w14:textId="14DC8B7E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salienta que o diálogo social a todos os níveis pode desempenhar um papel fundamental no reforço do crescimento, da produtividade, do emprego e da competitividade das empresas europeias nos mercados mundiais;</w:t>
      </w:r>
    </w:p>
    <w:p w:rsidRPr="00E85F55" w:rsidR="00E85F55" w:rsidP="00643D0B" w:rsidRDefault="00E85F55" w14:paraId="041473A6" w14:textId="28443C1C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insta as instituições da UE a reconhecerem a importância da sociedade civil enquanto interveniente </w:t>
      </w:r>
      <w:r>
        <w:lastRenderedPageBreak/>
        <w:t>fundamental na conceção e na execução das políticas da UE em prol do crescimento sustentável, da defesa da democracia e da justiça social, incluindo as transições justas, e a desenvolverem uma estratégia para a sociedade civil, com um plano de ação claro;</w:t>
      </w:r>
    </w:p>
    <w:p w:rsidRPr="00E85F55" w:rsidR="00E85F55" w:rsidP="00643D0B" w:rsidRDefault="00E85F55" w14:paraId="1FA55C6E" w14:textId="7777777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salienta que os fundos no âmbito da política de coesão continuam a ser vitais para uma convergência económica e social ascendente, pelo que é crucial uma abordagem política holística, coordenada e integrada a nível da UE. As políticas de coesão devem ser apoiadas especificamente através de uma direção-geral da coesão e devem preservar a sua identidade assente na governação a vários níveis.</w:t>
      </w:r>
    </w:p>
    <w:p w:rsidRPr="00E85F55" w:rsidR="00E85F55" w:rsidP="00E85F55" w:rsidRDefault="00E85F55" w14:paraId="25D7B97C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4"/>
        <w:gridCol w:w="4636"/>
      </w:tblGrid>
      <w:tr w:rsidRPr="00E85F55" w:rsidR="00E85F55" w:rsidTr="00863A8F" w14:paraId="0CAC661A" w14:textId="77777777">
        <w:tc>
          <w:tcPr>
            <w:tcW w:w="1556" w:type="pct"/>
          </w:tcPr>
          <w:p w:rsidRPr="00E85F55" w:rsidR="00E85F55" w:rsidP="00E85F55" w:rsidRDefault="00E85F55" w14:paraId="5FF3957F" w14:textId="6BE02C26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 xml:space="preserve">Contacto </w:t>
            </w:r>
          </w:p>
        </w:tc>
        <w:tc>
          <w:tcPr>
            <w:tcW w:w="3444" w:type="pct"/>
          </w:tcPr>
          <w:p w:rsidRPr="00E85F55" w:rsidR="00E85F55" w:rsidP="00E85F55" w:rsidRDefault="00E85F55" w14:paraId="1EBB25F8" w14:textId="2B4ECE4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Anna Hakami</w:t>
            </w:r>
          </w:p>
        </w:tc>
      </w:tr>
      <w:tr w:rsidRPr="00E85F55" w:rsidR="00E85F55" w:rsidTr="00863A8F" w14:paraId="58DD341F" w14:textId="77777777">
        <w:tc>
          <w:tcPr>
            <w:tcW w:w="1556" w:type="pct"/>
          </w:tcPr>
          <w:p w:rsidRPr="00E85F55" w:rsidR="00E85F55" w:rsidP="00E85F55" w:rsidRDefault="00E85F55" w14:paraId="4CD5A01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E85F55" w:rsidR="00E85F55" w:rsidP="00E85F55" w:rsidRDefault="00E85F55" w14:paraId="3A6BE92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+32 2 546 86 74</w:t>
            </w:r>
          </w:p>
        </w:tc>
      </w:tr>
      <w:tr w:rsidRPr="00E85F55" w:rsidR="00E85F55" w:rsidTr="00863A8F" w14:paraId="09CB0502" w14:textId="77777777">
        <w:tc>
          <w:tcPr>
            <w:tcW w:w="1556" w:type="pct"/>
          </w:tcPr>
          <w:p w:rsidRPr="00E85F55" w:rsidR="00E85F55" w:rsidP="00E85F55" w:rsidRDefault="00E85F55" w14:paraId="39255BC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="00E85F55" w:rsidP="00E85F55" w:rsidRDefault="00F260F0" w14:paraId="3F9F1C2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21">
              <w:r w:rsidR="00AA36F2">
                <w:rPr>
                  <w:i/>
                  <w:color w:val="0000FF"/>
                  <w:u w:val="single"/>
                </w:rPr>
                <w:t>Anna.Hakami@eesc.europa.eu</w:t>
              </w:r>
            </w:hyperlink>
            <w:r w:rsidR="00AA36F2">
              <w:rPr>
                <w:i/>
              </w:rPr>
              <w:t xml:space="preserve"> </w:t>
            </w:r>
          </w:p>
          <w:p w:rsidRPr="00E85F55" w:rsidR="007224BE" w:rsidP="00E85F55" w:rsidRDefault="007224BE" w14:paraId="693DFAC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</w:p>
        </w:tc>
      </w:tr>
      <w:tr w:rsidRPr="00E85F55" w:rsidR="00E85F55" w:rsidTr="00863A8F" w14:paraId="78462F3E" w14:textId="77777777">
        <w:tc>
          <w:tcPr>
            <w:tcW w:w="1556" w:type="pct"/>
          </w:tcPr>
          <w:p w:rsidRPr="00E85F55" w:rsidR="00E85F55" w:rsidP="00E85F55" w:rsidRDefault="00E85F55" w14:paraId="4C8BC73D" w14:textId="120AA3A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</w:p>
        </w:tc>
        <w:tc>
          <w:tcPr>
            <w:tcW w:w="3444" w:type="pct"/>
          </w:tcPr>
          <w:p w:rsidRPr="00E85F55" w:rsidR="00E85F55" w:rsidP="00E85F55" w:rsidRDefault="00E85F55" w14:paraId="29673AC4" w14:textId="07E9700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Eniko Greff</w:t>
            </w:r>
          </w:p>
        </w:tc>
      </w:tr>
      <w:tr w:rsidRPr="00E85F55" w:rsidR="00E85F55" w:rsidTr="00863A8F" w14:paraId="30A8EF76" w14:textId="77777777">
        <w:tc>
          <w:tcPr>
            <w:tcW w:w="1556" w:type="pct"/>
          </w:tcPr>
          <w:p w:rsidRPr="00E85F55" w:rsidR="00E85F55" w:rsidP="00E85F55" w:rsidRDefault="00E85F55" w14:paraId="378F46A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E85F55" w:rsidR="00E85F55" w:rsidP="00E85F55" w:rsidRDefault="00E85F55" w14:paraId="0E96222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+32 2 546 87 92</w:t>
            </w:r>
          </w:p>
        </w:tc>
      </w:tr>
      <w:tr w:rsidRPr="00E85F55" w:rsidR="00E85F55" w:rsidTr="000D0C87" w14:paraId="6FEEAA62" w14:textId="77777777">
        <w:trPr>
          <w:trHeight w:val="289"/>
        </w:trPr>
        <w:tc>
          <w:tcPr>
            <w:tcW w:w="1556" w:type="pct"/>
          </w:tcPr>
          <w:p w:rsidRPr="00E85F55" w:rsidR="00E85F55" w:rsidP="00E85F55" w:rsidRDefault="00E85F55" w14:paraId="5BF74BA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Pr="00E85F55" w:rsidR="00E85F55" w:rsidP="00E85F55" w:rsidRDefault="00F260F0" w14:paraId="391EDC1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22">
              <w:r w:rsidR="00AA36F2">
                <w:rPr>
                  <w:i/>
                  <w:color w:val="0000FF"/>
                  <w:u w:val="single"/>
                </w:rPr>
                <w:t>Eniko.Greff@eesc.europa.eu</w:t>
              </w:r>
            </w:hyperlink>
            <w:r w:rsidR="00AA36F2">
              <w:rPr>
                <w:i/>
              </w:rPr>
              <w:t xml:space="preserve"> </w:t>
            </w:r>
          </w:p>
        </w:tc>
      </w:tr>
    </w:tbl>
    <w:p w:rsidR="002673F7" w:rsidRDefault="002673F7" w14:paraId="05E09868" w14:textId="51A666BF">
      <w:pPr>
        <w:spacing w:after="160" w:line="259" w:lineRule="auto"/>
        <w:jc w:val="left"/>
      </w:pPr>
      <w:r>
        <w:br w:type="page"/>
      </w:r>
    </w:p>
    <w:p w:rsidR="004D7AC0" w:rsidP="006D6D4E" w:rsidRDefault="004D7AC0" w14:paraId="4982DD6D" w14:textId="5F7524E1">
      <w:pPr>
        <w:pStyle w:val="Heading1"/>
        <w:keepNext/>
        <w:keepLines/>
        <w:rPr>
          <w:b/>
        </w:rPr>
      </w:pPr>
      <w:bookmarkStart w:name="_Toc184733995" w:id="1"/>
      <w:r>
        <w:rPr>
          <w:b/>
        </w:rPr>
        <w:lastRenderedPageBreak/>
        <w:t>UNIÃO ECONÓMICA E MONETÁRIA E COESÃO ECONÓMICA E SOCIAL</w:t>
      </w:r>
      <w:bookmarkEnd w:id="1"/>
    </w:p>
    <w:p w:rsidR="00F52D24" w:rsidP="006D6D4E" w:rsidRDefault="00F52D24" w14:paraId="1D43B004" w14:textId="77777777">
      <w:pPr>
        <w:keepNext/>
        <w:keepLines/>
      </w:pPr>
    </w:p>
    <w:p w:rsidRPr="00643D0B" w:rsidR="009C5B03" w:rsidP="009C5B03" w:rsidRDefault="00F260F0" w14:paraId="01A0641A" w14:textId="331D5F8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200" w:line="240" w:lineRule="auto"/>
        <w:ind w:left="567" w:hanging="567"/>
        <w:contextualSpacing/>
        <w:jc w:val="left"/>
        <w:textAlignment w:val="baseline"/>
        <w:rPr>
          <w:rFonts w:ascii="Calibri" w:hAnsi="Calibri"/>
          <w:b/>
          <w:bCs/>
          <w:i/>
          <w:iCs/>
          <w:sz w:val="28"/>
          <w:szCs w:val="28"/>
        </w:rPr>
      </w:pPr>
      <w:hyperlink w:history="1" r:id="rId23">
        <w:r w:rsidR="009C5B03">
          <w:rPr>
            <w:b/>
            <w:i/>
            <w:color w:val="0000FF"/>
            <w:sz w:val="28"/>
            <w:u w:val="single"/>
          </w:rPr>
          <w:t>Apoio Regional de Emergência à Reconstrução (RESTORE)</w:t>
        </w:r>
      </w:hyperlink>
    </w:p>
    <w:p w:rsidRPr="009C5B03" w:rsidR="00F50E3E" w:rsidP="00643D0B" w:rsidRDefault="00F50E3E" w14:paraId="7685E971" w14:textId="77777777">
      <w:pPr>
        <w:widowControl w:val="0"/>
        <w:overflowPunct w:val="0"/>
        <w:autoSpaceDE w:val="0"/>
        <w:autoSpaceDN w:val="0"/>
        <w:adjustRightInd w:val="0"/>
        <w:spacing w:after="200" w:line="240" w:lineRule="auto"/>
        <w:ind w:left="360"/>
        <w:contextualSpacing/>
        <w:jc w:val="left"/>
        <w:textAlignment w:val="baseline"/>
        <w:rPr>
          <w:rFonts w:ascii="Calibri" w:hAnsi="Calibri"/>
          <w:b/>
          <w:bCs/>
          <w:i/>
          <w:iCs/>
          <w:sz w:val="28"/>
          <w:szCs w:val="28"/>
          <w:lang w:val="en-GB" w:eastAsia="zh-CN"/>
        </w:rPr>
      </w:pPr>
    </w:p>
    <w:tbl>
      <w:tblPr>
        <w:tblStyle w:val="TableGrid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6662"/>
      </w:tblGrid>
      <w:tr w:rsidRPr="009C5B03" w:rsidR="009C5B03" w:rsidTr="00863A8F" w14:paraId="50C784B1" w14:textId="77777777">
        <w:tc>
          <w:tcPr>
            <w:tcW w:w="2127" w:type="dxa"/>
          </w:tcPr>
          <w:p w:rsidRPr="009C5B03" w:rsidR="009C5B03" w:rsidP="009C5B03" w:rsidRDefault="009C5B03" w14:paraId="012CF731" w14:textId="78C3D6A4">
            <w:pPr>
              <w:overflowPunct w:val="0"/>
              <w:autoSpaceDE w:val="0"/>
              <w:autoSpaceDN w:val="0"/>
              <w:adjustRightInd w:val="0"/>
              <w:ind w:left="176" w:hanging="284"/>
              <w:textAlignment w:val="baseline"/>
              <w:rPr>
                <w:b/>
              </w:rPr>
            </w:pPr>
            <w:r>
              <w:rPr>
                <w:b/>
              </w:rPr>
              <w:t>Relator-geral</w:t>
            </w:r>
          </w:p>
        </w:tc>
        <w:tc>
          <w:tcPr>
            <w:tcW w:w="6662" w:type="dxa"/>
          </w:tcPr>
          <w:p w:rsidRPr="009C5B03" w:rsidR="009C5B03" w:rsidP="009C5B03" w:rsidRDefault="009C5B03" w14:paraId="3513B9B1" w14:textId="0C0E4E4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Ioannis Vardakastanis (EL – Grupo das Organizações da Sociedade Civil)</w:t>
            </w:r>
          </w:p>
        </w:tc>
      </w:tr>
      <w:tr w:rsidRPr="009C5B03" w:rsidR="009C5B03" w:rsidTr="00863A8F" w14:paraId="04ADF6CF" w14:textId="77777777">
        <w:tc>
          <w:tcPr>
            <w:tcW w:w="8789" w:type="dxa"/>
            <w:gridSpan w:val="2"/>
          </w:tcPr>
          <w:p w:rsidRPr="009C5B03" w:rsidR="009C5B03" w:rsidP="009C5B03" w:rsidRDefault="009C5B03" w14:paraId="113A4D2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lang w:val="en-GB"/>
              </w:rPr>
            </w:pPr>
          </w:p>
        </w:tc>
      </w:tr>
      <w:tr w:rsidRPr="009C5B03" w:rsidR="009C5B03" w:rsidTr="00863A8F" w14:paraId="05F46EE6" w14:textId="77777777">
        <w:tc>
          <w:tcPr>
            <w:tcW w:w="2127" w:type="dxa"/>
          </w:tcPr>
          <w:p w:rsidRPr="009C5B03" w:rsidR="009C5B03" w:rsidP="009C5B03" w:rsidRDefault="009C5B03" w14:paraId="20E2146E" w14:textId="42F5D22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4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  <w:r w:rsidR="007D133E">
              <w:rPr>
                <w:b/>
              </w:rPr>
              <w:t>s</w:t>
            </w:r>
          </w:p>
        </w:tc>
        <w:tc>
          <w:tcPr>
            <w:tcW w:w="6662" w:type="dxa"/>
          </w:tcPr>
          <w:p w:rsidRPr="009C5B03" w:rsidR="009C5B03" w:rsidP="009C5B03" w:rsidRDefault="009C5B03" w14:paraId="1C36806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COM(2024) 496 final</w:t>
            </w:r>
          </w:p>
          <w:p w:rsidR="009C5B03" w:rsidP="009C5B03" w:rsidRDefault="009C5B03" w14:paraId="26DC24D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EESC-2024-03939-00-00-AC</w:t>
            </w:r>
          </w:p>
          <w:p w:rsidRPr="009C5B03" w:rsidR="000D0C87" w:rsidP="009C5B03" w:rsidRDefault="000D0C87" w14:paraId="71E8AAFC" w14:textId="2C8FE1F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highlight w:val="yellow"/>
              </w:rPr>
            </w:pPr>
          </w:p>
        </w:tc>
      </w:tr>
    </w:tbl>
    <w:p w:rsidR="009C5B03" w:rsidP="009C5B03" w:rsidRDefault="009C5B03" w14:paraId="0D4F3005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9C5B03" w:rsidR="00F50E3E" w:rsidP="009C5B03" w:rsidRDefault="00F50E3E" w14:paraId="45D003C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="009C5B03" w:rsidP="009C5B03" w:rsidRDefault="009C5B03" w14:paraId="31F1E7B7" w14:textId="69DEF5DB">
      <w:pPr>
        <w:overflowPunct w:val="0"/>
        <w:autoSpaceDE w:val="0"/>
        <w:autoSpaceDN w:val="0"/>
        <w:adjustRightInd w:val="0"/>
        <w:ind w:left="425" w:hanging="425"/>
        <w:textAlignment w:val="baseline"/>
      </w:pPr>
      <w:r>
        <w:t>O Comité Económico e Social Europeu</w:t>
      </w:r>
      <w:r w:rsidR="000D0C87">
        <w:t xml:space="preserve"> (CESE)</w:t>
      </w:r>
      <w:r>
        <w:t>:</w:t>
      </w:r>
    </w:p>
    <w:p w:rsidR="000D0C87" w:rsidP="009C5B03" w:rsidRDefault="000D0C87" w14:paraId="298AAF19" w14:textId="77777777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szCs w:val="20"/>
        </w:rPr>
      </w:pPr>
    </w:p>
    <w:p w:rsidRPr="009C5B03" w:rsidR="009C5B03" w:rsidP="00643D0B" w:rsidRDefault="009C5B03" w14:paraId="28531E4A" w14:textId="77777777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name="_Toc184733996" w:id="2"/>
      <w:r>
        <w:t>manifesta de forma clara a sua solidariedade e o seu apoio às pessoas gravemente afetadas pelas recentes catástrofes naturais na Europa Central, Oriental e Meridional. Quando as catástrofes climáticas atingem as regiões da UE, a Europa torna-se mais forte, agindo em conjunto e mantendo-se unida;</w:t>
      </w:r>
      <w:bookmarkEnd w:id="2"/>
    </w:p>
    <w:p w:rsidRPr="009C5B03" w:rsidR="009C5B03" w:rsidP="00643D0B" w:rsidRDefault="009C5B03" w14:paraId="17BDC950" w14:textId="77777777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name="_Toc184733997" w:id="3"/>
      <w:r>
        <w:t>reconhece que as consequências das alterações climáticas e da escassez de recursos já estão, infelizmente, a fazer-se sentir. Apesar de a UE estar, corretamente, empenhada em evitar o agravamento da situação, não estamos preparados para emergências climáticas, crises energéticas e catástrofes naturais imprevistas;</w:t>
      </w:r>
      <w:bookmarkEnd w:id="3"/>
    </w:p>
    <w:p w:rsidRPr="009C5B03" w:rsidR="009C5B03" w:rsidP="00643D0B" w:rsidRDefault="009C5B03" w14:paraId="66E0C007" w14:textId="77777777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name="_Toc184733998" w:id="4"/>
      <w:r>
        <w:t>frisa que é necessária uma mudança sistémica na forma como a nossa economia funciona, sendo fundamental que os governos se comprometam a encontrar soluções sistémicas, em vez de se limitarem a abordar os sintomas do problema;</w:t>
      </w:r>
      <w:bookmarkEnd w:id="4"/>
    </w:p>
    <w:p w:rsidRPr="009C5B03" w:rsidR="009C5B03" w:rsidP="00643D0B" w:rsidRDefault="009C5B03" w14:paraId="5733AEB3" w14:textId="77777777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name="_Toc184733999" w:id="5"/>
      <w:r>
        <w:t>considera que serão necessárias medidas imediatas, simples e eficazes para atenuar as consequências sociais, territoriais e económicas de tais catástrofes naturais. As regiões da UE necessitarão de extensas obras de reconstrução para recuperar destas catástrofes;</w:t>
      </w:r>
      <w:bookmarkEnd w:id="5"/>
    </w:p>
    <w:p w:rsidRPr="009C5B03" w:rsidR="009C5B03" w:rsidP="00643D0B" w:rsidRDefault="009C5B03" w14:paraId="74C1E0EA" w14:textId="77777777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name="_Toc184734000" w:id="6"/>
      <w:r>
        <w:t>acolhe com agrado as flexibilidades previstas na proposta da Comissão para apoiar os países afetados, tendo em conta que as catástrofes naturais têm um impacto grave e duradouro no tecido social e económico das regiões da UE;</w:t>
      </w:r>
      <w:bookmarkEnd w:id="6"/>
    </w:p>
    <w:p w:rsidRPr="009C5B03" w:rsidR="009C5B03" w:rsidP="00643D0B" w:rsidRDefault="009C5B03" w14:paraId="4CDE73AF" w14:textId="77777777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name="_Toc184734001" w:id="7"/>
      <w:r>
        <w:t>manifesta o seu apoio à política de coesão enquanto instrumento de investimento a longo prazo da UE, embora reconheça que as catástrofes naturais extremas podem comprometer o seu desenvolvimento a longo prazo;</w:t>
      </w:r>
      <w:bookmarkEnd w:id="7"/>
    </w:p>
    <w:p w:rsidRPr="009C5B03" w:rsidR="009C5B03" w:rsidP="00643D0B" w:rsidRDefault="009C5B03" w14:paraId="0D08D206" w14:textId="77777777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name="_Toc184734002" w:id="8"/>
      <w:r>
        <w:t>salienta que o princípio fundamental da política de coesão, que consiste em não deixar ninguém nem nenhuma região para trás, se mantém firme e válido, e que os parceiros da sociedade civil estão dispostos a continuar a trabalhar para o defender, através de uma política forte de investimento da UE;</w:t>
      </w:r>
      <w:bookmarkEnd w:id="8"/>
    </w:p>
    <w:p w:rsidRPr="009C5B03" w:rsidR="009C5B03" w:rsidP="00643D0B" w:rsidRDefault="009C5B03" w14:paraId="266DF4AB" w14:textId="77777777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name="_Toc184734003" w:id="9"/>
      <w:r>
        <w:t>faz referência, de forma veemente e clara, a uma política de coesão que é a mais importante política de investimento a longo prazo da UE para reduzir as disparidades regionais, económicas e territoriais;</w:t>
      </w:r>
      <w:bookmarkEnd w:id="9"/>
    </w:p>
    <w:p w:rsidRPr="009C5B03" w:rsidR="009C5B03" w:rsidP="00643D0B" w:rsidRDefault="009C5B03" w14:paraId="634FF858" w14:textId="1BDD1D69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name="_Toc184734004" w:id="10"/>
      <w:r>
        <w:t>considera que a UE necessita de um novo mecanismo de financiamento estável e sólido, que deve ser adaptável, flexível e estar pronto para responder a crises novas e emergentes nos próximos anos e décadas. É crucial que o funcionamento de tal mecanismo, mais centrado em respostas céleres e urgentes, seja coerente com as políticas abrangentes da UE em matéria de clima, ambiente e energia;</w:t>
      </w:r>
      <w:bookmarkEnd w:id="10"/>
    </w:p>
    <w:p w:rsidRPr="009C5B03" w:rsidR="009C5B03" w:rsidP="00643D0B" w:rsidRDefault="009C5B03" w14:paraId="0DF738F7" w14:textId="0CBDFA0C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name="_Toc184734005" w:id="11"/>
      <w:r>
        <w:t xml:space="preserve">exorta a Comissão Europeia a colaborar estreitamente com os Estados-Membros, os órgãos de poder local e as organizações da sociedade civil com vista a utilizar quanto antes e o mais eficazmente possível as possibilidade de apoio às regiões afetadas. As organizações da sociedade civil, os </w:t>
      </w:r>
      <w:r>
        <w:lastRenderedPageBreak/>
        <w:t>trabalhadores, as pequenas e médias empresas (PME) e as organizações não governamentais (ONG) foram gravemente prejudicados pelas catástrofes naturais, pelo que uma parte substancial dos fundos deve ser destinada a estes intervenientes;</w:t>
      </w:r>
      <w:bookmarkEnd w:id="11"/>
    </w:p>
    <w:p w:rsidRPr="000D0C87" w:rsidR="009C5B03" w:rsidP="00F50E3E" w:rsidRDefault="009C5B03" w14:paraId="60510BE8" w14:textId="6B0DE010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bookmarkStart w:name="_Toc184734006" w:id="12"/>
      <w:r>
        <w:t>insta o Conselho e o Parlamento Europeu a aprovarem o regulamento em apreço com celeridade, para que este possa ser adotado o mais rapidamente possível.</w:t>
      </w:r>
      <w:bookmarkEnd w:id="12"/>
    </w:p>
    <w:p w:rsidR="000D0C87" w:rsidP="000D0C87" w:rsidRDefault="000D0C87" w14:paraId="4640712A" w14:textId="77777777">
      <w:p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</w:p>
    <w:tbl>
      <w:tblPr>
        <w:tblStyle w:val="TableGrid2"/>
        <w:tblW w:w="5691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6"/>
        <w:gridCol w:w="3735"/>
      </w:tblGrid>
      <w:tr w:rsidRPr="009C5B03" w:rsidR="00902A1F" w:rsidTr="000D0C87" w14:paraId="06614FB7" w14:textId="77777777">
        <w:tc>
          <w:tcPr>
            <w:tcW w:w="1956" w:type="dxa"/>
          </w:tcPr>
          <w:p w:rsidRPr="000D0C87" w:rsidR="00902A1F" w:rsidP="00810BF5" w:rsidRDefault="00902A1F" w14:paraId="0619ADA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i/>
              </w:rPr>
            </w:pPr>
            <w:r w:rsidRPr="000D0C87">
              <w:rPr>
                <w:b/>
                <w:bCs/>
                <w:i/>
              </w:rPr>
              <w:t>Contacto</w:t>
            </w:r>
          </w:p>
        </w:tc>
        <w:tc>
          <w:tcPr>
            <w:tcW w:w="3735" w:type="dxa"/>
          </w:tcPr>
          <w:p w:rsidRPr="009C5B03" w:rsidR="00902A1F" w:rsidP="00810BF5" w:rsidRDefault="00902A1F" w14:paraId="22287D7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iCs/>
              </w:rPr>
            </w:pPr>
            <w:r>
              <w:rPr>
                <w:i/>
              </w:rPr>
              <w:t>Georgios Meleas</w:t>
            </w:r>
          </w:p>
        </w:tc>
      </w:tr>
      <w:tr w:rsidRPr="009C5B03" w:rsidR="00902A1F" w:rsidTr="000D0C87" w14:paraId="549E05C1" w14:textId="77777777">
        <w:tc>
          <w:tcPr>
            <w:tcW w:w="1956" w:type="dxa"/>
          </w:tcPr>
          <w:p w:rsidRPr="009C5B03" w:rsidR="00902A1F" w:rsidP="00810BF5" w:rsidRDefault="00902A1F" w14:paraId="5E3BD60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735" w:type="dxa"/>
          </w:tcPr>
          <w:p w:rsidRPr="009C5B03" w:rsidR="00902A1F" w:rsidP="00810BF5" w:rsidRDefault="00902A1F" w14:paraId="388EAD6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>+32 2 546 97 95</w:t>
            </w:r>
          </w:p>
        </w:tc>
      </w:tr>
      <w:tr w:rsidRPr="009C5B03" w:rsidR="00902A1F" w:rsidTr="000D0C87" w14:paraId="3990E4FC" w14:textId="77777777">
        <w:tc>
          <w:tcPr>
            <w:tcW w:w="1956" w:type="dxa"/>
          </w:tcPr>
          <w:p w:rsidRPr="009C5B03" w:rsidR="00902A1F" w:rsidP="00810BF5" w:rsidRDefault="00902A1F" w14:paraId="4D4F9AB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735" w:type="dxa"/>
          </w:tcPr>
          <w:p w:rsidRPr="009C5B03" w:rsidR="00902A1F" w:rsidP="00810BF5" w:rsidRDefault="00F260F0" w14:paraId="01EE99D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w:history="1" r:id="rId24">
              <w:r w:rsidR="00902A1F">
                <w:rPr>
                  <w:color w:val="0000FF"/>
                  <w:u w:val="single"/>
                </w:rPr>
                <w:t>Georgios.Meleas@eesc.europa.eu</w:t>
              </w:r>
            </w:hyperlink>
          </w:p>
        </w:tc>
      </w:tr>
    </w:tbl>
    <w:p w:rsidRPr="00482C25" w:rsidR="00482C25" w:rsidP="00643D0B" w:rsidRDefault="00F260F0" w14:paraId="22B8A203" w14:textId="6678DB6D">
      <w:pPr>
        <w:pageBreakBefore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b/>
          <w:i/>
          <w:iCs/>
          <w:sz w:val="28"/>
          <w:szCs w:val="28"/>
        </w:rPr>
      </w:pPr>
      <w:hyperlink w:history="1" r:id="rId25">
        <w:r w:rsidR="00902A1F">
          <w:rPr>
            <w:b/>
            <w:i/>
            <w:color w:val="0000FF"/>
            <w:sz w:val="28"/>
            <w:u w:val="single"/>
          </w:rPr>
          <w:t>Revisão do quadro jurídico que rege a titularização na UE</w:t>
        </w:r>
      </w:hyperlink>
      <w:r w:rsidR="00902A1F">
        <w:rPr>
          <w:b/>
          <w:i/>
          <w:sz w:val="28"/>
        </w:rPr>
        <w:t xml:space="preserve"> </w:t>
      </w:r>
    </w:p>
    <w:p w:rsidRPr="00482C25" w:rsidR="00482C25" w:rsidP="00482C25" w:rsidRDefault="00482C25" w14:paraId="202C21D6" w14:textId="77777777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/>
          <w:i/>
          <w:iCs/>
          <w:sz w:val="20"/>
          <w:szCs w:val="20"/>
          <w:lang w:val="en-GB"/>
        </w:rPr>
      </w:pPr>
    </w:p>
    <w:tbl>
      <w:tblPr>
        <w:tblStyle w:val="TableGrid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  <w:gridCol w:w="1417"/>
      </w:tblGrid>
      <w:tr w:rsidRPr="00BB600D" w:rsidR="00482C25" w:rsidTr="00863A8F" w14:paraId="5FE72AFC" w14:textId="77777777">
        <w:tc>
          <w:tcPr>
            <w:tcW w:w="1701" w:type="dxa"/>
          </w:tcPr>
          <w:p w:rsidRPr="00482C25" w:rsidR="00482C25" w:rsidP="00482C25" w:rsidRDefault="00482C25" w14:paraId="581AD2E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  <w:p w:rsidRPr="00482C25" w:rsidR="00482C25" w:rsidP="00482C25" w:rsidRDefault="00482C25" w14:paraId="181AB32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Correlator</w:t>
            </w:r>
          </w:p>
        </w:tc>
        <w:tc>
          <w:tcPr>
            <w:tcW w:w="6804" w:type="dxa"/>
            <w:gridSpan w:val="2"/>
          </w:tcPr>
          <w:p w:rsidRPr="00482C25" w:rsidR="00482C25" w:rsidP="00482C25" w:rsidRDefault="00482C25" w14:paraId="5358A076" w14:textId="4586C2B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t>Philip von Brockdorff (MT – Grupo dos Trabalhadores)</w:t>
            </w:r>
          </w:p>
          <w:p w:rsidRPr="00B654FC" w:rsidR="00482C25" w:rsidP="00482C25" w:rsidRDefault="00482C25" w14:paraId="3B6D01B4" w14:textId="2D2D468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t>Antonio García del Riego (ES – Grupo dos Empregadores)</w:t>
            </w:r>
          </w:p>
        </w:tc>
      </w:tr>
      <w:tr w:rsidRPr="00BB600D" w:rsidR="00482C25" w:rsidTr="00863A8F" w14:paraId="4CB905DA" w14:textId="77777777">
        <w:trPr>
          <w:gridAfter w:val="1"/>
          <w:wAfter w:w="1417" w:type="dxa"/>
        </w:trPr>
        <w:tc>
          <w:tcPr>
            <w:tcW w:w="7088" w:type="dxa"/>
            <w:gridSpan w:val="2"/>
          </w:tcPr>
          <w:p w:rsidRPr="00482C25" w:rsidR="00482C25" w:rsidP="00482C25" w:rsidRDefault="00482C25" w14:paraId="4268E22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lang w:val="es-ES_tradnl"/>
              </w:rPr>
            </w:pPr>
          </w:p>
        </w:tc>
      </w:tr>
      <w:tr w:rsidRPr="00482C25" w:rsidR="00482C25" w:rsidTr="00863A8F" w14:paraId="4B940311" w14:textId="77777777">
        <w:trPr>
          <w:gridAfter w:val="1"/>
          <w:wAfter w:w="1417" w:type="dxa"/>
        </w:trPr>
        <w:tc>
          <w:tcPr>
            <w:tcW w:w="1701" w:type="dxa"/>
          </w:tcPr>
          <w:p w:rsidRPr="00482C25" w:rsidR="00482C25" w:rsidP="00482C25" w:rsidRDefault="00482C25" w14:paraId="7122568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5387" w:type="dxa"/>
          </w:tcPr>
          <w:p w:rsidRPr="00482C25" w:rsidR="00482C25" w:rsidP="00482C25" w:rsidRDefault="00482C25" w14:paraId="4D5F880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de iniciativa</w:t>
            </w:r>
          </w:p>
          <w:p w:rsidR="00482C25" w:rsidP="00482C25" w:rsidRDefault="00482C25" w14:paraId="4C6FC60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EESC-2024-00531-00-00-AC</w:t>
            </w:r>
          </w:p>
          <w:p w:rsidRPr="00482C25" w:rsidR="00FD4BDE" w:rsidP="00482C25" w:rsidRDefault="00FD4BDE" w14:paraId="64F2A43F" w14:textId="06036CC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482C25" w:rsidR="00482C25" w:rsidP="00482C25" w:rsidRDefault="00482C25" w14:paraId="0846788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482C25" w:rsidR="00482C25" w:rsidP="00482C25" w:rsidRDefault="00482C25" w14:paraId="128A5BE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  <w:lang w:val="en-GB"/>
        </w:rPr>
      </w:pPr>
    </w:p>
    <w:p w:rsidRPr="00482C25" w:rsidR="00482C25" w:rsidP="00482C25" w:rsidRDefault="00482C25" w14:paraId="60F3D793" w14:textId="3361F72E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</w:t>
      </w:r>
      <w:r w:rsidR="00FD4BDE">
        <w:t xml:space="preserve"> (CESE)</w:t>
      </w:r>
      <w:r>
        <w:t>:</w:t>
      </w:r>
    </w:p>
    <w:p w:rsidRPr="00482C25" w:rsidR="00482C25" w:rsidP="00482C25" w:rsidRDefault="00482C25" w14:paraId="05A20084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482C25" w:rsidR="00482C25" w:rsidP="00643D0B" w:rsidRDefault="00482C25" w14:paraId="32FA80D3" w14:textId="7777777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considera que a melhoria do mercado de titularização pode alargar as oportunidades de investimento, expandir o acesso ao crédito e promover a União dos Mercados de Capitais;</w:t>
      </w:r>
    </w:p>
    <w:p w:rsidRPr="00482C25" w:rsidR="00482C25" w:rsidP="00643D0B" w:rsidRDefault="00482C25" w14:paraId="4F2CF352" w14:textId="7777777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considera adequado realizar uma avaliação da eficácia do quadro jurídico que rege a titularização, incluindo as infraestruturas de mercado, a eficiência e a transparência, e explorar ajustes nos requisitos de comunicação de informações e de dever de diligência;</w:t>
      </w:r>
    </w:p>
    <w:p w:rsidRPr="00482C25" w:rsidR="00482C25" w:rsidP="00643D0B" w:rsidRDefault="00482C25" w14:paraId="0A7F745F" w14:textId="7777777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recomenda que qualquer avaliação da aplicação do quadro regulamentar inclua uma análise do impacto da titularização no financiamento da economia real;</w:t>
      </w:r>
    </w:p>
    <w:p w:rsidRPr="00482C25" w:rsidR="00482C25" w:rsidP="00643D0B" w:rsidRDefault="00482C25" w14:paraId="56A02359" w14:textId="7777777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propõe que os esforços para estimular a titularização se concentrem na produção de financiamento adicional para a economia real, com destaque para as famílias e as empresas;</w:t>
      </w:r>
    </w:p>
    <w:p w:rsidRPr="00482C25" w:rsidR="00482C25" w:rsidP="00643D0B" w:rsidRDefault="00482C25" w14:paraId="5878E812" w14:textId="7777777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considera que a titularização deve ser complementar em relação a outros instrumentos de capital existentes, como as obrigações cobertas, mas tendo em conta que a titularização é o único instrumento que permite libertar capitais nos bancos;</w:t>
      </w:r>
    </w:p>
    <w:p w:rsidRPr="00482C25" w:rsidR="00482C25" w:rsidP="00643D0B" w:rsidRDefault="00482C25" w14:paraId="316BD31B" w14:textId="7777777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entende que o alargamento dos requisitos de comunicação de informações em matéria de sustentabilidade ou a introdução de um quadro para a «titularização ecológica» podem ser fontes de valor acrescentado para os investidores que pretendam aferir a sua própria quota de investimentos no domínio ambiental, social e de governação (ASG), a fim de avaliar os riscos ASG e ainda como instrumento de comparação;</w:t>
      </w:r>
    </w:p>
    <w:p w:rsidRPr="00482C25" w:rsidR="00482C25" w:rsidP="00643D0B" w:rsidRDefault="00482C25" w14:paraId="108E811D" w14:textId="7777777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propõe a redução dos prazos e uma maior normalização e harmonização dos requisitos para o reconhecimento de transferências significativas de riscos;</w:t>
      </w:r>
    </w:p>
    <w:p w:rsidRPr="00482C25" w:rsidR="00482C25" w:rsidP="00643D0B" w:rsidRDefault="00482C25" w14:paraId="45FBE1E5" w14:textId="7777777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considera que os progressos na harmonização, por exemplo, do direito dos contratos, do direito da insolvência e da fiscalidade melhorariam a viabilidade da mutualização e emissão transfronteiras;</w:t>
      </w:r>
    </w:p>
    <w:p w:rsidRPr="00482C25" w:rsidR="00482C25" w:rsidP="00643D0B" w:rsidRDefault="00482C25" w14:paraId="6B15D60C" w14:textId="77777777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00" w:line="276" w:lineRule="auto"/>
        <w:contextualSpacing/>
        <w:textAlignment w:val="baseline"/>
        <w:rPr>
          <w:bCs/>
          <w:iCs/>
        </w:rPr>
      </w:pPr>
      <w:r>
        <w:t>congratula-se com o processo de consulta realizado pela Comissão Europeia e recomenda que a UE colabore ativamente na consulta em curso no âmbito do Conselho de Estabilidade Financeira.</w:t>
      </w:r>
    </w:p>
    <w:p w:rsidRPr="00482C25" w:rsidR="00482C25" w:rsidP="00482C25" w:rsidRDefault="00482C25" w14:paraId="3FC16B9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szCs w:val="20"/>
          <w:lang w:val="en-GB"/>
        </w:rPr>
      </w:pPr>
    </w:p>
    <w:tbl>
      <w:tblPr>
        <w:tblStyle w:val="TableGrid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1"/>
        <w:gridCol w:w="5137"/>
      </w:tblGrid>
      <w:tr w:rsidRPr="00482C25" w:rsidR="00482C25" w:rsidTr="00FD4BDE" w14:paraId="4854E09A" w14:textId="77777777">
        <w:tc>
          <w:tcPr>
            <w:tcW w:w="1951" w:type="dxa"/>
          </w:tcPr>
          <w:p w:rsidRPr="00482C25" w:rsidR="00482C25" w:rsidP="00482C25" w:rsidRDefault="00482C25" w14:paraId="7A4A5D8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137" w:type="dxa"/>
          </w:tcPr>
          <w:p w:rsidRPr="00482C25" w:rsidR="00482C25" w:rsidP="00482C25" w:rsidRDefault="00482C25" w14:paraId="11F392D6" w14:textId="540E4AA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Sergio Lorencio Matallana</w:t>
            </w:r>
          </w:p>
        </w:tc>
      </w:tr>
      <w:tr w:rsidRPr="00482C25" w:rsidR="00482C25" w:rsidTr="00FD4BDE" w14:paraId="6A09B6CF" w14:textId="77777777">
        <w:tc>
          <w:tcPr>
            <w:tcW w:w="1951" w:type="dxa"/>
          </w:tcPr>
          <w:p w:rsidRPr="00482C25" w:rsidR="00482C25" w:rsidP="00482C25" w:rsidRDefault="00482C25" w14:paraId="7B394B0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137" w:type="dxa"/>
          </w:tcPr>
          <w:p w:rsidRPr="00482C25" w:rsidR="00482C25" w:rsidP="00482C25" w:rsidRDefault="00482C25" w14:paraId="5FFF8E7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+32 2 546 92 40</w:t>
            </w:r>
          </w:p>
        </w:tc>
      </w:tr>
      <w:tr w:rsidRPr="00482C25" w:rsidR="00482C25" w:rsidTr="00FD4BDE" w14:paraId="7AAB38BF" w14:textId="77777777">
        <w:tc>
          <w:tcPr>
            <w:tcW w:w="1951" w:type="dxa"/>
          </w:tcPr>
          <w:p w:rsidRPr="00482C25" w:rsidR="00482C25" w:rsidP="00482C25" w:rsidRDefault="00F365AE" w14:paraId="11B710E6" w14:textId="19C4CC2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137" w:type="dxa"/>
          </w:tcPr>
          <w:p w:rsidRPr="00482C25" w:rsidR="00482C25" w:rsidP="00482C25" w:rsidRDefault="00F260F0" w14:paraId="370FF80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26">
              <w:r w:rsidR="00AA36F2">
                <w:rPr>
                  <w:color w:val="0000FF"/>
                  <w:u w:val="single"/>
                </w:rPr>
                <w:t>Sergio.LorencioMatallana@eesc.europa.eu</w:t>
              </w:r>
            </w:hyperlink>
          </w:p>
        </w:tc>
      </w:tr>
    </w:tbl>
    <w:p w:rsidRPr="00482C25" w:rsidR="009C5B03" w:rsidRDefault="004D7AC0" w14:paraId="16078824" w14:textId="21FB3874">
      <w:pPr>
        <w:spacing w:after="160" w:line="259" w:lineRule="auto"/>
        <w:jc w:val="left"/>
      </w:pPr>
      <w:r>
        <w:br w:type="page"/>
      </w:r>
    </w:p>
    <w:p w:rsidRPr="00EB5CCE" w:rsidR="00EB5CCE" w:rsidP="004B5D3D" w:rsidRDefault="00F260F0" w14:paraId="64C8007D" w14:textId="2DD9685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b/>
          <w:i/>
          <w:iCs/>
          <w:sz w:val="28"/>
          <w:szCs w:val="28"/>
        </w:rPr>
      </w:pPr>
      <w:hyperlink w:history="1" r:id="rId27">
        <w:r w:rsidR="00AA36F2">
          <w:rPr>
            <w:b/>
            <w:i/>
            <w:color w:val="0000FF"/>
            <w:sz w:val="28"/>
            <w:u w:val="single"/>
          </w:rPr>
          <w:t>Revisão da Agenda Territorial 2030 – Rumo a uma abordagem mais integrada, mais cívica e com uma maior ligação à política de coesão</w:t>
        </w:r>
      </w:hyperlink>
    </w:p>
    <w:p w:rsidRPr="00EB5CCE" w:rsidR="00EB5CCE" w:rsidP="00EB5CCE" w:rsidRDefault="00EB5CCE" w14:paraId="67C7B085" w14:textId="77777777">
      <w:pPr>
        <w:widowControl w:val="0"/>
        <w:overflowPunct w:val="0"/>
        <w:autoSpaceDE w:val="0"/>
        <w:autoSpaceDN w:val="0"/>
        <w:adjustRightInd w:val="0"/>
        <w:spacing w:after="120"/>
        <w:ind w:left="266"/>
        <w:textAlignment w:val="baseline"/>
        <w:rPr>
          <w:bCs/>
          <w:lang w:val="en-GB"/>
        </w:rPr>
      </w:pPr>
    </w:p>
    <w:tbl>
      <w:tblPr>
        <w:tblStyle w:val="TableGrid3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6804"/>
        <w:gridCol w:w="567"/>
      </w:tblGrid>
      <w:tr w:rsidRPr="00EB5CCE" w:rsidR="00EB5CCE" w:rsidTr="00863A8F" w14:paraId="7DEF2FBB" w14:textId="77777777">
        <w:trPr>
          <w:gridAfter w:val="1"/>
          <w:wAfter w:w="567" w:type="dxa"/>
        </w:trPr>
        <w:tc>
          <w:tcPr>
            <w:tcW w:w="1701" w:type="dxa"/>
          </w:tcPr>
          <w:p w:rsidRPr="00EB5CCE" w:rsidR="00EB5CCE" w:rsidP="00EB5CCE" w:rsidRDefault="00EB5CCE" w14:paraId="72CBDAD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6804" w:type="dxa"/>
          </w:tcPr>
          <w:p w:rsidRPr="00EB5CCE" w:rsidR="00EB5CCE" w:rsidP="00EB5CCE" w:rsidRDefault="00EB5CCE" w14:paraId="11978C5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t>Stefano Palmieri (IT– Grupo dos Trabalhadores)</w:t>
            </w:r>
          </w:p>
        </w:tc>
      </w:tr>
      <w:tr w:rsidRPr="00EB5CCE" w:rsidR="00EB5CCE" w:rsidTr="00863A8F" w14:paraId="13E9AD18" w14:textId="77777777">
        <w:tc>
          <w:tcPr>
            <w:tcW w:w="9072" w:type="dxa"/>
            <w:gridSpan w:val="3"/>
          </w:tcPr>
          <w:p w:rsidRPr="00EB5CCE" w:rsidR="00EB5CCE" w:rsidP="00EB5CCE" w:rsidRDefault="00EB5CCE" w14:paraId="5C07022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EB5CCE" w:rsidR="00EB5CCE" w:rsidTr="00863A8F" w14:paraId="283AA2FE" w14:textId="77777777">
        <w:tc>
          <w:tcPr>
            <w:tcW w:w="1701" w:type="dxa"/>
          </w:tcPr>
          <w:p w:rsidRPr="00EB5CCE" w:rsidR="00EB5CCE" w:rsidP="00EB5CCE" w:rsidRDefault="00EB5CCE" w14:paraId="06A223E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7371" w:type="dxa"/>
            <w:gridSpan w:val="2"/>
          </w:tcPr>
          <w:p w:rsidR="00FE0B51" w:rsidP="00EB5CCE" w:rsidRDefault="00EB5CCE" w14:paraId="55D27B7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de iniciativa</w:t>
            </w:r>
          </w:p>
          <w:p w:rsidRPr="00EB5CCE" w:rsidR="00EB5CCE" w:rsidP="00EB5CCE" w:rsidRDefault="00EB5CCE" w14:paraId="1548E30A" w14:textId="088569F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EESC-2024-01368-00-00-AC</w:t>
            </w:r>
          </w:p>
        </w:tc>
      </w:tr>
    </w:tbl>
    <w:p w:rsidRPr="00EB5CCE" w:rsidR="00EB5CCE" w:rsidP="00EB5CCE" w:rsidRDefault="00EB5CCE" w14:paraId="6C8BB22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EB5CCE" w:rsidR="00EB5CCE" w:rsidP="00EB5CCE" w:rsidRDefault="00EB5CCE" w14:paraId="463D7D3F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="00EB5CCE" w:rsidP="00EB5CCE" w:rsidRDefault="00EB5CCE" w14:paraId="3FFAAB09" w14:textId="573F378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</w:t>
      </w:r>
      <w:r w:rsidR="00C80BDF">
        <w:t xml:space="preserve"> (CESE)</w:t>
      </w:r>
      <w:r>
        <w:t>:</w:t>
      </w:r>
    </w:p>
    <w:p w:rsidRPr="00EB5CCE" w:rsidR="00FE0B51" w:rsidP="00EB5CCE" w:rsidRDefault="00FE0B51" w14:paraId="2C9C4BB6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EB5CCE" w:rsidR="00EB5CCE" w:rsidP="00643D0B" w:rsidRDefault="00EB5CCE" w14:paraId="0E80473F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entende que a Agenda Territorial deve promover a quinta liberdade do mercado interno, designada no relatório de Enrico Letta como «a liberdade de permanecer» no local onde se escolheu viver, assegurando assim a plena coesão económica, social e territorial. Além disso, como referido no relatório de Mario Draghi, a Agenda Territorial 2030 deve assegurar que todos os territórios beneficiem de oportunidades de desenvolvimento local através de intervenções que salvaguardem e reforcem a sua competitividade;</w:t>
      </w:r>
    </w:p>
    <w:p w:rsidRPr="00EB5CCE" w:rsidR="00EB5CCE" w:rsidP="00643D0B" w:rsidRDefault="00EB5CCE" w14:paraId="6A3A0098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salienta que, ao colocar a tónica numa Europa mais justa e mais ecológica, a Agenda Territorial 2030 está em consonância com os objetivos a longo prazo da UE e proporciona uma base sólida para o planeamento territorial integrado;</w:t>
      </w:r>
    </w:p>
    <w:p w:rsidRPr="00EB5CCE" w:rsidR="00EB5CCE" w:rsidP="00643D0B" w:rsidRDefault="00EB5CCE" w14:paraId="4E35B6B6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observa que, apesar das ações levadas a cabo a nível da UE para testar e aplicar a Agenda Territorial 2030, os benefícios que esta pode trazer para apoiar a coesão e o desenvolvimento justo ainda não foram plenamente explorados a nível local e territorial;</w:t>
      </w:r>
    </w:p>
    <w:p w:rsidRPr="00EB5CCE" w:rsidR="00EB5CCE" w:rsidP="00643D0B" w:rsidRDefault="00EB5CCE" w14:paraId="7DAF48BE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sublinha a importância de reforçar a interligação entre a Agenda Territorial 2030 e a política de coesão. A Agenda Territorial 2030 é um instrumento estratégico de apoio aos territórios, que define medidas prioritárias para fazer face aos desafios territoriais, ao passo que a política de coesão assegura a execução dessas medidas;</w:t>
      </w:r>
    </w:p>
    <w:p w:rsidRPr="00EB5CCE" w:rsidR="00EB5CCE" w:rsidP="00643D0B" w:rsidRDefault="00EB5CCE" w14:paraId="48869F0D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entende que importa envidar esforços suplementares para informar a sociedade civil e a envolver nos processos de planeamento e execução da Agenda Territorial 2030, alertando para o risco de se adotar iniciativas e projetos que não sejam inteiramente coerentes com as necessidades dos beneficiários finais das políticas e estratégias da UE: os cidadãos e os parceiros sociais e económicos;</w:t>
      </w:r>
    </w:p>
    <w:p w:rsidRPr="00EB5CCE" w:rsidR="00EB5CCE" w:rsidP="00643D0B" w:rsidRDefault="00EB5CCE" w14:paraId="6F90A3A4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chama a atenção para as crises e as mudanças sistémicas que afetam a UE e para o consequente aumento das perturbações e dos riscos (sociais, económicos e ambientais, etc.);</w:t>
      </w:r>
    </w:p>
    <w:p w:rsidRPr="00EB5CCE" w:rsidR="00EB5CCE" w:rsidP="00643D0B" w:rsidRDefault="00EB5CCE" w14:paraId="1AE2B654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avalia de forma positiva o processo de elaboração e teste da Agenda Territorial 2030, efetuado através de ações-piloto, mas salienta que existe uma grande margem para melhorar a adoção dos processos de desenvolvimento territorial integrado (social, económico e ambiental);</w:t>
      </w:r>
    </w:p>
    <w:p w:rsidRPr="00EB5CCE" w:rsidR="00EB5CCE" w:rsidP="00643D0B" w:rsidRDefault="00EB5CCE" w14:paraId="06796FCA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considera que a coesão, a sustentabilidade e a resiliência das diferentes dimensões territoriais da UE não podem ser abordadas de forma separada através dos instrumentos usuais. Defende, por conseguinte, a inclusão da Agenda Territorial no processo do Semestre Europeu, seguindo as orientações da Rede Europeia de Observação do Desenvolvimento e da Coesão Territoriais (ESPON);</w:t>
      </w:r>
    </w:p>
    <w:p w:rsidRPr="00EB5CCE" w:rsidR="00EB5CCE" w:rsidP="00643D0B" w:rsidRDefault="00EB5CCE" w14:paraId="7BC23F7E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 xml:space="preserve">recomenda que se assegure o maior grau possível de coordenação entre a Agenda Territorial 2030 e a política de coesão; </w:t>
      </w:r>
    </w:p>
    <w:p w:rsidRPr="00EB5CCE" w:rsidR="00EB5CCE" w:rsidP="00643D0B" w:rsidRDefault="00EB5CCE" w14:paraId="660ABDEE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 xml:space="preserve">reputa necessário aumentar a presença de representantes dos parceiros sociais e económicos no quadro do princípio da parceria em matéria de desenvolvimento territorial (local e regional); </w:t>
      </w:r>
    </w:p>
    <w:p w:rsidRPr="00EB5CCE" w:rsidR="00EB5CCE" w:rsidP="00643D0B" w:rsidRDefault="00EB5CCE" w14:paraId="452548B9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lastRenderedPageBreak/>
        <w:t>entende que importa desenvolver processos e iniciativas que reforcem a adequação da Agenda Territorial 2030 às necessidades e desafios da UE, bem como as sinergias com a Carta de Leipzig e a Agenda Urbana da UE;</w:t>
      </w:r>
    </w:p>
    <w:p w:rsidRPr="00EB5CCE" w:rsidR="00EB5CCE" w:rsidP="00643D0B" w:rsidRDefault="00EB5CCE" w14:paraId="4263C550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considera essencial especializar a ação da Agenda Territorial 2030 em função de prioridades como o combate às alterações climáticas, a adaptação às alterações demográficas e o reforço da abordagem cívica;</w:t>
      </w:r>
    </w:p>
    <w:p w:rsidRPr="00EB5CCE" w:rsidR="00EB5CCE" w:rsidP="00643D0B" w:rsidRDefault="00EB5CCE" w14:paraId="08955B51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considera prioritário promover um desenvolvimento territorial equilibrado e sustentável através do reforço da cooperação entre todos os níveis de governo e de uma maior utilização da consulta pública.</w:t>
      </w:r>
    </w:p>
    <w:p w:rsidRPr="00EB5CCE" w:rsidR="00EB5CCE" w:rsidP="00EB5CCE" w:rsidRDefault="00EB5CCE" w14:paraId="64DCF051" w14:textId="77777777">
      <w:pPr>
        <w:spacing w:after="200" w:line="276" w:lineRule="auto"/>
        <w:ind w:left="360"/>
        <w:contextualSpacing/>
        <w:rPr>
          <w:szCs w:val="20"/>
          <w:lang w:val="en-GB"/>
        </w:rPr>
      </w:pPr>
    </w:p>
    <w:tbl>
      <w:tblPr>
        <w:tblStyle w:val="TableGrid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1"/>
        <w:gridCol w:w="5137"/>
      </w:tblGrid>
      <w:tr w:rsidRPr="00EB5CCE" w:rsidR="00EB5CCE" w:rsidTr="00356BBA" w14:paraId="7DEEBD4B" w14:textId="77777777">
        <w:tc>
          <w:tcPr>
            <w:tcW w:w="1951" w:type="dxa"/>
          </w:tcPr>
          <w:p w:rsidRPr="00EB5CCE" w:rsidR="00EB5CCE" w:rsidP="00EB5CCE" w:rsidRDefault="00EB5CCE" w14:paraId="0AFC2E9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137" w:type="dxa"/>
          </w:tcPr>
          <w:p w:rsidRPr="00B654FC" w:rsidR="00EB5CCE" w:rsidP="00EB5CCE" w:rsidRDefault="00EB5CCE" w14:paraId="0795190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bCs/>
                <w:i/>
              </w:rPr>
            </w:pPr>
            <w:r w:rsidRPr="00B654FC">
              <w:rPr>
                <w:bCs/>
                <w:i/>
              </w:rPr>
              <w:t>Georgios Meleas</w:t>
            </w:r>
          </w:p>
        </w:tc>
      </w:tr>
      <w:tr w:rsidRPr="00EB5CCE" w:rsidR="00EB5CCE" w:rsidTr="00356BBA" w14:paraId="597E4104" w14:textId="77777777">
        <w:tc>
          <w:tcPr>
            <w:tcW w:w="1951" w:type="dxa"/>
          </w:tcPr>
          <w:p w:rsidRPr="00EB5CCE" w:rsidR="00EB5CCE" w:rsidP="00EB5CCE" w:rsidRDefault="00EB5CCE" w14:paraId="4AE0E19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137" w:type="dxa"/>
          </w:tcPr>
          <w:p w:rsidRPr="00EB5CCE" w:rsidR="00EB5CCE" w:rsidP="00EB5CCE" w:rsidRDefault="00EB5CCE" w14:paraId="303AC40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+32 2 546 97 95</w:t>
            </w:r>
          </w:p>
        </w:tc>
      </w:tr>
      <w:tr w:rsidRPr="00EB5CCE" w:rsidR="00EB5CCE" w:rsidTr="00356BBA" w14:paraId="5942734A" w14:textId="77777777">
        <w:tc>
          <w:tcPr>
            <w:tcW w:w="1951" w:type="dxa"/>
          </w:tcPr>
          <w:p w:rsidRPr="00EB5CCE" w:rsidR="00EB5CCE" w:rsidP="00EB5CCE" w:rsidRDefault="00EB5CCE" w14:paraId="5B910A72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137" w:type="dxa"/>
          </w:tcPr>
          <w:p w:rsidRPr="00EB5CCE" w:rsidR="00EB5CCE" w:rsidP="00EB5CCE" w:rsidRDefault="00F260F0" w14:paraId="664AA90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28">
              <w:r w:rsidR="00AA36F2">
                <w:rPr>
                  <w:i/>
                  <w:color w:val="0000FF"/>
                  <w:u w:val="single"/>
                </w:rPr>
                <w:t>Georgios.Meleas@eesc.europa.eu</w:t>
              </w:r>
            </w:hyperlink>
            <w:r w:rsidR="00AA36F2">
              <w:rPr>
                <w:i/>
              </w:rPr>
              <w:t xml:space="preserve"> </w:t>
            </w:r>
          </w:p>
        </w:tc>
      </w:tr>
    </w:tbl>
    <w:p w:rsidRPr="00EB5CCE" w:rsidR="009C5B03" w:rsidRDefault="009C5B03" w14:paraId="2929773F" w14:textId="5B7797CD">
      <w:pPr>
        <w:spacing w:after="160" w:line="259" w:lineRule="auto"/>
        <w:jc w:val="left"/>
      </w:pPr>
      <w:r>
        <w:br w:type="page"/>
      </w:r>
    </w:p>
    <w:p w:rsidR="004D7AC0" w:rsidP="006D6D4E" w:rsidRDefault="004D7AC0" w14:paraId="4982DD99" w14:textId="77777777">
      <w:pPr>
        <w:pStyle w:val="Heading1"/>
        <w:keepNext/>
        <w:keepLines/>
        <w:rPr>
          <w:b/>
        </w:rPr>
      </w:pPr>
      <w:bookmarkStart w:name="_Toc75527081" w:id="13"/>
      <w:bookmarkStart w:name="_Toc184734007" w:id="14"/>
      <w:r>
        <w:rPr>
          <w:b/>
        </w:rPr>
        <w:lastRenderedPageBreak/>
        <w:t>EMPREGO, ASSUNTOS SOCIAIS E CIDADANIA</w:t>
      </w:r>
      <w:bookmarkEnd w:id="13"/>
      <w:bookmarkEnd w:id="14"/>
    </w:p>
    <w:p w:rsidRPr="00AB6CDB" w:rsidR="006A1AC2" w:rsidP="004D7AC0" w:rsidRDefault="006A1AC2" w14:paraId="7B7E28B8" w14:textId="77777777">
      <w:pPr>
        <w:pStyle w:val="ListParagraph"/>
        <w:ind w:left="0"/>
      </w:pPr>
    </w:p>
    <w:p w:rsidRPr="00F8361B" w:rsidR="00F8361B" w:rsidP="00F8361B" w:rsidRDefault="00F260F0" w14:paraId="54BC0BD2" w14:textId="2C12DB0F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29">
        <w:r w:rsidR="00F8361B">
          <w:rPr>
            <w:b/>
            <w:i/>
            <w:color w:val="0000FF"/>
            <w:sz w:val="28"/>
            <w:u w:val="single"/>
          </w:rPr>
          <w:t>Análise factual e legislativa para uma integração efetiva dos nacionais de países terceiros no mercado de trabalho da UE</w:t>
        </w:r>
      </w:hyperlink>
    </w:p>
    <w:p w:rsidRPr="00F8361B" w:rsidR="00F8361B" w:rsidP="00F8361B" w:rsidRDefault="00F8361B" w14:paraId="4D1E5E2A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/>
          <w:bCs/>
          <w:i/>
          <w:iCs/>
          <w:sz w:val="28"/>
          <w:szCs w:val="28"/>
        </w:rPr>
      </w:pPr>
    </w:p>
    <w:tbl>
      <w:tblPr>
        <w:tblStyle w:val="TableGrid4"/>
        <w:tblW w:w="421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5"/>
        <w:gridCol w:w="4786"/>
        <w:gridCol w:w="1195"/>
      </w:tblGrid>
      <w:tr w:rsidRPr="00F8361B" w:rsidR="00F8361B" w:rsidTr="00863A8F" w14:paraId="16AB33D9" w14:textId="77777777">
        <w:tc>
          <w:tcPr>
            <w:tcW w:w="1297" w:type="pct"/>
          </w:tcPr>
          <w:p w:rsidRPr="00F8361B" w:rsidR="00F8361B" w:rsidP="000F63F0" w:rsidRDefault="00F8361B" w14:paraId="650295C2" w14:textId="24A6512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113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3703" w:type="pct"/>
            <w:gridSpan w:val="2"/>
          </w:tcPr>
          <w:p w:rsidRPr="00F8361B" w:rsidR="00F8361B" w:rsidP="000F63F0" w:rsidRDefault="00F8361B" w14:paraId="2F381C87" w14:textId="77777777">
            <w:pPr>
              <w:widowControl w:val="0"/>
              <w:tabs>
                <w:tab w:val="left" w:pos="4572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113" w:right="-823"/>
              <w:textAlignment w:val="baseline"/>
            </w:pPr>
            <w:r>
              <w:t>Panagiotis Gkofas (EL – Grupo das Organizações da Sociedade Civil)</w:t>
            </w:r>
          </w:p>
        </w:tc>
      </w:tr>
      <w:tr w:rsidRPr="000C4EA7" w:rsidR="00F8361B" w:rsidTr="00863A8F" w14:paraId="669D8CBB" w14:textId="77777777">
        <w:tc>
          <w:tcPr>
            <w:tcW w:w="1297" w:type="pct"/>
          </w:tcPr>
          <w:p w:rsidRPr="00F8361B" w:rsidR="00F8361B" w:rsidP="000F63F0" w:rsidRDefault="00F8361B" w14:paraId="40F0C647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113"/>
              <w:textAlignment w:val="baseline"/>
              <w:rPr>
                <w:b/>
              </w:rPr>
            </w:pPr>
            <w:r>
              <w:rPr>
                <w:b/>
              </w:rPr>
              <w:t>Correlator</w:t>
            </w:r>
          </w:p>
        </w:tc>
        <w:tc>
          <w:tcPr>
            <w:tcW w:w="3703" w:type="pct"/>
            <w:gridSpan w:val="2"/>
          </w:tcPr>
          <w:p w:rsidRPr="00F8361B" w:rsidR="00F8361B" w:rsidP="000F63F0" w:rsidRDefault="00F8361B" w14:paraId="6FF35F57" w14:textId="6A6AA37E">
            <w:pPr>
              <w:widowControl w:val="0"/>
              <w:tabs>
                <w:tab w:val="left" w:pos="4572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113" w:right="-823"/>
              <w:textAlignment w:val="baseline"/>
            </w:pPr>
            <w:r>
              <w:t>José Antonio Moreno Díaz (ES – Grupo dos Trabalhadores)</w:t>
            </w:r>
          </w:p>
        </w:tc>
      </w:tr>
      <w:tr w:rsidRPr="000C4EA7" w:rsidR="00F8361B" w:rsidTr="00863A8F" w14:paraId="0920373A" w14:textId="77777777">
        <w:tc>
          <w:tcPr>
            <w:tcW w:w="1297" w:type="pct"/>
          </w:tcPr>
          <w:p w:rsidRPr="00F8361B" w:rsidR="00F8361B" w:rsidP="00643D0B" w:rsidRDefault="00F8361B" w14:paraId="452CD326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-113"/>
              <w:textAlignment w:val="baseline"/>
              <w:rPr>
                <w:b/>
                <w:lang w:val="es-ES_tradnl"/>
              </w:rPr>
            </w:pPr>
          </w:p>
        </w:tc>
        <w:tc>
          <w:tcPr>
            <w:tcW w:w="3703" w:type="pct"/>
            <w:gridSpan w:val="2"/>
          </w:tcPr>
          <w:p w:rsidRPr="00F8361B" w:rsidR="00F8361B" w:rsidP="00643D0B" w:rsidRDefault="00F8361B" w14:paraId="63AD4440" w14:textId="77777777">
            <w:pPr>
              <w:widowControl w:val="0"/>
              <w:tabs>
                <w:tab w:val="left" w:pos="4572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3" w:right="-823"/>
              <w:textAlignment w:val="baseline"/>
              <w:rPr>
                <w:lang w:val="es-ES_tradnl"/>
              </w:rPr>
            </w:pPr>
          </w:p>
        </w:tc>
      </w:tr>
      <w:tr w:rsidRPr="00F8361B" w:rsidR="00F8361B" w:rsidTr="00863A8F" w14:paraId="64E0BE1E" w14:textId="77777777">
        <w:trPr>
          <w:gridAfter w:val="1"/>
          <w:wAfter w:w="740" w:type="pct"/>
        </w:trPr>
        <w:tc>
          <w:tcPr>
            <w:tcW w:w="1297" w:type="pct"/>
            <w:vMerge w:val="restart"/>
          </w:tcPr>
          <w:p w:rsidRPr="00F8361B" w:rsidR="00F8361B" w:rsidP="00643D0B" w:rsidRDefault="00F8361B" w14:paraId="33F355BB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-113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2963" w:type="pct"/>
          </w:tcPr>
          <w:p w:rsidR="00753C49" w:rsidP="00753C49" w:rsidRDefault="00753C49" w14:paraId="18283D1B" w14:textId="0F6A3197">
            <w:pPr>
              <w:widowControl w:val="0"/>
              <w:tabs>
                <w:tab w:val="left" w:pos="443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3" w:right="-823"/>
              <w:textAlignment w:val="baseline"/>
            </w:pPr>
            <w:r>
              <w:t>Parecer de iniciativa</w:t>
            </w:r>
          </w:p>
          <w:p w:rsidRPr="00F8361B" w:rsidR="00F8361B" w:rsidP="00643D0B" w:rsidRDefault="00F8361B" w14:paraId="192CC07A" w14:textId="0511D515">
            <w:pPr>
              <w:widowControl w:val="0"/>
              <w:tabs>
                <w:tab w:val="left" w:pos="443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3" w:right="-823"/>
              <w:textAlignment w:val="baseline"/>
            </w:pPr>
            <w:r>
              <w:t>EESC-2024-01017-00-00-AC</w:t>
            </w:r>
          </w:p>
        </w:tc>
      </w:tr>
      <w:tr w:rsidRPr="00F8361B" w:rsidR="00F8361B" w:rsidTr="00863A8F" w14:paraId="20A9FCDF" w14:textId="77777777">
        <w:trPr>
          <w:gridAfter w:val="1"/>
          <w:wAfter w:w="740" w:type="pct"/>
        </w:trPr>
        <w:tc>
          <w:tcPr>
            <w:tcW w:w="1297" w:type="pct"/>
            <w:vMerge/>
          </w:tcPr>
          <w:p w:rsidRPr="00F8361B" w:rsidR="00F8361B" w:rsidP="00643D0B" w:rsidRDefault="00F8361B" w14:paraId="1CEA6EC6" w14:textId="77777777">
            <w:pPr>
              <w:widowControl w:val="0"/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2963" w:type="pct"/>
          </w:tcPr>
          <w:p w:rsidRPr="00F8361B" w:rsidR="00F8361B" w:rsidP="00643D0B" w:rsidRDefault="00F8361B" w14:paraId="68A86EA7" w14:textId="77777777">
            <w:pPr>
              <w:widowControl w:val="0"/>
              <w:tabs>
                <w:tab w:val="center" w:pos="38"/>
                <w:tab w:val="left" w:pos="443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66" w:right="-823" w:hanging="370"/>
              <w:textAlignment w:val="baseline"/>
            </w:pPr>
          </w:p>
        </w:tc>
      </w:tr>
    </w:tbl>
    <w:p w:rsidRPr="00F8361B" w:rsidR="00F8361B" w:rsidP="00643D0B" w:rsidRDefault="00F8361B" w14:paraId="3456C8AF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spacing w:line="240" w:lineRule="auto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F8361B" w:rsidR="00F8361B" w:rsidP="00643D0B" w:rsidRDefault="00F8361B" w14:paraId="005DBAF8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spacing w:line="240" w:lineRule="auto"/>
        <w:ind w:left="266" w:hanging="266"/>
        <w:textAlignment w:val="baseline"/>
        <w:rPr>
          <w:b/>
          <w:lang w:val="en-GB"/>
        </w:rPr>
      </w:pPr>
    </w:p>
    <w:p w:rsidRPr="00F8361B" w:rsidR="00F8361B" w:rsidP="00643D0B" w:rsidRDefault="00F8361B" w14:paraId="26DA63F5" w14:textId="3CF8822A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spacing w:line="240" w:lineRule="auto"/>
        <w:ind w:left="266" w:hanging="266"/>
        <w:textAlignment w:val="baseline"/>
        <w:rPr>
          <w:szCs w:val="20"/>
        </w:rPr>
      </w:pPr>
      <w:r>
        <w:t>O Comité Económico e Social Europeu</w:t>
      </w:r>
      <w:r w:rsidR="00B654FC">
        <w:t xml:space="preserve"> (CESE)</w:t>
      </w:r>
      <w:r>
        <w:t>:</w:t>
      </w:r>
    </w:p>
    <w:p w:rsidRPr="00F8361B" w:rsidR="00F8361B" w:rsidP="00F8361B" w:rsidRDefault="00F8361B" w14:paraId="233979C3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Cs w:val="20"/>
          <w:lang w:val="en-GB"/>
        </w:rPr>
      </w:pPr>
    </w:p>
    <w:p w:rsidRPr="00F8361B" w:rsidR="00F8361B" w:rsidP="00643D0B" w:rsidRDefault="00F8361B" w14:paraId="6F00E1D6" w14:textId="77777777">
      <w:pPr>
        <w:widowControl w:val="0"/>
        <w:numPr>
          <w:ilvl w:val="0"/>
          <w:numId w:val="20"/>
        </w:numPr>
        <w:tabs>
          <w:tab w:val="center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textAlignment w:val="baseline"/>
      </w:pPr>
      <w:r>
        <w:t>chama a atenção para o facto de a mobilidade laboral organizada na UE ser regida por um quadro altamente fragmentado e excessivamente complexo, constituído por várias diretivas da UE e, paralelamente, pelas diversas legislações nacionais. As diferentes categorias de trabalhadores migrantes são regidas por diversos regulamentos e diretivas, cada um abrangendo diferentes aspetos e etapas do processo de migração;</w:t>
      </w:r>
    </w:p>
    <w:p w:rsidRPr="00F8361B" w:rsidR="00F8361B" w:rsidP="00643D0B" w:rsidRDefault="00F8361B" w14:paraId="583A27C8" w14:textId="77777777">
      <w:pPr>
        <w:widowControl w:val="0"/>
        <w:numPr>
          <w:ilvl w:val="0"/>
          <w:numId w:val="20"/>
        </w:numPr>
        <w:tabs>
          <w:tab w:val="center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textAlignment w:val="baseline"/>
      </w:pPr>
      <w:r>
        <w:t>observa que, uma vez que a escassez de mão de obra se apresenta como um desafio europeu comum, é também necessária uma resposta comum. se aproveitasse o potencial do mercado de trabalho único europeu, em vez de funcionar com base em 27 mercados de trabalho distintos, a UE estaria em melhor posição para competir pelos trabalhadores migrantes na «corrida mundial aos talentos»;</w:t>
      </w:r>
    </w:p>
    <w:p w:rsidRPr="00F8361B" w:rsidR="00F8361B" w:rsidP="00643D0B" w:rsidRDefault="00F8361B" w14:paraId="2200264D" w14:textId="77777777">
      <w:pPr>
        <w:widowControl w:val="0"/>
        <w:numPr>
          <w:ilvl w:val="0"/>
          <w:numId w:val="20"/>
        </w:numPr>
        <w:tabs>
          <w:tab w:val="center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textAlignment w:val="baseline"/>
      </w:pPr>
      <w:r>
        <w:t xml:space="preserve">salienta a necessidade de adotar regulamentação clara sobre o acesso dos migrantes a vistos e autorizações de trabalho, bem como de assegurar o reconhecimento dos seus diplomas e qualificações profissionais; </w:t>
      </w:r>
    </w:p>
    <w:p w:rsidRPr="00F8361B" w:rsidR="00F8361B" w:rsidP="00643D0B" w:rsidRDefault="00F8361B" w14:paraId="3941F19B" w14:textId="77777777">
      <w:pPr>
        <w:widowControl w:val="0"/>
        <w:numPr>
          <w:ilvl w:val="0"/>
          <w:numId w:val="20"/>
        </w:numPr>
        <w:tabs>
          <w:tab w:val="center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textAlignment w:val="baseline"/>
      </w:pPr>
      <w:r>
        <w:t>chama a atenção, em particular, para a necessidade de facilitar o acesso dos migrantes ao mercado de trabalho através do desenvolvimento de políticas e planos de ação destinados a promover a inclusão dos migrantes (com disposições específicas para as mulheres) no mercado de trabalho, nomeadamente atendendo às suas necessidades específicas, promovendo uma cooperação eficaz entre os governos, as entidades sociais e as comunidades empresariais em matéria de conceção e financiamento da formação profissional dos migrantes e assegurando simultaneamente a disponibilização de cursos de línguas e de cidadania aos requerentes de asilo e aos refugiados.</w:t>
      </w:r>
    </w:p>
    <w:p w:rsidRPr="00F8361B" w:rsidR="00F8361B" w:rsidP="00F8361B" w:rsidRDefault="00F8361B" w14:paraId="31DEA57F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16"/>
          <w:szCs w:val="16"/>
          <w:lang w:val="en-GB"/>
        </w:rPr>
      </w:pPr>
    </w:p>
    <w:tbl>
      <w:tblPr>
        <w:tblStyle w:val="TableGrid4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4"/>
        <w:gridCol w:w="4636"/>
      </w:tblGrid>
      <w:tr w:rsidRPr="00F8361B" w:rsidR="00F8361B" w:rsidTr="00863A8F" w14:paraId="17083D1B" w14:textId="77777777">
        <w:tc>
          <w:tcPr>
            <w:tcW w:w="1556" w:type="pct"/>
          </w:tcPr>
          <w:p w:rsidRPr="00F8361B" w:rsidR="00F8361B" w:rsidP="00643D0B" w:rsidRDefault="00F8361B" w14:paraId="457FB8FA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444" w:type="pct"/>
          </w:tcPr>
          <w:p w:rsidRPr="00F8361B" w:rsidR="00F8361B" w:rsidP="00643D0B" w:rsidRDefault="00F8361B" w14:paraId="4FE81F5E" w14:textId="5B251322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Gemma Amran</w:t>
            </w:r>
          </w:p>
        </w:tc>
      </w:tr>
      <w:tr w:rsidRPr="00F8361B" w:rsidR="00F8361B" w:rsidTr="00863A8F" w14:paraId="50F12DEA" w14:textId="77777777">
        <w:tc>
          <w:tcPr>
            <w:tcW w:w="1556" w:type="pct"/>
          </w:tcPr>
          <w:p w:rsidRPr="00F8361B" w:rsidR="00F8361B" w:rsidP="00643D0B" w:rsidRDefault="00F8361B" w14:paraId="321CF420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F8361B" w:rsidR="00F8361B" w:rsidP="00643D0B" w:rsidRDefault="00F8361B" w14:paraId="1BCE35C3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+32 2 546 94 15</w:t>
            </w:r>
          </w:p>
        </w:tc>
      </w:tr>
      <w:tr w:rsidRPr="00F8361B" w:rsidR="00F8361B" w:rsidTr="00863A8F" w14:paraId="166FE7CF" w14:textId="77777777">
        <w:tc>
          <w:tcPr>
            <w:tcW w:w="1556" w:type="pct"/>
          </w:tcPr>
          <w:p w:rsidRPr="00F8361B" w:rsidR="00F8361B" w:rsidP="00643D0B" w:rsidRDefault="00F8361B" w14:paraId="4F7B4D10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Pr="00F8361B" w:rsidR="00F8361B" w:rsidP="00643D0B" w:rsidRDefault="00F260F0" w14:paraId="48483D99" w14:textId="7777777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color w:val="0000FF"/>
                <w:u w:val="single"/>
              </w:rPr>
            </w:pPr>
            <w:hyperlink w:history="1" r:id="rId30">
              <w:r w:rsidR="00F8361B">
                <w:rPr>
                  <w:i/>
                  <w:color w:val="0000FF"/>
                  <w:u w:val="single"/>
                </w:rPr>
                <w:t>Gemma.Amran@eesc.europa.eu</w:t>
              </w:r>
            </w:hyperlink>
          </w:p>
        </w:tc>
      </w:tr>
    </w:tbl>
    <w:p w:rsidRPr="00F8361B" w:rsidR="00327E1C" w:rsidRDefault="00327E1C" w14:paraId="7912FB32" w14:textId="710E78D4">
      <w:pPr>
        <w:spacing w:after="160" w:line="259" w:lineRule="auto"/>
        <w:jc w:val="left"/>
        <w:rPr>
          <w:lang w:val="en-GB"/>
        </w:rPr>
      </w:pPr>
    </w:p>
    <w:p w:rsidR="00327E1C" w:rsidRDefault="00327E1C" w14:paraId="14354E90" w14:textId="77777777">
      <w:pPr>
        <w:spacing w:after="160" w:line="259" w:lineRule="auto"/>
        <w:jc w:val="left"/>
      </w:pPr>
      <w:r>
        <w:br w:type="page"/>
      </w:r>
    </w:p>
    <w:p w:rsidR="004D7AC0" w:rsidP="006D6D4E" w:rsidRDefault="004D7AC0" w14:paraId="4982DDC6" w14:textId="77777777">
      <w:pPr>
        <w:pStyle w:val="Heading1"/>
        <w:keepNext/>
        <w:keepLines/>
        <w:rPr>
          <w:b/>
        </w:rPr>
      </w:pPr>
      <w:bookmarkStart w:name="_Toc24617160" w:id="15"/>
      <w:bookmarkStart w:name="_Toc75527082" w:id="16"/>
      <w:bookmarkStart w:name="_Toc184734008" w:id="17"/>
      <w:r>
        <w:rPr>
          <w:b/>
        </w:rPr>
        <w:lastRenderedPageBreak/>
        <w:t>TRANSPORTES, ENERGIA, INFRAESTRUTURAS E SOCIEDADE DA INFORMAÇÃO</w:t>
      </w:r>
      <w:bookmarkEnd w:id="15"/>
      <w:bookmarkEnd w:id="16"/>
      <w:bookmarkEnd w:id="17"/>
    </w:p>
    <w:p w:rsidR="004D7AC0" w:rsidP="006D6D4E" w:rsidRDefault="004D7AC0" w14:paraId="4982DDC7" w14:textId="77777777">
      <w:pPr>
        <w:keepNext/>
        <w:keepLines/>
      </w:pPr>
    </w:p>
    <w:p w:rsidRPr="00B70A01" w:rsidR="00B70A01" w:rsidP="004B5D3D" w:rsidRDefault="00F260F0" w14:paraId="2FBF511E" w14:textId="39B3966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b/>
        </w:rPr>
      </w:pPr>
      <w:hyperlink w:history="1" r:id="rId31">
        <w:r w:rsidR="00AA36F2">
          <w:rPr>
            <w:b/>
            <w:i/>
            <w:color w:val="0000FF"/>
            <w:sz w:val="28"/>
            <w:u w:val="single"/>
          </w:rPr>
          <w:t>Escassez de mão de obra e de competências nos setores dos transportes, da energia, das infraestruturas e digital</w:t>
        </w:r>
      </w:hyperlink>
    </w:p>
    <w:p w:rsidRPr="00B70A01" w:rsidR="00B70A01" w:rsidP="00B70A01" w:rsidRDefault="00B70A01" w14:paraId="5997B1F5" w14:textId="77777777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lang w:val="en-GB"/>
        </w:rPr>
      </w:pPr>
    </w:p>
    <w:tbl>
      <w:tblPr>
        <w:tblStyle w:val="TableGrid5"/>
        <w:tblW w:w="343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4"/>
        <w:gridCol w:w="4487"/>
      </w:tblGrid>
      <w:tr w:rsidRPr="00B70A01" w:rsidR="00B70A01" w:rsidTr="00863A8F" w14:paraId="18B40AC4" w14:textId="77777777">
        <w:tc>
          <w:tcPr>
            <w:tcW w:w="1591" w:type="pct"/>
          </w:tcPr>
          <w:p w:rsidRPr="00B70A01" w:rsidR="00B70A01" w:rsidP="00B70A01" w:rsidRDefault="00B70A01" w14:paraId="2B92D77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3409" w:type="pct"/>
          </w:tcPr>
          <w:p w:rsidRPr="00B70A01" w:rsidR="00B70A01" w:rsidP="00B70A01" w:rsidRDefault="00B70A01" w14:paraId="3B61242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Thomas Kattnig (AT – Grupo dos Trabalhadores)</w:t>
            </w:r>
          </w:p>
        </w:tc>
      </w:tr>
      <w:tr w:rsidRPr="00B70A01" w:rsidR="00B70A01" w:rsidTr="00863A8F" w14:paraId="7E15D1AC" w14:textId="77777777">
        <w:tc>
          <w:tcPr>
            <w:tcW w:w="5000" w:type="pct"/>
            <w:gridSpan w:val="2"/>
          </w:tcPr>
          <w:p w:rsidRPr="00B70A01" w:rsidR="00B70A01" w:rsidP="00B70A01" w:rsidRDefault="00B70A01" w14:paraId="4E0DAF9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B70A01" w:rsidR="00B70A01" w:rsidTr="00863A8F" w14:paraId="601CA657" w14:textId="77777777">
        <w:tc>
          <w:tcPr>
            <w:tcW w:w="1591" w:type="pct"/>
            <w:vMerge w:val="restart"/>
          </w:tcPr>
          <w:p w:rsidRPr="00B70A01" w:rsidR="00B70A01" w:rsidP="00B70A01" w:rsidRDefault="00B70A01" w14:paraId="2619BEE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3409" w:type="pct"/>
          </w:tcPr>
          <w:p w:rsidRPr="00B70A01" w:rsidR="00B70A01" w:rsidP="00B70A01" w:rsidRDefault="00B70A01" w14:paraId="44BE654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de iniciativa</w:t>
            </w:r>
          </w:p>
          <w:p w:rsidRPr="00B70A01" w:rsidR="00B70A01" w:rsidP="00B70A01" w:rsidRDefault="00B70A01" w14:paraId="57407D8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EESC-2024-01463-00-00-AC</w:t>
            </w:r>
          </w:p>
        </w:tc>
      </w:tr>
      <w:tr w:rsidRPr="00B70A01" w:rsidR="00B70A01" w:rsidTr="00863A8F" w14:paraId="47536E82" w14:textId="77777777">
        <w:tc>
          <w:tcPr>
            <w:tcW w:w="1591" w:type="pct"/>
            <w:vMerge/>
          </w:tcPr>
          <w:p w:rsidRPr="00B70A01" w:rsidR="00B70A01" w:rsidP="00B70A01" w:rsidRDefault="00B70A01" w14:paraId="462652F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409" w:type="pct"/>
          </w:tcPr>
          <w:p w:rsidRPr="00B70A01" w:rsidR="00B70A01" w:rsidP="00B70A01" w:rsidRDefault="00B70A01" w14:paraId="47489A4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B70A01" w:rsidR="00B70A01" w:rsidP="00B70A01" w:rsidRDefault="00B70A01" w14:paraId="66C34D76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:rsidRPr="00B70A01" w:rsidR="00B70A01" w:rsidP="00B70A01" w:rsidRDefault="00B70A01" w14:paraId="6D7F98B5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B70A01" w:rsidR="00B70A01" w:rsidP="00B70A01" w:rsidRDefault="00B70A01" w14:paraId="531246B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B70A01" w:rsidR="00B70A01" w:rsidP="00B70A01" w:rsidRDefault="00B70A01" w14:paraId="7F30017E" w14:textId="6C795FDF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</w:t>
      </w:r>
      <w:r w:rsidR="00D33C51">
        <w:t xml:space="preserve"> (CESE)</w:t>
      </w:r>
      <w:r>
        <w:t>:</w:t>
      </w:r>
    </w:p>
    <w:p w:rsidRPr="00B70A01" w:rsidR="00B70A01" w:rsidP="00B70A01" w:rsidRDefault="00B70A01" w14:paraId="6FB63A41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B70A01" w:rsidR="00B70A01" w:rsidP="00643D0B" w:rsidRDefault="00B70A01" w14:paraId="3CE5B6A4" w14:textId="7777777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salienta o </w:t>
      </w:r>
      <w:r>
        <w:rPr>
          <w:b/>
        </w:rPr>
        <w:t>desafio crescente da escassez de mão de obra e de competências</w:t>
      </w:r>
      <w:r>
        <w:t xml:space="preserve"> nos setores dos transportes, da energia, das infraestruturas e da tecnologia digital. Estes setores são cruciais para a prosperidade e a sustentabilidade ecológica da UE e, também, essenciais para o Pacto Ecológico Europeu e a competitividade futura da UE;</w:t>
      </w:r>
    </w:p>
    <w:p w:rsidRPr="00B70A01" w:rsidR="00B70A01" w:rsidP="00643D0B" w:rsidRDefault="00B70A01" w14:paraId="539C8220" w14:textId="7777777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considera </w:t>
      </w:r>
      <w:r>
        <w:rPr>
          <w:b/>
        </w:rPr>
        <w:t>necessário adotar medidas mais ambiciosas</w:t>
      </w:r>
      <w:r>
        <w:t xml:space="preserve"> para garantir uma transição justa, nomeadamente promover postos de trabalho de qualidade, equilibrar o mercado de trabalho e melhorar as condições de trabalho;</w:t>
      </w:r>
    </w:p>
    <w:p w:rsidRPr="00B70A01" w:rsidR="00B70A01" w:rsidP="00643D0B" w:rsidRDefault="00B70A01" w14:paraId="3638E995" w14:textId="7777777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reconhece o </w:t>
      </w:r>
      <w:r>
        <w:rPr>
          <w:b/>
        </w:rPr>
        <w:t>papel importante dos parceiros sociais</w:t>
      </w:r>
      <w:r>
        <w:t xml:space="preserve"> na elaboração e aplicação de medidas para fazer face à escassez de mão de obra e de competências;</w:t>
      </w:r>
    </w:p>
    <w:p w:rsidRPr="00B70A01" w:rsidR="00B70A01" w:rsidP="00643D0B" w:rsidRDefault="00B70A01" w14:paraId="4065B872" w14:textId="7777777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propõe o desenvolvimento e o financiamento de programas específicos, de uma orientação centrada nos aprendentes e de medidas coordenadas de apoio aos aprendentes para </w:t>
      </w:r>
      <w:r>
        <w:rPr>
          <w:b/>
        </w:rPr>
        <w:t>facilitar a entrada de grupos sub-representados e desfavorecidos</w:t>
      </w:r>
      <w:r>
        <w:t xml:space="preserve"> no mercado de trabalho, entre os quais se incluem as mulheres nas profissões CTEM (ciência, tecnologia, engenharias e matemática), as pessoas com origem migrante, as pessoas com deficiência e os trabalhadores mais velhos;</w:t>
      </w:r>
    </w:p>
    <w:p w:rsidRPr="00B70A01" w:rsidR="00B70A01" w:rsidP="00643D0B" w:rsidRDefault="00B70A01" w14:paraId="1961B38D" w14:textId="77777777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incentiva os Estados-Membros a instituir</w:t>
      </w:r>
      <w:r>
        <w:rPr>
          <w:b/>
        </w:rPr>
        <w:t xml:space="preserve"> fundos de formação geridos de forma tripartida</w:t>
      </w:r>
      <w:r>
        <w:t>, respeitando as características dos diferentes sistemas nacionais, a fim de reduzir os desincentivos e apoiar as empresas na oferta de formação no local de trabalho, como os programas de aprendizagem.</w:t>
      </w:r>
    </w:p>
    <w:p w:rsidRPr="00B70A01" w:rsidR="00B70A01" w:rsidP="00B70A01" w:rsidRDefault="00B70A01" w14:paraId="5431DC4C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5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4"/>
        <w:gridCol w:w="4636"/>
      </w:tblGrid>
      <w:tr w:rsidRPr="00B70A01" w:rsidR="00B70A01" w:rsidTr="00863A8F" w14:paraId="01B5DFB9" w14:textId="77777777">
        <w:tc>
          <w:tcPr>
            <w:tcW w:w="1556" w:type="pct"/>
          </w:tcPr>
          <w:p w:rsidRPr="00B70A01" w:rsidR="00B70A01" w:rsidP="00B70A01" w:rsidRDefault="00B70A01" w14:paraId="17DD32A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 xml:space="preserve">Contacto </w:t>
            </w:r>
          </w:p>
        </w:tc>
        <w:tc>
          <w:tcPr>
            <w:tcW w:w="3444" w:type="pct"/>
          </w:tcPr>
          <w:p w:rsidRPr="00B70A01" w:rsidR="00B70A01" w:rsidP="00B70A01" w:rsidRDefault="00B70A01" w14:paraId="1BED828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Francesco Napolitano</w:t>
            </w:r>
          </w:p>
        </w:tc>
      </w:tr>
      <w:tr w:rsidRPr="00B70A01" w:rsidR="00B70A01" w:rsidTr="00863A8F" w14:paraId="07D804F8" w14:textId="77777777">
        <w:tc>
          <w:tcPr>
            <w:tcW w:w="1556" w:type="pct"/>
          </w:tcPr>
          <w:p w:rsidRPr="00B70A01" w:rsidR="00B70A01" w:rsidP="00B70A01" w:rsidRDefault="00B70A01" w14:paraId="39546BC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B70A01" w:rsidR="00B70A01" w:rsidP="00B70A01" w:rsidRDefault="00B70A01" w14:paraId="76B7E4F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+32 2 546 89 21</w:t>
            </w:r>
          </w:p>
        </w:tc>
      </w:tr>
      <w:tr w:rsidRPr="00B70A01" w:rsidR="00B70A01" w:rsidTr="00863A8F" w14:paraId="0A3C7522" w14:textId="77777777">
        <w:tc>
          <w:tcPr>
            <w:tcW w:w="1556" w:type="pct"/>
          </w:tcPr>
          <w:p w:rsidRPr="00B70A01" w:rsidR="00B70A01" w:rsidP="00B70A01" w:rsidRDefault="00B70A01" w14:paraId="05434FC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Pr="00B70A01" w:rsidR="00B70A01" w:rsidP="00B70A01" w:rsidRDefault="00F260F0" w14:paraId="025822D2" w14:textId="5E8650F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2">
              <w:r w:rsidR="00AA36F2">
                <w:rPr>
                  <w:i/>
                  <w:color w:val="0000FF"/>
                  <w:u w:val="single"/>
                </w:rPr>
                <w:t>Francesco.Napolitano@eesc.europa.eu</w:t>
              </w:r>
            </w:hyperlink>
            <w:r w:rsidR="00AA36F2">
              <w:rPr>
                <w:i/>
              </w:rPr>
              <w:t xml:space="preserve"> </w:t>
            </w:r>
          </w:p>
        </w:tc>
      </w:tr>
    </w:tbl>
    <w:p w:rsidRPr="00B70A01" w:rsidR="00E57317" w:rsidRDefault="00E57317" w14:paraId="051DEBB3" w14:textId="607435FB">
      <w:pPr>
        <w:spacing w:after="160" w:line="259" w:lineRule="auto"/>
        <w:jc w:val="left"/>
        <w:rPr>
          <w:lang w:val="en-GB"/>
        </w:rPr>
      </w:pPr>
    </w:p>
    <w:p w:rsidR="000835E1" w:rsidRDefault="000835E1" w14:paraId="5ABE072C" w14:textId="77777777">
      <w:pPr>
        <w:spacing w:after="160" w:line="259" w:lineRule="auto"/>
        <w:jc w:val="left"/>
      </w:pPr>
      <w:r>
        <w:br w:type="page"/>
      </w:r>
    </w:p>
    <w:p w:rsidRPr="00450AE6" w:rsidR="00450AE6" w:rsidP="00450AE6" w:rsidRDefault="00F260F0" w14:paraId="78455EEB" w14:textId="399D97E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33">
        <w:r w:rsidR="00450AE6">
          <w:rPr>
            <w:b/>
            <w:i/>
            <w:color w:val="0000FF"/>
            <w:sz w:val="28"/>
            <w:u w:val="single"/>
          </w:rPr>
          <w:t>Habitação social na UE – digna, sustentável e acessível</w:t>
        </w:r>
      </w:hyperlink>
    </w:p>
    <w:p w:rsidRPr="00450AE6" w:rsidR="00450AE6" w:rsidP="00450AE6" w:rsidRDefault="00450AE6" w14:paraId="18574719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  <w:lang w:val="en-GB"/>
        </w:rPr>
      </w:pPr>
    </w:p>
    <w:tbl>
      <w:tblPr>
        <w:tblStyle w:val="TableGrid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778"/>
      </w:tblGrid>
      <w:tr w:rsidRPr="00450AE6" w:rsidR="00450AE6" w:rsidTr="00E5101C" w14:paraId="28FDC637" w14:textId="77777777">
        <w:tc>
          <w:tcPr>
            <w:tcW w:w="1701" w:type="dxa"/>
          </w:tcPr>
          <w:p w:rsidRPr="00450AE6" w:rsidR="00450AE6" w:rsidP="00450AE6" w:rsidRDefault="00450AE6" w14:paraId="674F48F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5778" w:type="dxa"/>
          </w:tcPr>
          <w:p w:rsidRPr="00450AE6" w:rsidR="00450AE6" w:rsidP="00450AE6" w:rsidRDefault="00450AE6" w14:paraId="67AE54F6" w14:textId="453A4EC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Thomas Kattnig (AT – Grupo dos Trabalhadores)</w:t>
            </w:r>
          </w:p>
          <w:p w:rsidRPr="00450AE6" w:rsidR="00450AE6" w:rsidP="00450AE6" w:rsidRDefault="00450AE6" w14:paraId="25FE5489" w14:textId="756F222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Rudolf Kolbe (AT – Grupo das Organizações da Sociedade Civil)</w:t>
            </w:r>
          </w:p>
        </w:tc>
      </w:tr>
      <w:tr w:rsidRPr="00450AE6" w:rsidR="00450AE6" w:rsidTr="00E5101C" w14:paraId="55D6B02B" w14:textId="77777777">
        <w:tc>
          <w:tcPr>
            <w:tcW w:w="7479" w:type="dxa"/>
            <w:gridSpan w:val="2"/>
          </w:tcPr>
          <w:p w:rsidRPr="00450AE6" w:rsidR="00450AE6" w:rsidP="00450AE6" w:rsidRDefault="00450AE6" w14:paraId="2AA9F98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16"/>
                <w:szCs w:val="16"/>
              </w:rPr>
            </w:pPr>
          </w:p>
        </w:tc>
      </w:tr>
      <w:tr w:rsidRPr="00450AE6" w:rsidR="00450AE6" w:rsidTr="00E5101C" w14:paraId="1E42B3C4" w14:textId="77777777">
        <w:tc>
          <w:tcPr>
            <w:tcW w:w="1701" w:type="dxa"/>
          </w:tcPr>
          <w:p w:rsidRPr="00450AE6" w:rsidR="00450AE6" w:rsidP="00450AE6" w:rsidRDefault="00450AE6" w14:paraId="283152B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Referências</w:t>
            </w:r>
          </w:p>
        </w:tc>
        <w:tc>
          <w:tcPr>
            <w:tcW w:w="5778" w:type="dxa"/>
          </w:tcPr>
          <w:p w:rsidRPr="00450AE6" w:rsidR="00450AE6" w:rsidP="00450AE6" w:rsidRDefault="00450AE6" w14:paraId="073E077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de iniciativa</w:t>
            </w:r>
          </w:p>
          <w:p w:rsidRPr="00450AE6" w:rsidR="00450AE6" w:rsidP="00450AE6" w:rsidRDefault="00450AE6" w14:paraId="71B094A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EESC-2024-01187-00-00-AC</w:t>
            </w:r>
          </w:p>
        </w:tc>
      </w:tr>
    </w:tbl>
    <w:p w:rsidRPr="00450AE6" w:rsidR="00450AE6" w:rsidP="00450AE6" w:rsidRDefault="00450AE6" w14:paraId="7FF72092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 w:val="18"/>
          <w:szCs w:val="18"/>
          <w:lang w:val="en-GB"/>
        </w:rPr>
      </w:pPr>
    </w:p>
    <w:p w:rsidRPr="00450AE6" w:rsidR="00450AE6" w:rsidP="00450AE6" w:rsidRDefault="00450AE6" w14:paraId="46A96DF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450AE6" w:rsidR="00450AE6" w:rsidP="00450AE6" w:rsidRDefault="00450AE6" w14:paraId="6CED3A9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8"/>
          <w:szCs w:val="18"/>
          <w:lang w:val="en-GB"/>
        </w:rPr>
      </w:pPr>
    </w:p>
    <w:p w:rsidR="00450AE6" w:rsidP="00450AE6" w:rsidRDefault="00450AE6" w14:paraId="63ED3E65" w14:textId="3E042A23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</w:t>
      </w:r>
      <w:r w:rsidR="003A3663">
        <w:t xml:space="preserve"> (CESE)</w:t>
      </w:r>
      <w:r>
        <w:t>:</w:t>
      </w:r>
    </w:p>
    <w:p w:rsidRPr="00450AE6" w:rsidR="00450AE6" w:rsidP="00450AE6" w:rsidRDefault="00450AE6" w14:paraId="55F08739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450AE6" w:rsidR="00450AE6" w:rsidP="00643D0B" w:rsidRDefault="00450AE6" w14:paraId="1F7F81A2" w14:textId="77777777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>
        <w:t>considera que existe uma deficiência do mercado no setor da habitação. Este problema deve ser resolvido através da melhoria das condições-quadro, como os dados, a coordenação, os processos de licenciamento e as normas em matéria de ordenamento do território, bem como do estabelecimento de um direito fundamental à habitação, da disponibilização de financiamento suficiente, da aplicação da abordagem da prioridade à habitação para as pessoas sem abrigo e de uma maior concentração nas necessidades dos jovens e na sustentabilidade;</w:t>
      </w:r>
    </w:p>
    <w:p w:rsidRPr="00450AE6" w:rsidR="00450AE6" w:rsidP="00643D0B" w:rsidRDefault="00450AE6" w14:paraId="799CEEA0" w14:textId="77777777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>
        <w:t>congratula-se com a nomeação de um novo comissário da Habitação, que deve ser apoiado por um grupo de peritos que inclua representantes do CESE e do Comité das Regiões Europeu, e indica que deseja participar nos trabalhos da comissão da habitação, a criar no Parlamento Europeu, através de um observador ou conselheiro que o represente;</w:t>
      </w:r>
    </w:p>
    <w:p w:rsidRPr="00450AE6" w:rsidR="00450AE6" w:rsidP="00643D0B" w:rsidRDefault="00450AE6" w14:paraId="147B7AF8" w14:textId="77777777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textAlignment w:val="baseline"/>
      </w:pPr>
      <w:r>
        <w:t>exorta a Comissão a reconhecer a habitação social como um instrumento essencial e promissor de políticas ativas de habitação. A médio prazo, o direito fundamental a uma habitação digna, acessível e a preços comportáveis para todos deve ser consagrado no direito primário da UE. Importa rejeitar a abordagem atual, segundo a qual a política de habitação se destina exclusivamente aos agregados familiares com rendimentos mais baixos, e adaptar em conformidade a legislação em matéria de auxílios estatais, alinhando-a pelas normas que regulam os serviços de interesse económico geral (SIEG). Além disso, os indicadores relativos à habitação devem ser incluídos nos programas nacionais de reformas e nos Programas de Estabilidade ou de Convergência;</w:t>
      </w:r>
    </w:p>
    <w:p w:rsidRPr="00450AE6" w:rsidR="00450AE6" w:rsidP="00643D0B" w:rsidRDefault="00450AE6" w14:paraId="602945E5" w14:textId="77777777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szCs w:val="20"/>
        </w:rPr>
      </w:pPr>
      <w:r>
        <w:t>congratula-se com o anúncio da futura plataforma pan-europeia de investimento na habitação sustentável e a preços acessíveis. Além disso, considera que os promotores imobiliários sem fins lucrativos e as cooperativas, bem como os órgãos de poder local, devem poder obter taxas de juro de 0% para empréstimos a longo prazo através dessa plataforma ou diretamente junto do Banco Europeu de Investimento;</w:t>
      </w:r>
    </w:p>
    <w:p w:rsidRPr="00450AE6" w:rsidR="00450AE6" w:rsidP="00643D0B" w:rsidRDefault="00450AE6" w14:paraId="2A6B5F2C" w14:textId="77777777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contextualSpacing/>
        <w:textAlignment w:val="baseline"/>
        <w:rPr>
          <w:szCs w:val="20"/>
        </w:rPr>
      </w:pPr>
      <w:r>
        <w:t>insta a Comissão a apoiar os Estados-Membros formulando recomendações aos mesmos, se for caso disso, para preverem um conjunto de instrumentos que travem o aumento descontrolado das rendas, incluindo, por exemplo, limites máximos legais para as rendas, um imposto sobre as habitações residenciais vagas, incentivos fiscais à renovação de habitações residenciais vagas para fins de arrendamento, o aumento da oferta de habitação social e limites ao número de licenças para arrendamento de curta duração);</w:t>
      </w:r>
    </w:p>
    <w:p w:rsidRPr="00450AE6" w:rsidR="00450AE6" w:rsidP="00643D0B" w:rsidRDefault="00450AE6" w14:paraId="742EF3EC" w14:textId="77777777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szCs w:val="20"/>
        </w:rPr>
      </w:pPr>
      <w:r>
        <w:t>apela à elaboração de um plano de ação centrado especificamente na melhoria do acesso dos jovens à habitação acessível.</w:t>
      </w:r>
    </w:p>
    <w:p w:rsidRPr="00450AE6" w:rsidR="00450AE6" w:rsidP="00450AE6" w:rsidRDefault="00450AE6" w14:paraId="485095E0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16"/>
          <w:szCs w:val="16"/>
          <w:lang w:val="en-GB"/>
        </w:rPr>
      </w:pPr>
    </w:p>
    <w:tbl>
      <w:tblPr>
        <w:tblStyle w:val="TableGrid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1"/>
        <w:gridCol w:w="5137"/>
      </w:tblGrid>
      <w:tr w:rsidRPr="00450AE6" w:rsidR="00450AE6" w:rsidTr="00E5101C" w14:paraId="380DCF50" w14:textId="77777777">
        <w:tc>
          <w:tcPr>
            <w:tcW w:w="1951" w:type="dxa"/>
          </w:tcPr>
          <w:p w:rsidRPr="00450AE6" w:rsidR="00450AE6" w:rsidP="00450AE6" w:rsidRDefault="00450AE6" w14:paraId="5692970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137" w:type="dxa"/>
          </w:tcPr>
          <w:p w:rsidRPr="00450AE6" w:rsidR="00450AE6" w:rsidP="00450AE6" w:rsidRDefault="00450AE6" w14:paraId="50B7D907" w14:textId="3FA448E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Agota Bazsik</w:t>
            </w:r>
          </w:p>
        </w:tc>
      </w:tr>
      <w:tr w:rsidRPr="00450AE6" w:rsidR="00450AE6" w:rsidTr="00E5101C" w14:paraId="1FE7CA74" w14:textId="77777777">
        <w:tc>
          <w:tcPr>
            <w:tcW w:w="1951" w:type="dxa"/>
          </w:tcPr>
          <w:p w:rsidRPr="00450AE6" w:rsidR="00450AE6" w:rsidP="00450AE6" w:rsidRDefault="00450AE6" w14:paraId="04D70DE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137" w:type="dxa"/>
          </w:tcPr>
          <w:p w:rsidRPr="00450AE6" w:rsidR="00450AE6" w:rsidP="00450AE6" w:rsidRDefault="00450AE6" w14:paraId="493C0DB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+32 2 546 86 58</w:t>
            </w:r>
          </w:p>
        </w:tc>
      </w:tr>
      <w:tr w:rsidRPr="00450AE6" w:rsidR="00450AE6" w:rsidTr="00E5101C" w14:paraId="22E39DE7" w14:textId="77777777">
        <w:tc>
          <w:tcPr>
            <w:tcW w:w="1951" w:type="dxa"/>
          </w:tcPr>
          <w:p w:rsidRPr="00450AE6" w:rsidR="00450AE6" w:rsidP="00450AE6" w:rsidRDefault="00450AE6" w14:paraId="1A4E7FDC" w14:textId="437D0C4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137" w:type="dxa"/>
          </w:tcPr>
          <w:p w:rsidRPr="00450AE6" w:rsidR="00450AE6" w:rsidP="00450AE6" w:rsidRDefault="00F260F0" w14:paraId="508BEBD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4">
              <w:r w:rsidR="00AA36F2">
                <w:rPr>
                  <w:i/>
                  <w:color w:val="0000FF"/>
                  <w:u w:val="single"/>
                </w:rPr>
                <w:t>Agota.Bazsik@eesc.europa.eu</w:t>
              </w:r>
            </w:hyperlink>
          </w:p>
        </w:tc>
      </w:tr>
    </w:tbl>
    <w:p w:rsidR="00B70A01" w:rsidRDefault="00B70A01" w14:paraId="3B5E845F" w14:textId="16E7EEBA">
      <w:pPr>
        <w:spacing w:after="160" w:line="259" w:lineRule="auto"/>
        <w:jc w:val="left"/>
      </w:pPr>
      <w:r>
        <w:br w:type="page"/>
      </w:r>
    </w:p>
    <w:p w:rsidR="004D7AC0" w:rsidP="006D6D4E" w:rsidRDefault="004D7AC0" w14:paraId="4982DDF3" w14:textId="77777777">
      <w:pPr>
        <w:pStyle w:val="Heading1"/>
        <w:keepNext/>
        <w:keepLines/>
        <w:rPr>
          <w:b/>
        </w:rPr>
      </w:pPr>
      <w:bookmarkStart w:name="_Toc75527083" w:id="18"/>
      <w:bookmarkStart w:name="_Toc184734009" w:id="19"/>
      <w:r>
        <w:rPr>
          <w:b/>
        </w:rPr>
        <w:lastRenderedPageBreak/>
        <w:t>MERCADO ÚNICO, PRODUÇÃO E CONSUMO</w:t>
      </w:r>
      <w:bookmarkEnd w:id="18"/>
      <w:bookmarkEnd w:id="19"/>
    </w:p>
    <w:p w:rsidRPr="006D6D4E" w:rsidR="004D7AC0" w:rsidP="0091409C" w:rsidRDefault="004D7AC0" w14:paraId="4982DE1D" w14:textId="77777777">
      <w:pPr>
        <w:pStyle w:val="ListParagraph"/>
        <w:spacing w:line="240" w:lineRule="auto"/>
        <w:ind w:left="0"/>
        <w:rPr>
          <w:sz w:val="20"/>
          <w:szCs w:val="20"/>
        </w:rPr>
      </w:pPr>
    </w:p>
    <w:p w:rsidRPr="00F6465A" w:rsidR="00F6465A" w:rsidP="00F6465A" w:rsidRDefault="00F260F0" w14:paraId="4C5E9265" w14:textId="332063B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35">
        <w:r w:rsidR="00F6465A">
          <w:rPr>
            <w:b/>
            <w:i/>
            <w:color w:val="0000FF"/>
            <w:sz w:val="28"/>
            <w:u w:val="single"/>
          </w:rPr>
          <w:t>O mercado único e o futuro alargamento da União Europeia</w:t>
        </w:r>
      </w:hyperlink>
    </w:p>
    <w:p w:rsidRPr="00F6465A" w:rsidR="00F6465A" w:rsidP="0091409C" w:rsidRDefault="00F6465A" w14:paraId="63231238" w14:textId="77777777">
      <w:pPr>
        <w:tabs>
          <w:tab w:val="center" w:pos="284"/>
        </w:tabs>
        <w:overflowPunct w:val="0"/>
        <w:autoSpaceDE w:val="0"/>
        <w:autoSpaceDN w:val="0"/>
        <w:adjustRightInd w:val="0"/>
        <w:spacing w:line="240" w:lineRule="auto"/>
        <w:ind w:left="266" w:hanging="266"/>
        <w:textAlignment w:val="baseline"/>
        <w:rPr>
          <w:b/>
          <w:lang w:val="en-GB"/>
        </w:rPr>
      </w:pPr>
    </w:p>
    <w:tbl>
      <w:tblPr>
        <w:tblStyle w:val="TableGrid7"/>
        <w:tblW w:w="518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4"/>
        <w:gridCol w:w="7822"/>
      </w:tblGrid>
      <w:tr w:rsidRPr="00F6465A" w:rsidR="00F6465A" w:rsidTr="00E5101C" w14:paraId="678F7BE3" w14:textId="77777777">
        <w:trPr>
          <w:trHeight w:val="272"/>
        </w:trPr>
        <w:tc>
          <w:tcPr>
            <w:tcW w:w="1056" w:type="pct"/>
          </w:tcPr>
          <w:p w:rsidRPr="00F6465A" w:rsidR="00F6465A" w:rsidP="00F6465A" w:rsidRDefault="00F6465A" w14:paraId="537ECCE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3944" w:type="pct"/>
          </w:tcPr>
          <w:p w:rsidRPr="00F6465A" w:rsidR="00F6465A" w:rsidP="00F6465A" w:rsidRDefault="00F6465A" w14:paraId="42879C99" w14:textId="44FC9A7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jc w:val="left"/>
              <w:textAlignment w:val="baseline"/>
            </w:pPr>
            <w:r>
              <w:t>Stoyan Tchoukanov (BG</w:t>
            </w:r>
            <w:r w:rsidR="00567ED0">
              <w:t xml:space="preserve"> </w:t>
            </w:r>
            <w:r w:rsidR="00567ED0">
              <w:t>–</w:t>
            </w:r>
            <w:r w:rsidR="00567ED0">
              <w:t xml:space="preserve"> </w:t>
            </w:r>
            <w:r>
              <w:t>Grupo das Organizações da Sociedade Civil)</w:t>
            </w:r>
          </w:p>
        </w:tc>
      </w:tr>
      <w:tr w:rsidRPr="00F6465A" w:rsidR="00F6465A" w:rsidTr="0091409C" w14:paraId="7455A650" w14:textId="77777777">
        <w:trPr>
          <w:trHeight w:val="70"/>
        </w:trPr>
        <w:tc>
          <w:tcPr>
            <w:tcW w:w="5000" w:type="pct"/>
            <w:gridSpan w:val="2"/>
          </w:tcPr>
          <w:p w:rsidRPr="00F6465A" w:rsidR="00F6465A" w:rsidP="00F6465A" w:rsidRDefault="00F6465A" w14:paraId="0690994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F6465A" w:rsidR="00F6465A" w:rsidTr="00E5101C" w14:paraId="6A7B8849" w14:textId="77777777">
        <w:trPr>
          <w:trHeight w:val="306"/>
        </w:trPr>
        <w:tc>
          <w:tcPr>
            <w:tcW w:w="1056" w:type="pct"/>
            <w:vMerge w:val="restart"/>
          </w:tcPr>
          <w:p w:rsidRPr="00F6465A" w:rsidR="00F6465A" w:rsidP="00F6465A" w:rsidRDefault="00F6465A" w14:paraId="14DA43A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3944" w:type="pct"/>
          </w:tcPr>
          <w:p w:rsidRPr="00F6465A" w:rsidR="00F6465A" w:rsidP="00F6465A" w:rsidRDefault="00F6465A" w14:paraId="14610EA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de iniciativa</w:t>
            </w:r>
          </w:p>
        </w:tc>
      </w:tr>
      <w:tr w:rsidRPr="00F6465A" w:rsidR="00F6465A" w:rsidTr="00E5101C" w14:paraId="14D3C1DF" w14:textId="77777777">
        <w:trPr>
          <w:trHeight w:val="306"/>
        </w:trPr>
        <w:tc>
          <w:tcPr>
            <w:tcW w:w="1056" w:type="pct"/>
            <w:vMerge/>
          </w:tcPr>
          <w:p w:rsidRPr="00F6465A" w:rsidR="00F6465A" w:rsidP="00F6465A" w:rsidRDefault="00F6465A" w14:paraId="2028492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944" w:type="pct"/>
          </w:tcPr>
          <w:p w:rsidRPr="00F6465A" w:rsidR="00F6465A" w:rsidP="00F6465A" w:rsidRDefault="00F6465A" w14:paraId="448A9DC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EESC-2024-02187-00-00-AC</w:t>
            </w:r>
          </w:p>
        </w:tc>
      </w:tr>
      <w:tr w:rsidRPr="00F6465A" w:rsidR="00F6465A" w:rsidTr="00285397" w14:paraId="378597BC" w14:textId="77777777">
        <w:trPr>
          <w:trHeight w:val="70"/>
        </w:trPr>
        <w:tc>
          <w:tcPr>
            <w:tcW w:w="1056" w:type="pct"/>
            <w:vMerge/>
          </w:tcPr>
          <w:p w:rsidRPr="00F6465A" w:rsidR="00F6465A" w:rsidP="00F6465A" w:rsidRDefault="00F6465A" w14:paraId="1AC1550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944" w:type="pct"/>
          </w:tcPr>
          <w:p w:rsidRPr="00F6465A" w:rsidR="00F6465A" w:rsidP="00F6465A" w:rsidRDefault="00F6465A" w14:paraId="05E82FF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F6465A" w:rsidR="00F6465A" w:rsidP="00F6465A" w:rsidRDefault="00F6465A" w14:paraId="1B1AE23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F6465A" w:rsidR="00F6465A" w:rsidP="00285397" w:rsidRDefault="00F6465A" w14:paraId="71640B93" w14:textId="77777777">
      <w:pPr>
        <w:tabs>
          <w:tab w:val="center" w:pos="284"/>
        </w:tabs>
        <w:overflowPunct w:val="0"/>
        <w:autoSpaceDE w:val="0"/>
        <w:autoSpaceDN w:val="0"/>
        <w:adjustRightInd w:val="0"/>
        <w:spacing w:line="192" w:lineRule="auto"/>
        <w:ind w:left="266" w:hanging="266"/>
        <w:textAlignment w:val="baseline"/>
        <w:rPr>
          <w:b/>
          <w:lang w:val="en-GB"/>
        </w:rPr>
      </w:pPr>
    </w:p>
    <w:p w:rsidRPr="00F6465A" w:rsidR="00F6465A" w:rsidP="00F6465A" w:rsidRDefault="00F6465A" w14:paraId="261CF2D3" w14:textId="4DADE5F1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</w:t>
      </w:r>
      <w:r w:rsidR="0091409C">
        <w:t xml:space="preserve"> (CESE)</w:t>
      </w:r>
      <w:r>
        <w:t>:</w:t>
      </w:r>
    </w:p>
    <w:p w:rsidRPr="00F6465A" w:rsidR="00F6465A" w:rsidP="00285397" w:rsidRDefault="00F6465A" w14:paraId="3F9C5C33" w14:textId="77777777">
      <w:pPr>
        <w:overflowPunct w:val="0"/>
        <w:autoSpaceDE w:val="0"/>
        <w:autoSpaceDN w:val="0"/>
        <w:adjustRightInd w:val="0"/>
        <w:spacing w:line="192" w:lineRule="auto"/>
        <w:ind w:left="266" w:hanging="266"/>
        <w:textAlignment w:val="baseline"/>
        <w:rPr>
          <w:bCs/>
          <w:iCs/>
          <w:lang w:val="en-GB"/>
        </w:rPr>
      </w:pPr>
    </w:p>
    <w:p w:rsidRPr="00F6465A" w:rsidR="00F6465A" w:rsidP="00643D0B" w:rsidRDefault="00F6465A" w14:paraId="6C89D84E" w14:textId="77777777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>
        <w:t>considera que o alargamento da UE é uma história de sucesso e congratula-se vivamente com a dinâmica em curso na sequência da Declaração de Granada do Conselho. Não são apenas os países candidatos que têm de se preparar, a UE também tem de realizar as alterações regulamentares necessárias antes da sua adesão;</w:t>
      </w:r>
    </w:p>
    <w:p w:rsidRPr="00F6465A" w:rsidR="00F6465A" w:rsidP="00643D0B" w:rsidRDefault="00F6465A" w14:paraId="7F3C28FC" w14:textId="77777777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>
        <w:t>lamenta que a atual fragmentação do mercado financeiro europeu conduza a saídas de capitais e represente uma ameaça para a competitividade europeia a nível mundial, bem como um dos grandes obstáculos para o futuro processo de financiamento do alargamento. Os países candidatos representam um potencial significativo em termos de investimentos, de oportunidades económicas e de emprego. A União Europeia da Poupança e dos Investimentos proposta mobilizaria capital privado, reforçaria a competitividade da Europa, estimularia o crescimento e aumentaria a capacidade de absorção. O alargamento proporciona também um maior acesso a matérias-primas críticas e, por conseguinte, contribui para uma Europa mais resiliente e soberana;</w:t>
      </w:r>
    </w:p>
    <w:p w:rsidRPr="00F6465A" w:rsidR="00F6465A" w:rsidP="00643D0B" w:rsidRDefault="00F6465A" w14:paraId="41FD471B" w14:textId="77777777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>
        <w:t xml:space="preserve">observa que o anterior alargamento criou uma dinâmica de vencedores e perdedores devido a um desequilíbrio das oportunidades económicas. Insta, por conseguinte, a Comissão Europeia e os países candidatos a analisar e gerir os impactos do alargamento, a fim de evitar recriar essa mesma dinâmica, prestando especial atenção às PME, tanto na UE como nos países candidatos, no sentido de repartir adequadamente os benefícios; </w:t>
      </w:r>
    </w:p>
    <w:p w:rsidRPr="00F6465A" w:rsidR="00F6465A" w:rsidP="00643D0B" w:rsidRDefault="00F6465A" w14:paraId="2C9D9E84" w14:textId="77777777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>
        <w:t>apela para a realização de um processo de consulta inclusivo, destinado a compensar devidamente os potenciais custos sociais, uma vez que o processo de alargamento não se limita à harmonização das políticas;</w:t>
      </w:r>
    </w:p>
    <w:p w:rsidRPr="00F6465A" w:rsidR="00F6465A" w:rsidP="00643D0B" w:rsidRDefault="00F6465A" w14:paraId="35D70146" w14:textId="77777777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Cs/>
          <w:iCs/>
        </w:rPr>
      </w:pPr>
      <w:r>
        <w:t>salienta que a UE necessita de medidas rápidas e específicas para eliminar obstáculos significativos e libertar todo o potencial dos setores financeiro, das telecomunicações e da energia e recomenda que os países do alargamento se alinhem pelo quadro da UE relativo à análise dos investimentos diretos estrangeiros;</w:t>
      </w:r>
    </w:p>
    <w:p w:rsidRPr="00F6465A" w:rsidR="00F6465A" w:rsidP="00643D0B" w:rsidRDefault="00F6465A" w14:paraId="1458B3AC" w14:textId="77777777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textAlignment w:val="baseline"/>
      </w:pPr>
      <w:r>
        <w:t>considera que o alargamento deve estar no centro dos debates sobre o próximo quadro financeiro plurianual (QFP);</w:t>
      </w:r>
    </w:p>
    <w:p w:rsidRPr="00F6465A" w:rsidR="00F6465A" w:rsidP="00643D0B" w:rsidRDefault="00F6465A" w14:paraId="29F18DC6" w14:textId="77777777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Theme="minorHAnsi" w:hAnsiTheme="minorHAnsi"/>
          <w:szCs w:val="20"/>
        </w:rPr>
      </w:pPr>
      <w:r>
        <w:t>considera que é necessário encontrar uma nova dinâmica para o processo de alargamento, que tenha em conta as atuais circunstâncias geopolíticas excecionais e os desafios crescentes, como as alterações climáticas e a transição energética e ambiental;</w:t>
      </w:r>
    </w:p>
    <w:p w:rsidR="00285397" w:rsidP="00285397" w:rsidRDefault="00F6465A" w14:paraId="18643022" w14:textId="1A57AB6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szCs w:val="20"/>
        </w:rPr>
      </w:pPr>
      <w:r>
        <w:t>recomenda a participação da sociedade civil no processo de alargamento e considera que o alargamento deve constituir uma das soluções europeias para os desafios mundiais.</w:t>
      </w:r>
    </w:p>
    <w:p w:rsidRPr="00285397" w:rsidR="00285397" w:rsidP="00285397" w:rsidRDefault="00285397" w14:paraId="30567E1C" w14:textId="77777777">
      <w:pPr>
        <w:widowControl w:val="0"/>
        <w:overflowPunct w:val="0"/>
        <w:autoSpaceDE w:val="0"/>
        <w:autoSpaceDN w:val="0"/>
        <w:adjustRightInd w:val="0"/>
        <w:spacing w:line="192" w:lineRule="auto"/>
        <w:ind w:left="425"/>
        <w:textAlignment w:val="baseline"/>
        <w:rPr>
          <w:szCs w:val="20"/>
        </w:rPr>
      </w:pPr>
    </w:p>
    <w:tbl>
      <w:tblPr>
        <w:tblStyle w:val="TableGrid7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4"/>
        <w:gridCol w:w="4636"/>
      </w:tblGrid>
      <w:tr w:rsidRPr="00F6465A" w:rsidR="00F6465A" w:rsidTr="00863A8F" w14:paraId="0627B1C1" w14:textId="77777777">
        <w:tc>
          <w:tcPr>
            <w:tcW w:w="1556" w:type="pct"/>
          </w:tcPr>
          <w:p w:rsidRPr="00F6465A" w:rsidR="00F6465A" w:rsidP="00F6465A" w:rsidRDefault="00F6465A" w14:paraId="5B60831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444" w:type="pct"/>
          </w:tcPr>
          <w:p w:rsidRPr="00F6465A" w:rsidR="00F6465A" w:rsidP="00F6465A" w:rsidRDefault="00F6465A" w14:paraId="20916DA2" w14:textId="5D42882D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Annalisa Tessarolo </w:t>
            </w:r>
          </w:p>
        </w:tc>
      </w:tr>
      <w:tr w:rsidRPr="00F6465A" w:rsidR="00F6465A" w:rsidTr="00863A8F" w14:paraId="794FEE90" w14:textId="77777777">
        <w:tc>
          <w:tcPr>
            <w:tcW w:w="1556" w:type="pct"/>
          </w:tcPr>
          <w:p w:rsidRPr="00F6465A" w:rsidR="00F6465A" w:rsidP="00F6465A" w:rsidRDefault="00F6465A" w14:paraId="3BDADAA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F6465A" w:rsidR="00F6465A" w:rsidP="00F6465A" w:rsidRDefault="00F6465A" w14:paraId="56042D6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+32 2 546 97 32</w:t>
            </w:r>
          </w:p>
        </w:tc>
      </w:tr>
      <w:tr w:rsidRPr="00F6465A" w:rsidR="00F6465A" w:rsidTr="00863A8F" w14:paraId="1AF44A08" w14:textId="77777777">
        <w:tc>
          <w:tcPr>
            <w:tcW w:w="1556" w:type="pct"/>
          </w:tcPr>
          <w:p w:rsidRPr="00F6465A" w:rsidR="00F6465A" w:rsidP="00F6465A" w:rsidRDefault="00B2002E" w14:paraId="0A7FF217" w14:textId="7C9D76C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Pr="00F6465A" w:rsidR="00F6465A" w:rsidP="00F6465A" w:rsidRDefault="00F260F0" w14:paraId="697725D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6">
              <w:r w:rsidR="00AA36F2">
                <w:rPr>
                  <w:i/>
                  <w:color w:val="0000FF"/>
                  <w:u w:val="single"/>
                </w:rPr>
                <w:t>Annalisa.Tessarolo@eesc.europa.eu</w:t>
              </w:r>
            </w:hyperlink>
            <w:r w:rsidR="00AA36F2">
              <w:rPr>
                <w:i/>
              </w:rPr>
              <w:t xml:space="preserve"> </w:t>
            </w:r>
          </w:p>
        </w:tc>
      </w:tr>
    </w:tbl>
    <w:p w:rsidRPr="001A6359" w:rsidR="001A6359" w:rsidP="00643D0B" w:rsidRDefault="00F260F0" w14:paraId="4B1A00B9" w14:textId="6E7AF4CD">
      <w:pPr>
        <w:pageBreakBefore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b/>
          <w:bCs/>
          <w:i/>
          <w:iCs/>
          <w:sz w:val="28"/>
          <w:szCs w:val="28"/>
        </w:rPr>
      </w:pPr>
      <w:hyperlink w:history="1" r:id="rId37">
        <w:r w:rsidR="006766F1">
          <w:rPr>
            <w:b/>
            <w:i/>
            <w:color w:val="0000FF"/>
            <w:sz w:val="28"/>
            <w:u w:val="single"/>
          </w:rPr>
          <w:t>O custo da não adesão ao espaço Schengen para o mercado único e impacto na Bulgária e na Roménia</w:t>
        </w:r>
      </w:hyperlink>
    </w:p>
    <w:p w:rsidRPr="001A6359" w:rsidR="001A6359" w:rsidP="001A6359" w:rsidRDefault="001A6359" w14:paraId="3F9A8350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1A6359" w:rsidR="001A6359" w:rsidTr="00863A8F" w14:paraId="563F8401" w14:textId="77777777">
        <w:tc>
          <w:tcPr>
            <w:tcW w:w="1701" w:type="dxa"/>
          </w:tcPr>
          <w:p w:rsidRPr="001A6359" w:rsidR="001A6359" w:rsidP="001A6359" w:rsidRDefault="001A6359" w14:paraId="60F3004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Relatora</w:t>
            </w:r>
          </w:p>
        </w:tc>
        <w:tc>
          <w:tcPr>
            <w:tcW w:w="5387" w:type="dxa"/>
          </w:tcPr>
          <w:p w:rsidRPr="001A6359" w:rsidR="001A6359" w:rsidP="001A6359" w:rsidRDefault="001A6359" w14:paraId="655DB040" w14:textId="7E0E5BD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Mariya Mincheva (BG – Grupo dos Empregadores)</w:t>
            </w:r>
          </w:p>
        </w:tc>
      </w:tr>
      <w:tr w:rsidRPr="001A6359" w:rsidR="001A6359" w:rsidTr="00863A8F" w14:paraId="779B83FA" w14:textId="77777777">
        <w:tc>
          <w:tcPr>
            <w:tcW w:w="7088" w:type="dxa"/>
            <w:gridSpan w:val="2"/>
          </w:tcPr>
          <w:p w:rsidRPr="001A6359" w:rsidR="001A6359" w:rsidP="001A6359" w:rsidRDefault="001A6359" w14:paraId="5DB804C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1A6359" w:rsidR="001A6359" w:rsidTr="00863A8F" w14:paraId="442BCF66" w14:textId="77777777">
        <w:tc>
          <w:tcPr>
            <w:tcW w:w="1701" w:type="dxa"/>
            <w:vMerge w:val="restart"/>
          </w:tcPr>
          <w:p w:rsidRPr="001A6359" w:rsidR="001A6359" w:rsidP="001A6359" w:rsidRDefault="001A6359" w14:paraId="2423178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5387" w:type="dxa"/>
          </w:tcPr>
          <w:p w:rsidRPr="001A6359" w:rsidR="001A6359" w:rsidP="001A6359" w:rsidRDefault="001A6359" w14:paraId="714ADD9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de iniciativa</w:t>
            </w:r>
          </w:p>
          <w:p w:rsidRPr="001A6359" w:rsidR="001A6359" w:rsidP="001A6359" w:rsidRDefault="001A6359" w14:paraId="60234570" w14:textId="07E68BF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EESC-2024-01449-00-00-AC</w:t>
            </w:r>
          </w:p>
        </w:tc>
      </w:tr>
      <w:tr w:rsidRPr="001A6359" w:rsidR="001A6359" w:rsidTr="00863A8F" w14:paraId="6672C0AA" w14:textId="77777777">
        <w:tc>
          <w:tcPr>
            <w:tcW w:w="1701" w:type="dxa"/>
            <w:vMerge/>
          </w:tcPr>
          <w:p w:rsidRPr="001A6359" w:rsidR="001A6359" w:rsidP="001A6359" w:rsidRDefault="001A6359" w14:paraId="5FC0639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5387" w:type="dxa"/>
          </w:tcPr>
          <w:p w:rsidRPr="001A6359" w:rsidR="001A6359" w:rsidP="001A6359" w:rsidRDefault="001A6359" w14:paraId="72BA0C3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1A6359" w:rsidR="001A6359" w:rsidP="001A6359" w:rsidRDefault="001A6359" w14:paraId="093F79E4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1A6359" w:rsidR="001A6359" w:rsidP="001A6359" w:rsidRDefault="001A6359" w14:paraId="6333D7D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1A6359" w:rsidR="001A6359" w:rsidP="001A6359" w:rsidRDefault="001A6359" w14:paraId="56ED811E" w14:textId="7E1E425C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</w:t>
      </w:r>
      <w:r w:rsidR="009B0845">
        <w:t xml:space="preserve"> (CESE)</w:t>
      </w:r>
      <w:r>
        <w:t>:</w:t>
      </w:r>
    </w:p>
    <w:p w:rsidRPr="001A6359" w:rsidR="001A6359" w:rsidP="001A6359" w:rsidRDefault="001A6359" w14:paraId="707F4672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1A6359" w:rsidR="001A6359" w:rsidP="00643D0B" w:rsidRDefault="001A6359" w14:paraId="5DBE687E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insta o Conselho a definir já em 2024 uma data para a supressão dos controlos nas fronteiras terrestres entre a Bulgária e a Roménia e os outros Estados-Membros pertencentes ao espaço Schengen. Exorta todas as partes interessadas a colaborarem para alcançar esse objetivo, assegurando que todos os cidadãos da União Europeia (UE) podem beneficiar, em pé de igualdade, do espaço Schengen;</w:t>
      </w:r>
    </w:p>
    <w:p w:rsidRPr="001A6359" w:rsidR="001A6359" w:rsidP="00643D0B" w:rsidRDefault="001A6359" w14:paraId="6CBB84F5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sublinha que o Acordo de Schengen é essencial para a livre circulação de pessoas, bens, serviços e capitais na UE e a competitividade da UE tornou-se uma prioridade política premente, tal como salientado nos recentes relatórios de Enrico Letta e Mario Draghi;</w:t>
      </w:r>
    </w:p>
    <w:p w:rsidRPr="001A6359" w:rsidR="001A6359" w:rsidP="00643D0B" w:rsidRDefault="001A6359" w14:paraId="70E8AD60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considera que, não obstante os seus progressos significativos, o mercado único europeu continua a ser um projeto em curso. Quaisquer limitações à liberdade de circulação no mercado único têm efeitos adversos na competitividade e no crescimento económico da UE, dificultando a plena realização da economia social de mercado, conforme previsto nos Tratados;</w:t>
      </w:r>
    </w:p>
    <w:p w:rsidRPr="001A6359" w:rsidR="001A6359" w:rsidP="00643D0B" w:rsidRDefault="001A6359" w14:paraId="29503E2D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considera que a Comissão Europeia deve fornecer regularmente dados fiáveis sobre os efeitos económicos e sociais diretamente relacionados com a introdução de controlos fronteiriços no espaço Schengen, incluindo no que respeita à competitividade;</w:t>
      </w:r>
    </w:p>
    <w:p w:rsidRPr="001A6359" w:rsidR="001A6359" w:rsidP="00643D0B" w:rsidRDefault="001A6359" w14:paraId="066E1965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assinala que, segundo várias estimativas, as empresas que operam na Bulgária e na Roménia pagam anualmente milhares de milhões de euros devido aos encargos adicionais e aos atrasos. Todos estes custos diretos são inevitavelmente repercutidos nos consumidores e têm impacto na saúde física e mental dos trabalhadores;</w:t>
      </w:r>
    </w:p>
    <w:p w:rsidRPr="007C7DDB" w:rsidR="001A6359" w:rsidP="00643D0B" w:rsidRDefault="001A6359" w14:paraId="12C93790" w14:textId="5F2EA09E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left"/>
        <w:textAlignment w:val="baseline"/>
        <w:rPr>
          <w:bCs/>
          <w:iCs/>
        </w:rPr>
      </w:pPr>
      <w:r>
        <w:t>sublinha que os controlos nas fronteiras terrestres têm um impacto ambiental evidente devido às emissões de CO</w:t>
      </w:r>
      <w:r>
        <w:rPr>
          <w:vertAlign w:val="subscript"/>
        </w:rPr>
        <w:t>2</w:t>
      </w:r>
      <w:r>
        <w:t xml:space="preserve"> dos veículos que aguardam a passagem da fronteira, além de prejudicarem o turismo e impedirem a livre circulação dos trabalhadores. A incerteza e as ineficiências associadas aos controlos nas fronteiras terrestres dissuadem o investimento direto estrangeiro e prejudicam o clima de investimento;</w:t>
      </w:r>
    </w:p>
    <w:p w:rsidRPr="001A6359" w:rsidR="001A6359" w:rsidP="00643D0B" w:rsidRDefault="001A6359" w14:paraId="642A6C45" w14:textId="77777777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salienta que a não adesão da Bulgária e da Roménia ao espaço Schengen tem um preço político. A adesão ao espaço Schengen não deve ser utilizada como uma forma de condicionalidade não formal posterior à adesão à UE, uma vez que esta abordagem gera desconfiança nas instituições europeias e alimenta sentimentos eurocéticos.</w:t>
      </w:r>
    </w:p>
    <w:p w:rsidRPr="001A6359" w:rsidR="001A6359" w:rsidP="001A6359" w:rsidRDefault="001A6359" w14:paraId="4A886D6E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lang w:val="en-GB"/>
        </w:rPr>
      </w:pPr>
    </w:p>
    <w:tbl>
      <w:tblPr>
        <w:tblStyle w:val="TableGrid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1"/>
        <w:gridCol w:w="5137"/>
      </w:tblGrid>
      <w:tr w:rsidRPr="001A6359" w:rsidR="001A6359" w:rsidTr="0010452B" w14:paraId="1A3ACD8E" w14:textId="77777777">
        <w:tc>
          <w:tcPr>
            <w:tcW w:w="1951" w:type="dxa"/>
          </w:tcPr>
          <w:p w:rsidRPr="001A6359" w:rsidR="001A6359" w:rsidP="001A6359" w:rsidRDefault="001A6359" w14:paraId="6EDAF10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137" w:type="dxa"/>
          </w:tcPr>
          <w:p w:rsidRPr="001A6359" w:rsidR="001A6359" w:rsidP="001A6359" w:rsidRDefault="001A6359" w14:paraId="605E3C4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Annalisa Tessarolo</w:t>
            </w:r>
          </w:p>
        </w:tc>
      </w:tr>
      <w:tr w:rsidRPr="001A6359" w:rsidR="001A6359" w:rsidTr="0010452B" w14:paraId="1DBB6BFC" w14:textId="77777777">
        <w:tc>
          <w:tcPr>
            <w:tcW w:w="1951" w:type="dxa"/>
          </w:tcPr>
          <w:p w:rsidRPr="001A6359" w:rsidR="001A6359" w:rsidP="001A6359" w:rsidRDefault="001A6359" w14:paraId="5CEC73B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137" w:type="dxa"/>
          </w:tcPr>
          <w:p w:rsidRPr="001A6359" w:rsidR="001A6359" w:rsidP="001A6359" w:rsidRDefault="001A6359" w14:paraId="761EFC2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+32 2 546 97 32</w:t>
            </w:r>
          </w:p>
        </w:tc>
      </w:tr>
      <w:tr w:rsidRPr="001A6359" w:rsidR="001A6359" w:rsidTr="0010452B" w14:paraId="021F9D0A" w14:textId="77777777">
        <w:tc>
          <w:tcPr>
            <w:tcW w:w="1951" w:type="dxa"/>
          </w:tcPr>
          <w:p w:rsidRPr="001A6359" w:rsidR="001A6359" w:rsidP="001A6359" w:rsidRDefault="00063699" w14:paraId="3A2A6EE6" w14:textId="1AD4BBC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137" w:type="dxa"/>
          </w:tcPr>
          <w:p w:rsidRPr="001A6359" w:rsidR="001A6359" w:rsidP="001A6359" w:rsidRDefault="00F260F0" w14:paraId="08ED4AE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8">
              <w:r w:rsidR="00AA36F2">
                <w:rPr>
                  <w:i/>
                  <w:color w:val="0000FF"/>
                  <w:u w:val="single"/>
                </w:rPr>
                <w:t>Annalisa.Tessarolo@eesc.europa.eu</w:t>
              </w:r>
            </w:hyperlink>
          </w:p>
          <w:p w:rsidRPr="001A6359" w:rsidR="001A6359" w:rsidP="001A6359" w:rsidRDefault="001A6359" w14:paraId="125FD94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</w:p>
        </w:tc>
      </w:tr>
    </w:tbl>
    <w:p w:rsidR="003E4C29" w:rsidRDefault="003E4C29" w14:paraId="39B04A94" w14:textId="77777777">
      <w:pPr>
        <w:spacing w:after="160" w:line="259" w:lineRule="auto"/>
        <w:jc w:val="left"/>
      </w:pPr>
      <w:r>
        <w:br w:type="page"/>
      </w:r>
    </w:p>
    <w:p w:rsidR="004D7AC0" w:rsidP="004D7AC0" w:rsidRDefault="004D7AC0" w14:paraId="4982DE1F" w14:textId="77777777">
      <w:pPr>
        <w:pStyle w:val="Heading1"/>
        <w:rPr>
          <w:b/>
        </w:rPr>
      </w:pPr>
      <w:bookmarkStart w:name="_Toc70322234" w:id="20"/>
      <w:bookmarkStart w:name="_Toc75527084" w:id="21"/>
      <w:bookmarkStart w:name="_Toc184734010" w:id="22"/>
      <w:r>
        <w:rPr>
          <w:b/>
        </w:rPr>
        <w:lastRenderedPageBreak/>
        <w:t>AGRICULTURA, DESENVOLVIMENTO RURAL E AMBIENTE</w:t>
      </w:r>
      <w:bookmarkEnd w:id="20"/>
      <w:bookmarkEnd w:id="21"/>
      <w:bookmarkEnd w:id="22"/>
    </w:p>
    <w:p w:rsidR="00F03EB0" w:rsidRDefault="00F03EB0" w14:paraId="76EDAB9B" w14:textId="6E6576A7">
      <w:pPr>
        <w:spacing w:after="160" w:line="259" w:lineRule="auto"/>
        <w:jc w:val="left"/>
      </w:pPr>
    </w:p>
    <w:p w:rsidRPr="002A13FC" w:rsidR="002A13FC" w:rsidP="0021254C" w:rsidRDefault="00F260F0" w14:paraId="3F90E886" w14:textId="6DE884A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b/>
          <w:color w:val="0000FF"/>
          <w:u w:val="single"/>
        </w:rPr>
      </w:pPr>
      <w:hyperlink w:history="1" r:id="rId39">
        <w:r w:rsidR="00AA36F2">
          <w:rPr>
            <w:b/>
            <w:i/>
            <w:color w:val="0000FF"/>
            <w:sz w:val="28"/>
            <w:u w:val="single"/>
          </w:rPr>
          <w:t>Alteração – Materiais florestais de reprodução da categoria «material testado», sua rotulagem e nomes das autoridades responsáveis pela aprovação e controlo da produção</w:t>
        </w:r>
      </w:hyperlink>
    </w:p>
    <w:p w:rsidRPr="002A13FC" w:rsidR="002A13FC" w:rsidP="002A13FC" w:rsidRDefault="002A13FC" w14:paraId="353526EF" w14:textId="77777777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lang w:val="en-GB"/>
        </w:rPr>
      </w:pPr>
    </w:p>
    <w:tbl>
      <w:tblPr>
        <w:tblStyle w:val="TableGrid9"/>
        <w:tblW w:w="343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73"/>
        <w:gridCol w:w="5008"/>
      </w:tblGrid>
      <w:tr w:rsidRPr="00CE31B7" w:rsidR="002A13FC" w:rsidTr="00863A8F" w14:paraId="706D0A05" w14:textId="77777777">
        <w:tc>
          <w:tcPr>
            <w:tcW w:w="1195" w:type="pct"/>
            <w:vMerge w:val="restart"/>
          </w:tcPr>
          <w:p w:rsidRPr="002A13FC" w:rsidR="002A13FC" w:rsidP="002A13FC" w:rsidRDefault="002A13FC" w14:paraId="532378E3" w14:textId="1DC8FF4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3805" w:type="pct"/>
          </w:tcPr>
          <w:p w:rsidRPr="00643D0B" w:rsidR="00CE31B7" w:rsidP="002A13FC" w:rsidRDefault="00CE31B7" w14:paraId="7B23CF57" w14:textId="68FE005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da Categoria C</w:t>
            </w:r>
          </w:p>
          <w:p w:rsidRPr="00643D0B" w:rsidR="002A13FC" w:rsidP="002A13FC" w:rsidRDefault="002A13FC" w14:paraId="12E1830B" w14:textId="6DC35F1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COM(2024) 517 final</w:t>
            </w:r>
          </w:p>
        </w:tc>
      </w:tr>
      <w:tr w:rsidRPr="002A13FC" w:rsidR="002A13FC" w:rsidTr="00863A8F" w14:paraId="68912AFA" w14:textId="77777777">
        <w:tc>
          <w:tcPr>
            <w:tcW w:w="1195" w:type="pct"/>
            <w:vMerge/>
          </w:tcPr>
          <w:p w:rsidRPr="00643D0B" w:rsidR="002A13FC" w:rsidP="002A13FC" w:rsidRDefault="002A13FC" w14:paraId="2226578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805" w:type="pct"/>
          </w:tcPr>
          <w:p w:rsidRPr="002A13FC" w:rsidR="002A13FC" w:rsidP="002A13FC" w:rsidRDefault="002A13FC" w14:paraId="33F8BDA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EESC-2024-04230-00-00-AC</w:t>
            </w:r>
          </w:p>
        </w:tc>
      </w:tr>
    </w:tbl>
    <w:p w:rsidR="00A72D4B" w:rsidP="00EC0803" w:rsidRDefault="00A72D4B" w14:paraId="25AAE0A9" w14:textId="77777777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Pr="00EC0803" w:rsidR="002A13FC" w:rsidP="00EC0803" w:rsidRDefault="002A13FC" w14:paraId="71E76289" w14:textId="393E4A08">
      <w:pPr>
        <w:widowControl w:val="0"/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CESE considera que o conteúdo da proposta é satisfatório e não suscita quaisquer observações.</w:t>
      </w:r>
    </w:p>
    <w:p w:rsidRPr="002A13FC" w:rsidR="00F10163" w:rsidP="002A13FC" w:rsidRDefault="00F10163" w14:paraId="5BCEFFA1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9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9"/>
        <w:gridCol w:w="4921"/>
      </w:tblGrid>
      <w:tr w:rsidRPr="002A13FC" w:rsidR="002A13FC" w:rsidTr="00F10163" w14:paraId="72F37C45" w14:textId="77777777">
        <w:tc>
          <w:tcPr>
            <w:tcW w:w="1344" w:type="pct"/>
          </w:tcPr>
          <w:p w:rsidRPr="002A13FC" w:rsidR="002A13FC" w:rsidP="00643D0B" w:rsidRDefault="002A13FC" w14:paraId="54BC102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656" w:type="pct"/>
          </w:tcPr>
          <w:p w:rsidRPr="002A13FC" w:rsidR="002A13FC" w:rsidP="00643D0B" w:rsidRDefault="002A13FC" w14:paraId="4DC3FDF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Nicolas Stenger</w:t>
            </w:r>
          </w:p>
        </w:tc>
      </w:tr>
      <w:tr w:rsidRPr="002A13FC" w:rsidR="002A13FC" w:rsidTr="00F10163" w14:paraId="0049C80A" w14:textId="77777777">
        <w:tc>
          <w:tcPr>
            <w:tcW w:w="1344" w:type="pct"/>
          </w:tcPr>
          <w:p w:rsidRPr="002A13FC" w:rsidR="002A13FC" w:rsidP="00643D0B" w:rsidRDefault="002A13FC" w14:paraId="01F3471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656" w:type="pct"/>
          </w:tcPr>
          <w:p w:rsidRPr="002A13FC" w:rsidR="002A13FC" w:rsidP="00643D0B" w:rsidRDefault="002A13FC" w14:paraId="6CFB507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+32 2 546 81 52</w:t>
            </w:r>
          </w:p>
        </w:tc>
      </w:tr>
      <w:tr w:rsidRPr="002A13FC" w:rsidR="002A13FC" w:rsidTr="00F10163" w14:paraId="43A18F24" w14:textId="77777777">
        <w:tc>
          <w:tcPr>
            <w:tcW w:w="1344" w:type="pct"/>
          </w:tcPr>
          <w:p w:rsidRPr="002A13FC" w:rsidR="002A13FC" w:rsidP="00643D0B" w:rsidRDefault="002A13FC" w14:paraId="298BC8A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656" w:type="pct"/>
          </w:tcPr>
          <w:p w:rsidRPr="002A13FC" w:rsidR="002A13FC" w:rsidP="00643D0B" w:rsidRDefault="00F260F0" w14:paraId="729E72A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hyperlink w:history="1" r:id="rId40">
              <w:r w:rsidR="002A13FC">
                <w:rPr>
                  <w:i/>
                  <w:color w:val="0000FF"/>
                  <w:u w:val="single"/>
                </w:rPr>
                <w:t>Nicolas.Stenger@eesc.europa.eu</w:t>
              </w:r>
            </w:hyperlink>
          </w:p>
        </w:tc>
      </w:tr>
    </w:tbl>
    <w:p w:rsidR="00061C9F" w:rsidRDefault="00061C9F" w14:paraId="4F6C2D4F" w14:textId="77777777">
      <w:pPr>
        <w:spacing w:after="160" w:line="259" w:lineRule="auto"/>
        <w:jc w:val="left"/>
      </w:pPr>
    </w:p>
    <w:p w:rsidR="00061C9F" w:rsidRDefault="00061C9F" w14:paraId="6C8F4034" w14:textId="77777777">
      <w:pPr>
        <w:spacing w:after="160" w:line="259" w:lineRule="auto"/>
        <w:jc w:val="left"/>
      </w:pPr>
      <w:r>
        <w:br w:type="page"/>
      </w:r>
    </w:p>
    <w:p w:rsidRPr="00643D0B" w:rsidR="00395E32" w:rsidP="004B5D3D" w:rsidRDefault="00F260F0" w14:paraId="62C3FE5B" w14:textId="41203F2C">
      <w:pPr>
        <w:widowControl w:val="0"/>
        <w:numPr>
          <w:ilvl w:val="0"/>
          <w:numId w:val="2"/>
        </w:numPr>
        <w:ind w:hanging="851"/>
        <w:rPr>
          <w:b/>
          <w:bCs/>
          <w:i/>
          <w:iCs/>
          <w:sz w:val="28"/>
          <w:szCs w:val="28"/>
        </w:rPr>
      </w:pPr>
      <w:hyperlink w:history="1" r:id="rId41">
        <w:r w:rsidR="00AA36F2">
          <w:rPr>
            <w:b/>
            <w:i/>
            <w:color w:val="0000FF"/>
            <w:sz w:val="28"/>
            <w:u w:val="single"/>
          </w:rPr>
          <w:t>Alteração do FEADER para a prestação de assistência adicional aos Estados-Membros afetados por catástrofes naturais</w:t>
        </w:r>
      </w:hyperlink>
    </w:p>
    <w:p w:rsidRPr="00395E32" w:rsidR="004B5D3D" w:rsidP="00643D0B" w:rsidRDefault="004B5D3D" w14:paraId="126B4C34" w14:textId="77777777">
      <w:pPr>
        <w:widowControl w:val="0"/>
        <w:ind w:left="568"/>
        <w:rPr>
          <w:b/>
          <w:bCs/>
          <w:i/>
          <w:iCs/>
          <w:sz w:val="28"/>
          <w:szCs w:val="28"/>
        </w:rPr>
      </w:pPr>
    </w:p>
    <w:p w:rsidRPr="00395E32" w:rsidR="00395E32" w:rsidP="00395E32" w:rsidRDefault="00395E32" w14:paraId="1401CD51" w14:textId="77777777">
      <w:pPr>
        <w:tabs>
          <w:tab w:val="center" w:pos="284"/>
        </w:tabs>
        <w:ind w:left="266" w:hanging="266"/>
        <w:rPr>
          <w:b/>
          <w:sz w:val="18"/>
          <w:szCs w:val="18"/>
        </w:rPr>
      </w:pPr>
    </w:p>
    <w:tbl>
      <w:tblPr>
        <w:tblStyle w:val="TableGrid10"/>
        <w:tblW w:w="432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5"/>
        <w:gridCol w:w="6178"/>
      </w:tblGrid>
      <w:tr w:rsidRPr="00395E32" w:rsidR="00395E32" w:rsidTr="00643D0B" w14:paraId="507B4647" w14:textId="77777777">
        <w:trPr>
          <w:trHeight w:val="543"/>
        </w:trPr>
        <w:tc>
          <w:tcPr>
            <w:tcW w:w="1266" w:type="pct"/>
          </w:tcPr>
          <w:p w:rsidRPr="00395E32" w:rsidR="00395E32" w:rsidP="00FE31E1" w:rsidRDefault="00395E32" w14:paraId="242E5141" w14:textId="77777777">
            <w:pPr>
              <w:tabs>
                <w:tab w:val="center" w:pos="284"/>
              </w:tabs>
              <w:ind w:left="266" w:right="-958" w:hanging="266"/>
              <w:rPr>
                <w:b/>
              </w:rPr>
            </w:pPr>
            <w:r>
              <w:rPr>
                <w:b/>
              </w:rPr>
              <w:t>Relator-geral</w:t>
            </w:r>
          </w:p>
        </w:tc>
        <w:tc>
          <w:tcPr>
            <w:tcW w:w="3734" w:type="pct"/>
          </w:tcPr>
          <w:p w:rsidRPr="00395E32" w:rsidR="00395E32" w:rsidP="00395E32" w:rsidRDefault="00395E32" w14:paraId="1FEFE044" w14:textId="77777777">
            <w:pPr>
              <w:tabs>
                <w:tab w:val="center" w:pos="284"/>
              </w:tabs>
              <w:ind w:left="266" w:hanging="266"/>
            </w:pPr>
            <w:r>
              <w:t>Peter Schmidt (DE – Grupo dos Trabalhadores)</w:t>
            </w:r>
          </w:p>
        </w:tc>
      </w:tr>
      <w:tr w:rsidRPr="00395E32" w:rsidR="00395E32" w:rsidTr="00643D0B" w14:paraId="6C1C462C" w14:textId="77777777">
        <w:trPr>
          <w:trHeight w:val="275"/>
        </w:trPr>
        <w:tc>
          <w:tcPr>
            <w:tcW w:w="1266" w:type="pct"/>
          </w:tcPr>
          <w:p w:rsidRPr="00395E32" w:rsidR="00395E32" w:rsidP="008E08F5" w:rsidRDefault="00395E32" w14:paraId="2443E6C3" w14:textId="6D6C2DC4">
            <w:pPr>
              <w:tabs>
                <w:tab w:val="center" w:pos="457"/>
              </w:tabs>
              <w:ind w:left="266" w:hanging="266"/>
              <w:rPr>
                <w:b/>
              </w:rPr>
            </w:pPr>
            <w:r>
              <w:rPr>
                <w:b/>
              </w:rPr>
              <w:t>Referência</w:t>
            </w:r>
            <w:r w:rsidR="007D133E">
              <w:rPr>
                <w:b/>
              </w:rPr>
              <w:t>s</w:t>
            </w:r>
          </w:p>
        </w:tc>
        <w:tc>
          <w:tcPr>
            <w:tcW w:w="3734" w:type="pct"/>
          </w:tcPr>
          <w:p w:rsidR="00FE31E1" w:rsidP="00395E32" w:rsidRDefault="00FE31E1" w14:paraId="1D9397FC" w14:textId="226D9C40">
            <w:pPr>
              <w:tabs>
                <w:tab w:val="center" w:pos="284"/>
              </w:tabs>
              <w:ind w:left="266" w:hanging="266"/>
            </w:pPr>
            <w:r>
              <w:t xml:space="preserve">COM(2024) 495 final </w:t>
            </w:r>
          </w:p>
          <w:p w:rsidRPr="00395E32" w:rsidR="00395E32" w:rsidP="00395E32" w:rsidRDefault="00395E32" w14:paraId="5BF89FEE" w14:textId="4A14DDF3">
            <w:pPr>
              <w:tabs>
                <w:tab w:val="center" w:pos="284"/>
              </w:tabs>
              <w:ind w:left="266" w:hanging="266"/>
            </w:pPr>
            <w:r>
              <w:t>EESC-2024-04085-00-00-AC</w:t>
            </w:r>
          </w:p>
        </w:tc>
      </w:tr>
    </w:tbl>
    <w:p w:rsidRPr="00395E32" w:rsidR="00395E32" w:rsidP="00395E32" w:rsidRDefault="00395E32" w14:paraId="13BD0896" w14:textId="77777777">
      <w:pPr>
        <w:ind w:left="266" w:hanging="266"/>
        <w:rPr>
          <w:b/>
        </w:rPr>
      </w:pPr>
    </w:p>
    <w:p w:rsidRPr="00395E32" w:rsidR="00395E32" w:rsidP="00395E32" w:rsidRDefault="00395E32" w14:paraId="55FF2D0B" w14:textId="77777777">
      <w:pPr>
        <w:ind w:left="266" w:hanging="266"/>
        <w:rPr>
          <w:b/>
        </w:rPr>
      </w:pPr>
      <w:r>
        <w:rPr>
          <w:b/>
        </w:rPr>
        <w:t>Pontos principais</w:t>
      </w:r>
    </w:p>
    <w:p w:rsidRPr="00395E32" w:rsidR="00395E32" w:rsidP="00395E32" w:rsidRDefault="00395E32" w14:paraId="396FF4EF" w14:textId="77777777">
      <w:pPr>
        <w:tabs>
          <w:tab w:val="center" w:pos="284"/>
        </w:tabs>
        <w:ind w:left="266" w:hanging="266"/>
        <w:rPr>
          <w:b/>
          <w:sz w:val="16"/>
          <w:szCs w:val="16"/>
        </w:rPr>
      </w:pPr>
    </w:p>
    <w:p w:rsidR="00395E32" w:rsidP="00395E32" w:rsidRDefault="00395E32" w14:paraId="17144AEB" w14:textId="25235EDA">
      <w:pPr>
        <w:rPr>
          <w:bCs/>
          <w:iCs/>
        </w:rPr>
      </w:pPr>
      <w:r>
        <w:t>O Comité Económico e Social Europeu</w:t>
      </w:r>
      <w:r w:rsidR="00E51876">
        <w:t xml:space="preserve"> (CESE)</w:t>
      </w:r>
      <w:r>
        <w:t>:</w:t>
      </w:r>
    </w:p>
    <w:p w:rsidRPr="00395E32" w:rsidR="008E08F5" w:rsidP="00395E32" w:rsidRDefault="008E08F5" w14:paraId="35B79CF5" w14:textId="77777777">
      <w:pPr>
        <w:rPr>
          <w:bCs/>
          <w:iCs/>
        </w:rPr>
      </w:pPr>
    </w:p>
    <w:p w:rsidRPr="00395E32" w:rsidR="00395E32" w:rsidP="00643D0B" w:rsidRDefault="00395E32" w14:paraId="008AE7E6" w14:textId="77777777">
      <w:pPr>
        <w:numPr>
          <w:ilvl w:val="0"/>
          <w:numId w:val="29"/>
        </w:numPr>
        <w:ind w:left="426" w:hanging="426"/>
      </w:pPr>
      <w:r>
        <w:rPr>
          <w:b/>
        </w:rPr>
        <w:t>apoia o princípio da assistência imediata em caso de catástrofe</w:t>
      </w:r>
      <w:r>
        <w:t xml:space="preserve"> e reconhece a urgência de prestar assistência rápida às comunidades afetadas recentemente por catástrofes climáticas;</w:t>
      </w:r>
    </w:p>
    <w:p w:rsidRPr="00395E32" w:rsidR="00395E32" w:rsidP="00643D0B" w:rsidRDefault="00395E32" w14:paraId="6BEF23D1" w14:textId="77777777">
      <w:pPr>
        <w:numPr>
          <w:ilvl w:val="0"/>
          <w:numId w:val="29"/>
        </w:numPr>
        <w:ind w:left="426" w:hanging="426"/>
        <w:rPr>
          <w:b/>
          <w:bCs/>
        </w:rPr>
      </w:pPr>
      <w:r>
        <w:t xml:space="preserve">destaca a frequência e a gravidade crescentes dos fenómenos induzidos pelo clima, salientando o impacto desproporcionado nas zonas rurais e a </w:t>
      </w:r>
      <w:r>
        <w:rPr>
          <w:b/>
        </w:rPr>
        <w:t>necessidade de dar prioridade à sua resiliência</w:t>
      </w:r>
      <w:r>
        <w:t>;</w:t>
      </w:r>
    </w:p>
    <w:p w:rsidRPr="00395E32" w:rsidR="00395E32" w:rsidP="00643D0B" w:rsidRDefault="00395E32" w14:paraId="503DEAC8" w14:textId="77777777">
      <w:pPr>
        <w:numPr>
          <w:ilvl w:val="0"/>
          <w:numId w:val="29"/>
        </w:numPr>
        <w:ind w:left="426" w:hanging="426"/>
      </w:pPr>
      <w:r>
        <w:t xml:space="preserve">salienta a necessidade de </w:t>
      </w:r>
      <w:r>
        <w:rPr>
          <w:b/>
        </w:rPr>
        <w:t>proteger os orçamentos para o desenvolvimento rural</w:t>
      </w:r>
      <w:r>
        <w:t>, alertando para o risco de reafetações repetidas que possam comprometer o crescimento e a estabilidade rurais a longo prazo;</w:t>
      </w:r>
    </w:p>
    <w:p w:rsidRPr="00395E32" w:rsidR="00395E32" w:rsidP="00643D0B" w:rsidRDefault="00395E32" w14:paraId="7264E893" w14:textId="77777777">
      <w:pPr>
        <w:numPr>
          <w:ilvl w:val="0"/>
          <w:numId w:val="29"/>
        </w:numPr>
        <w:ind w:left="426" w:hanging="426"/>
      </w:pPr>
      <w:r>
        <w:rPr>
          <w:b/>
        </w:rPr>
        <w:t>recomenda a criação de um fundo específico da UE para as catástrofes climáticas</w:t>
      </w:r>
      <w:r>
        <w:t>, inspirado no Fundo de Resposta a Perdas e Danos saído da COP28, para fazer face a catástrofes internas relacionadas com o clima, sem comprometer os compromissos internacionais ou os mecanismos de financiamento da UE existentes;</w:t>
      </w:r>
    </w:p>
    <w:p w:rsidRPr="00395E32" w:rsidR="00395E32" w:rsidP="00643D0B" w:rsidRDefault="00395E32" w14:paraId="243B3B27" w14:textId="77777777">
      <w:pPr>
        <w:numPr>
          <w:ilvl w:val="0"/>
          <w:numId w:val="29"/>
        </w:numPr>
        <w:ind w:left="426" w:hanging="426"/>
      </w:pPr>
      <w:r>
        <w:t xml:space="preserve">apela para um </w:t>
      </w:r>
      <w:r>
        <w:rPr>
          <w:b/>
        </w:rPr>
        <w:t>maior investimento na prevenção, em particular em soluções baseadas na natureza</w:t>
      </w:r>
      <w:r>
        <w:t>, que sejam eficazes em termos de custos, reforcem a resiliência e reduzam os encargos financeiros e sociais dos mecanismos de resposta a emergências;</w:t>
      </w:r>
    </w:p>
    <w:p w:rsidRPr="00395E32" w:rsidR="00395E32" w:rsidP="00643D0B" w:rsidRDefault="00395E32" w14:paraId="0F590271" w14:textId="77777777">
      <w:pPr>
        <w:numPr>
          <w:ilvl w:val="0"/>
          <w:numId w:val="29"/>
        </w:numPr>
        <w:ind w:left="426" w:hanging="426"/>
      </w:pPr>
      <w:r>
        <w:t xml:space="preserve">congratula-se com os </w:t>
      </w:r>
      <w:r>
        <w:rPr>
          <w:b/>
        </w:rPr>
        <w:t>procedimentos simplificados para a assistência em caso de catástrofe</w:t>
      </w:r>
      <w:r>
        <w:t xml:space="preserve"> contidos na proposta e incentiva a sua integração nas futuras políticas, a fim de assegurar respostas mais eficientes às crises;</w:t>
      </w:r>
    </w:p>
    <w:p w:rsidRPr="00395E32" w:rsidR="00395E32" w:rsidP="00643D0B" w:rsidRDefault="00395E32" w14:paraId="64BF5029" w14:textId="77777777">
      <w:pPr>
        <w:numPr>
          <w:ilvl w:val="0"/>
          <w:numId w:val="29"/>
        </w:numPr>
        <w:ind w:left="426" w:hanging="426"/>
      </w:pPr>
      <w:r>
        <w:t xml:space="preserve">apela para o </w:t>
      </w:r>
      <w:r>
        <w:rPr>
          <w:b/>
        </w:rPr>
        <w:t>desenvolvimento de um quadro proativo e coordenado da UE de preparação para catástrofes</w:t>
      </w:r>
      <w:r>
        <w:t xml:space="preserve">, que inclua medidas preventivas, um maior financiamento e um planeamento a longo prazo para </w:t>
      </w:r>
      <w:r>
        <w:rPr>
          <w:b/>
        </w:rPr>
        <w:t>dar uma resposta eficaz às vulnerabilidades</w:t>
      </w:r>
      <w:r>
        <w:t>;</w:t>
      </w:r>
    </w:p>
    <w:p w:rsidRPr="00395E32" w:rsidR="00395E32" w:rsidP="00643D0B" w:rsidRDefault="00395E32" w14:paraId="1A732E0E" w14:textId="77777777">
      <w:pPr>
        <w:numPr>
          <w:ilvl w:val="0"/>
          <w:numId w:val="29"/>
        </w:numPr>
        <w:ind w:left="426" w:hanging="426"/>
      </w:pPr>
      <w:r>
        <w:t xml:space="preserve">salienta a </w:t>
      </w:r>
      <w:r>
        <w:rPr>
          <w:b/>
        </w:rPr>
        <w:t>importância do planeamento em matéria de resiliência a longo prazo</w:t>
      </w:r>
      <w:r>
        <w:t>, em consonância com a visão a longo prazo da UE para as zonas rurais, e da garantia de uma abordagem equilibrada com medidas proativas e reativas.</w:t>
      </w:r>
    </w:p>
    <w:p w:rsidR="00395E32" w:rsidP="00395E32" w:rsidRDefault="00395E32" w14:paraId="4FBA9DE9" w14:textId="77777777">
      <w:pPr>
        <w:widowControl w:val="0"/>
        <w:ind w:left="284" w:hanging="284"/>
        <w:rPr>
          <w:sz w:val="16"/>
          <w:szCs w:val="16"/>
        </w:rPr>
      </w:pPr>
    </w:p>
    <w:p w:rsidRPr="00395E32" w:rsidR="006F2520" w:rsidP="00395E32" w:rsidRDefault="006F2520" w14:paraId="7AE5FF32" w14:textId="77777777">
      <w:pPr>
        <w:widowControl w:val="0"/>
        <w:ind w:left="284" w:hanging="284"/>
        <w:rPr>
          <w:sz w:val="16"/>
          <w:szCs w:val="16"/>
        </w:rPr>
      </w:pPr>
    </w:p>
    <w:tbl>
      <w:tblPr>
        <w:tblStyle w:val="TableGrid10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4"/>
        <w:gridCol w:w="4636"/>
      </w:tblGrid>
      <w:tr w:rsidRPr="00395E32" w:rsidR="00395E32" w:rsidTr="00863A8F" w14:paraId="2B50A26D" w14:textId="77777777">
        <w:tc>
          <w:tcPr>
            <w:tcW w:w="1556" w:type="pct"/>
          </w:tcPr>
          <w:p w:rsidRPr="00395E32" w:rsidR="00395E32" w:rsidP="00395E32" w:rsidRDefault="00395E32" w14:paraId="4548D0C8" w14:textId="77777777">
            <w:pPr>
              <w:spacing w:line="240" w:lineRule="auto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444" w:type="pct"/>
          </w:tcPr>
          <w:p w:rsidRPr="00395E32" w:rsidR="00395E32" w:rsidP="00395E32" w:rsidRDefault="00395E32" w14:paraId="157E5A08" w14:textId="22562244">
            <w:pPr>
              <w:spacing w:line="240" w:lineRule="auto"/>
              <w:rPr>
                <w:i/>
              </w:rPr>
            </w:pPr>
            <w:r>
              <w:rPr>
                <w:i/>
              </w:rPr>
              <w:t>Nicolas Stenger</w:t>
            </w:r>
          </w:p>
        </w:tc>
      </w:tr>
      <w:tr w:rsidRPr="00395E32" w:rsidR="00395E32" w:rsidTr="00863A8F" w14:paraId="1084C0B0" w14:textId="77777777">
        <w:tc>
          <w:tcPr>
            <w:tcW w:w="1556" w:type="pct"/>
          </w:tcPr>
          <w:p w:rsidRPr="00395E32" w:rsidR="00395E32" w:rsidP="00395E32" w:rsidRDefault="00395E32" w14:paraId="4F73E7F1" w14:textId="77777777">
            <w:pPr>
              <w:spacing w:line="240" w:lineRule="auto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395E32" w:rsidR="00395E32" w:rsidP="00395E32" w:rsidRDefault="00395E32" w14:paraId="2C95F92B" w14:textId="77777777">
            <w:pPr>
              <w:spacing w:line="240" w:lineRule="auto"/>
              <w:rPr>
                <w:i/>
              </w:rPr>
            </w:pPr>
            <w:r>
              <w:rPr>
                <w:i/>
              </w:rPr>
              <w:t>+32 2 546 81 52</w:t>
            </w:r>
          </w:p>
        </w:tc>
      </w:tr>
      <w:tr w:rsidRPr="00395E32" w:rsidR="00395E32" w:rsidTr="00863A8F" w14:paraId="12481E84" w14:textId="77777777">
        <w:tc>
          <w:tcPr>
            <w:tcW w:w="1556" w:type="pct"/>
          </w:tcPr>
          <w:p w:rsidRPr="00395E32" w:rsidR="00395E32" w:rsidP="00395E32" w:rsidRDefault="00395E32" w14:paraId="4FE0E027" w14:textId="77777777">
            <w:pPr>
              <w:spacing w:line="240" w:lineRule="auto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Pr="00395E32" w:rsidR="00395E32" w:rsidP="00395E32" w:rsidRDefault="00F260F0" w14:paraId="01040533" w14:textId="77777777">
            <w:pPr>
              <w:spacing w:line="240" w:lineRule="auto"/>
              <w:rPr>
                <w:i/>
              </w:rPr>
            </w:pPr>
            <w:hyperlink w:history="1" r:id="rId42">
              <w:r w:rsidR="00AA36F2">
                <w:rPr>
                  <w:i/>
                  <w:color w:val="0000FF"/>
                  <w:u w:val="single"/>
                </w:rPr>
                <w:t>Nicolas.Stenger@eesc.europa.eu</w:t>
              </w:r>
            </w:hyperlink>
          </w:p>
        </w:tc>
      </w:tr>
    </w:tbl>
    <w:p w:rsidR="00395E32" w:rsidRDefault="00395E32" w14:paraId="668D5DEE" w14:textId="77777777">
      <w:pPr>
        <w:spacing w:after="160" w:line="259" w:lineRule="auto"/>
        <w:jc w:val="left"/>
      </w:pPr>
    </w:p>
    <w:p w:rsidR="00395E32" w:rsidRDefault="00395E32" w14:paraId="7602B700" w14:textId="77777777">
      <w:pPr>
        <w:spacing w:after="160" w:line="259" w:lineRule="auto"/>
        <w:jc w:val="left"/>
      </w:pPr>
      <w:r>
        <w:br w:type="page"/>
      </w:r>
    </w:p>
    <w:p w:rsidRPr="00643D0B" w:rsidR="00826962" w:rsidP="004B5D3D" w:rsidRDefault="00F260F0" w14:paraId="6580F677" w14:textId="0D2454E7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567" w:hanging="567"/>
        <w:contextualSpacing/>
        <w:jc w:val="left"/>
        <w:textAlignment w:val="baseline"/>
        <w:rPr>
          <w:i/>
          <w:iCs/>
        </w:rPr>
      </w:pPr>
      <w:hyperlink w:history="1" r:id="rId43">
        <w:r w:rsidR="00AA36F2">
          <w:rPr>
            <w:b/>
            <w:i/>
            <w:color w:val="0000FF"/>
            <w:sz w:val="28"/>
            <w:u w:val="single"/>
          </w:rPr>
          <w:t>Rumo a uma proposta legislativa e instrumentos de política da UE sobre a transição justa que permitam um Pacto Ecológico Europeu mais social</w:t>
        </w:r>
      </w:hyperlink>
    </w:p>
    <w:p w:rsidRPr="00826962" w:rsidR="004B5D3D" w:rsidP="00643D0B" w:rsidRDefault="004B5D3D" w14:paraId="3D84FFFB" w14:textId="77777777">
      <w:pPr>
        <w:overflowPunct w:val="0"/>
        <w:autoSpaceDE w:val="0"/>
        <w:autoSpaceDN w:val="0"/>
        <w:adjustRightInd w:val="0"/>
        <w:spacing w:line="276" w:lineRule="auto"/>
        <w:contextualSpacing/>
        <w:jc w:val="left"/>
        <w:textAlignment w:val="baseline"/>
        <w:rPr>
          <w:i/>
          <w:iCs/>
          <w:lang w:val="en-GB" w:eastAsia="zh-CN"/>
        </w:rPr>
      </w:pPr>
    </w:p>
    <w:p w:rsidRPr="00826962" w:rsidR="00826962" w:rsidP="00826962" w:rsidRDefault="00826962" w14:paraId="1F7C2F50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Cs/>
          <w:sz w:val="16"/>
          <w:szCs w:val="16"/>
          <w:lang w:val="en-GB"/>
        </w:rPr>
      </w:pPr>
    </w:p>
    <w:tbl>
      <w:tblPr>
        <w:tblStyle w:val="TableGrid1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6096"/>
      </w:tblGrid>
      <w:tr w:rsidRPr="00826962" w:rsidR="00826962" w:rsidTr="00863A8F" w14:paraId="5EE0B9C4" w14:textId="77777777">
        <w:tc>
          <w:tcPr>
            <w:tcW w:w="1701" w:type="dxa"/>
          </w:tcPr>
          <w:p w:rsidRPr="00826962" w:rsidR="00826962" w:rsidP="00826962" w:rsidRDefault="00826962" w14:paraId="7A2FE21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6096" w:type="dxa"/>
          </w:tcPr>
          <w:p w:rsidRPr="00826962" w:rsidR="00826962" w:rsidP="00826962" w:rsidRDefault="00826962" w14:paraId="1A02220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bCs/>
              </w:rPr>
            </w:pPr>
            <w:r w:rsidRPr="007C335E">
              <w:rPr>
                <w:bCs/>
              </w:rPr>
              <w:t>Dirk Bergrath</w:t>
            </w:r>
            <w:r>
              <w:t xml:space="preserve"> (DE – Grupo dos Trabalhadores)</w:t>
            </w:r>
          </w:p>
        </w:tc>
      </w:tr>
      <w:tr w:rsidRPr="00826962" w:rsidR="00826962" w:rsidTr="00863A8F" w14:paraId="2C238AB2" w14:textId="77777777">
        <w:tc>
          <w:tcPr>
            <w:tcW w:w="7797" w:type="dxa"/>
            <w:gridSpan w:val="2"/>
          </w:tcPr>
          <w:p w:rsidRPr="00826962" w:rsidR="00826962" w:rsidP="00826962" w:rsidRDefault="00826962" w14:paraId="6E436FC3" w14:textId="77777777">
            <w:pPr>
              <w:tabs>
                <w:tab w:val="left" w:pos="2690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826962" w:rsidR="00826962" w:rsidTr="00863A8F" w14:paraId="1C41560F" w14:textId="77777777">
        <w:tc>
          <w:tcPr>
            <w:tcW w:w="1701" w:type="dxa"/>
          </w:tcPr>
          <w:p w:rsidRPr="00826962" w:rsidR="00826962" w:rsidP="00826962" w:rsidRDefault="00826962" w14:paraId="6A8C961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6096" w:type="dxa"/>
          </w:tcPr>
          <w:p w:rsidR="006F2520" w:rsidP="00826962" w:rsidRDefault="006F2520" w14:paraId="3B7EBB53" w14:textId="043B8B3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de iniciativa</w:t>
            </w:r>
          </w:p>
          <w:p w:rsidRPr="00826962" w:rsidR="00826962" w:rsidP="00826962" w:rsidRDefault="00826962" w14:paraId="2E660E5A" w14:textId="45D9D43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EESC-2024-01077-00-00-AC</w:t>
            </w:r>
          </w:p>
        </w:tc>
      </w:tr>
    </w:tbl>
    <w:p w:rsidRPr="00826962" w:rsidR="00826962" w:rsidP="00826962" w:rsidRDefault="00826962" w14:paraId="118F3C3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sz w:val="16"/>
          <w:szCs w:val="16"/>
          <w:lang w:val="en-GB"/>
        </w:rPr>
      </w:pPr>
    </w:p>
    <w:p w:rsidRPr="00826962" w:rsidR="00826962" w:rsidP="00826962" w:rsidRDefault="00826962" w14:paraId="3F06D23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826962" w:rsidR="00826962" w:rsidP="00826962" w:rsidRDefault="00826962" w14:paraId="03BC657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Cs/>
          <w:sz w:val="16"/>
          <w:szCs w:val="16"/>
          <w:lang w:val="en-GB"/>
        </w:rPr>
      </w:pPr>
    </w:p>
    <w:p w:rsidR="00826962" w:rsidP="00826962" w:rsidRDefault="00826962" w14:paraId="6D8CA6D8" w14:textId="6BACB92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</w:rPr>
      </w:pPr>
      <w:r>
        <w:t>O Comité Económico e Social Europeu</w:t>
      </w:r>
      <w:r w:rsidR="00E51876">
        <w:t xml:space="preserve"> (CESE)</w:t>
      </w:r>
      <w:r>
        <w:t>:</w:t>
      </w:r>
    </w:p>
    <w:p w:rsidRPr="00826962" w:rsidR="00F34F7E" w:rsidP="00826962" w:rsidRDefault="00F34F7E" w14:paraId="01806982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  <w:lang w:val="en-GB"/>
        </w:rPr>
      </w:pPr>
    </w:p>
    <w:p w:rsidRPr="00643D0B" w:rsidR="00826962" w:rsidP="00643D0B" w:rsidRDefault="00826962" w14:paraId="47E9A3E8" w14:textId="77777777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pacing w:val="-4"/>
          <w:szCs w:val="20"/>
        </w:rPr>
      </w:pPr>
      <w:bookmarkStart w:name="_Toc184734011" w:id="23"/>
      <w:r>
        <w:t xml:space="preserve">realça a importância de uma transição justa na União Europeia (UE), em consonância com as prioridades estratégicas e as orientações políticas da Comissão Europeia para 2024-2029. A </w:t>
      </w:r>
      <w:r>
        <w:rPr>
          <w:b/>
        </w:rPr>
        <w:t>transição justa terá um impacto significativo no mundo do trabalho</w:t>
      </w:r>
      <w:r>
        <w:t>, afetando os setores, as regiões, os empregos e as competências (incluindo o aspeto do género, o aspeto intergeracional e os grupos vulneráveis), a proteção social, a cooperação entre os Estados-Membros, a governação, os negócios e as empresas (nomeadamente as PME), bem como o financiamento e o investimento;</w:t>
      </w:r>
      <w:bookmarkEnd w:id="23"/>
    </w:p>
    <w:p w:rsidRPr="00F34F7E" w:rsidR="00826962" w:rsidP="00643D0B" w:rsidRDefault="00826962" w14:paraId="6941C36F" w14:textId="77777777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bookmarkStart w:name="_Toc184734012" w:id="24"/>
      <w:r>
        <w:t xml:space="preserve">salienta a </w:t>
      </w:r>
      <w:r>
        <w:rPr>
          <w:b/>
        </w:rPr>
        <w:t>necessidade de um pacote político abrangente</w:t>
      </w:r>
      <w:r>
        <w:t xml:space="preserve"> para o mundo do trabalho que integre os instrumentos existentes a nível da UE e proporcione aos Estados-Membros margem de manobra suficiente para adotarem soluções adequadas a nível nacional e regional;</w:t>
      </w:r>
      <w:bookmarkEnd w:id="24"/>
    </w:p>
    <w:p w:rsidRPr="00F34F7E" w:rsidR="00826962" w:rsidP="00643D0B" w:rsidRDefault="00826962" w14:paraId="1AF37675" w14:textId="77777777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bookmarkStart w:name="_Toc184734013" w:id="25"/>
      <w:r>
        <w:t xml:space="preserve">solicita que seja adotado um </w:t>
      </w:r>
      <w:r>
        <w:rPr>
          <w:b/>
        </w:rPr>
        <w:t>pacote político para uma transição justa</w:t>
      </w:r>
      <w:r>
        <w:t xml:space="preserve"> no mundo do trabalho através da antecipação e gestão da mudança, tendo como princípios orientadores o diálogo social e a negociação coletiva.</w:t>
      </w:r>
      <w:bookmarkEnd w:id="25"/>
    </w:p>
    <w:p w:rsidRPr="00F34F7E" w:rsidR="00826962" w:rsidP="00643D0B" w:rsidRDefault="00826962" w14:paraId="09142705" w14:textId="77777777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szCs w:val="20"/>
        </w:rPr>
      </w:pPr>
      <w:r>
        <w:t>Esse pacote deve contemplar nomeadamente as seguintes medidas:</w:t>
      </w:r>
    </w:p>
    <w:p w:rsidRPr="00826962" w:rsidR="00826962" w:rsidP="00F34F7E" w:rsidRDefault="00826962" w14:paraId="6529AD5A" w14:textId="77777777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851" w:hanging="425"/>
        <w:contextualSpacing/>
        <w:textAlignment w:val="baseline"/>
      </w:pPr>
      <w:r>
        <w:t>realizar um levantamento das necessidades e estratégias em matéria de competências;</w:t>
      </w:r>
    </w:p>
    <w:p w:rsidRPr="00826962" w:rsidR="00826962" w:rsidP="00F34F7E" w:rsidRDefault="00826962" w14:paraId="0AEC3AED" w14:textId="77777777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851" w:hanging="425"/>
        <w:contextualSpacing/>
        <w:textAlignment w:val="baseline"/>
      </w:pPr>
      <w:r>
        <w:t>estabelecer e executar programas adequados de desenvolvimento de competências;</w:t>
      </w:r>
    </w:p>
    <w:p w:rsidRPr="00826962" w:rsidR="00826962" w:rsidP="00F34F7E" w:rsidRDefault="00826962" w14:paraId="239D58C9" w14:textId="77777777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851" w:hanging="425"/>
        <w:contextualSpacing/>
        <w:textAlignment w:val="baseline"/>
        <w:rPr>
          <w:spacing w:val="-4"/>
        </w:rPr>
      </w:pPr>
      <w:r>
        <w:t>estabelecer um acesso significativo e efetivo a horas de formação integralmente remuneradas para todos os trabalhadores;</w:t>
      </w:r>
    </w:p>
    <w:p w:rsidRPr="00826962" w:rsidR="00826962" w:rsidP="00F34F7E" w:rsidRDefault="00826962" w14:paraId="6663E3D2" w14:textId="77777777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851" w:hanging="425"/>
        <w:contextualSpacing/>
        <w:textAlignment w:val="baseline"/>
      </w:pPr>
      <w:r>
        <w:t>assegurar a criação de sistemas eficazes de participação, informação e consulta efetiva dos trabalhadores a nível da empresa, em conformidade com as normas aplicáveis;</w:t>
      </w:r>
    </w:p>
    <w:p w:rsidRPr="00826962" w:rsidR="00826962" w:rsidP="00F34F7E" w:rsidRDefault="00826962" w14:paraId="2127D019" w14:textId="77777777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851" w:hanging="425"/>
        <w:contextualSpacing/>
        <w:textAlignment w:val="baseline"/>
      </w:pPr>
      <w:r>
        <w:t>integrar iniciativas para uma transição justa na aplicação do Pilar Europeu dos Direitos Sociais e do Semestre Europeu;</w:t>
      </w:r>
    </w:p>
    <w:p w:rsidRPr="00826962" w:rsidR="00826962" w:rsidP="00F34F7E" w:rsidRDefault="00826962" w14:paraId="0F671CA3" w14:textId="77777777">
      <w:pPr>
        <w:numPr>
          <w:ilvl w:val="0"/>
          <w:numId w:val="12"/>
        </w:numPr>
        <w:overflowPunct w:val="0"/>
        <w:autoSpaceDE w:val="0"/>
        <w:autoSpaceDN w:val="0"/>
        <w:adjustRightInd w:val="0"/>
        <w:ind w:left="851" w:hanging="425"/>
        <w:contextualSpacing/>
        <w:textAlignment w:val="baseline"/>
      </w:pPr>
      <w:r>
        <w:t xml:space="preserve">criar incentivos fortes para que as empresas: </w:t>
      </w:r>
    </w:p>
    <w:p w:rsidRPr="00F34F7E" w:rsidR="00826962" w:rsidP="00643D0B" w:rsidRDefault="00826962" w14:paraId="01C24C9F" w14:textId="77777777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ind w:left="1276" w:hanging="425"/>
        <w:textAlignment w:val="baseline"/>
        <w:outlineLvl w:val="1"/>
        <w:rPr>
          <w:szCs w:val="20"/>
        </w:rPr>
      </w:pPr>
      <w:bookmarkStart w:name="_Toc184734014" w:id="26"/>
      <w:r>
        <w:rPr>
          <w:b/>
        </w:rPr>
        <w:t>deem prioridade à melhoria das competências</w:t>
      </w:r>
      <w:r>
        <w:t xml:space="preserve"> dos atuais trabalhadores, a fim de colmatar as lacunas de competências;</w:t>
      </w:r>
      <w:bookmarkEnd w:id="26"/>
    </w:p>
    <w:p w:rsidRPr="00F34F7E" w:rsidR="00826962" w:rsidP="00643D0B" w:rsidRDefault="00826962" w14:paraId="1602141B" w14:textId="77777777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ind w:left="1276" w:hanging="425"/>
        <w:textAlignment w:val="baseline"/>
        <w:outlineLvl w:val="1"/>
        <w:rPr>
          <w:szCs w:val="20"/>
        </w:rPr>
      </w:pPr>
      <w:bookmarkStart w:name="_Toc184734015" w:id="27"/>
      <w:r>
        <w:t xml:space="preserve">elaborem, publiquem e atualizem regularmente os </w:t>
      </w:r>
      <w:r>
        <w:rPr>
          <w:b/>
        </w:rPr>
        <w:t>seus planos de transição</w:t>
      </w:r>
      <w:r>
        <w:t>;</w:t>
      </w:r>
      <w:bookmarkEnd w:id="27"/>
    </w:p>
    <w:p w:rsidRPr="00F34F7E" w:rsidR="00826962" w:rsidP="00643D0B" w:rsidRDefault="00826962" w14:paraId="68CA06F5" w14:textId="77777777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ind w:left="1276" w:hanging="425"/>
        <w:textAlignment w:val="baseline"/>
        <w:outlineLvl w:val="1"/>
        <w:rPr>
          <w:szCs w:val="20"/>
        </w:rPr>
      </w:pPr>
      <w:bookmarkStart w:name="_Toc184734016" w:id="28"/>
      <w:r>
        <w:t>incentivem um aumento das contribuições para a taxa de aprendizagem e formação de acordo com os modelos nacionais para financiar parcialmente a formação dos trabalhadores a nível regional;</w:t>
      </w:r>
      <w:bookmarkEnd w:id="28"/>
    </w:p>
    <w:p w:rsidRPr="00826962" w:rsidR="00826962" w:rsidP="00643D0B" w:rsidRDefault="00826962" w14:paraId="2979C9DC" w14:textId="77777777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szCs w:val="20"/>
        </w:rPr>
      </w:pPr>
      <w:r>
        <w:t xml:space="preserve">recomenda um </w:t>
      </w:r>
      <w:r>
        <w:rPr>
          <w:b/>
        </w:rPr>
        <w:t>trabalho de levantamento minucioso para assegurar a sensibilização para os desafios e as oportunidades da transição</w:t>
      </w:r>
      <w:r>
        <w:t>. O Observatório para uma Transição Justa pode liderar o levantamento de políticas e boas práticas, apoiando os Estados-Membros com dados e acompanhamento;</w:t>
      </w:r>
    </w:p>
    <w:p w:rsidRPr="00826962" w:rsidR="00826962" w:rsidP="00643D0B" w:rsidRDefault="00826962" w14:paraId="4041C321" w14:textId="77777777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szCs w:val="20"/>
        </w:rPr>
      </w:pPr>
      <w:r>
        <w:t xml:space="preserve">exorta a Comissão Europeia e os Estados-Membros a </w:t>
      </w:r>
      <w:r>
        <w:rPr>
          <w:b/>
        </w:rPr>
        <w:t>assegurarem um financiamento adequado</w:t>
      </w:r>
      <w:r>
        <w:t xml:space="preserve">, através do reforço do Fundo para uma Transição Justa e do Fundo Social em matéria de Clima e </w:t>
      </w:r>
      <w:r>
        <w:rPr>
          <w:b/>
        </w:rPr>
        <w:lastRenderedPageBreak/>
        <w:t>reforçando e associando outros métodos de financiamento</w:t>
      </w:r>
      <w:r>
        <w:t>, como a adaptação dos sistemas fiscais nacionais e a mobilização de financiamento privado para a transição.</w:t>
      </w:r>
    </w:p>
    <w:p w:rsidR="00826962" w:rsidP="00826962" w:rsidRDefault="00826962" w14:paraId="35E7AA65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16"/>
          <w:szCs w:val="16"/>
          <w:lang w:val="en-GB"/>
        </w:rPr>
      </w:pPr>
    </w:p>
    <w:p w:rsidRPr="00826962" w:rsidR="00C34B13" w:rsidP="00826962" w:rsidRDefault="00C34B13" w14:paraId="198C6038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16"/>
          <w:szCs w:val="16"/>
          <w:lang w:val="en-GB"/>
        </w:rPr>
      </w:pPr>
    </w:p>
    <w:tbl>
      <w:tblPr>
        <w:tblStyle w:val="TableGrid1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1"/>
        <w:gridCol w:w="5353"/>
      </w:tblGrid>
      <w:tr w:rsidRPr="00826962" w:rsidR="00826962" w:rsidTr="00E51876" w14:paraId="4CC0AE38" w14:textId="77777777">
        <w:tc>
          <w:tcPr>
            <w:tcW w:w="1951" w:type="dxa"/>
          </w:tcPr>
          <w:p w:rsidRPr="00E51876" w:rsidR="00826962" w:rsidP="00E51876" w:rsidRDefault="00826962" w14:paraId="1380C3A1" w14:textId="77777777">
            <w:pPr>
              <w:rPr>
                <w:b/>
                <w:bCs/>
                <w:i/>
                <w:iCs/>
              </w:rPr>
            </w:pPr>
            <w:r w:rsidRPr="00E51876">
              <w:rPr>
                <w:b/>
                <w:bCs/>
                <w:i/>
                <w:iCs/>
              </w:rPr>
              <w:t>Contacto</w:t>
            </w:r>
          </w:p>
        </w:tc>
        <w:tc>
          <w:tcPr>
            <w:tcW w:w="5353" w:type="dxa"/>
          </w:tcPr>
          <w:p w:rsidRPr="00E51876" w:rsidR="00826962" w:rsidP="00E51876" w:rsidRDefault="00826962" w14:paraId="4DDDB049" w14:textId="709CFDFF">
            <w:pPr>
              <w:rPr>
                <w:i/>
                <w:iCs/>
              </w:rPr>
            </w:pPr>
            <w:r w:rsidRPr="00E51876">
              <w:rPr>
                <w:i/>
                <w:iCs/>
              </w:rPr>
              <w:t>Nicolas Stenger</w:t>
            </w:r>
          </w:p>
        </w:tc>
      </w:tr>
      <w:tr w:rsidRPr="00826962" w:rsidR="00826962" w:rsidTr="00E51876" w14:paraId="3B11FE8D" w14:textId="77777777">
        <w:tc>
          <w:tcPr>
            <w:tcW w:w="1951" w:type="dxa"/>
          </w:tcPr>
          <w:p w:rsidRPr="00E51876" w:rsidR="00826962" w:rsidP="00E51876" w:rsidRDefault="00826962" w14:paraId="16E8820C" w14:textId="77777777">
            <w:pPr>
              <w:rPr>
                <w:i/>
                <w:iCs/>
              </w:rPr>
            </w:pPr>
            <w:r w:rsidRPr="00E51876">
              <w:rPr>
                <w:i/>
                <w:iCs/>
              </w:rPr>
              <w:t>Tel.</w:t>
            </w:r>
          </w:p>
        </w:tc>
        <w:tc>
          <w:tcPr>
            <w:tcW w:w="5353" w:type="dxa"/>
          </w:tcPr>
          <w:p w:rsidRPr="00E51876" w:rsidR="00826962" w:rsidP="00E51876" w:rsidRDefault="00826962" w14:paraId="70D1C8D1" w14:textId="77777777">
            <w:pPr>
              <w:rPr>
                <w:i/>
                <w:iCs/>
              </w:rPr>
            </w:pPr>
            <w:r w:rsidRPr="00E51876">
              <w:rPr>
                <w:i/>
                <w:iCs/>
              </w:rPr>
              <w:t>+32 2 546 81 52</w:t>
            </w:r>
          </w:p>
        </w:tc>
      </w:tr>
      <w:tr w:rsidRPr="00826962" w:rsidR="00826962" w:rsidTr="00E51876" w14:paraId="5D4735FD" w14:textId="77777777">
        <w:tc>
          <w:tcPr>
            <w:tcW w:w="1951" w:type="dxa"/>
          </w:tcPr>
          <w:p w:rsidRPr="00E51876" w:rsidR="00826962" w:rsidP="00E51876" w:rsidRDefault="005A452F" w14:paraId="3C5F2E2E" w14:textId="50AE576F">
            <w:pPr>
              <w:rPr>
                <w:i/>
                <w:iCs/>
              </w:rPr>
            </w:pPr>
            <w:r w:rsidRPr="00E51876">
              <w:rPr>
                <w:i/>
                <w:iCs/>
              </w:rPr>
              <w:t>Endereço eletrónico</w:t>
            </w:r>
          </w:p>
        </w:tc>
        <w:tc>
          <w:tcPr>
            <w:tcW w:w="5353" w:type="dxa"/>
          </w:tcPr>
          <w:p w:rsidRPr="00E51876" w:rsidR="00826962" w:rsidP="00E51876" w:rsidRDefault="00F260F0" w14:paraId="2A7B7513" w14:textId="26B9DBE0">
            <w:hyperlink w:history="1" r:id="rId44">
              <w:r w:rsidRPr="00E51876" w:rsidR="00E51876">
                <w:rPr>
                  <w:rStyle w:val="Hyperlink"/>
                  <w:i/>
                </w:rPr>
                <w:t>Nicolas.Stenger@eesc.europa.eu</w:t>
              </w:r>
            </w:hyperlink>
          </w:p>
        </w:tc>
      </w:tr>
    </w:tbl>
    <w:p w:rsidR="00C70B4C" w:rsidRDefault="00C70B4C" w14:paraId="2B905F39" w14:textId="58595445">
      <w:pPr>
        <w:spacing w:after="160" w:line="259" w:lineRule="auto"/>
        <w:jc w:val="left"/>
      </w:pPr>
      <w:r>
        <w:br w:type="page"/>
      </w:r>
    </w:p>
    <w:p w:rsidR="007F5784" w:rsidP="006D6D4E" w:rsidRDefault="007F5784" w14:paraId="14026A78" w14:textId="4FAE1588">
      <w:pPr>
        <w:pStyle w:val="Heading1"/>
        <w:keepNext/>
        <w:keepLines/>
        <w:rPr>
          <w:b/>
        </w:rPr>
      </w:pPr>
      <w:bookmarkStart w:name="_Toc184734017" w:id="29"/>
      <w:r>
        <w:rPr>
          <w:b/>
        </w:rPr>
        <w:lastRenderedPageBreak/>
        <w:t>RELAÇÕES EXTERNAS</w:t>
      </w:r>
      <w:bookmarkEnd w:id="29"/>
    </w:p>
    <w:p w:rsidR="007F5784" w:rsidP="006D6D4E" w:rsidRDefault="007F5784" w14:paraId="3BBB3E68" w14:textId="77777777">
      <w:pPr>
        <w:keepNext/>
        <w:keepLines/>
      </w:pPr>
    </w:p>
    <w:p w:rsidRPr="00B96875" w:rsidR="00B96875" w:rsidP="00B96875" w:rsidRDefault="00F260F0" w14:paraId="7464D4C7" w14:textId="4B5D0BEC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4"/>
          <w:szCs w:val="24"/>
        </w:rPr>
      </w:pPr>
      <w:hyperlink w:history="1" r:id="rId45">
        <w:r w:rsidR="00AA36F2">
          <w:rPr>
            <w:b/>
            <w:i/>
            <w:color w:val="0000FF"/>
            <w:sz w:val="28"/>
            <w:u w:val="single"/>
          </w:rPr>
          <w:t>Decisão sobre a interpretação e a aplicação do Tratado da Carta da Energia</w:t>
        </w:r>
      </w:hyperlink>
    </w:p>
    <w:p w:rsidRPr="00B96875" w:rsidR="00B96875" w:rsidP="00B96875" w:rsidRDefault="00B96875" w14:paraId="5B43C9D5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60"/>
        <w:gridCol w:w="5387"/>
      </w:tblGrid>
      <w:tr w:rsidRPr="00B96875" w:rsidR="00B96875" w:rsidTr="00863A8F" w14:paraId="0BEC8599" w14:textId="77777777">
        <w:tc>
          <w:tcPr>
            <w:tcW w:w="1560" w:type="dxa"/>
          </w:tcPr>
          <w:p w:rsidRPr="00B96875" w:rsidR="00B96875" w:rsidP="00B96875" w:rsidRDefault="00B96875" w14:paraId="52A2CDD0" w14:textId="77777777">
            <w:pPr>
              <w:tabs>
                <w:tab w:val="center" w:pos="29"/>
              </w:tabs>
              <w:overflowPunct w:val="0"/>
              <w:autoSpaceDE w:val="0"/>
              <w:autoSpaceDN w:val="0"/>
              <w:adjustRightInd w:val="0"/>
              <w:ind w:left="171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5387" w:type="dxa"/>
          </w:tcPr>
          <w:p w:rsidRPr="00B96875" w:rsidR="00B96875" w:rsidP="00B96875" w:rsidRDefault="00B96875" w14:paraId="4ABE91CF" w14:textId="4B9F4B5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Christophe Quarez (FR – Grupo dos Trabalhadores)</w:t>
            </w:r>
          </w:p>
        </w:tc>
      </w:tr>
      <w:tr w:rsidRPr="00B96875" w:rsidR="00B96875" w:rsidTr="00863A8F" w14:paraId="77C05020" w14:textId="77777777">
        <w:tc>
          <w:tcPr>
            <w:tcW w:w="6945" w:type="dxa"/>
            <w:gridSpan w:val="2"/>
          </w:tcPr>
          <w:p w:rsidRPr="00B96875" w:rsidR="00B96875" w:rsidP="00B96875" w:rsidRDefault="00B96875" w14:paraId="0BCDF86E" w14:textId="77777777">
            <w:pPr>
              <w:tabs>
                <w:tab w:val="center" w:pos="29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171" w:hanging="266"/>
              <w:textAlignment w:val="baseline"/>
            </w:pPr>
          </w:p>
        </w:tc>
      </w:tr>
      <w:tr w:rsidRPr="00B96875" w:rsidR="00B96875" w:rsidTr="00863A8F" w14:paraId="04A8380E" w14:textId="77777777">
        <w:tc>
          <w:tcPr>
            <w:tcW w:w="1560" w:type="dxa"/>
            <w:vMerge w:val="restart"/>
          </w:tcPr>
          <w:p w:rsidRPr="00B96875" w:rsidR="00B96875" w:rsidP="00B96875" w:rsidRDefault="00B96875" w14:paraId="27CED65C" w14:textId="77777777">
            <w:pPr>
              <w:tabs>
                <w:tab w:val="center" w:pos="29"/>
              </w:tabs>
              <w:overflowPunct w:val="0"/>
              <w:autoSpaceDE w:val="0"/>
              <w:autoSpaceDN w:val="0"/>
              <w:adjustRightInd w:val="0"/>
              <w:ind w:left="171" w:hanging="266"/>
              <w:textAlignment w:val="baseline"/>
              <w:rPr>
                <w:b/>
              </w:rPr>
            </w:pPr>
            <w:r>
              <w:rPr>
                <w:b/>
              </w:rPr>
              <w:t xml:space="preserve">Referências </w:t>
            </w:r>
          </w:p>
        </w:tc>
        <w:tc>
          <w:tcPr>
            <w:tcW w:w="5387" w:type="dxa"/>
          </w:tcPr>
          <w:p w:rsidRPr="00B96875" w:rsidR="00B96875" w:rsidP="00B96875" w:rsidRDefault="00B96875" w14:paraId="45024F4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COM(2024) 257 final</w:t>
            </w:r>
          </w:p>
        </w:tc>
      </w:tr>
      <w:tr w:rsidRPr="00B96875" w:rsidR="00B96875" w:rsidTr="00863A8F" w14:paraId="477DC2D7" w14:textId="77777777">
        <w:tc>
          <w:tcPr>
            <w:tcW w:w="1560" w:type="dxa"/>
            <w:vMerge/>
          </w:tcPr>
          <w:p w:rsidRPr="00B96875" w:rsidR="00B96875" w:rsidP="00B96875" w:rsidRDefault="00B96875" w14:paraId="447B1BB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5387" w:type="dxa"/>
          </w:tcPr>
          <w:p w:rsidRPr="00B96875" w:rsidR="00B96875" w:rsidP="00B96875" w:rsidRDefault="00B96875" w14:paraId="41E3493F" w14:textId="3919B340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after="240"/>
              <w:ind w:left="266" w:hanging="266"/>
              <w:textAlignment w:val="baseline"/>
            </w:pPr>
            <w:r>
              <w:t>EESC-2024-03646-00-00-AC</w:t>
            </w:r>
          </w:p>
        </w:tc>
      </w:tr>
    </w:tbl>
    <w:p w:rsidRPr="00B96875" w:rsidR="00B96875" w:rsidP="00B96875" w:rsidRDefault="00B96875" w14:paraId="3EA87A7D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B96875" w:rsidR="00B96875" w:rsidP="00B96875" w:rsidRDefault="00B96875" w14:paraId="606FD2B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B96875" w:rsidR="00B96875" w:rsidP="00B96875" w:rsidRDefault="00B96875" w14:paraId="3CF3B75C" w14:textId="73DFC569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</w:t>
      </w:r>
      <w:r w:rsidR="00E51876">
        <w:t xml:space="preserve"> (CESE)</w:t>
      </w:r>
      <w:r>
        <w:t>:</w:t>
      </w:r>
    </w:p>
    <w:p w:rsidRPr="00B96875" w:rsidR="00B96875" w:rsidP="00B96875" w:rsidRDefault="00B96875" w14:paraId="6CCE0814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B96875" w:rsidR="00B96875" w:rsidP="00643D0B" w:rsidRDefault="00B96875" w14:paraId="3718E84B" w14:textId="77777777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rPr>
          <w:b/>
        </w:rPr>
        <w:t>aprova o acordo sobre a interpretação e aplicação do Tratado da Carta da Energia (TCE)</w:t>
      </w:r>
      <w:r>
        <w:t xml:space="preserve"> entre a União Europeia (UE), a Comunidade Europeia da Energia Atómica e os seus Estados-Membros, e regista a retirada formal da UE do TCE em 27 de junho de 2024;</w:t>
      </w:r>
    </w:p>
    <w:p w:rsidRPr="00B96875" w:rsidR="00B96875" w:rsidP="00643D0B" w:rsidRDefault="00B96875" w14:paraId="519456FE" w14:textId="77777777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concorda com o Tribunal de Justiça da União Europeia (TJUE) sobre o facto de </w:t>
      </w:r>
      <w:r>
        <w:rPr>
          <w:b/>
        </w:rPr>
        <w:t>o artigo 26.º, n.º 2, do TCE ser incompatível com o direito da UE</w:t>
      </w:r>
      <w:r>
        <w:t>, e salienta que o TCE nunca se destinou a ser aplicado às relações intra-UE;</w:t>
      </w:r>
    </w:p>
    <w:p w:rsidRPr="00B96875" w:rsidR="00B96875" w:rsidP="00643D0B" w:rsidRDefault="00B96875" w14:paraId="42DA2EA2" w14:textId="77777777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sublinha que o mecanismo de resolução de diferendos entre investidores e Estados do TCE pode </w:t>
      </w:r>
      <w:r>
        <w:rPr>
          <w:b/>
        </w:rPr>
        <w:t>comprometer o Estado de direito, a democracia, a transparência e a coerência</w:t>
      </w:r>
      <w:r>
        <w:t>, permitindo aos investidores contornar os tribunais nacionais e contestar a legislação nacional que prejudique as suas expectativas de lucro;</w:t>
      </w:r>
    </w:p>
    <w:p w:rsidRPr="00B96875" w:rsidR="00B96875" w:rsidP="00643D0B" w:rsidRDefault="00B96875" w14:paraId="473BC6F5" w14:textId="77777777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salienta que a </w:t>
      </w:r>
      <w:r>
        <w:rPr>
          <w:b/>
        </w:rPr>
        <w:t>proteção dos investimentos em combustíveis fósseis prevista no TCE é contrária aos objetivos climáticos</w:t>
      </w:r>
      <w:r>
        <w:t>, como os estabelecidos no Pacto Ecológico Europeu e no Acordo de Paris;</w:t>
      </w:r>
    </w:p>
    <w:p w:rsidRPr="00B96875" w:rsidR="00B96875" w:rsidP="00643D0B" w:rsidRDefault="00B96875" w14:paraId="5B4C7121" w14:textId="77777777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incentiva a celebração de </w:t>
      </w:r>
      <w:r>
        <w:rPr>
          <w:b/>
        </w:rPr>
        <w:t>acordos com países terceiros</w:t>
      </w:r>
      <w:r>
        <w:t xml:space="preserve">, como o Reino Unido, para eliminar os riscos de processos de arbitragem devido à cláusula de caducidade de 20 anos do TCE; </w:t>
      </w:r>
    </w:p>
    <w:p w:rsidRPr="00B96875" w:rsidR="00B96875" w:rsidP="00643D0B" w:rsidRDefault="00B96875" w14:paraId="1E9CEDCF" w14:textId="77777777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defende a exploração de mecanismos jurídicos para neutralizar os efeitos da cláusula de caducidade, a fim de evitar riscos de arbitragem prolongados </w:t>
      </w:r>
      <w:r>
        <w:rPr>
          <w:b/>
        </w:rPr>
        <w:t>suscetíveis de prejudicar os objetivos da UE em matéria de transição climática e energética</w:t>
      </w:r>
      <w:r>
        <w:t>;</w:t>
      </w:r>
    </w:p>
    <w:p w:rsidRPr="00B96875" w:rsidR="00B96875" w:rsidP="00643D0B" w:rsidRDefault="00B96875" w14:paraId="055BEA7B" w14:textId="77777777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insta os Estados-Membros que ainda são partes contratantes no TCE a ponderarem a possibilidade de se retirarem do TCE devido aos problemas persistentes e </w:t>
      </w:r>
      <w:r>
        <w:rPr>
          <w:b/>
        </w:rPr>
        <w:t>preconiza a elaboração de um novo quadro multilateral para a cooperação energética</w:t>
      </w:r>
      <w:r>
        <w:t xml:space="preserve"> que:</w:t>
      </w:r>
    </w:p>
    <w:p w:rsidRPr="00B96875" w:rsidR="00B96875" w:rsidP="00643D0B" w:rsidRDefault="00B96875" w14:paraId="323F20B7" w14:textId="25D18D70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</w:pPr>
      <w:r>
        <w:t>dê prioridade às fontes de energia sustentáveis e renováveis</w:t>
      </w:r>
      <w:r w:rsidR="00E51876">
        <w:t>;</w:t>
      </w:r>
    </w:p>
    <w:p w:rsidRPr="00B96875" w:rsidR="00B96875" w:rsidP="00643D0B" w:rsidRDefault="00B96875" w14:paraId="3AD6D084" w14:textId="712D82C5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</w:pPr>
      <w:r>
        <w:t xml:space="preserve">esteja plenamente alinhado com o </w:t>
      </w:r>
      <w:r>
        <w:rPr>
          <w:b/>
        </w:rPr>
        <w:t>Pacto Ecológico Europeu</w:t>
      </w:r>
      <w:r w:rsidRPr="00E51876" w:rsidR="00E51876">
        <w:t>;</w:t>
      </w:r>
    </w:p>
    <w:p w:rsidRPr="00B96875" w:rsidR="00B96875" w:rsidP="00643D0B" w:rsidRDefault="00B96875" w14:paraId="5E0A2F18" w14:textId="138B72C2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</w:pPr>
      <w:r>
        <w:t xml:space="preserve">tenha em conta a </w:t>
      </w:r>
      <w:r>
        <w:rPr>
          <w:b/>
        </w:rPr>
        <w:t>transição justa</w:t>
      </w:r>
      <w:r w:rsidR="00E51876">
        <w:t>;</w:t>
      </w:r>
    </w:p>
    <w:p w:rsidRPr="00B96875" w:rsidR="00B96875" w:rsidP="00643D0B" w:rsidRDefault="00B96875" w14:paraId="47BD8F13" w14:textId="77777777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respeite a transparência, a democracia e o Estado de direito.</w:t>
      </w:r>
    </w:p>
    <w:p w:rsidRPr="00B96875" w:rsidR="00B96875" w:rsidP="00B96875" w:rsidRDefault="00B96875" w14:paraId="3ADC8544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1"/>
        <w:gridCol w:w="5137"/>
      </w:tblGrid>
      <w:tr w:rsidRPr="00B96875" w:rsidR="00B96875" w:rsidTr="00E51876" w14:paraId="76D2CF82" w14:textId="77777777">
        <w:tc>
          <w:tcPr>
            <w:tcW w:w="1951" w:type="dxa"/>
          </w:tcPr>
          <w:p w:rsidRPr="00B96875" w:rsidR="00B96875" w:rsidP="00B96875" w:rsidRDefault="00B96875" w14:paraId="38F1592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137" w:type="dxa"/>
          </w:tcPr>
          <w:p w:rsidRPr="00B96875" w:rsidR="00B96875" w:rsidP="00B96875" w:rsidRDefault="00B96875" w14:paraId="1DF5B94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Marco Ristori</w:t>
            </w:r>
          </w:p>
        </w:tc>
      </w:tr>
      <w:tr w:rsidRPr="00B96875" w:rsidR="00B96875" w:rsidTr="00E51876" w14:paraId="4AB96BAF" w14:textId="77777777">
        <w:tc>
          <w:tcPr>
            <w:tcW w:w="1951" w:type="dxa"/>
          </w:tcPr>
          <w:p w:rsidRPr="00B96875" w:rsidR="00B96875" w:rsidP="00B96875" w:rsidRDefault="00B96875" w14:paraId="106F96D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137" w:type="dxa"/>
          </w:tcPr>
          <w:p w:rsidRPr="00B96875" w:rsidR="00B96875" w:rsidP="00B96875" w:rsidRDefault="00B96875" w14:paraId="23FA0C5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+ 32 2 546 97 32</w:t>
            </w:r>
          </w:p>
        </w:tc>
      </w:tr>
      <w:tr w:rsidRPr="00B96875" w:rsidR="00B96875" w:rsidTr="00E51876" w14:paraId="7FC8E54F" w14:textId="77777777">
        <w:tc>
          <w:tcPr>
            <w:tcW w:w="1951" w:type="dxa"/>
          </w:tcPr>
          <w:p w:rsidRPr="00B96875" w:rsidR="00B96875" w:rsidP="00B96875" w:rsidRDefault="00761851" w14:paraId="4664E3E1" w14:textId="29FE810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137" w:type="dxa"/>
          </w:tcPr>
          <w:p w:rsidRPr="00B96875" w:rsidR="00B96875" w:rsidP="00B96875" w:rsidRDefault="00F260F0" w14:paraId="2786F74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w:history="1" r:id="rId46">
              <w:r w:rsidR="00AA36F2">
                <w:rPr>
                  <w:i/>
                  <w:color w:val="0000FF"/>
                  <w:u w:val="single"/>
                </w:rPr>
                <w:t>Marco.Ristori@eesc.europa.eu</w:t>
              </w:r>
            </w:hyperlink>
            <w:r w:rsidR="00AA36F2">
              <w:rPr>
                <w:i/>
              </w:rPr>
              <w:t xml:space="preserve"> </w:t>
            </w:r>
          </w:p>
        </w:tc>
      </w:tr>
    </w:tbl>
    <w:p w:rsidR="00B96875" w:rsidRDefault="00B96875" w14:paraId="48402832" w14:textId="77777777">
      <w:pPr>
        <w:spacing w:after="160" w:line="259" w:lineRule="auto"/>
        <w:jc w:val="left"/>
      </w:pPr>
    </w:p>
    <w:p w:rsidR="00B96875" w:rsidRDefault="00B96875" w14:paraId="64E1699F" w14:textId="77777777">
      <w:pPr>
        <w:spacing w:after="160" w:line="259" w:lineRule="auto"/>
        <w:jc w:val="left"/>
      </w:pPr>
      <w:r>
        <w:br w:type="page"/>
      </w:r>
    </w:p>
    <w:p w:rsidRPr="00412085" w:rsidR="00412085" w:rsidP="00412085" w:rsidRDefault="00412085" w14:paraId="562FB9AE" w14:textId="74F4D25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color w:val="0000FF"/>
          <w:sz w:val="20"/>
          <w:szCs w:val="20"/>
          <w:u w:val="single"/>
        </w:rPr>
      </w:pPr>
      <w:r w:rsidRPr="00412085">
        <w:rPr>
          <w:b/>
          <w:i/>
          <w:sz w:val="28"/>
        </w:rPr>
        <w:lastRenderedPageBreak/>
        <w:fldChar w:fldCharType="begin"/>
      </w:r>
      <w:r w:rsidRPr="00412085">
        <w:rPr>
          <w:b/>
          <w:i/>
          <w:sz w:val="28"/>
        </w:rPr>
        <w:instrText xml:space="preserve"> HYPERLINK "https://www.eesc.europa.eu/pt/our-work/opinions-information-reports/opinions/water-politics-empowering-youth-women-and-indigenous-and-local-communities" </w:instrText>
      </w:r>
      <w:r w:rsidRPr="00412085">
        <w:rPr>
          <w:b/>
          <w:i/>
          <w:sz w:val="28"/>
        </w:rPr>
        <w:fldChar w:fldCharType="separate"/>
      </w:r>
      <w:r>
        <w:rPr>
          <w:b/>
          <w:i/>
          <w:color w:val="0000FF"/>
          <w:sz w:val="28"/>
          <w:u w:val="single"/>
        </w:rPr>
        <w:t>Política da água: capacitar os jovens, as mulheres e as comunidades indígenas e locais</w:t>
      </w:r>
    </w:p>
    <w:p w:rsidRPr="00412085" w:rsidR="00412085" w:rsidP="00412085" w:rsidRDefault="00412085" w14:paraId="7FF33753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412085">
        <w:rPr>
          <w:b/>
          <w:i/>
          <w:sz w:val="28"/>
        </w:rPr>
        <w:fldChar w:fldCharType="end"/>
      </w:r>
    </w:p>
    <w:tbl>
      <w:tblPr>
        <w:tblStyle w:val="TableGrid13"/>
        <w:tblW w:w="492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4"/>
        <w:gridCol w:w="7328"/>
      </w:tblGrid>
      <w:tr w:rsidRPr="00412085" w:rsidR="00412085" w:rsidTr="007A05BB" w14:paraId="5B43C61E" w14:textId="77777777">
        <w:tc>
          <w:tcPr>
            <w:tcW w:w="1111" w:type="pct"/>
          </w:tcPr>
          <w:p w:rsidRPr="00412085" w:rsidR="00412085" w:rsidP="00412085" w:rsidRDefault="00412085" w14:paraId="309E79A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Relatora</w:t>
            </w:r>
          </w:p>
          <w:p w:rsidRPr="00412085" w:rsidR="00412085" w:rsidP="00412085" w:rsidRDefault="00412085" w14:paraId="1DECC72F" w14:textId="54F5045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Correlator</w:t>
            </w:r>
          </w:p>
        </w:tc>
        <w:tc>
          <w:tcPr>
            <w:tcW w:w="3889" w:type="pct"/>
          </w:tcPr>
          <w:p w:rsidRPr="00412085" w:rsidR="00412085" w:rsidP="00412085" w:rsidRDefault="00412085" w14:paraId="1FA216E4" w14:textId="6F365C3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Milena Angelova (BG – Grupo dos Empregadores)</w:t>
            </w:r>
          </w:p>
          <w:p w:rsidRPr="00412085" w:rsidR="00412085" w:rsidP="00412085" w:rsidRDefault="00412085" w14:paraId="2854E0E0" w14:textId="137BEF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Ioannis Vardakastanis (EL – Grupo das Organizações da Sociedade Civil)</w:t>
            </w:r>
          </w:p>
        </w:tc>
      </w:tr>
      <w:tr w:rsidRPr="00412085" w:rsidR="00412085" w:rsidTr="007A05BB" w14:paraId="716B957D" w14:textId="77777777">
        <w:tc>
          <w:tcPr>
            <w:tcW w:w="5000" w:type="pct"/>
            <w:gridSpan w:val="2"/>
          </w:tcPr>
          <w:p w:rsidRPr="00412085" w:rsidR="00412085" w:rsidP="00412085" w:rsidRDefault="00412085" w14:paraId="5214577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412085" w:rsidR="00412085" w:rsidTr="007A05BB" w14:paraId="7F93B548" w14:textId="77777777">
        <w:tc>
          <w:tcPr>
            <w:tcW w:w="1111" w:type="pct"/>
            <w:vMerge w:val="restart"/>
          </w:tcPr>
          <w:p w:rsidRPr="00412085" w:rsidR="00412085" w:rsidP="00412085" w:rsidRDefault="00412085" w14:paraId="4752DDE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3889" w:type="pct"/>
          </w:tcPr>
          <w:p w:rsidR="00114003" w:rsidP="00412085" w:rsidRDefault="00114003" w14:paraId="49B51E12" w14:textId="4A2C07A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de iniciativa</w:t>
            </w:r>
          </w:p>
          <w:p w:rsidRPr="00412085" w:rsidR="00412085" w:rsidP="00412085" w:rsidRDefault="00412085" w14:paraId="51172282" w14:textId="622893A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EESC-2024-00874-00-00-AC</w:t>
            </w:r>
          </w:p>
        </w:tc>
      </w:tr>
      <w:tr w:rsidRPr="00412085" w:rsidR="00412085" w:rsidTr="007A05BB" w14:paraId="5D98CFA2" w14:textId="77777777">
        <w:tc>
          <w:tcPr>
            <w:tcW w:w="1111" w:type="pct"/>
            <w:vMerge/>
          </w:tcPr>
          <w:p w:rsidRPr="00412085" w:rsidR="00412085" w:rsidP="00412085" w:rsidRDefault="00412085" w14:paraId="609E861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889" w:type="pct"/>
          </w:tcPr>
          <w:p w:rsidRPr="00412085" w:rsidR="00412085" w:rsidP="00412085" w:rsidRDefault="00412085" w14:paraId="3C8BE33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412085" w:rsidR="00412085" w:rsidP="00412085" w:rsidRDefault="00412085" w14:paraId="38A7852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412085" w:rsidR="00412085" w:rsidP="00412085" w:rsidRDefault="00412085" w14:paraId="0DAD151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412085" w:rsidR="00412085" w:rsidP="00412085" w:rsidRDefault="00412085" w14:paraId="440F1C53" w14:textId="2816203E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</w:t>
      </w:r>
      <w:r w:rsidR="007A05BB">
        <w:t xml:space="preserve"> (CESE)</w:t>
      </w:r>
      <w:r>
        <w:t>:</w:t>
      </w:r>
    </w:p>
    <w:p w:rsidRPr="00412085" w:rsidR="00412085" w:rsidP="00412085" w:rsidRDefault="00412085" w14:paraId="12BE777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412085" w:rsidR="00412085" w:rsidP="00643D0B" w:rsidRDefault="00412085" w14:paraId="2FFAE05C" w14:textId="7777777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relembra que </w:t>
      </w:r>
      <w:r>
        <w:rPr>
          <w:b/>
        </w:rPr>
        <w:t>a água é crucial para a vida e a dignidade humana</w:t>
      </w:r>
      <w:r>
        <w:t xml:space="preserve"> e que, tal como reconhecido pela UE, o </w:t>
      </w:r>
      <w:r>
        <w:rPr>
          <w:b/>
        </w:rPr>
        <w:t>acesso à água e ao saneamento é um direito humano fundamental</w:t>
      </w:r>
      <w:r>
        <w:t xml:space="preserve">; </w:t>
      </w:r>
    </w:p>
    <w:p w:rsidRPr="00412085" w:rsidR="00412085" w:rsidP="00643D0B" w:rsidRDefault="00412085" w14:paraId="467DFD1E" w14:textId="7777777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salienta que </w:t>
      </w:r>
      <w:r>
        <w:rPr>
          <w:b/>
        </w:rPr>
        <w:t>os jovens, as mulheres e as comunidades indígenas e locais (incluindo os migrantes e as pessoas com deficiência)</w:t>
      </w:r>
      <w:r>
        <w:t xml:space="preserve"> estão entre os grupos mais </w:t>
      </w:r>
      <w:r>
        <w:rPr>
          <w:b/>
        </w:rPr>
        <w:t xml:space="preserve">vulneráveis ao </w:t>
      </w:r>
      <w:r>
        <w:rPr>
          <w:b/>
          <w:i/>
        </w:rPr>
        <w:t>stress</w:t>
      </w:r>
      <w:r>
        <w:rPr>
          <w:b/>
        </w:rPr>
        <w:t xml:space="preserve"> hídrico</w:t>
      </w:r>
      <w:r>
        <w:t xml:space="preserve"> e têm um grande potencial inexplorado para contribuir para uma gestão sustentável da água, para converter a água num instrumento de paz e estabilidade e, por conseguinte, para contribuir para a diplomacia azul;</w:t>
      </w:r>
    </w:p>
    <w:p w:rsidRPr="00412085" w:rsidR="00412085" w:rsidP="00643D0B" w:rsidRDefault="00412085" w14:paraId="6A643D9D" w14:textId="7777777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insta a UE a prestar a devida </w:t>
      </w:r>
      <w:r>
        <w:rPr>
          <w:b/>
        </w:rPr>
        <w:t>atenção a estes segmentos da população nas suas relações externas e na cooperação internacional</w:t>
      </w:r>
      <w:r>
        <w:t xml:space="preserve"> e propõe um </w:t>
      </w:r>
      <w:r>
        <w:rPr>
          <w:b/>
        </w:rPr>
        <w:t xml:space="preserve">programa emblemático de parceria relacionado com o </w:t>
      </w:r>
      <w:r>
        <w:rPr>
          <w:b/>
          <w:i/>
        </w:rPr>
        <w:t>stress</w:t>
      </w:r>
      <w:r>
        <w:rPr>
          <w:b/>
        </w:rPr>
        <w:t xml:space="preserve"> hídrico para abordar o modo de os capacitar</w:t>
      </w:r>
      <w:r>
        <w:t xml:space="preserve"> de forma integrada;</w:t>
      </w:r>
    </w:p>
    <w:p w:rsidRPr="00412085" w:rsidR="00412085" w:rsidP="00643D0B" w:rsidRDefault="00412085" w14:paraId="229CA872" w14:textId="7777777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assinala que o </w:t>
      </w:r>
      <w:r>
        <w:rPr>
          <w:b/>
        </w:rPr>
        <w:t>acesso à água potável, à educação e ao emprego e a participação na elaboração de políticas são elementos fundamentais da capacitação</w:t>
      </w:r>
      <w:r>
        <w:t>. É crucial melhorar o acesso aos serviços de água, saneamento e higiene, uma vez que liberta tempo para a educação e a formação profissional e abre novas possibilidades de emprego e de contribuir para a gestão e as políticas da água;</w:t>
      </w:r>
    </w:p>
    <w:p w:rsidRPr="00412085" w:rsidR="00412085" w:rsidP="00643D0B" w:rsidRDefault="00412085" w14:paraId="6EF6F348" w14:textId="7777777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considera que </w:t>
      </w:r>
      <w:r>
        <w:rPr>
          <w:b/>
        </w:rPr>
        <w:t>os jovens devem possuir aptidões gerais de civismo, cidadania e empreendedorismo</w:t>
      </w:r>
      <w:r>
        <w:t xml:space="preserve">, para que possam contribuir para </w:t>
      </w:r>
      <w:r>
        <w:rPr>
          <w:b/>
        </w:rPr>
        <w:t>a gestão da água, o emprego e a elaboração de políticas</w:t>
      </w:r>
      <w:r>
        <w:t xml:space="preserve"> enquanto motores de mudança atuais e decisores futuros;</w:t>
      </w:r>
    </w:p>
    <w:p w:rsidRPr="00412085" w:rsidR="00412085" w:rsidP="00643D0B" w:rsidRDefault="00412085" w14:paraId="12DFF124" w14:textId="7777777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entende que a </w:t>
      </w:r>
      <w:r>
        <w:rPr>
          <w:b/>
        </w:rPr>
        <w:t>plena igualdade de género na educação, no trabalho, nas autoridades e no empreendedorismo é outro fator vital</w:t>
      </w:r>
      <w:r>
        <w:t>. Também importa dar o devido destaque a condições de trabalho dignas, incluindo a prevenção da discriminação e do assédio;</w:t>
      </w:r>
    </w:p>
    <w:p w:rsidR="00A14FA3" w:rsidP="00A14FA3" w:rsidRDefault="00412085" w14:paraId="5B894A5A" w14:textId="7777777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realça que </w:t>
      </w:r>
      <w:r>
        <w:rPr>
          <w:b/>
        </w:rPr>
        <w:t>as comunidades locais devem ter acesso às infraestruturas, à informação, à educação e à formação</w:t>
      </w:r>
      <w:r>
        <w:t xml:space="preserve"> e as organizações da sociedade civil a nível local devem ser associadas à formulação das políticas a nível local, sensibilizando e capacitando os grupos indígenas;</w:t>
      </w:r>
    </w:p>
    <w:p w:rsidR="00A14FA3" w:rsidP="00A14FA3" w:rsidRDefault="00412085" w14:paraId="6D1074EC" w14:textId="77777777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 w:rsidRPr="00A14FA3">
        <w:t>reitera que as tecnologias azuis e digitais são fundamentais para melhorar a gestão da água e o acesso à água potável e ao saneamento;</w:t>
      </w:r>
    </w:p>
    <w:p w:rsidRPr="00A14FA3" w:rsidR="00412085" w:rsidP="00A14FA3" w:rsidRDefault="00412085" w14:paraId="0AE10E58" w14:textId="1B92E2B8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salienta que </w:t>
      </w:r>
      <w:r w:rsidRPr="00A14FA3">
        <w:rPr>
          <w:b/>
        </w:rPr>
        <w:t>as parcerias construtivas e o financiamento são essenciais para o desenvolvimento de infraestruturas, a educação e o reforço geral das capacidades</w:t>
      </w:r>
      <w:r>
        <w:t>. Tanto os fundos da UE como os programas dos doadores nacionais são cruciais neste contexto, e a coordenação é vital para criar sinergias e tirar o máximo partido dos recursos afetados.</w:t>
      </w:r>
    </w:p>
    <w:p w:rsidRPr="00412085" w:rsidR="00412085" w:rsidP="00412085" w:rsidRDefault="00412085" w14:paraId="76F00CC6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3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4"/>
        <w:gridCol w:w="4636"/>
      </w:tblGrid>
      <w:tr w:rsidRPr="00412085" w:rsidR="00412085" w:rsidTr="00863A8F" w14:paraId="679CFF37" w14:textId="77777777">
        <w:tc>
          <w:tcPr>
            <w:tcW w:w="1556" w:type="pct"/>
          </w:tcPr>
          <w:p w:rsidRPr="00412085" w:rsidR="00412085" w:rsidP="00412085" w:rsidRDefault="00412085" w14:paraId="7226FAB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444" w:type="pct"/>
          </w:tcPr>
          <w:p w:rsidRPr="00412085" w:rsidR="00412085" w:rsidP="00412085" w:rsidRDefault="00412085" w14:paraId="5C6D492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Tzonka Iotzova</w:t>
            </w:r>
          </w:p>
        </w:tc>
      </w:tr>
      <w:tr w:rsidRPr="00412085" w:rsidR="00412085" w:rsidTr="00863A8F" w14:paraId="425EFC6E" w14:textId="77777777">
        <w:tc>
          <w:tcPr>
            <w:tcW w:w="1556" w:type="pct"/>
          </w:tcPr>
          <w:p w:rsidRPr="00412085" w:rsidR="00412085" w:rsidP="00412085" w:rsidRDefault="00412085" w14:paraId="0CF7BFD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412085" w:rsidR="00412085" w:rsidP="00412085" w:rsidRDefault="00412085" w14:paraId="1787734D" w14:textId="1AFFF71E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+32 2 546 89 78</w:t>
            </w:r>
          </w:p>
        </w:tc>
      </w:tr>
      <w:tr w:rsidRPr="00412085" w:rsidR="00412085" w:rsidTr="00863A8F" w14:paraId="0B65A427" w14:textId="77777777">
        <w:tc>
          <w:tcPr>
            <w:tcW w:w="1556" w:type="pct"/>
          </w:tcPr>
          <w:p w:rsidRPr="00412085" w:rsidR="00412085" w:rsidP="00412085" w:rsidRDefault="00412085" w14:paraId="5106EF4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Pr="00412085" w:rsidR="00412085" w:rsidP="00412085" w:rsidRDefault="00F260F0" w14:paraId="1216AFD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47">
              <w:r w:rsidR="00AA36F2">
                <w:rPr>
                  <w:i/>
                  <w:color w:val="0000FF"/>
                  <w:u w:val="single"/>
                </w:rPr>
                <w:t>Tzonka.Iotzova@eesc.europa.eu</w:t>
              </w:r>
            </w:hyperlink>
          </w:p>
        </w:tc>
      </w:tr>
    </w:tbl>
    <w:p w:rsidR="00902A1F" w:rsidRDefault="00902A1F" w14:paraId="672A3999" w14:textId="77777777">
      <w:pPr>
        <w:spacing w:after="160" w:line="259" w:lineRule="auto"/>
        <w:jc w:val="left"/>
      </w:pPr>
      <w:r>
        <w:br w:type="page"/>
      </w:r>
    </w:p>
    <w:p w:rsidRPr="00395260" w:rsidR="00395260" w:rsidP="00643D0B" w:rsidRDefault="00395260" w14:paraId="2EEEDA1F" w14:textId="748FFCBB">
      <w:pPr>
        <w:pStyle w:val="ListParagraph"/>
        <w:numPr>
          <w:ilvl w:val="0"/>
          <w:numId w:val="42"/>
        </w:numPr>
        <w:ind w:left="426" w:hanging="426"/>
        <w:rPr>
          <w:color w:val="0000FF"/>
          <w:sz w:val="20"/>
          <w:szCs w:val="20"/>
          <w:u w:val="single"/>
        </w:rPr>
      </w:pPr>
      <w:r w:rsidRPr="00395260">
        <w:rPr>
          <w:b/>
          <w:i/>
          <w:sz w:val="28"/>
        </w:rPr>
        <w:lastRenderedPageBreak/>
        <w:fldChar w:fldCharType="begin"/>
      </w:r>
      <w:r w:rsidRPr="00395260">
        <w:rPr>
          <w:b/>
          <w:i/>
          <w:sz w:val="28"/>
        </w:rPr>
        <w:instrText>HYPERLINK "https://www.eesc.europa.eu/pt/our-work/opinions-information-reports/opinions/democracy-africa-current-situation-and-future-perspectives-what-role-eesc"</w:instrText>
      </w:r>
      <w:r w:rsidRPr="00395260">
        <w:rPr>
          <w:b/>
          <w:i/>
          <w:sz w:val="28"/>
        </w:rPr>
        <w:fldChar w:fldCharType="separate"/>
      </w:r>
      <w:r>
        <w:rPr>
          <w:b/>
          <w:i/>
          <w:color w:val="0000FF"/>
          <w:sz w:val="28"/>
          <w:u w:val="single"/>
        </w:rPr>
        <w:t xml:space="preserve">Democracia em África: situação atual e perspetivas futuras – </w:t>
      </w:r>
      <w:r>
        <w:rPr>
          <w:b/>
          <w:color w:val="0000FF"/>
          <w:sz w:val="28"/>
          <w:u w:val="single"/>
        </w:rPr>
        <w:t>Que papel pode desempenhar o CESE?</w:t>
      </w:r>
    </w:p>
    <w:p w:rsidRPr="00395260" w:rsidR="00395260" w:rsidP="003E6800" w:rsidRDefault="00395260" w14:paraId="1C329E5F" w14:textId="77777777">
      <w:pPr>
        <w:tabs>
          <w:tab w:val="center" w:pos="284"/>
        </w:tabs>
        <w:overflowPunct w:val="0"/>
        <w:autoSpaceDE w:val="0"/>
        <w:autoSpaceDN w:val="0"/>
        <w:adjustRightInd w:val="0"/>
        <w:spacing w:line="192" w:lineRule="auto"/>
        <w:ind w:left="425" w:hanging="425"/>
        <w:textAlignment w:val="baseline"/>
        <w:rPr>
          <w:b/>
        </w:rPr>
      </w:pPr>
      <w:r w:rsidRPr="00395260">
        <w:rPr>
          <w:b/>
          <w:i/>
          <w:sz w:val="28"/>
        </w:rPr>
        <w:fldChar w:fldCharType="end"/>
      </w:r>
    </w:p>
    <w:tbl>
      <w:tblPr>
        <w:tblStyle w:val="TableGrid14"/>
        <w:tblW w:w="398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4"/>
        <w:gridCol w:w="5526"/>
      </w:tblGrid>
      <w:tr w:rsidRPr="00395260" w:rsidR="00395260" w:rsidTr="003E6800" w14:paraId="322608AD" w14:textId="77777777">
        <w:tc>
          <w:tcPr>
            <w:tcW w:w="1374" w:type="pct"/>
          </w:tcPr>
          <w:p w:rsidRPr="00395260" w:rsidR="00395260" w:rsidP="00643D0B" w:rsidRDefault="00395260" w14:paraId="5A04639F" w14:textId="34C3D8F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3626" w:type="pct"/>
          </w:tcPr>
          <w:p w:rsidRPr="00395260" w:rsidR="00395260" w:rsidP="00643D0B" w:rsidRDefault="00395260" w14:paraId="756EAE6A" w14:textId="52DF930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66" w:hanging="266"/>
              <w:textAlignment w:val="baseline"/>
            </w:pPr>
            <w:r>
              <w:t>Carlos Manuel Trindade (PT – Grupo dos Trabalhadores)</w:t>
            </w:r>
          </w:p>
        </w:tc>
      </w:tr>
      <w:tr w:rsidRPr="00395260" w:rsidR="00395260" w:rsidTr="003E6800" w14:paraId="24ECAD0B" w14:textId="77777777">
        <w:tc>
          <w:tcPr>
            <w:tcW w:w="5000" w:type="pct"/>
            <w:gridSpan w:val="2"/>
          </w:tcPr>
          <w:p w:rsidRPr="00395260" w:rsidR="00395260" w:rsidP="00643D0B" w:rsidRDefault="00395260" w14:paraId="7827AB8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66" w:hanging="266"/>
              <w:textAlignment w:val="baseline"/>
            </w:pPr>
          </w:p>
        </w:tc>
      </w:tr>
      <w:tr w:rsidRPr="00395260" w:rsidR="00395260" w:rsidTr="003E6800" w14:paraId="479F66E3" w14:textId="77777777">
        <w:tc>
          <w:tcPr>
            <w:tcW w:w="1374" w:type="pct"/>
            <w:vMerge w:val="restart"/>
          </w:tcPr>
          <w:p w:rsidRPr="00395260" w:rsidR="00395260" w:rsidP="00643D0B" w:rsidRDefault="00395260" w14:paraId="26B745A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3626" w:type="pct"/>
          </w:tcPr>
          <w:p w:rsidR="006C1C6C" w:rsidP="00643D0B" w:rsidRDefault="006C1C6C" w14:paraId="45C32250" w14:textId="69B9E8B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66" w:hanging="266"/>
              <w:textAlignment w:val="baseline"/>
            </w:pPr>
            <w:r>
              <w:t>Parecer de iniciativa</w:t>
            </w:r>
          </w:p>
          <w:p w:rsidRPr="00395260" w:rsidR="00395260" w:rsidP="00643D0B" w:rsidRDefault="00395260" w14:paraId="5FF7FC85" w14:textId="58AEF7E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66" w:hanging="266"/>
              <w:textAlignment w:val="baseline"/>
            </w:pPr>
            <w:r>
              <w:t>EESC-2024-01631-00-00-AC</w:t>
            </w:r>
          </w:p>
        </w:tc>
      </w:tr>
      <w:tr w:rsidRPr="00395260" w:rsidR="00395260" w:rsidTr="003E6800" w14:paraId="2B877313" w14:textId="77777777">
        <w:tc>
          <w:tcPr>
            <w:tcW w:w="1374" w:type="pct"/>
            <w:vMerge/>
          </w:tcPr>
          <w:p w:rsidRPr="00395260" w:rsidR="00395260" w:rsidP="00395260" w:rsidRDefault="00395260" w14:paraId="493AF3D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626" w:type="pct"/>
          </w:tcPr>
          <w:p w:rsidRPr="00395260" w:rsidR="00395260" w:rsidP="00395260" w:rsidRDefault="00395260" w14:paraId="75AA90F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395260" w:rsidR="00395260" w:rsidP="00395260" w:rsidRDefault="00395260" w14:paraId="3CBD546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395260" w:rsidR="00395260" w:rsidP="003E6800" w:rsidRDefault="00395260" w14:paraId="465B3A8C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192" w:lineRule="auto"/>
        <w:ind w:left="266" w:hanging="266"/>
        <w:textAlignment w:val="baseline"/>
        <w:rPr>
          <w:b/>
          <w:lang w:val="en-GB"/>
        </w:rPr>
      </w:pPr>
    </w:p>
    <w:p w:rsidRPr="00395260" w:rsidR="00395260" w:rsidP="00395260" w:rsidRDefault="00395260" w14:paraId="34E1EBDF" w14:textId="26550E66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</w:t>
      </w:r>
      <w:r w:rsidR="003E6800">
        <w:t xml:space="preserve"> (CESE)</w:t>
      </w:r>
      <w:r>
        <w:t>:</w:t>
      </w:r>
    </w:p>
    <w:p w:rsidRPr="00395260" w:rsidR="00395260" w:rsidP="00643D0B" w:rsidRDefault="00395260" w14:paraId="7A0C60DF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entende que a </w:t>
      </w:r>
      <w:r>
        <w:rPr>
          <w:b/>
        </w:rPr>
        <w:t>democracia</w:t>
      </w:r>
      <w:r>
        <w:t xml:space="preserve"> exige </w:t>
      </w:r>
      <w:r>
        <w:rPr>
          <w:b/>
        </w:rPr>
        <w:t>respeito pelos direitos humanos</w:t>
      </w:r>
      <w:r>
        <w:t xml:space="preserve">, </w:t>
      </w:r>
      <w:r>
        <w:rPr>
          <w:b/>
        </w:rPr>
        <w:t>instituições fortes</w:t>
      </w:r>
      <w:r>
        <w:t xml:space="preserve">, </w:t>
      </w:r>
      <w:r>
        <w:rPr>
          <w:b/>
        </w:rPr>
        <w:t>separação de poderes</w:t>
      </w:r>
      <w:r>
        <w:t xml:space="preserve">, garantindo o Estado de direito e a independência do poder judicial, </w:t>
      </w:r>
      <w:r>
        <w:rPr>
          <w:b/>
        </w:rPr>
        <w:t>eleições livres e justas</w:t>
      </w:r>
      <w:r>
        <w:t xml:space="preserve">, </w:t>
      </w:r>
      <w:r>
        <w:rPr>
          <w:b/>
        </w:rPr>
        <w:t>responsabilização perante o povo</w:t>
      </w:r>
      <w:r>
        <w:t xml:space="preserve">, </w:t>
      </w:r>
      <w:r>
        <w:rPr>
          <w:b/>
        </w:rPr>
        <w:t>direito à plena participação</w:t>
      </w:r>
      <w:r>
        <w:t xml:space="preserve"> e o </w:t>
      </w:r>
      <w:r>
        <w:rPr>
          <w:b/>
        </w:rPr>
        <w:t>combate à discriminação</w:t>
      </w:r>
      <w:r>
        <w:t>;</w:t>
      </w:r>
    </w:p>
    <w:p w:rsidRPr="00395260" w:rsidR="00395260" w:rsidP="00643D0B" w:rsidRDefault="00395260" w14:paraId="47ED3316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saúda o </w:t>
      </w:r>
      <w:r>
        <w:rPr>
          <w:b/>
        </w:rPr>
        <w:t>apego da União Africana (UA) aos valores democráticos e à promoção da democracia</w:t>
      </w:r>
      <w:r>
        <w:t>, expresso nas aspirações da Agenda 2063 da UA;</w:t>
      </w:r>
    </w:p>
    <w:p w:rsidRPr="00395260" w:rsidR="00395260" w:rsidP="00643D0B" w:rsidRDefault="00395260" w14:paraId="71CDB85E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saúda o </w:t>
      </w:r>
      <w:r>
        <w:rPr>
          <w:b/>
        </w:rPr>
        <w:t>desenvolvimento da democracia em África</w:t>
      </w:r>
      <w:r>
        <w:t xml:space="preserve"> e o </w:t>
      </w:r>
      <w:r>
        <w:rPr>
          <w:b/>
        </w:rPr>
        <w:t>empenho dos cidadãos africanos nesse desenvolvimento</w:t>
      </w:r>
      <w:r>
        <w:t>, bem como o apoio popular à democracia, mesmo tendo sofrido erosão na última década;</w:t>
      </w:r>
    </w:p>
    <w:p w:rsidRPr="00395260" w:rsidR="00395260" w:rsidP="00643D0B" w:rsidRDefault="00395260" w14:paraId="7C26E522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exorta as instituições europeias a </w:t>
      </w:r>
      <w:r>
        <w:rPr>
          <w:b/>
        </w:rPr>
        <w:t>reforçarem a cooperação para o desenvolvimento da democracia e para o aumento da confiança e da participação popular nos processos democráticos</w:t>
      </w:r>
      <w:r>
        <w:t xml:space="preserve">, bem como a </w:t>
      </w:r>
      <w:r>
        <w:rPr>
          <w:b/>
        </w:rPr>
        <w:t>apoiarem a sociedade civil</w:t>
      </w:r>
      <w:r>
        <w:t>;</w:t>
      </w:r>
    </w:p>
    <w:p w:rsidRPr="00395260" w:rsidR="00395260" w:rsidP="00643D0B" w:rsidRDefault="00395260" w14:paraId="7B313445" w14:textId="4E0D4064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considera que a abordagem europeia do apoio</w:t>
      </w:r>
      <w:r w:rsidR="007D133E">
        <w:t xml:space="preserve"> </w:t>
      </w:r>
      <w:r>
        <w:t xml:space="preserve">deve partir de uma base de </w:t>
      </w:r>
      <w:r>
        <w:rPr>
          <w:b/>
        </w:rPr>
        <w:t>relação entre iguais e ter em conta a complexidade do continente</w:t>
      </w:r>
      <w:r>
        <w:t xml:space="preserve"> em termos de desenvolvimento económico, progresso social, nível de concretização de infraestruturas críticas, diversidade, interesses geopolíticos e estratégicos;</w:t>
      </w:r>
    </w:p>
    <w:p w:rsidRPr="00395260" w:rsidR="00395260" w:rsidP="00643D0B" w:rsidRDefault="00395260" w14:paraId="29AF4310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considera que, neste quadro, a </w:t>
      </w:r>
      <w:r>
        <w:rPr>
          <w:b/>
        </w:rPr>
        <w:t>estratégia Global Gateway é de grande importância para a relação UE-África</w:t>
      </w:r>
      <w:r>
        <w:t xml:space="preserve"> e reafirma que esta reforçará os laços económicos e políticos, assegurando o respeito pelos princípios democráticos e sociais;</w:t>
      </w:r>
    </w:p>
    <w:p w:rsidRPr="00395260" w:rsidR="00395260" w:rsidP="00643D0B" w:rsidRDefault="00395260" w14:paraId="43AC8A5D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está convicto de que, graças à sua experiência e em conjunto com os representantes reconhecidos da sociedade civil e dos parceiros sociais de África, pode contribuir para </w:t>
      </w:r>
      <w:r>
        <w:rPr>
          <w:b/>
        </w:rPr>
        <w:t>promover os valores democráticos, defender os direitos humanos e melhorar o diálogo civil, social e político</w:t>
      </w:r>
      <w:r>
        <w:t>, designadamente no contexto dos mecanismos institucionais de participação da sociedade civil a criar ao abrigo do Acordo de Samoa;</w:t>
      </w:r>
    </w:p>
    <w:p w:rsidRPr="00395260" w:rsidR="00395260" w:rsidP="00643D0B" w:rsidRDefault="00395260" w14:paraId="4D44EB8C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continuará e melhorará a sua ação para </w:t>
      </w:r>
      <w:r>
        <w:rPr>
          <w:b/>
        </w:rPr>
        <w:t>promover e apoiar as organizações da sociedade civil africana e os parceiros sociais, facilitando a sua constituição, organização e ação e participando no reforço da sua capacidade institucional</w:t>
      </w:r>
      <w:r>
        <w:t>, como contributo para alcançar o objetivo da UE de tornar a democracia resiliente em África;</w:t>
      </w:r>
    </w:p>
    <w:p w:rsidRPr="00395260" w:rsidR="00395260" w:rsidP="00643D0B" w:rsidRDefault="00395260" w14:paraId="680D4AED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insiste em que a sua ação será orientada pela </w:t>
      </w:r>
      <w:r>
        <w:rPr>
          <w:b/>
        </w:rPr>
        <w:t>indivisibilidade entre a promoção dos direitos civis, políticos, sociais, económicos e culturais e o crescimento económico e o progresso social</w:t>
      </w:r>
      <w:r>
        <w:t>;</w:t>
      </w:r>
    </w:p>
    <w:p w:rsidRPr="00395260" w:rsidR="00395260" w:rsidP="00643D0B" w:rsidRDefault="00395260" w14:paraId="6100439B" w14:textId="77777777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saúda a assinatura do </w:t>
      </w:r>
      <w:r>
        <w:rPr>
          <w:b/>
        </w:rPr>
        <w:t>Memorando de Entendimento</w:t>
      </w:r>
      <w:r>
        <w:t xml:space="preserve"> entre o CESE e o </w:t>
      </w:r>
      <w:r>
        <w:rPr>
          <w:b/>
        </w:rPr>
        <w:t>ECOSOCC da União Africana</w:t>
      </w:r>
      <w:r>
        <w:t xml:space="preserve">, que reputa muito importante para o </w:t>
      </w:r>
      <w:r>
        <w:rPr>
          <w:b/>
        </w:rPr>
        <w:t>robustecimento dos contributos da sociedade civil para a parceria entre Europa e África</w:t>
      </w:r>
      <w:r>
        <w:t>.</w:t>
      </w:r>
    </w:p>
    <w:p w:rsidRPr="00395260" w:rsidR="00395260" w:rsidP="00395260" w:rsidRDefault="00395260" w14:paraId="622E8585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4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4"/>
        <w:gridCol w:w="4636"/>
      </w:tblGrid>
      <w:tr w:rsidRPr="00395260" w:rsidR="00395260" w:rsidTr="00863A8F" w14:paraId="260B4AB8" w14:textId="77777777">
        <w:tc>
          <w:tcPr>
            <w:tcW w:w="1556" w:type="pct"/>
          </w:tcPr>
          <w:p w:rsidRPr="00395260" w:rsidR="00395260" w:rsidP="00395260" w:rsidRDefault="00395260" w14:paraId="2DC534F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444" w:type="pct"/>
          </w:tcPr>
          <w:p w:rsidRPr="00395260" w:rsidR="00395260" w:rsidP="00395260" w:rsidRDefault="00395260" w14:paraId="018D553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Charlotte Rive</w:t>
            </w:r>
          </w:p>
        </w:tc>
      </w:tr>
      <w:tr w:rsidRPr="00395260" w:rsidR="00395260" w:rsidTr="00863A8F" w14:paraId="2A69D17A" w14:textId="77777777">
        <w:tc>
          <w:tcPr>
            <w:tcW w:w="1556" w:type="pct"/>
          </w:tcPr>
          <w:p w:rsidRPr="00395260" w:rsidR="00395260" w:rsidP="00395260" w:rsidRDefault="00395260" w14:paraId="1A3E349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395260" w:rsidR="00395260" w:rsidP="00395260" w:rsidRDefault="00395260" w14:paraId="5F7519C0" w14:textId="4B699A9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+32 2 546 93 88</w:t>
            </w:r>
          </w:p>
        </w:tc>
      </w:tr>
      <w:tr w:rsidRPr="00395260" w:rsidR="00395260" w:rsidTr="00863A8F" w14:paraId="1A56B5AA" w14:textId="77777777">
        <w:tc>
          <w:tcPr>
            <w:tcW w:w="1556" w:type="pct"/>
          </w:tcPr>
          <w:p w:rsidRPr="00395260" w:rsidR="00395260" w:rsidP="00395260" w:rsidRDefault="00697BE1" w14:paraId="3895F4B6" w14:textId="2D5D1AE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Pr="00395260" w:rsidR="00395260" w:rsidP="00395260" w:rsidRDefault="00F260F0" w14:paraId="6BD9B73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48">
              <w:r w:rsidR="00AA36F2">
                <w:rPr>
                  <w:i/>
                  <w:color w:val="0000FF"/>
                  <w:u w:val="single"/>
                </w:rPr>
                <w:t>Charlotte.Rive@eesc.europa.eu</w:t>
              </w:r>
            </w:hyperlink>
          </w:p>
        </w:tc>
      </w:tr>
    </w:tbl>
    <w:p w:rsidRPr="006D2C8A" w:rsidR="006D2C8A" w:rsidP="006D6D4E" w:rsidRDefault="006D2C8A" w14:paraId="528C73AA" w14:textId="46DE726B">
      <w:pPr>
        <w:pStyle w:val="Heading1"/>
        <w:keepNext/>
        <w:keepLines/>
        <w:rPr>
          <w:b/>
        </w:rPr>
      </w:pPr>
      <w:bookmarkStart w:name="_Toc184734018" w:id="30"/>
      <w:r>
        <w:rPr>
          <w:b/>
          <w:color w:val="222A35" w:themeColor="text2" w:themeShade="80"/>
        </w:rPr>
        <w:lastRenderedPageBreak/>
        <w:t>COMISSÃO CONSULTIVA DAS MUTAÇÕES INDUSTRIAIS</w:t>
      </w:r>
      <w:bookmarkEnd w:id="30"/>
    </w:p>
    <w:p w:rsidR="006D2C8A" w:rsidP="006D6D4E" w:rsidRDefault="006D2C8A" w14:paraId="713E272F" w14:textId="77777777">
      <w:pPr>
        <w:keepNext/>
        <w:keepLines/>
      </w:pPr>
    </w:p>
    <w:p w:rsidRPr="001C59D9" w:rsidR="001C59D9" w:rsidP="00B61E90" w:rsidRDefault="00F260F0" w14:paraId="370A3F01" w14:textId="50B0D28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b/>
        </w:rPr>
      </w:pPr>
      <w:hyperlink w:history="1" r:id="rId49">
        <w:r w:rsidR="00AA36F2">
          <w:rPr>
            <w:b/>
            <w:i/>
            <w:color w:val="0000FF"/>
            <w:sz w:val="28"/>
            <w:u w:val="single"/>
            <w:shd w:val="clear" w:color="auto" w:fill="FEFEFE"/>
          </w:rPr>
          <w:t>Políticas industriais setoriais que contribuam para uma maior autonomia estratégica</w:t>
        </w:r>
      </w:hyperlink>
    </w:p>
    <w:p w:rsidRPr="001C59D9" w:rsidR="001C59D9" w:rsidP="001C59D9" w:rsidRDefault="001C59D9" w14:paraId="1F1FDD5C" w14:textId="77777777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lang w:val="en-GB"/>
        </w:rPr>
      </w:pPr>
    </w:p>
    <w:tbl>
      <w:tblPr>
        <w:tblStyle w:val="TableGrid1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479"/>
      </w:tblGrid>
      <w:tr w:rsidRPr="001C59D9" w:rsidR="001C59D9" w:rsidTr="00863A8F" w14:paraId="0DE8DBCE" w14:textId="77777777">
        <w:tc>
          <w:tcPr>
            <w:tcW w:w="1701" w:type="dxa"/>
          </w:tcPr>
          <w:p w:rsidRPr="001C59D9" w:rsidR="001C59D9" w:rsidP="001C59D9" w:rsidRDefault="001C59D9" w14:paraId="247BDDA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7479" w:type="dxa"/>
          </w:tcPr>
          <w:p w:rsidRPr="001C59D9" w:rsidR="001C59D9" w:rsidP="001C59D9" w:rsidRDefault="001C59D9" w14:paraId="3EF3113B" w14:textId="2A88A6E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Alain Coheur (BE – Grupo das Organizações da Sociedade Civil)</w:t>
            </w:r>
          </w:p>
        </w:tc>
      </w:tr>
      <w:tr w:rsidRPr="001C59D9" w:rsidR="001C59D9" w:rsidTr="00863A8F" w14:paraId="183BEC47" w14:textId="77777777">
        <w:tc>
          <w:tcPr>
            <w:tcW w:w="1701" w:type="dxa"/>
          </w:tcPr>
          <w:p w:rsidRPr="001C59D9" w:rsidR="001C59D9" w:rsidP="001C59D9" w:rsidRDefault="001C59D9" w14:paraId="3945195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Correlator</w:t>
            </w:r>
          </w:p>
        </w:tc>
        <w:tc>
          <w:tcPr>
            <w:tcW w:w="7479" w:type="dxa"/>
          </w:tcPr>
          <w:p w:rsidRPr="001C59D9" w:rsidR="001C59D9" w:rsidP="001C59D9" w:rsidRDefault="001C59D9" w14:paraId="2AEB1972" w14:textId="0C76585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Antonello Pezzini (IT – Cat. 1)</w:t>
            </w:r>
          </w:p>
        </w:tc>
      </w:tr>
      <w:tr w:rsidRPr="001C59D9" w:rsidR="001C59D9" w:rsidTr="00863A8F" w14:paraId="459283E6" w14:textId="77777777">
        <w:tc>
          <w:tcPr>
            <w:tcW w:w="9180" w:type="dxa"/>
            <w:gridSpan w:val="2"/>
          </w:tcPr>
          <w:p w:rsidRPr="001C59D9" w:rsidR="001C59D9" w:rsidP="001C59D9" w:rsidRDefault="001C59D9" w14:paraId="4DE42CA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1C59D9" w:rsidR="001C59D9" w:rsidTr="00863A8F" w14:paraId="4565FF1F" w14:textId="77777777">
        <w:tc>
          <w:tcPr>
            <w:tcW w:w="1701" w:type="dxa"/>
            <w:vMerge w:val="restart"/>
          </w:tcPr>
          <w:p w:rsidRPr="001C59D9" w:rsidR="001C59D9" w:rsidP="001C59D9" w:rsidRDefault="001C59D9" w14:paraId="20DAD7F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7479" w:type="dxa"/>
          </w:tcPr>
          <w:p w:rsidR="00B61E90" w:rsidP="001C59D9" w:rsidRDefault="00B61E90" w14:paraId="2736C770" w14:textId="4E25441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de iniciativa</w:t>
            </w:r>
          </w:p>
          <w:p w:rsidRPr="001C59D9" w:rsidR="001C59D9" w:rsidP="001C59D9" w:rsidRDefault="001C59D9" w14:paraId="069CB8B0" w14:textId="332724E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EESC-2024-02005-00-00-AC</w:t>
            </w:r>
          </w:p>
        </w:tc>
      </w:tr>
      <w:tr w:rsidRPr="001C59D9" w:rsidR="001C59D9" w:rsidTr="00863A8F" w14:paraId="34DA0A00" w14:textId="77777777">
        <w:tc>
          <w:tcPr>
            <w:tcW w:w="1701" w:type="dxa"/>
            <w:vMerge/>
          </w:tcPr>
          <w:p w:rsidRPr="001C59D9" w:rsidR="001C59D9" w:rsidP="001C59D9" w:rsidRDefault="001C59D9" w14:paraId="74F9112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479" w:type="dxa"/>
          </w:tcPr>
          <w:p w:rsidRPr="001C59D9" w:rsidR="001C59D9" w:rsidP="001C59D9" w:rsidRDefault="001C59D9" w14:paraId="12146E5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1C59D9" w:rsidR="001C59D9" w:rsidP="001C59D9" w:rsidRDefault="001C59D9" w14:paraId="2BBE6849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1C59D9" w:rsidR="001C59D9" w:rsidP="001C59D9" w:rsidRDefault="001C59D9" w14:paraId="42B37A8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Pr="001C59D9" w:rsidR="001C59D9" w:rsidP="001C59D9" w:rsidRDefault="001C59D9" w14:paraId="7A708E37" w14:textId="4CD1C3E5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O Comité Económico e Social Europeu</w:t>
      </w:r>
      <w:r w:rsidR="0073769A">
        <w:t xml:space="preserve"> (CESE)</w:t>
      </w:r>
      <w:r>
        <w:t>:</w:t>
      </w:r>
    </w:p>
    <w:p w:rsidRPr="001C59D9" w:rsidR="001C59D9" w:rsidP="001C59D9" w:rsidRDefault="001C59D9" w14:paraId="4B0CD9E1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p w:rsidRPr="001C59D9" w:rsidR="001C59D9" w:rsidP="00643D0B" w:rsidRDefault="001C59D9" w14:paraId="470F56FE" w14:textId="7FC0311F">
      <w:pPr>
        <w:numPr>
          <w:ilvl w:val="0"/>
          <w:numId w:val="43"/>
        </w:numPr>
        <w:overflowPunct w:val="0"/>
        <w:autoSpaceDE w:val="0"/>
        <w:autoSpaceDN w:val="0"/>
        <w:adjustRightInd w:val="0"/>
        <w:spacing w:after="200" w:line="276" w:lineRule="auto"/>
        <w:ind w:left="284" w:hanging="284"/>
        <w:contextualSpacing/>
        <w:textAlignment w:val="baseline"/>
        <w:rPr>
          <w:bCs/>
          <w:iCs/>
        </w:rPr>
      </w:pPr>
      <w:r>
        <w:t xml:space="preserve">entende que </w:t>
      </w:r>
      <w:r>
        <w:rPr>
          <w:b/>
        </w:rPr>
        <w:t>um novo declínio da indústria metalúrgica é inaceitável,</w:t>
      </w:r>
      <w:r>
        <w:t xml:space="preserve"> uma vez que tal poderia </w:t>
      </w:r>
      <w:r>
        <w:rPr>
          <w:b/>
        </w:rPr>
        <w:t>comprometer seriamente a nossa autonomia estratégica</w:t>
      </w:r>
      <w:r>
        <w:t xml:space="preserve">, todos os nossos setores industriais (ferroviário, nuclear, marítimo, espacial, automóvel, da defesa, etc.) e, consequentemente, o nosso futuro industrial. Agora, mais do que nunca, </w:t>
      </w:r>
      <w:r>
        <w:rPr>
          <w:b/>
        </w:rPr>
        <w:t>a Europa precisa de estabelecer um Pacto Industrial</w:t>
      </w:r>
      <w:r>
        <w:t xml:space="preserve"> para apoiar o seu Pacto Ecológico e o seu Plano de Ação para a Economia Circular; é necessário </w:t>
      </w:r>
      <w:r>
        <w:rPr>
          <w:b/>
        </w:rPr>
        <w:t>consolidar as alianças industriais na indústria metalúrgica</w:t>
      </w:r>
      <w:r>
        <w:t xml:space="preserve"> através de «projetos importantes de interesse europeu comum» e </w:t>
      </w:r>
      <w:r>
        <w:rPr>
          <w:b/>
        </w:rPr>
        <w:t>reindustrializar muitas regiões abandonadas, a fim de restabelecer empregos de elevada qualidade a nível local</w:t>
      </w:r>
      <w:r>
        <w:t>;</w:t>
      </w:r>
    </w:p>
    <w:p w:rsidRPr="001C59D9" w:rsidR="001C59D9" w:rsidP="00643D0B" w:rsidRDefault="001C59D9" w14:paraId="52DD51D1" w14:textId="0B2965BB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 xml:space="preserve">insta urgentemente a Comissão Europeia a </w:t>
      </w:r>
      <w:r>
        <w:rPr>
          <w:b/>
        </w:rPr>
        <w:t>retomar as análises e a avaliação das perspetivas setoriais da política industrial através de exercícios prospetivos</w:t>
      </w:r>
      <w:r>
        <w:t xml:space="preserve"> com o objetivo de </w:t>
      </w:r>
      <w:r>
        <w:rPr>
          <w:b/>
        </w:rPr>
        <w:t>recuperar posições concorrenciais a nível mundial</w:t>
      </w:r>
      <w:r>
        <w:t>;</w:t>
      </w:r>
    </w:p>
    <w:p w:rsidRPr="001C59D9" w:rsidR="001C59D9" w:rsidP="00643D0B" w:rsidRDefault="001C59D9" w14:paraId="6FFD9CC6" w14:textId="77777777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 xml:space="preserve">insta a Comissão Europeia a </w:t>
      </w:r>
      <w:r>
        <w:rPr>
          <w:b/>
        </w:rPr>
        <w:t>aplicar rapidamente medidas específicas</w:t>
      </w:r>
      <w:r>
        <w:t xml:space="preserve"> para </w:t>
      </w:r>
      <w:r>
        <w:rPr>
          <w:b/>
        </w:rPr>
        <w:t>apoiar os vários setores estratégicos: produtos químicos e seus derivados, metalurgia e cibersegurança</w:t>
      </w:r>
      <w:r>
        <w:t>;</w:t>
      </w:r>
    </w:p>
    <w:p w:rsidRPr="001C59D9" w:rsidR="001C59D9" w:rsidP="00643D0B" w:rsidRDefault="001C59D9" w14:paraId="59B42CB8" w14:textId="4E3066F6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 xml:space="preserve">considera que as empresas precisam de ter </w:t>
      </w:r>
      <w:r>
        <w:rPr>
          <w:b/>
        </w:rPr>
        <w:t>acesso a instituições bancárias que apoiem a política industrial enraizada nas nossas regiões,</w:t>
      </w:r>
      <w:r>
        <w:t xml:space="preserve"> bem como a </w:t>
      </w:r>
      <w:r>
        <w:rPr>
          <w:b/>
        </w:rPr>
        <w:t>trabalhadores cada vez mais qualificados</w:t>
      </w:r>
      <w:r>
        <w:t xml:space="preserve"> e a </w:t>
      </w:r>
      <w:r>
        <w:rPr>
          <w:b/>
        </w:rPr>
        <w:t>ecossistemas académicos que favoreçam a inovação e a investigação</w:t>
      </w:r>
      <w:r>
        <w:t xml:space="preserve"> que estarão na origem dos empregos do futuro;</w:t>
      </w:r>
    </w:p>
    <w:p w:rsidRPr="001C59D9" w:rsidR="001C59D9" w:rsidP="00643D0B" w:rsidRDefault="001C59D9" w14:paraId="43D02535" w14:textId="77777777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 xml:space="preserve">salienta a </w:t>
      </w:r>
      <w:r>
        <w:rPr>
          <w:b/>
        </w:rPr>
        <w:t>necessidade de reforçar as parcerias para estimular a inovação e o investimento, de relocalizar a indústria química e estabelecer os centros de decisão em solo europeu, bem como de harmonizar as normas de qualidade para os resíduos de plástico triados/pré-tratados</w:t>
      </w:r>
      <w:r>
        <w:t xml:space="preserve"> e de </w:t>
      </w:r>
      <w:r>
        <w:rPr>
          <w:b/>
        </w:rPr>
        <w:t>criar um mercado secundário único e aberto</w:t>
      </w:r>
      <w:r>
        <w:t xml:space="preserve"> para assegurar o fornecimento contínuo de resíduos de plástico para o funcionamento das instalações de reciclagem química;</w:t>
      </w:r>
    </w:p>
    <w:p w:rsidRPr="001C59D9" w:rsidR="001C59D9" w:rsidP="00643D0B" w:rsidRDefault="001C59D9" w14:paraId="0B0E46F3" w14:textId="77777777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 xml:space="preserve">recomenda uma </w:t>
      </w:r>
      <w:r>
        <w:rPr>
          <w:b/>
        </w:rPr>
        <w:t>supervisão acrescida e contínua</w:t>
      </w:r>
      <w:r>
        <w:t xml:space="preserve">, bem como o </w:t>
      </w:r>
      <w:r>
        <w:rPr>
          <w:b/>
        </w:rPr>
        <w:t>desenvolvimento de programas de assistência técnica preventiva</w:t>
      </w:r>
      <w:r>
        <w:t xml:space="preserve"> acessíveis a todas as empresas.</w:t>
      </w:r>
    </w:p>
    <w:p w:rsidRPr="001C59D9" w:rsidR="001C59D9" w:rsidP="001C59D9" w:rsidRDefault="001C59D9" w14:paraId="3DC481B7" w14:textId="77777777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szCs w:val="20"/>
          <w:lang w:val="en-GB"/>
        </w:rPr>
      </w:pPr>
    </w:p>
    <w:p w:rsidRPr="001C59D9" w:rsidR="001C59D9" w:rsidP="001C59D9" w:rsidRDefault="001C59D9" w14:paraId="4177570F" w14:textId="77777777">
      <w:pPr>
        <w:keepNext/>
        <w:keepLines/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tbl>
      <w:tblPr>
        <w:tblStyle w:val="TableGrid1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51"/>
        <w:gridCol w:w="5137"/>
      </w:tblGrid>
      <w:tr w:rsidRPr="001C59D9" w:rsidR="001C59D9" w:rsidTr="0073769A" w14:paraId="7B9A0D37" w14:textId="77777777">
        <w:tc>
          <w:tcPr>
            <w:tcW w:w="1951" w:type="dxa"/>
          </w:tcPr>
          <w:p w:rsidRPr="001C59D9" w:rsidR="001C59D9" w:rsidP="001C59D9" w:rsidRDefault="001C59D9" w14:paraId="1A53C334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5137" w:type="dxa"/>
          </w:tcPr>
          <w:p w:rsidRPr="001C59D9" w:rsidR="001C59D9" w:rsidP="001C59D9" w:rsidRDefault="001C59D9" w14:paraId="1A7452D2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Marie-Laurence Drillon</w:t>
            </w:r>
          </w:p>
        </w:tc>
      </w:tr>
      <w:tr w:rsidRPr="001C59D9" w:rsidR="001C59D9" w:rsidTr="0073769A" w14:paraId="510D17C4" w14:textId="77777777">
        <w:tc>
          <w:tcPr>
            <w:tcW w:w="1951" w:type="dxa"/>
          </w:tcPr>
          <w:p w:rsidRPr="001C59D9" w:rsidR="001C59D9" w:rsidP="001C59D9" w:rsidRDefault="001C59D9" w14:paraId="5FF9E965" w14:textId="77777777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137" w:type="dxa"/>
          </w:tcPr>
          <w:p w:rsidRPr="001C59D9" w:rsidR="001C59D9" w:rsidP="001C59D9" w:rsidRDefault="001C59D9" w14:paraId="117BAF9F" w14:textId="19179759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+32 2 546 83 20</w:t>
            </w:r>
          </w:p>
        </w:tc>
      </w:tr>
      <w:tr w:rsidRPr="001C59D9" w:rsidR="001C59D9" w:rsidTr="0073769A" w14:paraId="375F101A" w14:textId="77777777">
        <w:tc>
          <w:tcPr>
            <w:tcW w:w="1951" w:type="dxa"/>
          </w:tcPr>
          <w:p w:rsidRPr="001C59D9" w:rsidR="001C59D9" w:rsidP="001C59D9" w:rsidRDefault="0052039C" w14:paraId="7E558C19" w14:textId="3915EE5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5137" w:type="dxa"/>
          </w:tcPr>
          <w:p w:rsidRPr="001C59D9" w:rsidR="001C59D9" w:rsidP="001C59D9" w:rsidRDefault="001C59D9" w14:paraId="32EC896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Marie-Laurence.Drillon@eesc.europa.eu</w:t>
            </w:r>
          </w:p>
        </w:tc>
      </w:tr>
    </w:tbl>
    <w:p w:rsidR="00B61E90" w:rsidP="006D6D4E" w:rsidRDefault="00B61E90" w14:paraId="45DC78CE" w14:textId="320217D2">
      <w:pPr>
        <w:keepNext/>
        <w:keepLines/>
        <w:rPr>
          <w:lang w:val="en-GB"/>
        </w:rPr>
      </w:pPr>
    </w:p>
    <w:p w:rsidR="00B61E90" w:rsidRDefault="00B61E90" w14:paraId="15589095" w14:textId="77777777">
      <w:pPr>
        <w:spacing w:after="160" w:line="259" w:lineRule="auto"/>
        <w:jc w:val="left"/>
      </w:pPr>
      <w:r>
        <w:br w:type="page"/>
      </w:r>
    </w:p>
    <w:p w:rsidR="00395260" w:rsidP="006D6D4E" w:rsidRDefault="00395260" w14:paraId="2D41024D" w14:textId="77777777">
      <w:pPr>
        <w:keepNext/>
        <w:keepLines/>
        <w:rPr>
          <w:lang w:val="en-GB"/>
        </w:rPr>
      </w:pPr>
    </w:p>
    <w:p w:rsidRPr="004135C1" w:rsidR="004135C1" w:rsidP="004135C1" w:rsidRDefault="00F260F0" w14:paraId="4C6E69A7" w14:textId="1964BA7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50">
        <w:r w:rsidR="00AA36F2">
          <w:rPr>
            <w:b/>
            <w:i/>
            <w:color w:val="0000FF"/>
            <w:sz w:val="28"/>
            <w:u w:val="single"/>
          </w:rPr>
          <w:t>Reforma industrial no setor da saúde face às diferentes crises</w:t>
        </w:r>
      </w:hyperlink>
    </w:p>
    <w:p w:rsidRPr="004135C1" w:rsidR="004135C1" w:rsidP="004135C1" w:rsidRDefault="004135C1" w14:paraId="42D81671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16"/>
        <w:tblW w:w="343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4"/>
        <w:gridCol w:w="4487"/>
      </w:tblGrid>
      <w:tr w:rsidRPr="004135C1" w:rsidR="004135C1" w:rsidTr="00863A8F" w14:paraId="7437B509" w14:textId="77777777">
        <w:tc>
          <w:tcPr>
            <w:tcW w:w="1591" w:type="pct"/>
          </w:tcPr>
          <w:p w:rsidRPr="004135C1" w:rsidR="004135C1" w:rsidP="004135C1" w:rsidRDefault="004135C1" w14:paraId="76E1C0A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Relator</w:t>
            </w:r>
          </w:p>
        </w:tc>
        <w:tc>
          <w:tcPr>
            <w:tcW w:w="3409" w:type="pct"/>
          </w:tcPr>
          <w:p w:rsidRPr="004135C1" w:rsidR="004135C1" w:rsidP="004135C1" w:rsidRDefault="004135C1" w14:paraId="4DA9553C" w14:textId="48518E8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Florian Marin (RO – Grupo dos Trabalhadores)</w:t>
            </w:r>
          </w:p>
        </w:tc>
      </w:tr>
      <w:tr w:rsidRPr="004135C1" w:rsidR="004135C1" w:rsidTr="00863A8F" w14:paraId="5792E4CB" w14:textId="77777777">
        <w:tc>
          <w:tcPr>
            <w:tcW w:w="1591" w:type="pct"/>
          </w:tcPr>
          <w:p w:rsidRPr="004135C1" w:rsidR="004135C1" w:rsidP="004135C1" w:rsidRDefault="004135C1" w14:paraId="18291D1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Correlator</w:t>
            </w:r>
          </w:p>
        </w:tc>
        <w:tc>
          <w:tcPr>
            <w:tcW w:w="3409" w:type="pct"/>
          </w:tcPr>
          <w:p w:rsidRPr="004135C1" w:rsidR="004135C1" w:rsidP="004135C1" w:rsidRDefault="004135C1" w14:paraId="7C4E0140" w14:textId="3D6E3C8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Antonello Pezzini (IT – Cat. 1)</w:t>
            </w:r>
          </w:p>
        </w:tc>
      </w:tr>
      <w:tr w:rsidRPr="004135C1" w:rsidR="004135C1" w:rsidTr="00863A8F" w14:paraId="35C56C8C" w14:textId="77777777">
        <w:tc>
          <w:tcPr>
            <w:tcW w:w="5000" w:type="pct"/>
            <w:gridSpan w:val="2"/>
          </w:tcPr>
          <w:p w:rsidRPr="004135C1" w:rsidR="004135C1" w:rsidP="004135C1" w:rsidRDefault="004135C1" w14:paraId="396012F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4135C1" w:rsidR="004135C1" w:rsidTr="00863A8F" w14:paraId="688A83AF" w14:textId="77777777">
        <w:tc>
          <w:tcPr>
            <w:tcW w:w="1591" w:type="pct"/>
            <w:vMerge w:val="restart"/>
          </w:tcPr>
          <w:p w:rsidRPr="004135C1" w:rsidR="004135C1" w:rsidP="004135C1" w:rsidRDefault="004135C1" w14:paraId="71E1FB4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Referência</w:t>
            </w:r>
          </w:p>
        </w:tc>
        <w:tc>
          <w:tcPr>
            <w:tcW w:w="3409" w:type="pct"/>
          </w:tcPr>
          <w:p w:rsidR="00A7132A" w:rsidP="004135C1" w:rsidRDefault="00A7132A" w14:paraId="70BFA311" w14:textId="4D7B97E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Parecer de iniciativa</w:t>
            </w:r>
          </w:p>
          <w:p w:rsidRPr="004135C1" w:rsidR="004135C1" w:rsidP="004135C1" w:rsidRDefault="004135C1" w14:paraId="057159B1" w14:textId="4915FDE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EESC-2024-02033-00-00-AC</w:t>
            </w:r>
          </w:p>
        </w:tc>
      </w:tr>
      <w:tr w:rsidRPr="004135C1" w:rsidR="004135C1" w:rsidTr="00863A8F" w14:paraId="3A541F7A" w14:textId="77777777">
        <w:tc>
          <w:tcPr>
            <w:tcW w:w="1591" w:type="pct"/>
            <w:vMerge/>
          </w:tcPr>
          <w:p w:rsidRPr="004135C1" w:rsidR="004135C1" w:rsidP="004135C1" w:rsidRDefault="004135C1" w14:paraId="24EACD1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409" w:type="pct"/>
          </w:tcPr>
          <w:p w:rsidRPr="004135C1" w:rsidR="004135C1" w:rsidP="004135C1" w:rsidRDefault="004135C1" w14:paraId="5ECB5A4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4135C1" w:rsidR="004135C1" w:rsidP="004135C1" w:rsidRDefault="004135C1" w14:paraId="1D9F9916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4135C1" w:rsidR="004135C1" w:rsidP="004135C1" w:rsidRDefault="004135C1" w14:paraId="0EC092D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:rsidR="004135C1" w:rsidP="004135C1" w:rsidRDefault="004135C1" w14:paraId="0CCD541D" w14:textId="02B3F52F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O Comité Económico e Social Europeu</w:t>
      </w:r>
      <w:r w:rsidR="00F05077">
        <w:t xml:space="preserve"> (CESE)</w:t>
      </w:r>
      <w:r>
        <w:t>:</w:t>
      </w:r>
    </w:p>
    <w:p w:rsidRPr="004135C1" w:rsidR="009C4B7B" w:rsidP="004135C1" w:rsidRDefault="009C4B7B" w14:paraId="2F9A5642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:rsidRPr="004135C1" w:rsidR="004135C1" w:rsidP="00643D0B" w:rsidRDefault="004135C1" w14:paraId="4A46FD7C" w14:textId="77777777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considera que os sistemas de saúde da União Europeia (UE) devem ser resilientes e capazes de responder a choques, proteger a vida, ser inclusivos e equitativos, centrados nas pessoas e acessíveis, baseados na investigação e na inovação e coordenados entre os Estados-Membros;</w:t>
      </w:r>
    </w:p>
    <w:p w:rsidRPr="004135C1" w:rsidR="004135C1" w:rsidP="00643D0B" w:rsidRDefault="004135C1" w14:paraId="20774A8D" w14:textId="77777777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  <w:szCs w:val="20"/>
        </w:rPr>
      </w:pPr>
      <w:r>
        <w:t>insta a Comissão Europeia a fazer da saúde e do apoio a uma maior integração dos sistemas nacionais de saúde prioridades para o mandato 2024-2029, disponibilizando, para esse efeito, um apoio institucional ambicioso e maiores investimentos;</w:t>
      </w:r>
    </w:p>
    <w:p w:rsidRPr="004135C1" w:rsidR="004135C1" w:rsidP="00643D0B" w:rsidRDefault="004135C1" w14:paraId="1B73C829" w14:textId="77777777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  <w:szCs w:val="20"/>
        </w:rPr>
      </w:pPr>
      <w:r>
        <w:t>congratula-se com o ato legislativo sobre medicamentos críticos anunciado nas Orientações Políticas para a próxima Comissão Europeia e preconiza o reforço da cooperação neste domínio com os Estados-Membros, as partes interessadas públicas e privadas, o meio académico e a sociedade civil;</w:t>
      </w:r>
    </w:p>
    <w:p w:rsidRPr="004135C1" w:rsidR="004135C1" w:rsidP="00643D0B" w:rsidRDefault="004135C1" w14:paraId="43D28491" w14:textId="77777777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  <w:szCs w:val="20"/>
        </w:rPr>
      </w:pPr>
      <w:r>
        <w:t>defende uma abordagem integrada, multifacetada e centrada no doente, que garanta o acesso a medicamentos, diagnósticos e tratamentos seguros, eficazes e de qualidade;</w:t>
      </w:r>
    </w:p>
    <w:p w:rsidRPr="004135C1" w:rsidR="004135C1" w:rsidP="00643D0B" w:rsidRDefault="004135C1" w14:paraId="7E3486F0" w14:textId="77777777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szCs w:val="20"/>
        </w:rPr>
      </w:pPr>
      <w:r>
        <w:t>propõe uma série de medidas concretas destinadas a fomentar a competitividade e a resiliência do setor, bem como a melhorar as respetivas condições de trabalho, reduzindo simultaneamente as dependências de países terceiros e evitando situações de escassez; recomenda, em particular, a atualização da lista de ações abrangidas pela trajetória de transição da saúde com vista a continuar a reforçar o mercado único no setor da saúde;</w:t>
      </w:r>
    </w:p>
    <w:p w:rsidRPr="004135C1" w:rsidR="004135C1" w:rsidP="00643D0B" w:rsidRDefault="004135C1" w14:paraId="4029A457" w14:textId="77777777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szCs w:val="20"/>
        </w:rPr>
      </w:pPr>
      <w:r>
        <w:t>assinala a transformação digital do setor da saúde e solicita uma utilização da inteligência artificial centrada no ser humano, uma maior interoperabilidade dos dados, espaços digitais partilhados e seguros e o reforço da proteção contra os riscos cibernéticos;</w:t>
      </w:r>
    </w:p>
    <w:p w:rsidRPr="004135C1" w:rsidR="004135C1" w:rsidP="00643D0B" w:rsidRDefault="004135C1" w14:paraId="189280E3" w14:textId="77777777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szCs w:val="20"/>
        </w:rPr>
      </w:pPr>
      <w:r>
        <w:t>apoia a inovação enquanto motor da competitividade e defende a criação de uma infraestrutura pública supranacional de investigação no domínio da medicina;</w:t>
      </w:r>
    </w:p>
    <w:p w:rsidRPr="004135C1" w:rsidR="004135C1" w:rsidP="00643D0B" w:rsidRDefault="004135C1" w14:paraId="476751CA" w14:textId="77777777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szCs w:val="20"/>
        </w:rPr>
      </w:pPr>
      <w:r>
        <w:t>destaca o potencial da medicina preventiva e personalizada e a necessidade de aumentar os investimentos no domínio das doenças raras;</w:t>
      </w:r>
    </w:p>
    <w:p w:rsidRPr="004135C1" w:rsidR="004135C1" w:rsidP="00643D0B" w:rsidRDefault="004135C1" w14:paraId="61B99D9A" w14:textId="77777777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Theme="minorHAnsi" w:hAnsiTheme="minorHAnsi"/>
          <w:szCs w:val="20"/>
        </w:rPr>
      </w:pPr>
      <w:r>
        <w:t xml:space="preserve">salienta a importância de assegurar um acesso universal e equitativo aos cuidados de saúde e aos medicamentos em toda a UE, o que inclui garantir preços acessíveis com base no «modelo de fixação de preços justos». </w:t>
      </w:r>
    </w:p>
    <w:p w:rsidRPr="004135C1" w:rsidR="004135C1" w:rsidP="004135C1" w:rsidRDefault="004135C1" w14:paraId="28E01A61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rFonts w:asciiTheme="minorHAnsi" w:hAnsiTheme="minorHAnsi"/>
          <w:szCs w:val="20"/>
          <w:lang w:val="en-GB"/>
        </w:rPr>
      </w:pPr>
    </w:p>
    <w:tbl>
      <w:tblPr>
        <w:tblStyle w:val="TableGrid16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4"/>
        <w:gridCol w:w="4636"/>
      </w:tblGrid>
      <w:tr w:rsidRPr="004135C1" w:rsidR="004135C1" w:rsidTr="00863A8F" w14:paraId="0D9DE5D8" w14:textId="77777777">
        <w:tc>
          <w:tcPr>
            <w:tcW w:w="1556" w:type="pct"/>
          </w:tcPr>
          <w:p w:rsidRPr="004135C1" w:rsidR="004135C1" w:rsidP="004135C1" w:rsidRDefault="004135C1" w14:paraId="3860B14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444" w:type="pct"/>
          </w:tcPr>
          <w:p w:rsidRPr="004135C1" w:rsidR="004135C1" w:rsidP="004135C1" w:rsidRDefault="004135C1" w14:paraId="707D2FC1" w14:textId="37692FE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Laia Tomàs Vinardell</w:t>
            </w:r>
          </w:p>
        </w:tc>
      </w:tr>
      <w:tr w:rsidRPr="004135C1" w:rsidR="004135C1" w:rsidTr="00863A8F" w14:paraId="52696548" w14:textId="77777777">
        <w:tc>
          <w:tcPr>
            <w:tcW w:w="1556" w:type="pct"/>
          </w:tcPr>
          <w:p w:rsidRPr="004135C1" w:rsidR="004135C1" w:rsidP="004135C1" w:rsidRDefault="004135C1" w14:paraId="7D87442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4135C1" w:rsidR="004135C1" w:rsidP="004135C1" w:rsidRDefault="004135C1" w14:paraId="494E0D8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+32 2 546 91 49</w:t>
            </w:r>
          </w:p>
        </w:tc>
      </w:tr>
      <w:tr w:rsidRPr="004135C1" w:rsidR="004135C1" w:rsidTr="00863A8F" w14:paraId="683775F3" w14:textId="77777777">
        <w:tc>
          <w:tcPr>
            <w:tcW w:w="1556" w:type="pct"/>
          </w:tcPr>
          <w:p w:rsidRPr="004135C1" w:rsidR="004135C1" w:rsidP="004135C1" w:rsidRDefault="004135C1" w14:paraId="305F5D5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Endereço eletrónico</w:t>
            </w:r>
          </w:p>
        </w:tc>
        <w:tc>
          <w:tcPr>
            <w:tcW w:w="3444" w:type="pct"/>
          </w:tcPr>
          <w:p w:rsidRPr="004135C1" w:rsidR="0052039C" w:rsidP="004135C1" w:rsidRDefault="00F260F0" w14:paraId="558B9DF4" w14:textId="53E70D0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51">
              <w:r w:rsidR="00AA36F2">
                <w:rPr>
                  <w:i/>
                  <w:color w:val="0000FF"/>
                  <w:u w:val="single"/>
                </w:rPr>
                <w:t>Laia.TomasVinardell@eesc.europa.eu</w:t>
              </w:r>
            </w:hyperlink>
          </w:p>
        </w:tc>
      </w:tr>
    </w:tbl>
    <w:p w:rsidRPr="002B1BC5" w:rsidR="004135C1" w:rsidP="00643D0B" w:rsidRDefault="00F260F0" w14:paraId="2EA45047" w14:textId="0199B68E">
      <w:pPr>
        <w:pageBreakBefore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hanging="567"/>
        <w:textAlignment w:val="baseline"/>
        <w:rPr>
          <w:b/>
          <w:bCs/>
          <w:i/>
          <w:iCs/>
          <w:color w:val="0000FF"/>
          <w:sz w:val="28"/>
          <w:szCs w:val="28"/>
          <w:u w:val="single"/>
        </w:rPr>
      </w:pPr>
      <w:hyperlink w:history="1" r:id="rId52">
        <w:r w:rsidR="004135C1">
          <w:rPr>
            <w:b/>
            <w:i/>
            <w:color w:val="0000FF"/>
            <w:sz w:val="28"/>
            <w:u w:val="single"/>
          </w:rPr>
          <w:t>Serviços profissionais na transição ecológica</w:t>
        </w:r>
      </w:hyperlink>
    </w:p>
    <w:p w:rsidR="001D7E3C" w:rsidP="000016DA" w:rsidRDefault="001D7E3C" w14:paraId="61373B3B" w14:textId="77777777">
      <w:pPr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  <w:lang w:val="en-GB"/>
        </w:rPr>
      </w:pPr>
    </w:p>
    <w:tbl>
      <w:tblPr>
        <w:tblStyle w:val="TableGrid17"/>
        <w:tblW w:w="476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5"/>
        <w:gridCol w:w="7028"/>
      </w:tblGrid>
      <w:tr w:rsidRPr="004135C1" w:rsidR="004135C1" w:rsidTr="00863A8F" w14:paraId="140B809D" w14:textId="77777777">
        <w:tc>
          <w:tcPr>
            <w:tcW w:w="1148" w:type="pct"/>
          </w:tcPr>
          <w:p w:rsidRPr="0096579A" w:rsidR="004135C1" w:rsidP="00643D0B" w:rsidRDefault="004135C1" w14:paraId="0B96855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b/>
              </w:rPr>
            </w:pPr>
            <w:r w:rsidRPr="0096579A">
              <w:rPr>
                <w:b/>
              </w:rPr>
              <w:t>Relatora</w:t>
            </w:r>
          </w:p>
        </w:tc>
        <w:tc>
          <w:tcPr>
            <w:tcW w:w="3852" w:type="pct"/>
          </w:tcPr>
          <w:p w:rsidRPr="0096579A" w:rsidR="004135C1" w:rsidP="00643D0B" w:rsidRDefault="004135C1" w14:paraId="288511E0" w14:textId="00FD0DF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</w:pPr>
            <w:r w:rsidRPr="0096579A">
              <w:t>Violeta Jelić (HR – Grupo dos Empregadores)</w:t>
            </w:r>
          </w:p>
        </w:tc>
      </w:tr>
      <w:tr w:rsidRPr="004135C1" w:rsidR="004135C1" w:rsidTr="00863A8F" w14:paraId="43C07CCE" w14:textId="77777777">
        <w:tc>
          <w:tcPr>
            <w:tcW w:w="1148" w:type="pct"/>
          </w:tcPr>
          <w:p w:rsidRPr="0096579A" w:rsidR="004135C1" w:rsidP="00643D0B" w:rsidRDefault="004135C1" w14:paraId="1851D06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b/>
              </w:rPr>
            </w:pPr>
            <w:r w:rsidRPr="0096579A">
              <w:rPr>
                <w:b/>
              </w:rPr>
              <w:t>Correlator</w:t>
            </w:r>
          </w:p>
        </w:tc>
        <w:tc>
          <w:tcPr>
            <w:tcW w:w="3852" w:type="pct"/>
          </w:tcPr>
          <w:p w:rsidRPr="0096579A" w:rsidR="004135C1" w:rsidP="00643D0B" w:rsidRDefault="004135C1" w14:paraId="15B45F80" w14:textId="070DDFA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</w:pPr>
            <w:r w:rsidRPr="0096579A">
              <w:t>Gaetano Stella (IT-Cat. 3)</w:t>
            </w:r>
          </w:p>
        </w:tc>
      </w:tr>
      <w:tr w:rsidRPr="004135C1" w:rsidR="004135C1" w:rsidTr="00863A8F" w14:paraId="466DF065" w14:textId="77777777">
        <w:tc>
          <w:tcPr>
            <w:tcW w:w="5000" w:type="pct"/>
            <w:gridSpan w:val="2"/>
          </w:tcPr>
          <w:p w:rsidRPr="0096579A" w:rsidR="004135C1" w:rsidP="00643D0B" w:rsidRDefault="004135C1" w14:paraId="4A80B35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</w:pPr>
          </w:p>
        </w:tc>
      </w:tr>
      <w:tr w:rsidRPr="004135C1" w:rsidR="004135C1" w:rsidTr="00863A8F" w14:paraId="6B9424B3" w14:textId="77777777">
        <w:tc>
          <w:tcPr>
            <w:tcW w:w="1148" w:type="pct"/>
            <w:vMerge w:val="restart"/>
          </w:tcPr>
          <w:p w:rsidRPr="0096579A" w:rsidR="004135C1" w:rsidP="00643D0B" w:rsidRDefault="004135C1" w14:paraId="02AC24F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b/>
              </w:rPr>
            </w:pPr>
            <w:r w:rsidRPr="0096579A">
              <w:rPr>
                <w:b/>
              </w:rPr>
              <w:t>Referência</w:t>
            </w:r>
          </w:p>
        </w:tc>
        <w:tc>
          <w:tcPr>
            <w:tcW w:w="3852" w:type="pct"/>
          </w:tcPr>
          <w:p w:rsidRPr="0096579A" w:rsidR="00533F3C" w:rsidRDefault="00533F3C" w14:paraId="11CA740D" w14:textId="4B9D551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</w:pPr>
            <w:r w:rsidRPr="0096579A">
              <w:t>Parecer de iniciativa</w:t>
            </w:r>
          </w:p>
          <w:p w:rsidRPr="0096579A" w:rsidR="004135C1" w:rsidP="00643D0B" w:rsidRDefault="004135C1" w14:paraId="2112DC24" w14:textId="3A48DE1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</w:pPr>
            <w:r w:rsidRPr="0096579A">
              <w:t>EESC-2024-01953-00-00-AC</w:t>
            </w:r>
          </w:p>
        </w:tc>
      </w:tr>
      <w:tr w:rsidRPr="004135C1" w:rsidR="004135C1" w:rsidTr="00863A8F" w14:paraId="42036589" w14:textId="77777777">
        <w:tc>
          <w:tcPr>
            <w:tcW w:w="1148" w:type="pct"/>
            <w:vMerge/>
          </w:tcPr>
          <w:p w:rsidRPr="004135C1" w:rsidR="004135C1" w:rsidP="00643D0B" w:rsidRDefault="004135C1" w14:paraId="2D50CCC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852" w:type="pct"/>
          </w:tcPr>
          <w:p w:rsidRPr="004135C1" w:rsidR="004135C1" w:rsidP="00643D0B" w:rsidRDefault="004135C1" w14:paraId="0FCCE1E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66" w:hanging="266"/>
              <w:textAlignment w:val="baseline"/>
            </w:pPr>
          </w:p>
        </w:tc>
      </w:tr>
    </w:tbl>
    <w:p w:rsidRPr="004135C1" w:rsidR="004135C1" w:rsidP="00643D0B" w:rsidRDefault="004135C1" w14:paraId="175B13F6" w14:textId="51E66E2B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</w:rPr>
      </w:pPr>
      <w:r>
        <w:rPr>
          <w:b/>
        </w:rPr>
        <w:t>Pontos principais</w:t>
      </w:r>
    </w:p>
    <w:p w:rsidRPr="004135C1" w:rsidR="004135C1" w:rsidP="00643D0B" w:rsidRDefault="004135C1" w14:paraId="1C197A05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  <w:lang w:val="en-GB"/>
        </w:rPr>
      </w:pPr>
    </w:p>
    <w:p w:rsidR="004135C1" w:rsidP="000016DA" w:rsidRDefault="004135C1" w14:paraId="186AC765" w14:textId="225A7129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iCs/>
        </w:rPr>
      </w:pPr>
      <w:r>
        <w:t>O Comité Económico e Social Europeu</w:t>
      </w:r>
      <w:r w:rsidR="00037C34">
        <w:t xml:space="preserve"> (CESE)</w:t>
      </w:r>
      <w:r>
        <w:t>:</w:t>
      </w:r>
    </w:p>
    <w:p w:rsidR="00E937A4" w:rsidP="000016DA" w:rsidRDefault="00E937A4" w14:paraId="1630A997" w14:textId="7777777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iCs/>
          <w:lang w:val="en-GB"/>
        </w:rPr>
      </w:pPr>
    </w:p>
    <w:p w:rsidRPr="004135C1" w:rsidR="004135C1" w:rsidP="00643D0B" w:rsidRDefault="004135C1" w14:paraId="53701C4C" w14:textId="77777777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contribui com este parecer para os esforços conjuntos que visam restaurar a competitividade da Europa e reforçar a sua posição industrial, melhorando simultaneamente o desempenho das empresas europeias na transição ecológica;</w:t>
      </w:r>
    </w:p>
    <w:p w:rsidRPr="004135C1" w:rsidR="004135C1" w:rsidP="00643D0B" w:rsidRDefault="004135C1" w14:paraId="0EFA68B4" w14:textId="77777777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reconhece o papel fundamental que os serviços profissionais desempenham na transição ecológica;</w:t>
      </w:r>
    </w:p>
    <w:p w:rsidRPr="004135C1" w:rsidR="004135C1" w:rsidP="00643D0B" w:rsidRDefault="004135C1" w14:paraId="378F73BE" w14:textId="77777777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está preocupado com a possibilidade de o processo de ecologização parar devido à escassez de mão de obra e de competências, à inadequação das competências e ao aumento dos encargos regulamentares, administrativos e financeiros, bem como aos novos desafios decorrentes de mudanças rápidas nas cadeias de abastecimento;</w:t>
      </w:r>
    </w:p>
    <w:p w:rsidRPr="004135C1" w:rsidR="004135C1" w:rsidP="00643D0B" w:rsidRDefault="004135C1" w14:paraId="15581C43" w14:textId="77777777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espera que as alterações na dinâmica das cadeias de abastecimento da indústria transformadora contribuam para o reposicionamento das cadeias de valor e incentivem a relocalização, estando muitas empresas a ponderar trazer de volta a produção e os serviços anteriormente deslocalizados para países terceiros;</w:t>
      </w:r>
    </w:p>
    <w:p w:rsidRPr="004135C1" w:rsidR="004135C1" w:rsidP="00643D0B" w:rsidRDefault="004135C1" w14:paraId="704100D1" w14:textId="77777777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entende que se deve pôr em prática a nova visão para a União das Competências. É necessário realizar reformas coerentes nos sistemas educativos para adaptar os programas curriculares às mudanças no mundo do trabalho, apoiar todos os programas educativos pertinentes (incluindo a ciência, tecnologia, engenharia e matemática (CTEM)), aplicar uma nova estratégia de ensino e formação profissionais (EFP), apoiar os professores e melhorar a coordenação a nível da UE;</w:t>
      </w:r>
    </w:p>
    <w:p w:rsidRPr="004135C1" w:rsidR="004135C1" w:rsidP="00643D0B" w:rsidRDefault="004135C1" w14:paraId="08C940E6" w14:textId="77777777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reconhece igualmente a necessidade de promover iniciativas educativas, tanto a nível da UE como dos Estados-Membros. Tal poderá envolver incentivos financeiros específicos para cursos de EFP destinados a tornar os serviços profissionais mais ecológicos, incluindo a criação de programas académicos a nível da UE tendo em vista atrair novos profissionais ou formar profissionais existentes em matéria de objetivos de sustentabilidade e promover a adaptação e a melhoria das competências e dos empregos existentes (programas de melhoria de competências e programas de requalificação). Estas iniciativas poderão também resultar na criação de novas competências para as transições ecológica e digital, que podem ser consideradas uma «dupla transição», na medida em que são indissociáveis e podem reforçar-se mutuamente;</w:t>
      </w:r>
    </w:p>
    <w:p w:rsidRPr="004135C1" w:rsidR="004135C1" w:rsidP="00643D0B" w:rsidRDefault="004135C1" w14:paraId="2BCB6B7B" w14:textId="77777777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propõe políticas específicas de apoio à ligação em rede dos serviços profissionais, a fim de melhorar a escala operacional das atividades conexas, tendo devidamente em conta as características específicas de cada Estado-Membro;</w:t>
      </w:r>
    </w:p>
    <w:p w:rsidR="001D7E3C" w:rsidP="00643D0B" w:rsidRDefault="004135C1" w14:paraId="35E722CE" w14:textId="2A3E9441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considera que o défice de competências poderia ser colmatado seguindo as sugestões acima referidas e formando profissionais qualificados na Europa, ou atraindo profissionais de fora da UE através de políticas e iniciativas;</w:t>
      </w:r>
    </w:p>
    <w:p w:rsidRPr="003F77DC" w:rsidR="001D7E3C" w:rsidP="00643D0B" w:rsidRDefault="004135C1" w14:paraId="43F22060" w14:textId="533B905C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t>salienta o papel importante que os parceiros sociais, as organizações de serviços profissionais e as organizações pertinentes da sociedade civil desempenham nos processos de transição ecológica justos e bem-sucedidos;</w:t>
      </w:r>
    </w:p>
    <w:p w:rsidR="004135C1" w:rsidP="00643D0B" w:rsidRDefault="004135C1" w14:paraId="482673F9" w14:textId="77777777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Cs/>
          <w:iCs/>
        </w:rPr>
      </w:pPr>
      <w:r>
        <w:lastRenderedPageBreak/>
        <w:t>destaca igualmente outros desafios no contexto geral da prestação de serviços profissionais, incluindo os obstáculos ao reconhecimento das qualificações, que terão de ser eliminados para ajudar a impulsionar a mobilidade profissional e colmatar o défice de competências. O CESE considera que devem ser prosseguidos os esforços neste sentido, nomeadamente dando seguimento aos pareceres que abordam estas temáticas.</w:t>
      </w:r>
    </w:p>
    <w:p w:rsidRPr="004135C1" w:rsidR="000016DA" w:rsidP="00643D0B" w:rsidRDefault="000016DA" w14:paraId="1AB122AC" w14:textId="77777777">
      <w:pPr>
        <w:widowControl w:val="0"/>
        <w:overflowPunct w:val="0"/>
        <w:autoSpaceDE w:val="0"/>
        <w:autoSpaceDN w:val="0"/>
        <w:adjustRightInd w:val="0"/>
        <w:spacing w:line="276" w:lineRule="auto"/>
        <w:ind w:left="284"/>
        <w:textAlignment w:val="baseline"/>
        <w:rPr>
          <w:bCs/>
          <w:iCs/>
          <w:lang w:val="en-GB"/>
        </w:rPr>
      </w:pPr>
    </w:p>
    <w:tbl>
      <w:tblPr>
        <w:tblStyle w:val="TableGrid17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94"/>
        <w:gridCol w:w="4636"/>
      </w:tblGrid>
      <w:tr w:rsidRPr="004135C1" w:rsidR="004135C1" w:rsidTr="00863A8F" w14:paraId="4C9E1B01" w14:textId="77777777">
        <w:tc>
          <w:tcPr>
            <w:tcW w:w="1556" w:type="pct"/>
          </w:tcPr>
          <w:p w:rsidRPr="004135C1" w:rsidR="004135C1" w:rsidP="00643D0B" w:rsidRDefault="004135C1" w14:paraId="45233C97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Contacto</w:t>
            </w:r>
          </w:p>
        </w:tc>
        <w:tc>
          <w:tcPr>
            <w:tcW w:w="3444" w:type="pct"/>
          </w:tcPr>
          <w:p w:rsidRPr="007D133E" w:rsidR="004135C1" w:rsidP="00643D0B" w:rsidRDefault="004135C1" w14:paraId="73D850BB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i/>
              </w:rPr>
            </w:pPr>
            <w:r w:rsidRPr="007D133E">
              <w:rPr>
                <w:bCs/>
                <w:i/>
              </w:rPr>
              <w:t>Ioannis Diamantopoulos</w:t>
            </w:r>
          </w:p>
        </w:tc>
      </w:tr>
      <w:tr w:rsidRPr="004135C1" w:rsidR="004135C1" w:rsidTr="00863A8F" w14:paraId="0FC85F78" w14:textId="77777777">
        <w:tc>
          <w:tcPr>
            <w:tcW w:w="1556" w:type="pct"/>
          </w:tcPr>
          <w:p w:rsidRPr="004135C1" w:rsidR="004135C1" w:rsidP="00643D0B" w:rsidRDefault="004135C1" w14:paraId="687EE5FA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3444" w:type="pct"/>
          </w:tcPr>
          <w:p w:rsidRPr="004135C1" w:rsidR="004135C1" w:rsidP="00643D0B" w:rsidRDefault="004135C1" w14:paraId="6749A83F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/>
              </w:rPr>
            </w:pPr>
            <w:r>
              <w:rPr>
                <w:i/>
              </w:rPr>
              <w:t>+32 2 546 91 70</w:t>
            </w:r>
          </w:p>
        </w:tc>
      </w:tr>
      <w:tr w:rsidRPr="004135C1" w:rsidR="004135C1" w:rsidTr="00863A8F" w14:paraId="3DB36BB4" w14:textId="77777777">
        <w:tc>
          <w:tcPr>
            <w:tcW w:w="1556" w:type="pct"/>
          </w:tcPr>
          <w:p w:rsidRPr="00643D0B" w:rsidR="004135C1" w:rsidP="00643D0B" w:rsidRDefault="004135C1" w14:paraId="15032542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Cs/>
              </w:rPr>
            </w:pPr>
            <w:r>
              <w:t>Endereço eletrónico</w:t>
            </w:r>
          </w:p>
        </w:tc>
        <w:tc>
          <w:tcPr>
            <w:tcW w:w="3444" w:type="pct"/>
          </w:tcPr>
          <w:p w:rsidRPr="004135C1" w:rsidR="004135C1" w:rsidP="00643D0B" w:rsidRDefault="00F260F0" w14:paraId="34B92454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i/>
              </w:rPr>
            </w:pPr>
            <w:hyperlink w:history="1" r:id="rId53">
              <w:r w:rsidR="004135C1">
                <w:rPr>
                  <w:i/>
                  <w:color w:val="0000FF"/>
                  <w:u w:val="single"/>
                </w:rPr>
                <w:t>Ioannis.Diamantopoulos@eesc.europa.eu</w:t>
              </w:r>
            </w:hyperlink>
          </w:p>
        </w:tc>
      </w:tr>
    </w:tbl>
    <w:p w:rsidRPr="001C59D9" w:rsidR="004135C1" w:rsidP="006D6D4E" w:rsidRDefault="004135C1" w14:paraId="6CFA8AD0" w14:textId="77777777">
      <w:pPr>
        <w:keepNext/>
        <w:keepLines/>
        <w:rPr>
          <w:lang w:val="en-GB"/>
        </w:rPr>
      </w:pPr>
    </w:p>
    <w:p w:rsidR="00395260" w:rsidP="006D6D4E" w:rsidRDefault="00395260" w14:paraId="3A6F59B7" w14:textId="77777777">
      <w:pPr>
        <w:keepNext/>
        <w:keepLines/>
      </w:pPr>
    </w:p>
    <w:p w:rsidR="000D394D" w:rsidP="006D6D4E" w:rsidRDefault="000127B6" w14:paraId="2E28EF19" w14:textId="0CD21960">
      <w:pPr>
        <w:spacing w:after="160" w:line="259" w:lineRule="auto"/>
        <w:jc w:val="center"/>
      </w:pPr>
      <w:r>
        <w:t>_____________</w:t>
      </w:r>
    </w:p>
    <w:sectPr w:rsidR="000D394D" w:rsidSect="00902A1F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7" w:h="1683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0FBB" w14:textId="77777777" w:rsidR="001E391D" w:rsidRDefault="001E391D" w:rsidP="00B518C9">
      <w:pPr>
        <w:spacing w:line="240" w:lineRule="auto"/>
      </w:pPr>
      <w:r>
        <w:separator/>
      </w:r>
    </w:p>
  </w:endnote>
  <w:endnote w:type="continuationSeparator" w:id="0">
    <w:p w14:paraId="11583423" w14:textId="77777777" w:rsidR="001E391D" w:rsidRDefault="001E391D" w:rsidP="00B51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4C18" w14:textId="77777777" w:rsidR="00902A1F" w:rsidRPr="00902A1F" w:rsidRDefault="00902A1F" w:rsidP="00902A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DE51" w14:textId="7DBEE3B3" w:rsidR="00B518C9" w:rsidRPr="00902A1F" w:rsidRDefault="00902A1F" w:rsidP="00902A1F">
    <w:pPr>
      <w:pStyle w:val="Footer"/>
    </w:pPr>
    <w:r>
      <w:t xml:space="preserve">EESC-2024-04018-00-00-TCD-TRA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643D0B">
      <w:t>1</w:t>
    </w:r>
    <w:r>
      <w:fldChar w:fldCharType="end"/>
    </w:r>
    <w:r>
      <w:t>/</w:t>
    </w:r>
    <w:r w:rsidR="00F260F0">
      <w:fldChar w:fldCharType="begin"/>
    </w:r>
    <w:r w:rsidR="00F260F0">
      <w:instrText xml:space="preserve"> NUMPAGES </w:instrText>
    </w:r>
    <w:r w:rsidR="00F260F0">
      <w:fldChar w:fldCharType="separate"/>
    </w:r>
    <w:r w:rsidR="00643D0B">
      <w:t>1</w:t>
    </w:r>
    <w:r w:rsidR="00F260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CA7" w14:textId="77777777" w:rsidR="00902A1F" w:rsidRPr="00902A1F" w:rsidRDefault="00902A1F" w:rsidP="00902A1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B9B8" w14:textId="77777777" w:rsidR="00F32856" w:rsidRPr="00902A1F" w:rsidRDefault="00F32856" w:rsidP="00902A1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5BF1" w14:textId="38E5B715" w:rsidR="00F32856" w:rsidRPr="00902A1F" w:rsidRDefault="00902A1F" w:rsidP="00902A1F">
    <w:pPr>
      <w:pStyle w:val="Footer"/>
    </w:pPr>
    <w:r>
      <w:t xml:space="preserve">EESC-2024-04018-00-00-TCD-TRA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r w:rsidR="00F260F0">
      <w:fldChar w:fldCharType="begin"/>
    </w:r>
    <w:r w:rsidR="00F260F0">
      <w:instrText xml:space="preserve"> NUMPAGES </w:instrText>
    </w:r>
    <w:r w:rsidR="00F260F0">
      <w:fldChar w:fldCharType="separate"/>
    </w:r>
    <w:r>
      <w:t>27</w:t>
    </w:r>
    <w:r w:rsidR="00F260F0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6E26" w14:textId="77777777" w:rsidR="00F32856" w:rsidRPr="00902A1F" w:rsidRDefault="00F32856" w:rsidP="00902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DB26" w14:textId="77777777" w:rsidR="001E391D" w:rsidRDefault="001E391D" w:rsidP="00B518C9">
      <w:pPr>
        <w:spacing w:line="240" w:lineRule="auto"/>
      </w:pPr>
      <w:r>
        <w:separator/>
      </w:r>
    </w:p>
  </w:footnote>
  <w:footnote w:type="continuationSeparator" w:id="0">
    <w:p w14:paraId="1175CF01" w14:textId="77777777" w:rsidR="001E391D" w:rsidRDefault="001E391D" w:rsidP="00B51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F857" w14:textId="77777777" w:rsidR="00902A1F" w:rsidRPr="00902A1F" w:rsidRDefault="00902A1F" w:rsidP="00902A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8716" w14:textId="01AC7515" w:rsidR="00902A1F" w:rsidRPr="00902A1F" w:rsidRDefault="00902A1F" w:rsidP="00902A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6718" w14:textId="77777777" w:rsidR="00902A1F" w:rsidRPr="00902A1F" w:rsidRDefault="00902A1F" w:rsidP="00902A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B623" w14:textId="77777777" w:rsidR="00F32856" w:rsidRPr="00902A1F" w:rsidRDefault="00F32856" w:rsidP="00902A1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0FD8" w14:textId="3A04F623" w:rsidR="00F32856" w:rsidRPr="00902A1F" w:rsidRDefault="00F32856" w:rsidP="00902A1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CD4E" w14:textId="77777777" w:rsidR="00F32856" w:rsidRPr="00902A1F" w:rsidRDefault="00F32856" w:rsidP="00902A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4546156A"/>
    <w:lvl w:ilvl="0">
      <w:numFmt w:val="decimal"/>
      <w:lvlText w:val="*"/>
      <w:lvlJc w:val="left"/>
    </w:lvl>
  </w:abstractNum>
  <w:abstractNum w:abstractNumId="2" w15:restartNumberingAfterBreak="0">
    <w:nsid w:val="013C0428"/>
    <w:multiLevelType w:val="hybridMultilevel"/>
    <w:tmpl w:val="3FB0A6B6"/>
    <w:lvl w:ilvl="0" w:tplc="5B7E5B1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100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1827DE3"/>
    <w:multiLevelType w:val="multilevel"/>
    <w:tmpl w:val="935EEC2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4" w15:restartNumberingAfterBreak="0">
    <w:nsid w:val="0239029C"/>
    <w:multiLevelType w:val="hybridMultilevel"/>
    <w:tmpl w:val="CC265D90"/>
    <w:lvl w:ilvl="0" w:tplc="5B7E5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5362C4"/>
    <w:multiLevelType w:val="hybridMultilevel"/>
    <w:tmpl w:val="983A5CBC"/>
    <w:lvl w:ilvl="0" w:tplc="5B7E5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79C2842"/>
    <w:multiLevelType w:val="hybridMultilevel"/>
    <w:tmpl w:val="30663F5C"/>
    <w:lvl w:ilvl="0" w:tplc="5B7E5B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A8F44DD"/>
    <w:multiLevelType w:val="hybridMultilevel"/>
    <w:tmpl w:val="148EFAE4"/>
    <w:lvl w:ilvl="0" w:tplc="5B7E5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D5D641C"/>
    <w:multiLevelType w:val="multilevel"/>
    <w:tmpl w:val="988A5340"/>
    <w:lvl w:ilvl="0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9" w15:restartNumberingAfterBreak="0">
    <w:nsid w:val="0E6A28EC"/>
    <w:multiLevelType w:val="hybridMultilevel"/>
    <w:tmpl w:val="AE848A0E"/>
    <w:lvl w:ilvl="0" w:tplc="5B7E5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0147BE8"/>
    <w:multiLevelType w:val="hybridMultilevel"/>
    <w:tmpl w:val="A436440C"/>
    <w:lvl w:ilvl="0" w:tplc="5B7E5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3083C3F"/>
    <w:multiLevelType w:val="hybridMultilevel"/>
    <w:tmpl w:val="EF5C3A46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18180516"/>
    <w:multiLevelType w:val="hybridMultilevel"/>
    <w:tmpl w:val="A300B5B2"/>
    <w:lvl w:ilvl="0" w:tplc="5B7E5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B7E5B1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F75D4"/>
    <w:multiLevelType w:val="hybridMultilevel"/>
    <w:tmpl w:val="3534599E"/>
    <w:lvl w:ilvl="0" w:tplc="08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8B44178"/>
    <w:multiLevelType w:val="hybridMultilevel"/>
    <w:tmpl w:val="ABE881AE"/>
    <w:lvl w:ilvl="0" w:tplc="5B7E5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A942A0F"/>
    <w:multiLevelType w:val="hybridMultilevel"/>
    <w:tmpl w:val="8758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83118"/>
    <w:multiLevelType w:val="hybridMultilevel"/>
    <w:tmpl w:val="39B4FC70"/>
    <w:lvl w:ilvl="0" w:tplc="5B7E5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C294C09"/>
    <w:multiLevelType w:val="hybridMultilevel"/>
    <w:tmpl w:val="4A48379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D83E27"/>
    <w:multiLevelType w:val="hybridMultilevel"/>
    <w:tmpl w:val="1F4CEE8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FC0931"/>
    <w:multiLevelType w:val="hybridMultilevel"/>
    <w:tmpl w:val="AD6A3AE4"/>
    <w:lvl w:ilvl="0" w:tplc="5B7E5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E615E64"/>
    <w:multiLevelType w:val="hybridMultilevel"/>
    <w:tmpl w:val="B77A5CE0"/>
    <w:lvl w:ilvl="0" w:tplc="5B7E5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EBF6AB5"/>
    <w:multiLevelType w:val="multilevel"/>
    <w:tmpl w:val="F24CF43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o"/>
      <w:lvlJc w:val="left"/>
      <w:rPr>
        <w:rFonts w:ascii="Courier New" w:hAnsi="Courier New" w:cs="Courier New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2" w15:restartNumberingAfterBreak="0">
    <w:nsid w:val="403C7B2A"/>
    <w:multiLevelType w:val="hybridMultilevel"/>
    <w:tmpl w:val="B89EF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C014AA"/>
    <w:multiLevelType w:val="hybridMultilevel"/>
    <w:tmpl w:val="CB1EBA1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B85373"/>
    <w:multiLevelType w:val="hybridMultilevel"/>
    <w:tmpl w:val="A4CA556A"/>
    <w:lvl w:ilvl="0" w:tplc="5B7E5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62411E4"/>
    <w:multiLevelType w:val="hybridMultilevel"/>
    <w:tmpl w:val="F8881F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27B21"/>
    <w:multiLevelType w:val="hybridMultilevel"/>
    <w:tmpl w:val="EB022A16"/>
    <w:lvl w:ilvl="0" w:tplc="5B7E5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93F31EB"/>
    <w:multiLevelType w:val="hybridMultilevel"/>
    <w:tmpl w:val="21368E6A"/>
    <w:lvl w:ilvl="0" w:tplc="5B7E5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CF5E33"/>
    <w:multiLevelType w:val="hybridMultilevel"/>
    <w:tmpl w:val="3B48B696"/>
    <w:lvl w:ilvl="0" w:tplc="5B7E5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E1C17"/>
    <w:multiLevelType w:val="hybridMultilevel"/>
    <w:tmpl w:val="0FB4E5D4"/>
    <w:lvl w:ilvl="0" w:tplc="5B7E5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267AC"/>
    <w:multiLevelType w:val="hybridMultilevel"/>
    <w:tmpl w:val="FF609A6C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4726C2E"/>
    <w:multiLevelType w:val="hybridMultilevel"/>
    <w:tmpl w:val="D4DECCC0"/>
    <w:lvl w:ilvl="0" w:tplc="5B7E5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5B125C4"/>
    <w:multiLevelType w:val="multilevel"/>
    <w:tmpl w:val="935EEC2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3" w15:restartNumberingAfterBreak="0">
    <w:nsid w:val="56DB5B66"/>
    <w:multiLevelType w:val="hybridMultilevel"/>
    <w:tmpl w:val="326849AC"/>
    <w:lvl w:ilvl="0" w:tplc="5B7E5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B6037DC"/>
    <w:multiLevelType w:val="hybridMultilevel"/>
    <w:tmpl w:val="F294A0A6"/>
    <w:lvl w:ilvl="0" w:tplc="5B7E5B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E081D52"/>
    <w:multiLevelType w:val="hybridMultilevel"/>
    <w:tmpl w:val="F274EE7C"/>
    <w:lvl w:ilvl="0" w:tplc="5B7E5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1570975"/>
    <w:multiLevelType w:val="hybridMultilevel"/>
    <w:tmpl w:val="C1E4F12C"/>
    <w:lvl w:ilvl="0" w:tplc="CBE0F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336FE"/>
    <w:multiLevelType w:val="hybridMultilevel"/>
    <w:tmpl w:val="50B487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D312E"/>
    <w:multiLevelType w:val="hybridMultilevel"/>
    <w:tmpl w:val="C0B0A20C"/>
    <w:lvl w:ilvl="0" w:tplc="5B7E5B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0997AFF"/>
    <w:multiLevelType w:val="hybridMultilevel"/>
    <w:tmpl w:val="A7BC8150"/>
    <w:lvl w:ilvl="0" w:tplc="5B7E5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03F41"/>
    <w:multiLevelType w:val="hybridMultilevel"/>
    <w:tmpl w:val="069C00D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FE643B"/>
    <w:multiLevelType w:val="hybridMultilevel"/>
    <w:tmpl w:val="4662B02A"/>
    <w:lvl w:ilvl="0" w:tplc="5B7E5B1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 w15:restartNumberingAfterBreak="0">
    <w:nsid w:val="7C8D0378"/>
    <w:multiLevelType w:val="hybridMultilevel"/>
    <w:tmpl w:val="35705048"/>
    <w:lvl w:ilvl="0" w:tplc="5B7E5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  <w:color w:val="auto"/>
        </w:rPr>
      </w:lvl>
    </w:lvlOverride>
  </w:num>
  <w:num w:numId="3">
    <w:abstractNumId w:val="13"/>
  </w:num>
  <w:num w:numId="4">
    <w:abstractNumId w:val="18"/>
  </w:num>
  <w:num w:numId="5">
    <w:abstractNumId w:val="15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b/>
          <w:bCs/>
          <w:color w:val="auto"/>
        </w:rPr>
      </w:lvl>
    </w:lvlOverride>
  </w:num>
  <w:num w:numId="7">
    <w:abstractNumId w:val="17"/>
  </w:num>
  <w:num w:numId="8">
    <w:abstractNumId w:val="37"/>
  </w:num>
  <w:num w:numId="9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10">
    <w:abstractNumId w:val="11"/>
  </w:num>
  <w:num w:numId="11">
    <w:abstractNumId w:val="22"/>
  </w:num>
  <w:num w:numId="12">
    <w:abstractNumId w:val="34"/>
  </w:num>
  <w:num w:numId="13">
    <w:abstractNumId w:val="21"/>
  </w:num>
  <w:num w:numId="14">
    <w:abstractNumId w:val="23"/>
  </w:num>
  <w:num w:numId="15">
    <w:abstractNumId w:val="24"/>
  </w:num>
  <w:num w:numId="16">
    <w:abstractNumId w:val="4"/>
  </w:num>
  <w:num w:numId="17">
    <w:abstractNumId w:val="40"/>
  </w:num>
  <w:num w:numId="18">
    <w:abstractNumId w:val="29"/>
  </w:num>
  <w:num w:numId="19">
    <w:abstractNumId w:val="27"/>
  </w:num>
  <w:num w:numId="20">
    <w:abstractNumId w:val="42"/>
  </w:num>
  <w:num w:numId="21">
    <w:abstractNumId w:val="5"/>
  </w:num>
  <w:num w:numId="22">
    <w:abstractNumId w:val="38"/>
  </w:num>
  <w:num w:numId="23">
    <w:abstractNumId w:val="19"/>
  </w:num>
  <w:num w:numId="24">
    <w:abstractNumId w:val="33"/>
  </w:num>
  <w:num w:numId="25">
    <w:abstractNumId w:val="35"/>
  </w:num>
  <w:num w:numId="26">
    <w:abstractNumId w:val="7"/>
  </w:num>
  <w:num w:numId="27">
    <w:abstractNumId w:val="31"/>
  </w:num>
  <w:num w:numId="28">
    <w:abstractNumId w:val="20"/>
  </w:num>
  <w:num w:numId="29">
    <w:abstractNumId w:val="41"/>
  </w:num>
  <w:num w:numId="30">
    <w:abstractNumId w:val="28"/>
  </w:num>
  <w:num w:numId="31">
    <w:abstractNumId w:val="2"/>
  </w:num>
  <w:num w:numId="32">
    <w:abstractNumId w:val="12"/>
  </w:num>
  <w:num w:numId="33">
    <w:abstractNumId w:val="6"/>
  </w:num>
  <w:num w:numId="34">
    <w:abstractNumId w:val="3"/>
  </w:num>
  <w:num w:numId="35">
    <w:abstractNumId w:val="32"/>
  </w:num>
  <w:num w:numId="36">
    <w:abstractNumId w:val="8"/>
  </w:num>
  <w:num w:numId="37">
    <w:abstractNumId w:val="16"/>
  </w:num>
  <w:num w:numId="38">
    <w:abstractNumId w:val="10"/>
  </w:num>
  <w:num w:numId="39">
    <w:abstractNumId w:val="25"/>
  </w:num>
  <w:num w:numId="40">
    <w:abstractNumId w:val="30"/>
  </w:num>
  <w:num w:numId="41">
    <w:abstractNumId w:val="9"/>
  </w:num>
  <w:num w:numId="42">
    <w:abstractNumId w:val="36"/>
  </w:num>
  <w:num w:numId="43">
    <w:abstractNumId w:val="39"/>
  </w:num>
  <w:num w:numId="44">
    <w:abstractNumId w:val="14"/>
  </w:num>
  <w:num w:numId="4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16DA"/>
    <w:rsid w:val="00006302"/>
    <w:rsid w:val="00010755"/>
    <w:rsid w:val="00010A4D"/>
    <w:rsid w:val="000127B6"/>
    <w:rsid w:val="00013507"/>
    <w:rsid w:val="000139C0"/>
    <w:rsid w:val="0002198C"/>
    <w:rsid w:val="000311D9"/>
    <w:rsid w:val="00037C34"/>
    <w:rsid w:val="0005550D"/>
    <w:rsid w:val="00060058"/>
    <w:rsid w:val="00061C9F"/>
    <w:rsid w:val="00063699"/>
    <w:rsid w:val="00063DFF"/>
    <w:rsid w:val="00064723"/>
    <w:rsid w:val="00065A12"/>
    <w:rsid w:val="00072A85"/>
    <w:rsid w:val="00075DDE"/>
    <w:rsid w:val="00076FEA"/>
    <w:rsid w:val="000835E1"/>
    <w:rsid w:val="000842A7"/>
    <w:rsid w:val="00093D60"/>
    <w:rsid w:val="00097638"/>
    <w:rsid w:val="000C3C0E"/>
    <w:rsid w:val="000C4EA7"/>
    <w:rsid w:val="000C5A8B"/>
    <w:rsid w:val="000C68EA"/>
    <w:rsid w:val="000D0C87"/>
    <w:rsid w:val="000D394D"/>
    <w:rsid w:val="000D430F"/>
    <w:rsid w:val="000D634C"/>
    <w:rsid w:val="000D71EF"/>
    <w:rsid w:val="000E1E59"/>
    <w:rsid w:val="000E3489"/>
    <w:rsid w:val="000F0F74"/>
    <w:rsid w:val="000F63F0"/>
    <w:rsid w:val="0010452B"/>
    <w:rsid w:val="00105088"/>
    <w:rsid w:val="00114003"/>
    <w:rsid w:val="0012754B"/>
    <w:rsid w:val="00132926"/>
    <w:rsid w:val="00133070"/>
    <w:rsid w:val="00147198"/>
    <w:rsid w:val="00151032"/>
    <w:rsid w:val="00154418"/>
    <w:rsid w:val="00154A7F"/>
    <w:rsid w:val="0017133A"/>
    <w:rsid w:val="001A2F56"/>
    <w:rsid w:val="001A6359"/>
    <w:rsid w:val="001B1D9E"/>
    <w:rsid w:val="001B1F1D"/>
    <w:rsid w:val="001B2FD0"/>
    <w:rsid w:val="001C322E"/>
    <w:rsid w:val="001C59D9"/>
    <w:rsid w:val="001D054F"/>
    <w:rsid w:val="001D7E3C"/>
    <w:rsid w:val="001E391D"/>
    <w:rsid w:val="0020051E"/>
    <w:rsid w:val="00206313"/>
    <w:rsid w:val="0021254C"/>
    <w:rsid w:val="00216C2C"/>
    <w:rsid w:val="00235EB1"/>
    <w:rsid w:val="00236879"/>
    <w:rsid w:val="0023768A"/>
    <w:rsid w:val="002428CF"/>
    <w:rsid w:val="00244BDD"/>
    <w:rsid w:val="002608BA"/>
    <w:rsid w:val="002673F7"/>
    <w:rsid w:val="00270BD5"/>
    <w:rsid w:val="00285397"/>
    <w:rsid w:val="002A13FC"/>
    <w:rsid w:val="002A5636"/>
    <w:rsid w:val="002A60CB"/>
    <w:rsid w:val="002A7CAA"/>
    <w:rsid w:val="002B1BC5"/>
    <w:rsid w:val="002B7981"/>
    <w:rsid w:val="002D1891"/>
    <w:rsid w:val="002D6198"/>
    <w:rsid w:val="002E4460"/>
    <w:rsid w:val="00301F08"/>
    <w:rsid w:val="003066BE"/>
    <w:rsid w:val="00310D3C"/>
    <w:rsid w:val="0031123C"/>
    <w:rsid w:val="003227CC"/>
    <w:rsid w:val="0032562B"/>
    <w:rsid w:val="00327E1C"/>
    <w:rsid w:val="00330CFA"/>
    <w:rsid w:val="003321DA"/>
    <w:rsid w:val="003331D9"/>
    <w:rsid w:val="003337BA"/>
    <w:rsid w:val="00356BBA"/>
    <w:rsid w:val="00380E1D"/>
    <w:rsid w:val="00394CC6"/>
    <w:rsid w:val="00395260"/>
    <w:rsid w:val="00395E32"/>
    <w:rsid w:val="003A3663"/>
    <w:rsid w:val="003A3FDA"/>
    <w:rsid w:val="003A474F"/>
    <w:rsid w:val="003A64A6"/>
    <w:rsid w:val="003C24AB"/>
    <w:rsid w:val="003E3CA2"/>
    <w:rsid w:val="003E4C29"/>
    <w:rsid w:val="003E5661"/>
    <w:rsid w:val="003E6800"/>
    <w:rsid w:val="003F326D"/>
    <w:rsid w:val="003F77DC"/>
    <w:rsid w:val="003F79EF"/>
    <w:rsid w:val="00412085"/>
    <w:rsid w:val="00412706"/>
    <w:rsid w:val="004135C1"/>
    <w:rsid w:val="004175C7"/>
    <w:rsid w:val="00417BAC"/>
    <w:rsid w:val="00424943"/>
    <w:rsid w:val="0043191A"/>
    <w:rsid w:val="00435C4B"/>
    <w:rsid w:val="00450AE6"/>
    <w:rsid w:val="004521E2"/>
    <w:rsid w:val="0045501A"/>
    <w:rsid w:val="004616D9"/>
    <w:rsid w:val="00471C02"/>
    <w:rsid w:val="00482C25"/>
    <w:rsid w:val="00482F6A"/>
    <w:rsid w:val="0049314C"/>
    <w:rsid w:val="00495789"/>
    <w:rsid w:val="00495B94"/>
    <w:rsid w:val="0049668C"/>
    <w:rsid w:val="004A4E1A"/>
    <w:rsid w:val="004A5CD7"/>
    <w:rsid w:val="004B5D3D"/>
    <w:rsid w:val="004D5FA1"/>
    <w:rsid w:val="004D6AA3"/>
    <w:rsid w:val="004D7AC0"/>
    <w:rsid w:val="004E0D13"/>
    <w:rsid w:val="004E1104"/>
    <w:rsid w:val="004E557A"/>
    <w:rsid w:val="004E6555"/>
    <w:rsid w:val="004E70AF"/>
    <w:rsid w:val="004F208D"/>
    <w:rsid w:val="004F3D44"/>
    <w:rsid w:val="004F7498"/>
    <w:rsid w:val="00507085"/>
    <w:rsid w:val="00511DE3"/>
    <w:rsid w:val="00512F32"/>
    <w:rsid w:val="0052039C"/>
    <w:rsid w:val="00521F9D"/>
    <w:rsid w:val="00524472"/>
    <w:rsid w:val="005307E7"/>
    <w:rsid w:val="00532089"/>
    <w:rsid w:val="00533F3C"/>
    <w:rsid w:val="0054576E"/>
    <w:rsid w:val="00557589"/>
    <w:rsid w:val="0056095E"/>
    <w:rsid w:val="00561079"/>
    <w:rsid w:val="0056252F"/>
    <w:rsid w:val="00567ED0"/>
    <w:rsid w:val="00570340"/>
    <w:rsid w:val="005714B9"/>
    <w:rsid w:val="00577504"/>
    <w:rsid w:val="00584A92"/>
    <w:rsid w:val="00586B4B"/>
    <w:rsid w:val="0059010B"/>
    <w:rsid w:val="005A0BDA"/>
    <w:rsid w:val="005A452F"/>
    <w:rsid w:val="005B5380"/>
    <w:rsid w:val="005C5604"/>
    <w:rsid w:val="005D181D"/>
    <w:rsid w:val="005D19B4"/>
    <w:rsid w:val="005D220F"/>
    <w:rsid w:val="005D4DC8"/>
    <w:rsid w:val="005E67E2"/>
    <w:rsid w:val="005E7651"/>
    <w:rsid w:val="005F0629"/>
    <w:rsid w:val="005F115E"/>
    <w:rsid w:val="006122B1"/>
    <w:rsid w:val="0061752E"/>
    <w:rsid w:val="006177F1"/>
    <w:rsid w:val="00621F79"/>
    <w:rsid w:val="006249B6"/>
    <w:rsid w:val="00625CA3"/>
    <w:rsid w:val="00641262"/>
    <w:rsid w:val="00643D0B"/>
    <w:rsid w:val="006535D9"/>
    <w:rsid w:val="006766F1"/>
    <w:rsid w:val="00691580"/>
    <w:rsid w:val="00692DF0"/>
    <w:rsid w:val="00697BE1"/>
    <w:rsid w:val="006A1AC2"/>
    <w:rsid w:val="006A6A0C"/>
    <w:rsid w:val="006C1C6C"/>
    <w:rsid w:val="006D2C8A"/>
    <w:rsid w:val="006D2D64"/>
    <w:rsid w:val="006D6D4E"/>
    <w:rsid w:val="006F1DF9"/>
    <w:rsid w:val="006F2520"/>
    <w:rsid w:val="006F41A3"/>
    <w:rsid w:val="006F6754"/>
    <w:rsid w:val="00700711"/>
    <w:rsid w:val="00707D39"/>
    <w:rsid w:val="00712A38"/>
    <w:rsid w:val="007216F7"/>
    <w:rsid w:val="007224BE"/>
    <w:rsid w:val="00723B3A"/>
    <w:rsid w:val="00737271"/>
    <w:rsid w:val="0073769A"/>
    <w:rsid w:val="00750D3B"/>
    <w:rsid w:val="00753C49"/>
    <w:rsid w:val="00754027"/>
    <w:rsid w:val="00755E22"/>
    <w:rsid w:val="00756838"/>
    <w:rsid w:val="00757670"/>
    <w:rsid w:val="00761851"/>
    <w:rsid w:val="00766B1A"/>
    <w:rsid w:val="00773F07"/>
    <w:rsid w:val="007810B5"/>
    <w:rsid w:val="007833CB"/>
    <w:rsid w:val="00787947"/>
    <w:rsid w:val="007912B3"/>
    <w:rsid w:val="00797C34"/>
    <w:rsid w:val="007A05BB"/>
    <w:rsid w:val="007A127F"/>
    <w:rsid w:val="007B157B"/>
    <w:rsid w:val="007B5ACA"/>
    <w:rsid w:val="007B7E12"/>
    <w:rsid w:val="007C335E"/>
    <w:rsid w:val="007C7DDB"/>
    <w:rsid w:val="007D133E"/>
    <w:rsid w:val="007D350D"/>
    <w:rsid w:val="007D7907"/>
    <w:rsid w:val="007E3BCB"/>
    <w:rsid w:val="007F5784"/>
    <w:rsid w:val="0080707C"/>
    <w:rsid w:val="00807CED"/>
    <w:rsid w:val="00826962"/>
    <w:rsid w:val="00831D96"/>
    <w:rsid w:val="00845F24"/>
    <w:rsid w:val="008470F5"/>
    <w:rsid w:val="00852A88"/>
    <w:rsid w:val="00863A8F"/>
    <w:rsid w:val="0087129B"/>
    <w:rsid w:val="00876B38"/>
    <w:rsid w:val="0088219D"/>
    <w:rsid w:val="00885409"/>
    <w:rsid w:val="00885FBB"/>
    <w:rsid w:val="008943DA"/>
    <w:rsid w:val="00896D61"/>
    <w:rsid w:val="008A6620"/>
    <w:rsid w:val="008C47BA"/>
    <w:rsid w:val="008C4F61"/>
    <w:rsid w:val="008D2193"/>
    <w:rsid w:val="008D5222"/>
    <w:rsid w:val="008E08F5"/>
    <w:rsid w:val="008E52D1"/>
    <w:rsid w:val="008F3650"/>
    <w:rsid w:val="008F6F62"/>
    <w:rsid w:val="008F781E"/>
    <w:rsid w:val="00902A1F"/>
    <w:rsid w:val="00906A7F"/>
    <w:rsid w:val="0091249B"/>
    <w:rsid w:val="0091409C"/>
    <w:rsid w:val="009266F3"/>
    <w:rsid w:val="009416E3"/>
    <w:rsid w:val="00957436"/>
    <w:rsid w:val="0096579A"/>
    <w:rsid w:val="00983331"/>
    <w:rsid w:val="00990E94"/>
    <w:rsid w:val="00994DD3"/>
    <w:rsid w:val="009B0845"/>
    <w:rsid w:val="009B5279"/>
    <w:rsid w:val="009C0019"/>
    <w:rsid w:val="009C4B7B"/>
    <w:rsid w:val="009C5B03"/>
    <w:rsid w:val="009D2979"/>
    <w:rsid w:val="009D29DE"/>
    <w:rsid w:val="009D2D5C"/>
    <w:rsid w:val="009E0936"/>
    <w:rsid w:val="009E3EE2"/>
    <w:rsid w:val="009F2B41"/>
    <w:rsid w:val="009F3A36"/>
    <w:rsid w:val="009F46E9"/>
    <w:rsid w:val="00A1413A"/>
    <w:rsid w:val="00A14FA3"/>
    <w:rsid w:val="00A1632C"/>
    <w:rsid w:val="00A176AE"/>
    <w:rsid w:val="00A20E9D"/>
    <w:rsid w:val="00A23005"/>
    <w:rsid w:val="00A272B2"/>
    <w:rsid w:val="00A50553"/>
    <w:rsid w:val="00A53F9B"/>
    <w:rsid w:val="00A67887"/>
    <w:rsid w:val="00A7132A"/>
    <w:rsid w:val="00A72D4B"/>
    <w:rsid w:val="00A76426"/>
    <w:rsid w:val="00A805AA"/>
    <w:rsid w:val="00AA36F2"/>
    <w:rsid w:val="00AA430D"/>
    <w:rsid w:val="00AA65DC"/>
    <w:rsid w:val="00AB6CDB"/>
    <w:rsid w:val="00AC23D4"/>
    <w:rsid w:val="00AC6B0D"/>
    <w:rsid w:val="00AC7312"/>
    <w:rsid w:val="00AD3077"/>
    <w:rsid w:val="00AD320D"/>
    <w:rsid w:val="00AE4901"/>
    <w:rsid w:val="00AE4F3D"/>
    <w:rsid w:val="00AE5CF6"/>
    <w:rsid w:val="00AF2F0E"/>
    <w:rsid w:val="00B05F7D"/>
    <w:rsid w:val="00B2002E"/>
    <w:rsid w:val="00B203DA"/>
    <w:rsid w:val="00B2333B"/>
    <w:rsid w:val="00B34664"/>
    <w:rsid w:val="00B42E98"/>
    <w:rsid w:val="00B46B45"/>
    <w:rsid w:val="00B518C9"/>
    <w:rsid w:val="00B520E8"/>
    <w:rsid w:val="00B52CE3"/>
    <w:rsid w:val="00B61E90"/>
    <w:rsid w:val="00B654FC"/>
    <w:rsid w:val="00B70A01"/>
    <w:rsid w:val="00B75F7C"/>
    <w:rsid w:val="00B82684"/>
    <w:rsid w:val="00B827D8"/>
    <w:rsid w:val="00B82ADF"/>
    <w:rsid w:val="00B96875"/>
    <w:rsid w:val="00BA5B45"/>
    <w:rsid w:val="00BB1C2C"/>
    <w:rsid w:val="00BB600D"/>
    <w:rsid w:val="00BC21DF"/>
    <w:rsid w:val="00BC6104"/>
    <w:rsid w:val="00BC79F5"/>
    <w:rsid w:val="00BC7CE9"/>
    <w:rsid w:val="00BE0522"/>
    <w:rsid w:val="00BE0672"/>
    <w:rsid w:val="00BE54B3"/>
    <w:rsid w:val="00C008B4"/>
    <w:rsid w:val="00C12517"/>
    <w:rsid w:val="00C178AD"/>
    <w:rsid w:val="00C17ABD"/>
    <w:rsid w:val="00C24EDC"/>
    <w:rsid w:val="00C255D3"/>
    <w:rsid w:val="00C26C67"/>
    <w:rsid w:val="00C30DF7"/>
    <w:rsid w:val="00C34B13"/>
    <w:rsid w:val="00C45BCC"/>
    <w:rsid w:val="00C643BA"/>
    <w:rsid w:val="00C70B4C"/>
    <w:rsid w:val="00C72301"/>
    <w:rsid w:val="00C77948"/>
    <w:rsid w:val="00C80BDF"/>
    <w:rsid w:val="00C821A5"/>
    <w:rsid w:val="00C8618E"/>
    <w:rsid w:val="00CA021F"/>
    <w:rsid w:val="00CA6547"/>
    <w:rsid w:val="00CB24EE"/>
    <w:rsid w:val="00CB3320"/>
    <w:rsid w:val="00CB57CE"/>
    <w:rsid w:val="00CE31B7"/>
    <w:rsid w:val="00CE749A"/>
    <w:rsid w:val="00CF7F32"/>
    <w:rsid w:val="00D0533C"/>
    <w:rsid w:val="00D10240"/>
    <w:rsid w:val="00D14F30"/>
    <w:rsid w:val="00D16683"/>
    <w:rsid w:val="00D33C51"/>
    <w:rsid w:val="00D341C1"/>
    <w:rsid w:val="00D34924"/>
    <w:rsid w:val="00D43613"/>
    <w:rsid w:val="00D50E90"/>
    <w:rsid w:val="00D6623C"/>
    <w:rsid w:val="00D7076A"/>
    <w:rsid w:val="00D73678"/>
    <w:rsid w:val="00D75E64"/>
    <w:rsid w:val="00D81F5E"/>
    <w:rsid w:val="00D92269"/>
    <w:rsid w:val="00DA5185"/>
    <w:rsid w:val="00DC1286"/>
    <w:rsid w:val="00DC6704"/>
    <w:rsid w:val="00DD1395"/>
    <w:rsid w:val="00DD2B4D"/>
    <w:rsid w:val="00DD77BE"/>
    <w:rsid w:val="00DE176A"/>
    <w:rsid w:val="00DE2877"/>
    <w:rsid w:val="00DE423D"/>
    <w:rsid w:val="00E00A6B"/>
    <w:rsid w:val="00E07297"/>
    <w:rsid w:val="00E13A99"/>
    <w:rsid w:val="00E24154"/>
    <w:rsid w:val="00E3232E"/>
    <w:rsid w:val="00E35FDD"/>
    <w:rsid w:val="00E40D64"/>
    <w:rsid w:val="00E42025"/>
    <w:rsid w:val="00E47D6F"/>
    <w:rsid w:val="00E5101C"/>
    <w:rsid w:val="00E51876"/>
    <w:rsid w:val="00E544AD"/>
    <w:rsid w:val="00E57317"/>
    <w:rsid w:val="00E671C0"/>
    <w:rsid w:val="00E73443"/>
    <w:rsid w:val="00E77899"/>
    <w:rsid w:val="00E77F43"/>
    <w:rsid w:val="00E85982"/>
    <w:rsid w:val="00E85F55"/>
    <w:rsid w:val="00E937A4"/>
    <w:rsid w:val="00E96EED"/>
    <w:rsid w:val="00EA16F5"/>
    <w:rsid w:val="00EA3C15"/>
    <w:rsid w:val="00EB57BC"/>
    <w:rsid w:val="00EB5CCE"/>
    <w:rsid w:val="00EC0803"/>
    <w:rsid w:val="00EC184C"/>
    <w:rsid w:val="00ED3DF6"/>
    <w:rsid w:val="00ED4A7A"/>
    <w:rsid w:val="00ED623E"/>
    <w:rsid w:val="00EE1A93"/>
    <w:rsid w:val="00EE455D"/>
    <w:rsid w:val="00EF03A6"/>
    <w:rsid w:val="00EF069D"/>
    <w:rsid w:val="00EF5616"/>
    <w:rsid w:val="00EF5696"/>
    <w:rsid w:val="00F03EB0"/>
    <w:rsid w:val="00F05077"/>
    <w:rsid w:val="00F05466"/>
    <w:rsid w:val="00F10163"/>
    <w:rsid w:val="00F32856"/>
    <w:rsid w:val="00F34F7E"/>
    <w:rsid w:val="00F35182"/>
    <w:rsid w:val="00F365AE"/>
    <w:rsid w:val="00F46322"/>
    <w:rsid w:val="00F50E3E"/>
    <w:rsid w:val="00F52D24"/>
    <w:rsid w:val="00F6465A"/>
    <w:rsid w:val="00F745EE"/>
    <w:rsid w:val="00F8361B"/>
    <w:rsid w:val="00F83C17"/>
    <w:rsid w:val="00F96D7F"/>
    <w:rsid w:val="00F97324"/>
    <w:rsid w:val="00FA69F1"/>
    <w:rsid w:val="00FB7F11"/>
    <w:rsid w:val="00FC456F"/>
    <w:rsid w:val="00FD4BDE"/>
    <w:rsid w:val="00FE0B51"/>
    <w:rsid w:val="00FE2881"/>
    <w:rsid w:val="00F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x-bh-SD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82DD4D"/>
  <w15:chartTrackingRefBased/>
  <w15:docId w15:val="{0C8DAC3C-D9D8-478C-ACBC-60BF0C4E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85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3285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3285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3285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3285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3285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3285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F3285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3285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F3285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F32856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F3285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F32856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F3285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F32856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uiPriority w:val="39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7AC0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D320D"/>
    <w:pPr>
      <w:spacing w:after="100"/>
      <w:ind w:left="220"/>
    </w:pPr>
  </w:style>
  <w:style w:type="table" w:customStyle="1" w:styleId="TableGrid1">
    <w:name w:val="Table Grid1"/>
    <w:basedOn w:val="TableNormal"/>
    <w:next w:val="TableGrid"/>
    <w:rsid w:val="00E85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3EE2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rsid w:val="009C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EB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F83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70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773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F64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1A6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2A1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395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26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B96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412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395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1C5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413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413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482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EB5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450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1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search.eesc.europa.eu/search/opinion" TargetMode="External"/><Relationship Id="rId18" Type="http://schemas.openxmlformats.org/officeDocument/2006/relationships/header" Target="header3.xml"/><Relationship Id="rId26" Type="http://schemas.openxmlformats.org/officeDocument/2006/relationships/hyperlink" Target="mailto:Sergio.LorencioMatallana@eesc.europa.eu" TargetMode="External"/><Relationship Id="rId39" Type="http://schemas.openxmlformats.org/officeDocument/2006/relationships/hyperlink" Target="https://www.eesc.europa.eu/pt/our-work/opinions-information-reports/opinions/amendment-forest-reproductive-material-tested-category-its-labelling-and-names-authorities-responsible-approval-and" TargetMode="External"/><Relationship Id="rId21" Type="http://schemas.openxmlformats.org/officeDocument/2006/relationships/hyperlink" Target="mailto:Anna.Hakami@eesc.europa.eu" TargetMode="External"/><Relationship Id="rId34" Type="http://schemas.openxmlformats.org/officeDocument/2006/relationships/hyperlink" Target="mailto:Agota.Bazsik@eesc.europa.eu" TargetMode="External"/><Relationship Id="rId42" Type="http://schemas.openxmlformats.org/officeDocument/2006/relationships/hyperlink" Target="mailto:Nicolas.Stenger@eesc.europa.eu" TargetMode="External"/><Relationship Id="rId47" Type="http://schemas.openxmlformats.org/officeDocument/2006/relationships/hyperlink" Target="mailto:Tzonka.Iotzova@eesc.europa.eu" TargetMode="External"/><Relationship Id="rId50" Type="http://schemas.openxmlformats.org/officeDocument/2006/relationships/hyperlink" Target="https://www.eesc.europa.eu/pt/our-work/opinions-information-reports/opinions/industrial-changes-health-sector-face-multiplying-crises" TargetMode="External"/><Relationship Id="rId55" Type="http://schemas.openxmlformats.org/officeDocument/2006/relationships/header" Target="header5.xml"/><Relationship Id="rId63" Type="http://schemas.openxmlformats.org/officeDocument/2006/relationships/customXml" Target="../customXml/item2.xml"/><Relationship Id="rId7" Type="http://schemas.openxmlformats.org/officeDocument/2006/relationships/settings" Target="settings.xml"/><Relationship Id="rId16" Type="http://schemas.openxmlformats.org/officeDocument/2006/relationships/footer" Target="footer1.xml"/><Relationship Id="rId29" Type="http://schemas.openxmlformats.org/officeDocument/2006/relationships/hyperlink" Target="https://www.eesc.europa.eu/pt/our-work/opinions-information-reports/opinions/factual-and-legislative-analysis-migration-flows-integration-eu-labour-market" TargetMode="External"/><Relationship Id="rId11" Type="http://schemas.openxmlformats.org/officeDocument/2006/relationships/image" Target="media/image1.jpeg"/><Relationship Id="rId24" Type="http://schemas.openxmlformats.org/officeDocument/2006/relationships/hyperlink" Target="mailto:Georgios.Meleas@eesc.europa.eu" TargetMode="External"/><Relationship Id="rId32" Type="http://schemas.openxmlformats.org/officeDocument/2006/relationships/hyperlink" Target="mailto:Francesco.Napolitano@eesc.europa.eu" TargetMode="External"/><Relationship Id="rId37" Type="http://schemas.openxmlformats.org/officeDocument/2006/relationships/hyperlink" Target="https://www.eesc.europa.eu/pt/our-work/opinions-information-reports/opinions/cost-non-schengen-single-market-impact-bulgaria-and-romania" TargetMode="External"/><Relationship Id="rId40" Type="http://schemas.openxmlformats.org/officeDocument/2006/relationships/hyperlink" Target="mailto:Nicolas.Stenger@eesc.europa.eu" TargetMode="External"/><Relationship Id="rId45" Type="http://schemas.openxmlformats.org/officeDocument/2006/relationships/hyperlink" Target="https://www.eesc.europa.eu/pt/our-work/opinions-information-reports/opinions/decision-interpretation-and-application-energy-charter-treaty" TargetMode="External"/><Relationship Id="rId53" Type="http://schemas.openxmlformats.org/officeDocument/2006/relationships/hyperlink" Target="mailto:Ioannis.Diamantopoulos@eesc.europa.eu" TargetMode="External"/><Relationship Id="rId58" Type="http://schemas.openxmlformats.org/officeDocument/2006/relationships/header" Target="header6.xml"/><Relationship Id="rId5" Type="http://schemas.openxmlformats.org/officeDocument/2006/relationships/numbering" Target="numbering.xml"/><Relationship Id="rId61" Type="http://schemas.openxmlformats.org/officeDocument/2006/relationships/theme" Target="theme/theme1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22" Type="http://schemas.openxmlformats.org/officeDocument/2006/relationships/hyperlink" Target="mailto:Eniko.Greff@eesc.europa.eu" TargetMode="External"/><Relationship Id="rId27" Type="http://schemas.openxmlformats.org/officeDocument/2006/relationships/hyperlink" Target="https://www.eesc.europa.eu/pt/our-work/opinions-information-reports/opinions/revision-territorial-agenda-2030-towards-more-integrated-and-civic-approach-stronger-links-cohesion-policy" TargetMode="External"/><Relationship Id="rId30" Type="http://schemas.openxmlformats.org/officeDocument/2006/relationships/hyperlink" Target="mailto:Gemma.Amran@eesc.europa.eu" TargetMode="External"/><Relationship Id="rId35" Type="http://schemas.openxmlformats.org/officeDocument/2006/relationships/hyperlink" Target="https://www.eesc.europa.eu/pt/our-work/opinions-information-reports/opinions/potential-challenges-european-single-market-arising-future-enlargement-union" TargetMode="External"/><Relationship Id="rId43" Type="http://schemas.openxmlformats.org/officeDocument/2006/relationships/hyperlink" Target="https://www.eesc.europa.eu/pt/our-work/opinions-information-reports/opinions/towards-just-transition-legislative-proposal-and-eu-policy-tools-enable-more-social-european-green-deal" TargetMode="External"/><Relationship Id="rId48" Type="http://schemas.openxmlformats.org/officeDocument/2006/relationships/hyperlink" Target="mailto:Charlotte.Rive@eesc.europa.eu" TargetMode="External"/><Relationship Id="rId56" Type="http://schemas.openxmlformats.org/officeDocument/2006/relationships/footer" Target="footer4.xml"/><Relationship Id="rId64" Type="http://schemas.openxmlformats.org/officeDocument/2006/relationships/customXml" Target="../customXml/item3.xml"/><Relationship Id="rId8" Type="http://schemas.openxmlformats.org/officeDocument/2006/relationships/webSettings" Target="webSettings.xml"/><Relationship Id="rId51" Type="http://schemas.openxmlformats.org/officeDocument/2006/relationships/hyperlink" Target="mailto:Laia.TomasVinardell@eesc.europa.eu" TargetMode="External"/><Relationship Id="rId12" Type="http://schemas.openxmlformats.org/officeDocument/2006/relationships/hyperlink" Target="https://www.eesc.europa.eu/pt/our-work/opinions-information-reports/plenary-session-summaries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www.eesc.europa.eu/pt/our-work/opinions-information-reports/opinions/review-legal-framework-securitisation-eu" TargetMode="External"/><Relationship Id="rId33" Type="http://schemas.openxmlformats.org/officeDocument/2006/relationships/hyperlink" Target="https://www.eesc.europa.eu/pt/our-work/opinions-information-reports/opinions/social-housing-eu-decent-sustainable-and-affordable" TargetMode="External"/><Relationship Id="rId38" Type="http://schemas.openxmlformats.org/officeDocument/2006/relationships/hyperlink" Target="mailto:Annalisa.Tessarolo@eesc.europa.eu" TargetMode="External"/><Relationship Id="rId46" Type="http://schemas.openxmlformats.org/officeDocument/2006/relationships/hyperlink" Target="mailto:Marco.Ristori@eesc.europa.eu" TargetMode="External"/><Relationship Id="rId59" Type="http://schemas.openxmlformats.org/officeDocument/2006/relationships/footer" Target="footer6.xml"/><Relationship Id="rId20" Type="http://schemas.openxmlformats.org/officeDocument/2006/relationships/hyperlink" Target="https://www.eesc.europa.eu/pt/documents/resolution/european-economic-and-social-committee-contribution-2025-european-commission-work-programme" TargetMode="External"/><Relationship Id="rId41" Type="http://schemas.openxmlformats.org/officeDocument/2006/relationships/hyperlink" Target="https://www.eesc.europa.eu/pt/our-work/opinions-information-reports/opinions/amendment-eafrd-provide-additional-assistance-member-states-affected-natural-disasters" TargetMode="External"/><Relationship Id="rId54" Type="http://schemas.openxmlformats.org/officeDocument/2006/relationships/header" Target="header4.xml"/><Relationship Id="rId62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www.eesc.europa.eu/pt/our-work/opinions-information-reports/opinions/regional-emergency-support-restore" TargetMode="External"/><Relationship Id="rId28" Type="http://schemas.openxmlformats.org/officeDocument/2006/relationships/hyperlink" Target="mailto:Georgios.Meleas@eesc.europa.eu" TargetMode="External"/><Relationship Id="rId36" Type="http://schemas.openxmlformats.org/officeDocument/2006/relationships/hyperlink" Target="mailto:annalisa.tessarolo@eesc.europa.eu" TargetMode="External"/><Relationship Id="rId49" Type="http://schemas.openxmlformats.org/officeDocument/2006/relationships/hyperlink" Target="https://www.eesc.europa.eu/pt/our-work/opinions-information-reports/opinions/democracy-africa-current-situation-and-future-perspectives-what-role-eesc" TargetMode="External"/><Relationship Id="rId57" Type="http://schemas.openxmlformats.org/officeDocument/2006/relationships/footer" Target="footer5.xml"/><Relationship Id="rId10" Type="http://schemas.openxmlformats.org/officeDocument/2006/relationships/endnotes" Target="endnotes.xml"/><Relationship Id="rId31" Type="http://schemas.openxmlformats.org/officeDocument/2006/relationships/hyperlink" Target="https://www.eesc.europa.eu/pt/our-work/opinions-information-reports/opinions/labour-and-skills-shortages-transport-energy-infrastructure-and-digital-sector" TargetMode="External"/><Relationship Id="rId44" Type="http://schemas.openxmlformats.org/officeDocument/2006/relationships/hyperlink" Target="mailto:Nicolas.Stenger@eesc.europa.eu" TargetMode="External"/><Relationship Id="rId52" Type="http://schemas.openxmlformats.org/officeDocument/2006/relationships/hyperlink" Target="https://www.eesc.europa.eu/pt/our-work/opinions-information-reports/opinions/professional-services-green-transition" TargetMode="External"/><Relationship Id="rId60" Type="http://schemas.openxmlformats.org/officeDocument/2006/relationships/fontTable" Target="fontTable.xml"/><Relationship Id="rId65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F7M6YNZUATRX-1659962339-2357</_dlc_DocId>
    <_dlc_DocIdUrl xmlns="59ace41b-6786-4ce3-be71-52c27066c6ef">
      <Url>http://dm/eesc/2024/_layouts/15/DocIdRedir.aspx?ID=F7M6YNZUATRX-1659962339-2357</Url>
      <Description>F7M6YNZUATRX-1659962339-2357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2024-12-10T12:00:00+00:00</ProductionDate>
    <DocumentNumber xmlns="91e51ac0-4aa1-4d5e-9a67-017d481be00b">4018</DocumentNumber>
    <FicheYea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2025-01-22T12:00:00+00:00</MeetingDate>
    <TaxCatchAll xmlns="59ace41b-6786-4ce3-be71-52c27066c6ef">
      <Value>36</Value>
      <Value>35</Value>
      <Value>34</Value>
      <Value>33</Value>
      <Value>32</Value>
      <Value>30</Value>
      <Value>29</Value>
      <Value>28</Value>
      <Value>27</Value>
      <Value>25</Value>
      <Value>24</Value>
      <Value>22</Value>
      <Value>21</Value>
      <Value>17</Value>
      <Value>16</Value>
      <Value>14</Value>
      <Value>13</Value>
      <Value>12</Value>
      <Value>8</Value>
      <Value>7</Value>
      <Value>6</Value>
      <Value>5</Value>
      <Value>3</Value>
      <Value>1</Value>
      <Value>37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12265</FicheNumber>
    <OriginalSender xmlns="59ace41b-6786-4ce3-be71-52c27066c6ef">
      <UserInfo>
        <DisplayName>Pomba Ramos Joao</DisplayName>
        <AccountId>2100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91e51ac0-4aa1-4d5e-9a67-017d481be00b" xsi:nil="true"/>
    <DossierName_0 xmlns="http://schemas.microsoft.com/sharepoint/v3/fields">
      <Terms xmlns="http://schemas.microsoft.com/office/infopath/2007/PartnerControls"/>
    </DossierName_0>
    <DocumentVersion xmlns="59ace41b-6786-4ce3-be71-52c27066c6ef">0</DocumentVersion>
    <DossierNumber xmlns="59ace41b-6786-4ce3-be71-52c27066c6ef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34DD74551733C243A24AB255EE6A94DB" ma:contentTypeVersion="4" ma:contentTypeDescription="Defines the documents for Document Manager V2" ma:contentTypeScope="" ma:versionID="6dc1781ba7fab92d7d66b168e0cae93f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91e51ac0-4aa1-4d5e-9a67-017d481be00b" targetNamespace="http://schemas.microsoft.com/office/2006/metadata/properties" ma:root="true" ma:fieldsID="f33a43edcf383b76f4f66ff8ebd76d7b" ns2:_="" ns3:_="" ns4:_="">
    <xsd:import namespace="59ace41b-6786-4ce3-be71-52c27066c6ef"/>
    <xsd:import namespace="http://schemas.microsoft.com/sharepoint/v3/fields"/>
    <xsd:import namespace="91e51ac0-4aa1-4d5e-9a67-017d481be0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51ac0-4aa1-4d5e-9a67-017d481be00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FA85D-75FE-4D38-905B-1666E741301F}"/>
</file>

<file path=customXml/itemProps2.xml><?xml version="1.0" encoding="utf-8"?>
<ds:datastoreItem xmlns:ds="http://schemas.openxmlformats.org/officeDocument/2006/customXml" ds:itemID="{80DF6BAA-1868-48E6-A13F-1CC8B2D28B56}"/>
</file>

<file path=customXml/itemProps3.xml><?xml version="1.0" encoding="utf-8"?>
<ds:datastoreItem xmlns:ds="http://schemas.openxmlformats.org/officeDocument/2006/customXml" ds:itemID="{601316EB-D1D7-46D8-81D1-17090EA564DC}"/>
</file>

<file path=customXml/itemProps4.xml><?xml version="1.0" encoding="utf-8"?>
<ds:datastoreItem xmlns:ds="http://schemas.openxmlformats.org/officeDocument/2006/customXml" ds:itemID="{078AB8A4-A810-402A-ACC2-23A454B9D2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8561</Words>
  <Characters>46233</Characters>
  <Application>Microsoft Office Word</Application>
  <DocSecurity>0</DocSecurity>
  <Lines>385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- 590th plenary session - September 2024</vt:lpstr>
    </vt:vector>
  </TitlesOfParts>
  <Company>CESE-CdR</Company>
  <LinksUpToDate>false</LinksUpToDate>
  <CharactersWithSpaces>54685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Síntese dos Pareceres - 592.ª reunião plenária - dezembro de 2024</dc:title>
  <dc:subject>TCD</dc:subject>
  <dc:creator>Nieddu Emma</dc:creator>
  <cp:keywords>EESC-2024-04018-00-00-TCD-TRA-EN</cp:keywords>
  <dc:description>Rapporteur:  - Original language: EN - Date of document: 10/12/2024 - Date of meeting: 30/22/2025 14:30 - External documents:  - Administrator: MME TAMASAUSKIENE Julija</dc:description>
  <cp:lastModifiedBy>Pomba Ramos Joao</cp:lastModifiedBy>
  <cp:revision>48</cp:revision>
  <dcterms:created xsi:type="dcterms:W3CDTF">2024-12-09T15:44:00Z</dcterms:created>
  <dcterms:modified xsi:type="dcterms:W3CDTF">2024-12-10T15:35:00Z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09/12/2024, 02/10/2024, 02/05/2022, 02/05/2022, 28/06/2021</vt:lpwstr>
  </property>
  <property fmtid="{D5CDD505-2E9C-101B-9397-08002B2CF9AE}" pid="4" name="Pref_Time">
    <vt:lpwstr>16:42:44, 09:08:00, 12:28:29, 12:25:37, 08:41:48</vt:lpwstr>
  </property>
  <property fmtid="{D5CDD505-2E9C-101B-9397-08002B2CF9AE}" pid="5" name="Pref_User">
    <vt:lpwstr>pacup, amett, enied, enied, enied</vt:lpwstr>
  </property>
  <property fmtid="{D5CDD505-2E9C-101B-9397-08002B2CF9AE}" pid="6" name="Pref_FileName">
    <vt:lpwstr>EESC-2024-04018-00-00-TCD-ORI.docx, EESC-2024-02813-00-00-TCD-ORI.docx,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0x010100EA97B91038054C99906057A708A1480A0034DD74551733C243A24AB255EE6A94DB</vt:lpwstr>
  </property>
  <property fmtid="{D5CDD505-2E9C-101B-9397-08002B2CF9AE}" pid="8" name="_dlc_DocIdItemGuid">
    <vt:lpwstr>fdb0b929-d879-4b01-b6b2-ae0dd96cc7e2</vt:lpwstr>
  </property>
  <property fmtid="{D5CDD505-2E9C-101B-9397-08002B2CF9AE}" pid="9" name="AvailableTranslations">
    <vt:lpwstr>12;#IT|0774613c-01ed-4e5d-a25d-11d2388de825;#16;#DA|5d49c027-8956-412b-aa16-e85a0f96ad0e;#34;#LT|a7ff5ce7-6123-4f68-865a-a57c31810414;#14;#FR|d2afafd3-4c81-4f60-8f52-ee33f2f54ff3;#29;#EL|6d4f4d51-af9b-4650-94b4-4276bee85c91;#22;#BG|1a1b3951-7821-4e6a-85f5-5673fc08bd2c;#33;#ET|ff6c3f4c-b02c-4c3c-ab07-2c37995a7a0a;#37;#RO|feb747a2-64cd-4299-af12-4833ddc30497;#30;#HR|2f555653-ed1a-4fe6-8362-9082d95989e5;#25;#DE|f6b31e5a-26fa-4935-b661-318e46daf27e;#17;#PL|1e03da61-4678-4e07-b136-b5024ca9197b;#28;#LV|46f7e311-5d9f-4663-b433-18aeccb7ace7;#21;#SV|c2ed69e7-a339-43d7-8f22-d93680a92aa0;#24;#ES|e7a6b05b-ae16-40c8-add9-68b64b03aeba;#35;#FI|87606a43-d45f-42d6-b8c9-e1a3457db5b7;#5;#EN|f2175f21-25d7-44a3-96da-d6a61b075e1b;#27;#SL|98a412ae-eb01-49e9-ae3d-585a81724cfc;#36;#PT|50ccc04a-eadd-42ae-a0cb-acaf45f812ba;#32;#HU|6b229040-c589-4408-b4c1-4285663d20a8</vt:lpwstr>
  </property>
  <property fmtid="{D5CDD505-2E9C-101B-9397-08002B2CF9AE}" pid="10" name="DocumentType_0">
    <vt:lpwstr>TCD|cd9d6eb6-3f4f-424a-b2d1-57c9d450eaaf</vt:lpwstr>
  </property>
  <property fmtid="{D5CDD505-2E9C-101B-9397-08002B2CF9AE}" pid="12" name="DocumentSource_0">
    <vt:lpwstr>EESC|422833ec-8d7e-4e65-8e4e-8bed07ffb729</vt:lpwstr>
  </property>
  <property fmtid="{D5CDD505-2E9C-101B-9397-08002B2CF9AE}" pid="13" name="ProductionDate">
    <vt:filetime>2024-12-10T12:00:00Z</vt:filetime>
  </property>
  <property fmtid="{D5CDD505-2E9C-101B-9397-08002B2CF9AE}" pid="14" name="DocumentNumber">
    <vt:i4>4018</vt:i4>
  </property>
  <property fmtid="{D5CDD505-2E9C-101B-9397-08002B2CF9AE}" pid="16" name="DossierName">
    <vt:lpwstr/>
  </property>
  <property fmtid="{D5CDD505-2E9C-101B-9397-08002B2CF9AE}" pid="17" name="Confidentiality_0">
    <vt:lpwstr>Unrestricted|826e22d7-d029-4ec0-a450-0c28ff673572</vt:lpwstr>
  </property>
  <property fmtid="{D5CDD505-2E9C-101B-9397-08002B2CF9AE}" pid="18" name="Confidentiality">
    <vt:lpwstr>6;#Unrestricted|826e22d7-d029-4ec0-a450-0c28ff673572</vt:lpwstr>
  </property>
  <property fmtid="{D5CDD505-2E9C-101B-9397-08002B2CF9AE}" pid="19" name="OriginalLanguage">
    <vt:lpwstr>5;#EN|f2175f21-25d7-44a3-96da-d6a61b075e1b</vt:lpwstr>
  </property>
  <property fmtid="{D5CDD505-2E9C-101B-9397-08002B2CF9AE}" pid="20" name="MeetingName">
    <vt:lpwstr>7;#SPL-CES|32d8cb1f-c9ec-4365-95c7-8385a18618ac</vt:lpwstr>
  </property>
  <property fmtid="{D5CDD505-2E9C-101B-9397-08002B2CF9AE}" pid="21" name="MeetingDate">
    <vt:filetime>2025-01-22T12:00:00Z</vt:filetime>
  </property>
  <property fmtid="{D5CDD505-2E9C-101B-9397-08002B2CF9AE}" pid="22" name="TaxCatchAll">
    <vt:lpwstr>13;#TCD|cd9d6eb6-3f4f-424a-b2d1-57c9d450eaaf;#12;#IT|0774613c-01ed-4e5d-a25d-11d2388de825;#27;#SL|98a412ae-eb01-49e9-ae3d-585a81724cfc;#8;#Final|ea5e6674-7b27-4bac-b091-73adbb394efe;#7;#SPL-CES|32d8cb1f-c9ec-4365-95c7-8385a18618ac;#6;#Unrestricted|826e22d7-d029-4ec0-a450-0c28ff673572;#5;#EN|f2175f21-25d7-44a3-96da-d6a61b075e1b;#3;#TRA|150d2a88-1431-44e6-a8ca-0bb753ab8672;#36;#PT|50ccc04a-eadd-42ae-a0cb-acaf45f812ba;#1;#EESC|422833ec-8d7e-4e65-8e4e-8bed07ffb729</vt:lpwstr>
  </property>
  <property fmtid="{D5CDD505-2E9C-101B-9397-08002B2CF9AE}" pid="23" name="DocumentLanguage_0">
    <vt:lpwstr>PT|50ccc04a-eadd-42ae-a0cb-acaf45f812ba</vt:lpwstr>
  </property>
  <property fmtid="{D5CDD505-2E9C-101B-9397-08002B2CF9AE}" pid="24" name="VersionStatus_0">
    <vt:lpwstr>Final|ea5e6674-7b27-4bac-b091-73adbb394efe</vt:lpwstr>
  </property>
  <property fmtid="{D5CDD505-2E9C-101B-9397-08002B2CF9AE}" pid="25" name="VersionStatus">
    <vt:lpwstr>8;#Final|ea5e6674-7b27-4bac-b091-73adbb394efe</vt:lpwstr>
  </property>
  <property fmtid="{D5CDD505-2E9C-101B-9397-08002B2CF9AE}" pid="27" name="DocumentYear">
    <vt:i4>2024</vt:i4>
  </property>
  <property fmtid="{D5CDD505-2E9C-101B-9397-08002B2CF9AE}" pid="28" name="FicheNumber">
    <vt:i4>12265</vt:i4>
  </property>
  <property fmtid="{D5CDD505-2E9C-101B-9397-08002B2CF9AE}" pid="29" name="OriginalSender">
    <vt:lpwstr>2100;#Pomba Ramos Joao</vt:lpwstr>
  </property>
  <property fmtid="{D5CDD505-2E9C-101B-9397-08002B2CF9AE}" pid="30" name="DocumentType">
    <vt:lpwstr>13;#TCD|cd9d6eb6-3f4f-424a-b2d1-57c9d450eaaf</vt:lpwstr>
  </property>
  <property fmtid="{D5CDD505-2E9C-101B-9397-08002B2CF9AE}" pid="31" name="DocumentPart">
    <vt:i4>0</vt:i4>
  </property>
  <property fmtid="{D5CDD505-2E9C-101B-9397-08002B2CF9AE}" pid="32" name="DocumentSource">
    <vt:lpwstr>1;#EESC|422833ec-8d7e-4e65-8e4e-8bed07ffb729</vt:lpwstr>
  </property>
  <property fmtid="{D5CDD505-2E9C-101B-9397-08002B2CF9AE}" pid="34" name="RequestingService">
    <vt:lpwstr>Greffe</vt:lpwstr>
  </property>
  <property fmtid="{D5CDD505-2E9C-101B-9397-08002B2CF9AE}" pid="35" name="MeetingName_0">
    <vt:lpwstr>SPL-CES|32d8cb1f-c9ec-4365-95c7-8385a18618ac</vt:lpwstr>
  </property>
  <property fmtid="{D5CDD505-2E9C-101B-9397-08002B2CF9AE}" pid="36" name="DocumentLanguage">
    <vt:lpwstr>36;#PT|50ccc04a-eadd-42ae-a0cb-acaf45f812ba</vt:lpwstr>
  </property>
  <property fmtid="{D5CDD505-2E9C-101B-9397-08002B2CF9AE}" pid="37" name="AvailableTranslations_0">
    <vt:lpwstr>IT|0774613c-01ed-4e5d-a25d-11d2388de825;EN|f2175f21-25d7-44a3-96da-d6a61b075e1b;SL|98a412ae-eb01-49e9-ae3d-585a81724cfc;PT|50ccc04a-eadd-42ae-a0cb-acaf45f812ba</vt:lpwstr>
  </property>
  <property fmtid="{D5CDD505-2E9C-101B-9397-08002B2CF9AE}" pid="38" name="DocumentStatus_0">
    <vt:lpwstr>TRA|150d2a88-1431-44e6-a8ca-0bb753ab8672</vt:lpwstr>
  </property>
  <property fmtid="{D5CDD505-2E9C-101B-9397-08002B2CF9AE}" pid="39" name="OriginalLanguage_0">
    <vt:lpwstr>EN|f2175f21-25d7-44a3-96da-d6a61b075e1b</vt:lpwstr>
  </property>
  <property fmtid="{D5CDD505-2E9C-101B-9397-08002B2CF9AE}" pid="40" name="_docset_NoMedatataSyncRequired">
    <vt:lpwstr>False</vt:lpwstr>
  </property>
  <property fmtid="{D5CDD505-2E9C-101B-9397-08002B2CF9AE}" pid="43" name="DocumentVersion">
    <vt:i4>0</vt:i4>
  </property>
  <property fmtid="{D5CDD505-2E9C-101B-9397-08002B2CF9AE}" pid="44" name="DocumentStatus">
    <vt:lpwstr>3;#TRA|150d2a88-1431-44e6-a8ca-0bb753ab8672</vt:lpwstr>
  </property>
  <property fmtid="{D5CDD505-2E9C-101B-9397-08002B2CF9AE}" pid="50" name="DossierName_0">
    <vt:lpwstr/>
  </property>
</Properties>
</file>