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43506D" w14:paraId="4982DD4D" w14:textId="5A242E4C">
      <w:pPr>
        <w:jc w:val="center"/>
      </w:pPr>
      <w:r>
        <w:rPr>
          <w:noProof/>
        </w:rPr>
        <w:drawing>
          <wp:inline distT="0" distB="0" distL="0" distR="0" wp14:anchorId="10EDE7E7" wp14:editId="72239551">
            <wp:extent cx="1792605" cy="1239520"/>
            <wp:effectExtent l="0" t="0" r="0" b="0"/>
            <wp:docPr id="1" name="Picture 1" title="EESCLogo_FI"/>
            <wp:cNvGraphicFramePr/>
            <a:graphic xmlns:a="http://schemas.openxmlformats.org/drawingml/2006/main">
              <a:graphicData uri="http://schemas.openxmlformats.org/drawingml/2006/picture">
                <pic:pic xmlns:pic="http://schemas.openxmlformats.org/drawingml/2006/picture">
                  <pic:nvPicPr>
                    <pic:cNvPr id="1" name="Picture 1" title="EESCLogo_F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39110CC6"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A2FDAEC">
      <w:pPr>
        <w:jc w:val="right"/>
      </w:pPr>
      <w:r>
        <w:t>Bryssel 17 joulukuuta 2021</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073"/>
      </w:tblGrid>
      <w:tr w:rsidR="004D7AC0" w:rsidTr="00863A8F" w14:paraId="4982DD59" w14:textId="77777777">
        <w:tc>
          <w:tcPr>
            <w:tcW w:w="9289" w:type="dxa"/>
            <w:tcBorders>
              <w:bottom w:val="double" w:color="auto" w:sz="4" w:space="0"/>
            </w:tcBorders>
          </w:tcPr>
          <w:p w:rsidR="003066BE" w:rsidP="00863A8F" w:rsidRDefault="008C47BA" w14:paraId="4982DD53" w14:textId="29474CC3">
            <w:pPr>
              <w:snapToGrid w:val="0"/>
              <w:jc w:val="center"/>
              <w:rPr>
                <w:b/>
                <w:sz w:val="32"/>
                <w:szCs w:val="32"/>
              </w:rPr>
            </w:pPr>
            <w:r>
              <w:rPr>
                <w:b/>
                <w:sz w:val="32"/>
              </w:rPr>
              <w:t>592. TÄYSISTUNTO</w:t>
            </w:r>
          </w:p>
          <w:p w:rsidR="003066BE" w:rsidP="00863A8F" w:rsidRDefault="003066BE" w14:paraId="4982DD54" w14:textId="77777777">
            <w:pPr>
              <w:snapToGrid w:val="0"/>
              <w:jc w:val="center"/>
              <w:rPr>
                <w:b/>
                <w:sz w:val="32"/>
                <w:szCs w:val="32"/>
              </w:rPr>
            </w:pPr>
          </w:p>
          <w:p w:rsidR="003066BE" w:rsidP="00863A8F" w:rsidRDefault="009E3EE2" w14:paraId="4982DD55" w14:textId="24514D05">
            <w:pPr>
              <w:snapToGrid w:val="0"/>
              <w:jc w:val="center"/>
              <w:rPr>
                <w:b/>
                <w:sz w:val="32"/>
                <w:szCs w:val="32"/>
              </w:rPr>
            </w:pPr>
            <w:r>
              <w:rPr>
                <w:b/>
                <w:sz w:val="32"/>
              </w:rPr>
              <w:t>4. ja 5. joulukuuta 2024</w:t>
            </w:r>
          </w:p>
          <w:p w:rsidR="003066BE" w:rsidP="00863A8F" w:rsidRDefault="003066BE" w14:paraId="4982DD56" w14:textId="77777777">
            <w:pPr>
              <w:snapToGrid w:val="0"/>
              <w:jc w:val="center"/>
              <w:rPr>
                <w:b/>
                <w:sz w:val="32"/>
                <w:szCs w:val="32"/>
              </w:rPr>
            </w:pPr>
          </w:p>
          <w:p w:rsidRPr="0081153B" w:rsidR="004D7AC0" w:rsidP="00863A8F" w:rsidRDefault="00754027" w14:paraId="4982DD57" w14:textId="5A35E792">
            <w:pPr>
              <w:snapToGrid w:val="0"/>
              <w:jc w:val="center"/>
              <w:rPr>
                <w:rFonts w:eastAsia="MS Mincho"/>
                <w:b/>
                <w:sz w:val="32"/>
                <w:szCs w:val="32"/>
              </w:rPr>
            </w:pPr>
            <w:r>
              <w:rPr>
                <w:b/>
                <w:sz w:val="32"/>
              </w:rPr>
              <w:t>YHTEENVETO ANNETUISTA LAUSUNNOISTA, PÄÄTÖSLAUSELMISTA JA TIEDOTUS- JA ARVIOINTIKERTOMUKSISTA</w:t>
            </w:r>
          </w:p>
          <w:p w:rsidR="004D7AC0" w:rsidP="00863A8F" w:rsidRDefault="004D7AC0" w14:paraId="4982DD58" w14:textId="77777777">
            <w:pPr>
              <w:snapToGrid w:val="0"/>
            </w:pPr>
          </w:p>
        </w:tc>
      </w:tr>
      <w:tr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863A8F" w:rsidRDefault="004D7AC0" w14:paraId="4982DD5A" w14:textId="0C0FF99D">
            <w:pPr>
              <w:snapToGrid w:val="0"/>
              <w:jc w:val="center"/>
            </w:pPr>
            <w:r>
              <w:t xml:space="preserve">Asiakirja on saatavilla unionin virallisilla kielillä </w:t>
            </w:r>
            <w:proofErr w:type="spellStart"/>
            <w:r>
              <w:t>ETSK:n</w:t>
            </w:r>
            <w:proofErr w:type="spellEnd"/>
            <w:r>
              <w:t xml:space="preserve"> verkkosivuilla osoitteessa</w:t>
            </w:r>
            <w:r>
              <w:br/>
            </w:r>
            <w:r>
              <w:br/>
            </w:r>
            <w:hyperlink w:history="1" r:id="rId12">
              <w:r>
                <w:rPr>
                  <w:rStyle w:val="Hyperlink"/>
                </w:rPr>
                <w:t>https://www.eesc.europa.eu/fi/our-work/opinions-information-reports/plenary-session-summaries</w:t>
              </w:r>
            </w:hyperlink>
          </w:p>
          <w:p w:rsidRPr="0081153B" w:rsidR="004D7AC0" w:rsidP="00863A8F" w:rsidRDefault="004D7AC0" w14:paraId="4982DD5C" w14:textId="77777777">
            <w:pPr>
              <w:snapToGrid w:val="0"/>
              <w:jc w:val="center"/>
              <w:rPr>
                <w:rFonts w:eastAsia="SimSun"/>
              </w:rPr>
            </w:pPr>
          </w:p>
          <w:p w:rsidRPr="00044561" w:rsidR="004D7AC0" w:rsidP="00863A8F" w:rsidRDefault="004D7AC0" w14:paraId="4982DD5D" w14:textId="77777777">
            <w:pPr>
              <w:snapToGrid w:val="0"/>
              <w:jc w:val="center"/>
            </w:pPr>
            <w:r>
              <w:t>Mainitut lausunnot ovat haettavissa sähköisessä muodossa komitean hakukoneella:</w:t>
            </w:r>
            <w:r>
              <w:br/>
            </w:r>
            <w:r>
              <w:br/>
            </w:r>
            <w:hyperlink w:history="1" r:id="rId13">
              <w:r>
                <w:rPr>
                  <w:rStyle w:val="Hyperlink"/>
                </w:rPr>
                <w:t>https://dmsearch.eesc.europa.eu/search/opinion</w:t>
              </w:r>
            </w:hyperlink>
          </w:p>
          <w:p w:rsidRPr="00044561" w:rsidR="004D7AC0" w:rsidP="00863A8F"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2DC7F56">
      <w:pPr>
        <w:sectPr w:rsidR="004D7AC0" w:rsidSect="00902A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Sisällys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AA65DC" w:rsidRDefault="004D7AC0" w14:paraId="0034B10D" w14:textId="307C6F02">
          <w:pPr>
            <w:pStyle w:val="TOC1"/>
            <w:tabs>
              <w:tab w:val="left" w:pos="440"/>
              <w:tab w:val="right" w:leader="dot" w:pos="9063"/>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178009552">
            <w:r w:rsidRPr="003B6523" w:rsidR="00AA65DC">
              <w:rPr>
                <w:rStyle w:val="Hyperlink"/>
                <w:b/>
                <w:noProof/>
              </w:rPr>
              <w:t>1.</w:t>
            </w:r>
            <w:r w:rsidR="00AA65DC">
              <w:rPr>
                <w:rFonts w:asciiTheme="minorHAnsi" w:hAnsiTheme="minorHAnsi" w:eastAsiaTheme="minorEastAsia" w:cstheme="minorBidi"/>
                <w:noProof/>
              </w:rPr>
              <w:tab/>
            </w:r>
            <w:r w:rsidR="00BE4A01">
              <w:rPr>
                <w:rStyle w:val="Hyperlink"/>
                <w:b/>
                <w:noProof/>
              </w:rPr>
              <w:t>PÄÄTÖSLAUSELMA</w:t>
            </w:r>
            <w:r w:rsidR="00AA65DC">
              <w:rPr>
                <w:noProof/>
                <w:webHidden/>
              </w:rPr>
              <w:tab/>
            </w:r>
            <w:r w:rsidR="00AA65DC">
              <w:rPr>
                <w:noProof/>
                <w:webHidden/>
              </w:rPr>
              <w:fldChar w:fldCharType="begin"/>
            </w:r>
            <w:r w:rsidR="00AA65DC">
              <w:rPr>
                <w:noProof/>
                <w:webHidden/>
              </w:rPr>
              <w:instrText xml:space="preserve"> PAGEREF _Toc178009552 \h </w:instrText>
            </w:r>
            <w:r w:rsidR="00AA65DC">
              <w:rPr>
                <w:noProof/>
                <w:webHidden/>
              </w:rPr>
            </w:r>
            <w:r w:rsidR="00AA65DC">
              <w:rPr>
                <w:noProof/>
                <w:webHidden/>
              </w:rPr>
              <w:fldChar w:fldCharType="separate"/>
            </w:r>
            <w:r w:rsidR="00194A00">
              <w:rPr>
                <w:noProof/>
                <w:webHidden/>
              </w:rPr>
              <w:t>3</w:t>
            </w:r>
            <w:r w:rsidR="00AA65DC">
              <w:rPr>
                <w:noProof/>
                <w:webHidden/>
              </w:rPr>
              <w:fldChar w:fldCharType="end"/>
            </w:r>
          </w:hyperlink>
        </w:p>
        <w:p w:rsidR="00AA65DC" w:rsidRDefault="00C63C8C" w14:paraId="0078F707" w14:textId="4F71F586">
          <w:pPr>
            <w:pStyle w:val="TOC1"/>
            <w:tabs>
              <w:tab w:val="left" w:pos="440"/>
              <w:tab w:val="right" w:leader="dot" w:pos="9063"/>
            </w:tabs>
            <w:rPr>
              <w:rFonts w:asciiTheme="minorHAnsi" w:hAnsiTheme="minorHAnsi" w:eastAsiaTheme="minorEastAsia" w:cstheme="minorBidi"/>
              <w:noProof/>
            </w:rPr>
          </w:pPr>
          <w:hyperlink w:history="1" w:anchor="_Toc178009553">
            <w:r w:rsidRPr="003B6523" w:rsidR="00AA65DC">
              <w:rPr>
                <w:rStyle w:val="Hyperlink"/>
                <w:b/>
                <w:noProof/>
              </w:rPr>
              <w:t>2.</w:t>
            </w:r>
            <w:r w:rsidR="00AA65DC">
              <w:rPr>
                <w:rFonts w:asciiTheme="minorHAnsi" w:hAnsiTheme="minorHAnsi" w:eastAsiaTheme="minorEastAsia" w:cstheme="minorBidi"/>
                <w:noProof/>
              </w:rPr>
              <w:tab/>
            </w:r>
            <w:r w:rsidR="00BE4A01">
              <w:rPr>
                <w:b/>
                <w:noProof/>
              </w:rPr>
              <w:t>TALOUS- JA RAHALIITTO, TALOUDELLINEN JA SOSIAALINEN YHTEENKUULUVUUS</w:t>
            </w:r>
            <w:r w:rsidRPr="003B6523" w:rsidR="00AA65DC">
              <w:rPr>
                <w:rStyle w:val="Hyperlink"/>
                <w:b/>
                <w:noProof/>
              </w:rPr>
              <w:t xml:space="preserve"> </w:t>
            </w:r>
            <w:r w:rsidR="00AA65DC">
              <w:rPr>
                <w:noProof/>
                <w:webHidden/>
              </w:rPr>
              <w:tab/>
            </w:r>
            <w:r w:rsidR="00AA65DC">
              <w:rPr>
                <w:noProof/>
                <w:webHidden/>
              </w:rPr>
              <w:fldChar w:fldCharType="begin"/>
            </w:r>
            <w:r w:rsidR="00AA65DC">
              <w:rPr>
                <w:noProof/>
                <w:webHidden/>
              </w:rPr>
              <w:instrText xml:space="preserve"> PAGEREF _Toc178009553 \h </w:instrText>
            </w:r>
            <w:r w:rsidR="00AA65DC">
              <w:rPr>
                <w:noProof/>
                <w:webHidden/>
              </w:rPr>
            </w:r>
            <w:r w:rsidR="00AA65DC">
              <w:rPr>
                <w:noProof/>
                <w:webHidden/>
              </w:rPr>
              <w:fldChar w:fldCharType="separate"/>
            </w:r>
            <w:r w:rsidR="00194A00">
              <w:rPr>
                <w:noProof/>
                <w:webHidden/>
              </w:rPr>
              <w:t>5</w:t>
            </w:r>
            <w:r w:rsidR="00AA65DC">
              <w:rPr>
                <w:noProof/>
                <w:webHidden/>
              </w:rPr>
              <w:fldChar w:fldCharType="end"/>
            </w:r>
          </w:hyperlink>
        </w:p>
        <w:p w:rsidR="00AA65DC" w:rsidRDefault="00C63C8C" w14:paraId="0DCB8A2D" w14:textId="41E99450">
          <w:pPr>
            <w:pStyle w:val="TOC1"/>
            <w:tabs>
              <w:tab w:val="left" w:pos="440"/>
              <w:tab w:val="right" w:leader="dot" w:pos="9063"/>
            </w:tabs>
            <w:rPr>
              <w:rFonts w:asciiTheme="minorHAnsi" w:hAnsiTheme="minorHAnsi" w:eastAsiaTheme="minorEastAsia" w:cstheme="minorBidi"/>
              <w:noProof/>
            </w:rPr>
          </w:pPr>
          <w:hyperlink w:history="1" w:anchor="_Toc178009563">
            <w:r w:rsidRPr="003B6523" w:rsidR="00AA65DC">
              <w:rPr>
                <w:rStyle w:val="Hyperlink"/>
                <w:b/>
                <w:noProof/>
              </w:rPr>
              <w:t>3.</w:t>
            </w:r>
            <w:r w:rsidR="00AA65DC">
              <w:rPr>
                <w:rFonts w:asciiTheme="minorHAnsi" w:hAnsiTheme="minorHAnsi" w:eastAsiaTheme="minorEastAsia" w:cstheme="minorBidi"/>
                <w:noProof/>
              </w:rPr>
              <w:tab/>
            </w:r>
            <w:r w:rsidR="00BE4A01">
              <w:rPr>
                <w:b/>
                <w:noProof/>
              </w:rPr>
              <w:t>TYÖLLISYYS, SOSIAALIASIAT JA KANSALAISUUS</w:t>
            </w:r>
            <w:r w:rsidR="00AA65DC">
              <w:rPr>
                <w:noProof/>
                <w:webHidden/>
              </w:rPr>
              <w:tab/>
            </w:r>
            <w:r w:rsidR="00AA65DC">
              <w:rPr>
                <w:noProof/>
                <w:webHidden/>
              </w:rPr>
              <w:fldChar w:fldCharType="begin"/>
            </w:r>
            <w:r w:rsidR="00AA65DC">
              <w:rPr>
                <w:noProof/>
                <w:webHidden/>
              </w:rPr>
              <w:instrText xml:space="preserve"> PAGEREF _Toc178009563 \h </w:instrText>
            </w:r>
            <w:r w:rsidR="00AA65DC">
              <w:rPr>
                <w:noProof/>
                <w:webHidden/>
              </w:rPr>
            </w:r>
            <w:r w:rsidR="00AA65DC">
              <w:rPr>
                <w:noProof/>
                <w:webHidden/>
              </w:rPr>
              <w:fldChar w:fldCharType="separate"/>
            </w:r>
            <w:r w:rsidR="00194A00">
              <w:rPr>
                <w:noProof/>
                <w:webHidden/>
              </w:rPr>
              <w:t>10</w:t>
            </w:r>
            <w:r w:rsidR="00AA65DC">
              <w:rPr>
                <w:noProof/>
                <w:webHidden/>
              </w:rPr>
              <w:fldChar w:fldCharType="end"/>
            </w:r>
          </w:hyperlink>
        </w:p>
        <w:p w:rsidR="00AA65DC" w:rsidRDefault="00C63C8C" w14:paraId="36F17F99" w14:textId="08104545">
          <w:pPr>
            <w:pStyle w:val="TOC1"/>
            <w:tabs>
              <w:tab w:val="left" w:pos="440"/>
              <w:tab w:val="right" w:leader="dot" w:pos="9063"/>
            </w:tabs>
            <w:rPr>
              <w:rFonts w:asciiTheme="minorHAnsi" w:hAnsiTheme="minorHAnsi" w:eastAsiaTheme="minorEastAsia" w:cstheme="minorBidi"/>
              <w:noProof/>
            </w:rPr>
          </w:pPr>
          <w:hyperlink w:history="1" w:anchor="_Toc178009574">
            <w:r w:rsidRPr="003B6523" w:rsidR="00AA65DC">
              <w:rPr>
                <w:rStyle w:val="Hyperlink"/>
                <w:b/>
                <w:noProof/>
              </w:rPr>
              <w:t>4.</w:t>
            </w:r>
            <w:r w:rsidR="00AA65DC">
              <w:rPr>
                <w:rFonts w:asciiTheme="minorHAnsi" w:hAnsiTheme="minorHAnsi" w:eastAsiaTheme="minorEastAsia" w:cstheme="minorBidi"/>
                <w:noProof/>
              </w:rPr>
              <w:tab/>
            </w:r>
            <w:r w:rsidR="00BE4A01">
              <w:rPr>
                <w:b/>
                <w:noProof/>
              </w:rPr>
              <w:t>LIIKENNE, ENERGIA, PERUSRAKENTEET, TIETOYHTEISKUNTA</w:t>
            </w:r>
            <w:r w:rsidR="00AA65DC">
              <w:rPr>
                <w:noProof/>
                <w:webHidden/>
              </w:rPr>
              <w:tab/>
            </w:r>
            <w:r w:rsidR="00AA65DC">
              <w:rPr>
                <w:noProof/>
                <w:webHidden/>
              </w:rPr>
              <w:fldChar w:fldCharType="begin"/>
            </w:r>
            <w:r w:rsidR="00AA65DC">
              <w:rPr>
                <w:noProof/>
                <w:webHidden/>
              </w:rPr>
              <w:instrText xml:space="preserve"> PAGEREF _Toc178009574 \h </w:instrText>
            </w:r>
            <w:r w:rsidR="00AA65DC">
              <w:rPr>
                <w:noProof/>
                <w:webHidden/>
              </w:rPr>
            </w:r>
            <w:r w:rsidR="00AA65DC">
              <w:rPr>
                <w:noProof/>
                <w:webHidden/>
              </w:rPr>
              <w:fldChar w:fldCharType="separate"/>
            </w:r>
            <w:r w:rsidR="00194A00">
              <w:rPr>
                <w:noProof/>
                <w:webHidden/>
              </w:rPr>
              <w:t>11</w:t>
            </w:r>
            <w:r w:rsidR="00AA65DC">
              <w:rPr>
                <w:noProof/>
                <w:webHidden/>
              </w:rPr>
              <w:fldChar w:fldCharType="end"/>
            </w:r>
          </w:hyperlink>
        </w:p>
        <w:p w:rsidR="00AA65DC" w:rsidRDefault="00C63C8C" w14:paraId="69B8E58C" w14:textId="362BCD34">
          <w:pPr>
            <w:pStyle w:val="TOC1"/>
            <w:tabs>
              <w:tab w:val="left" w:pos="440"/>
              <w:tab w:val="right" w:leader="dot" w:pos="9063"/>
            </w:tabs>
            <w:rPr>
              <w:rFonts w:asciiTheme="minorHAnsi" w:hAnsiTheme="minorHAnsi" w:eastAsiaTheme="minorEastAsia" w:cstheme="minorBidi"/>
              <w:noProof/>
            </w:rPr>
          </w:pPr>
          <w:hyperlink w:history="1" w:anchor="_Toc178009575">
            <w:r w:rsidRPr="003B6523" w:rsidR="00AA65DC">
              <w:rPr>
                <w:rStyle w:val="Hyperlink"/>
                <w:b/>
                <w:noProof/>
              </w:rPr>
              <w:t>5.</w:t>
            </w:r>
            <w:r w:rsidR="00AA65DC">
              <w:rPr>
                <w:rFonts w:asciiTheme="minorHAnsi" w:hAnsiTheme="minorHAnsi" w:eastAsiaTheme="minorEastAsia" w:cstheme="minorBidi"/>
                <w:noProof/>
              </w:rPr>
              <w:tab/>
            </w:r>
            <w:r w:rsidR="00BE4A01">
              <w:rPr>
                <w:b/>
                <w:noProof/>
              </w:rPr>
              <w:t>SISÄMARKKINAT, TUOTANTO JA KULUTUS</w:t>
            </w:r>
            <w:r w:rsidR="00AA65DC">
              <w:rPr>
                <w:noProof/>
                <w:webHidden/>
              </w:rPr>
              <w:tab/>
            </w:r>
            <w:r w:rsidR="00AA65DC">
              <w:rPr>
                <w:noProof/>
                <w:webHidden/>
              </w:rPr>
              <w:fldChar w:fldCharType="begin"/>
            </w:r>
            <w:r w:rsidR="00AA65DC">
              <w:rPr>
                <w:noProof/>
                <w:webHidden/>
              </w:rPr>
              <w:instrText xml:space="preserve"> PAGEREF _Toc178009575 \h </w:instrText>
            </w:r>
            <w:r w:rsidR="00AA65DC">
              <w:rPr>
                <w:noProof/>
                <w:webHidden/>
              </w:rPr>
            </w:r>
            <w:r w:rsidR="00AA65DC">
              <w:rPr>
                <w:noProof/>
                <w:webHidden/>
              </w:rPr>
              <w:fldChar w:fldCharType="separate"/>
            </w:r>
            <w:r w:rsidR="00194A00">
              <w:rPr>
                <w:noProof/>
                <w:webHidden/>
              </w:rPr>
              <w:t>13</w:t>
            </w:r>
            <w:r w:rsidR="00AA65DC">
              <w:rPr>
                <w:noProof/>
                <w:webHidden/>
              </w:rPr>
              <w:fldChar w:fldCharType="end"/>
            </w:r>
          </w:hyperlink>
        </w:p>
        <w:p w:rsidR="00AA65DC" w:rsidRDefault="00C63C8C" w14:paraId="754B2B4F" w14:textId="3527C406">
          <w:pPr>
            <w:pStyle w:val="TOC1"/>
            <w:tabs>
              <w:tab w:val="left" w:pos="440"/>
              <w:tab w:val="right" w:leader="dot" w:pos="9063"/>
            </w:tabs>
            <w:rPr>
              <w:rFonts w:asciiTheme="minorHAnsi" w:hAnsiTheme="minorHAnsi" w:eastAsiaTheme="minorEastAsia" w:cstheme="minorBidi"/>
              <w:noProof/>
            </w:rPr>
          </w:pPr>
          <w:hyperlink w:history="1" w:anchor="_Toc178009576">
            <w:r w:rsidRPr="003B6523" w:rsidR="00AA65DC">
              <w:rPr>
                <w:rStyle w:val="Hyperlink"/>
                <w:b/>
                <w:noProof/>
              </w:rPr>
              <w:t>6.</w:t>
            </w:r>
            <w:r w:rsidR="00AA65DC">
              <w:rPr>
                <w:rFonts w:asciiTheme="minorHAnsi" w:hAnsiTheme="minorHAnsi" w:eastAsiaTheme="minorEastAsia" w:cstheme="minorBidi"/>
                <w:noProof/>
              </w:rPr>
              <w:tab/>
            </w:r>
            <w:r w:rsidR="00BE4A01">
              <w:rPr>
                <w:b/>
                <w:noProof/>
              </w:rPr>
              <w:t>MAATALOUS, MAASEUDUN KEHITTÄMINEN JA YMPÄRISTÖ</w:t>
            </w:r>
            <w:r w:rsidR="00AA65DC">
              <w:rPr>
                <w:noProof/>
                <w:webHidden/>
              </w:rPr>
              <w:tab/>
            </w:r>
            <w:r w:rsidR="00AA65DC">
              <w:rPr>
                <w:noProof/>
                <w:webHidden/>
              </w:rPr>
              <w:fldChar w:fldCharType="begin"/>
            </w:r>
            <w:r w:rsidR="00AA65DC">
              <w:rPr>
                <w:noProof/>
                <w:webHidden/>
              </w:rPr>
              <w:instrText xml:space="preserve"> PAGEREF _Toc178009576 \h </w:instrText>
            </w:r>
            <w:r w:rsidR="00AA65DC">
              <w:rPr>
                <w:noProof/>
                <w:webHidden/>
              </w:rPr>
            </w:r>
            <w:r w:rsidR="00AA65DC">
              <w:rPr>
                <w:noProof/>
                <w:webHidden/>
              </w:rPr>
              <w:fldChar w:fldCharType="separate"/>
            </w:r>
            <w:r w:rsidR="00194A00">
              <w:rPr>
                <w:noProof/>
                <w:webHidden/>
              </w:rPr>
              <w:t>17</w:t>
            </w:r>
            <w:r w:rsidR="00AA65DC">
              <w:rPr>
                <w:noProof/>
                <w:webHidden/>
              </w:rPr>
              <w:fldChar w:fldCharType="end"/>
            </w:r>
          </w:hyperlink>
        </w:p>
        <w:p w:rsidR="00AA65DC" w:rsidRDefault="00C63C8C" w14:paraId="6FD02832" w14:textId="600E9261">
          <w:pPr>
            <w:pStyle w:val="TOC1"/>
            <w:tabs>
              <w:tab w:val="left" w:pos="440"/>
              <w:tab w:val="right" w:leader="dot" w:pos="9063"/>
            </w:tabs>
            <w:rPr>
              <w:rFonts w:asciiTheme="minorHAnsi" w:hAnsiTheme="minorHAnsi" w:eastAsiaTheme="minorEastAsia" w:cstheme="minorBidi"/>
              <w:noProof/>
            </w:rPr>
          </w:pPr>
          <w:hyperlink w:history="1" w:anchor="_Toc178009608">
            <w:r w:rsidRPr="003B6523" w:rsidR="00AA65DC">
              <w:rPr>
                <w:rStyle w:val="Hyperlink"/>
                <w:b/>
                <w:noProof/>
              </w:rPr>
              <w:t>7.</w:t>
            </w:r>
            <w:r w:rsidR="00AA65DC">
              <w:rPr>
                <w:rFonts w:asciiTheme="minorHAnsi" w:hAnsiTheme="minorHAnsi" w:eastAsiaTheme="minorEastAsia" w:cstheme="minorBidi"/>
                <w:noProof/>
              </w:rPr>
              <w:tab/>
            </w:r>
            <w:r w:rsidR="00BE4A01">
              <w:rPr>
                <w:b/>
                <w:noProof/>
              </w:rPr>
              <w:t>ULKOSUHTEET</w:t>
            </w:r>
            <w:r w:rsidR="00AA65DC">
              <w:rPr>
                <w:noProof/>
                <w:webHidden/>
              </w:rPr>
              <w:tab/>
            </w:r>
            <w:r w:rsidR="00AA65DC">
              <w:rPr>
                <w:noProof/>
                <w:webHidden/>
              </w:rPr>
              <w:fldChar w:fldCharType="begin"/>
            </w:r>
            <w:r w:rsidR="00AA65DC">
              <w:rPr>
                <w:noProof/>
                <w:webHidden/>
              </w:rPr>
              <w:instrText xml:space="preserve"> PAGEREF _Toc178009608 \h </w:instrText>
            </w:r>
            <w:r w:rsidR="00AA65DC">
              <w:rPr>
                <w:noProof/>
                <w:webHidden/>
              </w:rPr>
            </w:r>
            <w:r w:rsidR="00AA65DC">
              <w:rPr>
                <w:noProof/>
                <w:webHidden/>
              </w:rPr>
              <w:fldChar w:fldCharType="separate"/>
            </w:r>
            <w:r w:rsidR="00194A00">
              <w:rPr>
                <w:noProof/>
                <w:webHidden/>
              </w:rPr>
              <w:t>21</w:t>
            </w:r>
            <w:r w:rsidR="00AA65DC">
              <w:rPr>
                <w:noProof/>
                <w:webHidden/>
              </w:rPr>
              <w:fldChar w:fldCharType="end"/>
            </w:r>
          </w:hyperlink>
        </w:p>
        <w:p w:rsidR="00AA65DC" w:rsidRDefault="00C63C8C" w14:paraId="5A07342D" w14:textId="5798A783">
          <w:pPr>
            <w:pStyle w:val="TOC1"/>
            <w:tabs>
              <w:tab w:val="left" w:pos="440"/>
              <w:tab w:val="right" w:leader="dot" w:pos="9063"/>
            </w:tabs>
            <w:rPr>
              <w:rFonts w:asciiTheme="minorHAnsi" w:hAnsiTheme="minorHAnsi" w:eastAsiaTheme="minorEastAsia" w:cstheme="minorBidi"/>
              <w:noProof/>
            </w:rPr>
          </w:pPr>
          <w:hyperlink w:history="1" w:anchor="_Toc178009618">
            <w:r w:rsidRPr="003B6523" w:rsidR="00AA65DC">
              <w:rPr>
                <w:rStyle w:val="Hyperlink"/>
                <w:b/>
                <w:noProof/>
              </w:rPr>
              <w:t>8.</w:t>
            </w:r>
            <w:r w:rsidR="00AA65DC">
              <w:rPr>
                <w:rFonts w:asciiTheme="minorHAnsi" w:hAnsiTheme="minorHAnsi" w:eastAsiaTheme="minorEastAsia" w:cstheme="minorBidi"/>
                <w:noProof/>
              </w:rPr>
              <w:tab/>
            </w:r>
            <w:r w:rsidR="00BE4A01">
              <w:rPr>
                <w:b/>
                <w:noProof/>
                <w:color w:val="222A35" w:themeColor="text2" w:themeShade="80"/>
              </w:rPr>
              <w:t>NEUVOA-ANTAVA VALIOKUNTA ”TEOLLISUUDEN MUUTOKSET”</w:t>
            </w:r>
            <w:r w:rsidR="00AA65DC">
              <w:rPr>
                <w:noProof/>
                <w:webHidden/>
              </w:rPr>
              <w:tab/>
            </w:r>
            <w:r w:rsidR="00AA65DC">
              <w:rPr>
                <w:noProof/>
                <w:webHidden/>
              </w:rPr>
              <w:fldChar w:fldCharType="begin"/>
            </w:r>
            <w:r w:rsidR="00AA65DC">
              <w:rPr>
                <w:noProof/>
                <w:webHidden/>
              </w:rPr>
              <w:instrText xml:space="preserve"> PAGEREF _Toc178009618 \h </w:instrText>
            </w:r>
            <w:r w:rsidR="00AA65DC">
              <w:rPr>
                <w:noProof/>
                <w:webHidden/>
              </w:rPr>
            </w:r>
            <w:r w:rsidR="00AA65DC">
              <w:rPr>
                <w:noProof/>
                <w:webHidden/>
              </w:rPr>
              <w:fldChar w:fldCharType="separate"/>
            </w:r>
            <w:r w:rsidR="00194A00">
              <w:rPr>
                <w:noProof/>
                <w:webHidden/>
              </w:rPr>
              <w:t>27</w:t>
            </w:r>
            <w:r w:rsidR="00AA65DC">
              <w:rPr>
                <w:noProof/>
                <w:webHidden/>
              </w:rPr>
              <w:fldChar w:fldCharType="end"/>
            </w:r>
          </w:hyperlink>
        </w:p>
        <w:p w:rsidR="004D7AC0" w:rsidP="004D7AC0" w:rsidRDefault="004D7AC0" w14:paraId="4982DD6A" w14:textId="326BB678">
          <w:r>
            <w:rPr>
              <w:b/>
            </w:rPr>
            <w:fldChar w:fldCharType="end"/>
          </w:r>
        </w:p>
      </w:sdtContent>
    </w:sdt>
    <w:p w:rsidR="004D7AC0" w:rsidP="004D7AC0" w:rsidRDefault="004D7AC0" w14:paraId="4982DD6B" w14:textId="77777777"/>
    <w:p w:rsidR="004D7AC0" w:rsidP="004D7AC0" w:rsidRDefault="004D7AC0" w14:paraId="4982DD6C" w14:textId="320B0F01">
      <w:pPr>
        <w:spacing w:after="160" w:line="259" w:lineRule="auto"/>
        <w:jc w:val="left"/>
      </w:pPr>
      <w:r>
        <w:br w:type="page"/>
      </w:r>
    </w:p>
    <w:p w:rsidR="002673F7" w:rsidP="004D7AC0" w:rsidRDefault="002673F7" w14:paraId="2C14AA4D" w14:textId="2AF2A0E3">
      <w:pPr>
        <w:pStyle w:val="Heading1"/>
        <w:rPr>
          <w:b/>
        </w:rPr>
      </w:pPr>
      <w:bookmarkStart w:name="_Toc178009552" w:id="0"/>
      <w:r>
        <w:rPr>
          <w:b/>
        </w:rPr>
        <w:lastRenderedPageBreak/>
        <w:t>PÄÄTÖSLAUSELMA</w:t>
      </w:r>
      <w:bookmarkEnd w:id="0"/>
    </w:p>
    <w:p w:rsidR="002673F7" w:rsidP="002673F7" w:rsidRDefault="002673F7" w14:paraId="3912EA4C" w14:textId="5657EB09"/>
    <w:p w:rsidRPr="00810CF8" w:rsidR="00074738" w:rsidP="00074738" w:rsidRDefault="00074738" w14:paraId="502C410A" w14:textId="77777777">
      <w:pPr>
        <w:numPr>
          <w:ilvl w:val="0"/>
          <w:numId w:val="2"/>
        </w:numPr>
        <w:tabs>
          <w:tab w:val="left" w:pos="1134"/>
        </w:tabs>
        <w:overflowPunct w:val="0"/>
        <w:autoSpaceDE w:val="0"/>
        <w:autoSpaceDN w:val="0"/>
        <w:adjustRightInd w:val="0"/>
        <w:ind w:hanging="567"/>
        <w:textAlignment w:val="baseline"/>
        <w:rPr>
          <w:b/>
          <w:bCs/>
          <w:i/>
          <w:iCs/>
          <w:sz w:val="28"/>
          <w:szCs w:val="28"/>
        </w:rPr>
      </w:pPr>
      <w:r>
        <w:rPr>
          <w:b/>
          <w:i/>
          <w:sz w:val="28"/>
        </w:rPr>
        <w:t>Päätöslauselma –</w:t>
      </w:r>
      <w:r>
        <w:t xml:space="preserve"> </w:t>
      </w:r>
      <w:hyperlink w:history="1" r:id="rId20">
        <w:r>
          <w:rPr>
            <w:rStyle w:val="Hyperlink"/>
            <w:b/>
            <w:i/>
            <w:sz w:val="28"/>
          </w:rPr>
          <w:t>Euroopan komission vuoden 2025 työohjelmaa koskeva Euroopan talous- ja sosiaalikomitean kannanotto</w:t>
        </w:r>
      </w:hyperlink>
    </w:p>
    <w:p w:rsidRPr="0051516D" w:rsidR="00074738" w:rsidP="00074738" w:rsidRDefault="00074738" w14:paraId="4CC7F01A" w14:textId="77777777">
      <w:pPr>
        <w:ind w:left="266"/>
        <w:rPr>
          <w:bC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5"/>
        <w:gridCol w:w="7310"/>
      </w:tblGrid>
      <w:tr w:rsidRPr="00A6689B" w:rsidR="00074738" w:rsidTr="0042488D" w14:paraId="4807F2BA" w14:textId="77777777">
        <w:tc>
          <w:tcPr>
            <w:tcW w:w="1093" w:type="pct"/>
          </w:tcPr>
          <w:p w:rsidRPr="00A6689B" w:rsidR="00074738" w:rsidP="0042488D" w:rsidRDefault="00074738" w14:paraId="2D52FC9F" w14:textId="77777777">
            <w:pPr>
              <w:tabs>
                <w:tab w:val="center" w:pos="284"/>
              </w:tabs>
              <w:ind w:left="266" w:hanging="266"/>
              <w:rPr>
                <w:b/>
              </w:rPr>
            </w:pPr>
            <w:r>
              <w:rPr>
                <w:b/>
              </w:rPr>
              <w:t>Esittelijät</w:t>
            </w:r>
          </w:p>
        </w:tc>
        <w:tc>
          <w:tcPr>
            <w:tcW w:w="3907" w:type="pct"/>
          </w:tcPr>
          <w:p w:rsidRPr="00A6689B" w:rsidR="00074738" w:rsidP="0042488D" w:rsidRDefault="00074738" w14:paraId="63B23E2B" w14:textId="77777777">
            <w:pPr>
              <w:tabs>
                <w:tab w:val="center" w:pos="284"/>
              </w:tabs>
              <w:ind w:left="266" w:hanging="266"/>
            </w:pPr>
            <w:proofErr w:type="spellStart"/>
            <w:r>
              <w:t>Cinzia</w:t>
            </w:r>
            <w:proofErr w:type="spellEnd"/>
            <w:r>
              <w:t xml:space="preserve"> Del Rio (työntekijät – IT)</w:t>
            </w:r>
          </w:p>
        </w:tc>
      </w:tr>
      <w:tr w:rsidRPr="00A6689B" w:rsidR="00074738" w:rsidTr="0042488D" w14:paraId="3E959D02" w14:textId="77777777">
        <w:tc>
          <w:tcPr>
            <w:tcW w:w="1093" w:type="pct"/>
          </w:tcPr>
          <w:p w:rsidRPr="00A6689B" w:rsidR="00074738" w:rsidP="0042488D" w:rsidRDefault="00074738" w14:paraId="73F7B41E" w14:textId="77777777">
            <w:pPr>
              <w:tabs>
                <w:tab w:val="center" w:pos="284"/>
              </w:tabs>
              <w:ind w:left="266" w:hanging="266"/>
              <w:rPr>
                <w:b/>
                <w:lang w:val="en-US"/>
              </w:rPr>
            </w:pPr>
          </w:p>
        </w:tc>
        <w:tc>
          <w:tcPr>
            <w:tcW w:w="3907" w:type="pct"/>
          </w:tcPr>
          <w:p w:rsidRPr="00A6689B" w:rsidR="00074738" w:rsidP="0042488D" w:rsidRDefault="00074738" w14:paraId="00C5C7FB" w14:textId="77777777">
            <w:pPr>
              <w:tabs>
                <w:tab w:val="center" w:pos="284"/>
              </w:tabs>
              <w:ind w:left="266" w:hanging="266"/>
            </w:pPr>
            <w:proofErr w:type="spellStart"/>
            <w:r>
              <w:t>Christa</w:t>
            </w:r>
            <w:proofErr w:type="spellEnd"/>
            <w:r>
              <w:t xml:space="preserve"> </w:t>
            </w:r>
            <w:proofErr w:type="spellStart"/>
            <w:r>
              <w:t>Schweng</w:t>
            </w:r>
            <w:proofErr w:type="spellEnd"/>
            <w:r>
              <w:t xml:space="preserve"> (työnantajat – AT)</w:t>
            </w:r>
          </w:p>
        </w:tc>
      </w:tr>
      <w:tr w:rsidRPr="00A6689B" w:rsidR="00074738" w:rsidTr="0042488D" w14:paraId="6615BDC3" w14:textId="77777777">
        <w:tc>
          <w:tcPr>
            <w:tcW w:w="1093" w:type="pct"/>
          </w:tcPr>
          <w:p w:rsidRPr="00A6689B" w:rsidR="00074738" w:rsidP="0042488D" w:rsidRDefault="00074738" w14:paraId="0CB531BE" w14:textId="77777777">
            <w:pPr>
              <w:tabs>
                <w:tab w:val="center" w:pos="284"/>
              </w:tabs>
              <w:ind w:left="266" w:hanging="266"/>
              <w:rPr>
                <w:b/>
                <w:lang w:val="en-US"/>
              </w:rPr>
            </w:pPr>
          </w:p>
        </w:tc>
        <w:tc>
          <w:tcPr>
            <w:tcW w:w="3907" w:type="pct"/>
          </w:tcPr>
          <w:p w:rsidRPr="000E2900" w:rsidR="00074738" w:rsidP="0042488D" w:rsidRDefault="00074738" w14:paraId="1E420710" w14:textId="77777777">
            <w:pPr>
              <w:tabs>
                <w:tab w:val="center" w:pos="284"/>
              </w:tabs>
              <w:ind w:left="266" w:hanging="266"/>
            </w:pPr>
            <w:proofErr w:type="spellStart"/>
            <w:r>
              <w:t>Ioannis</w:t>
            </w:r>
            <w:proofErr w:type="spellEnd"/>
            <w:r>
              <w:t xml:space="preserve"> </w:t>
            </w:r>
            <w:proofErr w:type="spellStart"/>
            <w:r>
              <w:t>Vardakastanis</w:t>
            </w:r>
            <w:proofErr w:type="spellEnd"/>
            <w:r>
              <w:t xml:space="preserve"> (kansalaisyhteiskunnan organisaatiot – EL)</w:t>
            </w:r>
          </w:p>
        </w:tc>
      </w:tr>
      <w:tr w:rsidRPr="00A6689B" w:rsidR="00074738" w:rsidTr="0042488D" w14:paraId="71D7CFCC" w14:textId="77777777">
        <w:tc>
          <w:tcPr>
            <w:tcW w:w="5000" w:type="pct"/>
            <w:gridSpan w:val="2"/>
          </w:tcPr>
          <w:p w:rsidRPr="00A6689B" w:rsidR="00074738" w:rsidP="0042488D" w:rsidRDefault="00074738" w14:paraId="6B1DD095" w14:textId="77777777">
            <w:pPr>
              <w:tabs>
                <w:tab w:val="center" w:pos="284"/>
              </w:tabs>
              <w:ind w:left="266" w:hanging="266"/>
              <w:rPr>
                <w:lang w:val="en-US"/>
              </w:rPr>
            </w:pPr>
          </w:p>
        </w:tc>
      </w:tr>
      <w:tr w:rsidRPr="00A6689B" w:rsidR="00074738" w:rsidTr="0042488D" w14:paraId="4E718B8A" w14:textId="77777777">
        <w:tc>
          <w:tcPr>
            <w:tcW w:w="1093" w:type="pct"/>
            <w:vMerge w:val="restart"/>
          </w:tcPr>
          <w:p w:rsidRPr="00A6689B" w:rsidR="00074738" w:rsidP="0042488D" w:rsidRDefault="00074738" w14:paraId="7F4BC60F" w14:textId="77777777">
            <w:pPr>
              <w:tabs>
                <w:tab w:val="center" w:pos="284"/>
              </w:tabs>
              <w:ind w:left="266" w:hanging="266"/>
              <w:rPr>
                <w:b/>
              </w:rPr>
            </w:pPr>
            <w:r>
              <w:rPr>
                <w:b/>
              </w:rPr>
              <w:t>Viiteasiakirja</w:t>
            </w:r>
          </w:p>
        </w:tc>
        <w:tc>
          <w:tcPr>
            <w:tcW w:w="3907" w:type="pct"/>
          </w:tcPr>
          <w:p w:rsidRPr="00A6689B" w:rsidR="00074738" w:rsidP="0042488D" w:rsidRDefault="00074738" w14:paraId="18FA1E85" w14:textId="77777777">
            <w:pPr>
              <w:tabs>
                <w:tab w:val="center" w:pos="284"/>
              </w:tabs>
              <w:ind w:left="266" w:hanging="266"/>
            </w:pPr>
            <w:r>
              <w:t>EESC-2024-03700-00-00-RES</w:t>
            </w:r>
          </w:p>
        </w:tc>
      </w:tr>
      <w:tr w:rsidRPr="00A6689B" w:rsidR="00074738" w:rsidTr="0042488D" w14:paraId="25B424C8" w14:textId="77777777">
        <w:tc>
          <w:tcPr>
            <w:tcW w:w="1093" w:type="pct"/>
            <w:vMerge/>
          </w:tcPr>
          <w:p w:rsidRPr="00A6689B" w:rsidR="00074738" w:rsidP="0042488D" w:rsidRDefault="00074738" w14:paraId="750301F3" w14:textId="77777777">
            <w:pPr>
              <w:tabs>
                <w:tab w:val="center" w:pos="284"/>
              </w:tabs>
              <w:ind w:left="266" w:hanging="266"/>
              <w:rPr>
                <w:b/>
                <w:lang w:val="en-US"/>
              </w:rPr>
            </w:pPr>
          </w:p>
        </w:tc>
        <w:tc>
          <w:tcPr>
            <w:tcW w:w="3907" w:type="pct"/>
          </w:tcPr>
          <w:p w:rsidRPr="00A6689B" w:rsidR="00074738" w:rsidP="0042488D" w:rsidRDefault="00074738" w14:paraId="0F6EB8CC" w14:textId="77777777">
            <w:pPr>
              <w:tabs>
                <w:tab w:val="center" w:pos="284"/>
              </w:tabs>
              <w:ind w:left="266" w:hanging="266"/>
              <w:rPr>
                <w:lang w:val="en-US"/>
              </w:rPr>
            </w:pPr>
          </w:p>
        </w:tc>
      </w:tr>
    </w:tbl>
    <w:p w:rsidRPr="00A6689B" w:rsidR="00074738" w:rsidP="00074738" w:rsidRDefault="00074738" w14:paraId="0AF3C8C1" w14:textId="77777777">
      <w:pPr>
        <w:keepNext/>
        <w:keepLines/>
        <w:tabs>
          <w:tab w:val="center" w:pos="284"/>
        </w:tabs>
        <w:ind w:left="266" w:hanging="266"/>
        <w:rPr>
          <w:b/>
        </w:rPr>
      </w:pPr>
      <w:r>
        <w:rPr>
          <w:b/>
        </w:rPr>
        <w:t>Keskeiset kohdat</w:t>
      </w:r>
    </w:p>
    <w:p w:rsidRPr="00A6689B" w:rsidR="00074738" w:rsidP="00074738" w:rsidRDefault="00074738" w14:paraId="45693B27" w14:textId="77777777">
      <w:pPr>
        <w:keepNext/>
        <w:keepLines/>
        <w:tabs>
          <w:tab w:val="center" w:pos="284"/>
        </w:tabs>
        <w:ind w:left="266" w:hanging="266"/>
        <w:rPr>
          <w:b/>
        </w:rPr>
      </w:pPr>
    </w:p>
    <w:p w:rsidRPr="00A6689B" w:rsidR="00074738" w:rsidP="00074738" w:rsidRDefault="00074738" w14:paraId="710F12FE" w14:textId="77777777">
      <w:pPr>
        <w:rPr>
          <w:bCs/>
          <w:iCs/>
        </w:rPr>
      </w:pPr>
      <w:r>
        <w:t>ETSK</w:t>
      </w:r>
    </w:p>
    <w:p w:rsidRPr="00A6689B" w:rsidR="00074738" w:rsidP="00074738" w:rsidRDefault="00074738" w14:paraId="6A589395" w14:textId="77777777">
      <w:pPr>
        <w:rPr>
          <w:bCs/>
          <w:iCs/>
        </w:rPr>
      </w:pPr>
    </w:p>
    <w:p w:rsidR="00074738" w:rsidP="00074738" w:rsidRDefault="00074738" w14:paraId="632297F7" w14:textId="77777777">
      <w:pPr>
        <w:numPr>
          <w:ilvl w:val="0"/>
          <w:numId w:val="3"/>
        </w:numPr>
        <w:overflowPunct w:val="0"/>
        <w:autoSpaceDE w:val="0"/>
        <w:autoSpaceDN w:val="0"/>
        <w:adjustRightInd w:val="0"/>
        <w:textAlignment w:val="baseline"/>
        <w:rPr>
          <w:bCs/>
          <w:iCs/>
        </w:rPr>
      </w:pPr>
      <w:r>
        <w:t xml:space="preserve">kehottaa uusien geopoliittisten ja yhä monimutkaisemmaksi käyneiden haasteiden vuoksi EU:n toimielimiä noudattamaan </w:t>
      </w:r>
      <w:proofErr w:type="spellStart"/>
      <w:r>
        <w:t>Draghin</w:t>
      </w:r>
      <w:proofErr w:type="spellEnd"/>
      <w:r>
        <w:t xml:space="preserve"> raporttia ja toimimaan päättäväisesti varmistaakseen EU:n pitkän aikavälin kestävän kilpailukyvyn, vaurauden luomisen kaikille ja EU:n maailmanpoliittisen johtoaseman. Tästä syystä on ehdottoman tärkeää tehostaa kaikkia toimintapolitiikkoja, joilla voidaan vahvistaa EU:n tuottavuutta ja kilpailukykyä, ja sovittaa elintärkeät taloudelliset investoinnit yhteen yhteisten sosiaalisten ja ympäristötavoitteiden kanssa edistäen samalla sosiaalista markkinataloutta ja tulevien sukupolvien hyvinvointia. Tavoitteena on ottaa käyttöön vakaa Euroopan teollisuusstrategia (puhtaan teollisuuden ohjelma) ja tehdä massiivisia investointeja talouden muuttamiseksi niin, että säilytetään sisämarkkinoiden eheys ja kurotaan umpeen kasvu-, tuottavuus- ja innovointieroja EU:n ja sen kansainvälisten kumppaneiden sekä tärkeimpien kilpailijoiden välillä.</w:t>
      </w:r>
    </w:p>
    <w:p w:rsidR="00074738" w:rsidP="00074738" w:rsidRDefault="00074738" w14:paraId="412CBA98" w14:textId="77777777">
      <w:pPr>
        <w:numPr>
          <w:ilvl w:val="0"/>
          <w:numId w:val="3"/>
        </w:numPr>
        <w:overflowPunct w:val="0"/>
        <w:autoSpaceDE w:val="0"/>
        <w:autoSpaceDN w:val="0"/>
        <w:adjustRightInd w:val="0"/>
        <w:textAlignment w:val="baseline"/>
        <w:rPr>
          <w:bCs/>
          <w:iCs/>
        </w:rPr>
      </w:pPr>
      <w:r>
        <w:t>pitää tärkeänä, että kevennetään hallinnollista taakkaa ja vähennetään säännösten noudattamisesta aiheutuvia kustannuksia, mutta katsoo, että tämä on tehtävä avoimella ja osallistavalla tavalla vaarantamatta perimmäisiä lainsäädäntötavoitteita ja pitäen kiinni nykyisistä tiukoista normeista erityisesti yhteiskunnallisen hyvinvoinnin ja ympäristönsuojelun suhteen. ”Pienet ensin” -periaatteesta olisi tehtävä todellisuutta pk-yrityksille siten, että tarjotaan vakaa lainsäädäntökehys, virtaviivaistetaan ja karsitaan hallinnollisia menettelyjä, varmistetaan tasapuoliset toimintaedellytykset sisämarkkinoilla ja annetaan pk-yrityksille mahdollisuus saada kohtuuhintaista uusiutuvaa energiaa.</w:t>
      </w:r>
    </w:p>
    <w:p w:rsidRPr="009913D8" w:rsidR="00074738" w:rsidP="00074738" w:rsidRDefault="00074738" w14:paraId="6BFF2737" w14:textId="77777777">
      <w:pPr>
        <w:numPr>
          <w:ilvl w:val="0"/>
          <w:numId w:val="3"/>
        </w:numPr>
        <w:overflowPunct w:val="0"/>
        <w:autoSpaceDE w:val="0"/>
        <w:autoSpaceDN w:val="0"/>
        <w:adjustRightInd w:val="0"/>
        <w:textAlignment w:val="baseline"/>
        <w:rPr>
          <w:bCs/>
          <w:iCs/>
        </w:rPr>
      </w:pPr>
      <w:r>
        <w:t xml:space="preserve">on tyytyväinen ehdotukseen Euroopan sosiaalisten oikeuksien pilarin täytäntöönpanoa koskevan uuden toimintasuunnitelman laatimisesta ja peräänkuuluttaa moniulotteista lähestymistapaa, jotta voidaan panna täytäntöön nykyiset työllisyys- ja sosiaalialan aloitteet, valvoa ja seurata niitä ja tukea niitä taloudellisesti, vastata työllisyys- ja sosiaalihaasteisiin lainsäädännöllisillä ja muilla toimenpiteillä ja tukea vahvaa koheesiopolitiikkaa eriarvoisuuden torjumiseksi. </w:t>
      </w:r>
    </w:p>
    <w:p w:rsidR="00074738" w:rsidP="00074738" w:rsidRDefault="00074738" w14:paraId="36906C8E" w14:textId="77777777">
      <w:pPr>
        <w:numPr>
          <w:ilvl w:val="0"/>
          <w:numId w:val="3"/>
        </w:numPr>
        <w:overflowPunct w:val="0"/>
        <w:autoSpaceDE w:val="0"/>
        <w:autoSpaceDN w:val="0"/>
        <w:adjustRightInd w:val="0"/>
        <w:textAlignment w:val="baseline"/>
        <w:rPr>
          <w:bCs/>
          <w:iCs/>
        </w:rPr>
      </w:pPr>
      <w:r>
        <w:t>kehottaa seuraamaan eurooppalaisen ohjausjakson aikana sosiaalisia investointeja sosiaalisen lähentymisen kehyksen mukaisesti. Kyseinen kehys on väline, jonka avulla seurataan edistymistä ja varmistetaan, että sosiaalipolitiikat pannaan täytäntöön ja rahoitetaan asianmukaisesti.</w:t>
      </w:r>
    </w:p>
    <w:p w:rsidR="00074738" w:rsidP="00074738" w:rsidRDefault="00074738" w14:paraId="5DA15BED" w14:textId="77777777">
      <w:pPr>
        <w:numPr>
          <w:ilvl w:val="0"/>
          <w:numId w:val="3"/>
        </w:numPr>
        <w:overflowPunct w:val="0"/>
        <w:autoSpaceDE w:val="0"/>
        <w:autoSpaceDN w:val="0"/>
        <w:adjustRightInd w:val="0"/>
        <w:textAlignment w:val="baseline"/>
        <w:rPr>
          <w:bCs/>
          <w:iCs/>
        </w:rPr>
      </w:pPr>
      <w:r>
        <w:t>korostaa, että työmarkkinavuoropuhelu voi kaikilla tasoilla olla keskeisessä asemassa eurooppalaisten yritysten kasvun, tuottavuuden, työllisyyden ja kilpailukyvyn lisäämisessä maailmanmarkkinoilla.</w:t>
      </w:r>
    </w:p>
    <w:p w:rsidRPr="00FD6A3C" w:rsidR="00074738" w:rsidP="00074738" w:rsidRDefault="00074738" w14:paraId="125072DC" w14:textId="77777777">
      <w:pPr>
        <w:numPr>
          <w:ilvl w:val="0"/>
          <w:numId w:val="3"/>
        </w:numPr>
        <w:overflowPunct w:val="0"/>
        <w:autoSpaceDE w:val="0"/>
        <w:autoSpaceDN w:val="0"/>
        <w:adjustRightInd w:val="0"/>
        <w:textAlignment w:val="baseline"/>
        <w:rPr>
          <w:bCs/>
          <w:iCs/>
        </w:rPr>
      </w:pPr>
      <w:r>
        <w:lastRenderedPageBreak/>
        <w:t>kehottaa EU:n toimielimiä tunnustamaan kansalaisyhteiskunnan arvon keskeisenä toimijana suunniteltaessa ja toteutettaessa EU:n politiikkoja, joilla pyritään turvaamaan kestävä kasvu, demokratian puolustaminen ja sosiaalinen oikeudenmukaisuus, myös oikeudenmukaiset siirtymät. ETSK kehottaa EU:n toimielimiä laatimaan kansalaisyhteiskuntastrategian ja sille selkeän toimintasuunnitelman.</w:t>
      </w:r>
    </w:p>
    <w:p w:rsidRPr="000D2ED4" w:rsidR="00074738" w:rsidP="00074738" w:rsidRDefault="00074738" w14:paraId="33531AA5" w14:textId="77777777">
      <w:pPr>
        <w:numPr>
          <w:ilvl w:val="0"/>
          <w:numId w:val="3"/>
        </w:numPr>
        <w:overflowPunct w:val="0"/>
        <w:autoSpaceDE w:val="0"/>
        <w:autoSpaceDN w:val="0"/>
        <w:adjustRightInd w:val="0"/>
        <w:textAlignment w:val="baseline"/>
        <w:rPr>
          <w:bCs/>
          <w:iCs/>
        </w:rPr>
      </w:pPr>
      <w:r>
        <w:t>katsoo, että koheesiorahastoilla on edelleen elintärkeä rooli ylöspäin tapahtuvan taloudellisen ja sosiaalisen lähentymisen kannalta. Onkin erittäin tärkeää, että EU:n tasolla sovelletaan kokonaisvaltaista, koordinoitua ja yhdennettyä toimintatapaa. Koheesiopolitiikan tukena olisi oltava erillinen koheesiopääosasto, ja sen olisi säilytettävä monitasoiseen hallintoon perustuva identiteettinsä.</w:t>
      </w:r>
    </w:p>
    <w:p w:rsidRPr="000624A9" w:rsidR="00074738" w:rsidP="00074738" w:rsidRDefault="00074738" w14:paraId="1631F2AD" w14:textId="77777777">
      <w:pPr>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A6689B" w:rsidR="00074738" w:rsidTr="0042488D" w14:paraId="347FB4CD" w14:textId="77777777">
        <w:tc>
          <w:tcPr>
            <w:tcW w:w="1556" w:type="pct"/>
          </w:tcPr>
          <w:p w:rsidRPr="00A6689B" w:rsidR="00074738" w:rsidP="0042488D" w:rsidRDefault="00074738" w14:paraId="15379C4F" w14:textId="77777777">
            <w:pPr>
              <w:spacing w:line="240" w:lineRule="auto"/>
              <w:rPr>
                <w:i/>
              </w:rPr>
            </w:pPr>
            <w:r>
              <w:rPr>
                <w:b/>
                <w:i/>
              </w:rPr>
              <w:t>Yhteyshenkilö 1</w:t>
            </w:r>
          </w:p>
        </w:tc>
        <w:tc>
          <w:tcPr>
            <w:tcW w:w="3444" w:type="pct"/>
          </w:tcPr>
          <w:p w:rsidRPr="00A6689B" w:rsidR="00074738" w:rsidP="0042488D" w:rsidRDefault="00074738" w14:paraId="117444CA" w14:textId="77777777">
            <w:pPr>
              <w:spacing w:line="240" w:lineRule="auto"/>
              <w:rPr>
                <w:i/>
              </w:rPr>
            </w:pPr>
            <w:r>
              <w:rPr>
                <w:i/>
              </w:rPr>
              <w:t xml:space="preserve">Anna </w:t>
            </w:r>
            <w:proofErr w:type="spellStart"/>
            <w:r>
              <w:rPr>
                <w:i/>
              </w:rPr>
              <w:t>Hakami</w:t>
            </w:r>
            <w:proofErr w:type="spellEnd"/>
          </w:p>
        </w:tc>
      </w:tr>
      <w:tr w:rsidRPr="00A6689B" w:rsidR="00074738" w:rsidTr="0042488D" w14:paraId="42A4B164" w14:textId="77777777">
        <w:tc>
          <w:tcPr>
            <w:tcW w:w="1556" w:type="pct"/>
          </w:tcPr>
          <w:p w:rsidRPr="00A6689B" w:rsidR="00074738" w:rsidP="0042488D" w:rsidRDefault="00074738" w14:paraId="2247F7E3" w14:textId="77777777">
            <w:pPr>
              <w:spacing w:line="240" w:lineRule="auto"/>
              <w:rPr>
                <w:i/>
              </w:rPr>
            </w:pPr>
            <w:r>
              <w:rPr>
                <w:i/>
              </w:rPr>
              <w:t>P.</w:t>
            </w:r>
          </w:p>
        </w:tc>
        <w:tc>
          <w:tcPr>
            <w:tcW w:w="3444" w:type="pct"/>
          </w:tcPr>
          <w:p w:rsidRPr="00A6689B" w:rsidR="00074738" w:rsidP="0042488D" w:rsidRDefault="00074738" w14:paraId="3DFD8A05" w14:textId="77777777">
            <w:pPr>
              <w:spacing w:line="240" w:lineRule="auto"/>
              <w:rPr>
                <w:i/>
              </w:rPr>
            </w:pPr>
            <w:r>
              <w:rPr>
                <w:i/>
              </w:rPr>
              <w:t>+32 25468674</w:t>
            </w:r>
          </w:p>
        </w:tc>
      </w:tr>
      <w:tr w:rsidRPr="00A6689B" w:rsidR="00074738" w:rsidTr="0042488D" w14:paraId="1DA13A1B" w14:textId="77777777">
        <w:tc>
          <w:tcPr>
            <w:tcW w:w="1556" w:type="pct"/>
          </w:tcPr>
          <w:p w:rsidRPr="00A6689B" w:rsidR="00074738" w:rsidP="0042488D" w:rsidRDefault="00074738" w14:paraId="43361F6C" w14:textId="77777777">
            <w:pPr>
              <w:spacing w:line="240" w:lineRule="auto"/>
              <w:rPr>
                <w:i/>
              </w:rPr>
            </w:pPr>
            <w:r>
              <w:rPr>
                <w:i/>
              </w:rPr>
              <w:t>Sähköposti</w:t>
            </w:r>
          </w:p>
        </w:tc>
        <w:tc>
          <w:tcPr>
            <w:tcW w:w="3444" w:type="pct"/>
          </w:tcPr>
          <w:p w:rsidRPr="00A6689B" w:rsidR="00074738" w:rsidP="0042488D" w:rsidRDefault="00C63C8C" w14:paraId="0E6040C3" w14:textId="77777777">
            <w:pPr>
              <w:spacing w:line="240" w:lineRule="auto"/>
              <w:rPr>
                <w:i/>
              </w:rPr>
            </w:pPr>
            <w:hyperlink w:history="1" r:id="rId21">
              <w:r w:rsidR="00074738">
                <w:rPr>
                  <w:rStyle w:val="Hyperlink"/>
                  <w:i/>
                </w:rPr>
                <w:t>Anna.Hakami@eesc.europa.eu</w:t>
              </w:r>
            </w:hyperlink>
            <w:r w:rsidR="00074738">
              <w:rPr>
                <w:i/>
              </w:rPr>
              <w:t xml:space="preserve"> </w:t>
            </w:r>
          </w:p>
        </w:tc>
      </w:tr>
      <w:tr w:rsidRPr="00A6689B" w:rsidR="00074738" w:rsidTr="0042488D" w14:paraId="068F067F" w14:textId="77777777">
        <w:tc>
          <w:tcPr>
            <w:tcW w:w="1556" w:type="pct"/>
          </w:tcPr>
          <w:p w:rsidR="00074738" w:rsidP="0042488D" w:rsidRDefault="00074738" w14:paraId="4D3ED94D" w14:textId="77777777">
            <w:pPr>
              <w:spacing w:line="240" w:lineRule="auto"/>
              <w:rPr>
                <w:i/>
              </w:rPr>
            </w:pPr>
            <w:r>
              <w:rPr>
                <w:b/>
                <w:i/>
              </w:rPr>
              <w:t>Yhteyshenkilö 2</w:t>
            </w:r>
          </w:p>
        </w:tc>
        <w:tc>
          <w:tcPr>
            <w:tcW w:w="3444" w:type="pct"/>
          </w:tcPr>
          <w:p w:rsidR="00074738" w:rsidP="0042488D" w:rsidRDefault="00074738" w14:paraId="7F23415A" w14:textId="77777777">
            <w:pPr>
              <w:spacing w:line="240" w:lineRule="auto"/>
              <w:rPr>
                <w:i/>
              </w:rPr>
            </w:pPr>
            <w:proofErr w:type="spellStart"/>
            <w:r>
              <w:rPr>
                <w:i/>
              </w:rPr>
              <w:t>Eniko</w:t>
            </w:r>
            <w:proofErr w:type="spellEnd"/>
            <w:r>
              <w:rPr>
                <w:i/>
              </w:rPr>
              <w:t xml:space="preserve"> </w:t>
            </w:r>
            <w:proofErr w:type="spellStart"/>
            <w:r>
              <w:rPr>
                <w:i/>
              </w:rPr>
              <w:t>Greff</w:t>
            </w:r>
            <w:proofErr w:type="spellEnd"/>
          </w:p>
        </w:tc>
      </w:tr>
      <w:tr w:rsidRPr="00A6689B" w:rsidR="00074738" w:rsidTr="0042488D" w14:paraId="0D914894" w14:textId="77777777">
        <w:tc>
          <w:tcPr>
            <w:tcW w:w="1556" w:type="pct"/>
          </w:tcPr>
          <w:p w:rsidR="00074738" w:rsidP="0042488D" w:rsidRDefault="00074738" w14:paraId="37F8DFB9" w14:textId="77777777">
            <w:pPr>
              <w:spacing w:line="240" w:lineRule="auto"/>
              <w:rPr>
                <w:i/>
              </w:rPr>
            </w:pPr>
            <w:r>
              <w:rPr>
                <w:i/>
              </w:rPr>
              <w:t>P.</w:t>
            </w:r>
          </w:p>
        </w:tc>
        <w:tc>
          <w:tcPr>
            <w:tcW w:w="3444" w:type="pct"/>
          </w:tcPr>
          <w:p w:rsidR="00074738" w:rsidP="0042488D" w:rsidRDefault="00074738" w14:paraId="61AB8EC7" w14:textId="77777777">
            <w:pPr>
              <w:spacing w:line="240" w:lineRule="auto"/>
              <w:rPr>
                <w:i/>
              </w:rPr>
            </w:pPr>
            <w:r>
              <w:rPr>
                <w:i/>
              </w:rPr>
              <w:t>+32 25468792</w:t>
            </w:r>
          </w:p>
        </w:tc>
      </w:tr>
      <w:tr w:rsidRPr="00A6689B" w:rsidR="00074738" w:rsidTr="0042488D" w14:paraId="4B5707B4" w14:textId="77777777">
        <w:tc>
          <w:tcPr>
            <w:tcW w:w="1556" w:type="pct"/>
          </w:tcPr>
          <w:p w:rsidR="00074738" w:rsidP="0042488D" w:rsidRDefault="00074738" w14:paraId="199A18E7" w14:textId="77777777">
            <w:pPr>
              <w:spacing w:line="240" w:lineRule="auto"/>
              <w:rPr>
                <w:i/>
              </w:rPr>
            </w:pPr>
            <w:r>
              <w:rPr>
                <w:i/>
              </w:rPr>
              <w:t>Sähköposti</w:t>
            </w:r>
          </w:p>
        </w:tc>
        <w:tc>
          <w:tcPr>
            <w:tcW w:w="3444" w:type="pct"/>
          </w:tcPr>
          <w:p w:rsidR="00074738" w:rsidP="0042488D" w:rsidRDefault="00C63C8C" w14:paraId="47BA262B" w14:textId="77777777">
            <w:pPr>
              <w:spacing w:line="240" w:lineRule="auto"/>
              <w:rPr>
                <w:i/>
              </w:rPr>
            </w:pPr>
            <w:hyperlink w:history="1" r:id="rId22">
              <w:r w:rsidR="00074738">
                <w:rPr>
                  <w:rStyle w:val="Hyperlink"/>
                  <w:i/>
                </w:rPr>
                <w:t>Eniko.Greff@eesc.europa.eu</w:t>
              </w:r>
            </w:hyperlink>
            <w:r w:rsidR="00074738">
              <w:rPr>
                <w:i/>
              </w:rPr>
              <w:t xml:space="preserve"> </w:t>
            </w:r>
          </w:p>
        </w:tc>
      </w:tr>
    </w:tbl>
    <w:p w:rsidR="002673F7" w:rsidRDefault="002673F7" w14:paraId="05E09868" w14:textId="51A666BF">
      <w:pPr>
        <w:spacing w:after="160" w:line="259" w:lineRule="auto"/>
        <w:jc w:val="left"/>
      </w:pPr>
      <w:r>
        <w:br w:type="page"/>
      </w:r>
    </w:p>
    <w:p w:rsidR="004D7AC0" w:rsidP="006D6D4E" w:rsidRDefault="004D7AC0" w14:paraId="4982DD6D" w14:textId="5F7524E1">
      <w:pPr>
        <w:pStyle w:val="Heading1"/>
        <w:keepNext/>
        <w:keepLines/>
        <w:rPr>
          <w:b/>
        </w:rPr>
      </w:pPr>
      <w:bookmarkStart w:name="_Toc178009553" w:id="1"/>
      <w:r>
        <w:rPr>
          <w:b/>
        </w:rPr>
        <w:lastRenderedPageBreak/>
        <w:t>TALOUS- JA RAHALIITTO, TALOUDELLINEN JA SOSIAALINEN YHTEENKUULUVUUS</w:t>
      </w:r>
      <w:bookmarkEnd w:id="1"/>
    </w:p>
    <w:p w:rsidR="00F52D24" w:rsidP="006D6D4E" w:rsidRDefault="00F52D24" w14:paraId="1D43B004" w14:textId="77777777">
      <w:pPr>
        <w:keepNext/>
        <w:keepLines/>
      </w:pPr>
    </w:p>
    <w:p w:rsidRPr="00194E64" w:rsidR="00074738" w:rsidP="00074738" w:rsidRDefault="00074738" w14:paraId="7626E9ED" w14:textId="7D69E7CA">
      <w:pPr>
        <w:pStyle w:val="ListParagraph"/>
        <w:widowControl w:val="0"/>
        <w:numPr>
          <w:ilvl w:val="0"/>
          <w:numId w:val="5"/>
        </w:numPr>
        <w:spacing w:after="200" w:line="240" w:lineRule="auto"/>
        <w:ind w:left="567" w:hanging="567"/>
        <w:jc w:val="left"/>
        <w:rPr>
          <w:rStyle w:val="Hyperlink"/>
          <w:b/>
          <w:bCs/>
          <w:i/>
          <w:iCs/>
          <w:sz w:val="28"/>
          <w:szCs w:val="28"/>
        </w:rPr>
      </w:pPr>
      <w:r>
        <w:rPr>
          <w:b/>
          <w:i/>
          <w:sz w:val="28"/>
        </w:rPr>
        <w:t xml:space="preserve"> </w:t>
      </w:r>
      <w:hyperlink w:history="1" r:id="rId23">
        <w:r>
          <w:rPr>
            <w:rStyle w:val="Hyperlink"/>
            <w:b/>
            <w:i/>
            <w:sz w:val="28"/>
          </w:rPr>
          <w:t>Alueellinen hätätilanteen tuki – RESTORE</w:t>
        </w:r>
      </w:hyperlink>
    </w:p>
    <w:p w:rsidRPr="00194E64" w:rsidR="00074738" w:rsidP="00074738" w:rsidRDefault="00074738" w14:paraId="4DE9294D" w14:textId="77777777">
      <w:pPr>
        <w:widowControl w:val="0"/>
        <w:rPr>
          <w:b/>
          <w:bCs/>
          <w:i/>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662"/>
      </w:tblGrid>
      <w:tr w:rsidRPr="00194E64" w:rsidR="00074738" w:rsidTr="0042488D" w14:paraId="18BC9BFF" w14:textId="77777777">
        <w:tc>
          <w:tcPr>
            <w:tcW w:w="2127" w:type="dxa"/>
          </w:tcPr>
          <w:p w:rsidRPr="00194E64" w:rsidR="00074738" w:rsidP="0042488D" w:rsidRDefault="00074738" w14:paraId="04E240B9" w14:textId="77777777">
            <w:pPr>
              <w:ind w:left="176" w:hanging="284"/>
              <w:rPr>
                <w:b/>
              </w:rPr>
            </w:pPr>
            <w:r w:rsidRPr="00194E64">
              <w:rPr>
                <w:noProof/>
              </w:rPr>
              <mc:AlternateContent>
                <mc:Choice Requires="wps">
                  <w:drawing>
                    <wp:anchor distT="0" distB="0" distL="114300" distR="114300" simplePos="0" relativeHeight="251661312" behindDoc="1" locked="0" layoutInCell="0" allowOverlap="1" wp14:editId="67ECAC28" wp14:anchorId="42418DE0">
                      <wp:simplePos x="0" y="0"/>
                      <wp:positionH relativeFrom="page">
                        <wp:posOffset>6766560</wp:posOffset>
                      </wp:positionH>
                      <wp:positionV relativeFrom="page">
                        <wp:posOffset>10078113</wp:posOffset>
                      </wp:positionV>
                      <wp:extent cx="647700" cy="396240"/>
                      <wp:effectExtent l="0" t="0" r="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074738" w:rsidP="00074738" w:rsidRDefault="00074738" w14:paraId="1DA26F49"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2.8pt;margin-top:793.55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1D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J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" w14:anchorId="42418DE0">
                      <v:textbox>
                        <w:txbxContent>
                          <w:p w:rsidRPr="00260E65" w:rsidR="00074738" w:rsidP="00074738" w:rsidRDefault="00074738" w14:paraId="1DA26F49"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r w:rsidRPr="00194E64">
              <w:rPr>
                <w:b/>
              </w:rPr>
              <w:t xml:space="preserve">Esittelijä </w:t>
            </w:r>
          </w:p>
        </w:tc>
        <w:tc>
          <w:tcPr>
            <w:tcW w:w="6662" w:type="dxa"/>
          </w:tcPr>
          <w:p w:rsidRPr="00194E64" w:rsidR="00074738" w:rsidP="0042488D" w:rsidRDefault="00074738" w14:paraId="76D9B333" w14:textId="77777777">
            <w:pPr>
              <w:tabs>
                <w:tab w:val="center" w:pos="284"/>
              </w:tabs>
            </w:pPr>
            <w:proofErr w:type="spellStart"/>
            <w:r w:rsidRPr="00194E64">
              <w:t>Ioannis</w:t>
            </w:r>
            <w:proofErr w:type="spellEnd"/>
            <w:r w:rsidRPr="00194E64">
              <w:t xml:space="preserve"> </w:t>
            </w:r>
            <w:proofErr w:type="spellStart"/>
            <w:r w:rsidRPr="00194E64">
              <w:t>Vardakastanis</w:t>
            </w:r>
            <w:proofErr w:type="spellEnd"/>
            <w:r w:rsidRPr="00194E64">
              <w:t xml:space="preserve"> (kansalaisyhteiskunnan organisaatiot – EL)</w:t>
            </w:r>
          </w:p>
        </w:tc>
      </w:tr>
      <w:tr w:rsidRPr="00194E64" w:rsidR="00074738" w:rsidTr="0042488D" w14:paraId="5E857487" w14:textId="77777777">
        <w:tc>
          <w:tcPr>
            <w:tcW w:w="8789" w:type="dxa"/>
            <w:gridSpan w:val="2"/>
          </w:tcPr>
          <w:p w:rsidRPr="00194E64" w:rsidR="00074738" w:rsidP="0042488D" w:rsidRDefault="00074738" w14:paraId="16B951D7" w14:textId="77777777">
            <w:pPr>
              <w:tabs>
                <w:tab w:val="center" w:pos="284"/>
              </w:tabs>
              <w:ind w:left="266" w:hanging="266"/>
            </w:pPr>
          </w:p>
        </w:tc>
      </w:tr>
      <w:tr w:rsidRPr="00194E64" w:rsidR="00074738" w:rsidTr="0042488D" w14:paraId="6F4F5FFA" w14:textId="77777777">
        <w:tc>
          <w:tcPr>
            <w:tcW w:w="2127" w:type="dxa"/>
          </w:tcPr>
          <w:p w:rsidRPr="00194E64" w:rsidR="00074738" w:rsidP="0042488D" w:rsidRDefault="00074738" w14:paraId="40D44D90" w14:textId="77777777">
            <w:pPr>
              <w:tabs>
                <w:tab w:val="center" w:pos="284"/>
              </w:tabs>
              <w:ind w:left="266" w:hanging="374"/>
              <w:rPr>
                <w:b/>
              </w:rPr>
            </w:pPr>
            <w:r w:rsidRPr="00194E64">
              <w:rPr>
                <w:b/>
              </w:rPr>
              <w:t>Viiteasiakirjat</w:t>
            </w:r>
          </w:p>
        </w:tc>
        <w:tc>
          <w:tcPr>
            <w:tcW w:w="6662" w:type="dxa"/>
          </w:tcPr>
          <w:p w:rsidRPr="00194E64" w:rsidR="00074738" w:rsidP="0042488D" w:rsidRDefault="00074738" w14:paraId="2BB06415" w14:textId="77777777">
            <w:pPr>
              <w:tabs>
                <w:tab w:val="center" w:pos="284"/>
              </w:tabs>
            </w:pPr>
            <w:proofErr w:type="gramStart"/>
            <w:r w:rsidRPr="00194E64">
              <w:t>COM(</w:t>
            </w:r>
            <w:proofErr w:type="gramEnd"/>
            <w:r w:rsidRPr="00194E64">
              <w:t xml:space="preserve">2024) 496 </w:t>
            </w:r>
            <w:proofErr w:type="spellStart"/>
            <w:r w:rsidRPr="00194E64">
              <w:t>final</w:t>
            </w:r>
            <w:proofErr w:type="spellEnd"/>
          </w:p>
          <w:p w:rsidRPr="00194E64" w:rsidR="00074738" w:rsidP="0042488D" w:rsidRDefault="00074738" w14:paraId="28FC3A25" w14:textId="77777777">
            <w:pPr>
              <w:tabs>
                <w:tab w:val="center" w:pos="284"/>
              </w:tabs>
              <w:rPr>
                <w:highlight w:val="yellow"/>
              </w:rPr>
            </w:pPr>
            <w:r w:rsidRPr="00194E64">
              <w:t>EESC-2024-03939-00-00-AC</w:t>
            </w:r>
          </w:p>
        </w:tc>
      </w:tr>
    </w:tbl>
    <w:p w:rsidRPr="00194E64" w:rsidR="00074738" w:rsidP="00074738" w:rsidRDefault="00074738" w14:paraId="5321DF0C" w14:textId="77777777">
      <w:pPr>
        <w:keepNext/>
        <w:keepLines/>
        <w:tabs>
          <w:tab w:val="center" w:pos="284"/>
        </w:tabs>
        <w:ind w:left="266" w:hanging="266"/>
        <w:rPr>
          <w:b/>
        </w:rPr>
      </w:pPr>
    </w:p>
    <w:p w:rsidR="00074738" w:rsidP="00074738" w:rsidRDefault="00074738" w14:paraId="5576B87C" w14:textId="77777777">
      <w:pPr>
        <w:keepNext/>
        <w:keepLines/>
        <w:tabs>
          <w:tab w:val="center" w:pos="284"/>
        </w:tabs>
        <w:ind w:left="266" w:hanging="266"/>
        <w:rPr>
          <w:b/>
        </w:rPr>
      </w:pPr>
      <w:r w:rsidRPr="00194E64">
        <w:rPr>
          <w:b/>
        </w:rPr>
        <w:t>Keskeiset kohdat</w:t>
      </w:r>
    </w:p>
    <w:p w:rsidRPr="00194E64" w:rsidR="00074738" w:rsidP="00074738" w:rsidRDefault="00074738" w14:paraId="469040D1" w14:textId="77777777">
      <w:pPr>
        <w:keepNext/>
        <w:keepLines/>
        <w:tabs>
          <w:tab w:val="center" w:pos="284"/>
        </w:tabs>
        <w:ind w:left="266" w:hanging="266"/>
        <w:rPr>
          <w:b/>
        </w:rPr>
      </w:pPr>
    </w:p>
    <w:p w:rsidRPr="00194E64" w:rsidR="00074738" w:rsidP="00074738" w:rsidRDefault="00074738" w14:paraId="27136E9D" w14:textId="77777777">
      <w:pPr>
        <w:ind w:left="425" w:hanging="425"/>
      </w:pPr>
      <w:r w:rsidRPr="00194E64">
        <w:t>ETSK</w:t>
      </w:r>
    </w:p>
    <w:p w:rsidR="00074738" w:rsidP="00074738" w:rsidRDefault="00074738" w14:paraId="2F874AF6" w14:textId="77777777">
      <w:pPr>
        <w:pStyle w:val="Heading2"/>
        <w:numPr>
          <w:ilvl w:val="0"/>
          <w:numId w:val="4"/>
        </w:numPr>
        <w:ind w:left="567" w:hanging="567"/>
      </w:pPr>
      <w:r>
        <w:t>tuntee ehdotonta solidaarisuutta Keski-, Itä- ja Etelä-Euroopan viimeaikaisista luonnonkatastrofeista ankarasti kärsineitä ihmisiä kohtaan ja antaa heille tukensa. Kun ilmastokatastrofit koettelevat EU:n alueita, Eurooppa on vahvempi, kun se pitää yhtä ja pysyy yhtenäisenä.</w:t>
      </w:r>
    </w:p>
    <w:p w:rsidR="00074738" w:rsidP="00074738" w:rsidRDefault="00074738" w14:paraId="7453959B" w14:textId="77777777">
      <w:pPr>
        <w:pStyle w:val="Heading2"/>
        <w:numPr>
          <w:ilvl w:val="0"/>
          <w:numId w:val="4"/>
        </w:numPr>
        <w:ind w:left="567" w:hanging="567"/>
      </w:pPr>
      <w:r>
        <w:t>toteaa, että ilmastonmuutoksen ja resurssiniukkuuden seuraukset alkavat valitettavasti näkyä jo nyt. EU on perustellusti tehnyt sitoumuksia, joiden avulla pyritään estämään tilanteen paheneminen, mutta emme ole valmistautuneita odottamattomiin ilmastohätätilanteisiin, energiakriiseihin ja luonnonkatastrofeihin.</w:t>
      </w:r>
    </w:p>
    <w:p w:rsidRPr="00BE5340" w:rsidR="00074738" w:rsidP="00074738" w:rsidRDefault="00074738" w14:paraId="459F5E22" w14:textId="77777777">
      <w:pPr>
        <w:pStyle w:val="Heading2"/>
        <w:numPr>
          <w:ilvl w:val="0"/>
          <w:numId w:val="4"/>
        </w:numPr>
        <w:ind w:left="567" w:hanging="567"/>
      </w:pPr>
      <w:r>
        <w:t>painottaa, että talouden toimintajärjestelmää on muutettava ja että valtioiden on olennaisen tärkeää sitoutua systeemisiin ratkaisuihin sen sijaan, että ne puuttuisivat pelkästään ongelman oireisiin.</w:t>
      </w:r>
    </w:p>
    <w:p w:rsidR="00074738" w:rsidP="00074738" w:rsidRDefault="00074738" w14:paraId="0DEB1DE3" w14:textId="77777777">
      <w:pPr>
        <w:pStyle w:val="Heading2"/>
        <w:numPr>
          <w:ilvl w:val="0"/>
          <w:numId w:val="4"/>
        </w:numPr>
        <w:ind w:left="567" w:hanging="567"/>
      </w:pPr>
      <w:r>
        <w:t>katsoo, että luonnonkatastrofien sosiaalisten, alueellisten ja taloudellisten seurausten lieventämiseksi tarvitaan välittömiä, yksinkertaisia ja tehokkaita toimenpiteitä. EU:n alueilla on toteutettava laajoja jälleenrakennustöitä, jotta tapahtuneista katastrofeista toivutaan.</w:t>
      </w:r>
    </w:p>
    <w:p w:rsidR="00074738" w:rsidP="00074738" w:rsidRDefault="00074738" w14:paraId="0FE657A6" w14:textId="77777777">
      <w:pPr>
        <w:pStyle w:val="Heading2"/>
        <w:numPr>
          <w:ilvl w:val="0"/>
          <w:numId w:val="4"/>
        </w:numPr>
        <w:ind w:left="567" w:hanging="567"/>
      </w:pPr>
      <w:r>
        <w:t>suhtautuu myönteisesti joustomahdollisuuksiin, joita komission ehdotuksessa esitetään luonnonkatastrofeista kärsivien maiden tukemiseksi, sillä tällaisilla katastrofeilla on vakavia ja pitkäaikaisia vaikutuksia EU:n alueiden yhteiskunta- ja talousrakenteeseen.</w:t>
      </w:r>
    </w:p>
    <w:p w:rsidR="00074738" w:rsidP="00074738" w:rsidRDefault="00074738" w14:paraId="12BD280A" w14:textId="77777777">
      <w:pPr>
        <w:pStyle w:val="Heading2"/>
        <w:numPr>
          <w:ilvl w:val="0"/>
          <w:numId w:val="4"/>
        </w:numPr>
        <w:ind w:left="567" w:hanging="567"/>
      </w:pPr>
      <w:r>
        <w:t>kannattaa koheesiopolitiikan käyttämistä EU:n pitkäjänteisenä investointivälineenä ja toteaa, että äärimmäiset luonnonkatastrofit voivat vaarantaa tämän politiikan pitkän aikavälin kehityksen.</w:t>
      </w:r>
    </w:p>
    <w:p w:rsidR="00074738" w:rsidP="00074738" w:rsidRDefault="00074738" w14:paraId="7DB5CBF7" w14:textId="77777777">
      <w:pPr>
        <w:pStyle w:val="Heading2"/>
        <w:numPr>
          <w:ilvl w:val="0"/>
          <w:numId w:val="4"/>
        </w:numPr>
        <w:ind w:left="567" w:hanging="567"/>
      </w:pPr>
      <w:r>
        <w:t>korostaa, että koheesiopolitiikan perusperiaate, jonka mukaan yhtäkään ihmistä tai aluetta ei saa jättää jälkeen, on edelleen tärkeä ja pätevä ja että kansalaisyhteiskuntaa edustavat tahot ovat valmiita jatkamaan työtä tämän periaatteen puolesta EU:n vahvan investointipolitiikan avulla.</w:t>
      </w:r>
    </w:p>
    <w:p w:rsidR="00074738" w:rsidP="00074738" w:rsidRDefault="00074738" w14:paraId="425EB5BF" w14:textId="77777777">
      <w:pPr>
        <w:pStyle w:val="Heading2"/>
        <w:numPr>
          <w:ilvl w:val="0"/>
          <w:numId w:val="4"/>
        </w:numPr>
        <w:ind w:left="567" w:hanging="567"/>
      </w:pPr>
      <w:r>
        <w:t>puhuu varauksetta ja yksiselitteisesti sellaisen koheesiopolitiikan puolesta, joka toimii EU:n tärkeimpänä alueellisten, taloudellisten ja alueiden välisten erojen vähentämiseen tähtäävänä pitkän aikavälin investointipolitiikkana.</w:t>
      </w:r>
    </w:p>
    <w:p w:rsidR="00074738" w:rsidP="00074738" w:rsidRDefault="00074738" w14:paraId="466F3355" w14:textId="77777777">
      <w:pPr>
        <w:pStyle w:val="Heading2"/>
        <w:numPr>
          <w:ilvl w:val="0"/>
          <w:numId w:val="4"/>
        </w:numPr>
        <w:ind w:left="567" w:hanging="567"/>
      </w:pPr>
      <w:r>
        <w:t>on sitä mieltä, että EU tarvitsee vakaan ja vankan uuden rahoitusmekanismin, jonka avulla on voitava reagoida mukautuvasti ja joustavasti uusiin ja kehittymässä oleviin kriiseihin tulevina vuosina ja vuosikymmeninä. On ratkaisevan tärkeää, että nopeaan ja kiireelliseen reagointiin tehokkaammin keskittyvän uuden mekanismin toiminta on johdonmukaista EU:n yleisten ilmasto-, ympäristö- ja energiapolitiikkojen kanssa.</w:t>
      </w:r>
    </w:p>
    <w:p w:rsidR="00074738" w:rsidP="00074738" w:rsidRDefault="00074738" w14:paraId="331120A4" w14:textId="77777777">
      <w:pPr>
        <w:pStyle w:val="Heading2"/>
        <w:numPr>
          <w:ilvl w:val="0"/>
          <w:numId w:val="4"/>
        </w:numPr>
        <w:ind w:left="567" w:hanging="567"/>
      </w:pPr>
      <w:r>
        <w:t xml:space="preserve">kehottaa Euroopan komissiota tekemään tiivistä yhteistyötä jäsenvaltioiden, paikallisviranomaisten ja kansalaisyhteiskunnan organisaatioiden kanssa, jotta mahdollisuuksia tukea katastrofeista kärsiviä alueita voidaan hyödyntää niin tehokkaasti ja nopeasti kuin suinkin. Luonnonkatastrofit ovat </w:t>
      </w:r>
      <w:r>
        <w:lastRenderedPageBreak/>
        <w:t>koetelleet ankarasti kansalaisyhteiskunnan organisaatioita, työntekijöitä, pk-yrityksiä ja kansalaisjärjestöjä, ja huomattava osa varoista on suunnattava näille tahoille.</w:t>
      </w:r>
    </w:p>
    <w:p w:rsidR="00074738" w:rsidP="00074738" w:rsidRDefault="00074738" w14:paraId="331E0879" w14:textId="77777777">
      <w:pPr>
        <w:pStyle w:val="Heading2"/>
        <w:numPr>
          <w:ilvl w:val="0"/>
          <w:numId w:val="4"/>
        </w:numPr>
        <w:ind w:left="567" w:hanging="567"/>
      </w:pPr>
      <w:r>
        <w:t>kehottaa neuvostoa ja Euroopan parlamenttia hyväksymään asetuksen nopeasti, jotta se voidaan antaa mahdollisimman pian.</w:t>
      </w:r>
    </w:p>
    <w:p w:rsidR="00074738" w:rsidP="00074738" w:rsidRDefault="00074738" w14:paraId="2237DC15" w14:textId="77777777"/>
    <w:tbl>
      <w:tblPr>
        <w:tblStyle w:val="TableGrid"/>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65"/>
        <w:gridCol w:w="4326"/>
      </w:tblGrid>
      <w:tr w:rsidRPr="00F30605" w:rsidR="00074738" w:rsidTr="0042488D" w14:paraId="28ABC9B4" w14:textId="77777777">
        <w:tc>
          <w:tcPr>
            <w:tcW w:w="1365" w:type="dxa"/>
          </w:tcPr>
          <w:p w:rsidRPr="00F30605" w:rsidR="00074738" w:rsidP="0042488D" w:rsidRDefault="00074738" w14:paraId="5402C81A" w14:textId="77777777">
            <w:pPr>
              <w:rPr>
                <w:bCs/>
                <w:i/>
              </w:rPr>
            </w:pPr>
            <w:r>
              <w:rPr>
                <w:i/>
              </w:rPr>
              <w:t>Yhteydenotot</w:t>
            </w:r>
          </w:p>
        </w:tc>
        <w:tc>
          <w:tcPr>
            <w:tcW w:w="4326" w:type="dxa"/>
          </w:tcPr>
          <w:p w:rsidRPr="00F30605" w:rsidR="00074738" w:rsidP="0042488D" w:rsidRDefault="00074738" w14:paraId="09C36950" w14:textId="77777777">
            <w:pPr>
              <w:rPr>
                <w:bCs/>
                <w:i/>
                <w:iCs/>
              </w:rPr>
            </w:pPr>
            <w:proofErr w:type="spellStart"/>
            <w:r>
              <w:rPr>
                <w:i/>
              </w:rPr>
              <w:t>Georgios</w:t>
            </w:r>
            <w:proofErr w:type="spellEnd"/>
            <w:r>
              <w:rPr>
                <w:i/>
              </w:rPr>
              <w:t xml:space="preserve"> </w:t>
            </w:r>
            <w:proofErr w:type="spellStart"/>
            <w:r>
              <w:rPr>
                <w:i/>
              </w:rPr>
              <w:t>Meleas</w:t>
            </w:r>
            <w:proofErr w:type="spellEnd"/>
          </w:p>
        </w:tc>
      </w:tr>
      <w:tr w:rsidRPr="002C62A6" w:rsidR="00074738" w:rsidTr="0042488D" w14:paraId="5000B742" w14:textId="77777777">
        <w:tc>
          <w:tcPr>
            <w:tcW w:w="1365" w:type="dxa"/>
          </w:tcPr>
          <w:p w:rsidRPr="002C62A6" w:rsidR="00074738" w:rsidP="0042488D" w:rsidRDefault="00074738" w14:paraId="6165B53D" w14:textId="77777777">
            <w:pPr>
              <w:rPr>
                <w:i/>
              </w:rPr>
            </w:pPr>
            <w:r>
              <w:rPr>
                <w:i/>
              </w:rPr>
              <w:t>P.</w:t>
            </w:r>
          </w:p>
        </w:tc>
        <w:tc>
          <w:tcPr>
            <w:tcW w:w="4326" w:type="dxa"/>
          </w:tcPr>
          <w:p w:rsidRPr="002C62A6" w:rsidR="00074738" w:rsidP="0042488D" w:rsidRDefault="00074738" w14:paraId="15E6BD81" w14:textId="77777777">
            <w:pPr>
              <w:rPr>
                <w:i/>
                <w:iCs/>
              </w:rPr>
            </w:pPr>
            <w:r>
              <w:rPr>
                <w:i/>
              </w:rPr>
              <w:t>+32 25469795</w:t>
            </w:r>
          </w:p>
        </w:tc>
      </w:tr>
      <w:tr w:rsidRPr="002C62A6" w:rsidR="00074738" w:rsidTr="0042488D" w14:paraId="33FE6A52" w14:textId="77777777">
        <w:tc>
          <w:tcPr>
            <w:tcW w:w="1365" w:type="dxa"/>
          </w:tcPr>
          <w:p w:rsidRPr="002C62A6" w:rsidR="00074738" w:rsidP="0042488D" w:rsidRDefault="00074738" w14:paraId="46833E0F" w14:textId="77777777">
            <w:pPr>
              <w:rPr>
                <w:i/>
              </w:rPr>
            </w:pPr>
            <w:r>
              <w:rPr>
                <w:i/>
              </w:rPr>
              <w:t>Sähköposti</w:t>
            </w:r>
          </w:p>
        </w:tc>
        <w:tc>
          <w:tcPr>
            <w:tcW w:w="4326" w:type="dxa"/>
          </w:tcPr>
          <w:p w:rsidRPr="001B4CA7" w:rsidR="00074738" w:rsidP="0042488D" w:rsidRDefault="00C63C8C" w14:paraId="33F0B28C" w14:textId="77777777">
            <w:pPr>
              <w:rPr>
                <w:i/>
                <w:iCs/>
              </w:rPr>
            </w:pPr>
            <w:hyperlink w:history="1" r:id="rId24">
              <w:r w:rsidR="00074738">
                <w:rPr>
                  <w:rStyle w:val="Hyperlink"/>
                </w:rPr>
                <w:t>Georgios.Meleas@eesc.europa.eu</w:t>
              </w:r>
            </w:hyperlink>
          </w:p>
        </w:tc>
      </w:tr>
    </w:tbl>
    <w:p w:rsidR="00BE4A01" w:rsidP="00074738" w:rsidRDefault="00BE4A01" w14:paraId="7D591001" w14:textId="77777777">
      <w:pPr>
        <w:widowControl w:val="0"/>
        <w:numPr>
          <w:ilvl w:val="0"/>
          <w:numId w:val="9"/>
        </w:numPr>
        <w:overflowPunct w:val="0"/>
        <w:autoSpaceDE w:val="0"/>
        <w:autoSpaceDN w:val="0"/>
        <w:adjustRightInd w:val="0"/>
        <w:spacing w:after="120"/>
        <w:ind w:left="283"/>
        <w:textAlignment w:val="baseline"/>
        <w:sectPr w:rsidR="00BE4A01" w:rsidSect="00902A1F">
          <w:headerReference w:type="even" r:id="rId25"/>
          <w:headerReference w:type="default" r:id="rId26"/>
          <w:footerReference w:type="even" r:id="rId27"/>
          <w:footerReference w:type="default" r:id="rId28"/>
          <w:headerReference w:type="first" r:id="rId29"/>
          <w:footerReference w:type="first" r:id="rId30"/>
          <w:pgSz w:w="11907" w:h="16839"/>
          <w:pgMar w:top="1418" w:right="1134" w:bottom="1418" w:left="1418" w:header="709" w:footer="709" w:gutter="0"/>
          <w:cols w:space="708"/>
          <w:docGrid w:linePitch="360"/>
        </w:sectPr>
      </w:pPr>
    </w:p>
    <w:p w:rsidR="00074738" w:rsidP="00074738" w:rsidRDefault="00C63C8C" w14:paraId="7980D7A3" w14:textId="0DD69D31">
      <w:pPr>
        <w:widowControl w:val="0"/>
        <w:numPr>
          <w:ilvl w:val="0"/>
          <w:numId w:val="9"/>
        </w:numPr>
        <w:overflowPunct w:val="0"/>
        <w:autoSpaceDE w:val="0"/>
        <w:autoSpaceDN w:val="0"/>
        <w:adjustRightInd w:val="0"/>
        <w:spacing w:after="120"/>
        <w:ind w:left="283"/>
        <w:textAlignment w:val="baseline"/>
        <w:rPr>
          <w:b/>
          <w:i/>
          <w:iCs/>
          <w:sz w:val="28"/>
          <w:szCs w:val="28"/>
        </w:rPr>
      </w:pPr>
      <w:hyperlink w:history="1" r:id="rId31">
        <w:proofErr w:type="spellStart"/>
        <w:r w:rsidR="00074738">
          <w:rPr>
            <w:rStyle w:val="Hyperlink"/>
            <w:b/>
            <w:i/>
            <w:sz w:val="28"/>
          </w:rPr>
          <w:t>Arvopaperistamista</w:t>
        </w:r>
        <w:proofErr w:type="spellEnd"/>
        <w:r w:rsidR="00074738">
          <w:rPr>
            <w:rStyle w:val="Hyperlink"/>
            <w:b/>
            <w:i/>
            <w:sz w:val="28"/>
          </w:rPr>
          <w:t xml:space="preserve"> EU:ssa koskevan oikeudellisen kehyksen tarkistaminen</w:t>
        </w:r>
      </w:hyperlink>
      <w:r w:rsidR="00074738">
        <w:rPr>
          <w:b/>
          <w:i/>
          <w:sz w:val="28"/>
        </w:rPr>
        <w:t xml:space="preserve"> </w:t>
      </w:r>
    </w:p>
    <w:p w:rsidRPr="008151EF" w:rsidR="00074738" w:rsidP="00074738" w:rsidRDefault="00074738" w14:paraId="5EDD892A" w14:textId="77777777">
      <w:pPr>
        <w:widowControl w:val="0"/>
        <w:ind w:left="284"/>
        <w:rPr>
          <w:b/>
          <w:i/>
          <w:iCs/>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A6689B" w:rsidR="00074738" w:rsidTr="0042488D" w14:paraId="29190F26" w14:textId="77777777">
        <w:tc>
          <w:tcPr>
            <w:tcW w:w="1701" w:type="dxa"/>
          </w:tcPr>
          <w:p w:rsidR="00074738" w:rsidP="0042488D" w:rsidRDefault="00074738" w14:paraId="73E40152" w14:textId="77777777">
            <w:pPr>
              <w:tabs>
                <w:tab w:val="center" w:pos="284"/>
              </w:tabs>
              <w:ind w:left="266" w:hanging="266"/>
              <w:rPr>
                <w:b/>
              </w:rPr>
            </w:pPr>
            <w:r>
              <w:rPr>
                <w:b/>
              </w:rPr>
              <w:t>Esittelijä</w:t>
            </w:r>
          </w:p>
          <w:p w:rsidRPr="00A6689B" w:rsidR="00074738" w:rsidP="0042488D" w:rsidRDefault="00074738" w14:paraId="0D13AAAB" w14:textId="77777777">
            <w:pPr>
              <w:tabs>
                <w:tab w:val="center" w:pos="284"/>
              </w:tabs>
              <w:ind w:left="266" w:hanging="266"/>
              <w:rPr>
                <w:b/>
              </w:rPr>
            </w:pPr>
            <w:r>
              <w:rPr>
                <w:b/>
              </w:rPr>
              <w:t>Yhteisesittelijä</w:t>
            </w:r>
          </w:p>
        </w:tc>
        <w:tc>
          <w:tcPr>
            <w:tcW w:w="6804" w:type="dxa"/>
            <w:gridSpan w:val="2"/>
          </w:tcPr>
          <w:p w:rsidRPr="00A37E38" w:rsidR="00074738" w:rsidP="0042488D" w:rsidRDefault="00074738" w14:paraId="4687099C" w14:textId="77777777">
            <w:pPr>
              <w:tabs>
                <w:tab w:val="center" w:pos="284"/>
              </w:tabs>
              <w:ind w:left="266" w:hanging="266"/>
              <w:rPr>
                <w:bCs/>
              </w:rPr>
            </w:pPr>
            <w:r>
              <w:t xml:space="preserve">Philip von </w:t>
            </w:r>
            <w:proofErr w:type="spellStart"/>
            <w:r>
              <w:t>Brockdorff</w:t>
            </w:r>
            <w:proofErr w:type="spellEnd"/>
            <w:r>
              <w:t xml:space="preserve"> (työntekijät – MT)</w:t>
            </w:r>
          </w:p>
          <w:p w:rsidRPr="00A37E38" w:rsidR="00074738" w:rsidP="0042488D" w:rsidRDefault="00074738" w14:paraId="458874F2" w14:textId="77777777">
            <w:pPr>
              <w:tabs>
                <w:tab w:val="center" w:pos="284"/>
              </w:tabs>
              <w:ind w:left="266" w:hanging="266"/>
              <w:rPr>
                <w:bCs/>
              </w:rPr>
            </w:pPr>
            <w:r>
              <w:t xml:space="preserve">Antonio </w:t>
            </w:r>
            <w:proofErr w:type="spellStart"/>
            <w:r>
              <w:t>Garcìa</w:t>
            </w:r>
            <w:proofErr w:type="spellEnd"/>
            <w:r>
              <w:t xml:space="preserve"> del </w:t>
            </w:r>
            <w:proofErr w:type="spellStart"/>
            <w:r>
              <w:t>Riego</w:t>
            </w:r>
            <w:proofErr w:type="spellEnd"/>
            <w:r>
              <w:t xml:space="preserve"> (työnantajat – ES)</w:t>
            </w:r>
          </w:p>
          <w:p w:rsidRPr="00A37E38" w:rsidR="00074738" w:rsidP="0042488D" w:rsidRDefault="00074738" w14:paraId="1EFB4880" w14:textId="77777777">
            <w:pPr>
              <w:tabs>
                <w:tab w:val="center" w:pos="284"/>
              </w:tabs>
              <w:ind w:left="266" w:hanging="266"/>
              <w:rPr>
                <w:bCs/>
                <w:lang w:val="en-US"/>
              </w:rPr>
            </w:pPr>
          </w:p>
        </w:tc>
      </w:tr>
      <w:tr w:rsidRPr="00A6689B" w:rsidR="00074738" w:rsidTr="0042488D" w14:paraId="235B7E9F" w14:textId="77777777">
        <w:trPr>
          <w:gridAfter w:val="1"/>
          <w:wAfter w:w="1417" w:type="dxa"/>
        </w:trPr>
        <w:tc>
          <w:tcPr>
            <w:tcW w:w="7088" w:type="dxa"/>
            <w:gridSpan w:val="2"/>
          </w:tcPr>
          <w:p w:rsidRPr="00A6689B" w:rsidR="00074738" w:rsidP="0042488D" w:rsidRDefault="00074738" w14:paraId="4166E492" w14:textId="77777777">
            <w:pPr>
              <w:tabs>
                <w:tab w:val="center" w:pos="284"/>
              </w:tabs>
              <w:spacing w:line="160" w:lineRule="exact"/>
              <w:ind w:left="266" w:hanging="266"/>
              <w:rPr>
                <w:lang w:val="en-US"/>
              </w:rPr>
            </w:pPr>
          </w:p>
        </w:tc>
      </w:tr>
      <w:tr w:rsidRPr="00A6689B" w:rsidR="00074738" w:rsidTr="0042488D" w14:paraId="1AD9EC52" w14:textId="77777777">
        <w:trPr>
          <w:gridAfter w:val="1"/>
          <w:wAfter w:w="1417" w:type="dxa"/>
        </w:trPr>
        <w:tc>
          <w:tcPr>
            <w:tcW w:w="1701" w:type="dxa"/>
          </w:tcPr>
          <w:p w:rsidRPr="00A6689B" w:rsidR="00074738" w:rsidP="0042488D" w:rsidRDefault="00074738" w14:paraId="08155B7A" w14:textId="77777777">
            <w:pPr>
              <w:tabs>
                <w:tab w:val="center" w:pos="284"/>
              </w:tabs>
              <w:ind w:left="266" w:hanging="266"/>
              <w:rPr>
                <w:b/>
              </w:rPr>
            </w:pPr>
            <w:r>
              <w:rPr>
                <w:b/>
              </w:rPr>
              <w:t>Viiteasiakirja</w:t>
            </w:r>
          </w:p>
        </w:tc>
        <w:tc>
          <w:tcPr>
            <w:tcW w:w="5387" w:type="dxa"/>
          </w:tcPr>
          <w:p w:rsidR="00074738" w:rsidP="0042488D" w:rsidRDefault="00074738" w14:paraId="36631643" w14:textId="77777777">
            <w:pPr>
              <w:tabs>
                <w:tab w:val="center" w:pos="284"/>
              </w:tabs>
              <w:ind w:left="266" w:hanging="266"/>
            </w:pPr>
            <w:r>
              <w:t>oma-aloitteinen lausunto</w:t>
            </w:r>
          </w:p>
          <w:p w:rsidRPr="00C232CB" w:rsidR="00074738" w:rsidP="0042488D" w:rsidRDefault="00074738" w14:paraId="1259D1FF" w14:textId="77777777">
            <w:pPr>
              <w:tabs>
                <w:tab w:val="center" w:pos="284"/>
              </w:tabs>
              <w:ind w:left="266" w:hanging="266"/>
            </w:pPr>
            <w:r>
              <w:t>EESC-2024-00531-00-00-AC-TRA</w:t>
            </w:r>
          </w:p>
        </w:tc>
      </w:tr>
    </w:tbl>
    <w:p w:rsidR="00074738" w:rsidP="00074738" w:rsidRDefault="00074738" w14:paraId="354BC09C" w14:textId="77777777">
      <w:pPr>
        <w:keepNext/>
        <w:keepLines/>
        <w:tabs>
          <w:tab w:val="center" w:pos="284"/>
        </w:tabs>
        <w:spacing w:before="120"/>
        <w:ind w:left="266" w:hanging="266"/>
        <w:rPr>
          <w:b/>
        </w:rPr>
      </w:pPr>
      <w:r>
        <w:rPr>
          <w:b/>
        </w:rPr>
        <w:t>Keskeiset kohdat</w:t>
      </w:r>
    </w:p>
    <w:p w:rsidRPr="00A6689B" w:rsidR="00074738" w:rsidP="00074738" w:rsidRDefault="00074738" w14:paraId="3628EAB4" w14:textId="77777777">
      <w:pPr>
        <w:keepNext/>
        <w:keepLines/>
        <w:tabs>
          <w:tab w:val="center" w:pos="284"/>
        </w:tabs>
        <w:spacing w:before="120"/>
        <w:ind w:left="266" w:hanging="266"/>
        <w:rPr>
          <w:b/>
        </w:rPr>
      </w:pPr>
    </w:p>
    <w:p w:rsidR="00074738" w:rsidP="00074738" w:rsidRDefault="00074738" w14:paraId="5AC0C08C" w14:textId="77777777">
      <w:pPr>
        <w:rPr>
          <w:bCs/>
          <w:iCs/>
        </w:rPr>
      </w:pPr>
      <w:r>
        <w:t>ETSK</w:t>
      </w:r>
    </w:p>
    <w:p w:rsidR="00074738" w:rsidP="00074738" w:rsidRDefault="00074738" w14:paraId="2FA7ADCD" w14:textId="77777777">
      <w:pPr>
        <w:rPr>
          <w:bCs/>
          <w:iCs/>
        </w:rPr>
      </w:pPr>
    </w:p>
    <w:p w:rsidRPr="00685ECA" w:rsidR="00074738" w:rsidP="00074738" w:rsidRDefault="00074738" w14:paraId="4EC35D60" w14:textId="77777777">
      <w:pPr>
        <w:pStyle w:val="ListParagraph"/>
        <w:numPr>
          <w:ilvl w:val="0"/>
          <w:numId w:val="17"/>
        </w:numPr>
        <w:spacing w:after="200" w:line="276" w:lineRule="auto"/>
        <w:rPr>
          <w:bCs/>
          <w:iCs/>
        </w:rPr>
      </w:pPr>
      <w:r>
        <w:t xml:space="preserve">katsoo, että </w:t>
      </w:r>
      <w:proofErr w:type="spellStart"/>
      <w:r>
        <w:t>arvopaperistamismarkkinoiden</w:t>
      </w:r>
      <w:proofErr w:type="spellEnd"/>
      <w:r>
        <w:t xml:space="preserve"> toiminnan parantaminen voi laajentaa investoinnin ja luotonsaannin mahdollisuuksia ja auttaa edistämään pääomamarkkinaunionia.</w:t>
      </w:r>
    </w:p>
    <w:p w:rsidRPr="00685ECA" w:rsidR="00074738" w:rsidP="00074738" w:rsidRDefault="00074738" w14:paraId="37E205CA" w14:textId="77777777">
      <w:pPr>
        <w:pStyle w:val="ListParagraph"/>
        <w:numPr>
          <w:ilvl w:val="0"/>
          <w:numId w:val="17"/>
        </w:numPr>
        <w:spacing w:after="200" w:line="276" w:lineRule="auto"/>
        <w:rPr>
          <w:bCs/>
          <w:iCs/>
        </w:rPr>
      </w:pPr>
      <w:r>
        <w:t xml:space="preserve">pitää aiheellisena arvioida </w:t>
      </w:r>
      <w:proofErr w:type="spellStart"/>
      <w:r>
        <w:t>arvopaperistamista</w:t>
      </w:r>
      <w:proofErr w:type="spellEnd"/>
      <w:r>
        <w:t xml:space="preserve"> koskevan oikeudellisen kehyksen toimivuutta, muun muassa markkinainfrastruktuuria, vaikuttavuutta ja avoimuutta sekä harkita mukautusten tekemistä raportointi- ja huolellisuusvaatimuksiin.</w:t>
      </w:r>
    </w:p>
    <w:p w:rsidRPr="00685ECA" w:rsidR="00074738" w:rsidP="00074738" w:rsidRDefault="00074738" w14:paraId="7504EF05" w14:textId="77777777">
      <w:pPr>
        <w:pStyle w:val="ListParagraph"/>
        <w:numPr>
          <w:ilvl w:val="0"/>
          <w:numId w:val="17"/>
        </w:numPr>
        <w:spacing w:after="200" w:line="276" w:lineRule="auto"/>
        <w:rPr>
          <w:bCs/>
          <w:iCs/>
        </w:rPr>
      </w:pPr>
      <w:r>
        <w:t xml:space="preserve">suosittaa, että </w:t>
      </w:r>
      <w:proofErr w:type="spellStart"/>
      <w:r>
        <w:t>arvopaperistamista</w:t>
      </w:r>
      <w:proofErr w:type="spellEnd"/>
      <w:r>
        <w:t xml:space="preserve"> koskevan sääntelykehyksen täytäntöönpanon arvioinnin yhteydessä analysoidaan myös </w:t>
      </w:r>
      <w:proofErr w:type="spellStart"/>
      <w:r>
        <w:t>arvopaperistamisen</w:t>
      </w:r>
      <w:proofErr w:type="spellEnd"/>
      <w:r>
        <w:t xml:space="preserve"> vaikutuksia reaalitalouden rahoitukseen.</w:t>
      </w:r>
    </w:p>
    <w:p w:rsidRPr="00685ECA" w:rsidR="00074738" w:rsidP="00074738" w:rsidRDefault="00074738" w14:paraId="59528E72" w14:textId="77777777">
      <w:pPr>
        <w:pStyle w:val="ListParagraph"/>
        <w:numPr>
          <w:ilvl w:val="0"/>
          <w:numId w:val="17"/>
        </w:numPr>
        <w:spacing w:after="200" w:line="276" w:lineRule="auto"/>
        <w:rPr>
          <w:bCs/>
          <w:iCs/>
        </w:rPr>
      </w:pPr>
      <w:r>
        <w:t xml:space="preserve">ehdottaa, että </w:t>
      </w:r>
      <w:proofErr w:type="spellStart"/>
      <w:r>
        <w:t>arvopaperistamisen</w:t>
      </w:r>
      <w:proofErr w:type="spellEnd"/>
      <w:r>
        <w:t xml:space="preserve"> edistämiseen tähtäävissä toimissa keskityttäisiin tuottamaan lisärahoitusta reaalitaloudelle, erityisesti kotitalouksille ja yrityksille.</w:t>
      </w:r>
    </w:p>
    <w:p w:rsidRPr="00685ECA" w:rsidR="00074738" w:rsidP="00074738" w:rsidRDefault="00074738" w14:paraId="4F2FA087" w14:textId="77777777">
      <w:pPr>
        <w:pStyle w:val="ListParagraph"/>
        <w:numPr>
          <w:ilvl w:val="0"/>
          <w:numId w:val="17"/>
        </w:numPr>
        <w:spacing w:after="200" w:line="276" w:lineRule="auto"/>
        <w:rPr>
          <w:bCs/>
          <w:iCs/>
        </w:rPr>
      </w:pPr>
      <w:r>
        <w:t xml:space="preserve">katsoo, että </w:t>
      </w:r>
      <w:proofErr w:type="spellStart"/>
      <w:r>
        <w:t>arvopaperistamisella</w:t>
      </w:r>
      <w:proofErr w:type="spellEnd"/>
      <w:r>
        <w:t xml:space="preserve"> olisi täydennettävä olemassa olevia pääomavälineitä, kuten katettuja joukkolainoja, pitäen kuitenkin mielessä, että </w:t>
      </w:r>
      <w:proofErr w:type="spellStart"/>
      <w:r>
        <w:t>arvopaperistaminen</w:t>
      </w:r>
      <w:proofErr w:type="spellEnd"/>
      <w:r>
        <w:t xml:space="preserve"> on ainoa väline, joka antaa pankeille mahdollisuuden vapauttaa pääomaa.</w:t>
      </w:r>
    </w:p>
    <w:p w:rsidRPr="00685ECA" w:rsidR="00074738" w:rsidP="00074738" w:rsidRDefault="00074738" w14:paraId="712E3135" w14:textId="77777777">
      <w:pPr>
        <w:pStyle w:val="ListParagraph"/>
        <w:numPr>
          <w:ilvl w:val="0"/>
          <w:numId w:val="17"/>
        </w:numPr>
        <w:spacing w:after="200" w:line="276" w:lineRule="auto"/>
        <w:rPr>
          <w:bCs/>
          <w:iCs/>
        </w:rPr>
      </w:pPr>
      <w:r>
        <w:t xml:space="preserve">toteaa, että kestävyyttä koskevien julkistamisvaatimusten laajentaminen tai ”vihreää </w:t>
      </w:r>
      <w:proofErr w:type="spellStart"/>
      <w:r>
        <w:t>arvopaperistamista</w:t>
      </w:r>
      <w:proofErr w:type="spellEnd"/>
      <w:r>
        <w:t>” varten tarkoitetun erityisen kehyksen käyttöönotto voisi tuoda lisäarvoa sijoittajille, jotka arvostaisivat sitä mahdollisuutena selvittää osuutensa ympäristöön, yhteiskuntaan ja hyvään hallintotapaan (ESG) liittyvistä investoinneista, arvioida ESG-riskejä ja käyttää tietoja vertailuvälineenä.</w:t>
      </w:r>
    </w:p>
    <w:p w:rsidRPr="00685ECA" w:rsidR="00074738" w:rsidP="00074738" w:rsidRDefault="00074738" w14:paraId="1422BA1D" w14:textId="77777777">
      <w:pPr>
        <w:pStyle w:val="ListParagraph"/>
        <w:numPr>
          <w:ilvl w:val="0"/>
          <w:numId w:val="17"/>
        </w:numPr>
        <w:spacing w:after="200" w:line="276" w:lineRule="auto"/>
        <w:rPr>
          <w:bCs/>
          <w:iCs/>
        </w:rPr>
      </w:pPr>
      <w:r>
        <w:t>ehdottaa määräaikojen lyhentämistä ja merkittävän riskinsiirron hyväksymistä koskevien vaatimusten standardoinnin ja yhdenmukaistamisen jatkamista.</w:t>
      </w:r>
    </w:p>
    <w:p w:rsidRPr="00BB1A82" w:rsidR="00074738" w:rsidP="00074738" w:rsidRDefault="00074738" w14:paraId="134AA7C1" w14:textId="77777777">
      <w:pPr>
        <w:pStyle w:val="ListParagraph"/>
        <w:numPr>
          <w:ilvl w:val="0"/>
          <w:numId w:val="17"/>
        </w:numPr>
        <w:spacing w:after="200" w:line="276" w:lineRule="auto"/>
        <w:rPr>
          <w:bCs/>
          <w:iCs/>
        </w:rPr>
      </w:pPr>
      <w:r>
        <w:t xml:space="preserve">katsoo, että edistyminen esimerkiksi sopimus- ja maksukyvyttömyyslainsäädännön ja verotuksen yhdenmukaistamisessa parantaisi arvopapereiden </w:t>
      </w:r>
      <w:proofErr w:type="spellStart"/>
      <w:r>
        <w:t>rajatylittävää</w:t>
      </w:r>
      <w:proofErr w:type="spellEnd"/>
      <w:r>
        <w:t xml:space="preserve"> yhdistämistä ja liikkeeseenlaskun toteutettavuutta.</w:t>
      </w:r>
    </w:p>
    <w:p w:rsidRPr="00685ECA" w:rsidR="00074738" w:rsidP="00074738" w:rsidRDefault="00074738" w14:paraId="321259F3" w14:textId="77777777">
      <w:pPr>
        <w:pStyle w:val="ListParagraph"/>
        <w:numPr>
          <w:ilvl w:val="0"/>
          <w:numId w:val="17"/>
        </w:numPr>
        <w:spacing w:after="200" w:line="276" w:lineRule="auto"/>
        <w:rPr>
          <w:bCs/>
          <w:iCs/>
        </w:rPr>
      </w:pPr>
      <w:r>
        <w:t>suhtautuu myönteisesti Euroopan komission toteuttamaan kuulemisprosessiin ja suosittelee, että EU tekee aktiivisesti yhteistyötä finanssimarkkinoiden vakauden valvontaryhmän kanssa sen käynnistämän kuulemisen yhteydessä.</w:t>
      </w:r>
    </w:p>
    <w:p w:rsidRPr="00071E6F" w:rsidR="00074738" w:rsidP="00074738" w:rsidRDefault="00074738" w14:paraId="05119A05" w14:textId="77777777">
      <w:pPr>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074738" w:rsidTr="0042488D" w14:paraId="72726B9E" w14:textId="77777777">
        <w:tc>
          <w:tcPr>
            <w:tcW w:w="1418" w:type="dxa"/>
          </w:tcPr>
          <w:p w:rsidRPr="00A6689B" w:rsidR="00074738" w:rsidP="0042488D" w:rsidRDefault="00074738" w14:paraId="0F4E6406" w14:textId="77777777">
            <w:pPr>
              <w:spacing w:line="240" w:lineRule="auto"/>
              <w:rPr>
                <w:i/>
              </w:rPr>
            </w:pPr>
            <w:r>
              <w:rPr>
                <w:b/>
                <w:i/>
              </w:rPr>
              <w:t>Yhteydenotot</w:t>
            </w:r>
          </w:p>
        </w:tc>
        <w:tc>
          <w:tcPr>
            <w:tcW w:w="5670" w:type="dxa"/>
          </w:tcPr>
          <w:p w:rsidRPr="00165B52" w:rsidR="00074738" w:rsidP="0042488D" w:rsidRDefault="00074738" w14:paraId="4D5FE21E" w14:textId="77777777">
            <w:pPr>
              <w:spacing w:line="240" w:lineRule="auto"/>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Pr="00A6689B" w:rsidR="00074738" w:rsidTr="0042488D" w14:paraId="30853DE7" w14:textId="77777777">
        <w:tc>
          <w:tcPr>
            <w:tcW w:w="1418" w:type="dxa"/>
          </w:tcPr>
          <w:p w:rsidRPr="00A6689B" w:rsidR="00074738" w:rsidP="0042488D" w:rsidRDefault="00074738" w14:paraId="2A977A9F" w14:textId="77777777">
            <w:pPr>
              <w:spacing w:line="240" w:lineRule="auto"/>
              <w:rPr>
                <w:i/>
              </w:rPr>
            </w:pPr>
            <w:r>
              <w:rPr>
                <w:i/>
              </w:rPr>
              <w:t>P.</w:t>
            </w:r>
          </w:p>
        </w:tc>
        <w:tc>
          <w:tcPr>
            <w:tcW w:w="5670" w:type="dxa"/>
          </w:tcPr>
          <w:p w:rsidRPr="00A6689B" w:rsidR="00074738" w:rsidP="0042488D" w:rsidRDefault="00074738" w14:paraId="1047E0BC" w14:textId="77777777">
            <w:pPr>
              <w:spacing w:line="240" w:lineRule="auto"/>
              <w:rPr>
                <w:i/>
              </w:rPr>
            </w:pPr>
            <w:r>
              <w:rPr>
                <w:i/>
              </w:rPr>
              <w:t>+32 25469240</w:t>
            </w:r>
          </w:p>
        </w:tc>
      </w:tr>
      <w:tr w:rsidRPr="00A6689B" w:rsidR="00074738" w:rsidTr="0042488D" w14:paraId="68585566" w14:textId="77777777">
        <w:tc>
          <w:tcPr>
            <w:tcW w:w="1418" w:type="dxa"/>
          </w:tcPr>
          <w:p w:rsidRPr="00A6689B" w:rsidR="00074738" w:rsidP="0042488D" w:rsidRDefault="00074738" w14:paraId="02A483D7" w14:textId="77777777">
            <w:pPr>
              <w:spacing w:line="240" w:lineRule="auto"/>
              <w:rPr>
                <w:i/>
              </w:rPr>
            </w:pPr>
            <w:r>
              <w:rPr>
                <w:i/>
              </w:rPr>
              <w:t>Sähköposti</w:t>
            </w:r>
          </w:p>
        </w:tc>
        <w:tc>
          <w:tcPr>
            <w:tcW w:w="5670" w:type="dxa"/>
          </w:tcPr>
          <w:p w:rsidRPr="00A6689B" w:rsidR="00074738" w:rsidP="0042488D" w:rsidRDefault="00C63C8C" w14:paraId="7C627611" w14:textId="77777777">
            <w:pPr>
              <w:spacing w:line="240" w:lineRule="auto"/>
              <w:rPr>
                <w:i/>
              </w:rPr>
            </w:pPr>
            <w:hyperlink w:history="1" r:id="rId32">
              <w:r w:rsidR="00074738">
                <w:rPr>
                  <w:rStyle w:val="Hyperlink"/>
                </w:rPr>
                <w:t>Sergio.LorencioMatallana@eesc.europa.eu</w:t>
              </w:r>
            </w:hyperlink>
          </w:p>
        </w:tc>
      </w:tr>
    </w:tbl>
    <w:p w:rsidRPr="00482C25" w:rsidR="009C5B03" w:rsidRDefault="004D7AC0" w14:paraId="16078824" w14:textId="21FB3874">
      <w:pPr>
        <w:spacing w:after="160" w:line="259" w:lineRule="auto"/>
        <w:jc w:val="left"/>
      </w:pPr>
      <w:r>
        <w:br w:type="page"/>
      </w:r>
    </w:p>
    <w:p w:rsidRPr="006A2784" w:rsidR="00074738" w:rsidP="00074738" w:rsidRDefault="00C63C8C" w14:paraId="0087C546" w14:textId="77777777">
      <w:pPr>
        <w:widowControl w:val="0"/>
        <w:numPr>
          <w:ilvl w:val="0"/>
          <w:numId w:val="9"/>
        </w:numPr>
        <w:overflowPunct w:val="0"/>
        <w:autoSpaceDE w:val="0"/>
        <w:autoSpaceDN w:val="0"/>
        <w:adjustRightInd w:val="0"/>
        <w:spacing w:after="120"/>
        <w:ind w:left="266" w:hanging="266"/>
        <w:textAlignment w:val="baseline"/>
        <w:rPr>
          <w:b/>
          <w:i/>
          <w:iCs/>
          <w:sz w:val="28"/>
          <w:szCs w:val="28"/>
        </w:rPr>
      </w:pPr>
      <w:hyperlink w:history="1" r:id="rId33">
        <w:r w:rsidR="00074738">
          <w:rPr>
            <w:b/>
            <w:i/>
            <w:color w:val="0000FF"/>
            <w:sz w:val="28"/>
            <w:u w:val="single"/>
          </w:rPr>
          <w:t>EU:n alueellisen toimintasuunnitelman 2030 tarkistaminen – Tehdään toiminnasta yhdennetympää ja tiivistetään yhteyksiä kansalaisiin sekä koheesiopolitiikkaan</w:t>
        </w:r>
      </w:hyperlink>
    </w:p>
    <w:p w:rsidRPr="006A2784" w:rsidR="00074738" w:rsidP="00074738" w:rsidRDefault="00074738" w14:paraId="73A7C08E" w14:textId="77777777">
      <w:pPr>
        <w:widowControl w:val="0"/>
        <w:spacing w:after="120"/>
        <w:ind w:left="266"/>
        <w:rPr>
          <w:bCs/>
        </w:rPr>
      </w:pPr>
    </w:p>
    <w:tbl>
      <w:tblPr>
        <w:tblStyle w:val="TableGrid"/>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gridCol w:w="567"/>
      </w:tblGrid>
      <w:tr w:rsidRPr="00A6689B" w:rsidR="00074738" w:rsidTr="0042488D" w14:paraId="20864D91" w14:textId="77777777">
        <w:trPr>
          <w:gridAfter w:val="1"/>
          <w:wAfter w:w="567" w:type="dxa"/>
        </w:trPr>
        <w:tc>
          <w:tcPr>
            <w:tcW w:w="1701" w:type="dxa"/>
          </w:tcPr>
          <w:p w:rsidRPr="00A6689B" w:rsidR="00074738" w:rsidP="0042488D" w:rsidRDefault="00074738" w14:paraId="0592F549" w14:textId="77777777">
            <w:pPr>
              <w:tabs>
                <w:tab w:val="center" w:pos="284"/>
              </w:tabs>
              <w:ind w:left="266" w:hanging="266"/>
              <w:rPr>
                <w:b/>
              </w:rPr>
            </w:pPr>
            <w:r>
              <w:rPr>
                <w:b/>
              </w:rPr>
              <w:t>Esittelijä</w:t>
            </w:r>
          </w:p>
        </w:tc>
        <w:tc>
          <w:tcPr>
            <w:tcW w:w="6804" w:type="dxa"/>
          </w:tcPr>
          <w:p w:rsidRPr="00C232CB" w:rsidR="00074738" w:rsidP="0042488D" w:rsidRDefault="00074738" w14:paraId="71D8AD89" w14:textId="77777777">
            <w:pPr>
              <w:tabs>
                <w:tab w:val="center" w:pos="284"/>
              </w:tabs>
              <w:ind w:left="266" w:hanging="266"/>
              <w:rPr>
                <w:bCs/>
              </w:rPr>
            </w:pPr>
            <w:proofErr w:type="spellStart"/>
            <w:r>
              <w:t>Stefano</w:t>
            </w:r>
            <w:proofErr w:type="spellEnd"/>
            <w:r>
              <w:t xml:space="preserve"> </w:t>
            </w:r>
            <w:proofErr w:type="spellStart"/>
            <w:r>
              <w:t>Palmieri</w:t>
            </w:r>
            <w:proofErr w:type="spellEnd"/>
            <w:r>
              <w:t xml:space="preserve"> (työntekijät – IT)</w:t>
            </w:r>
          </w:p>
        </w:tc>
      </w:tr>
      <w:tr w:rsidRPr="00A6689B" w:rsidR="00074738" w:rsidTr="0042488D" w14:paraId="3A7863B2" w14:textId="77777777">
        <w:tc>
          <w:tcPr>
            <w:tcW w:w="9072" w:type="dxa"/>
            <w:gridSpan w:val="3"/>
          </w:tcPr>
          <w:p w:rsidRPr="00A6689B" w:rsidR="00074738" w:rsidP="0042488D" w:rsidRDefault="00074738" w14:paraId="5B5A839F" w14:textId="77777777">
            <w:pPr>
              <w:tabs>
                <w:tab w:val="center" w:pos="284"/>
              </w:tabs>
              <w:spacing w:line="160" w:lineRule="exact"/>
              <w:ind w:left="266" w:hanging="266"/>
              <w:rPr>
                <w:lang w:val="en-US"/>
              </w:rPr>
            </w:pPr>
          </w:p>
        </w:tc>
      </w:tr>
      <w:tr w:rsidRPr="00A6689B" w:rsidR="00074738" w:rsidTr="0042488D" w14:paraId="0BC2E6C2" w14:textId="77777777">
        <w:tc>
          <w:tcPr>
            <w:tcW w:w="1701" w:type="dxa"/>
          </w:tcPr>
          <w:p w:rsidRPr="00A6689B" w:rsidR="00074738" w:rsidP="0042488D" w:rsidRDefault="00074738" w14:paraId="379583F3" w14:textId="77777777">
            <w:pPr>
              <w:tabs>
                <w:tab w:val="center" w:pos="284"/>
              </w:tabs>
              <w:ind w:left="266" w:hanging="266"/>
              <w:rPr>
                <w:b/>
              </w:rPr>
            </w:pPr>
            <w:r>
              <w:rPr>
                <w:b/>
              </w:rPr>
              <w:t>Viiteasiakirjat</w:t>
            </w:r>
          </w:p>
        </w:tc>
        <w:tc>
          <w:tcPr>
            <w:tcW w:w="7371" w:type="dxa"/>
            <w:gridSpan w:val="2"/>
          </w:tcPr>
          <w:p w:rsidRPr="00C232CB" w:rsidR="00074738" w:rsidP="0042488D" w:rsidRDefault="00074738" w14:paraId="7DF3C469" w14:textId="77777777">
            <w:pPr>
              <w:tabs>
                <w:tab w:val="center" w:pos="284"/>
              </w:tabs>
              <w:ind w:left="266" w:hanging="266"/>
            </w:pPr>
            <w:r>
              <w:t>oma-aloitteinen lausunto – EESC-2024-01368-00-00-AC</w:t>
            </w:r>
          </w:p>
        </w:tc>
      </w:tr>
    </w:tbl>
    <w:p w:rsidRPr="00A6689B" w:rsidR="00074738" w:rsidP="00074738" w:rsidRDefault="00074738" w14:paraId="4F1B68A2" w14:textId="77777777">
      <w:pPr>
        <w:keepNext/>
        <w:keepLines/>
        <w:tabs>
          <w:tab w:val="center" w:pos="284"/>
        </w:tabs>
        <w:spacing w:before="120"/>
        <w:ind w:left="266" w:hanging="266"/>
        <w:rPr>
          <w:b/>
        </w:rPr>
      </w:pPr>
      <w:r>
        <w:rPr>
          <w:b/>
        </w:rPr>
        <w:t>Keskeiset kohdat</w:t>
      </w:r>
    </w:p>
    <w:p w:rsidR="00074738" w:rsidP="00074738" w:rsidRDefault="00074738" w14:paraId="6989E59E" w14:textId="77777777">
      <w:pPr>
        <w:rPr>
          <w:bCs/>
          <w:iCs/>
        </w:rPr>
      </w:pPr>
    </w:p>
    <w:p w:rsidR="00074738" w:rsidP="00074738" w:rsidRDefault="00074738" w14:paraId="6A3AC546" w14:textId="77777777">
      <w:pPr>
        <w:rPr>
          <w:bCs/>
          <w:iCs/>
        </w:rPr>
      </w:pPr>
      <w:r>
        <w:t>ETSK</w:t>
      </w:r>
    </w:p>
    <w:p w:rsidRPr="00A824B2" w:rsidR="00074738" w:rsidP="00074738" w:rsidRDefault="00074738" w14:paraId="6BAEF754" w14:textId="77777777">
      <w:pPr>
        <w:pStyle w:val="ListParagraph"/>
        <w:numPr>
          <w:ilvl w:val="0"/>
          <w:numId w:val="7"/>
        </w:numPr>
        <w:spacing w:after="200"/>
        <w:contextualSpacing w:val="0"/>
        <w:rPr>
          <w:szCs w:val="20"/>
        </w:rPr>
      </w:pPr>
      <w:r>
        <w:t xml:space="preserve">katsoo, että alueellisella toimintasuunnitelmalla 2030 (’toimintasuunnitelma’) tulee yhtäältä edistää sisämarkkinoiden viidettä vapautta eli – Enrico </w:t>
      </w:r>
      <w:proofErr w:type="spellStart"/>
      <w:r>
        <w:t>Lettan</w:t>
      </w:r>
      <w:proofErr w:type="spellEnd"/>
      <w:r>
        <w:t xml:space="preserve"> raportin mukaisesti – vapautta jäädä asumaan itse valitsemaansa paikkaan. Näin voidaan varmistaa mahdollisimman tiivis taloudellinen, sosiaalinen ja alueellinen yhteenkuuluvuus. Toisaalta sillä tulee – Mario </w:t>
      </w:r>
      <w:proofErr w:type="spellStart"/>
      <w:r>
        <w:t>Draghin</w:t>
      </w:r>
      <w:proofErr w:type="spellEnd"/>
      <w:r>
        <w:t xml:space="preserve"> raportin mukaisesti – taata kaikille alueille edellytykset hyödyntää paikalliset kehitysmahdollisuudet toteuttamalla toimia, joilla voidaan turvata alueiden kilpailukyky ja vahvistaa sitä.</w:t>
      </w:r>
    </w:p>
    <w:p w:rsidRPr="00A824B2" w:rsidR="00074738" w:rsidP="00074738" w:rsidRDefault="00074738" w14:paraId="325336BF" w14:textId="77777777">
      <w:pPr>
        <w:pStyle w:val="ListParagraph"/>
        <w:numPr>
          <w:ilvl w:val="0"/>
          <w:numId w:val="7"/>
        </w:numPr>
        <w:spacing w:after="200"/>
        <w:contextualSpacing w:val="0"/>
        <w:rPr>
          <w:szCs w:val="20"/>
        </w:rPr>
      </w:pPr>
      <w:r>
        <w:t>korostaa, että toimintasuunnitelma – jossa painotetaan oikeudenmukaisempaa ja vihreämpää Eurooppaa – on linjassa EU:n pitkän aikavälin tavoitteiden kanssa ja tarjoaa vankan perustan yhdennetylle aluesuunnittelulle.</w:t>
      </w:r>
    </w:p>
    <w:p w:rsidRPr="00A824B2" w:rsidR="00074738" w:rsidP="00074738" w:rsidRDefault="00074738" w14:paraId="3D680026" w14:textId="77777777">
      <w:pPr>
        <w:pStyle w:val="ListParagraph"/>
        <w:numPr>
          <w:ilvl w:val="0"/>
          <w:numId w:val="7"/>
        </w:numPr>
        <w:spacing w:after="200"/>
        <w:contextualSpacing w:val="0"/>
        <w:rPr>
          <w:szCs w:val="20"/>
        </w:rPr>
      </w:pPr>
      <w:r>
        <w:t>toteaa, että EU:ssa on kyllä toteutettu toimintasuunnitelmaan liittyviä pilotointi- ja täytäntöönpanotoimia, mutta paikallisella ja alueellisella tasolla ei ole vielä otettu irti kaikkea hyötyä, jota toimintasuunnitelmasta voidaan saada koheesion ja oikeudenmukaisen kehityksen edistämiseksi.</w:t>
      </w:r>
    </w:p>
    <w:p w:rsidRPr="00A824B2" w:rsidR="00074738" w:rsidP="00074738" w:rsidRDefault="00074738" w14:paraId="59DA8593" w14:textId="77777777">
      <w:pPr>
        <w:pStyle w:val="ListParagraph"/>
        <w:numPr>
          <w:ilvl w:val="0"/>
          <w:numId w:val="7"/>
        </w:numPr>
        <w:spacing w:after="200"/>
        <w:contextualSpacing w:val="0"/>
        <w:rPr>
          <w:szCs w:val="20"/>
        </w:rPr>
      </w:pPr>
      <w:r>
        <w:t>muistuttaa, että toimintasuunnitelman ja koheesiopolitiikan keskinäiseen yhteyteen on tärkeää kiinnittää huomiota. Toimintasuunnitelma on strateginen alueita tukeva väline, jossa määritellään painopisteet alueiden haasteisiin vastaamiseksi. Koheesiopolitiikalla taas varmistetaan toimien täytäntöönpano.</w:t>
      </w:r>
    </w:p>
    <w:p w:rsidRPr="00A824B2" w:rsidR="00074738" w:rsidP="00074738" w:rsidRDefault="00074738" w14:paraId="2F433517" w14:textId="77777777">
      <w:pPr>
        <w:pStyle w:val="ListParagraph"/>
        <w:numPr>
          <w:ilvl w:val="0"/>
          <w:numId w:val="7"/>
        </w:numPr>
        <w:spacing w:after="200"/>
        <w:contextualSpacing w:val="0"/>
        <w:rPr>
          <w:szCs w:val="20"/>
        </w:rPr>
      </w:pPr>
      <w:r>
        <w:t>pitää tarpeellisena informoida kansalaisyhteiskuntaa yhä tehokkaammin ja tarjota sille yhä enemmän mahdollisuuksia osallistua toimintasuunnitelmaan liittyvien toimien suunnitteluun ja täytäntöönpanoon, sillä vaarana on, etteivät käynnistettävät aloitteet ja hankkeet vastaa täysin EU:n politiikkojen ja strategioiden lopullisten edunsaajien eli yksittäisten ihmisten ja talous- ja yhteiskuntaelämän osapuolten tarpeita.</w:t>
      </w:r>
    </w:p>
    <w:p w:rsidRPr="00A824B2" w:rsidR="00074738" w:rsidP="00074738" w:rsidRDefault="00074738" w14:paraId="40588148" w14:textId="77777777">
      <w:pPr>
        <w:pStyle w:val="ListParagraph"/>
        <w:numPr>
          <w:ilvl w:val="0"/>
          <w:numId w:val="7"/>
        </w:numPr>
        <w:spacing w:after="200"/>
        <w:contextualSpacing w:val="0"/>
        <w:rPr>
          <w:szCs w:val="20"/>
        </w:rPr>
      </w:pPr>
      <w:r>
        <w:t>muistuttaa EU:ssa meneillään olevista kriiseistä ja systeemisistä muutoksista sekä siitä, että (sosiaalisia, taloudellisia, ympäristöön liittyviä jne.) häiriöitä ja riskejä esiintyy niiden johdosta yhä enemmän.</w:t>
      </w:r>
    </w:p>
    <w:p w:rsidRPr="00A824B2" w:rsidR="00074738" w:rsidP="00074738" w:rsidRDefault="00074738" w14:paraId="1E647D67" w14:textId="77777777">
      <w:pPr>
        <w:pStyle w:val="ListParagraph"/>
        <w:numPr>
          <w:ilvl w:val="0"/>
          <w:numId w:val="7"/>
        </w:numPr>
        <w:spacing w:after="200"/>
        <w:contextualSpacing w:val="0"/>
        <w:rPr>
          <w:szCs w:val="20"/>
        </w:rPr>
      </w:pPr>
      <w:r>
        <w:t>suhtautuu myönteisesti toimintasuunnitelman kehittämiseen ja testaamiseen pilottitoimien avulla mutta korostaa, että yhdennetyn (sosiaalisen, taloudellisen ja ympäristöön liittyvän) aluekehityksen prosesseja voitaisiin ottaa käyttöön vielä paljon laajemminkin.</w:t>
      </w:r>
    </w:p>
    <w:p w:rsidR="00074738" w:rsidP="00074738" w:rsidRDefault="00074738" w14:paraId="102B8E85" w14:textId="77777777">
      <w:pPr>
        <w:pStyle w:val="ListParagraph"/>
        <w:numPr>
          <w:ilvl w:val="0"/>
          <w:numId w:val="7"/>
        </w:numPr>
        <w:spacing w:after="200"/>
        <w:contextualSpacing w:val="0"/>
        <w:rPr>
          <w:szCs w:val="20"/>
        </w:rPr>
      </w:pPr>
      <w:r>
        <w:t xml:space="preserve">katsoo, että EU:n erilaisten alue- ja paikallisyhteisöjen yhteenkuuluvuutta, kestävyyttä ja häiriönsietokykyä ei voida käsitellä siilomaisesti tavanomaisin välinein. Komitea suosittaakin </w:t>
      </w:r>
      <w:r>
        <w:lastRenderedPageBreak/>
        <w:t xml:space="preserve">toimintasuunnitelman sisällyttämistä eurooppalaiseen ohjausjaksoon </w:t>
      </w:r>
      <w:proofErr w:type="spellStart"/>
      <w:r>
        <w:t>ESPONin</w:t>
      </w:r>
      <w:proofErr w:type="spellEnd"/>
      <w:r>
        <w:t xml:space="preserve"> esittämien suuntaviivojen mukaisesti.</w:t>
      </w:r>
    </w:p>
    <w:p w:rsidRPr="00A824B2" w:rsidR="00074738" w:rsidP="00074738" w:rsidRDefault="00074738" w14:paraId="72073D56" w14:textId="77777777">
      <w:pPr>
        <w:pStyle w:val="ListParagraph"/>
        <w:numPr>
          <w:ilvl w:val="0"/>
          <w:numId w:val="7"/>
        </w:numPr>
        <w:spacing w:after="200"/>
        <w:contextualSpacing w:val="0"/>
        <w:rPr>
          <w:szCs w:val="20"/>
        </w:rPr>
      </w:pPr>
      <w:r>
        <w:t xml:space="preserve">suosittaa, että toimintasuunnitelmaa koordinoidaan mahdollisimman tehokkaasti koheesiopolitiikan kanssa. </w:t>
      </w:r>
    </w:p>
    <w:p w:rsidR="00074738" w:rsidP="00074738" w:rsidRDefault="00074738" w14:paraId="1AC8EEDA" w14:textId="77777777">
      <w:pPr>
        <w:pStyle w:val="ListParagraph"/>
        <w:numPr>
          <w:ilvl w:val="0"/>
          <w:numId w:val="7"/>
        </w:numPr>
        <w:spacing w:after="200"/>
        <w:contextualSpacing w:val="0"/>
        <w:rPr>
          <w:szCs w:val="20"/>
        </w:rPr>
      </w:pPr>
      <w:r>
        <w:t xml:space="preserve">huomauttaa, että talous- ja yhteiskuntaelämän osapuolten edustajien osallistumista on vahvistettava paikallis- ja aluekehitykseen sovellettavan kumppanuusperiaatteen puitteissa. </w:t>
      </w:r>
    </w:p>
    <w:p w:rsidR="00074738" w:rsidP="00074738" w:rsidRDefault="00074738" w14:paraId="297FD62C" w14:textId="77777777">
      <w:pPr>
        <w:pStyle w:val="ListParagraph"/>
        <w:numPr>
          <w:ilvl w:val="0"/>
          <w:numId w:val="7"/>
        </w:numPr>
        <w:spacing w:after="200"/>
        <w:contextualSpacing w:val="0"/>
        <w:rPr>
          <w:szCs w:val="20"/>
        </w:rPr>
      </w:pPr>
      <w:r>
        <w:t>korostaa tarvetta kehittää prosesseja ja aloitteita, joilla pyritään varmistamaan, että toimintasuunnitelma vastaa yhä paremmin EU:n tarpeita ja haasteita, ja vahvistamaan synergioita Leipzigin peruskirjan ja EU:n kaupunkiagendan kanssa.</w:t>
      </w:r>
    </w:p>
    <w:p w:rsidR="00074738" w:rsidP="00074738" w:rsidRDefault="00074738" w14:paraId="28481992" w14:textId="77777777">
      <w:pPr>
        <w:pStyle w:val="ListParagraph"/>
        <w:numPr>
          <w:ilvl w:val="0"/>
          <w:numId w:val="7"/>
        </w:numPr>
        <w:spacing w:after="200"/>
        <w:contextualSpacing w:val="0"/>
        <w:rPr>
          <w:szCs w:val="20"/>
        </w:rPr>
      </w:pPr>
      <w:r>
        <w:t>pitää ensiarvoisen tärkeänä, että toimintasuunnitelmaan liittyvissä toimissa painotetaan mm. ilmastonmuutoksen torjuntaa, väestörakenteen muutokseen sopeutumista sekä kansalaisyhteiskunnan osallistumisen lisäämistä.</w:t>
      </w:r>
    </w:p>
    <w:p w:rsidR="00074738" w:rsidP="00074738" w:rsidRDefault="00074738" w14:paraId="7109C9BB" w14:textId="77777777">
      <w:pPr>
        <w:pStyle w:val="ListParagraph"/>
        <w:numPr>
          <w:ilvl w:val="0"/>
          <w:numId w:val="7"/>
        </w:numPr>
        <w:spacing w:after="200"/>
        <w:contextualSpacing w:val="0"/>
        <w:rPr>
          <w:szCs w:val="20"/>
        </w:rPr>
      </w:pPr>
      <w:r>
        <w:t>pitää ensisijaisen tärkeänä edistää tasapainoista ja kestävää aluekehitystä tehostamalla kaikkien hallintotasojen välistä yhteistyötä ja lisäämällä kansalaisten kuulemista.</w:t>
      </w:r>
    </w:p>
    <w:p w:rsidRPr="00CE3D39" w:rsidR="00074738" w:rsidP="00074738" w:rsidRDefault="00074738" w14:paraId="1F8D0704" w14:textId="77777777">
      <w:pPr>
        <w:pStyle w:val="ListParagraph"/>
        <w:ind w:left="360"/>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074738" w:rsidTr="0042488D" w14:paraId="41159022" w14:textId="77777777">
        <w:tc>
          <w:tcPr>
            <w:tcW w:w="1418" w:type="dxa"/>
          </w:tcPr>
          <w:p w:rsidRPr="00A6689B" w:rsidR="00074738" w:rsidP="0042488D" w:rsidRDefault="00074738" w14:paraId="0052F681" w14:textId="77777777">
            <w:pPr>
              <w:spacing w:line="240" w:lineRule="auto"/>
              <w:rPr>
                <w:i/>
              </w:rPr>
            </w:pPr>
            <w:r>
              <w:rPr>
                <w:b/>
                <w:i/>
              </w:rPr>
              <w:t>Yhteydenotot</w:t>
            </w:r>
          </w:p>
        </w:tc>
        <w:tc>
          <w:tcPr>
            <w:tcW w:w="5670" w:type="dxa"/>
          </w:tcPr>
          <w:p w:rsidRPr="00464560" w:rsidR="00074738" w:rsidP="0042488D" w:rsidRDefault="00074738" w14:paraId="09C7625F" w14:textId="77777777">
            <w:pPr>
              <w:spacing w:line="240" w:lineRule="auto"/>
              <w:rPr>
                <w:b/>
                <w:bCs/>
                <w:i/>
              </w:rPr>
            </w:pPr>
            <w:proofErr w:type="spellStart"/>
            <w:r>
              <w:rPr>
                <w:b/>
                <w:i/>
              </w:rPr>
              <w:t>Georgios</w:t>
            </w:r>
            <w:proofErr w:type="spellEnd"/>
            <w:r>
              <w:rPr>
                <w:b/>
                <w:i/>
              </w:rPr>
              <w:t xml:space="preserve"> </w:t>
            </w:r>
            <w:proofErr w:type="spellStart"/>
            <w:r>
              <w:rPr>
                <w:b/>
                <w:i/>
              </w:rPr>
              <w:t>Meleas</w:t>
            </w:r>
            <w:proofErr w:type="spellEnd"/>
          </w:p>
        </w:tc>
      </w:tr>
      <w:tr w:rsidRPr="00A6689B" w:rsidR="00074738" w:rsidTr="0042488D" w14:paraId="3C64D010" w14:textId="77777777">
        <w:tc>
          <w:tcPr>
            <w:tcW w:w="1418" w:type="dxa"/>
          </w:tcPr>
          <w:p w:rsidRPr="00A6689B" w:rsidR="00074738" w:rsidP="0042488D" w:rsidRDefault="00074738" w14:paraId="7347445A" w14:textId="77777777">
            <w:pPr>
              <w:spacing w:line="240" w:lineRule="auto"/>
              <w:rPr>
                <w:i/>
              </w:rPr>
            </w:pPr>
            <w:r>
              <w:rPr>
                <w:i/>
              </w:rPr>
              <w:t>P.</w:t>
            </w:r>
          </w:p>
        </w:tc>
        <w:tc>
          <w:tcPr>
            <w:tcW w:w="5670" w:type="dxa"/>
          </w:tcPr>
          <w:p w:rsidRPr="00A6689B" w:rsidR="00074738" w:rsidP="0042488D" w:rsidRDefault="00074738" w14:paraId="101623B7" w14:textId="77777777">
            <w:pPr>
              <w:spacing w:line="240" w:lineRule="auto"/>
              <w:rPr>
                <w:i/>
              </w:rPr>
            </w:pPr>
            <w:r>
              <w:rPr>
                <w:i/>
              </w:rPr>
              <w:t>+32 25469795</w:t>
            </w:r>
          </w:p>
        </w:tc>
      </w:tr>
      <w:tr w:rsidRPr="00A6689B" w:rsidR="00074738" w:rsidTr="0042488D" w14:paraId="449703BC" w14:textId="77777777">
        <w:tc>
          <w:tcPr>
            <w:tcW w:w="1418" w:type="dxa"/>
          </w:tcPr>
          <w:p w:rsidRPr="00A6689B" w:rsidR="00074738" w:rsidP="0042488D" w:rsidRDefault="00074738" w14:paraId="028ED294" w14:textId="77777777">
            <w:pPr>
              <w:spacing w:line="240" w:lineRule="auto"/>
              <w:rPr>
                <w:i/>
              </w:rPr>
            </w:pPr>
            <w:r>
              <w:rPr>
                <w:i/>
              </w:rPr>
              <w:t>Sähköposti</w:t>
            </w:r>
          </w:p>
        </w:tc>
        <w:tc>
          <w:tcPr>
            <w:tcW w:w="5670" w:type="dxa"/>
          </w:tcPr>
          <w:p w:rsidRPr="00A6689B" w:rsidR="00074738" w:rsidP="0042488D" w:rsidRDefault="00C63C8C" w14:paraId="3C31264C" w14:textId="77777777">
            <w:pPr>
              <w:spacing w:line="240" w:lineRule="auto"/>
              <w:rPr>
                <w:i/>
              </w:rPr>
            </w:pPr>
            <w:hyperlink w:history="1" r:id="rId34">
              <w:r w:rsidR="00074738">
                <w:rPr>
                  <w:rStyle w:val="Hyperlink"/>
                  <w:i/>
                </w:rPr>
                <w:t>Georgios.Meleas@eesc.europa.eu</w:t>
              </w:r>
            </w:hyperlink>
            <w:r w:rsidR="00074738">
              <w:rPr>
                <w:i/>
              </w:rPr>
              <w:t xml:space="preserve"> </w:t>
            </w:r>
          </w:p>
        </w:tc>
      </w:tr>
    </w:tbl>
    <w:p w:rsidRPr="00EB5CCE" w:rsidR="009C5B03" w:rsidRDefault="009C5B03" w14:paraId="2929773F" w14:textId="5B7797CD">
      <w:pPr>
        <w:spacing w:after="160" w:line="259" w:lineRule="auto"/>
        <w:jc w:val="left"/>
      </w:pPr>
      <w:r>
        <w:br w:type="page"/>
      </w:r>
    </w:p>
    <w:p w:rsidR="004D7AC0" w:rsidP="006D6D4E" w:rsidRDefault="004D7AC0" w14:paraId="4982DD99" w14:textId="77777777">
      <w:pPr>
        <w:pStyle w:val="Heading1"/>
        <w:keepNext/>
        <w:keepLines/>
        <w:rPr>
          <w:b/>
        </w:rPr>
      </w:pPr>
      <w:bookmarkStart w:name="_Toc75527081" w:id="2"/>
      <w:bookmarkStart w:name="_Toc178009563" w:id="3"/>
      <w:r>
        <w:rPr>
          <w:b/>
        </w:rPr>
        <w:lastRenderedPageBreak/>
        <w:t>TYÖLLISYYS, SOSIAALIASIAT JA KANSALAISUUS</w:t>
      </w:r>
      <w:bookmarkEnd w:id="2"/>
      <w:bookmarkEnd w:id="3"/>
    </w:p>
    <w:p w:rsidRPr="00AB6CDB" w:rsidR="006A1AC2" w:rsidP="004D7AC0" w:rsidRDefault="006A1AC2" w14:paraId="7B7E28B8" w14:textId="77777777">
      <w:pPr>
        <w:pStyle w:val="ListParagraph"/>
        <w:ind w:left="0"/>
      </w:pPr>
    </w:p>
    <w:p w:rsidRPr="002358A0" w:rsidR="00074738" w:rsidP="00074738" w:rsidRDefault="00C63C8C" w14:paraId="245B9F04" w14:textId="77777777">
      <w:pPr>
        <w:widowControl w:val="0"/>
        <w:numPr>
          <w:ilvl w:val="0"/>
          <w:numId w:val="9"/>
        </w:numPr>
        <w:overflowPunct w:val="0"/>
        <w:autoSpaceDE w:val="0"/>
        <w:autoSpaceDN w:val="0"/>
        <w:adjustRightInd w:val="0"/>
        <w:ind w:hanging="567"/>
        <w:textAlignment w:val="baseline"/>
        <w:rPr>
          <w:b/>
          <w:bCs/>
          <w:i/>
          <w:iCs/>
          <w:sz w:val="28"/>
          <w:szCs w:val="28"/>
        </w:rPr>
      </w:pPr>
      <w:hyperlink w:history="1" r:id="rId35">
        <w:r w:rsidR="00074738">
          <w:rPr>
            <w:rStyle w:val="Hyperlink"/>
            <w:b/>
            <w:i/>
            <w:sz w:val="28"/>
          </w:rPr>
          <w:t>Tosiseikkoihin perustuva ja lainsäädännöllinen analyysi kolmansien maiden kansalaisten tehokkaasta kotouttamisesta EU:n työmarkkinoille</w:t>
        </w:r>
      </w:hyperlink>
    </w:p>
    <w:p w:rsidRPr="002358A0" w:rsidR="00074738" w:rsidP="00074738" w:rsidRDefault="00074738" w14:paraId="69F02A87" w14:textId="77777777">
      <w:pPr>
        <w:widowControl w:val="0"/>
        <w:ind w:left="567"/>
        <w:rPr>
          <w:b/>
          <w:bCs/>
          <w:i/>
          <w:iCs/>
          <w:sz w:val="28"/>
          <w:szCs w:val="28"/>
          <w:lang w:val="en-US"/>
        </w:rPr>
      </w:pPr>
    </w:p>
    <w:tbl>
      <w:tblPr>
        <w:tblStyle w:val="TableGrid"/>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8"/>
        <w:gridCol w:w="4678"/>
        <w:gridCol w:w="1168"/>
      </w:tblGrid>
      <w:tr w:rsidRPr="002358A0" w:rsidR="00074738" w:rsidTr="0042488D" w14:paraId="2984B9FF" w14:textId="77777777">
        <w:tc>
          <w:tcPr>
            <w:tcW w:w="1297" w:type="pct"/>
          </w:tcPr>
          <w:p w:rsidRPr="002358A0" w:rsidR="00074738" w:rsidP="0042488D" w:rsidRDefault="00074738" w14:paraId="3D9C6139" w14:textId="77777777">
            <w:pPr>
              <w:widowControl w:val="0"/>
              <w:ind w:left="-113"/>
              <w:rPr>
                <w:b/>
              </w:rPr>
            </w:pPr>
            <w:r>
              <w:rPr>
                <w:b/>
              </w:rPr>
              <w:t>Esittelijä</w:t>
            </w:r>
          </w:p>
          <w:p w:rsidRPr="002358A0" w:rsidR="00074738" w:rsidP="0042488D" w:rsidRDefault="00074738" w14:paraId="334A9BED" w14:textId="77777777">
            <w:pPr>
              <w:widowControl w:val="0"/>
              <w:ind w:left="-113"/>
              <w:rPr>
                <w:b/>
                <w:lang w:val="en-US"/>
              </w:rPr>
            </w:pPr>
          </w:p>
        </w:tc>
        <w:tc>
          <w:tcPr>
            <w:tcW w:w="3703" w:type="pct"/>
            <w:gridSpan w:val="2"/>
          </w:tcPr>
          <w:p w:rsidRPr="002358A0" w:rsidR="00074738" w:rsidP="0042488D" w:rsidRDefault="00074738" w14:paraId="504CB33B" w14:textId="77777777">
            <w:pPr>
              <w:widowControl w:val="0"/>
              <w:tabs>
                <w:tab w:val="left" w:pos="4572"/>
              </w:tabs>
              <w:ind w:left="-113" w:right="-823"/>
            </w:pPr>
            <w:proofErr w:type="spellStart"/>
            <w:r>
              <w:t>Panagiotis</w:t>
            </w:r>
            <w:proofErr w:type="spellEnd"/>
            <w:r>
              <w:t xml:space="preserve"> GKOFAS (kansalaisyhteiskunnan organisaatiot -ryhmä – EL)</w:t>
            </w:r>
          </w:p>
        </w:tc>
      </w:tr>
      <w:tr w:rsidRPr="002358A0" w:rsidR="00074738" w:rsidTr="0042488D" w14:paraId="4B48B9A1" w14:textId="77777777">
        <w:tc>
          <w:tcPr>
            <w:tcW w:w="1297" w:type="pct"/>
          </w:tcPr>
          <w:p w:rsidRPr="002358A0" w:rsidR="00074738" w:rsidP="0042488D" w:rsidRDefault="00074738" w14:paraId="63E04420" w14:textId="77777777">
            <w:pPr>
              <w:widowControl w:val="0"/>
              <w:ind w:left="-113"/>
              <w:rPr>
                <w:b/>
              </w:rPr>
            </w:pPr>
            <w:r>
              <w:rPr>
                <w:b/>
              </w:rPr>
              <w:t>Yhteisesittelijä</w:t>
            </w:r>
          </w:p>
        </w:tc>
        <w:tc>
          <w:tcPr>
            <w:tcW w:w="3703" w:type="pct"/>
            <w:gridSpan w:val="2"/>
          </w:tcPr>
          <w:p w:rsidRPr="002358A0" w:rsidR="00074738" w:rsidP="0042488D" w:rsidRDefault="00074738" w14:paraId="2DA26D52" w14:textId="77777777">
            <w:pPr>
              <w:widowControl w:val="0"/>
              <w:tabs>
                <w:tab w:val="left" w:pos="4572"/>
              </w:tabs>
              <w:ind w:left="-113" w:right="-823"/>
            </w:pPr>
            <w:r>
              <w:t>José Antonio MORENO DÍAZ (työntekijät-ryhmä – ES)</w:t>
            </w:r>
          </w:p>
        </w:tc>
      </w:tr>
      <w:tr w:rsidRPr="002358A0" w:rsidR="00074738" w:rsidTr="0042488D" w14:paraId="22BD2AA3" w14:textId="77777777">
        <w:tc>
          <w:tcPr>
            <w:tcW w:w="1297" w:type="pct"/>
          </w:tcPr>
          <w:p w:rsidRPr="002358A0" w:rsidR="00074738" w:rsidP="0042488D" w:rsidRDefault="00074738" w14:paraId="40064355" w14:textId="77777777">
            <w:pPr>
              <w:widowControl w:val="0"/>
              <w:ind w:left="-113"/>
              <w:rPr>
                <w:b/>
                <w:lang w:val="en-US"/>
              </w:rPr>
            </w:pPr>
          </w:p>
        </w:tc>
        <w:tc>
          <w:tcPr>
            <w:tcW w:w="3703" w:type="pct"/>
            <w:gridSpan w:val="2"/>
          </w:tcPr>
          <w:p w:rsidRPr="002358A0" w:rsidR="00074738" w:rsidP="0042488D" w:rsidRDefault="00074738" w14:paraId="4B51F8A8" w14:textId="77777777">
            <w:pPr>
              <w:widowControl w:val="0"/>
              <w:tabs>
                <w:tab w:val="left" w:pos="4572"/>
              </w:tabs>
              <w:ind w:left="-113" w:right="-823"/>
            </w:pPr>
          </w:p>
        </w:tc>
      </w:tr>
      <w:tr w:rsidRPr="002358A0" w:rsidR="00074738" w:rsidTr="0042488D" w14:paraId="2F973DCB" w14:textId="77777777">
        <w:trPr>
          <w:gridAfter w:val="1"/>
          <w:wAfter w:w="740" w:type="pct"/>
        </w:trPr>
        <w:tc>
          <w:tcPr>
            <w:tcW w:w="1297" w:type="pct"/>
            <w:vMerge w:val="restart"/>
          </w:tcPr>
          <w:p w:rsidRPr="002358A0" w:rsidR="00074738" w:rsidP="0042488D" w:rsidRDefault="00074738" w14:paraId="4E196E61" w14:textId="77777777">
            <w:pPr>
              <w:widowControl w:val="0"/>
              <w:ind w:left="-113"/>
              <w:rPr>
                <w:b/>
              </w:rPr>
            </w:pPr>
            <w:r>
              <w:rPr>
                <w:b/>
              </w:rPr>
              <w:t>Viiteasiakirjat</w:t>
            </w:r>
          </w:p>
        </w:tc>
        <w:tc>
          <w:tcPr>
            <w:tcW w:w="2963" w:type="pct"/>
          </w:tcPr>
          <w:p w:rsidRPr="002358A0" w:rsidR="00074738" w:rsidP="0042488D" w:rsidRDefault="00074738" w14:paraId="40AC5DCC" w14:textId="77777777">
            <w:pPr>
              <w:widowControl w:val="0"/>
              <w:tabs>
                <w:tab w:val="left" w:pos="4430"/>
              </w:tabs>
              <w:ind w:left="-113" w:right="-823"/>
            </w:pPr>
            <w:r>
              <w:t>EESC-2024-01017-00-00-AC</w:t>
            </w:r>
          </w:p>
        </w:tc>
      </w:tr>
      <w:tr w:rsidRPr="002358A0" w:rsidR="00074738" w:rsidTr="0042488D" w14:paraId="72F51445" w14:textId="77777777">
        <w:trPr>
          <w:gridAfter w:val="1"/>
          <w:wAfter w:w="740" w:type="pct"/>
        </w:trPr>
        <w:tc>
          <w:tcPr>
            <w:tcW w:w="1297" w:type="pct"/>
            <w:vMerge/>
          </w:tcPr>
          <w:p w:rsidRPr="002358A0" w:rsidR="00074738" w:rsidP="0042488D" w:rsidRDefault="00074738" w14:paraId="582A50B0" w14:textId="77777777">
            <w:pPr>
              <w:widowControl w:val="0"/>
              <w:tabs>
                <w:tab w:val="center" w:pos="284"/>
              </w:tabs>
              <w:ind w:left="266" w:hanging="266"/>
              <w:rPr>
                <w:b/>
                <w:lang w:val="en-US"/>
              </w:rPr>
            </w:pPr>
          </w:p>
        </w:tc>
        <w:tc>
          <w:tcPr>
            <w:tcW w:w="2963" w:type="pct"/>
          </w:tcPr>
          <w:p w:rsidRPr="002358A0" w:rsidR="00074738" w:rsidP="0042488D" w:rsidRDefault="00074738" w14:paraId="6A6655C3" w14:textId="77777777">
            <w:pPr>
              <w:widowControl w:val="0"/>
              <w:tabs>
                <w:tab w:val="center" w:pos="38"/>
                <w:tab w:val="left" w:pos="4430"/>
              </w:tabs>
              <w:ind w:left="266" w:right="-823" w:hanging="370"/>
              <w:rPr>
                <w:lang w:val="en-US"/>
              </w:rPr>
            </w:pPr>
          </w:p>
        </w:tc>
      </w:tr>
    </w:tbl>
    <w:p w:rsidRPr="002358A0" w:rsidR="00074738" w:rsidP="00074738" w:rsidRDefault="00074738" w14:paraId="3F1793A0" w14:textId="77777777">
      <w:pPr>
        <w:widowControl w:val="0"/>
        <w:tabs>
          <w:tab w:val="center" w:pos="284"/>
        </w:tabs>
        <w:ind w:left="266" w:hanging="266"/>
        <w:rPr>
          <w:b/>
        </w:rPr>
      </w:pPr>
      <w:r>
        <w:rPr>
          <w:b/>
        </w:rPr>
        <w:t>Keskeiset kohdat</w:t>
      </w:r>
    </w:p>
    <w:p w:rsidRPr="002358A0" w:rsidR="00074738" w:rsidP="00074738" w:rsidRDefault="00074738" w14:paraId="06874502" w14:textId="77777777">
      <w:pPr>
        <w:widowControl w:val="0"/>
        <w:tabs>
          <w:tab w:val="center" w:pos="284"/>
        </w:tabs>
        <w:ind w:left="266" w:hanging="266"/>
        <w:rPr>
          <w:b/>
        </w:rPr>
      </w:pPr>
    </w:p>
    <w:p w:rsidR="00074738" w:rsidP="00074738" w:rsidRDefault="00074738" w14:paraId="0E6F1613" w14:textId="77777777">
      <w:pPr>
        <w:widowControl w:val="0"/>
        <w:tabs>
          <w:tab w:val="center" w:pos="284"/>
        </w:tabs>
        <w:ind w:left="266" w:hanging="266"/>
      </w:pPr>
      <w:r>
        <w:t>ETSK</w:t>
      </w:r>
    </w:p>
    <w:p w:rsidRPr="00D46949" w:rsidR="00074738" w:rsidP="00074738" w:rsidRDefault="00074738" w14:paraId="56AEA128" w14:textId="77777777">
      <w:pPr>
        <w:widowControl w:val="0"/>
        <w:tabs>
          <w:tab w:val="center" w:pos="284"/>
        </w:tabs>
        <w:ind w:left="266" w:hanging="266"/>
      </w:pPr>
    </w:p>
    <w:p w:rsidRPr="00D14982" w:rsidR="00074738" w:rsidP="00074738" w:rsidRDefault="00074738" w14:paraId="04695599" w14:textId="77777777">
      <w:pPr>
        <w:pStyle w:val="ListParagraph"/>
        <w:widowControl w:val="0"/>
        <w:numPr>
          <w:ilvl w:val="0"/>
          <w:numId w:val="8"/>
        </w:numPr>
        <w:tabs>
          <w:tab w:val="center" w:pos="284"/>
        </w:tabs>
        <w:spacing w:after="200" w:line="276" w:lineRule="auto"/>
      </w:pPr>
      <w:r>
        <w:t>huomauttaa, että työntekijöiden järjestäytynyttä liikkuvuutta EU:ssa säännellään erittäin hajanaisella ja liian monimutkaisella kehyksellä, joka muodostuu toisaalta useista EU:n direktiiveistä ja toisaalta voimassa olevasta kansallisesta lainsäädännöstä. Erilaisia siirtotyöläisten ryhmiä säännellään erilaisilla direktiiveillä ja asetuksilla, joista kukin kattaa muuttoliikeprosessin eri näkökohtia ja vaiheita.</w:t>
      </w:r>
    </w:p>
    <w:p w:rsidRPr="00D14982" w:rsidR="00074738" w:rsidP="00074738" w:rsidRDefault="00074738" w14:paraId="58058ECB" w14:textId="77777777">
      <w:pPr>
        <w:pStyle w:val="ListParagraph"/>
        <w:widowControl w:val="0"/>
        <w:tabs>
          <w:tab w:val="center" w:pos="284"/>
        </w:tabs>
      </w:pPr>
    </w:p>
    <w:p w:rsidRPr="00D14982" w:rsidR="00074738" w:rsidP="00074738" w:rsidRDefault="00074738" w14:paraId="6843F522" w14:textId="77777777">
      <w:pPr>
        <w:pStyle w:val="ListParagraph"/>
        <w:widowControl w:val="0"/>
        <w:numPr>
          <w:ilvl w:val="0"/>
          <w:numId w:val="8"/>
        </w:numPr>
        <w:tabs>
          <w:tab w:val="center" w:pos="284"/>
        </w:tabs>
        <w:spacing w:after="200" w:line="276" w:lineRule="auto"/>
      </w:pPr>
      <w:r>
        <w:t>toteaa, että koska työvoimapula näyttäytyy yhteisenä eurooppalaisena haasteena, sen ratkaiseminenkin edellyttää yhteisiä toimia. EU:n yhtenäisten työmarkkinoiden potentiaalin hyödyntäminen sen sijaan, että toimitaan 27 erillisenä työmarkkinana, antaisi EU:lle paremmat mahdollisuudet kilpailla siirtotyöläisistä maailmanlaajuisessa osaajakilpailussa.</w:t>
      </w:r>
    </w:p>
    <w:p w:rsidRPr="00D14982" w:rsidR="00074738" w:rsidP="00074738" w:rsidRDefault="00074738" w14:paraId="12200F11" w14:textId="77777777">
      <w:pPr>
        <w:pStyle w:val="ListParagraph"/>
        <w:widowControl w:val="0"/>
        <w:tabs>
          <w:tab w:val="center" w:pos="284"/>
        </w:tabs>
      </w:pPr>
    </w:p>
    <w:p w:rsidRPr="00D14982" w:rsidR="00074738" w:rsidP="00074738" w:rsidRDefault="00074738" w14:paraId="72EEC05C" w14:textId="77777777">
      <w:pPr>
        <w:pStyle w:val="ListParagraph"/>
        <w:widowControl w:val="0"/>
        <w:numPr>
          <w:ilvl w:val="0"/>
          <w:numId w:val="8"/>
        </w:numPr>
        <w:tabs>
          <w:tab w:val="center" w:pos="284"/>
        </w:tabs>
        <w:spacing w:after="200" w:line="276" w:lineRule="auto"/>
      </w:pPr>
      <w:r>
        <w:t xml:space="preserve">korostaa tarvetta säätää selkeistä säännöistä, jotka koskevat muuttajien mahdollisuuksia saada työviisumeja ja -lupia, sekä huolehtia heidän tutkintotodistustensa ja ammattipätevyytensä tunnustamisesta. </w:t>
      </w:r>
    </w:p>
    <w:p w:rsidRPr="00D14982" w:rsidR="00074738" w:rsidP="00074738" w:rsidRDefault="00074738" w14:paraId="4C568AAC" w14:textId="77777777">
      <w:pPr>
        <w:pStyle w:val="ListParagraph"/>
        <w:widowControl w:val="0"/>
        <w:tabs>
          <w:tab w:val="center" w:pos="284"/>
        </w:tabs>
      </w:pPr>
    </w:p>
    <w:p w:rsidRPr="00D46949" w:rsidR="00074738" w:rsidP="00074738" w:rsidRDefault="00074738" w14:paraId="2F12CF10" w14:textId="77777777">
      <w:pPr>
        <w:pStyle w:val="ListParagraph"/>
        <w:widowControl w:val="0"/>
        <w:numPr>
          <w:ilvl w:val="0"/>
          <w:numId w:val="8"/>
        </w:numPr>
        <w:tabs>
          <w:tab w:val="center" w:pos="284"/>
        </w:tabs>
        <w:spacing w:after="200" w:line="276" w:lineRule="auto"/>
      </w:pPr>
      <w:r>
        <w:t>kiinnittää erityistä huomiota tarpeeseen helpottaa muuttajien mahdollisuuksia päästä työmarkkinoille. Tähän tavoitteeseen olisi pyrittävä kehittämällä politiikkatoimia ja laatimalla toimintasuunnitelmia, joiden tarkoituksena on edistää muuttajien (erityisesti naisten) työmarkkinaosallisuutta vastaamalla heidän erityistarpeisiinsa ja kehittämällä hallitusten, yhteiskunnallisten toimijoiden ja liike-elämän toimijoiden välille muuttajien ammatillisen koulutuksen suunnitteluun ja rahoittamiseen liittyvää tehokasta yhteistyötä sekä huolehtimalla siitä, että myös turvapaikanhakijoille ja pakolaisille on tarjolla kieli- ja kansalaistaitokursseja.</w:t>
      </w:r>
    </w:p>
    <w:p w:rsidRPr="002358A0" w:rsidR="00074738" w:rsidP="00074738" w:rsidRDefault="00074738" w14:paraId="7F9E65D6" w14:textId="77777777">
      <w:pPr>
        <w:widowControl w:val="0"/>
        <w:ind w:left="709"/>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2358A0" w:rsidR="00074738" w:rsidTr="0042488D" w14:paraId="3D863E23" w14:textId="77777777">
        <w:tc>
          <w:tcPr>
            <w:tcW w:w="1556" w:type="pct"/>
          </w:tcPr>
          <w:p w:rsidRPr="002358A0" w:rsidR="00074738" w:rsidP="0042488D" w:rsidRDefault="00074738" w14:paraId="7AB5B874" w14:textId="77777777">
            <w:pPr>
              <w:widowControl w:val="0"/>
              <w:rPr>
                <w:i/>
              </w:rPr>
            </w:pPr>
            <w:r>
              <w:rPr>
                <w:b/>
                <w:i/>
              </w:rPr>
              <w:t>Yhteydentotot</w:t>
            </w:r>
          </w:p>
        </w:tc>
        <w:tc>
          <w:tcPr>
            <w:tcW w:w="3444" w:type="pct"/>
          </w:tcPr>
          <w:p w:rsidRPr="002358A0" w:rsidR="00074738" w:rsidP="0042488D" w:rsidRDefault="00074738" w14:paraId="287221C5" w14:textId="77777777">
            <w:pPr>
              <w:widowControl w:val="0"/>
              <w:rPr>
                <w:i/>
              </w:rPr>
            </w:pPr>
            <w:proofErr w:type="spellStart"/>
            <w:r>
              <w:rPr>
                <w:i/>
              </w:rPr>
              <w:t>Gemma</w:t>
            </w:r>
            <w:proofErr w:type="spellEnd"/>
            <w:r>
              <w:rPr>
                <w:i/>
              </w:rPr>
              <w:t xml:space="preserve"> AMRAN</w:t>
            </w:r>
          </w:p>
        </w:tc>
      </w:tr>
      <w:tr w:rsidRPr="002358A0" w:rsidR="00074738" w:rsidTr="0042488D" w14:paraId="5747B7B6" w14:textId="77777777">
        <w:tc>
          <w:tcPr>
            <w:tcW w:w="1556" w:type="pct"/>
          </w:tcPr>
          <w:p w:rsidRPr="002358A0" w:rsidR="00074738" w:rsidP="0042488D" w:rsidRDefault="00074738" w14:paraId="620A87B3" w14:textId="77777777">
            <w:pPr>
              <w:widowControl w:val="0"/>
              <w:rPr>
                <w:i/>
              </w:rPr>
            </w:pPr>
            <w:r>
              <w:rPr>
                <w:i/>
              </w:rPr>
              <w:t>Puh.</w:t>
            </w:r>
          </w:p>
        </w:tc>
        <w:tc>
          <w:tcPr>
            <w:tcW w:w="3444" w:type="pct"/>
          </w:tcPr>
          <w:p w:rsidRPr="002358A0" w:rsidR="00074738" w:rsidP="0042488D" w:rsidRDefault="00074738" w14:paraId="4904C6B4" w14:textId="77777777">
            <w:pPr>
              <w:widowControl w:val="0"/>
              <w:rPr>
                <w:i/>
              </w:rPr>
            </w:pPr>
            <w:r>
              <w:rPr>
                <w:i/>
              </w:rPr>
              <w:t>+32 25469415</w:t>
            </w:r>
          </w:p>
        </w:tc>
      </w:tr>
      <w:tr w:rsidRPr="002358A0" w:rsidR="00074738" w:rsidTr="0042488D" w14:paraId="7E4F5026" w14:textId="77777777">
        <w:tc>
          <w:tcPr>
            <w:tcW w:w="1556" w:type="pct"/>
          </w:tcPr>
          <w:p w:rsidRPr="002358A0" w:rsidR="00074738" w:rsidP="0042488D" w:rsidRDefault="00074738" w14:paraId="755FB687" w14:textId="77777777">
            <w:pPr>
              <w:widowControl w:val="0"/>
              <w:rPr>
                <w:i/>
              </w:rPr>
            </w:pPr>
            <w:r>
              <w:rPr>
                <w:i/>
              </w:rPr>
              <w:t>Sähköposti</w:t>
            </w:r>
          </w:p>
        </w:tc>
        <w:tc>
          <w:tcPr>
            <w:tcW w:w="3444" w:type="pct"/>
          </w:tcPr>
          <w:p w:rsidRPr="002358A0" w:rsidR="00074738" w:rsidP="0042488D" w:rsidRDefault="00C63C8C" w14:paraId="73EA4B15" w14:textId="77777777">
            <w:pPr>
              <w:widowControl w:val="0"/>
              <w:rPr>
                <w:rStyle w:val="Hyperlink"/>
              </w:rPr>
            </w:pPr>
            <w:hyperlink w:history="1" r:id="rId36">
              <w:r w:rsidR="00074738">
                <w:rPr>
                  <w:rStyle w:val="Hyperlink"/>
                  <w:i/>
                </w:rPr>
                <w:t>Gemma.Amran@eesc.europa.eu</w:t>
              </w:r>
            </w:hyperlink>
          </w:p>
        </w:tc>
      </w:tr>
    </w:tbl>
    <w:p w:rsidRPr="00F8361B" w:rsidR="00327E1C" w:rsidRDefault="00327E1C" w14:paraId="7912FB32" w14:textId="710E78D4">
      <w:pPr>
        <w:spacing w:after="160" w:line="259" w:lineRule="auto"/>
        <w:jc w:val="left"/>
        <w:rPr>
          <w:lang w:val="en-GB"/>
        </w:rPr>
      </w:pPr>
    </w:p>
    <w:p w:rsidR="00327E1C" w:rsidRDefault="00327E1C" w14:paraId="14354E90" w14:textId="77777777">
      <w:pPr>
        <w:spacing w:after="160" w:line="259" w:lineRule="auto"/>
        <w:jc w:val="left"/>
      </w:pPr>
      <w:r>
        <w:br w:type="page"/>
      </w:r>
    </w:p>
    <w:p w:rsidR="004D7AC0" w:rsidP="006D6D4E" w:rsidRDefault="004D7AC0" w14:paraId="4982DDC6" w14:textId="77777777">
      <w:pPr>
        <w:pStyle w:val="Heading1"/>
        <w:keepNext/>
        <w:keepLines/>
        <w:rPr>
          <w:b/>
        </w:rPr>
      </w:pPr>
      <w:bookmarkStart w:name="_Toc24617160" w:id="4"/>
      <w:bookmarkStart w:name="_Toc75527082" w:id="5"/>
      <w:bookmarkStart w:name="_Toc178009574" w:id="6"/>
      <w:r>
        <w:rPr>
          <w:b/>
        </w:rPr>
        <w:lastRenderedPageBreak/>
        <w:t>LIIKENNE, ENERGIA, PERUSRAKENTEET, TIETOYHTEISKUNTA</w:t>
      </w:r>
      <w:bookmarkEnd w:id="4"/>
      <w:bookmarkEnd w:id="5"/>
      <w:bookmarkEnd w:id="6"/>
    </w:p>
    <w:p w:rsidR="004D7AC0" w:rsidP="006D6D4E" w:rsidRDefault="004D7AC0" w14:paraId="4982DDC7" w14:textId="77777777">
      <w:pPr>
        <w:keepNext/>
        <w:keepLines/>
      </w:pPr>
    </w:p>
    <w:p w:rsidRPr="002F6810" w:rsidR="00B6344B" w:rsidP="00B6344B" w:rsidRDefault="00C63C8C" w14:paraId="1F58B9F1" w14:textId="77777777">
      <w:pPr>
        <w:widowControl w:val="0"/>
        <w:numPr>
          <w:ilvl w:val="0"/>
          <w:numId w:val="9"/>
        </w:numPr>
        <w:overflowPunct w:val="0"/>
        <w:autoSpaceDE w:val="0"/>
        <w:autoSpaceDN w:val="0"/>
        <w:adjustRightInd w:val="0"/>
        <w:ind w:left="266" w:hanging="266"/>
        <w:textAlignment w:val="baseline"/>
        <w:rPr>
          <w:b/>
        </w:rPr>
      </w:pPr>
      <w:hyperlink w:history="1" r:id="rId37">
        <w:r w:rsidR="00B6344B">
          <w:rPr>
            <w:rStyle w:val="Hyperlink"/>
            <w:b/>
            <w:i/>
            <w:sz w:val="28"/>
          </w:rPr>
          <w:t>Työvoimapula ja osaamisvaje liikenne-, energia-, infrastruktuuri- ja digitaalialalla</w:t>
        </w:r>
      </w:hyperlink>
    </w:p>
    <w:p w:rsidRPr="002F6810" w:rsidR="00B6344B" w:rsidP="00B6344B" w:rsidRDefault="00B6344B" w14:paraId="29E21038" w14:textId="77777777">
      <w:pPr>
        <w:widowControl w:val="0"/>
        <w:ind w:left="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385"/>
      </w:tblGrid>
      <w:tr w:rsidRPr="00A6689B" w:rsidR="00B6344B" w:rsidTr="0083717A" w14:paraId="489C6D50" w14:textId="77777777">
        <w:tc>
          <w:tcPr>
            <w:tcW w:w="1591" w:type="pct"/>
          </w:tcPr>
          <w:p w:rsidRPr="00A6689B" w:rsidR="00B6344B" w:rsidP="0083717A" w:rsidRDefault="00B6344B" w14:paraId="6094FAA0" w14:textId="77777777">
            <w:pPr>
              <w:tabs>
                <w:tab w:val="center" w:pos="284"/>
              </w:tabs>
              <w:ind w:left="266" w:hanging="266"/>
              <w:rPr>
                <w:b/>
              </w:rPr>
            </w:pPr>
            <w:r>
              <w:rPr>
                <w:b/>
              </w:rPr>
              <w:t>Esittelijä</w:t>
            </w:r>
          </w:p>
        </w:tc>
        <w:tc>
          <w:tcPr>
            <w:tcW w:w="3409" w:type="pct"/>
          </w:tcPr>
          <w:p w:rsidRPr="00A6689B" w:rsidR="00B6344B" w:rsidP="0083717A" w:rsidRDefault="00B6344B" w14:paraId="4E5FB480" w14:textId="77777777">
            <w:pPr>
              <w:tabs>
                <w:tab w:val="center" w:pos="284"/>
              </w:tabs>
              <w:ind w:left="266" w:hanging="266"/>
            </w:pPr>
            <w:r>
              <w:t xml:space="preserve">Thomas </w:t>
            </w:r>
            <w:proofErr w:type="spellStart"/>
            <w:r>
              <w:t>Kattnig</w:t>
            </w:r>
            <w:proofErr w:type="spellEnd"/>
            <w:r>
              <w:t xml:space="preserve"> (työntekijät – AT)</w:t>
            </w:r>
          </w:p>
        </w:tc>
      </w:tr>
      <w:tr w:rsidRPr="00A6689B" w:rsidR="00B6344B" w:rsidTr="0083717A" w14:paraId="761E38C2" w14:textId="77777777">
        <w:tc>
          <w:tcPr>
            <w:tcW w:w="5000" w:type="pct"/>
            <w:gridSpan w:val="2"/>
          </w:tcPr>
          <w:p w:rsidRPr="00A6689B" w:rsidR="00B6344B" w:rsidP="0083717A" w:rsidRDefault="00B6344B" w14:paraId="341A7599" w14:textId="77777777">
            <w:pPr>
              <w:tabs>
                <w:tab w:val="center" w:pos="284"/>
              </w:tabs>
              <w:ind w:left="266" w:hanging="266"/>
              <w:rPr>
                <w:lang w:val="en-US"/>
              </w:rPr>
            </w:pPr>
          </w:p>
        </w:tc>
      </w:tr>
      <w:tr w:rsidRPr="00A6689B" w:rsidR="00B6344B" w:rsidTr="0083717A" w14:paraId="26A78425" w14:textId="77777777">
        <w:tc>
          <w:tcPr>
            <w:tcW w:w="1591" w:type="pct"/>
            <w:vMerge w:val="restart"/>
          </w:tcPr>
          <w:p w:rsidRPr="00A6689B" w:rsidR="00B6344B" w:rsidP="0083717A" w:rsidRDefault="00B6344B" w14:paraId="007463F1" w14:textId="77777777">
            <w:pPr>
              <w:tabs>
                <w:tab w:val="center" w:pos="284"/>
              </w:tabs>
              <w:ind w:left="266" w:hanging="266"/>
              <w:rPr>
                <w:b/>
              </w:rPr>
            </w:pPr>
            <w:r>
              <w:rPr>
                <w:b/>
              </w:rPr>
              <w:t>Viiteasiakirjat</w:t>
            </w:r>
          </w:p>
        </w:tc>
        <w:tc>
          <w:tcPr>
            <w:tcW w:w="3409" w:type="pct"/>
          </w:tcPr>
          <w:p w:rsidR="00B6344B" w:rsidP="0083717A" w:rsidRDefault="00B6344B" w14:paraId="0C2AB29A" w14:textId="77777777">
            <w:pPr>
              <w:tabs>
                <w:tab w:val="center" w:pos="284"/>
              </w:tabs>
              <w:ind w:left="266" w:hanging="266"/>
            </w:pPr>
            <w:r>
              <w:t>oma-aloitteinen lausunto</w:t>
            </w:r>
          </w:p>
          <w:p w:rsidRPr="00A6689B" w:rsidR="00B6344B" w:rsidP="0083717A" w:rsidRDefault="00B6344B" w14:paraId="5D126B34" w14:textId="77777777">
            <w:pPr>
              <w:tabs>
                <w:tab w:val="center" w:pos="284"/>
              </w:tabs>
              <w:ind w:left="266" w:hanging="266"/>
            </w:pPr>
            <w:r>
              <w:t>EESC-2024-01463-00-00-AC</w:t>
            </w:r>
          </w:p>
        </w:tc>
      </w:tr>
      <w:tr w:rsidRPr="00A6689B" w:rsidR="00B6344B" w:rsidTr="0083717A" w14:paraId="56C4D450" w14:textId="77777777">
        <w:tc>
          <w:tcPr>
            <w:tcW w:w="1591" w:type="pct"/>
            <w:vMerge/>
          </w:tcPr>
          <w:p w:rsidRPr="00A6689B" w:rsidR="00B6344B" w:rsidP="0083717A" w:rsidRDefault="00B6344B" w14:paraId="03853DF0" w14:textId="77777777">
            <w:pPr>
              <w:tabs>
                <w:tab w:val="center" w:pos="284"/>
              </w:tabs>
              <w:ind w:left="266" w:hanging="266"/>
              <w:rPr>
                <w:b/>
                <w:lang w:val="en-US"/>
              </w:rPr>
            </w:pPr>
          </w:p>
        </w:tc>
        <w:tc>
          <w:tcPr>
            <w:tcW w:w="3409" w:type="pct"/>
          </w:tcPr>
          <w:p w:rsidRPr="00A6689B" w:rsidR="00B6344B" w:rsidP="0083717A" w:rsidRDefault="00B6344B" w14:paraId="29A5C009" w14:textId="77777777">
            <w:pPr>
              <w:tabs>
                <w:tab w:val="center" w:pos="284"/>
              </w:tabs>
              <w:ind w:left="266" w:hanging="266"/>
              <w:rPr>
                <w:lang w:val="en-US"/>
              </w:rPr>
            </w:pPr>
          </w:p>
        </w:tc>
      </w:tr>
    </w:tbl>
    <w:p w:rsidRPr="00A6689B" w:rsidR="00B6344B" w:rsidP="00B6344B" w:rsidRDefault="00B6344B" w14:paraId="5811DFFF" w14:textId="77777777">
      <w:pPr>
        <w:tabs>
          <w:tab w:val="center" w:pos="284"/>
        </w:tabs>
        <w:ind w:left="266" w:hanging="266"/>
      </w:pPr>
    </w:p>
    <w:p w:rsidRPr="00A6689B" w:rsidR="00B6344B" w:rsidP="00B6344B" w:rsidRDefault="00B6344B" w14:paraId="40CB18CC" w14:textId="77777777">
      <w:pPr>
        <w:keepNext/>
        <w:keepLines/>
        <w:tabs>
          <w:tab w:val="center" w:pos="284"/>
        </w:tabs>
        <w:ind w:left="266" w:hanging="266"/>
        <w:rPr>
          <w:b/>
        </w:rPr>
      </w:pPr>
      <w:r>
        <w:rPr>
          <w:b/>
        </w:rPr>
        <w:t>Keskeiset kohdat</w:t>
      </w:r>
    </w:p>
    <w:p w:rsidRPr="00A6689B" w:rsidR="00B6344B" w:rsidP="00B6344B" w:rsidRDefault="00B6344B" w14:paraId="4A8317CF" w14:textId="77777777">
      <w:pPr>
        <w:keepNext/>
        <w:keepLines/>
        <w:tabs>
          <w:tab w:val="center" w:pos="284"/>
        </w:tabs>
        <w:ind w:left="266" w:hanging="266"/>
        <w:rPr>
          <w:b/>
        </w:rPr>
      </w:pPr>
    </w:p>
    <w:p w:rsidRPr="00A6689B" w:rsidR="00B6344B" w:rsidP="00B6344B" w:rsidRDefault="00B6344B" w14:paraId="223547E7" w14:textId="77777777">
      <w:pPr>
        <w:rPr>
          <w:bCs/>
          <w:iCs/>
        </w:rPr>
      </w:pPr>
      <w:r>
        <w:t>ETSK</w:t>
      </w:r>
    </w:p>
    <w:p w:rsidRPr="00A6689B" w:rsidR="00B6344B" w:rsidP="00B6344B" w:rsidRDefault="00B6344B" w14:paraId="71142B60" w14:textId="77777777">
      <w:pPr>
        <w:rPr>
          <w:bCs/>
          <w:iCs/>
        </w:rPr>
      </w:pPr>
    </w:p>
    <w:p w:rsidRPr="002F6810" w:rsidR="00B6344B" w:rsidP="00B6344B" w:rsidRDefault="00B6344B" w14:paraId="2DD10680" w14:textId="77777777">
      <w:pPr>
        <w:widowControl w:val="0"/>
        <w:numPr>
          <w:ilvl w:val="0"/>
          <w:numId w:val="9"/>
        </w:numPr>
        <w:overflowPunct w:val="0"/>
        <w:autoSpaceDE w:val="0"/>
        <w:autoSpaceDN w:val="0"/>
        <w:adjustRightInd w:val="0"/>
        <w:textAlignment w:val="baseline"/>
        <w:rPr>
          <w:bCs/>
          <w:iCs/>
        </w:rPr>
      </w:pPr>
      <w:r>
        <w:t xml:space="preserve">korostaa, että </w:t>
      </w:r>
      <w:r>
        <w:rPr>
          <w:b/>
        </w:rPr>
        <w:t>työvoimapula ja osaamisvaje ovat entistä suurempi ongelma</w:t>
      </w:r>
      <w:r>
        <w:t xml:space="preserve"> liikenne-, energia-, infrastruktuuri- ja digitaaliteknologian aloilla. Näillä aloilla on erittäin tärkeä merkitys EU:n vauraudelle ja ekologiselle kestävyydelle, ja ne ovat keskeisiä myös Euroopan vihreän kehityksen ohjelman sekä EU:n tulevan kilpailukyvyn kannalta.</w:t>
      </w:r>
    </w:p>
    <w:p w:rsidRPr="002F6810" w:rsidR="00B6344B" w:rsidP="00B6344B" w:rsidRDefault="00B6344B" w14:paraId="46F32375" w14:textId="77777777">
      <w:pPr>
        <w:widowControl w:val="0"/>
        <w:numPr>
          <w:ilvl w:val="0"/>
          <w:numId w:val="9"/>
        </w:numPr>
        <w:overflowPunct w:val="0"/>
        <w:autoSpaceDE w:val="0"/>
        <w:autoSpaceDN w:val="0"/>
        <w:adjustRightInd w:val="0"/>
        <w:textAlignment w:val="baseline"/>
        <w:rPr>
          <w:bCs/>
          <w:iCs/>
        </w:rPr>
      </w:pPr>
      <w:r>
        <w:t xml:space="preserve">katsoo, että </w:t>
      </w:r>
      <w:r>
        <w:rPr>
          <w:b/>
        </w:rPr>
        <w:t>tarvitaan tavoitteellisempia toimenpiteitä</w:t>
      </w:r>
      <w:r>
        <w:t>, jotta voidaan varmistaa oikeudenmukainen siirtymä niin, että edistetään laadukkaita työpaikkoja, tasapainotetaan työmarkkinoita ja parannetaan työoloja ja -ehtoja.</w:t>
      </w:r>
    </w:p>
    <w:p w:rsidRPr="002F6810" w:rsidR="00B6344B" w:rsidP="00B6344B" w:rsidRDefault="00B6344B" w14:paraId="78A419DD" w14:textId="77777777">
      <w:pPr>
        <w:widowControl w:val="0"/>
        <w:numPr>
          <w:ilvl w:val="0"/>
          <w:numId w:val="9"/>
        </w:numPr>
        <w:overflowPunct w:val="0"/>
        <w:autoSpaceDE w:val="0"/>
        <w:autoSpaceDN w:val="0"/>
        <w:adjustRightInd w:val="0"/>
        <w:textAlignment w:val="baseline"/>
        <w:rPr>
          <w:bCs/>
          <w:iCs/>
        </w:rPr>
      </w:pPr>
      <w:r>
        <w:t xml:space="preserve">tunnustaa </w:t>
      </w:r>
      <w:r>
        <w:rPr>
          <w:b/>
        </w:rPr>
        <w:t>työmarkkinaosapuolten tärkeän roolin</w:t>
      </w:r>
      <w:r>
        <w:t xml:space="preserve"> työvoimapulaa ja osaamisvajetta korjaavien toimenpiteiden kehittäjinä ja </w:t>
      </w:r>
      <w:proofErr w:type="spellStart"/>
      <w:r>
        <w:t>täytäntöönpanijoina</w:t>
      </w:r>
      <w:proofErr w:type="spellEnd"/>
      <w:r>
        <w:t>.</w:t>
      </w:r>
    </w:p>
    <w:p w:rsidRPr="002F6810" w:rsidR="00B6344B" w:rsidP="00B6344B" w:rsidRDefault="00B6344B" w14:paraId="4A8135BC" w14:textId="77777777">
      <w:pPr>
        <w:widowControl w:val="0"/>
        <w:numPr>
          <w:ilvl w:val="0"/>
          <w:numId w:val="9"/>
        </w:numPr>
        <w:overflowPunct w:val="0"/>
        <w:autoSpaceDE w:val="0"/>
        <w:autoSpaceDN w:val="0"/>
        <w:adjustRightInd w:val="0"/>
        <w:textAlignment w:val="baseline"/>
        <w:rPr>
          <w:bCs/>
          <w:iCs/>
        </w:rPr>
      </w:pPr>
      <w:r>
        <w:t xml:space="preserve">ehdottaa, että kehitetään ja rahoitetaan kohdennettuja ohjelmia, oppijakeskeistä ohjausta ja oppijoille tarkoitettuja koordinoituja tukitoimenpiteitä, joilla </w:t>
      </w:r>
      <w:r>
        <w:rPr>
          <w:b/>
        </w:rPr>
        <w:t>helpotetaan aliedustettujen ja muita heikommassa asemassa olevien ryhmien pääsyä työmarkkinoille</w:t>
      </w:r>
      <w:r>
        <w:t>. Näihin ryhmiin kuuluvat muun muassa naiset STEM-alojen (luonnontieteet, matematiikka, tekniikka ja teknologiat) ammateissa, maahanmuuttajataustaiset ja vammaiset henkilöt sekä ikääntyneet työntekijät.</w:t>
      </w:r>
    </w:p>
    <w:p w:rsidRPr="002F6810" w:rsidR="00B6344B" w:rsidP="00B6344B" w:rsidRDefault="00B6344B" w14:paraId="59F75047" w14:textId="77777777">
      <w:pPr>
        <w:widowControl w:val="0"/>
        <w:numPr>
          <w:ilvl w:val="0"/>
          <w:numId w:val="9"/>
        </w:numPr>
        <w:overflowPunct w:val="0"/>
        <w:autoSpaceDE w:val="0"/>
        <w:autoSpaceDN w:val="0"/>
        <w:adjustRightInd w:val="0"/>
        <w:textAlignment w:val="baseline"/>
        <w:rPr>
          <w:bCs/>
          <w:iCs/>
        </w:rPr>
      </w:pPr>
      <w:r>
        <w:t xml:space="preserve">kannustaa jäsenvaltioita ottamaan erilaisten kansallisten järjestelmien ominaispiirteitä kunnioittaen käyttöön </w:t>
      </w:r>
      <w:r>
        <w:rPr>
          <w:b/>
        </w:rPr>
        <w:t>kolmikantaisesti hallinnoitavia koulutusrahastoja</w:t>
      </w:r>
      <w:r>
        <w:t>, jotka vähentäisivät pidäkkeitä ja tukisivat yrityksiä työpaikkakoulutuksen, kuten oppisopimuskoulutuksen, tarjoamisessa.</w:t>
      </w:r>
    </w:p>
    <w:p w:rsidRPr="000624A9" w:rsidR="00B6344B" w:rsidP="00B6344B" w:rsidRDefault="00B6344B" w14:paraId="7FCF8B9B"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A6689B" w:rsidR="00B6344B" w:rsidTr="0083717A" w14:paraId="775DFA28" w14:textId="77777777">
        <w:tc>
          <w:tcPr>
            <w:tcW w:w="1556" w:type="pct"/>
          </w:tcPr>
          <w:p w:rsidRPr="00A6689B" w:rsidR="00B6344B" w:rsidP="0083717A" w:rsidRDefault="00B6344B" w14:paraId="582BB504" w14:textId="77777777">
            <w:pPr>
              <w:spacing w:line="240" w:lineRule="auto"/>
              <w:rPr>
                <w:i/>
              </w:rPr>
            </w:pPr>
            <w:r>
              <w:rPr>
                <w:b/>
                <w:i/>
              </w:rPr>
              <w:t xml:space="preserve">Yhteydenotot </w:t>
            </w:r>
          </w:p>
        </w:tc>
        <w:tc>
          <w:tcPr>
            <w:tcW w:w="3444" w:type="pct"/>
          </w:tcPr>
          <w:p w:rsidRPr="00A6689B" w:rsidR="00B6344B" w:rsidP="0083717A" w:rsidRDefault="00B6344B" w14:paraId="1FCC3019" w14:textId="77777777">
            <w:pPr>
              <w:spacing w:line="240" w:lineRule="auto"/>
              <w:rPr>
                <w:i/>
              </w:rPr>
            </w:pPr>
            <w:r>
              <w:rPr>
                <w:i/>
              </w:rPr>
              <w:t>Francesco Napolitano</w:t>
            </w:r>
          </w:p>
        </w:tc>
      </w:tr>
      <w:tr w:rsidRPr="00A6689B" w:rsidR="00B6344B" w:rsidTr="0083717A" w14:paraId="02C8F037" w14:textId="77777777">
        <w:tc>
          <w:tcPr>
            <w:tcW w:w="1556" w:type="pct"/>
          </w:tcPr>
          <w:p w:rsidRPr="00A6689B" w:rsidR="00B6344B" w:rsidP="0083717A" w:rsidRDefault="00B6344B" w14:paraId="6B52D0E2" w14:textId="77777777">
            <w:pPr>
              <w:spacing w:line="240" w:lineRule="auto"/>
              <w:rPr>
                <w:i/>
              </w:rPr>
            </w:pPr>
            <w:r>
              <w:rPr>
                <w:i/>
              </w:rPr>
              <w:t>P.</w:t>
            </w:r>
          </w:p>
        </w:tc>
        <w:tc>
          <w:tcPr>
            <w:tcW w:w="3444" w:type="pct"/>
          </w:tcPr>
          <w:p w:rsidRPr="00A6689B" w:rsidR="00B6344B" w:rsidP="0083717A" w:rsidRDefault="00B6344B" w14:paraId="63244DC8" w14:textId="77777777">
            <w:pPr>
              <w:spacing w:line="240" w:lineRule="auto"/>
              <w:rPr>
                <w:i/>
              </w:rPr>
            </w:pPr>
            <w:r>
              <w:rPr>
                <w:i/>
              </w:rPr>
              <w:t>+32 25468921</w:t>
            </w:r>
          </w:p>
        </w:tc>
      </w:tr>
      <w:tr w:rsidRPr="00A6689B" w:rsidR="00B6344B" w:rsidTr="0083717A" w14:paraId="40D30770" w14:textId="77777777">
        <w:tc>
          <w:tcPr>
            <w:tcW w:w="1556" w:type="pct"/>
          </w:tcPr>
          <w:p w:rsidRPr="00A6689B" w:rsidR="00B6344B" w:rsidP="0083717A" w:rsidRDefault="00B6344B" w14:paraId="71B41970" w14:textId="77777777">
            <w:pPr>
              <w:spacing w:line="240" w:lineRule="auto"/>
              <w:rPr>
                <w:i/>
              </w:rPr>
            </w:pPr>
            <w:r>
              <w:rPr>
                <w:i/>
              </w:rPr>
              <w:t>Sähköposti</w:t>
            </w:r>
          </w:p>
        </w:tc>
        <w:tc>
          <w:tcPr>
            <w:tcW w:w="3444" w:type="pct"/>
          </w:tcPr>
          <w:p w:rsidRPr="00A6689B" w:rsidR="00B6344B" w:rsidP="0083717A" w:rsidRDefault="00C63C8C" w14:paraId="2540C505" w14:textId="77777777">
            <w:pPr>
              <w:spacing w:line="240" w:lineRule="auto"/>
              <w:rPr>
                <w:i/>
              </w:rPr>
            </w:pPr>
            <w:hyperlink w:history="1" r:id="rId38">
              <w:r w:rsidR="00B6344B">
                <w:rPr>
                  <w:rStyle w:val="Hyperlink"/>
                  <w:i/>
                </w:rPr>
                <w:t>Francesco.Napolitano@eesc.europa.eu</w:t>
              </w:r>
            </w:hyperlink>
            <w:r w:rsidR="00B6344B">
              <w:rPr>
                <w:i/>
              </w:rPr>
              <w:t xml:space="preserve"> </w:t>
            </w:r>
          </w:p>
        </w:tc>
      </w:tr>
    </w:tbl>
    <w:p w:rsidRPr="00B70A01" w:rsidR="00E57317" w:rsidRDefault="00E57317" w14:paraId="051DEBB3" w14:textId="607435FB">
      <w:pPr>
        <w:spacing w:after="160" w:line="259" w:lineRule="auto"/>
        <w:jc w:val="left"/>
        <w:rPr>
          <w:lang w:val="en-GB"/>
        </w:rPr>
      </w:pPr>
    </w:p>
    <w:p w:rsidR="000835E1" w:rsidRDefault="000835E1" w14:paraId="5ABE072C" w14:textId="77777777">
      <w:pPr>
        <w:spacing w:after="160" w:line="259" w:lineRule="auto"/>
        <w:jc w:val="left"/>
      </w:pPr>
      <w:r>
        <w:br w:type="page"/>
      </w:r>
    </w:p>
    <w:p w:rsidRPr="009F76B0" w:rsidR="00B6344B" w:rsidP="00B6344B" w:rsidRDefault="00C63C8C" w14:paraId="3C7BC458" w14:textId="77777777">
      <w:pPr>
        <w:widowControl w:val="0"/>
        <w:numPr>
          <w:ilvl w:val="0"/>
          <w:numId w:val="9"/>
        </w:numPr>
        <w:overflowPunct w:val="0"/>
        <w:autoSpaceDE w:val="0"/>
        <w:autoSpaceDN w:val="0"/>
        <w:adjustRightInd w:val="0"/>
        <w:ind w:hanging="567"/>
        <w:textAlignment w:val="baseline"/>
        <w:rPr>
          <w:b/>
          <w:bCs/>
          <w:i/>
          <w:iCs/>
          <w:sz w:val="28"/>
          <w:szCs w:val="28"/>
        </w:rPr>
      </w:pPr>
      <w:hyperlink w:history="1" r:id="rId39">
        <w:r w:rsidR="00B6344B">
          <w:rPr>
            <w:rStyle w:val="Hyperlink"/>
            <w:b/>
            <w:i/>
            <w:sz w:val="28"/>
          </w:rPr>
          <w:t>Sosiaalinen asuntotarjonta EU:ssa – kunnollista, kestäväpohjaista ja kohtuuhintaista</w:t>
        </w:r>
      </w:hyperlink>
    </w:p>
    <w:p w:rsidRPr="00A6689B" w:rsidR="00B6344B" w:rsidP="00B6344B" w:rsidRDefault="00B6344B" w14:paraId="7328332A"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B6344B" w:rsidTr="0083717A" w14:paraId="31359773" w14:textId="77777777">
        <w:tc>
          <w:tcPr>
            <w:tcW w:w="1701" w:type="dxa"/>
          </w:tcPr>
          <w:p w:rsidRPr="00A6689B" w:rsidR="00B6344B" w:rsidP="0083717A" w:rsidRDefault="00B6344B" w14:paraId="683FD23C" w14:textId="77777777">
            <w:pPr>
              <w:tabs>
                <w:tab w:val="center" w:pos="284"/>
              </w:tabs>
              <w:ind w:left="266" w:hanging="266"/>
              <w:rPr>
                <w:b/>
              </w:rPr>
            </w:pPr>
            <w:r>
              <w:rPr>
                <w:b/>
              </w:rPr>
              <w:t>Esittelijät</w:t>
            </w:r>
          </w:p>
        </w:tc>
        <w:tc>
          <w:tcPr>
            <w:tcW w:w="5387" w:type="dxa"/>
          </w:tcPr>
          <w:p w:rsidR="00B6344B" w:rsidP="0083717A" w:rsidRDefault="00B6344B" w14:paraId="73712AED" w14:textId="77777777">
            <w:pPr>
              <w:tabs>
                <w:tab w:val="center" w:pos="284"/>
              </w:tabs>
              <w:ind w:left="266" w:hanging="266"/>
            </w:pPr>
            <w:r>
              <w:t xml:space="preserve">Thomas </w:t>
            </w:r>
            <w:proofErr w:type="spellStart"/>
            <w:r>
              <w:t>Kattnig</w:t>
            </w:r>
            <w:proofErr w:type="spellEnd"/>
            <w:r>
              <w:t xml:space="preserve"> (työntekijät – AT)</w:t>
            </w:r>
          </w:p>
          <w:p w:rsidRPr="00A6689B" w:rsidR="00B6344B" w:rsidP="0083717A" w:rsidRDefault="00B6344B" w14:paraId="5788ABD9" w14:textId="77777777">
            <w:pPr>
              <w:tabs>
                <w:tab w:val="center" w:pos="284"/>
              </w:tabs>
              <w:ind w:left="266" w:hanging="266"/>
            </w:pPr>
            <w:r>
              <w:t>Rudolf Kolbe (kansalaisyhteiskunnan organisaatiot – AT)</w:t>
            </w:r>
          </w:p>
        </w:tc>
      </w:tr>
      <w:tr w:rsidRPr="00A6689B" w:rsidR="00B6344B" w:rsidTr="0083717A" w14:paraId="448E7F4F" w14:textId="77777777">
        <w:tc>
          <w:tcPr>
            <w:tcW w:w="7088" w:type="dxa"/>
            <w:gridSpan w:val="2"/>
          </w:tcPr>
          <w:p w:rsidRPr="00A6689B" w:rsidR="00B6344B" w:rsidP="0083717A" w:rsidRDefault="00B6344B" w14:paraId="6FFFD4AA" w14:textId="77777777">
            <w:pPr>
              <w:tabs>
                <w:tab w:val="center" w:pos="284"/>
              </w:tabs>
              <w:spacing w:line="160" w:lineRule="exact"/>
              <w:ind w:left="266" w:hanging="266"/>
              <w:rPr>
                <w:lang w:val="en-US"/>
              </w:rPr>
            </w:pPr>
          </w:p>
        </w:tc>
      </w:tr>
      <w:tr w:rsidRPr="00A6689B" w:rsidR="00B6344B" w:rsidTr="0083717A" w14:paraId="31B29361" w14:textId="77777777">
        <w:tc>
          <w:tcPr>
            <w:tcW w:w="1701" w:type="dxa"/>
          </w:tcPr>
          <w:p w:rsidRPr="00A6689B" w:rsidR="00B6344B" w:rsidP="0083717A" w:rsidRDefault="00B6344B" w14:paraId="29B6D5CA" w14:textId="77777777">
            <w:pPr>
              <w:tabs>
                <w:tab w:val="center" w:pos="284"/>
              </w:tabs>
              <w:ind w:left="266" w:hanging="266"/>
              <w:rPr>
                <w:b/>
              </w:rPr>
            </w:pPr>
            <w:r>
              <w:rPr>
                <w:b/>
              </w:rPr>
              <w:t>Viiteasiakirja</w:t>
            </w:r>
          </w:p>
        </w:tc>
        <w:tc>
          <w:tcPr>
            <w:tcW w:w="5387" w:type="dxa"/>
          </w:tcPr>
          <w:p w:rsidR="00B6344B" w:rsidP="0083717A" w:rsidRDefault="00B6344B" w14:paraId="663462EC" w14:textId="77777777">
            <w:pPr>
              <w:tabs>
                <w:tab w:val="center" w:pos="284"/>
              </w:tabs>
              <w:ind w:left="266" w:hanging="266"/>
            </w:pPr>
            <w:r>
              <w:t>oma-aloitteinen lausunto</w:t>
            </w:r>
          </w:p>
          <w:p w:rsidRPr="00A6689B" w:rsidR="00B6344B" w:rsidP="0083717A" w:rsidRDefault="00B6344B" w14:paraId="02C3EEF3" w14:textId="77777777">
            <w:pPr>
              <w:tabs>
                <w:tab w:val="center" w:pos="284"/>
              </w:tabs>
              <w:ind w:left="266" w:hanging="266"/>
            </w:pPr>
            <w:r>
              <w:t>EESC-2024-01187-00-00-AC</w:t>
            </w:r>
          </w:p>
        </w:tc>
      </w:tr>
    </w:tbl>
    <w:p w:rsidRPr="00A6689B" w:rsidR="00B6344B" w:rsidP="00B6344B" w:rsidRDefault="00B6344B" w14:paraId="2ACCC570" w14:textId="77777777">
      <w:pPr>
        <w:tabs>
          <w:tab w:val="center" w:pos="284"/>
        </w:tabs>
        <w:ind w:left="266" w:hanging="266"/>
      </w:pPr>
    </w:p>
    <w:p w:rsidRPr="00A6689B" w:rsidR="00B6344B" w:rsidP="00B6344B" w:rsidRDefault="00B6344B" w14:paraId="0CBF11F6" w14:textId="77777777">
      <w:pPr>
        <w:keepNext/>
        <w:keepLines/>
        <w:tabs>
          <w:tab w:val="center" w:pos="284"/>
        </w:tabs>
        <w:ind w:left="266" w:hanging="266"/>
        <w:rPr>
          <w:b/>
        </w:rPr>
      </w:pPr>
      <w:r>
        <w:rPr>
          <w:b/>
        </w:rPr>
        <w:t>Keskeiset kohdat</w:t>
      </w:r>
    </w:p>
    <w:p w:rsidRPr="00A6689B" w:rsidR="00B6344B" w:rsidP="00B6344B" w:rsidRDefault="00B6344B" w14:paraId="1920CDA8" w14:textId="77777777">
      <w:pPr>
        <w:keepNext/>
        <w:keepLines/>
        <w:tabs>
          <w:tab w:val="center" w:pos="284"/>
        </w:tabs>
        <w:ind w:left="266" w:hanging="266"/>
        <w:rPr>
          <w:b/>
        </w:rPr>
      </w:pPr>
    </w:p>
    <w:p w:rsidRPr="00A6689B" w:rsidR="00B6344B" w:rsidP="00B6344B" w:rsidRDefault="00B6344B" w14:paraId="1A7E5DDB" w14:textId="77777777">
      <w:pPr>
        <w:rPr>
          <w:bCs/>
          <w:iCs/>
        </w:rPr>
      </w:pPr>
      <w:r>
        <w:t>ETSK</w:t>
      </w:r>
    </w:p>
    <w:p w:rsidRPr="00A6689B" w:rsidR="00B6344B" w:rsidP="00B6344B" w:rsidRDefault="00B6344B" w14:paraId="7CE35A65" w14:textId="77777777">
      <w:pPr>
        <w:widowControl w:val="0"/>
        <w:numPr>
          <w:ilvl w:val="0"/>
          <w:numId w:val="9"/>
        </w:numPr>
        <w:overflowPunct w:val="0"/>
        <w:autoSpaceDE w:val="0"/>
        <w:autoSpaceDN w:val="0"/>
        <w:adjustRightInd w:val="0"/>
        <w:ind w:hanging="567"/>
        <w:textAlignment w:val="baseline"/>
        <w:rPr>
          <w:bCs/>
          <w:iCs/>
        </w:rPr>
      </w:pPr>
      <w:r>
        <w:t xml:space="preserve">katsoo, että asuntomarkkinoiden toiminnassa on puutteita. Tilanteen korjaamiseksi on parannettava esimerkiksi sellaisia perusedellytyksiä kuin tiedonsaantia, koordinointia, hyväksymismenettelyjä ja maankäytön suunnitteluun sovellettavia sääntöjä, vahvistettava oikeus asuntoon perusoikeudeksi, huolehdittava riittävästä rahoituksesta, pantava täytäntöön asunto ensin </w:t>
      </w:r>
      <w:r>
        <w:noBreakHyphen/>
        <w:t>periaate asunnottomien auttamiseksi ja kiinnitettävä enemmän huomiota nuorten tarpeisiin sekä kestävyyteen.</w:t>
      </w:r>
    </w:p>
    <w:p w:rsidRPr="00482E9D" w:rsidR="00B6344B" w:rsidP="00B6344B" w:rsidRDefault="00B6344B" w14:paraId="390FCB9A" w14:textId="77777777">
      <w:pPr>
        <w:widowControl w:val="0"/>
        <w:numPr>
          <w:ilvl w:val="0"/>
          <w:numId w:val="9"/>
        </w:numPr>
        <w:overflowPunct w:val="0"/>
        <w:autoSpaceDE w:val="0"/>
        <w:autoSpaceDN w:val="0"/>
        <w:adjustRightInd w:val="0"/>
        <w:ind w:hanging="567"/>
        <w:textAlignment w:val="baseline"/>
        <w:rPr>
          <w:bCs/>
          <w:iCs/>
        </w:rPr>
      </w:pPr>
      <w:r>
        <w:t xml:space="preserve">suhtautuu myönteisesti uuden, asumisasioista vastaavan komission jäsenen nimittämiseen. Hänellä olisi oltava tukenaan asiantuntijaryhmä, johon kuuluu myös </w:t>
      </w:r>
      <w:proofErr w:type="spellStart"/>
      <w:r>
        <w:t>ETSK:n</w:t>
      </w:r>
      <w:proofErr w:type="spellEnd"/>
      <w:r>
        <w:t xml:space="preserve"> ja Euroopan alueiden komitean edustajia. Lisäksi ETSK pyytää päästä osallistumaan Euroopan parlamenttiin perustettavan asumisasioita käsittelevän erityisvaliokunnan työhön joko tarkkailijana tai neuvonantajana.</w:t>
      </w:r>
    </w:p>
    <w:p w:rsidRPr="00A6689B" w:rsidR="00B6344B" w:rsidP="00B6344B" w:rsidRDefault="00B6344B" w14:paraId="2E02B6FA" w14:textId="77777777">
      <w:pPr>
        <w:widowControl w:val="0"/>
        <w:numPr>
          <w:ilvl w:val="0"/>
          <w:numId w:val="9"/>
        </w:numPr>
        <w:overflowPunct w:val="0"/>
        <w:autoSpaceDE w:val="0"/>
        <w:autoSpaceDN w:val="0"/>
        <w:adjustRightInd w:val="0"/>
        <w:ind w:hanging="567"/>
        <w:textAlignment w:val="baseline"/>
      </w:pPr>
      <w:r>
        <w:t>kehottaa komissiota tunnustamaan sosiaalisen asuntotarjonnan olennaiseksi ja lupaavaksi aktiivisen asuntopolitiikan välineeksi. Kaikille kuuluva perusoikeus kohtuuhintaiseen ja kunnolliseen asuntoon olisi keskipitkällä aikavälillä kirjattava EU:n primaarilainsäädäntöön. Nykyisestä ajattelutavasta, jonka mukaan asuntopolitiikan pitäisi rajoittua vain kaikkein pienituloisimmille kotitalouksille suunnattuun ohjelmaan, olisi luovuttava, ja valtiontukilainsäädäntöä olisi mukautettava tämän mukaisesti, yleisiin taloudellisiin tarkoituksiin liittyviin palveluihin sovellettavan sääntelyjärjestelmän pohjalta. Lisäksi kansallisiin uudistusohjelmiin sekä vakaus- ja lähentymisohjelmiin olisi sisällytettävä asumisasioita koskevia indikaattoreita.</w:t>
      </w:r>
    </w:p>
    <w:p w:rsidR="00B6344B" w:rsidP="00B6344B" w:rsidRDefault="00B6344B" w14:paraId="39325B1B" w14:textId="77777777">
      <w:pPr>
        <w:widowControl w:val="0"/>
        <w:numPr>
          <w:ilvl w:val="0"/>
          <w:numId w:val="9"/>
        </w:numPr>
        <w:overflowPunct w:val="0"/>
        <w:autoSpaceDE w:val="0"/>
        <w:autoSpaceDN w:val="0"/>
        <w:adjustRightInd w:val="0"/>
        <w:ind w:hanging="567"/>
        <w:textAlignment w:val="baseline"/>
      </w:pPr>
      <w:r>
        <w:t>suhtautuu myönteisesti suunnitteilla olevaan kohtuuhintaisia ja kestäviä asuntoja koskevaan yleiseurooppalaiseen investointijärjestelyyn. Voittoa tavoittelemattomien rakennuttajien ja osuuskuntien sekä paikallisviranomaisten olisi voitava saada järjestelyn kautta tai suoraan Euroopan investointipankilta pitkäaikaisia korottomia lainoja.</w:t>
      </w:r>
    </w:p>
    <w:p w:rsidR="00B6344B" w:rsidP="00B6344B" w:rsidRDefault="00B6344B" w14:paraId="5BDDDCD2" w14:textId="77777777">
      <w:pPr>
        <w:widowControl w:val="0"/>
        <w:numPr>
          <w:ilvl w:val="0"/>
          <w:numId w:val="9"/>
        </w:numPr>
        <w:overflowPunct w:val="0"/>
        <w:autoSpaceDE w:val="0"/>
        <w:autoSpaceDN w:val="0"/>
        <w:adjustRightInd w:val="0"/>
        <w:ind w:hanging="567"/>
        <w:textAlignment w:val="baseline"/>
      </w:pPr>
      <w:r>
        <w:t xml:space="preserve">kehottaa komissiota antamaan jäsenvaltioille tarvittaessa suosituksia ja tällä tavoin tukemaan niitä lakisääteisten vuokrakattojen ja tyhjillään pidettäville asunnoille asetettavan veron käyttöönotossa vuokrien hallitsemattoman nousun </w:t>
      </w:r>
      <w:proofErr w:type="spellStart"/>
      <w:r>
        <w:t>suitsimiseksi</w:t>
      </w:r>
      <w:proofErr w:type="spellEnd"/>
      <w:r>
        <w:t>.</w:t>
      </w:r>
    </w:p>
    <w:p w:rsidRPr="00224970" w:rsidR="00B6344B" w:rsidP="00B6344B" w:rsidRDefault="00B6344B" w14:paraId="696D3F1A" w14:textId="77777777">
      <w:pPr>
        <w:widowControl w:val="0"/>
        <w:numPr>
          <w:ilvl w:val="0"/>
          <w:numId w:val="9"/>
        </w:numPr>
        <w:overflowPunct w:val="0"/>
        <w:autoSpaceDE w:val="0"/>
        <w:autoSpaceDN w:val="0"/>
        <w:adjustRightInd w:val="0"/>
        <w:ind w:hanging="567"/>
        <w:textAlignment w:val="baseline"/>
      </w:pPr>
      <w:r>
        <w:t>kehottaa laatimaan toimintasuunnitelman, jossa keskitytään siihen, miten voidaan parantaa erityisesti nuorten mahdollisuuksia saada kohtuuhintaisia asuntoja.</w:t>
      </w:r>
    </w:p>
    <w:p w:rsidRPr="007037E4" w:rsidR="00B6344B" w:rsidP="00B6344B" w:rsidRDefault="00B6344B" w14:paraId="1F1AA7FB" w14:textId="77777777">
      <w:pPr>
        <w:widowControl w:val="0"/>
        <w:ind w:left="709"/>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B6344B" w:rsidTr="0083717A" w14:paraId="694E3E6F" w14:textId="77777777">
        <w:tc>
          <w:tcPr>
            <w:tcW w:w="1418" w:type="dxa"/>
          </w:tcPr>
          <w:p w:rsidRPr="00A6689B" w:rsidR="00B6344B" w:rsidP="0083717A" w:rsidRDefault="00B6344B" w14:paraId="5CAB125C" w14:textId="77777777">
            <w:pPr>
              <w:spacing w:line="240" w:lineRule="auto"/>
              <w:rPr>
                <w:i/>
              </w:rPr>
            </w:pPr>
            <w:r>
              <w:rPr>
                <w:b/>
                <w:i/>
              </w:rPr>
              <w:t>Yhteydenotot</w:t>
            </w:r>
          </w:p>
        </w:tc>
        <w:tc>
          <w:tcPr>
            <w:tcW w:w="5670" w:type="dxa"/>
          </w:tcPr>
          <w:p w:rsidRPr="00A6689B" w:rsidR="00B6344B" w:rsidP="0083717A" w:rsidRDefault="00B6344B" w14:paraId="29EC4CE2" w14:textId="77777777">
            <w:pPr>
              <w:spacing w:line="240" w:lineRule="auto"/>
              <w:rPr>
                <w:i/>
              </w:rPr>
            </w:pPr>
            <w:proofErr w:type="spellStart"/>
            <w:r>
              <w:rPr>
                <w:i/>
              </w:rPr>
              <w:t>Agota</w:t>
            </w:r>
            <w:proofErr w:type="spellEnd"/>
            <w:r>
              <w:rPr>
                <w:i/>
              </w:rPr>
              <w:t xml:space="preserve"> </w:t>
            </w:r>
            <w:proofErr w:type="spellStart"/>
            <w:r>
              <w:rPr>
                <w:i/>
              </w:rPr>
              <w:t>Bazsik</w:t>
            </w:r>
            <w:proofErr w:type="spellEnd"/>
          </w:p>
        </w:tc>
      </w:tr>
      <w:tr w:rsidRPr="00A6689B" w:rsidR="00B6344B" w:rsidTr="0083717A" w14:paraId="5F5E3D43" w14:textId="77777777">
        <w:tc>
          <w:tcPr>
            <w:tcW w:w="1418" w:type="dxa"/>
          </w:tcPr>
          <w:p w:rsidRPr="00A6689B" w:rsidR="00B6344B" w:rsidP="0083717A" w:rsidRDefault="00B6344B" w14:paraId="79BE1B56" w14:textId="77777777">
            <w:pPr>
              <w:spacing w:line="240" w:lineRule="auto"/>
              <w:rPr>
                <w:i/>
              </w:rPr>
            </w:pPr>
            <w:r>
              <w:rPr>
                <w:i/>
              </w:rPr>
              <w:t>P.</w:t>
            </w:r>
          </w:p>
        </w:tc>
        <w:tc>
          <w:tcPr>
            <w:tcW w:w="5670" w:type="dxa"/>
          </w:tcPr>
          <w:p w:rsidRPr="00A6689B" w:rsidR="00B6344B" w:rsidP="0083717A" w:rsidRDefault="00B6344B" w14:paraId="0D2BAB7B" w14:textId="77777777">
            <w:pPr>
              <w:spacing w:line="240" w:lineRule="auto"/>
              <w:rPr>
                <w:i/>
              </w:rPr>
            </w:pPr>
            <w:r>
              <w:rPr>
                <w:i/>
              </w:rPr>
              <w:t>+32 254 68658</w:t>
            </w:r>
          </w:p>
        </w:tc>
      </w:tr>
      <w:tr w:rsidRPr="00A6689B" w:rsidR="00B6344B" w:rsidTr="0083717A" w14:paraId="4B373EDB" w14:textId="77777777">
        <w:tc>
          <w:tcPr>
            <w:tcW w:w="1418" w:type="dxa"/>
          </w:tcPr>
          <w:p w:rsidRPr="00A6689B" w:rsidR="00B6344B" w:rsidP="0083717A" w:rsidRDefault="00B6344B" w14:paraId="3D611A4B" w14:textId="77777777">
            <w:pPr>
              <w:spacing w:line="240" w:lineRule="auto"/>
              <w:rPr>
                <w:i/>
              </w:rPr>
            </w:pPr>
            <w:r>
              <w:rPr>
                <w:i/>
              </w:rPr>
              <w:t>Sähköposti</w:t>
            </w:r>
          </w:p>
        </w:tc>
        <w:tc>
          <w:tcPr>
            <w:tcW w:w="5670" w:type="dxa"/>
          </w:tcPr>
          <w:p w:rsidRPr="00A6689B" w:rsidR="00B6344B" w:rsidP="0083717A" w:rsidRDefault="00C63C8C" w14:paraId="513A78C0" w14:textId="77777777">
            <w:pPr>
              <w:spacing w:line="240" w:lineRule="auto"/>
              <w:rPr>
                <w:i/>
              </w:rPr>
            </w:pPr>
            <w:hyperlink w:history="1" r:id="rId40">
              <w:r w:rsidR="00B6344B">
                <w:rPr>
                  <w:rStyle w:val="Hyperlink"/>
                  <w:i/>
                </w:rPr>
                <w:t>Agota.Bazsik@eesc.europa.eu</w:t>
              </w:r>
            </w:hyperlink>
          </w:p>
        </w:tc>
      </w:tr>
    </w:tbl>
    <w:p w:rsidR="00B70A01" w:rsidRDefault="00B70A01" w14:paraId="3B5E845F" w14:textId="16E7EEBA">
      <w:pPr>
        <w:spacing w:after="160" w:line="259" w:lineRule="auto"/>
        <w:jc w:val="left"/>
      </w:pPr>
      <w:r>
        <w:br w:type="page"/>
      </w:r>
    </w:p>
    <w:p w:rsidR="004D7AC0" w:rsidP="006D6D4E" w:rsidRDefault="004D7AC0" w14:paraId="4982DDF3" w14:textId="77777777">
      <w:pPr>
        <w:pStyle w:val="Heading1"/>
        <w:keepNext/>
        <w:keepLines/>
        <w:rPr>
          <w:b/>
        </w:rPr>
      </w:pPr>
      <w:bookmarkStart w:name="_Toc75527083" w:id="7"/>
      <w:bookmarkStart w:name="_Toc178009575" w:id="8"/>
      <w:r>
        <w:rPr>
          <w:b/>
        </w:rPr>
        <w:lastRenderedPageBreak/>
        <w:t>SISÄMARKKINAT, TUOTANTO JA KULUTUS</w:t>
      </w:r>
      <w:bookmarkEnd w:id="7"/>
      <w:bookmarkEnd w:id="8"/>
    </w:p>
    <w:p w:rsidRPr="006D6D4E" w:rsidR="004D7AC0" w:rsidP="004D7AC0" w:rsidRDefault="004D7AC0" w14:paraId="4982DE1D" w14:textId="77777777">
      <w:pPr>
        <w:pStyle w:val="ListParagraph"/>
        <w:ind w:left="0"/>
        <w:rPr>
          <w:sz w:val="20"/>
          <w:szCs w:val="20"/>
        </w:rPr>
      </w:pPr>
    </w:p>
    <w:p w:rsidRPr="0003586F" w:rsidR="00B6344B" w:rsidP="00B6344B" w:rsidRDefault="00C63C8C" w14:paraId="2332CB81" w14:textId="77777777">
      <w:pPr>
        <w:numPr>
          <w:ilvl w:val="0"/>
          <w:numId w:val="9"/>
        </w:numPr>
        <w:overflowPunct w:val="0"/>
        <w:autoSpaceDE w:val="0"/>
        <w:autoSpaceDN w:val="0"/>
        <w:adjustRightInd w:val="0"/>
        <w:ind w:hanging="567"/>
        <w:textAlignment w:val="baseline"/>
        <w:rPr>
          <w:sz w:val="20"/>
        </w:rPr>
      </w:pPr>
      <w:hyperlink w:history="1" r:id="rId41">
        <w:r w:rsidR="00B6344B">
          <w:rPr>
            <w:rStyle w:val="Hyperlink"/>
            <w:b/>
            <w:i/>
            <w:sz w:val="28"/>
          </w:rPr>
          <w:t>Sisämarkkinat ja unionin tuleva laajentuminen</w:t>
        </w:r>
      </w:hyperlink>
    </w:p>
    <w:p w:rsidRPr="00A6689B" w:rsidR="00B6344B" w:rsidP="00B6344B" w:rsidRDefault="00B6344B" w14:paraId="6EB5CE88" w14:textId="77777777">
      <w:pPr>
        <w:tabs>
          <w:tab w:val="center" w:pos="284"/>
        </w:tabs>
        <w:ind w:left="266" w:hanging="266"/>
        <w:rPr>
          <w:b/>
        </w:rPr>
      </w:pPr>
    </w:p>
    <w:tbl>
      <w:tblPr>
        <w:tblStyle w:val="TableGrid"/>
        <w:tblW w:w="518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7645"/>
      </w:tblGrid>
      <w:tr w:rsidRPr="00A6689B" w:rsidR="00B6344B" w:rsidTr="0083717A" w14:paraId="20CEEB82" w14:textId="77777777">
        <w:trPr>
          <w:trHeight w:val="590"/>
        </w:trPr>
        <w:tc>
          <w:tcPr>
            <w:tcW w:w="1056" w:type="pct"/>
          </w:tcPr>
          <w:p w:rsidRPr="00A6689B" w:rsidR="00B6344B" w:rsidP="0083717A" w:rsidRDefault="00B6344B" w14:paraId="4FC119DD" w14:textId="77777777">
            <w:pPr>
              <w:tabs>
                <w:tab w:val="center" w:pos="284"/>
              </w:tabs>
              <w:ind w:left="266" w:hanging="266"/>
              <w:rPr>
                <w:b/>
              </w:rPr>
            </w:pPr>
            <w:r>
              <w:rPr>
                <w:b/>
              </w:rPr>
              <w:t>Esittelijä</w:t>
            </w:r>
          </w:p>
        </w:tc>
        <w:tc>
          <w:tcPr>
            <w:tcW w:w="3944" w:type="pct"/>
          </w:tcPr>
          <w:p w:rsidRPr="00A6689B" w:rsidR="00B6344B" w:rsidP="0083717A" w:rsidRDefault="00B6344B" w14:paraId="3E0A00D6" w14:textId="77777777">
            <w:pPr>
              <w:tabs>
                <w:tab w:val="center" w:pos="284"/>
              </w:tabs>
              <w:ind w:left="266" w:hanging="266"/>
              <w:jc w:val="left"/>
            </w:pPr>
            <w:proofErr w:type="spellStart"/>
            <w:r>
              <w:t>Stoyan</w:t>
            </w:r>
            <w:proofErr w:type="spellEnd"/>
            <w:r>
              <w:t xml:space="preserve"> </w:t>
            </w:r>
            <w:proofErr w:type="spellStart"/>
            <w:r>
              <w:t>Tchoukanov</w:t>
            </w:r>
            <w:proofErr w:type="spellEnd"/>
            <w:r>
              <w:t xml:space="preserve"> (kansalaisyhteiskunnan organisaatiot – BG)</w:t>
            </w:r>
          </w:p>
        </w:tc>
      </w:tr>
      <w:tr w:rsidRPr="00A6689B" w:rsidR="00B6344B" w:rsidTr="0083717A" w14:paraId="46C6ED4F" w14:textId="77777777">
        <w:trPr>
          <w:trHeight w:val="306"/>
        </w:trPr>
        <w:tc>
          <w:tcPr>
            <w:tcW w:w="1056" w:type="pct"/>
            <w:vMerge w:val="restart"/>
          </w:tcPr>
          <w:p w:rsidRPr="00A6689B" w:rsidR="00B6344B" w:rsidP="0083717A" w:rsidRDefault="00B6344B" w14:paraId="3D2DA4EE" w14:textId="77777777">
            <w:pPr>
              <w:tabs>
                <w:tab w:val="center" w:pos="284"/>
              </w:tabs>
              <w:ind w:left="266" w:hanging="266"/>
              <w:rPr>
                <w:b/>
              </w:rPr>
            </w:pPr>
            <w:r>
              <w:rPr>
                <w:b/>
              </w:rPr>
              <w:t>Viiteasiakirjat</w:t>
            </w:r>
          </w:p>
        </w:tc>
        <w:tc>
          <w:tcPr>
            <w:tcW w:w="3944" w:type="pct"/>
          </w:tcPr>
          <w:p w:rsidRPr="00A6689B" w:rsidR="00B6344B" w:rsidP="0083717A" w:rsidRDefault="00B6344B" w14:paraId="1B1D1BF9" w14:textId="77777777">
            <w:pPr>
              <w:tabs>
                <w:tab w:val="center" w:pos="284"/>
              </w:tabs>
              <w:ind w:left="266" w:hanging="266"/>
            </w:pPr>
            <w:r>
              <w:t>oma-aloitteinen lausunto</w:t>
            </w:r>
          </w:p>
        </w:tc>
      </w:tr>
      <w:tr w:rsidRPr="00A6689B" w:rsidR="00B6344B" w:rsidTr="0083717A" w14:paraId="24C559A5" w14:textId="77777777">
        <w:trPr>
          <w:trHeight w:val="306"/>
        </w:trPr>
        <w:tc>
          <w:tcPr>
            <w:tcW w:w="1056" w:type="pct"/>
            <w:vMerge/>
          </w:tcPr>
          <w:p w:rsidR="00B6344B" w:rsidP="0083717A" w:rsidRDefault="00B6344B" w14:paraId="588ABEF9" w14:textId="77777777">
            <w:pPr>
              <w:tabs>
                <w:tab w:val="center" w:pos="284"/>
              </w:tabs>
              <w:ind w:left="266" w:hanging="266"/>
              <w:rPr>
                <w:b/>
                <w:lang w:val="en-US"/>
              </w:rPr>
            </w:pPr>
          </w:p>
        </w:tc>
        <w:tc>
          <w:tcPr>
            <w:tcW w:w="3944" w:type="pct"/>
          </w:tcPr>
          <w:p w:rsidR="00B6344B" w:rsidP="0083717A" w:rsidRDefault="00B6344B" w14:paraId="5DCD370A" w14:textId="77777777">
            <w:pPr>
              <w:tabs>
                <w:tab w:val="center" w:pos="284"/>
              </w:tabs>
              <w:ind w:left="266" w:hanging="266"/>
            </w:pPr>
            <w:r>
              <w:t>EESC-2024-02187-00-00-AC</w:t>
            </w:r>
          </w:p>
        </w:tc>
      </w:tr>
      <w:tr w:rsidRPr="00A6689B" w:rsidR="00B6344B" w:rsidTr="0083717A" w14:paraId="675307F4" w14:textId="77777777">
        <w:trPr>
          <w:trHeight w:val="295"/>
        </w:trPr>
        <w:tc>
          <w:tcPr>
            <w:tcW w:w="1056" w:type="pct"/>
            <w:vMerge/>
          </w:tcPr>
          <w:p w:rsidRPr="00A6689B" w:rsidR="00B6344B" w:rsidP="0083717A" w:rsidRDefault="00B6344B" w14:paraId="420CCEB5" w14:textId="77777777">
            <w:pPr>
              <w:tabs>
                <w:tab w:val="center" w:pos="284"/>
              </w:tabs>
              <w:ind w:left="266" w:hanging="266"/>
              <w:rPr>
                <w:b/>
                <w:lang w:val="en-US"/>
              </w:rPr>
            </w:pPr>
          </w:p>
        </w:tc>
        <w:tc>
          <w:tcPr>
            <w:tcW w:w="3944" w:type="pct"/>
          </w:tcPr>
          <w:p w:rsidRPr="00A6689B" w:rsidR="00B6344B" w:rsidP="0083717A" w:rsidRDefault="00B6344B" w14:paraId="0062BF56" w14:textId="77777777">
            <w:pPr>
              <w:tabs>
                <w:tab w:val="center" w:pos="284"/>
              </w:tabs>
              <w:ind w:left="266" w:hanging="266"/>
              <w:rPr>
                <w:lang w:val="en-US"/>
              </w:rPr>
            </w:pPr>
          </w:p>
        </w:tc>
      </w:tr>
    </w:tbl>
    <w:p w:rsidRPr="00A6689B" w:rsidR="00B6344B" w:rsidP="00B6344B" w:rsidRDefault="00B6344B" w14:paraId="776500F1" w14:textId="77777777">
      <w:pPr>
        <w:keepNext/>
        <w:keepLines/>
        <w:tabs>
          <w:tab w:val="center" w:pos="284"/>
        </w:tabs>
        <w:ind w:left="266" w:hanging="266"/>
        <w:rPr>
          <w:b/>
        </w:rPr>
      </w:pPr>
      <w:r>
        <w:rPr>
          <w:b/>
        </w:rPr>
        <w:t>Keskeiset kohdat</w:t>
      </w:r>
    </w:p>
    <w:p w:rsidRPr="00A6689B" w:rsidR="00B6344B" w:rsidP="00B6344B" w:rsidRDefault="00B6344B" w14:paraId="78E21BF4" w14:textId="77777777">
      <w:pPr>
        <w:keepNext/>
        <w:keepLines/>
        <w:tabs>
          <w:tab w:val="center" w:pos="284"/>
        </w:tabs>
        <w:ind w:left="266" w:hanging="266"/>
        <w:rPr>
          <w:b/>
        </w:rPr>
      </w:pPr>
    </w:p>
    <w:p w:rsidRPr="00A6689B" w:rsidR="00B6344B" w:rsidP="00B6344B" w:rsidRDefault="00B6344B" w14:paraId="155749F8" w14:textId="77777777">
      <w:pPr>
        <w:rPr>
          <w:bCs/>
          <w:iCs/>
        </w:rPr>
      </w:pPr>
      <w:r>
        <w:t>ETSK</w:t>
      </w:r>
    </w:p>
    <w:p w:rsidRPr="00A6689B" w:rsidR="00B6344B" w:rsidP="00B6344B" w:rsidRDefault="00B6344B" w14:paraId="50BD58FA" w14:textId="77777777">
      <w:pPr>
        <w:rPr>
          <w:bCs/>
          <w:iCs/>
        </w:rPr>
      </w:pPr>
    </w:p>
    <w:p w:rsidRPr="00A6689B" w:rsidR="00B6344B" w:rsidP="00B6344B" w:rsidRDefault="00B6344B" w14:paraId="0B0B5D45" w14:textId="77777777">
      <w:pPr>
        <w:numPr>
          <w:ilvl w:val="0"/>
          <w:numId w:val="9"/>
        </w:numPr>
        <w:overflowPunct w:val="0"/>
        <w:autoSpaceDE w:val="0"/>
        <w:autoSpaceDN w:val="0"/>
        <w:adjustRightInd w:val="0"/>
        <w:ind w:left="709" w:hanging="425"/>
        <w:textAlignment w:val="baseline"/>
        <w:rPr>
          <w:bCs/>
          <w:iCs/>
        </w:rPr>
      </w:pPr>
      <w:r>
        <w:t>pitää EU:n laajentumista menestystarinana ja kannattaa lämpimästi tämänhetkistä kehitystä, joka pantiin alulle neuvoston Granadassa antamalla julistuksella. Sen lisäksi, että ehdokasvaltioiden on valmistauduttava jäsenyyteen, myös EU:n on tehtävä tarvittavat sääntelymuutokset ennen uusien maiden liittymistä.</w:t>
      </w:r>
    </w:p>
    <w:p w:rsidRPr="00F8294E" w:rsidR="00B6344B" w:rsidP="00B6344B" w:rsidRDefault="00B6344B" w14:paraId="4E05C980" w14:textId="77777777">
      <w:pPr>
        <w:numPr>
          <w:ilvl w:val="0"/>
          <w:numId w:val="9"/>
        </w:numPr>
        <w:overflowPunct w:val="0"/>
        <w:autoSpaceDE w:val="0"/>
        <w:autoSpaceDN w:val="0"/>
        <w:adjustRightInd w:val="0"/>
        <w:ind w:left="709" w:hanging="425"/>
        <w:textAlignment w:val="baseline"/>
        <w:rPr>
          <w:bCs/>
          <w:iCs/>
        </w:rPr>
      </w:pPr>
      <w:r>
        <w:t>pitää valitettavana, että Euroopan rahoitusmarkkinoiden nykyinen hajanaisuus johtaa pääoman ulosvirtauksiin ja on uhka Euroopan maailmanlaajuiselle kilpailukyvylle ja yksi suurimmista esteistä tulevalle laajentumiselle rahoitusalalla. Ehdokasvaltiot tarjoaisivat merkittävän potentiaalin investointeja, liiketoimintamahdollisuuksia ja työpaikkoja ajatellen. Ehdotettu säästö- ja investointiunioni auttaisi mobilisoimaan yksityistä pääomaa, parantaisi Euroopan kilpailukykyä, vauhdittaisi kasvua ja tukisi rahoituksen vastaanottokykyä. Laajentuminen parantaisi myös kriittisten raaka-aineiden saatavuutta ja siten Euroopan häiriönsietokykyä ja omavaraisuutta.</w:t>
      </w:r>
    </w:p>
    <w:p w:rsidRPr="00F8294E" w:rsidR="00B6344B" w:rsidP="00B6344B" w:rsidRDefault="00B6344B" w14:paraId="4F101E7F" w14:textId="77777777">
      <w:pPr>
        <w:numPr>
          <w:ilvl w:val="0"/>
          <w:numId w:val="9"/>
        </w:numPr>
        <w:overflowPunct w:val="0"/>
        <w:autoSpaceDE w:val="0"/>
        <w:autoSpaceDN w:val="0"/>
        <w:adjustRightInd w:val="0"/>
        <w:ind w:left="709" w:hanging="425"/>
        <w:textAlignment w:val="baseline"/>
        <w:rPr>
          <w:bCs/>
          <w:iCs/>
        </w:rPr>
      </w:pPr>
      <w:r>
        <w:t xml:space="preserve">toteaa, että edellisessä laajentumisessa oli sekä voittajia että häviäjiä, sillä avautuneet taloudelliset mahdollisuudet eivät olleet kaikille yhtäläisiä. ETSK kehottaa Euroopan komissiota ja ehdokasmaita ottamaan huomioon laajentumisen vaikutukset ja hallitsemaan niitä, jotta sama kehityskulku ei toistuisi, ja kiinnittämään erityistä huomiota pk-yrityksiin sekä EU:ssa että ehdokasmaissa, jotta hyödyt jakautuisivat tasaisesti. </w:t>
      </w:r>
    </w:p>
    <w:p w:rsidRPr="00F8294E" w:rsidR="00B6344B" w:rsidP="00B6344B" w:rsidRDefault="00B6344B" w14:paraId="386ED6AA" w14:textId="77777777">
      <w:pPr>
        <w:numPr>
          <w:ilvl w:val="0"/>
          <w:numId w:val="9"/>
        </w:numPr>
        <w:overflowPunct w:val="0"/>
        <w:autoSpaceDE w:val="0"/>
        <w:autoSpaceDN w:val="0"/>
        <w:adjustRightInd w:val="0"/>
        <w:ind w:left="709" w:hanging="425"/>
        <w:textAlignment w:val="baseline"/>
        <w:rPr>
          <w:bCs/>
          <w:iCs/>
        </w:rPr>
      </w:pPr>
      <w:r>
        <w:t>vaatii järjestämään osallistavan kuulemisprosessin, jossa käsitellään mahdollisten sosiaalisten kustannusten asianmukaista korvaamista, koska laajentumisprosessissa ei ole kyse ainoastaan poliittisten linjausten yhdenmukaistamisesta.</w:t>
      </w:r>
    </w:p>
    <w:p w:rsidRPr="00F8294E" w:rsidR="00B6344B" w:rsidP="00B6344B" w:rsidRDefault="00B6344B" w14:paraId="0F2DFA26" w14:textId="77777777">
      <w:pPr>
        <w:numPr>
          <w:ilvl w:val="0"/>
          <w:numId w:val="9"/>
        </w:numPr>
        <w:overflowPunct w:val="0"/>
        <w:autoSpaceDE w:val="0"/>
        <w:autoSpaceDN w:val="0"/>
        <w:adjustRightInd w:val="0"/>
        <w:ind w:left="709" w:hanging="425"/>
        <w:textAlignment w:val="baseline"/>
        <w:rPr>
          <w:bCs/>
          <w:iCs/>
        </w:rPr>
      </w:pPr>
      <w:r>
        <w:t>korostaa, että EU tarvitsee nopeasti kohdennettuja toimenpiteitä suurimpien esteiden poistamiseksi ja rahoitus-, televiestintä- ja energia-alojen koko potentiaalin valjastamiseksi, ja katsoo, että laajentumismaiden olisi mukautettava käytäntönsä unioniin tulevien ulkomaisten suorien sijoitusten seurantaan tarkoitettujen puitteiden mukaisiksi.</w:t>
      </w:r>
    </w:p>
    <w:p w:rsidRPr="00F8294E" w:rsidR="00B6344B" w:rsidP="00B6344B" w:rsidRDefault="00B6344B" w14:paraId="71E234BB" w14:textId="77777777">
      <w:pPr>
        <w:numPr>
          <w:ilvl w:val="0"/>
          <w:numId w:val="9"/>
        </w:numPr>
        <w:overflowPunct w:val="0"/>
        <w:autoSpaceDE w:val="0"/>
        <w:autoSpaceDN w:val="0"/>
        <w:adjustRightInd w:val="0"/>
        <w:ind w:left="709" w:hanging="425"/>
        <w:textAlignment w:val="baseline"/>
      </w:pPr>
      <w:r>
        <w:t>on sitä mieltä, että laajentumista olisi käsiteltävä keskeisenä aiheena keskusteltaessa seuraavasta monivuotisesta rahoituskehyksestä.</w:t>
      </w:r>
    </w:p>
    <w:p w:rsidRPr="00F8294E" w:rsidR="00B6344B" w:rsidP="00B6344B" w:rsidRDefault="00B6344B" w14:paraId="0E0DDB3B" w14:textId="77777777">
      <w:pPr>
        <w:numPr>
          <w:ilvl w:val="0"/>
          <w:numId w:val="9"/>
        </w:numPr>
        <w:overflowPunct w:val="0"/>
        <w:autoSpaceDE w:val="0"/>
        <w:autoSpaceDN w:val="0"/>
        <w:adjustRightInd w:val="0"/>
        <w:ind w:left="709" w:hanging="425"/>
        <w:textAlignment w:val="baseline"/>
        <w:rPr>
          <w:rFonts w:asciiTheme="minorHAnsi" w:hAnsiTheme="minorHAnsi"/>
        </w:rPr>
      </w:pPr>
      <w:r>
        <w:t>katsoo, että prosessille on saatava uutta pontta nykytilanteessa, jossa geopoliittiset olosuhteet ovat poikkeukselliset ja ratkottavana on yhä useampia haasteita ilmastonmuutoksesta aina energia- ja ympäristösiirtymään.</w:t>
      </w:r>
    </w:p>
    <w:p w:rsidRPr="00F8294E" w:rsidR="00B6344B" w:rsidP="00B6344B" w:rsidRDefault="00B6344B" w14:paraId="44A00C1F" w14:textId="77777777">
      <w:pPr>
        <w:numPr>
          <w:ilvl w:val="0"/>
          <w:numId w:val="9"/>
        </w:numPr>
        <w:overflowPunct w:val="0"/>
        <w:autoSpaceDE w:val="0"/>
        <w:autoSpaceDN w:val="0"/>
        <w:adjustRightInd w:val="0"/>
        <w:ind w:left="709" w:hanging="425"/>
        <w:textAlignment w:val="baseline"/>
      </w:pPr>
      <w:r>
        <w:t>suosittaa, että kansalaisyhteiskunta otetaan mukaan laajentumisprosessiin, ja katsoo, että laajentumisen tulisi olla yksi keskeisistä keinoista, joilla Eurooppa ratkaisee maailmanlaajuisia haasteita.</w:t>
      </w:r>
    </w:p>
    <w:p w:rsidRPr="000624A9" w:rsidR="00B6344B" w:rsidP="00B6344B" w:rsidRDefault="00B6344B" w14:paraId="4AFDE91D" w14:textId="77777777">
      <w:pPr>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A6689B" w:rsidR="00B6344B" w:rsidTr="0083717A" w14:paraId="577B6906" w14:textId="77777777">
        <w:tc>
          <w:tcPr>
            <w:tcW w:w="1556" w:type="pct"/>
          </w:tcPr>
          <w:p w:rsidRPr="00A6689B" w:rsidR="00B6344B" w:rsidP="0083717A" w:rsidRDefault="00B6344B" w14:paraId="09E4CDF0" w14:textId="77777777">
            <w:pPr>
              <w:spacing w:line="240" w:lineRule="auto"/>
              <w:rPr>
                <w:i/>
              </w:rPr>
            </w:pPr>
            <w:r>
              <w:rPr>
                <w:b/>
                <w:i/>
              </w:rPr>
              <w:lastRenderedPageBreak/>
              <w:t>Yhteydenotot</w:t>
            </w:r>
          </w:p>
        </w:tc>
        <w:tc>
          <w:tcPr>
            <w:tcW w:w="3444" w:type="pct"/>
          </w:tcPr>
          <w:p w:rsidRPr="00A6689B" w:rsidR="00B6344B" w:rsidP="0083717A" w:rsidRDefault="00B6344B" w14:paraId="29BD1FD8" w14:textId="77777777">
            <w:pPr>
              <w:spacing w:line="240" w:lineRule="auto"/>
              <w:rPr>
                <w:i/>
              </w:rPr>
            </w:pPr>
            <w:proofErr w:type="spellStart"/>
            <w:r>
              <w:rPr>
                <w:i/>
              </w:rPr>
              <w:t>Annalisa</w:t>
            </w:r>
            <w:proofErr w:type="spellEnd"/>
            <w:r>
              <w:rPr>
                <w:i/>
              </w:rPr>
              <w:t xml:space="preserve"> TESSAROLO </w:t>
            </w:r>
          </w:p>
        </w:tc>
      </w:tr>
      <w:tr w:rsidRPr="00A6689B" w:rsidR="00B6344B" w:rsidTr="0083717A" w14:paraId="354CEAAB" w14:textId="77777777">
        <w:tc>
          <w:tcPr>
            <w:tcW w:w="1556" w:type="pct"/>
          </w:tcPr>
          <w:p w:rsidRPr="00A6689B" w:rsidR="00B6344B" w:rsidP="0083717A" w:rsidRDefault="00B6344B" w14:paraId="3478F6ED" w14:textId="77777777">
            <w:pPr>
              <w:spacing w:line="240" w:lineRule="auto"/>
              <w:rPr>
                <w:i/>
              </w:rPr>
            </w:pPr>
            <w:r>
              <w:rPr>
                <w:i/>
              </w:rPr>
              <w:t>P.</w:t>
            </w:r>
          </w:p>
        </w:tc>
        <w:tc>
          <w:tcPr>
            <w:tcW w:w="3444" w:type="pct"/>
          </w:tcPr>
          <w:p w:rsidRPr="00A6689B" w:rsidR="00B6344B" w:rsidP="0083717A" w:rsidRDefault="00B6344B" w14:paraId="1FA5C395" w14:textId="77777777">
            <w:pPr>
              <w:spacing w:line="240" w:lineRule="auto"/>
              <w:rPr>
                <w:i/>
              </w:rPr>
            </w:pPr>
            <w:r>
              <w:rPr>
                <w:i/>
              </w:rPr>
              <w:t>+32 25469732</w:t>
            </w:r>
          </w:p>
        </w:tc>
      </w:tr>
      <w:tr w:rsidRPr="00A6689B" w:rsidR="00B6344B" w:rsidTr="0083717A" w14:paraId="3F561D46" w14:textId="77777777">
        <w:tc>
          <w:tcPr>
            <w:tcW w:w="1556" w:type="pct"/>
          </w:tcPr>
          <w:p w:rsidRPr="00A6689B" w:rsidR="00B6344B" w:rsidP="0083717A" w:rsidRDefault="00B6344B" w14:paraId="62D37D28" w14:textId="77777777">
            <w:pPr>
              <w:spacing w:line="240" w:lineRule="auto"/>
              <w:rPr>
                <w:i/>
              </w:rPr>
            </w:pPr>
            <w:r>
              <w:rPr>
                <w:i/>
              </w:rPr>
              <w:t>Sähköposti</w:t>
            </w:r>
          </w:p>
        </w:tc>
        <w:tc>
          <w:tcPr>
            <w:tcW w:w="3444" w:type="pct"/>
          </w:tcPr>
          <w:p w:rsidRPr="00A6689B" w:rsidR="00B6344B" w:rsidP="0083717A" w:rsidRDefault="00C63C8C" w14:paraId="66755BF8" w14:textId="77777777">
            <w:pPr>
              <w:spacing w:line="240" w:lineRule="auto"/>
              <w:rPr>
                <w:i/>
              </w:rPr>
            </w:pPr>
            <w:hyperlink w:history="1" r:id="rId42">
              <w:r w:rsidR="00B6344B">
                <w:rPr>
                  <w:rStyle w:val="Hyperlink"/>
                  <w:i/>
                </w:rPr>
                <w:t>Annalisa.Tessarolo@eesc.europa.eu</w:t>
              </w:r>
            </w:hyperlink>
            <w:r w:rsidR="00B6344B">
              <w:rPr>
                <w:i/>
              </w:rPr>
              <w:t xml:space="preserve"> </w:t>
            </w:r>
          </w:p>
        </w:tc>
      </w:tr>
    </w:tbl>
    <w:p w:rsidR="00BE4A01" w:rsidP="00B6344B" w:rsidRDefault="00BE4A01" w14:paraId="6F747375" w14:textId="77777777">
      <w:pPr>
        <w:numPr>
          <w:ilvl w:val="0"/>
          <w:numId w:val="9"/>
        </w:numPr>
        <w:overflowPunct w:val="0"/>
        <w:autoSpaceDE w:val="0"/>
        <w:autoSpaceDN w:val="0"/>
        <w:adjustRightInd w:val="0"/>
        <w:ind w:left="283"/>
        <w:textAlignment w:val="baseline"/>
        <w:sectPr w:rsidR="00BE4A01" w:rsidSect="00902A1F">
          <w:pgSz w:w="11907" w:h="16839"/>
          <w:pgMar w:top="1418" w:right="1134" w:bottom="1418" w:left="1418" w:header="709" w:footer="709" w:gutter="0"/>
          <w:cols w:space="708"/>
          <w:docGrid w:linePitch="360"/>
        </w:sectPr>
      </w:pPr>
    </w:p>
    <w:p w:rsidRPr="00D97C22" w:rsidR="00B6344B" w:rsidP="00B6344B" w:rsidRDefault="00C63C8C" w14:paraId="239E021D" w14:textId="61BB7495">
      <w:pPr>
        <w:numPr>
          <w:ilvl w:val="0"/>
          <w:numId w:val="9"/>
        </w:numPr>
        <w:overflowPunct w:val="0"/>
        <w:autoSpaceDE w:val="0"/>
        <w:autoSpaceDN w:val="0"/>
        <w:adjustRightInd w:val="0"/>
        <w:ind w:left="283"/>
        <w:textAlignment w:val="baseline"/>
        <w:rPr>
          <w:b/>
          <w:bCs/>
          <w:i/>
          <w:iCs/>
          <w:sz w:val="28"/>
          <w:szCs w:val="28"/>
        </w:rPr>
      </w:pPr>
      <w:hyperlink w:history="1" r:id="rId43">
        <w:r w:rsidR="00B6344B">
          <w:rPr>
            <w:rStyle w:val="Hyperlink"/>
            <w:b/>
            <w:i/>
            <w:sz w:val="28"/>
          </w:rPr>
          <w:t>Schengenin ulkopuolelle jäämisen kustannukset sisämarkkinoiden kannalta – Bulgaria ja Romania</w:t>
        </w:r>
      </w:hyperlink>
    </w:p>
    <w:p w:rsidR="00B6344B" w:rsidP="00B6344B" w:rsidRDefault="00B6344B" w14:paraId="7FC3C63B"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B6344B" w:rsidTr="0083717A" w14:paraId="2A134224" w14:textId="77777777">
        <w:tc>
          <w:tcPr>
            <w:tcW w:w="1701" w:type="dxa"/>
          </w:tcPr>
          <w:p w:rsidRPr="00A6689B" w:rsidR="00B6344B" w:rsidP="0083717A" w:rsidRDefault="00B6344B" w14:paraId="1498D260" w14:textId="77777777">
            <w:pPr>
              <w:tabs>
                <w:tab w:val="center" w:pos="284"/>
              </w:tabs>
              <w:ind w:left="266" w:hanging="266"/>
              <w:rPr>
                <w:b/>
              </w:rPr>
            </w:pPr>
            <w:r>
              <w:rPr>
                <w:b/>
              </w:rPr>
              <w:t>Esittelijä</w:t>
            </w:r>
          </w:p>
        </w:tc>
        <w:tc>
          <w:tcPr>
            <w:tcW w:w="5387" w:type="dxa"/>
          </w:tcPr>
          <w:p w:rsidRPr="00A6689B" w:rsidR="00B6344B" w:rsidP="0083717A" w:rsidRDefault="00B6344B" w14:paraId="45CB79FA" w14:textId="77777777">
            <w:pPr>
              <w:tabs>
                <w:tab w:val="center" w:pos="284"/>
              </w:tabs>
              <w:ind w:left="266" w:hanging="266"/>
            </w:pPr>
            <w:proofErr w:type="spellStart"/>
            <w:r>
              <w:t>Mariya</w:t>
            </w:r>
            <w:proofErr w:type="spellEnd"/>
            <w:r>
              <w:t xml:space="preserve"> MINCHEVA (työnantajat – BG)</w:t>
            </w:r>
          </w:p>
        </w:tc>
      </w:tr>
      <w:tr w:rsidRPr="00A6689B" w:rsidR="00B6344B" w:rsidTr="0083717A" w14:paraId="208D92B5" w14:textId="77777777">
        <w:tc>
          <w:tcPr>
            <w:tcW w:w="7088" w:type="dxa"/>
            <w:gridSpan w:val="2"/>
          </w:tcPr>
          <w:p w:rsidRPr="00A6689B" w:rsidR="00B6344B" w:rsidP="0083717A" w:rsidRDefault="00B6344B" w14:paraId="3FDD1C25" w14:textId="77777777">
            <w:pPr>
              <w:tabs>
                <w:tab w:val="center" w:pos="284"/>
              </w:tabs>
              <w:ind w:left="266" w:hanging="266"/>
              <w:rPr>
                <w:lang w:val="en-US"/>
              </w:rPr>
            </w:pPr>
          </w:p>
        </w:tc>
      </w:tr>
      <w:tr w:rsidRPr="00A6689B" w:rsidR="00B6344B" w:rsidTr="0083717A" w14:paraId="344BDE7E" w14:textId="77777777">
        <w:tc>
          <w:tcPr>
            <w:tcW w:w="1701" w:type="dxa"/>
            <w:vMerge w:val="restart"/>
          </w:tcPr>
          <w:p w:rsidRPr="00A6689B" w:rsidR="00B6344B" w:rsidP="0083717A" w:rsidRDefault="00B6344B" w14:paraId="7241E65E" w14:textId="77777777">
            <w:pPr>
              <w:tabs>
                <w:tab w:val="center" w:pos="284"/>
              </w:tabs>
              <w:ind w:left="266" w:hanging="266"/>
              <w:rPr>
                <w:b/>
              </w:rPr>
            </w:pPr>
            <w:r>
              <w:rPr>
                <w:b/>
              </w:rPr>
              <w:t>Viiteasiakirja</w:t>
            </w:r>
          </w:p>
        </w:tc>
        <w:tc>
          <w:tcPr>
            <w:tcW w:w="5387" w:type="dxa"/>
          </w:tcPr>
          <w:p w:rsidR="00B6344B" w:rsidP="0083717A" w:rsidRDefault="00B6344B" w14:paraId="652FA253" w14:textId="77777777">
            <w:pPr>
              <w:tabs>
                <w:tab w:val="center" w:pos="284"/>
              </w:tabs>
              <w:ind w:left="266" w:hanging="266"/>
            </w:pPr>
            <w:r>
              <w:t>oma-aloitteinen lausunto</w:t>
            </w:r>
          </w:p>
          <w:p w:rsidRPr="00A6689B" w:rsidR="00B6344B" w:rsidP="0083717A" w:rsidRDefault="00B6344B" w14:paraId="6F7345DB" w14:textId="77777777">
            <w:pPr>
              <w:tabs>
                <w:tab w:val="center" w:pos="284"/>
              </w:tabs>
              <w:ind w:left="266" w:hanging="266"/>
            </w:pPr>
            <w:r>
              <w:t>EESC-2024-01449-00-00-AC-TRA</w:t>
            </w:r>
          </w:p>
        </w:tc>
      </w:tr>
      <w:tr w:rsidRPr="00A6689B" w:rsidR="00B6344B" w:rsidTr="0083717A" w14:paraId="5018F9A2" w14:textId="77777777">
        <w:tc>
          <w:tcPr>
            <w:tcW w:w="1701" w:type="dxa"/>
            <w:vMerge/>
          </w:tcPr>
          <w:p w:rsidRPr="00A6689B" w:rsidR="00B6344B" w:rsidP="0083717A" w:rsidRDefault="00B6344B" w14:paraId="5DA34C08" w14:textId="77777777">
            <w:pPr>
              <w:tabs>
                <w:tab w:val="center" w:pos="284"/>
              </w:tabs>
              <w:ind w:left="266" w:hanging="266"/>
              <w:rPr>
                <w:b/>
                <w:lang w:val="en-US"/>
              </w:rPr>
            </w:pPr>
          </w:p>
        </w:tc>
        <w:tc>
          <w:tcPr>
            <w:tcW w:w="5387" w:type="dxa"/>
          </w:tcPr>
          <w:p w:rsidRPr="00A6689B" w:rsidR="00B6344B" w:rsidP="0083717A" w:rsidRDefault="00B6344B" w14:paraId="5CA8BAF4" w14:textId="77777777">
            <w:pPr>
              <w:tabs>
                <w:tab w:val="center" w:pos="284"/>
              </w:tabs>
              <w:ind w:left="266" w:hanging="266"/>
              <w:rPr>
                <w:lang w:val="en-US"/>
              </w:rPr>
            </w:pPr>
          </w:p>
        </w:tc>
      </w:tr>
    </w:tbl>
    <w:p w:rsidR="00B6344B" w:rsidP="00B6344B" w:rsidRDefault="00B6344B" w14:paraId="692D9145" w14:textId="77777777">
      <w:pPr>
        <w:tabs>
          <w:tab w:val="center" w:pos="284"/>
        </w:tabs>
        <w:ind w:left="266" w:hanging="266"/>
        <w:rPr>
          <w:b/>
        </w:rPr>
      </w:pPr>
    </w:p>
    <w:p w:rsidRPr="00A6689B" w:rsidR="00B6344B" w:rsidP="00B6344B" w:rsidRDefault="00B6344B" w14:paraId="142AE09B" w14:textId="77777777">
      <w:pPr>
        <w:tabs>
          <w:tab w:val="center" w:pos="284"/>
        </w:tabs>
        <w:ind w:left="266" w:hanging="266"/>
        <w:rPr>
          <w:b/>
        </w:rPr>
      </w:pPr>
      <w:r>
        <w:rPr>
          <w:b/>
        </w:rPr>
        <w:t>Keskeiset kohdat</w:t>
      </w:r>
    </w:p>
    <w:p w:rsidRPr="00A6689B" w:rsidR="00B6344B" w:rsidP="00B6344B" w:rsidRDefault="00B6344B" w14:paraId="4BF75A4C" w14:textId="77777777">
      <w:pPr>
        <w:tabs>
          <w:tab w:val="center" w:pos="284"/>
        </w:tabs>
        <w:ind w:left="266" w:hanging="266"/>
        <w:rPr>
          <w:b/>
        </w:rPr>
      </w:pPr>
    </w:p>
    <w:p w:rsidRPr="00A6689B" w:rsidR="00B6344B" w:rsidP="00B6344B" w:rsidRDefault="00B6344B" w14:paraId="6B4FF417" w14:textId="77777777">
      <w:pPr>
        <w:rPr>
          <w:bCs/>
          <w:iCs/>
        </w:rPr>
      </w:pPr>
      <w:r>
        <w:t>ETSK</w:t>
      </w:r>
    </w:p>
    <w:p w:rsidRPr="00A6689B" w:rsidR="00B6344B" w:rsidP="00B6344B" w:rsidRDefault="00B6344B" w14:paraId="7554186E" w14:textId="77777777">
      <w:pPr>
        <w:rPr>
          <w:bCs/>
          <w:iCs/>
        </w:rPr>
      </w:pPr>
    </w:p>
    <w:p w:rsidR="00B6344B" w:rsidP="00B6344B" w:rsidRDefault="00B6344B" w14:paraId="363A1A64" w14:textId="77777777">
      <w:pPr>
        <w:numPr>
          <w:ilvl w:val="0"/>
          <w:numId w:val="9"/>
        </w:numPr>
        <w:overflowPunct w:val="0"/>
        <w:autoSpaceDE w:val="0"/>
        <w:autoSpaceDN w:val="0"/>
        <w:adjustRightInd w:val="0"/>
        <w:textAlignment w:val="baseline"/>
        <w:rPr>
          <w:bCs/>
          <w:iCs/>
        </w:rPr>
      </w:pPr>
      <w:r>
        <w:t>kehottaa neuvostoa asettamaan vielä vuonna 2024 määräajan, johon mennessä Bulgarian ja Romanian ja muiden Schengen-jäsenvaltioiden väliset maarajatarkastukset on poistettava. Komitea kehottaa kaikkia sidosryhmiä tekemään yhteistyötä tämän tavoitteen saavuttamiseksi ja varmistamaan, että Schengen-jäsenyyden edut saatetaan yhtäläisesti kaikkien EU:n kansalaisten ulottuville.</w:t>
      </w:r>
    </w:p>
    <w:p w:rsidRPr="008C3C67" w:rsidR="00B6344B" w:rsidP="00B6344B" w:rsidRDefault="00B6344B" w14:paraId="6E132D7D" w14:textId="77777777">
      <w:pPr>
        <w:numPr>
          <w:ilvl w:val="0"/>
          <w:numId w:val="9"/>
        </w:numPr>
        <w:overflowPunct w:val="0"/>
        <w:autoSpaceDE w:val="0"/>
        <w:autoSpaceDN w:val="0"/>
        <w:adjustRightInd w:val="0"/>
        <w:textAlignment w:val="baseline"/>
        <w:rPr>
          <w:bCs/>
          <w:iCs/>
        </w:rPr>
      </w:pPr>
      <w:r>
        <w:t xml:space="preserve">korostaa, että Schengenin sopimus on välttämätön ihmisten, tavaroiden, palvelujen ja pääoman vapaalle liikkuvuudelle EU:ssa ja että EU:n kilpailukyvystä on tullut kiireellinen poliittinen painopiste, kuten Enrico </w:t>
      </w:r>
      <w:proofErr w:type="spellStart"/>
      <w:r>
        <w:t>Lettan</w:t>
      </w:r>
      <w:proofErr w:type="spellEnd"/>
      <w:r>
        <w:t xml:space="preserve"> ja Mario </w:t>
      </w:r>
      <w:proofErr w:type="spellStart"/>
      <w:r>
        <w:t>Draghin</w:t>
      </w:r>
      <w:proofErr w:type="spellEnd"/>
      <w:r>
        <w:t xml:space="preserve"> viimeaikaisissa raporteissa korostetaan.</w:t>
      </w:r>
    </w:p>
    <w:p w:rsidRPr="00AE69BB" w:rsidR="00B6344B" w:rsidP="00B6344B" w:rsidRDefault="00B6344B" w14:paraId="70C51955" w14:textId="77777777">
      <w:pPr>
        <w:numPr>
          <w:ilvl w:val="0"/>
          <w:numId w:val="9"/>
        </w:numPr>
        <w:overflowPunct w:val="0"/>
        <w:autoSpaceDE w:val="0"/>
        <w:autoSpaceDN w:val="0"/>
        <w:adjustRightInd w:val="0"/>
        <w:textAlignment w:val="baseline"/>
        <w:rPr>
          <w:bCs/>
          <w:iCs/>
        </w:rPr>
      </w:pPr>
      <w:r>
        <w:t>katsoo, että Euroopan sisämarkkinat ovat merkittävistä saavutuksistaan huolimatta edelleen keskeneräiset. Kaikki vapaan liikkuvuuden rajoitukset sisämarkkinoilla vaikuttavat kielteisesti EU:n kilpailukykyyn ja talouskasvuun ja haittaavat näin perussopimuksissa tarkoitetun sosiaalisen markkinatalouden täysimääräistä toteutumista.</w:t>
      </w:r>
    </w:p>
    <w:p w:rsidR="00B6344B" w:rsidP="00B6344B" w:rsidRDefault="00B6344B" w14:paraId="5469B4B5" w14:textId="77777777">
      <w:pPr>
        <w:numPr>
          <w:ilvl w:val="0"/>
          <w:numId w:val="9"/>
        </w:numPr>
        <w:overflowPunct w:val="0"/>
        <w:autoSpaceDE w:val="0"/>
        <w:autoSpaceDN w:val="0"/>
        <w:adjustRightInd w:val="0"/>
        <w:textAlignment w:val="baseline"/>
        <w:rPr>
          <w:bCs/>
          <w:iCs/>
        </w:rPr>
      </w:pPr>
      <w:r>
        <w:t>katsoo, että Euroopan komission olisi säännöllisesti toimitettava luotettavia tietoja taloudellisista ja sosiaalisista vaikutuksista, jotka liittyvät suoraan rajatarkastusten käyttöönottoon Schengen-alueella. Myös kilpailukykyyn kohdistuvia vaikutuksia olisi tarkasteltava.</w:t>
      </w:r>
    </w:p>
    <w:p w:rsidRPr="008C3C67" w:rsidR="00B6344B" w:rsidP="00B6344B" w:rsidRDefault="00B6344B" w14:paraId="76467412" w14:textId="77777777">
      <w:pPr>
        <w:numPr>
          <w:ilvl w:val="0"/>
          <w:numId w:val="9"/>
        </w:numPr>
        <w:overflowPunct w:val="0"/>
        <w:autoSpaceDE w:val="0"/>
        <w:autoSpaceDN w:val="0"/>
        <w:adjustRightInd w:val="0"/>
        <w:textAlignment w:val="baseline"/>
        <w:rPr>
          <w:bCs/>
          <w:iCs/>
        </w:rPr>
      </w:pPr>
      <w:r>
        <w:t>huomauttaa, että erilaiset arviot osoittavat, että Bulgariassa ja Romaniassa toimiville yrityksille aiheutuu vuosittain miljardien eurojen menetykset korkeampien kustannusten ja toimitusviiveiden takia. Kaikki nämä välittömät kustannukset siirtyvät väistämättä kuluttajille ja niillä on myös vaikutusta työntekijöiden fyysiseen terveyteen ja mielenterveyteen.</w:t>
      </w:r>
    </w:p>
    <w:p w:rsidR="00B6344B" w:rsidP="00B6344B" w:rsidRDefault="00B6344B" w14:paraId="07DFBB19" w14:textId="77777777">
      <w:pPr>
        <w:numPr>
          <w:ilvl w:val="0"/>
          <w:numId w:val="9"/>
        </w:numPr>
        <w:overflowPunct w:val="0"/>
        <w:autoSpaceDE w:val="0"/>
        <w:autoSpaceDN w:val="0"/>
        <w:adjustRightInd w:val="0"/>
        <w:textAlignment w:val="baseline"/>
        <w:rPr>
          <w:bCs/>
          <w:iCs/>
        </w:rPr>
      </w:pPr>
      <w:r>
        <w:t>korostaa, että maarajatarkastuksilla on selkeitä ympäristövaikutuksia rajanylitystä odottavien ajoneuvojen hiilidioksidipäästöjen muodossa. Tarkastukset haittaavat matkailua ja työvoiman vapaata liikkuvuutta, ja niihin liittyvä epävarmuus ja tehottomuus vähentävät halukkuutta tehdä ulkomaisia suoria sijoituksia ja vahingoittavat investointi-ilmapiiriä.</w:t>
      </w:r>
    </w:p>
    <w:p w:rsidRPr="008C3C67" w:rsidR="00B6344B" w:rsidP="00B6344B" w:rsidRDefault="00B6344B" w14:paraId="2D195891" w14:textId="77777777">
      <w:pPr>
        <w:numPr>
          <w:ilvl w:val="0"/>
          <w:numId w:val="9"/>
        </w:numPr>
        <w:overflowPunct w:val="0"/>
        <w:autoSpaceDE w:val="0"/>
        <w:autoSpaceDN w:val="0"/>
        <w:adjustRightInd w:val="0"/>
        <w:textAlignment w:val="baseline"/>
        <w:rPr>
          <w:bCs/>
          <w:iCs/>
        </w:rPr>
      </w:pPr>
      <w:r>
        <w:t>painottaa, että Bulgarian ja Romanian jättämisellä Schengenin ulkopuolelle on poliittinen hintansa. Schengen-jäsenyyttä ei pitäisi käyttää epävirallisena, EU:hun liittymisen jälkeisenä ehdollisuuden muotona. Tällainen toimintamalli aiheuttaa epäluottamusta EU:n toimielimiä kohtaan ja ruokkii euroskeptisiä asenteita.</w:t>
      </w:r>
    </w:p>
    <w:p w:rsidRPr="008C3C67" w:rsidR="00B6344B" w:rsidP="00B6344B" w:rsidRDefault="00B6344B" w14:paraId="40678C24" w14:textId="77777777">
      <w:pPr>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3"/>
        <w:gridCol w:w="5670"/>
      </w:tblGrid>
      <w:tr w:rsidRPr="00A6689B" w:rsidR="00B6344B" w:rsidTr="0083717A" w14:paraId="6E488929" w14:textId="77777777">
        <w:tc>
          <w:tcPr>
            <w:tcW w:w="1418" w:type="dxa"/>
          </w:tcPr>
          <w:p w:rsidRPr="00A6689B" w:rsidR="00B6344B" w:rsidP="0083717A" w:rsidRDefault="00B6344B" w14:paraId="5F781645" w14:textId="77777777">
            <w:pPr>
              <w:spacing w:line="240" w:lineRule="auto"/>
              <w:rPr>
                <w:i/>
              </w:rPr>
            </w:pPr>
            <w:r>
              <w:rPr>
                <w:b/>
                <w:i/>
              </w:rPr>
              <w:t>Yhteydentotot</w:t>
            </w:r>
          </w:p>
        </w:tc>
        <w:tc>
          <w:tcPr>
            <w:tcW w:w="5670" w:type="dxa"/>
          </w:tcPr>
          <w:p w:rsidRPr="00A6689B" w:rsidR="00B6344B" w:rsidP="0083717A" w:rsidRDefault="00B6344B" w14:paraId="1CFB4310" w14:textId="77777777">
            <w:pPr>
              <w:spacing w:line="240" w:lineRule="auto"/>
              <w:rPr>
                <w:i/>
              </w:rPr>
            </w:pPr>
            <w:proofErr w:type="spellStart"/>
            <w:r>
              <w:rPr>
                <w:i/>
              </w:rPr>
              <w:t>Annalisa</w:t>
            </w:r>
            <w:proofErr w:type="spellEnd"/>
            <w:r>
              <w:rPr>
                <w:i/>
              </w:rPr>
              <w:t xml:space="preserve"> </w:t>
            </w:r>
            <w:proofErr w:type="spellStart"/>
            <w:r>
              <w:rPr>
                <w:i/>
              </w:rPr>
              <w:t>Tessarolo</w:t>
            </w:r>
            <w:proofErr w:type="spellEnd"/>
          </w:p>
        </w:tc>
      </w:tr>
      <w:tr w:rsidRPr="00A6689B" w:rsidR="00B6344B" w:rsidTr="0083717A" w14:paraId="614D002E" w14:textId="77777777">
        <w:tc>
          <w:tcPr>
            <w:tcW w:w="1418" w:type="dxa"/>
          </w:tcPr>
          <w:p w:rsidRPr="00A6689B" w:rsidR="00B6344B" w:rsidP="0083717A" w:rsidRDefault="00B6344B" w14:paraId="6FC2ED9E" w14:textId="77777777">
            <w:pPr>
              <w:spacing w:line="240" w:lineRule="auto"/>
              <w:rPr>
                <w:i/>
              </w:rPr>
            </w:pPr>
            <w:r>
              <w:rPr>
                <w:i/>
              </w:rPr>
              <w:t>P.</w:t>
            </w:r>
          </w:p>
        </w:tc>
        <w:tc>
          <w:tcPr>
            <w:tcW w:w="5670" w:type="dxa"/>
          </w:tcPr>
          <w:p w:rsidRPr="00A6689B" w:rsidR="00B6344B" w:rsidP="0083717A" w:rsidRDefault="00B6344B" w14:paraId="2422ACD4" w14:textId="77777777">
            <w:pPr>
              <w:spacing w:line="240" w:lineRule="auto"/>
              <w:rPr>
                <w:i/>
              </w:rPr>
            </w:pPr>
            <w:r>
              <w:rPr>
                <w:i/>
              </w:rPr>
              <w:t>+32 25469732</w:t>
            </w:r>
          </w:p>
        </w:tc>
      </w:tr>
      <w:tr w:rsidRPr="00A6689B" w:rsidR="00B6344B" w:rsidTr="0083717A" w14:paraId="2F49D921" w14:textId="77777777">
        <w:tc>
          <w:tcPr>
            <w:tcW w:w="1418" w:type="dxa"/>
          </w:tcPr>
          <w:p w:rsidRPr="00A6689B" w:rsidR="00B6344B" w:rsidP="0083717A" w:rsidRDefault="00B6344B" w14:paraId="620CC345" w14:textId="77777777">
            <w:pPr>
              <w:spacing w:line="240" w:lineRule="auto"/>
              <w:rPr>
                <w:i/>
              </w:rPr>
            </w:pPr>
            <w:r>
              <w:rPr>
                <w:i/>
              </w:rPr>
              <w:t>Sähköposti</w:t>
            </w:r>
          </w:p>
        </w:tc>
        <w:tc>
          <w:tcPr>
            <w:tcW w:w="5670" w:type="dxa"/>
          </w:tcPr>
          <w:p w:rsidR="00B6344B" w:rsidP="0083717A" w:rsidRDefault="00C63C8C" w14:paraId="1EAC10C0" w14:textId="77777777">
            <w:pPr>
              <w:spacing w:line="240" w:lineRule="auto"/>
              <w:rPr>
                <w:i/>
              </w:rPr>
            </w:pPr>
            <w:hyperlink w:history="1" r:id="rId44">
              <w:r w:rsidR="00B6344B">
                <w:rPr>
                  <w:rStyle w:val="Hyperlink"/>
                  <w:i/>
                </w:rPr>
                <w:t>Annalisa.Tessarolo@eesc.europa.eu</w:t>
              </w:r>
            </w:hyperlink>
          </w:p>
          <w:p w:rsidRPr="00A6689B" w:rsidR="00B6344B" w:rsidP="0083717A" w:rsidRDefault="00B6344B" w14:paraId="4A0B51B1" w14:textId="77777777">
            <w:pPr>
              <w:spacing w:line="240" w:lineRule="auto"/>
              <w:rPr>
                <w:i/>
                <w:lang w:val="en-US"/>
              </w:rPr>
            </w:pPr>
          </w:p>
        </w:tc>
      </w:tr>
    </w:tbl>
    <w:p w:rsidR="003E4C29" w:rsidRDefault="003E4C29" w14:paraId="39B04A94" w14:textId="77777777">
      <w:pPr>
        <w:spacing w:after="160" w:line="259" w:lineRule="auto"/>
        <w:jc w:val="left"/>
      </w:pPr>
      <w:r>
        <w:lastRenderedPageBreak/>
        <w:br w:type="page"/>
      </w:r>
    </w:p>
    <w:p w:rsidR="004D7AC0" w:rsidP="004D7AC0" w:rsidRDefault="004D7AC0" w14:paraId="4982DE1F" w14:textId="77777777">
      <w:pPr>
        <w:pStyle w:val="Heading1"/>
        <w:rPr>
          <w:b/>
        </w:rPr>
      </w:pPr>
      <w:bookmarkStart w:name="_Toc70322234" w:id="9"/>
      <w:bookmarkStart w:name="_Toc75527084" w:id="10"/>
      <w:bookmarkStart w:name="_Toc178009576" w:id="11"/>
      <w:r>
        <w:rPr>
          <w:b/>
        </w:rPr>
        <w:lastRenderedPageBreak/>
        <w:t>MAATALOUS, MAASEUDUN KEHITTÄMINEN JA YMPÄRISTÖ</w:t>
      </w:r>
      <w:bookmarkEnd w:id="9"/>
      <w:bookmarkEnd w:id="10"/>
      <w:bookmarkEnd w:id="11"/>
    </w:p>
    <w:p w:rsidR="00F03EB0" w:rsidRDefault="00F03EB0" w14:paraId="76EDAB9B" w14:textId="6E6576A7">
      <w:pPr>
        <w:spacing w:after="160" w:line="259" w:lineRule="auto"/>
        <w:jc w:val="left"/>
      </w:pPr>
    </w:p>
    <w:p w:rsidRPr="00372764" w:rsidR="00B6344B" w:rsidP="00B6344B" w:rsidRDefault="00C63C8C" w14:paraId="67C4B824" w14:textId="4659F813">
      <w:pPr>
        <w:widowControl w:val="0"/>
        <w:numPr>
          <w:ilvl w:val="0"/>
          <w:numId w:val="9"/>
        </w:numPr>
        <w:overflowPunct w:val="0"/>
        <w:autoSpaceDE w:val="0"/>
        <w:autoSpaceDN w:val="0"/>
        <w:adjustRightInd w:val="0"/>
        <w:ind w:left="266" w:hanging="266"/>
        <w:textAlignment w:val="baseline"/>
        <w:rPr>
          <w:rStyle w:val="Hyperlink"/>
          <w:b/>
        </w:rPr>
      </w:pPr>
      <w:hyperlink w:history="1" r:id="rId45">
        <w:r w:rsidR="00B6344B">
          <w:rPr>
            <w:rStyle w:val="Hyperlink"/>
            <w:b/>
            <w:i/>
            <w:sz w:val="28"/>
          </w:rPr>
          <w:t xml:space="preserve">Muutettu ehdotus – </w:t>
        </w:r>
        <w:r w:rsidRPr="00B6344B" w:rsidR="00B6344B">
          <w:rPr>
            <w:rStyle w:val="Hyperlink"/>
            <w:b/>
            <w:i/>
            <w:sz w:val="28"/>
          </w:rPr>
          <w:t>metsänviljelyaineisto: luokka "testattu", etiketit sekä hyväksymisestä ja valvonnasta vastaavien viranomaisten nimet</w:t>
        </w:r>
      </w:hyperlink>
    </w:p>
    <w:p w:rsidRPr="004308C9" w:rsidR="00B6344B" w:rsidP="00B6344B" w:rsidRDefault="00B6344B" w14:paraId="00D92EC0" w14:textId="77777777">
      <w:pPr>
        <w:widowControl w:val="0"/>
        <w:ind w:left="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4859"/>
      </w:tblGrid>
      <w:tr w:rsidRPr="00A6689B" w:rsidR="00B6344B" w:rsidTr="0083717A" w14:paraId="74CEF22B" w14:textId="77777777">
        <w:tc>
          <w:tcPr>
            <w:tcW w:w="1195" w:type="pct"/>
            <w:vMerge w:val="restart"/>
          </w:tcPr>
          <w:p w:rsidRPr="00A6689B" w:rsidR="00B6344B" w:rsidP="0083717A" w:rsidRDefault="00B6344B" w14:paraId="26E31DEB" w14:textId="77777777">
            <w:pPr>
              <w:tabs>
                <w:tab w:val="center" w:pos="284"/>
              </w:tabs>
              <w:ind w:left="266" w:hanging="266"/>
              <w:rPr>
                <w:b/>
              </w:rPr>
            </w:pPr>
            <w:r>
              <w:rPr>
                <w:b/>
              </w:rPr>
              <w:t>Viiteasiakirjat</w:t>
            </w:r>
          </w:p>
        </w:tc>
        <w:tc>
          <w:tcPr>
            <w:tcW w:w="3805" w:type="pct"/>
          </w:tcPr>
          <w:p w:rsidRPr="00A6689B" w:rsidR="00B6344B" w:rsidP="0083717A" w:rsidRDefault="00B6344B" w14:paraId="71FF939D" w14:textId="77777777">
            <w:pPr>
              <w:tabs>
                <w:tab w:val="center" w:pos="284"/>
              </w:tabs>
              <w:ind w:left="266" w:hanging="266"/>
            </w:pPr>
            <w:proofErr w:type="gramStart"/>
            <w:r>
              <w:t>COM(</w:t>
            </w:r>
            <w:proofErr w:type="gramEnd"/>
            <w:r>
              <w:t xml:space="preserve">2024) 517 </w:t>
            </w:r>
            <w:proofErr w:type="spellStart"/>
            <w:r>
              <w:t>final</w:t>
            </w:r>
            <w:proofErr w:type="spellEnd"/>
          </w:p>
        </w:tc>
      </w:tr>
      <w:tr w:rsidRPr="00A6689B" w:rsidR="00B6344B" w:rsidTr="0083717A" w14:paraId="24EB1241" w14:textId="77777777">
        <w:tc>
          <w:tcPr>
            <w:tcW w:w="1195" w:type="pct"/>
            <w:vMerge/>
          </w:tcPr>
          <w:p w:rsidRPr="00A6689B" w:rsidR="00B6344B" w:rsidP="0083717A" w:rsidRDefault="00B6344B" w14:paraId="422D5514" w14:textId="77777777">
            <w:pPr>
              <w:tabs>
                <w:tab w:val="center" w:pos="284"/>
              </w:tabs>
              <w:ind w:left="266" w:hanging="266"/>
              <w:rPr>
                <w:b/>
                <w:lang w:val="en-US"/>
              </w:rPr>
            </w:pPr>
          </w:p>
        </w:tc>
        <w:tc>
          <w:tcPr>
            <w:tcW w:w="3805" w:type="pct"/>
          </w:tcPr>
          <w:p w:rsidRPr="00A6689B" w:rsidR="00B6344B" w:rsidP="0083717A" w:rsidRDefault="00B6344B" w14:paraId="6025CB09" w14:textId="77777777">
            <w:pPr>
              <w:tabs>
                <w:tab w:val="center" w:pos="284"/>
              </w:tabs>
              <w:ind w:left="266" w:hanging="266"/>
            </w:pPr>
            <w:r>
              <w:t>EESC-2024-04230-00-00-AC</w:t>
            </w:r>
          </w:p>
        </w:tc>
      </w:tr>
    </w:tbl>
    <w:p w:rsidRPr="00A6689B" w:rsidR="00B6344B" w:rsidP="00B6344B" w:rsidRDefault="00B6344B" w14:paraId="6928165C" w14:textId="77777777">
      <w:pPr>
        <w:tabs>
          <w:tab w:val="center" w:pos="284"/>
        </w:tabs>
        <w:ind w:left="266" w:hanging="266"/>
      </w:pPr>
    </w:p>
    <w:p w:rsidRPr="00A6689B" w:rsidR="00B6344B" w:rsidP="00B6344B" w:rsidRDefault="00B6344B" w14:paraId="41EEC3F4" w14:textId="77777777">
      <w:pPr>
        <w:keepNext/>
        <w:keepLines/>
        <w:tabs>
          <w:tab w:val="center" w:pos="284"/>
        </w:tabs>
        <w:ind w:left="266" w:hanging="266"/>
        <w:rPr>
          <w:b/>
        </w:rPr>
      </w:pPr>
      <w:r>
        <w:rPr>
          <w:b/>
        </w:rPr>
        <w:t>Keskeiset kohdat</w:t>
      </w:r>
    </w:p>
    <w:p w:rsidRPr="00A6689B" w:rsidR="00B6344B" w:rsidP="00B6344B" w:rsidRDefault="00B6344B" w14:paraId="7FE03D21" w14:textId="77777777">
      <w:pPr>
        <w:keepNext/>
        <w:keepLines/>
        <w:tabs>
          <w:tab w:val="center" w:pos="284"/>
        </w:tabs>
        <w:ind w:left="266" w:hanging="266"/>
        <w:rPr>
          <w:b/>
        </w:rPr>
      </w:pPr>
    </w:p>
    <w:p w:rsidRPr="00A6689B" w:rsidR="00B6344B" w:rsidP="00B6344B" w:rsidRDefault="00B6344B" w14:paraId="589624DB" w14:textId="77777777">
      <w:pPr>
        <w:rPr>
          <w:bCs/>
          <w:iCs/>
        </w:rPr>
      </w:pPr>
      <w:r>
        <w:t>ETSK</w:t>
      </w:r>
    </w:p>
    <w:p w:rsidRPr="00A6689B" w:rsidR="00B6344B" w:rsidP="00B6344B" w:rsidRDefault="00B6344B" w14:paraId="1310C7CB" w14:textId="77777777">
      <w:pPr>
        <w:widowControl w:val="0"/>
        <w:numPr>
          <w:ilvl w:val="0"/>
          <w:numId w:val="9"/>
        </w:numPr>
        <w:overflowPunct w:val="0"/>
        <w:autoSpaceDE w:val="0"/>
        <w:autoSpaceDN w:val="0"/>
        <w:adjustRightInd w:val="0"/>
        <w:ind w:left="709" w:hanging="425"/>
        <w:textAlignment w:val="baseline"/>
        <w:rPr>
          <w:bCs/>
          <w:iCs/>
        </w:rPr>
      </w:pPr>
      <w:r>
        <w:t>katsoo, että asiakirjan sisältö on täysin hyväksyttävä, eikä komitealla ole siihen kommentoitavaa.</w:t>
      </w:r>
    </w:p>
    <w:p w:rsidRPr="000624A9" w:rsidR="00B6344B" w:rsidP="00B6344B" w:rsidRDefault="00B6344B" w14:paraId="05CD6F3F"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7"/>
        <w:gridCol w:w="5041"/>
      </w:tblGrid>
      <w:tr w:rsidRPr="00A6689B" w:rsidR="00B6344B" w:rsidTr="0083717A" w14:paraId="0420D44E" w14:textId="77777777">
        <w:tc>
          <w:tcPr>
            <w:tcW w:w="1168" w:type="pct"/>
          </w:tcPr>
          <w:p w:rsidRPr="00A6689B" w:rsidR="00B6344B" w:rsidP="0083717A" w:rsidRDefault="00B6344B" w14:paraId="353175B7" w14:textId="77777777">
            <w:pPr>
              <w:spacing w:line="240" w:lineRule="auto"/>
              <w:rPr>
                <w:i/>
              </w:rPr>
            </w:pPr>
            <w:r>
              <w:rPr>
                <w:b/>
                <w:i/>
              </w:rPr>
              <w:t>Yhteydenotot</w:t>
            </w:r>
          </w:p>
        </w:tc>
        <w:tc>
          <w:tcPr>
            <w:tcW w:w="3832" w:type="pct"/>
          </w:tcPr>
          <w:p w:rsidRPr="00A6689B" w:rsidR="00B6344B" w:rsidP="0083717A" w:rsidRDefault="00B6344B" w14:paraId="457DBF4D" w14:textId="77777777">
            <w:pPr>
              <w:spacing w:line="240" w:lineRule="auto"/>
              <w:rPr>
                <w:i/>
              </w:rPr>
            </w:pPr>
            <w:r>
              <w:rPr>
                <w:i/>
              </w:rPr>
              <w:t xml:space="preserve">Nicolas </w:t>
            </w:r>
            <w:proofErr w:type="spellStart"/>
            <w:r>
              <w:rPr>
                <w:i/>
              </w:rPr>
              <w:t>Stenger</w:t>
            </w:r>
            <w:proofErr w:type="spellEnd"/>
          </w:p>
        </w:tc>
      </w:tr>
      <w:tr w:rsidRPr="00A6689B" w:rsidR="00B6344B" w:rsidTr="0083717A" w14:paraId="753C023C" w14:textId="77777777">
        <w:tc>
          <w:tcPr>
            <w:tcW w:w="1168" w:type="pct"/>
          </w:tcPr>
          <w:p w:rsidRPr="00A6689B" w:rsidR="00B6344B" w:rsidP="0083717A" w:rsidRDefault="00B6344B" w14:paraId="7A7D53F4" w14:textId="77777777">
            <w:pPr>
              <w:spacing w:line="240" w:lineRule="auto"/>
              <w:rPr>
                <w:i/>
              </w:rPr>
            </w:pPr>
            <w:r>
              <w:rPr>
                <w:i/>
              </w:rPr>
              <w:t>P.</w:t>
            </w:r>
          </w:p>
        </w:tc>
        <w:tc>
          <w:tcPr>
            <w:tcW w:w="3832" w:type="pct"/>
          </w:tcPr>
          <w:p w:rsidRPr="00A6689B" w:rsidR="00B6344B" w:rsidP="0083717A" w:rsidRDefault="00B6344B" w14:paraId="350AAA82" w14:textId="77777777">
            <w:pPr>
              <w:spacing w:line="240" w:lineRule="auto"/>
              <w:rPr>
                <w:i/>
              </w:rPr>
            </w:pPr>
            <w:r>
              <w:rPr>
                <w:i/>
              </w:rPr>
              <w:t>+32 25468152</w:t>
            </w:r>
          </w:p>
        </w:tc>
      </w:tr>
      <w:tr w:rsidRPr="00A6689B" w:rsidR="00B6344B" w:rsidTr="0083717A" w14:paraId="4C82DE90" w14:textId="77777777">
        <w:tc>
          <w:tcPr>
            <w:tcW w:w="1168" w:type="pct"/>
          </w:tcPr>
          <w:p w:rsidRPr="00A6689B" w:rsidR="00B6344B" w:rsidP="0083717A" w:rsidRDefault="00B6344B" w14:paraId="1A2E9CCE" w14:textId="77777777">
            <w:pPr>
              <w:spacing w:line="240" w:lineRule="auto"/>
              <w:rPr>
                <w:i/>
              </w:rPr>
            </w:pPr>
            <w:r>
              <w:rPr>
                <w:i/>
              </w:rPr>
              <w:t>Sähköposti</w:t>
            </w:r>
          </w:p>
        </w:tc>
        <w:tc>
          <w:tcPr>
            <w:tcW w:w="3832" w:type="pct"/>
          </w:tcPr>
          <w:p w:rsidRPr="00A6689B" w:rsidR="00B6344B" w:rsidP="0083717A" w:rsidRDefault="00C63C8C" w14:paraId="0942389F" w14:textId="77777777">
            <w:pPr>
              <w:spacing w:line="240" w:lineRule="auto"/>
              <w:rPr>
                <w:i/>
              </w:rPr>
            </w:pPr>
            <w:hyperlink w:history="1" r:id="rId46">
              <w:r w:rsidR="00B6344B">
                <w:rPr>
                  <w:rStyle w:val="Hyperlink"/>
                  <w:i/>
                </w:rPr>
                <w:t>Nicolas.Stenger@eesc.europa.eu</w:t>
              </w:r>
            </w:hyperlink>
          </w:p>
        </w:tc>
      </w:tr>
    </w:tbl>
    <w:p w:rsidR="00061C9F" w:rsidRDefault="00061C9F" w14:paraId="4F6C2D4F" w14:textId="77777777">
      <w:pPr>
        <w:spacing w:after="160" w:line="259" w:lineRule="auto"/>
        <w:jc w:val="left"/>
      </w:pPr>
    </w:p>
    <w:p w:rsidR="00061C9F" w:rsidRDefault="00061C9F" w14:paraId="6C8F4034" w14:textId="77777777">
      <w:pPr>
        <w:spacing w:after="160" w:line="259" w:lineRule="auto"/>
        <w:jc w:val="left"/>
      </w:pPr>
      <w:r>
        <w:br w:type="page"/>
      </w:r>
    </w:p>
    <w:p w:rsidRPr="00173BF7" w:rsidR="00B6344B" w:rsidP="00B6344B" w:rsidRDefault="00C63C8C" w14:paraId="09D37D38" w14:textId="77777777">
      <w:pPr>
        <w:widowControl w:val="0"/>
        <w:numPr>
          <w:ilvl w:val="0"/>
          <w:numId w:val="2"/>
        </w:numPr>
        <w:ind w:hanging="567"/>
        <w:rPr>
          <w:b/>
          <w:bCs/>
          <w:i/>
          <w:iCs/>
          <w:sz w:val="28"/>
          <w:szCs w:val="28"/>
        </w:rPr>
      </w:pPr>
      <w:hyperlink w:history="1" r:id="rId47">
        <w:r w:rsidR="00B6344B">
          <w:rPr>
            <w:rStyle w:val="Hyperlink"/>
            <w:b/>
            <w:i/>
            <w:sz w:val="28"/>
          </w:rPr>
          <w:t>Maaseuturahaston muuttaminen lisäavun antamiseksi luonnonkatastrofeista kärsiville jäsenvaltioille</w:t>
        </w:r>
      </w:hyperlink>
    </w:p>
    <w:p w:rsidRPr="00831287" w:rsidR="00B6344B" w:rsidP="00B6344B" w:rsidRDefault="00B6344B" w14:paraId="11777DC0" w14:textId="77777777">
      <w:pPr>
        <w:tabs>
          <w:tab w:val="center" w:pos="284"/>
        </w:tabs>
        <w:ind w:left="266" w:hanging="266"/>
        <w:rPr>
          <w:b/>
          <w:sz w:val="18"/>
          <w:szCs w:val="18"/>
        </w:rPr>
      </w:pPr>
    </w:p>
    <w:tbl>
      <w:tblPr>
        <w:tblStyle w:val="TableGrid"/>
        <w:tblW w:w="40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6003"/>
      </w:tblGrid>
      <w:tr w:rsidRPr="00A6689B" w:rsidR="00B6344B" w:rsidTr="0083717A" w14:paraId="0803F764" w14:textId="77777777">
        <w:trPr>
          <w:trHeight w:val="543"/>
        </w:trPr>
        <w:tc>
          <w:tcPr>
            <w:tcW w:w="975" w:type="pct"/>
          </w:tcPr>
          <w:p w:rsidRPr="00A6689B" w:rsidR="00B6344B" w:rsidP="0083717A" w:rsidRDefault="00B6344B" w14:paraId="301FEF44" w14:textId="77777777">
            <w:pPr>
              <w:tabs>
                <w:tab w:val="center" w:pos="284"/>
              </w:tabs>
              <w:ind w:left="266" w:hanging="266"/>
              <w:rPr>
                <w:b/>
              </w:rPr>
            </w:pPr>
            <w:r>
              <w:rPr>
                <w:b/>
              </w:rPr>
              <w:t>Yleisesittelijä</w:t>
            </w:r>
          </w:p>
        </w:tc>
        <w:tc>
          <w:tcPr>
            <w:tcW w:w="4025" w:type="pct"/>
          </w:tcPr>
          <w:p w:rsidRPr="00A6689B" w:rsidR="00B6344B" w:rsidP="0083717A" w:rsidRDefault="00B6344B" w14:paraId="542AC63D" w14:textId="77777777">
            <w:pPr>
              <w:tabs>
                <w:tab w:val="center" w:pos="284"/>
              </w:tabs>
              <w:ind w:left="266" w:hanging="266"/>
            </w:pPr>
            <w:r>
              <w:t>Peter Schmidt (työntekijät – DE)</w:t>
            </w:r>
          </w:p>
        </w:tc>
      </w:tr>
      <w:tr w:rsidRPr="00A6689B" w:rsidR="00B6344B" w:rsidTr="0083717A" w14:paraId="07F0766D" w14:textId="77777777">
        <w:trPr>
          <w:trHeight w:val="275"/>
        </w:trPr>
        <w:tc>
          <w:tcPr>
            <w:tcW w:w="975" w:type="pct"/>
          </w:tcPr>
          <w:p w:rsidRPr="00A6689B" w:rsidR="00B6344B" w:rsidP="0083717A" w:rsidRDefault="00B6344B" w14:paraId="1B367A04" w14:textId="77777777">
            <w:pPr>
              <w:tabs>
                <w:tab w:val="center" w:pos="284"/>
              </w:tabs>
              <w:ind w:left="266" w:hanging="266"/>
              <w:rPr>
                <w:b/>
              </w:rPr>
            </w:pPr>
            <w:r>
              <w:rPr>
                <w:b/>
              </w:rPr>
              <w:t>Viiteasiakirja</w:t>
            </w:r>
          </w:p>
        </w:tc>
        <w:tc>
          <w:tcPr>
            <w:tcW w:w="4025" w:type="pct"/>
          </w:tcPr>
          <w:p w:rsidRPr="00A6689B" w:rsidR="00B6344B" w:rsidP="0083717A" w:rsidRDefault="00B6344B" w14:paraId="13F3B842" w14:textId="77777777">
            <w:pPr>
              <w:tabs>
                <w:tab w:val="center" w:pos="284"/>
              </w:tabs>
              <w:ind w:left="266" w:hanging="266"/>
            </w:pPr>
            <w:r>
              <w:t>EESC-2024-04085-00-00-AC</w:t>
            </w:r>
          </w:p>
        </w:tc>
      </w:tr>
    </w:tbl>
    <w:p w:rsidR="00B6344B" w:rsidP="00B6344B" w:rsidRDefault="00B6344B" w14:paraId="2EFBDAC9" w14:textId="77777777">
      <w:pPr>
        <w:ind w:left="266" w:hanging="266"/>
        <w:rPr>
          <w:b/>
        </w:rPr>
      </w:pPr>
    </w:p>
    <w:p w:rsidRPr="00A6689B" w:rsidR="00B6344B" w:rsidP="00B6344B" w:rsidRDefault="00B6344B" w14:paraId="0F052AC9" w14:textId="77777777">
      <w:pPr>
        <w:ind w:left="266" w:hanging="266"/>
        <w:rPr>
          <w:b/>
        </w:rPr>
      </w:pPr>
      <w:r>
        <w:rPr>
          <w:b/>
        </w:rPr>
        <w:t>Keskeiset kohdat</w:t>
      </w:r>
    </w:p>
    <w:p w:rsidRPr="00DA3719" w:rsidR="00B6344B" w:rsidP="00B6344B" w:rsidRDefault="00B6344B" w14:paraId="54472BB9" w14:textId="77777777">
      <w:pPr>
        <w:tabs>
          <w:tab w:val="center" w:pos="284"/>
        </w:tabs>
        <w:ind w:left="266" w:hanging="266"/>
        <w:rPr>
          <w:b/>
          <w:sz w:val="16"/>
          <w:szCs w:val="16"/>
        </w:rPr>
      </w:pPr>
    </w:p>
    <w:p w:rsidR="00B6344B" w:rsidP="00B6344B" w:rsidRDefault="00B6344B" w14:paraId="496535B8" w14:textId="77777777">
      <w:pPr>
        <w:rPr>
          <w:bCs/>
          <w:iCs/>
        </w:rPr>
      </w:pPr>
      <w:r>
        <w:t>ETSK</w:t>
      </w:r>
    </w:p>
    <w:p w:rsidR="00B6344B" w:rsidP="00B6344B" w:rsidRDefault="00B6344B" w14:paraId="4ACAA1B2" w14:textId="77777777">
      <w:pPr>
        <w:numPr>
          <w:ilvl w:val="0"/>
          <w:numId w:val="10"/>
        </w:numPr>
        <w:ind w:left="709" w:hanging="567"/>
      </w:pPr>
      <w:r>
        <w:rPr>
          <w:b/>
        </w:rPr>
        <w:t>tukee välittömän katastrofiavun periaatetta</w:t>
      </w:r>
      <w:r>
        <w:t xml:space="preserve"> ja toteaa, että viimeaikaisten ilmastokatastrofien koettelemien yhteisöjen on saatava kiireellisesti apua.</w:t>
      </w:r>
    </w:p>
    <w:p w:rsidRPr="00B60972" w:rsidR="00B6344B" w:rsidP="00B6344B" w:rsidRDefault="00B6344B" w14:paraId="5AA9F8F0" w14:textId="77777777">
      <w:pPr>
        <w:numPr>
          <w:ilvl w:val="0"/>
          <w:numId w:val="10"/>
        </w:numPr>
        <w:ind w:left="709" w:hanging="567"/>
        <w:rPr>
          <w:b/>
          <w:bCs/>
        </w:rPr>
      </w:pPr>
      <w:r>
        <w:t xml:space="preserve">toteaa, että ilmastosta johtuvat ilmiöt ovat yhä yleisempiä ja vakavampia, ja korostaa, että maaseutualueisiin kohdistuu suhteettomia vaikutuksia, joten </w:t>
      </w:r>
      <w:r>
        <w:rPr>
          <w:b/>
        </w:rPr>
        <w:t>niiden selviytymiskyky on syytä asettaa etusijalle</w:t>
      </w:r>
      <w:r>
        <w:t>.</w:t>
      </w:r>
    </w:p>
    <w:p w:rsidR="00B6344B" w:rsidP="00B6344B" w:rsidRDefault="00B6344B" w14:paraId="45BFEFC5" w14:textId="77777777">
      <w:pPr>
        <w:numPr>
          <w:ilvl w:val="0"/>
          <w:numId w:val="10"/>
        </w:numPr>
        <w:ind w:left="709" w:hanging="567"/>
      </w:pPr>
      <w:r>
        <w:t xml:space="preserve">tähdentää tarvetta </w:t>
      </w:r>
      <w:r>
        <w:rPr>
          <w:b/>
        </w:rPr>
        <w:t>turvata maaseudun kehittämismäärärahojen säilyminen</w:t>
      </w:r>
      <w:r>
        <w:t xml:space="preserve"> ja varoittaa toistuvista uudelleenkohdentamisista, jotka saattavat johtaa maaseudun pitkän aikavälin kehityksen ja vakauden heikentymiseen.</w:t>
      </w:r>
    </w:p>
    <w:p w:rsidR="00B6344B" w:rsidP="00B6344B" w:rsidRDefault="00B6344B" w14:paraId="6F5E3793" w14:textId="77777777">
      <w:pPr>
        <w:numPr>
          <w:ilvl w:val="0"/>
          <w:numId w:val="10"/>
        </w:numPr>
        <w:ind w:left="709" w:hanging="567"/>
      </w:pPr>
      <w:r>
        <w:rPr>
          <w:b/>
        </w:rPr>
        <w:t>suosittelee, että EU:hun perustetaan erityinen ilmastokatastrofirahasto</w:t>
      </w:r>
      <w:r>
        <w:t>, johon otetaan mallia COP28-kokouksessa perustetusta menetysten ja vahinkojen korvausrahastosta. Tarkoituksena on, että unioni voi perustettavan rahaston turvin reagoida alueellaan tapahtuviin ilmastokatastrofeihin tinkimättä kansainvälisistä sitoumuksistaan ja kajoamatta nykyisiin rahoitusmekanismeihinsa.</w:t>
      </w:r>
    </w:p>
    <w:p w:rsidR="00B6344B" w:rsidP="00B6344B" w:rsidRDefault="00B6344B" w14:paraId="0C86E888" w14:textId="77777777">
      <w:pPr>
        <w:numPr>
          <w:ilvl w:val="0"/>
          <w:numId w:val="10"/>
        </w:numPr>
        <w:ind w:left="709" w:hanging="567"/>
      </w:pPr>
      <w:r>
        <w:t xml:space="preserve">kehottaa </w:t>
      </w:r>
      <w:r>
        <w:rPr>
          <w:b/>
        </w:rPr>
        <w:t>investoimaan nykyistä enemmän ennaltaehkäisyyn, erityisesti luontopohjaisiin ratkaisuihin</w:t>
      </w:r>
      <w:r>
        <w:t>, jotka ovat kustannustehokkaita ja auttavat parantamaan häiriönsietokykyä ja vähentämään hätäapumekanismeista aiheutuvaa taloudellista ja yhteiskunnallista taakkaa.</w:t>
      </w:r>
    </w:p>
    <w:p w:rsidR="00B6344B" w:rsidP="00B6344B" w:rsidRDefault="00B6344B" w14:paraId="2E937310" w14:textId="77777777">
      <w:pPr>
        <w:numPr>
          <w:ilvl w:val="0"/>
          <w:numId w:val="10"/>
        </w:numPr>
        <w:ind w:left="709" w:hanging="567"/>
      </w:pPr>
      <w:r>
        <w:t xml:space="preserve">suhtautuu myönteisesti komission ehdotuksen mukaisiin </w:t>
      </w:r>
      <w:r>
        <w:rPr>
          <w:b/>
        </w:rPr>
        <w:t>yksinkertaistettuihin menettelyihin katastrofiavun alalla</w:t>
      </w:r>
      <w:r>
        <w:t xml:space="preserve"> ja kannustaa sisällyttämään ne tuleviin toimintapolitiikkoihin tehokkaampien kriisitoimien varmistamiseksi.</w:t>
      </w:r>
    </w:p>
    <w:p w:rsidR="00B6344B" w:rsidP="00B6344B" w:rsidRDefault="00B6344B" w14:paraId="69B1F57E" w14:textId="77777777">
      <w:pPr>
        <w:numPr>
          <w:ilvl w:val="0"/>
          <w:numId w:val="10"/>
        </w:numPr>
        <w:ind w:left="709" w:hanging="567"/>
      </w:pPr>
      <w:r>
        <w:t xml:space="preserve">kehottaa </w:t>
      </w:r>
      <w:r>
        <w:rPr>
          <w:b/>
        </w:rPr>
        <w:t>kehittämään katastrofivalmiutta koskevan ennakoivan ja koordinoidun EU:n kehyksen</w:t>
      </w:r>
      <w:r>
        <w:t xml:space="preserve">, johon kuuluu ennaltaehkäiseviä toimenpiteitä, nykyistä enemmän rahoitusta ja pitkän aikavälin suunnittelua, jotta </w:t>
      </w:r>
      <w:r>
        <w:rPr>
          <w:b/>
        </w:rPr>
        <w:t>haavoittuvuuksiin voidaan puuttua tehokkaasti</w:t>
      </w:r>
      <w:r>
        <w:t>.</w:t>
      </w:r>
    </w:p>
    <w:p w:rsidR="00B6344B" w:rsidP="00B6344B" w:rsidRDefault="00B6344B" w14:paraId="6B23C3F4" w14:textId="77777777">
      <w:pPr>
        <w:numPr>
          <w:ilvl w:val="0"/>
          <w:numId w:val="10"/>
        </w:numPr>
        <w:ind w:left="709" w:hanging="567"/>
      </w:pPr>
      <w:r>
        <w:t xml:space="preserve">korostaa </w:t>
      </w:r>
      <w:r>
        <w:rPr>
          <w:b/>
        </w:rPr>
        <w:t>selviytymiskykyä koskevan pitkäjänteisen suunnittelun tärkeää merkitystä</w:t>
      </w:r>
      <w:r>
        <w:t>. Suunnittelun yhteydessä on otettava huomioon EU:n pitkän aikavälin maaseutuvisio ja huolehdittava ennakoivien ja reaktiivisten toimenpiteiden tasapainosta.</w:t>
      </w:r>
    </w:p>
    <w:p w:rsidRPr="00DA3719" w:rsidR="00B6344B" w:rsidP="00B6344B" w:rsidRDefault="00B6344B" w14:paraId="56215808" w14:textId="77777777">
      <w:pPr>
        <w:widowControl w:val="0"/>
        <w:ind w:left="284" w:hanging="284"/>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A6689B" w:rsidR="00B6344B" w:rsidTr="0083717A" w14:paraId="1D16E80A" w14:textId="77777777">
        <w:tc>
          <w:tcPr>
            <w:tcW w:w="1556" w:type="pct"/>
          </w:tcPr>
          <w:p w:rsidRPr="00A6689B" w:rsidR="00B6344B" w:rsidP="0083717A" w:rsidRDefault="00B6344B" w14:paraId="583B166D" w14:textId="77777777">
            <w:pPr>
              <w:spacing w:line="240" w:lineRule="auto"/>
              <w:rPr>
                <w:i/>
              </w:rPr>
            </w:pPr>
            <w:r>
              <w:rPr>
                <w:b/>
                <w:i/>
              </w:rPr>
              <w:t>Yhteydenotot</w:t>
            </w:r>
          </w:p>
        </w:tc>
        <w:tc>
          <w:tcPr>
            <w:tcW w:w="3444" w:type="pct"/>
          </w:tcPr>
          <w:p w:rsidRPr="00D719CE" w:rsidR="00B6344B" w:rsidP="0083717A" w:rsidRDefault="00B6344B" w14:paraId="6DD84689" w14:textId="77777777">
            <w:pPr>
              <w:spacing w:line="240" w:lineRule="auto"/>
              <w:rPr>
                <w:i/>
              </w:rPr>
            </w:pPr>
            <w:r>
              <w:rPr>
                <w:i/>
              </w:rPr>
              <w:t xml:space="preserve">Nicolas </w:t>
            </w:r>
            <w:proofErr w:type="spellStart"/>
            <w:r>
              <w:rPr>
                <w:i/>
              </w:rPr>
              <w:t>Stenger</w:t>
            </w:r>
            <w:proofErr w:type="spellEnd"/>
          </w:p>
        </w:tc>
      </w:tr>
      <w:tr w:rsidRPr="00A6689B" w:rsidR="00B6344B" w:rsidTr="0083717A" w14:paraId="48D9B5A4" w14:textId="77777777">
        <w:tc>
          <w:tcPr>
            <w:tcW w:w="1556" w:type="pct"/>
          </w:tcPr>
          <w:p w:rsidRPr="00A6689B" w:rsidR="00B6344B" w:rsidP="0083717A" w:rsidRDefault="00B6344B" w14:paraId="12D07B43" w14:textId="77777777">
            <w:pPr>
              <w:spacing w:line="240" w:lineRule="auto"/>
              <w:rPr>
                <w:i/>
              </w:rPr>
            </w:pPr>
            <w:r>
              <w:rPr>
                <w:i/>
              </w:rPr>
              <w:t>P.</w:t>
            </w:r>
          </w:p>
        </w:tc>
        <w:tc>
          <w:tcPr>
            <w:tcW w:w="3444" w:type="pct"/>
          </w:tcPr>
          <w:p w:rsidRPr="00D719CE" w:rsidR="00B6344B" w:rsidP="0083717A" w:rsidRDefault="00B6344B" w14:paraId="63157295" w14:textId="77777777">
            <w:pPr>
              <w:spacing w:line="240" w:lineRule="auto"/>
              <w:rPr>
                <w:i/>
              </w:rPr>
            </w:pPr>
            <w:r>
              <w:rPr>
                <w:i/>
              </w:rPr>
              <w:t>+32 25468152</w:t>
            </w:r>
          </w:p>
        </w:tc>
      </w:tr>
      <w:tr w:rsidRPr="00A6689B" w:rsidR="00B6344B" w:rsidTr="0083717A" w14:paraId="3C9B03BD" w14:textId="77777777">
        <w:tc>
          <w:tcPr>
            <w:tcW w:w="1556" w:type="pct"/>
          </w:tcPr>
          <w:p w:rsidRPr="00D47713" w:rsidR="00B6344B" w:rsidP="0083717A" w:rsidRDefault="00B6344B" w14:paraId="631A238D" w14:textId="77777777">
            <w:pPr>
              <w:spacing w:line="240" w:lineRule="auto"/>
              <w:rPr>
                <w:i/>
              </w:rPr>
            </w:pPr>
            <w:r>
              <w:rPr>
                <w:i/>
              </w:rPr>
              <w:t>Sähköposti</w:t>
            </w:r>
          </w:p>
        </w:tc>
        <w:tc>
          <w:tcPr>
            <w:tcW w:w="3444" w:type="pct"/>
          </w:tcPr>
          <w:p w:rsidRPr="00D719CE" w:rsidR="00B6344B" w:rsidP="0083717A" w:rsidRDefault="00C63C8C" w14:paraId="7CD2C34B" w14:textId="77777777">
            <w:pPr>
              <w:spacing w:line="240" w:lineRule="auto"/>
              <w:rPr>
                <w:i/>
              </w:rPr>
            </w:pPr>
            <w:hyperlink w:history="1" r:id="rId48">
              <w:r w:rsidR="00B6344B">
                <w:rPr>
                  <w:rStyle w:val="Hyperlink"/>
                  <w:i/>
                </w:rPr>
                <w:t>Nicolas.Stenger@eesc.europa.eu</w:t>
              </w:r>
            </w:hyperlink>
          </w:p>
        </w:tc>
      </w:tr>
    </w:tbl>
    <w:p w:rsidR="00395E32" w:rsidRDefault="00395E32" w14:paraId="668D5DEE" w14:textId="77777777">
      <w:pPr>
        <w:spacing w:after="160" w:line="259" w:lineRule="auto"/>
        <w:jc w:val="left"/>
      </w:pPr>
    </w:p>
    <w:p w:rsidR="00395E32" w:rsidRDefault="00395E32" w14:paraId="7602B700" w14:textId="77777777">
      <w:pPr>
        <w:spacing w:after="160" w:line="259" w:lineRule="auto"/>
        <w:jc w:val="left"/>
      </w:pPr>
      <w:r>
        <w:br w:type="page"/>
      </w:r>
    </w:p>
    <w:p w:rsidRPr="00053DC6" w:rsidR="00B6344B" w:rsidP="00B6344B" w:rsidRDefault="00C63C8C" w14:paraId="6A7C7EFB" w14:textId="77777777">
      <w:pPr>
        <w:pStyle w:val="ListParagraph"/>
        <w:numPr>
          <w:ilvl w:val="0"/>
          <w:numId w:val="11"/>
        </w:numPr>
        <w:spacing w:line="276" w:lineRule="auto"/>
        <w:ind w:left="425" w:hanging="357"/>
        <w:jc w:val="left"/>
        <w:rPr>
          <w:i/>
          <w:iCs/>
        </w:rPr>
      </w:pPr>
      <w:hyperlink w:history="1" r:id="rId49">
        <w:r w:rsidR="00B6344B">
          <w:rPr>
            <w:rStyle w:val="Hyperlink"/>
            <w:b/>
            <w:i/>
            <w:sz w:val="28"/>
          </w:rPr>
          <w:t>Kohti oikeudenmukaista siirtymää koskevaa lainsäädäntöehdotusta ja EU:n politiikkavälineitä vihreän kehityksen ohjelman sosiaalisen ulottuvuuden vahvistamiseksi</w:t>
        </w:r>
      </w:hyperlink>
    </w:p>
    <w:p w:rsidRPr="00347867" w:rsidR="00B6344B" w:rsidP="00B6344B" w:rsidRDefault="00B6344B" w14:paraId="4520608A" w14:textId="77777777">
      <w:pPr>
        <w:widowControl w:val="0"/>
        <w:ind w:left="567"/>
        <w:rPr>
          <w:bCs/>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6689B" w:rsidR="00B6344B" w:rsidTr="0083717A" w14:paraId="0EB99CD5" w14:textId="77777777">
        <w:tc>
          <w:tcPr>
            <w:tcW w:w="1701" w:type="dxa"/>
          </w:tcPr>
          <w:p w:rsidRPr="00A6689B" w:rsidR="00B6344B" w:rsidP="0083717A" w:rsidRDefault="00B6344B" w14:paraId="0624638E" w14:textId="77777777">
            <w:pPr>
              <w:tabs>
                <w:tab w:val="center" w:pos="284"/>
              </w:tabs>
              <w:ind w:left="266" w:hanging="266"/>
              <w:rPr>
                <w:b/>
              </w:rPr>
            </w:pPr>
            <w:r>
              <w:rPr>
                <w:b/>
              </w:rPr>
              <w:t>Esittelijä</w:t>
            </w:r>
          </w:p>
        </w:tc>
        <w:tc>
          <w:tcPr>
            <w:tcW w:w="6096" w:type="dxa"/>
          </w:tcPr>
          <w:p w:rsidRPr="00385971" w:rsidR="00B6344B" w:rsidP="0083717A" w:rsidRDefault="00B6344B" w14:paraId="3D0BF4C2" w14:textId="77777777">
            <w:pPr>
              <w:tabs>
                <w:tab w:val="center" w:pos="284"/>
              </w:tabs>
              <w:ind w:left="266" w:hanging="266"/>
              <w:rPr>
                <w:b/>
                <w:bCs/>
              </w:rPr>
            </w:pPr>
            <w:r>
              <w:t xml:space="preserve">Dirk </w:t>
            </w:r>
            <w:proofErr w:type="spellStart"/>
            <w:r>
              <w:t>Bergrath</w:t>
            </w:r>
            <w:proofErr w:type="spellEnd"/>
            <w:r>
              <w:t xml:space="preserve"> (työntekijät – DE)</w:t>
            </w:r>
          </w:p>
        </w:tc>
      </w:tr>
      <w:tr w:rsidRPr="00A6689B" w:rsidR="00B6344B" w:rsidTr="0083717A" w14:paraId="1670BD37" w14:textId="77777777">
        <w:tc>
          <w:tcPr>
            <w:tcW w:w="7797" w:type="dxa"/>
            <w:gridSpan w:val="2"/>
          </w:tcPr>
          <w:p w:rsidRPr="00597F63" w:rsidR="00B6344B" w:rsidP="0083717A" w:rsidRDefault="00B6344B" w14:paraId="01C24F81" w14:textId="77777777">
            <w:pPr>
              <w:tabs>
                <w:tab w:val="left" w:pos="2690"/>
              </w:tabs>
              <w:spacing w:line="160" w:lineRule="exact"/>
              <w:ind w:left="266" w:hanging="266"/>
              <w:rPr>
                <w:sz w:val="10"/>
                <w:szCs w:val="10"/>
                <w:lang w:val="en-US"/>
              </w:rPr>
            </w:pPr>
          </w:p>
        </w:tc>
      </w:tr>
      <w:tr w:rsidRPr="00A6689B" w:rsidR="00B6344B" w:rsidTr="0083717A" w14:paraId="2B5829BE" w14:textId="77777777">
        <w:tc>
          <w:tcPr>
            <w:tcW w:w="1701" w:type="dxa"/>
          </w:tcPr>
          <w:p w:rsidRPr="00597F63" w:rsidR="00B6344B" w:rsidP="0083717A" w:rsidRDefault="00B6344B" w14:paraId="7E17A70B" w14:textId="77777777">
            <w:pPr>
              <w:tabs>
                <w:tab w:val="center" w:pos="284"/>
              </w:tabs>
              <w:ind w:left="266" w:hanging="266"/>
              <w:rPr>
                <w:b/>
              </w:rPr>
            </w:pPr>
            <w:r>
              <w:rPr>
                <w:b/>
              </w:rPr>
              <w:t>Viiteasiakirja</w:t>
            </w:r>
          </w:p>
        </w:tc>
        <w:tc>
          <w:tcPr>
            <w:tcW w:w="6096" w:type="dxa"/>
          </w:tcPr>
          <w:p w:rsidRPr="00597F63" w:rsidR="00B6344B" w:rsidP="0083717A" w:rsidRDefault="00B6344B" w14:paraId="6C704D73" w14:textId="77777777">
            <w:pPr>
              <w:tabs>
                <w:tab w:val="center" w:pos="284"/>
              </w:tabs>
              <w:ind w:left="266" w:hanging="266"/>
            </w:pPr>
            <w:r>
              <w:t>EESC-2024-01077-00-00-AC-TRA</w:t>
            </w:r>
          </w:p>
        </w:tc>
      </w:tr>
    </w:tbl>
    <w:p w:rsidRPr="00347867" w:rsidR="00B6344B" w:rsidP="00B6344B" w:rsidRDefault="00B6344B" w14:paraId="70462654" w14:textId="77777777">
      <w:pPr>
        <w:keepNext/>
        <w:keepLines/>
        <w:tabs>
          <w:tab w:val="center" w:pos="284"/>
        </w:tabs>
        <w:ind w:left="266" w:hanging="266"/>
        <w:rPr>
          <w:bCs/>
          <w:sz w:val="16"/>
          <w:szCs w:val="16"/>
        </w:rPr>
      </w:pPr>
    </w:p>
    <w:p w:rsidRPr="00C24F1A" w:rsidR="00B6344B" w:rsidP="00B6344B" w:rsidRDefault="00B6344B" w14:paraId="4E394938" w14:textId="77777777">
      <w:pPr>
        <w:keepNext/>
        <w:keepLines/>
        <w:tabs>
          <w:tab w:val="center" w:pos="284"/>
        </w:tabs>
        <w:spacing w:line="276" w:lineRule="auto"/>
        <w:ind w:left="266" w:hanging="266"/>
        <w:rPr>
          <w:b/>
        </w:rPr>
      </w:pPr>
      <w:r>
        <w:rPr>
          <w:b/>
        </w:rPr>
        <w:t>Keskeiset kohdat</w:t>
      </w:r>
    </w:p>
    <w:p w:rsidRPr="00347867" w:rsidR="00B6344B" w:rsidP="00B6344B" w:rsidRDefault="00B6344B" w14:paraId="06BAC7FB" w14:textId="77777777">
      <w:pPr>
        <w:keepNext/>
        <w:keepLines/>
        <w:tabs>
          <w:tab w:val="center" w:pos="284"/>
        </w:tabs>
        <w:spacing w:line="276" w:lineRule="auto"/>
        <w:ind w:left="266" w:hanging="266"/>
        <w:rPr>
          <w:bCs/>
          <w:sz w:val="16"/>
          <w:szCs w:val="16"/>
        </w:rPr>
      </w:pPr>
    </w:p>
    <w:p w:rsidR="00B6344B" w:rsidP="00B6344B" w:rsidRDefault="00B6344B" w14:paraId="4696AB78" w14:textId="77777777">
      <w:pPr>
        <w:spacing w:line="240" w:lineRule="auto"/>
        <w:rPr>
          <w:bCs/>
          <w:iCs/>
        </w:rPr>
      </w:pPr>
      <w:r>
        <w:t>ETSK</w:t>
      </w:r>
    </w:p>
    <w:p w:rsidRPr="002E08C6" w:rsidR="00B6344B" w:rsidP="00B6344B" w:rsidRDefault="00B6344B" w14:paraId="1D3CF8C8" w14:textId="77777777">
      <w:pPr>
        <w:pStyle w:val="Heading2"/>
        <w:rPr>
          <w:spacing w:val="-4"/>
        </w:rPr>
      </w:pPr>
      <w:r>
        <w:t xml:space="preserve">korostaa, että EU:ssa on tärkeää toteuttaa oikeudenmukainen siirtymä Euroopan komission vuosien 2024–2029 strategisten painopisteiden ja poliittisten suuntaviivojen mukaisesti. </w:t>
      </w:r>
      <w:r>
        <w:rPr>
          <w:b/>
        </w:rPr>
        <w:t>Oikeudenmukaisella siirtymällä on erityinen vaikutus työelämään</w:t>
      </w:r>
      <w:r>
        <w:t xml:space="preserve"> ja merkitystä toimialojen, alueiden, työpaikkojen ja osaamisen (mukaan lukien sukupuoli- ja sukupolvinäkökohdat sekä haavoittuvassa asemassa olevat ryhmät), sosiaalipalvelujen, jäsenvaltioiden välisen yhteistyön, hallinnon, elinkeinoelämän ja yritysten (erityisesti pk-yritysten) sekä rahoituksen ja investointien kannalta.</w:t>
      </w:r>
    </w:p>
    <w:p w:rsidR="00B6344B" w:rsidP="00B6344B" w:rsidRDefault="00B6344B" w14:paraId="4720D07F" w14:textId="77777777">
      <w:pPr>
        <w:pStyle w:val="Heading2"/>
      </w:pPr>
      <w:r>
        <w:t xml:space="preserve">painottaa tarvetta </w:t>
      </w:r>
      <w:r>
        <w:rPr>
          <w:b/>
        </w:rPr>
        <w:t>laatia kattava</w:t>
      </w:r>
      <w:r>
        <w:t xml:space="preserve"> työelämää </w:t>
      </w:r>
      <w:r>
        <w:rPr>
          <w:b/>
        </w:rPr>
        <w:t>koskeva toimenpidepaketti</w:t>
      </w:r>
      <w:r>
        <w:t>, johon nivotaan olemassa olevat EU-tason välineet ja jossa annetaan jäsenvaltioille riittävästi liikkumavaraa ottaa kansallisella ja alueellisella tasolla käyttöön tarkoituksenmukaisia ratkaisuja.</w:t>
      </w:r>
    </w:p>
    <w:p w:rsidR="00B6344B" w:rsidP="00B6344B" w:rsidRDefault="00B6344B" w14:paraId="50EB68AF" w14:textId="77777777">
      <w:pPr>
        <w:pStyle w:val="Heading2"/>
      </w:pPr>
      <w:r>
        <w:t xml:space="preserve">kehottaa laatimaan </w:t>
      </w:r>
      <w:r>
        <w:rPr>
          <w:b/>
        </w:rPr>
        <w:t>toimenpidepaketin työelämän oikeudenmukaisesta siirtymästä</w:t>
      </w:r>
      <w:r>
        <w:t>, jossa muutoksia ennakoidaan ja hallitaan käyttäen johtavina periaatteina työmarkkinaosapuolten vuoropuhelua ja työehtosopimusneuvotteluja.</w:t>
      </w:r>
    </w:p>
    <w:p w:rsidR="00B6344B" w:rsidP="00B6344B" w:rsidRDefault="00B6344B" w14:paraId="721BE587" w14:textId="77777777">
      <w:pPr>
        <w:ind w:left="567"/>
      </w:pPr>
      <w:r>
        <w:t>Paketin olisi sisällettävä muun muassa seuraavat toimenpiteet:</w:t>
      </w:r>
    </w:p>
    <w:p w:rsidRPr="007A64A4" w:rsidR="00B6344B" w:rsidP="00B6344B" w:rsidRDefault="00B6344B" w14:paraId="334151B9" w14:textId="77777777">
      <w:pPr>
        <w:pStyle w:val="ListParagraph"/>
        <w:numPr>
          <w:ilvl w:val="0"/>
          <w:numId w:val="12"/>
        </w:numPr>
        <w:ind w:left="851" w:hanging="284"/>
      </w:pPr>
      <w:r>
        <w:t>Kartoitetaan osaamistarpeet ja -strategiat.</w:t>
      </w:r>
    </w:p>
    <w:p w:rsidRPr="007A64A4" w:rsidR="00B6344B" w:rsidP="00B6344B" w:rsidRDefault="00B6344B" w14:paraId="6BE8EC6A" w14:textId="77777777">
      <w:pPr>
        <w:pStyle w:val="ListParagraph"/>
        <w:numPr>
          <w:ilvl w:val="0"/>
          <w:numId w:val="12"/>
        </w:numPr>
        <w:ind w:left="851" w:hanging="284"/>
      </w:pPr>
      <w:r>
        <w:t>Perustetaan ja pannaan täytäntöön tarkoituksenmukaisia osaamisen kehittämisohjelmia.</w:t>
      </w:r>
    </w:p>
    <w:p w:rsidRPr="007A64A4" w:rsidR="00B6344B" w:rsidP="00B6344B" w:rsidRDefault="00B6344B" w14:paraId="61C27FEA" w14:textId="77777777">
      <w:pPr>
        <w:pStyle w:val="ListParagraph"/>
        <w:numPr>
          <w:ilvl w:val="0"/>
          <w:numId w:val="12"/>
        </w:numPr>
        <w:ind w:left="851" w:hanging="284"/>
        <w:rPr>
          <w:spacing w:val="-4"/>
        </w:rPr>
      </w:pPr>
      <w:r>
        <w:t>Taataan kaikille työntekijöille merkityksellinen ja täytäntöönpanokelpoinen mahdollisuus koulutustunteihin, joista saa täyden korvauksen.</w:t>
      </w:r>
    </w:p>
    <w:p w:rsidRPr="007A64A4" w:rsidR="00B6344B" w:rsidP="00B6344B" w:rsidRDefault="00B6344B" w14:paraId="7DB212F0" w14:textId="77777777">
      <w:pPr>
        <w:pStyle w:val="ListParagraph"/>
        <w:numPr>
          <w:ilvl w:val="0"/>
          <w:numId w:val="12"/>
        </w:numPr>
        <w:ind w:left="851" w:hanging="284"/>
      </w:pPr>
      <w:r>
        <w:t>Varmistetaan, että yritystasolla otetaan sovellettavien sääntöjen mukaisesti käyttöön tehokkaat järjestelmät työntekijöiden osallistumista, heille tiedottamista ja heidän kuulemistaan varten.</w:t>
      </w:r>
    </w:p>
    <w:p w:rsidRPr="00820FAD" w:rsidR="00B6344B" w:rsidP="00B6344B" w:rsidRDefault="00B6344B" w14:paraId="338D86B6" w14:textId="77777777">
      <w:pPr>
        <w:pStyle w:val="ListParagraph"/>
        <w:numPr>
          <w:ilvl w:val="0"/>
          <w:numId w:val="12"/>
        </w:numPr>
        <w:ind w:left="851" w:hanging="284"/>
      </w:pPr>
      <w:r>
        <w:t>Nivotaan oikeudenmukaista siirtymää koskevat aloitteet osaksi Euroopan sosiaalisten oikeuksien pilarin ja eurooppalaisen ohjausjakson täytäntöönpanoa.</w:t>
      </w:r>
    </w:p>
    <w:p w:rsidRPr="005D34B4" w:rsidR="00B6344B" w:rsidP="00B6344B" w:rsidRDefault="00B6344B" w14:paraId="5775C1F7" w14:textId="77777777">
      <w:pPr>
        <w:pStyle w:val="ListParagraph"/>
        <w:numPr>
          <w:ilvl w:val="0"/>
          <w:numId w:val="12"/>
        </w:numPr>
        <w:ind w:left="851" w:hanging="284"/>
      </w:pPr>
      <w:r>
        <w:t xml:space="preserve">Luodaan yrityksille vahvat kannustimet seuraaviin toimiin: </w:t>
      </w:r>
    </w:p>
    <w:p w:rsidR="00B6344B" w:rsidP="00B6344B" w:rsidRDefault="00B6344B" w14:paraId="5B9F165E" w14:textId="77777777">
      <w:pPr>
        <w:pStyle w:val="Heading2"/>
        <w:numPr>
          <w:ilvl w:val="1"/>
          <w:numId w:val="13"/>
        </w:numPr>
        <w:ind w:left="1134" w:hanging="283"/>
      </w:pPr>
      <w:r>
        <w:t xml:space="preserve">Korjataan osaamisvajeita </w:t>
      </w:r>
      <w:r>
        <w:rPr>
          <w:b/>
        </w:rPr>
        <w:t>ensisijaisesti</w:t>
      </w:r>
      <w:r>
        <w:t xml:space="preserve"> tarjoamalla nykyiselle henkilöstölle </w:t>
      </w:r>
      <w:r>
        <w:rPr>
          <w:b/>
        </w:rPr>
        <w:t>ammatillista täydennyskoulutusta</w:t>
      </w:r>
      <w:r>
        <w:t>.</w:t>
      </w:r>
    </w:p>
    <w:p w:rsidR="00B6344B" w:rsidP="00B6344B" w:rsidRDefault="00B6344B" w14:paraId="0129F4BC" w14:textId="77777777">
      <w:pPr>
        <w:pStyle w:val="Heading2"/>
        <w:numPr>
          <w:ilvl w:val="1"/>
          <w:numId w:val="13"/>
        </w:numPr>
        <w:ind w:left="1134" w:hanging="283"/>
      </w:pPr>
      <w:r>
        <w:t xml:space="preserve">Laaditaan, julkaistaan ja päivitetään yrityksessä säännöllisesti </w:t>
      </w:r>
      <w:r>
        <w:rPr>
          <w:b/>
        </w:rPr>
        <w:t>siirtymäsuunnitelmia</w:t>
      </w:r>
      <w:r>
        <w:t>.</w:t>
      </w:r>
    </w:p>
    <w:p w:rsidR="00B6344B" w:rsidP="00B6344B" w:rsidRDefault="00B6344B" w14:paraId="419E88F1" w14:textId="77777777">
      <w:pPr>
        <w:pStyle w:val="Heading2"/>
        <w:numPr>
          <w:ilvl w:val="1"/>
          <w:numId w:val="13"/>
        </w:numPr>
        <w:ind w:left="1134" w:hanging="283"/>
      </w:pPr>
      <w:r>
        <w:t>Edistetään oppisopimus- ja koulutusmaksuihin kohdistuvien rahoitusosuuksien korottamista kansallisten mallien mukaisesti, jotta niistä saadaan aluetasolle osarahoitusta työntekijöiden kouluttamiseen.</w:t>
      </w:r>
    </w:p>
    <w:p w:rsidR="00B6344B" w:rsidP="00B6344B" w:rsidRDefault="00B6344B" w14:paraId="79F86BAD" w14:textId="77777777">
      <w:pPr>
        <w:pStyle w:val="Heading2"/>
      </w:pPr>
      <w:r>
        <w:t xml:space="preserve">suosittaa </w:t>
      </w:r>
      <w:r>
        <w:rPr>
          <w:b/>
        </w:rPr>
        <w:t>siirtymätoimien yksityiskohtaista kartoittamista sen varmistamiseksi, että siirtymän haasteet ja sen tarjoamat mahdollisuudet tiedostetaan</w:t>
      </w:r>
      <w:r>
        <w:t>. Toimintapolitiikkojen ja parhaiden käytäntöjen kartoitusta voisi johtaa oikeudenmukaisen siirtymän seurantakeskus, joka voisi myös tukea jäsenvaltioita tietojen ja seurannan avulla.</w:t>
      </w:r>
    </w:p>
    <w:p w:rsidRPr="00566F22" w:rsidR="00B6344B" w:rsidP="00B6344B" w:rsidRDefault="00B6344B" w14:paraId="4A47C741" w14:textId="77777777">
      <w:pPr>
        <w:pStyle w:val="Heading2"/>
      </w:pPr>
      <w:r>
        <w:t xml:space="preserve">kehottaa Euroopan komissiota ja jäsenvaltioita </w:t>
      </w:r>
      <w:r>
        <w:rPr>
          <w:b/>
        </w:rPr>
        <w:t>varmistamaan riittävän rahoituksen</w:t>
      </w:r>
      <w:r>
        <w:t xml:space="preserve"> kasvattamalla oikeudenmukaisen siirtymän rahastoa ja sosiaalista ilmastorahastoa sekä </w:t>
      </w:r>
      <w:r>
        <w:rPr>
          <w:b/>
        </w:rPr>
        <w:t xml:space="preserve">vahvistamalla </w:t>
      </w:r>
      <w:r>
        <w:rPr>
          <w:b/>
        </w:rPr>
        <w:lastRenderedPageBreak/>
        <w:t>rahoituspohjaa ja hyödyntämällä siinä muita rahoitusmuotoja</w:t>
      </w:r>
      <w:r>
        <w:t>, jotka voivat pohjautua esimerkiksi kansallisten verojärjestelmien mukauttamiseen ja yksityisen siirtymärahoituksen mobilisoimiseen.</w:t>
      </w:r>
    </w:p>
    <w:p w:rsidRPr="007A64A4" w:rsidR="00B6344B" w:rsidP="00B6344B" w:rsidRDefault="00B6344B" w14:paraId="3EB3E8BF" w14:textId="77777777">
      <w:pPr>
        <w:spacing w:line="240" w:lineRule="auto"/>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1"/>
        <w:gridCol w:w="5670"/>
      </w:tblGrid>
      <w:tr w:rsidRPr="00A6689B" w:rsidR="00B6344B" w:rsidTr="0083717A" w14:paraId="434198E6" w14:textId="77777777">
        <w:tc>
          <w:tcPr>
            <w:tcW w:w="1634" w:type="dxa"/>
          </w:tcPr>
          <w:p w:rsidRPr="00A6689B" w:rsidR="00B6344B" w:rsidP="0083717A" w:rsidRDefault="00B6344B" w14:paraId="16F4C2F4" w14:textId="77777777">
            <w:pPr>
              <w:spacing w:line="240" w:lineRule="auto"/>
              <w:ind w:left="709"/>
              <w:rPr>
                <w:i/>
              </w:rPr>
            </w:pPr>
            <w:r>
              <w:rPr>
                <w:b/>
                <w:i/>
              </w:rPr>
              <w:t>Yhteydenotot</w:t>
            </w:r>
          </w:p>
        </w:tc>
        <w:tc>
          <w:tcPr>
            <w:tcW w:w="5670" w:type="dxa"/>
          </w:tcPr>
          <w:p w:rsidRPr="00A6689B" w:rsidR="00B6344B" w:rsidP="0083717A" w:rsidRDefault="00B6344B" w14:paraId="46E7BCC4" w14:textId="77777777">
            <w:pPr>
              <w:spacing w:line="240" w:lineRule="auto"/>
              <w:ind w:left="709"/>
              <w:rPr>
                <w:i/>
              </w:rPr>
            </w:pPr>
            <w:r>
              <w:t xml:space="preserve">Nicolas </w:t>
            </w:r>
            <w:proofErr w:type="spellStart"/>
            <w:r>
              <w:t>Stenger</w:t>
            </w:r>
            <w:proofErr w:type="spellEnd"/>
          </w:p>
        </w:tc>
      </w:tr>
      <w:tr w:rsidRPr="00A6689B" w:rsidR="00B6344B" w:rsidTr="0083717A" w14:paraId="6C75728C" w14:textId="77777777">
        <w:tc>
          <w:tcPr>
            <w:tcW w:w="1634" w:type="dxa"/>
          </w:tcPr>
          <w:p w:rsidRPr="00A6689B" w:rsidR="00B6344B" w:rsidP="0083717A" w:rsidRDefault="00B6344B" w14:paraId="46938666" w14:textId="77777777">
            <w:pPr>
              <w:spacing w:line="240" w:lineRule="auto"/>
              <w:ind w:left="709"/>
              <w:rPr>
                <w:i/>
              </w:rPr>
            </w:pPr>
            <w:r>
              <w:rPr>
                <w:i/>
              </w:rPr>
              <w:t>P.</w:t>
            </w:r>
          </w:p>
        </w:tc>
        <w:tc>
          <w:tcPr>
            <w:tcW w:w="5670" w:type="dxa"/>
          </w:tcPr>
          <w:p w:rsidRPr="00E0431A" w:rsidR="00B6344B" w:rsidP="0083717A" w:rsidRDefault="00B6344B" w14:paraId="2497BE8A" w14:textId="77777777">
            <w:pPr>
              <w:spacing w:line="240" w:lineRule="auto"/>
              <w:ind w:left="709"/>
              <w:rPr>
                <w:i/>
                <w:iCs/>
              </w:rPr>
            </w:pPr>
            <w:r>
              <w:rPr>
                <w:i/>
              </w:rPr>
              <w:t>+32 25468152</w:t>
            </w:r>
          </w:p>
        </w:tc>
      </w:tr>
      <w:tr w:rsidRPr="00A6689B" w:rsidR="00B6344B" w:rsidTr="0083717A" w14:paraId="4483DF53" w14:textId="77777777">
        <w:tc>
          <w:tcPr>
            <w:tcW w:w="1634" w:type="dxa"/>
          </w:tcPr>
          <w:p w:rsidRPr="00A6689B" w:rsidR="00B6344B" w:rsidP="0083717A" w:rsidRDefault="00B6344B" w14:paraId="70B84A76" w14:textId="77777777">
            <w:pPr>
              <w:spacing w:line="240" w:lineRule="auto"/>
              <w:ind w:left="709"/>
              <w:rPr>
                <w:i/>
              </w:rPr>
            </w:pPr>
            <w:r>
              <w:rPr>
                <w:i/>
              </w:rPr>
              <w:t>Sähköposti</w:t>
            </w:r>
          </w:p>
        </w:tc>
        <w:tc>
          <w:tcPr>
            <w:tcW w:w="5670" w:type="dxa"/>
          </w:tcPr>
          <w:p w:rsidRPr="000A3410" w:rsidR="00B6344B" w:rsidP="0083717A" w:rsidRDefault="00C63C8C" w14:paraId="690D7665" w14:textId="77777777">
            <w:pPr>
              <w:spacing w:line="240" w:lineRule="auto"/>
              <w:ind w:left="709"/>
              <w:rPr>
                <w:i/>
                <w:iCs/>
                <w:color w:val="0000FF"/>
                <w:u w:val="single"/>
              </w:rPr>
            </w:pPr>
            <w:hyperlink w:history="1" r:id="rId50">
              <w:r w:rsidR="00B6344B">
                <w:rPr>
                  <w:rStyle w:val="Hyperlink"/>
                  <w:i/>
                </w:rPr>
                <w:t>Nicolas.Stenger@eesc.europa.eu</w:t>
              </w:r>
            </w:hyperlink>
          </w:p>
        </w:tc>
      </w:tr>
    </w:tbl>
    <w:p w:rsidR="00C70B4C" w:rsidRDefault="00C70B4C" w14:paraId="2B905F39" w14:textId="58595445">
      <w:pPr>
        <w:spacing w:after="160" w:line="259" w:lineRule="auto"/>
        <w:jc w:val="left"/>
      </w:pPr>
      <w:r>
        <w:br w:type="page"/>
      </w:r>
    </w:p>
    <w:p w:rsidR="007F5784" w:rsidP="006D6D4E" w:rsidRDefault="007F5784" w14:paraId="14026A78" w14:textId="4FAE1588">
      <w:pPr>
        <w:pStyle w:val="Heading1"/>
        <w:keepNext/>
        <w:keepLines/>
        <w:rPr>
          <w:b/>
        </w:rPr>
      </w:pPr>
      <w:bookmarkStart w:name="_Toc178009608" w:id="12"/>
      <w:r>
        <w:rPr>
          <w:b/>
        </w:rPr>
        <w:lastRenderedPageBreak/>
        <w:t>ULKOSUHTEET</w:t>
      </w:r>
      <w:bookmarkEnd w:id="12"/>
    </w:p>
    <w:p w:rsidR="007F5784" w:rsidP="006D6D4E" w:rsidRDefault="007F5784" w14:paraId="3BBB3E68" w14:textId="77777777">
      <w:pPr>
        <w:keepNext/>
        <w:keepLines/>
      </w:pPr>
    </w:p>
    <w:p w:rsidRPr="001E5B05" w:rsidR="00B6344B" w:rsidP="00B6344B" w:rsidRDefault="00C63C8C" w14:paraId="64891311" w14:textId="77777777">
      <w:pPr>
        <w:widowControl w:val="0"/>
        <w:numPr>
          <w:ilvl w:val="0"/>
          <w:numId w:val="9"/>
        </w:numPr>
        <w:overflowPunct w:val="0"/>
        <w:autoSpaceDE w:val="0"/>
        <w:autoSpaceDN w:val="0"/>
        <w:adjustRightInd w:val="0"/>
        <w:ind w:hanging="567"/>
        <w:textAlignment w:val="baseline"/>
        <w:rPr>
          <w:sz w:val="24"/>
          <w:szCs w:val="24"/>
        </w:rPr>
      </w:pPr>
      <w:hyperlink w:history="1" r:id="rId51">
        <w:r w:rsidR="00B6344B">
          <w:rPr>
            <w:rStyle w:val="Hyperlink"/>
            <w:b/>
            <w:i/>
            <w:sz w:val="28"/>
          </w:rPr>
          <w:t>Päätös energiaperuskirjaa koskevan sopimuksen tulkinnasta ja soveltamisesta</w:t>
        </w:r>
      </w:hyperlink>
    </w:p>
    <w:p w:rsidRPr="00A6689B" w:rsidR="00B6344B" w:rsidP="00B6344B" w:rsidRDefault="00B6344B" w14:paraId="79AD6417"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387"/>
      </w:tblGrid>
      <w:tr w:rsidRPr="00A6689B" w:rsidR="00B6344B" w:rsidTr="0083717A" w14:paraId="3CDD1ADF" w14:textId="77777777">
        <w:tc>
          <w:tcPr>
            <w:tcW w:w="1560" w:type="dxa"/>
          </w:tcPr>
          <w:p w:rsidRPr="00A6689B" w:rsidR="00B6344B" w:rsidP="0083717A" w:rsidRDefault="00B6344B" w14:paraId="0BE5BC4C" w14:textId="77777777">
            <w:pPr>
              <w:tabs>
                <w:tab w:val="center" w:pos="29"/>
              </w:tabs>
              <w:ind w:left="171" w:hanging="266"/>
              <w:rPr>
                <w:b/>
              </w:rPr>
            </w:pPr>
            <w:r>
              <w:rPr>
                <w:b/>
              </w:rPr>
              <w:t>Esittelijä</w:t>
            </w:r>
          </w:p>
        </w:tc>
        <w:tc>
          <w:tcPr>
            <w:tcW w:w="5387" w:type="dxa"/>
          </w:tcPr>
          <w:p w:rsidRPr="00A6689B" w:rsidR="00B6344B" w:rsidP="0083717A" w:rsidRDefault="00B6344B" w14:paraId="07755F7E" w14:textId="77777777">
            <w:pPr>
              <w:tabs>
                <w:tab w:val="center" w:pos="284"/>
              </w:tabs>
              <w:ind w:left="266" w:hanging="266"/>
            </w:pPr>
            <w:proofErr w:type="spellStart"/>
            <w:r>
              <w:t>Christophe</w:t>
            </w:r>
            <w:proofErr w:type="spellEnd"/>
            <w:r>
              <w:t xml:space="preserve"> </w:t>
            </w:r>
            <w:proofErr w:type="spellStart"/>
            <w:r>
              <w:t>Quarez</w:t>
            </w:r>
            <w:proofErr w:type="spellEnd"/>
            <w:r>
              <w:t xml:space="preserve"> (työntekijät – FR)</w:t>
            </w:r>
          </w:p>
        </w:tc>
      </w:tr>
      <w:tr w:rsidRPr="00A6689B" w:rsidR="00B6344B" w:rsidTr="0083717A" w14:paraId="45B4514C" w14:textId="77777777">
        <w:tc>
          <w:tcPr>
            <w:tcW w:w="6945" w:type="dxa"/>
            <w:gridSpan w:val="2"/>
          </w:tcPr>
          <w:p w:rsidRPr="00A6689B" w:rsidR="00B6344B" w:rsidP="0083717A" w:rsidRDefault="00B6344B" w14:paraId="095CBC66" w14:textId="77777777">
            <w:pPr>
              <w:tabs>
                <w:tab w:val="center" w:pos="29"/>
              </w:tabs>
              <w:spacing w:line="160" w:lineRule="exact"/>
              <w:ind w:left="171" w:hanging="266"/>
              <w:rPr>
                <w:lang w:val="en-US"/>
              </w:rPr>
            </w:pPr>
          </w:p>
        </w:tc>
      </w:tr>
      <w:tr w:rsidRPr="00A6689B" w:rsidR="00B6344B" w:rsidTr="0083717A" w14:paraId="35558DFB" w14:textId="77777777">
        <w:tc>
          <w:tcPr>
            <w:tcW w:w="1560" w:type="dxa"/>
            <w:vMerge w:val="restart"/>
          </w:tcPr>
          <w:p w:rsidRPr="00A6689B" w:rsidR="00B6344B" w:rsidP="0083717A" w:rsidRDefault="00B6344B" w14:paraId="319FABF3" w14:textId="77777777">
            <w:pPr>
              <w:tabs>
                <w:tab w:val="center" w:pos="29"/>
              </w:tabs>
              <w:ind w:left="171" w:hanging="266"/>
              <w:rPr>
                <w:b/>
              </w:rPr>
            </w:pPr>
            <w:r>
              <w:rPr>
                <w:b/>
              </w:rPr>
              <w:t xml:space="preserve">Viiteasiakirjat </w:t>
            </w:r>
          </w:p>
        </w:tc>
        <w:tc>
          <w:tcPr>
            <w:tcW w:w="5387" w:type="dxa"/>
          </w:tcPr>
          <w:p w:rsidRPr="00A6689B" w:rsidR="00B6344B" w:rsidP="0083717A" w:rsidRDefault="00B6344B" w14:paraId="55944CDD" w14:textId="77777777">
            <w:pPr>
              <w:tabs>
                <w:tab w:val="center" w:pos="284"/>
              </w:tabs>
              <w:ind w:left="266" w:hanging="266"/>
            </w:pPr>
            <w:proofErr w:type="gramStart"/>
            <w:r>
              <w:t>COM(</w:t>
            </w:r>
            <w:proofErr w:type="gramEnd"/>
            <w:r>
              <w:t xml:space="preserve">2024) 257 </w:t>
            </w:r>
            <w:proofErr w:type="spellStart"/>
            <w:r>
              <w:t>final</w:t>
            </w:r>
            <w:proofErr w:type="spellEnd"/>
          </w:p>
        </w:tc>
      </w:tr>
      <w:tr w:rsidRPr="00A6689B" w:rsidR="00B6344B" w:rsidTr="0083717A" w14:paraId="44806F99" w14:textId="77777777">
        <w:tc>
          <w:tcPr>
            <w:tcW w:w="1560" w:type="dxa"/>
            <w:vMerge/>
          </w:tcPr>
          <w:p w:rsidRPr="00A6689B" w:rsidR="00B6344B" w:rsidP="0083717A" w:rsidRDefault="00B6344B" w14:paraId="2E34ABE7" w14:textId="77777777">
            <w:pPr>
              <w:tabs>
                <w:tab w:val="center" w:pos="284"/>
              </w:tabs>
              <w:ind w:left="266" w:hanging="266"/>
              <w:rPr>
                <w:b/>
                <w:lang w:val="en-US"/>
              </w:rPr>
            </w:pPr>
          </w:p>
        </w:tc>
        <w:tc>
          <w:tcPr>
            <w:tcW w:w="5387" w:type="dxa"/>
          </w:tcPr>
          <w:p w:rsidRPr="00A6689B" w:rsidR="00B6344B" w:rsidP="0083717A" w:rsidRDefault="00B6344B" w14:paraId="35B38EF7" w14:textId="77777777">
            <w:pPr>
              <w:tabs>
                <w:tab w:val="center" w:pos="284"/>
              </w:tabs>
              <w:spacing w:after="240"/>
              <w:ind w:left="266" w:hanging="266"/>
            </w:pPr>
            <w:r>
              <w:t>EESC-2024-03646-00-00-AC-TRA</w:t>
            </w:r>
          </w:p>
        </w:tc>
      </w:tr>
    </w:tbl>
    <w:p w:rsidRPr="00A6689B" w:rsidR="00B6344B" w:rsidP="00B6344B" w:rsidRDefault="00B6344B" w14:paraId="0E462092" w14:textId="77777777">
      <w:pPr>
        <w:keepNext/>
        <w:keepLines/>
        <w:tabs>
          <w:tab w:val="center" w:pos="284"/>
        </w:tabs>
        <w:ind w:left="266" w:hanging="266"/>
        <w:rPr>
          <w:b/>
        </w:rPr>
      </w:pPr>
      <w:r>
        <w:rPr>
          <w:b/>
        </w:rPr>
        <w:t>Keskeiset kohdat</w:t>
      </w:r>
    </w:p>
    <w:p w:rsidRPr="00A6689B" w:rsidR="00B6344B" w:rsidP="00B6344B" w:rsidRDefault="00B6344B" w14:paraId="335C284D" w14:textId="77777777">
      <w:pPr>
        <w:keepNext/>
        <w:keepLines/>
        <w:tabs>
          <w:tab w:val="center" w:pos="284"/>
        </w:tabs>
        <w:ind w:left="266" w:hanging="266"/>
        <w:rPr>
          <w:b/>
        </w:rPr>
      </w:pPr>
    </w:p>
    <w:p w:rsidRPr="00A6689B" w:rsidR="00B6344B" w:rsidP="00B6344B" w:rsidRDefault="00B6344B" w14:paraId="7182F2B4" w14:textId="77777777">
      <w:pPr>
        <w:rPr>
          <w:bCs/>
          <w:iCs/>
        </w:rPr>
      </w:pPr>
      <w:r>
        <w:t>ETSK</w:t>
      </w:r>
    </w:p>
    <w:p w:rsidRPr="00A6689B" w:rsidR="00B6344B" w:rsidP="00B6344B" w:rsidRDefault="00B6344B" w14:paraId="47A5D056" w14:textId="77777777">
      <w:pPr>
        <w:rPr>
          <w:bCs/>
          <w:iCs/>
        </w:rPr>
      </w:pPr>
    </w:p>
    <w:p w:rsidRPr="00114D56" w:rsidR="00B6344B" w:rsidP="00B6344B" w:rsidRDefault="00B6344B" w14:paraId="3F365147" w14:textId="77777777">
      <w:pPr>
        <w:widowControl w:val="0"/>
        <w:numPr>
          <w:ilvl w:val="0"/>
          <w:numId w:val="9"/>
        </w:numPr>
        <w:overflowPunct w:val="0"/>
        <w:autoSpaceDE w:val="0"/>
        <w:autoSpaceDN w:val="0"/>
        <w:adjustRightInd w:val="0"/>
        <w:textAlignment w:val="baseline"/>
      </w:pPr>
      <w:r>
        <w:rPr>
          <w:b/>
        </w:rPr>
        <w:t>hyväksyy</w:t>
      </w:r>
      <w:r>
        <w:t xml:space="preserve"> EU:n, Euratomin ja niiden jäsenvaltioiden välisen </w:t>
      </w:r>
      <w:r>
        <w:rPr>
          <w:b/>
        </w:rPr>
        <w:t>sopimuksen energiaperuskirjaa koskevan sopimuksen tulkinnasta ja soveltamisesta</w:t>
      </w:r>
      <w:r>
        <w:t xml:space="preserve"> ja panee merkille EU:n virallisen vetäytymisen energiaperuskirjasta tehdystä sopimuksesta 27. kesäkuuta 2024.</w:t>
      </w:r>
    </w:p>
    <w:p w:rsidR="00B6344B" w:rsidP="00B6344B" w:rsidRDefault="00B6344B" w14:paraId="21D8E910" w14:textId="77777777">
      <w:pPr>
        <w:widowControl w:val="0"/>
        <w:numPr>
          <w:ilvl w:val="0"/>
          <w:numId w:val="9"/>
        </w:numPr>
        <w:overflowPunct w:val="0"/>
        <w:autoSpaceDE w:val="0"/>
        <w:autoSpaceDN w:val="0"/>
        <w:adjustRightInd w:val="0"/>
        <w:textAlignment w:val="baseline"/>
      </w:pPr>
      <w:r>
        <w:t xml:space="preserve">on samaa mieltä Euroopan unionin tuomioistuimen (EUT) kanssa siitä, että </w:t>
      </w:r>
      <w:r>
        <w:rPr>
          <w:b/>
        </w:rPr>
        <w:t>energiaperuskirjasta tehdyn sopimuksen 26 artiklan 2 kohta on ristiriidassa EU:n lainsäädännön kanssa</w:t>
      </w:r>
      <w:r>
        <w:t>, ja korostaa, että sopimusta ei koskaan ollut tarkoitus soveltaa EU:n sisäisiin suhteisiin.</w:t>
      </w:r>
    </w:p>
    <w:p w:rsidRPr="00114D56" w:rsidR="00B6344B" w:rsidP="00B6344B" w:rsidRDefault="00B6344B" w14:paraId="1971BD3E" w14:textId="77777777">
      <w:pPr>
        <w:widowControl w:val="0"/>
        <w:numPr>
          <w:ilvl w:val="0"/>
          <w:numId w:val="9"/>
        </w:numPr>
        <w:overflowPunct w:val="0"/>
        <w:autoSpaceDE w:val="0"/>
        <w:autoSpaceDN w:val="0"/>
        <w:adjustRightInd w:val="0"/>
        <w:textAlignment w:val="baseline"/>
      </w:pPr>
      <w:r>
        <w:t xml:space="preserve">korostaa, että energiaperuskirjasta tehtyyn sopimukseen sisältyvä sijoittajan ja valtion välinen riitojenratkaisumekanismi voi </w:t>
      </w:r>
      <w:r>
        <w:rPr>
          <w:b/>
        </w:rPr>
        <w:t>heikentää oikeusvaltioperiaatetta, demokratiaa, avoimuutta ja johdonmukaisuutta</w:t>
      </w:r>
      <w:r>
        <w:t xml:space="preserve"> antamalla sijoittajille mahdollisuuden ohittaa kansalliset tuomioistuimet ja riitauttaa voitto-odotuksiin vaikuttavat kansalliset säädökset.</w:t>
      </w:r>
    </w:p>
    <w:p w:rsidRPr="00114D56" w:rsidR="00B6344B" w:rsidP="00B6344B" w:rsidRDefault="00B6344B" w14:paraId="3B75B05E" w14:textId="77777777">
      <w:pPr>
        <w:widowControl w:val="0"/>
        <w:numPr>
          <w:ilvl w:val="0"/>
          <w:numId w:val="9"/>
        </w:numPr>
        <w:overflowPunct w:val="0"/>
        <w:autoSpaceDE w:val="0"/>
        <w:autoSpaceDN w:val="0"/>
        <w:adjustRightInd w:val="0"/>
        <w:textAlignment w:val="baseline"/>
      </w:pPr>
      <w:r>
        <w:t xml:space="preserve">tähdentää, että </w:t>
      </w:r>
      <w:r>
        <w:rPr>
          <w:b/>
        </w:rPr>
        <w:t>energiaperuskirjasta tehdyllä sopimuksella suojellaan fossiilisiin energialähteisiin tehtäviä investointeja, mikä on ristiriidassa</w:t>
      </w:r>
      <w:r>
        <w:t xml:space="preserve"> esimerkiksi Euroopan vihreän kehityksen ohjelmassa ja Pariisin sopimuksessa ilmoitettujen </w:t>
      </w:r>
      <w:r>
        <w:rPr>
          <w:b/>
        </w:rPr>
        <w:t>ilmastotavoitteiden kanssa</w:t>
      </w:r>
      <w:r>
        <w:t>.</w:t>
      </w:r>
    </w:p>
    <w:p w:rsidRPr="00114D56" w:rsidR="00B6344B" w:rsidP="00B6344B" w:rsidRDefault="00B6344B" w14:paraId="2CFBCC82" w14:textId="77777777">
      <w:pPr>
        <w:widowControl w:val="0"/>
        <w:numPr>
          <w:ilvl w:val="0"/>
          <w:numId w:val="9"/>
        </w:numPr>
        <w:overflowPunct w:val="0"/>
        <w:autoSpaceDE w:val="0"/>
        <w:autoSpaceDN w:val="0"/>
        <w:adjustRightInd w:val="0"/>
        <w:textAlignment w:val="baseline"/>
      </w:pPr>
      <w:r>
        <w:t xml:space="preserve">kannustaa solmimaan </w:t>
      </w:r>
      <w:r>
        <w:rPr>
          <w:b/>
        </w:rPr>
        <w:t>sopimuksia kolmansien maiden</w:t>
      </w:r>
      <w:r>
        <w:t xml:space="preserve">, kuten Yhdistyneen kuningaskunnan, </w:t>
      </w:r>
      <w:r>
        <w:rPr>
          <w:b/>
        </w:rPr>
        <w:t>kanssa</w:t>
      </w:r>
      <w:r>
        <w:t xml:space="preserve">, jotta voidaan poistaa energiaperuskirjasta tehdyn sopimuksen 20 vuoden raukeamislausekkeesta johtuva välimiesmenettelyjen riski. </w:t>
      </w:r>
    </w:p>
    <w:p w:rsidRPr="00114D56" w:rsidR="00B6344B" w:rsidP="00B6344B" w:rsidRDefault="00B6344B" w14:paraId="52E16035" w14:textId="77777777">
      <w:pPr>
        <w:widowControl w:val="0"/>
        <w:numPr>
          <w:ilvl w:val="0"/>
          <w:numId w:val="9"/>
        </w:numPr>
        <w:overflowPunct w:val="0"/>
        <w:autoSpaceDE w:val="0"/>
        <w:autoSpaceDN w:val="0"/>
        <w:adjustRightInd w:val="0"/>
        <w:textAlignment w:val="baseline"/>
      </w:pPr>
      <w:r>
        <w:t xml:space="preserve">kehottaa tutkimaan oikeudellisia mekanismeja raukeamislausekkeen vaikutusten neutraloimiseksi, jotta estettäisiin pitkittyneet välimiesmenettelyriskit, jotka </w:t>
      </w:r>
      <w:r>
        <w:rPr>
          <w:b/>
        </w:rPr>
        <w:t>saattaisivat haitata EU:n ilmasto- ja energiasiirtymätavoitteiden saavuttamista</w:t>
      </w:r>
      <w:r>
        <w:t>.</w:t>
      </w:r>
    </w:p>
    <w:p w:rsidRPr="00114D56" w:rsidR="00B6344B" w:rsidP="00B6344B" w:rsidRDefault="00B6344B" w14:paraId="2B34A7F3" w14:textId="77777777">
      <w:pPr>
        <w:widowControl w:val="0"/>
        <w:numPr>
          <w:ilvl w:val="0"/>
          <w:numId w:val="9"/>
        </w:numPr>
        <w:overflowPunct w:val="0"/>
        <w:autoSpaceDE w:val="0"/>
        <w:autoSpaceDN w:val="0"/>
        <w:adjustRightInd w:val="0"/>
        <w:textAlignment w:val="baseline"/>
      </w:pPr>
      <w:r>
        <w:t xml:space="preserve">kehottaa jäljellä olevia jäsenvaltioita harkitsemaan vetäytymistä energiaperuskirjasta tehdystä sopimuksesta siihen yhä liittyvien ongelmien vuoksi ja </w:t>
      </w:r>
      <w:r>
        <w:rPr>
          <w:b/>
        </w:rPr>
        <w:t>kannattaa sitä, että laaditaan energia-alan yhteistyötä varten uusi monenvälinen kehys</w:t>
      </w:r>
      <w:r>
        <w:t>, jossa</w:t>
      </w:r>
    </w:p>
    <w:p w:rsidRPr="00114D56" w:rsidR="00B6344B" w:rsidP="00B6344B" w:rsidRDefault="00B6344B" w14:paraId="1E1BCED3" w14:textId="77777777">
      <w:pPr>
        <w:widowControl w:val="0"/>
        <w:numPr>
          <w:ilvl w:val="0"/>
          <w:numId w:val="9"/>
        </w:numPr>
        <w:overflowPunct w:val="0"/>
        <w:autoSpaceDE w:val="0"/>
        <w:autoSpaceDN w:val="0"/>
        <w:adjustRightInd w:val="0"/>
        <w:ind w:left="993" w:hanging="425"/>
        <w:textAlignment w:val="baseline"/>
      </w:pPr>
      <w:r>
        <w:t>asetetaan etusijalle kestävät ja uusiutuvat energialähteet</w:t>
      </w:r>
    </w:p>
    <w:p w:rsidRPr="00114D56" w:rsidR="00B6344B" w:rsidP="00B6344B" w:rsidRDefault="00B6344B" w14:paraId="2BDA3B50" w14:textId="77777777">
      <w:pPr>
        <w:widowControl w:val="0"/>
        <w:numPr>
          <w:ilvl w:val="0"/>
          <w:numId w:val="9"/>
        </w:numPr>
        <w:overflowPunct w:val="0"/>
        <w:autoSpaceDE w:val="0"/>
        <w:autoSpaceDN w:val="0"/>
        <w:adjustRightInd w:val="0"/>
        <w:ind w:left="993" w:hanging="425"/>
        <w:textAlignment w:val="baseline"/>
      </w:pPr>
      <w:r>
        <w:t xml:space="preserve">noudatetaan kaikilta osin </w:t>
      </w:r>
      <w:r>
        <w:rPr>
          <w:b/>
        </w:rPr>
        <w:t>Euroopan vihreän kehityksen ohjelmaa</w:t>
      </w:r>
    </w:p>
    <w:p w:rsidRPr="00114D56" w:rsidR="00B6344B" w:rsidP="00B6344B" w:rsidRDefault="00B6344B" w14:paraId="6E222A8D" w14:textId="77777777">
      <w:pPr>
        <w:widowControl w:val="0"/>
        <w:numPr>
          <w:ilvl w:val="0"/>
          <w:numId w:val="9"/>
        </w:numPr>
        <w:overflowPunct w:val="0"/>
        <w:autoSpaceDE w:val="0"/>
        <w:autoSpaceDN w:val="0"/>
        <w:adjustRightInd w:val="0"/>
        <w:ind w:left="993" w:hanging="425"/>
        <w:textAlignment w:val="baseline"/>
      </w:pPr>
      <w:r>
        <w:t xml:space="preserve">otetaan huomioon </w:t>
      </w:r>
      <w:r>
        <w:rPr>
          <w:b/>
        </w:rPr>
        <w:t>oikeudenmukainen siirtymä</w:t>
      </w:r>
    </w:p>
    <w:p w:rsidRPr="00114D56" w:rsidR="00B6344B" w:rsidP="00B6344B" w:rsidRDefault="00B6344B" w14:paraId="2FC74FCC" w14:textId="77777777">
      <w:pPr>
        <w:widowControl w:val="0"/>
        <w:numPr>
          <w:ilvl w:val="0"/>
          <w:numId w:val="9"/>
        </w:numPr>
        <w:overflowPunct w:val="0"/>
        <w:autoSpaceDE w:val="0"/>
        <w:autoSpaceDN w:val="0"/>
        <w:adjustRightInd w:val="0"/>
        <w:ind w:left="993" w:hanging="425"/>
        <w:textAlignment w:val="baseline"/>
        <w:rPr>
          <w:bCs/>
          <w:iCs/>
        </w:rPr>
      </w:pPr>
      <w:r>
        <w:t>noudatetaan avoimuuden, demokratian ja oikeusvaltion periaatteita.</w:t>
      </w:r>
    </w:p>
    <w:p w:rsidRPr="00EE75BE" w:rsidR="00B6344B" w:rsidP="00B6344B" w:rsidRDefault="00B6344B" w14:paraId="0C4D003B" w14:textId="77777777">
      <w:pPr>
        <w:widowControl w:val="0"/>
        <w:ind w:left="709"/>
        <w:rPr>
          <w:rFonts w:asciiTheme="minorHAnsi" w:hAnsiTheme="minorHAnsi"/>
        </w:rPr>
      </w:pPr>
    </w:p>
    <w:p w:rsidRPr="000624A9" w:rsidR="00B6344B" w:rsidP="00B6344B" w:rsidRDefault="00B6344B" w14:paraId="010E96FA"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3"/>
        <w:gridCol w:w="5670"/>
      </w:tblGrid>
      <w:tr w:rsidRPr="00A6689B" w:rsidR="00B6344B" w:rsidTr="0083717A" w14:paraId="3505764C" w14:textId="77777777">
        <w:tc>
          <w:tcPr>
            <w:tcW w:w="1418" w:type="dxa"/>
          </w:tcPr>
          <w:p w:rsidRPr="00A6689B" w:rsidR="00B6344B" w:rsidP="0083717A" w:rsidRDefault="00B6344B" w14:paraId="27C2A97F" w14:textId="77777777">
            <w:pPr>
              <w:spacing w:line="240" w:lineRule="auto"/>
              <w:rPr>
                <w:i/>
              </w:rPr>
            </w:pPr>
            <w:r>
              <w:rPr>
                <w:b/>
                <w:i/>
              </w:rPr>
              <w:t>Yhteydentotot</w:t>
            </w:r>
          </w:p>
        </w:tc>
        <w:tc>
          <w:tcPr>
            <w:tcW w:w="5670" w:type="dxa"/>
          </w:tcPr>
          <w:p w:rsidRPr="00A6689B" w:rsidR="00B6344B" w:rsidP="0083717A" w:rsidRDefault="00B6344B" w14:paraId="71ED3B36" w14:textId="77777777">
            <w:pPr>
              <w:spacing w:line="240" w:lineRule="auto"/>
              <w:rPr>
                <w:i/>
              </w:rPr>
            </w:pPr>
            <w:r>
              <w:rPr>
                <w:i/>
              </w:rPr>
              <w:t xml:space="preserve">Marco </w:t>
            </w:r>
            <w:proofErr w:type="spellStart"/>
            <w:r>
              <w:rPr>
                <w:i/>
              </w:rPr>
              <w:t>Ristori</w:t>
            </w:r>
            <w:proofErr w:type="spellEnd"/>
          </w:p>
        </w:tc>
      </w:tr>
      <w:tr w:rsidRPr="00A6689B" w:rsidR="00B6344B" w:rsidTr="0083717A" w14:paraId="35E177D4" w14:textId="77777777">
        <w:tc>
          <w:tcPr>
            <w:tcW w:w="1418" w:type="dxa"/>
          </w:tcPr>
          <w:p w:rsidRPr="00114D56" w:rsidR="00B6344B" w:rsidP="0083717A" w:rsidRDefault="00B6344B" w14:paraId="2D982497" w14:textId="77777777">
            <w:pPr>
              <w:spacing w:line="240" w:lineRule="auto"/>
              <w:rPr>
                <w:i/>
              </w:rPr>
            </w:pPr>
            <w:r>
              <w:rPr>
                <w:i/>
              </w:rPr>
              <w:t>P.</w:t>
            </w:r>
          </w:p>
        </w:tc>
        <w:tc>
          <w:tcPr>
            <w:tcW w:w="5670" w:type="dxa"/>
          </w:tcPr>
          <w:p w:rsidRPr="00114D56" w:rsidR="00B6344B" w:rsidP="0083717A" w:rsidRDefault="00B6344B" w14:paraId="40C08CAC" w14:textId="77777777">
            <w:pPr>
              <w:spacing w:line="240" w:lineRule="auto"/>
              <w:rPr>
                <w:i/>
              </w:rPr>
            </w:pPr>
            <w:r>
              <w:rPr>
                <w:i/>
              </w:rPr>
              <w:t>+ 32 25469969</w:t>
            </w:r>
          </w:p>
        </w:tc>
      </w:tr>
      <w:tr w:rsidRPr="00A6689B" w:rsidR="00B6344B" w:rsidTr="0083717A" w14:paraId="233BB50F" w14:textId="77777777">
        <w:tc>
          <w:tcPr>
            <w:tcW w:w="1418" w:type="dxa"/>
          </w:tcPr>
          <w:p w:rsidRPr="00A6689B" w:rsidR="00B6344B" w:rsidP="0083717A" w:rsidRDefault="00B6344B" w14:paraId="25BED596" w14:textId="77777777">
            <w:pPr>
              <w:spacing w:line="240" w:lineRule="auto"/>
              <w:rPr>
                <w:i/>
              </w:rPr>
            </w:pPr>
            <w:r>
              <w:rPr>
                <w:i/>
              </w:rPr>
              <w:t>Sähköposti</w:t>
            </w:r>
          </w:p>
        </w:tc>
        <w:tc>
          <w:tcPr>
            <w:tcW w:w="5670" w:type="dxa"/>
          </w:tcPr>
          <w:p w:rsidRPr="00114D56" w:rsidR="00B6344B" w:rsidP="0083717A" w:rsidRDefault="00C63C8C" w14:paraId="25149F9B" w14:textId="77777777">
            <w:pPr>
              <w:spacing w:line="240" w:lineRule="auto"/>
              <w:rPr>
                <w:i/>
                <w:iCs/>
              </w:rPr>
            </w:pPr>
            <w:hyperlink w:history="1" r:id="rId52">
              <w:r w:rsidR="00B6344B">
                <w:rPr>
                  <w:rStyle w:val="Hyperlink"/>
                  <w:i/>
                </w:rPr>
                <w:t>Marco.Ristori@eesc.europa.eu</w:t>
              </w:r>
            </w:hyperlink>
            <w:r w:rsidR="00B6344B">
              <w:rPr>
                <w:i/>
              </w:rPr>
              <w:t xml:space="preserve"> </w:t>
            </w:r>
          </w:p>
        </w:tc>
      </w:tr>
    </w:tbl>
    <w:p w:rsidR="00B96875" w:rsidRDefault="00B96875" w14:paraId="48402832" w14:textId="77777777">
      <w:pPr>
        <w:spacing w:after="160" w:line="259" w:lineRule="auto"/>
        <w:jc w:val="left"/>
      </w:pPr>
    </w:p>
    <w:p w:rsidR="00B96875" w:rsidRDefault="00B96875" w14:paraId="64E1699F" w14:textId="77777777">
      <w:pPr>
        <w:spacing w:after="160" w:line="259" w:lineRule="auto"/>
        <w:jc w:val="left"/>
      </w:pPr>
      <w:r>
        <w:lastRenderedPageBreak/>
        <w:br w:type="page"/>
      </w:r>
    </w:p>
    <w:p w:rsidRPr="00C042DE" w:rsidR="00B6344B" w:rsidP="00B6344B" w:rsidRDefault="00B6344B" w14:paraId="57770E79" w14:textId="77777777">
      <w:pPr>
        <w:widowControl w:val="0"/>
        <w:numPr>
          <w:ilvl w:val="0"/>
          <w:numId w:val="9"/>
        </w:numPr>
        <w:overflowPunct w:val="0"/>
        <w:autoSpaceDE w:val="0"/>
        <w:autoSpaceDN w:val="0"/>
        <w:adjustRightInd w:val="0"/>
        <w:ind w:hanging="567"/>
        <w:textAlignment w:val="baseline"/>
        <w:rPr>
          <w:rStyle w:val="Hyperlink"/>
          <w:sz w:val="20"/>
        </w:rPr>
      </w:pPr>
      <w:r>
        <w:rPr>
          <w:b/>
          <w:i/>
          <w:sz w:val="28"/>
        </w:rPr>
        <w:lastRenderedPageBreak/>
        <w:fldChar w:fldCharType="begin"/>
      </w:r>
      <w:r>
        <w:rPr>
          <w:b/>
          <w:i/>
          <w:sz w:val="28"/>
        </w:rPr>
        <w:instrText xml:space="preserve"> HYPERLINK "https://www.eesc.europa.eu/fi/our-work/opinions-information-reports/opinions/water-politics-empowering-youth-women-and-indigenous-and-local-communities" </w:instrText>
      </w:r>
      <w:r>
        <w:rPr>
          <w:b/>
          <w:i/>
          <w:sz w:val="28"/>
        </w:rPr>
        <w:fldChar w:fldCharType="separate"/>
      </w:r>
      <w:r>
        <w:rPr>
          <w:rStyle w:val="Hyperlink"/>
          <w:b/>
          <w:i/>
          <w:sz w:val="28"/>
        </w:rPr>
        <w:t>Vesipolitiikka: lisää vaikutusmahdollisuuksia nuorille ja naisille sekä alkuperäisväestöille ja paikallisyhteisöille</w:t>
      </w:r>
    </w:p>
    <w:p w:rsidRPr="00A6689B" w:rsidR="00B6344B" w:rsidP="00B6344B" w:rsidRDefault="00B6344B" w14:paraId="0D731240" w14:textId="77777777">
      <w:pPr>
        <w:tabs>
          <w:tab w:val="center" w:pos="284"/>
        </w:tabs>
        <w:ind w:left="266" w:hanging="266"/>
        <w:rPr>
          <w:b/>
        </w:rPr>
      </w:pPr>
      <w:r>
        <w:rPr>
          <w:b/>
          <w:i/>
          <w:sz w:val="28"/>
        </w:rPr>
        <w:fldChar w:fldCharType="end"/>
      </w:r>
    </w:p>
    <w:tbl>
      <w:tblPr>
        <w:tblStyle w:val="TableGrid"/>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6"/>
        <w:gridCol w:w="7163"/>
      </w:tblGrid>
      <w:tr w:rsidRPr="00A6689B" w:rsidR="00B6344B" w:rsidTr="0083717A" w14:paraId="2BFE0619" w14:textId="77777777">
        <w:tc>
          <w:tcPr>
            <w:tcW w:w="1111" w:type="pct"/>
          </w:tcPr>
          <w:p w:rsidR="00B6344B" w:rsidP="0083717A" w:rsidRDefault="00B6344B" w14:paraId="128FD002" w14:textId="77777777">
            <w:pPr>
              <w:tabs>
                <w:tab w:val="center" w:pos="284"/>
              </w:tabs>
              <w:ind w:left="266" w:hanging="266"/>
              <w:rPr>
                <w:b/>
              </w:rPr>
            </w:pPr>
            <w:r>
              <w:rPr>
                <w:b/>
              </w:rPr>
              <w:t>Esittelijä</w:t>
            </w:r>
          </w:p>
          <w:p w:rsidR="00B6344B" w:rsidP="0083717A" w:rsidRDefault="00B6344B" w14:paraId="322B9D64" w14:textId="77777777">
            <w:pPr>
              <w:tabs>
                <w:tab w:val="center" w:pos="284"/>
              </w:tabs>
              <w:ind w:left="266" w:hanging="266"/>
              <w:rPr>
                <w:b/>
              </w:rPr>
            </w:pPr>
            <w:r>
              <w:rPr>
                <w:b/>
              </w:rPr>
              <w:t>Yhteisesittelijä</w:t>
            </w:r>
          </w:p>
          <w:p w:rsidRPr="00A6689B" w:rsidR="00B6344B" w:rsidP="0083717A" w:rsidRDefault="00B6344B" w14:paraId="4E41D5CD" w14:textId="77777777">
            <w:pPr>
              <w:tabs>
                <w:tab w:val="center" w:pos="284"/>
              </w:tabs>
              <w:ind w:left="266" w:hanging="266"/>
              <w:rPr>
                <w:b/>
                <w:lang w:val="en-US"/>
              </w:rPr>
            </w:pPr>
          </w:p>
        </w:tc>
        <w:tc>
          <w:tcPr>
            <w:tcW w:w="3889" w:type="pct"/>
          </w:tcPr>
          <w:p w:rsidR="00B6344B" w:rsidP="0083717A" w:rsidRDefault="00B6344B" w14:paraId="4EB3F675" w14:textId="77777777">
            <w:pPr>
              <w:tabs>
                <w:tab w:val="center" w:pos="284"/>
              </w:tabs>
              <w:ind w:left="266" w:hanging="266"/>
            </w:pPr>
            <w:r>
              <w:t>Milena ANGELOVA (työnantajat – BG)</w:t>
            </w:r>
          </w:p>
          <w:p w:rsidRPr="00A6689B" w:rsidR="00B6344B" w:rsidP="0083717A" w:rsidRDefault="00B6344B" w14:paraId="6902D04D" w14:textId="77777777">
            <w:pPr>
              <w:tabs>
                <w:tab w:val="center" w:pos="284"/>
              </w:tabs>
              <w:ind w:left="266" w:hanging="266"/>
            </w:pPr>
            <w:proofErr w:type="spellStart"/>
            <w:r>
              <w:t>Ioannis</w:t>
            </w:r>
            <w:proofErr w:type="spellEnd"/>
            <w:r>
              <w:t xml:space="preserve"> VARDAKASTANIS (kansalaisyhteiskunnan organisaatiot – EL)</w:t>
            </w:r>
          </w:p>
        </w:tc>
      </w:tr>
      <w:tr w:rsidRPr="00A6689B" w:rsidR="00B6344B" w:rsidTr="0083717A" w14:paraId="70867881" w14:textId="77777777">
        <w:tc>
          <w:tcPr>
            <w:tcW w:w="5000" w:type="pct"/>
            <w:gridSpan w:val="2"/>
          </w:tcPr>
          <w:p w:rsidRPr="00A6689B" w:rsidR="00B6344B" w:rsidP="0083717A" w:rsidRDefault="00B6344B" w14:paraId="4B3CA4AE" w14:textId="77777777">
            <w:pPr>
              <w:tabs>
                <w:tab w:val="center" w:pos="284"/>
              </w:tabs>
              <w:spacing w:line="160" w:lineRule="exact"/>
              <w:ind w:left="266" w:hanging="266"/>
              <w:rPr>
                <w:lang w:val="en-US"/>
              </w:rPr>
            </w:pPr>
          </w:p>
        </w:tc>
      </w:tr>
      <w:tr w:rsidRPr="00A6689B" w:rsidR="00B6344B" w:rsidTr="0083717A" w14:paraId="1F5B31D1" w14:textId="77777777">
        <w:tc>
          <w:tcPr>
            <w:tcW w:w="1111" w:type="pct"/>
            <w:vMerge w:val="restart"/>
          </w:tcPr>
          <w:p w:rsidRPr="00A6689B" w:rsidR="00B6344B" w:rsidP="0083717A" w:rsidRDefault="00B6344B" w14:paraId="71C9F023" w14:textId="77777777">
            <w:pPr>
              <w:tabs>
                <w:tab w:val="center" w:pos="284"/>
              </w:tabs>
              <w:ind w:left="266" w:hanging="266"/>
              <w:rPr>
                <w:b/>
              </w:rPr>
            </w:pPr>
            <w:r>
              <w:rPr>
                <w:b/>
              </w:rPr>
              <w:t>Viiteasiakirjat</w:t>
            </w:r>
          </w:p>
        </w:tc>
        <w:tc>
          <w:tcPr>
            <w:tcW w:w="3889" w:type="pct"/>
          </w:tcPr>
          <w:p w:rsidRPr="00A6689B" w:rsidR="00B6344B" w:rsidP="0083717A" w:rsidRDefault="00B6344B" w14:paraId="6B0E518B" w14:textId="77777777">
            <w:pPr>
              <w:tabs>
                <w:tab w:val="center" w:pos="284"/>
              </w:tabs>
              <w:ind w:left="266" w:hanging="266"/>
            </w:pPr>
            <w:r>
              <w:t>EESC-2024-00874-00-00-AC</w:t>
            </w:r>
          </w:p>
        </w:tc>
      </w:tr>
      <w:tr w:rsidRPr="00A6689B" w:rsidR="00B6344B" w:rsidTr="0083717A" w14:paraId="7BE65AFF" w14:textId="77777777">
        <w:tc>
          <w:tcPr>
            <w:tcW w:w="1111" w:type="pct"/>
            <w:vMerge/>
          </w:tcPr>
          <w:p w:rsidRPr="00A6689B" w:rsidR="00B6344B" w:rsidP="0083717A" w:rsidRDefault="00B6344B" w14:paraId="0892DD32" w14:textId="77777777">
            <w:pPr>
              <w:tabs>
                <w:tab w:val="center" w:pos="284"/>
              </w:tabs>
              <w:ind w:left="266" w:hanging="266"/>
              <w:rPr>
                <w:b/>
                <w:lang w:val="en-US"/>
              </w:rPr>
            </w:pPr>
          </w:p>
        </w:tc>
        <w:tc>
          <w:tcPr>
            <w:tcW w:w="3889" w:type="pct"/>
          </w:tcPr>
          <w:p w:rsidRPr="00A6689B" w:rsidR="00B6344B" w:rsidP="0083717A" w:rsidRDefault="00B6344B" w14:paraId="053C7879" w14:textId="77777777">
            <w:pPr>
              <w:tabs>
                <w:tab w:val="center" w:pos="284"/>
              </w:tabs>
              <w:ind w:left="266" w:hanging="266"/>
              <w:rPr>
                <w:lang w:val="en-US"/>
              </w:rPr>
            </w:pPr>
          </w:p>
        </w:tc>
      </w:tr>
    </w:tbl>
    <w:p w:rsidRPr="00A6689B" w:rsidR="00B6344B" w:rsidP="00B6344B" w:rsidRDefault="00B6344B" w14:paraId="4F3DECCF" w14:textId="77777777">
      <w:pPr>
        <w:tabs>
          <w:tab w:val="center" w:pos="284"/>
        </w:tabs>
        <w:ind w:left="266" w:hanging="266"/>
      </w:pPr>
    </w:p>
    <w:p w:rsidRPr="00A6689B" w:rsidR="00B6344B" w:rsidP="00B6344B" w:rsidRDefault="00B6344B" w14:paraId="15B2AAED" w14:textId="77777777">
      <w:pPr>
        <w:keepNext/>
        <w:keepLines/>
        <w:tabs>
          <w:tab w:val="center" w:pos="284"/>
        </w:tabs>
        <w:ind w:left="266" w:hanging="266"/>
        <w:rPr>
          <w:b/>
        </w:rPr>
      </w:pPr>
      <w:r>
        <w:rPr>
          <w:b/>
        </w:rPr>
        <w:t>Keskeiset kohdat</w:t>
      </w:r>
    </w:p>
    <w:p w:rsidRPr="00A6689B" w:rsidR="00B6344B" w:rsidP="00B6344B" w:rsidRDefault="00B6344B" w14:paraId="025404E4" w14:textId="77777777">
      <w:pPr>
        <w:keepNext/>
        <w:keepLines/>
        <w:tabs>
          <w:tab w:val="center" w:pos="284"/>
        </w:tabs>
        <w:ind w:left="266" w:hanging="266"/>
        <w:rPr>
          <w:b/>
        </w:rPr>
      </w:pPr>
    </w:p>
    <w:p w:rsidRPr="00A6689B" w:rsidR="00B6344B" w:rsidP="00B6344B" w:rsidRDefault="00B6344B" w14:paraId="6C4C5A8B" w14:textId="77777777">
      <w:pPr>
        <w:rPr>
          <w:bCs/>
          <w:iCs/>
        </w:rPr>
      </w:pPr>
      <w:r>
        <w:t>ETSK</w:t>
      </w:r>
    </w:p>
    <w:p w:rsidR="00B6344B" w:rsidP="00B6344B" w:rsidRDefault="00B6344B" w14:paraId="483A7DC9" w14:textId="77777777">
      <w:pPr>
        <w:rPr>
          <w:bCs/>
          <w:iCs/>
        </w:rPr>
      </w:pPr>
    </w:p>
    <w:p w:rsidR="00B6344B" w:rsidP="00B6344B" w:rsidRDefault="00B6344B" w14:paraId="06F8592C" w14:textId="77777777">
      <w:pPr>
        <w:widowControl w:val="0"/>
        <w:numPr>
          <w:ilvl w:val="0"/>
          <w:numId w:val="9"/>
        </w:numPr>
        <w:overflowPunct w:val="0"/>
        <w:autoSpaceDE w:val="0"/>
        <w:autoSpaceDN w:val="0"/>
        <w:adjustRightInd w:val="0"/>
        <w:ind w:left="709" w:hanging="425"/>
        <w:textAlignment w:val="baseline"/>
        <w:rPr>
          <w:bCs/>
          <w:iCs/>
        </w:rPr>
      </w:pPr>
      <w:r>
        <w:t xml:space="preserve">muistuttaa, että </w:t>
      </w:r>
      <w:r>
        <w:rPr>
          <w:b/>
        </w:rPr>
        <w:t>vesi on ratkaisevan tärkeää ihmiselämän ja ihmisarvon kannalta</w:t>
      </w:r>
      <w:r>
        <w:t xml:space="preserve"> ja että EU on tunnustanut </w:t>
      </w:r>
      <w:r>
        <w:rPr>
          <w:b/>
        </w:rPr>
        <w:t xml:space="preserve">veden ja </w:t>
      </w:r>
      <w:proofErr w:type="spellStart"/>
      <w:r>
        <w:rPr>
          <w:b/>
        </w:rPr>
        <w:t>sanitaation</w:t>
      </w:r>
      <w:proofErr w:type="spellEnd"/>
      <w:r>
        <w:rPr>
          <w:b/>
        </w:rPr>
        <w:t xml:space="preserve"> saatavuuden perusihmisoikeudeksi</w:t>
      </w:r>
      <w:r>
        <w:t xml:space="preserve">. </w:t>
      </w:r>
    </w:p>
    <w:p w:rsidR="00B6344B" w:rsidP="00B6344B" w:rsidRDefault="00B6344B" w14:paraId="0081959A" w14:textId="77777777">
      <w:pPr>
        <w:widowControl w:val="0"/>
        <w:numPr>
          <w:ilvl w:val="0"/>
          <w:numId w:val="9"/>
        </w:numPr>
        <w:overflowPunct w:val="0"/>
        <w:autoSpaceDE w:val="0"/>
        <w:autoSpaceDN w:val="0"/>
        <w:adjustRightInd w:val="0"/>
        <w:ind w:left="709" w:hanging="425"/>
        <w:textAlignment w:val="baseline"/>
        <w:rPr>
          <w:bCs/>
          <w:iCs/>
        </w:rPr>
      </w:pPr>
      <w:r>
        <w:t xml:space="preserve">korostaa, että </w:t>
      </w:r>
      <w:r>
        <w:rPr>
          <w:b/>
        </w:rPr>
        <w:t>nuoret ja naiset sekä alkuperäisväestöt ja paikallisyhteisöt (myös siirtolaiset ja vammaiset henkilöt) ovat vesistressistä eniten kärsiviä väestöryhmiä</w:t>
      </w:r>
      <w:r>
        <w:t xml:space="preserve"> ja että näihin ryhmiin kuuluvilla on runsaasti vielä käyttämätöntä potentiaalia edistää kestävää vesihuoltoa ja veden hyödyntämistä rauhanrakentamisen ja vakauttamisen välineenä ja osallistua siten siniseen diplomatiaan.</w:t>
      </w:r>
    </w:p>
    <w:p w:rsidR="00B6344B" w:rsidP="00B6344B" w:rsidRDefault="00B6344B" w14:paraId="0654D34C" w14:textId="77777777">
      <w:pPr>
        <w:widowControl w:val="0"/>
        <w:numPr>
          <w:ilvl w:val="0"/>
          <w:numId w:val="9"/>
        </w:numPr>
        <w:overflowPunct w:val="0"/>
        <w:autoSpaceDE w:val="0"/>
        <w:autoSpaceDN w:val="0"/>
        <w:adjustRightInd w:val="0"/>
        <w:ind w:left="709" w:hanging="425"/>
        <w:textAlignment w:val="baseline"/>
        <w:rPr>
          <w:bCs/>
          <w:iCs/>
        </w:rPr>
      </w:pPr>
      <w:r>
        <w:t xml:space="preserve">kehottaa </w:t>
      </w:r>
      <w:r>
        <w:rPr>
          <w:b/>
        </w:rPr>
        <w:t>kiinnittämään näihin väestöryhmiin asianmukaista huomiota EU:n ulkosuhteissa ja kansainvälisessä yhteistyössä</w:t>
      </w:r>
      <w:r>
        <w:t xml:space="preserve"> ja perustamaan </w:t>
      </w:r>
      <w:r>
        <w:rPr>
          <w:b/>
        </w:rPr>
        <w:t>kärkikumppanuusohjelman, jonka puitteissa näiden ryhmien vaikutusmahdollisuuksia voidaan lisätä</w:t>
      </w:r>
      <w:r>
        <w:t xml:space="preserve"> yhdennetysti.</w:t>
      </w:r>
    </w:p>
    <w:p w:rsidR="00B6344B" w:rsidP="00B6344B" w:rsidRDefault="00B6344B" w14:paraId="7F3AAD60" w14:textId="77777777">
      <w:pPr>
        <w:widowControl w:val="0"/>
        <w:numPr>
          <w:ilvl w:val="0"/>
          <w:numId w:val="9"/>
        </w:numPr>
        <w:overflowPunct w:val="0"/>
        <w:autoSpaceDE w:val="0"/>
        <w:autoSpaceDN w:val="0"/>
        <w:adjustRightInd w:val="0"/>
        <w:ind w:left="709" w:hanging="425"/>
        <w:textAlignment w:val="baseline"/>
        <w:rPr>
          <w:bCs/>
          <w:iCs/>
        </w:rPr>
      </w:pPr>
      <w:r>
        <w:t xml:space="preserve">huomauttaa, että </w:t>
      </w:r>
      <w:r>
        <w:rPr>
          <w:b/>
        </w:rPr>
        <w:t>puhtaan veden saatavuus, koulutus, työllisyys ja osallistuminen päätöksentekoon ovat keskeisiä tekijöitä pyrittäessä lisäämään ihmisten vaikutusmahdollisuuksia</w:t>
      </w:r>
      <w:r>
        <w:t xml:space="preserve">. Vesi-, </w:t>
      </w:r>
      <w:proofErr w:type="spellStart"/>
      <w:r>
        <w:t>sanitaatio</w:t>
      </w:r>
      <w:proofErr w:type="spellEnd"/>
      <w:r>
        <w:t>- ja hygieniapalvelujen eli WASH-palvelujen saantia on ratkaisevan tärkeää parantaa, sillä se vapauttaa aikaa yleissivistävään ja ammatilliseen kouluttautumiseen, monipuolistaa työllistymisvaihtoehtoja ja laajentaa mahdollisuuksia antaa oma panos vesivarojen hallintaan ja vesipolitiikkaan.</w:t>
      </w:r>
    </w:p>
    <w:p w:rsidR="00B6344B" w:rsidP="00B6344B" w:rsidRDefault="00B6344B" w14:paraId="091A2C01" w14:textId="77777777">
      <w:pPr>
        <w:widowControl w:val="0"/>
        <w:numPr>
          <w:ilvl w:val="0"/>
          <w:numId w:val="9"/>
        </w:numPr>
        <w:overflowPunct w:val="0"/>
        <w:autoSpaceDE w:val="0"/>
        <w:autoSpaceDN w:val="0"/>
        <w:adjustRightInd w:val="0"/>
        <w:ind w:left="709" w:hanging="425"/>
        <w:textAlignment w:val="baseline"/>
        <w:rPr>
          <w:bCs/>
          <w:iCs/>
        </w:rPr>
      </w:pPr>
      <w:r>
        <w:t xml:space="preserve">katsoo, että </w:t>
      </w:r>
      <w:r>
        <w:rPr>
          <w:b/>
        </w:rPr>
        <w:t>nuorille</w:t>
      </w:r>
      <w:r>
        <w:t xml:space="preserve"> – jotka ovat nykypäivän muutosvoimia ja tulevia päätöksentekijöitä – </w:t>
      </w:r>
      <w:r>
        <w:rPr>
          <w:b/>
        </w:rPr>
        <w:t>olisi tarjottava yleisiä kansalais-, kansalaisuus- ja yrittäjätaitoja</w:t>
      </w:r>
      <w:r>
        <w:t xml:space="preserve">, jotta he voivat antaa oman panoksensa </w:t>
      </w:r>
      <w:r>
        <w:rPr>
          <w:b/>
        </w:rPr>
        <w:t>vesivarojen hallintaan, työllisyyden edistämiseen ja politiikan muotoiluun</w:t>
      </w:r>
      <w:r>
        <w:t>.</w:t>
      </w:r>
    </w:p>
    <w:p w:rsidR="00B6344B" w:rsidP="00B6344B" w:rsidRDefault="00B6344B" w14:paraId="4C16DAC9" w14:textId="77777777">
      <w:pPr>
        <w:widowControl w:val="0"/>
        <w:numPr>
          <w:ilvl w:val="0"/>
          <w:numId w:val="9"/>
        </w:numPr>
        <w:overflowPunct w:val="0"/>
        <w:autoSpaceDE w:val="0"/>
        <w:autoSpaceDN w:val="0"/>
        <w:adjustRightInd w:val="0"/>
        <w:ind w:left="709" w:hanging="425"/>
        <w:textAlignment w:val="baseline"/>
        <w:rPr>
          <w:bCs/>
          <w:iCs/>
        </w:rPr>
      </w:pPr>
      <w:r>
        <w:t>pitää</w:t>
      </w:r>
      <w:r>
        <w:rPr>
          <w:b/>
        </w:rPr>
        <w:t xml:space="preserve"> toisena keskeisenä tekijänä sukupuolten täyttä tasa-arvoa koulutuksessa, työelämässä, viranomaisyhteyksissä ja yrittäjänä</w:t>
      </w:r>
      <w:r>
        <w:t>. On kiinnitettävä asianmukaista huomiota kunnollisiin työoloihin ja -ehtoihin, myös syrjinnän ja häirinnän ennaltaehkäisyyn.</w:t>
      </w:r>
    </w:p>
    <w:p w:rsidRPr="00420CA0" w:rsidR="00B6344B" w:rsidP="00B6344B" w:rsidRDefault="00B6344B" w14:paraId="23D4223E" w14:textId="77777777">
      <w:pPr>
        <w:widowControl w:val="0"/>
        <w:numPr>
          <w:ilvl w:val="0"/>
          <w:numId w:val="9"/>
        </w:numPr>
        <w:overflowPunct w:val="0"/>
        <w:autoSpaceDE w:val="0"/>
        <w:autoSpaceDN w:val="0"/>
        <w:adjustRightInd w:val="0"/>
        <w:ind w:left="709" w:hanging="425"/>
        <w:textAlignment w:val="baseline"/>
        <w:rPr>
          <w:bCs/>
          <w:iCs/>
        </w:rPr>
      </w:pPr>
      <w:r>
        <w:t>painottaa, että</w:t>
      </w:r>
      <w:r>
        <w:rPr>
          <w:b/>
        </w:rPr>
        <w:t xml:space="preserve"> paikallisyhteisöillä on oltava käytettävissään infrastruktuuria ja niiden on saatava tietoa ja koulutusta</w:t>
      </w:r>
      <w:r>
        <w:t xml:space="preserve">. Lisäksi paikallisten kansalaisyhteiskunnan organisaatioiden olisi päästävä mukaan paikalliseen päätöksentekoon. Näin voidaan </w:t>
      </w:r>
      <w:proofErr w:type="spellStart"/>
      <w:r>
        <w:t>osallistaa</w:t>
      </w:r>
      <w:proofErr w:type="spellEnd"/>
      <w:r>
        <w:t xml:space="preserve"> alkuperäisväestöryhmiä ja lisätä niiden vaikutusmahdollisuuksia.</w:t>
      </w:r>
    </w:p>
    <w:p w:rsidRPr="00C80D95" w:rsidR="00B6344B" w:rsidP="00B6344B" w:rsidRDefault="00B6344B" w14:paraId="1C327A78" w14:textId="77777777">
      <w:pPr>
        <w:widowControl w:val="0"/>
        <w:numPr>
          <w:ilvl w:val="0"/>
          <w:numId w:val="9"/>
        </w:numPr>
        <w:spacing w:line="240" w:lineRule="auto"/>
        <w:ind w:left="709" w:hanging="425"/>
        <w:jc w:val="left"/>
        <w:rPr>
          <w:bCs/>
          <w:iCs/>
        </w:rPr>
      </w:pPr>
      <w:r>
        <w:t xml:space="preserve">tähdentää, että </w:t>
      </w:r>
      <w:r>
        <w:rPr>
          <w:b/>
        </w:rPr>
        <w:t xml:space="preserve">sininen teknologia ja digitaaliteknologia ovat keskeisiä pyrittäessä parantamaan vesivarojen hallintaa sekä puhtaan veden ja </w:t>
      </w:r>
      <w:proofErr w:type="spellStart"/>
      <w:r>
        <w:rPr>
          <w:b/>
        </w:rPr>
        <w:t>sanitaation</w:t>
      </w:r>
      <w:proofErr w:type="spellEnd"/>
      <w:r>
        <w:rPr>
          <w:b/>
        </w:rPr>
        <w:t xml:space="preserve"> saatavuutta</w:t>
      </w:r>
      <w:r>
        <w:t>.</w:t>
      </w:r>
    </w:p>
    <w:p w:rsidRPr="00420CA0" w:rsidR="00B6344B" w:rsidP="00B6344B" w:rsidRDefault="00B6344B" w14:paraId="57910E2E" w14:textId="77777777">
      <w:pPr>
        <w:widowControl w:val="0"/>
        <w:numPr>
          <w:ilvl w:val="0"/>
          <w:numId w:val="9"/>
        </w:numPr>
        <w:overflowPunct w:val="0"/>
        <w:autoSpaceDE w:val="0"/>
        <w:autoSpaceDN w:val="0"/>
        <w:adjustRightInd w:val="0"/>
        <w:ind w:left="709" w:hanging="425"/>
        <w:textAlignment w:val="baseline"/>
        <w:rPr>
          <w:bCs/>
        </w:rPr>
      </w:pPr>
      <w:r>
        <w:t xml:space="preserve">korostaa, että </w:t>
      </w:r>
      <w:r>
        <w:rPr>
          <w:b/>
        </w:rPr>
        <w:t>merkityksellinen kumppanuus ja rahoitus ovat ehdottoman tärkeitä infrastruktuurin, koulutuksen ja yleisten valmiuksien kehittämiseksi</w:t>
      </w:r>
      <w:r>
        <w:t xml:space="preserve">. Sekä EU:lta saatava rahoitus että kansalliset avustusohjelmat ovat keskeisiä. Rahoitusta on olennaisen tärkeää koordinoida, jotta syntyy synergiavaikutuksia ja käytettävissä olevista resursseista saadaan paras </w:t>
      </w:r>
      <w:r>
        <w:lastRenderedPageBreak/>
        <w:t>mahdollinen hyöty.</w:t>
      </w:r>
    </w:p>
    <w:p w:rsidRPr="000624A9" w:rsidR="00B6344B" w:rsidP="00B6344B" w:rsidRDefault="00B6344B" w14:paraId="72D9EA93"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A6689B" w:rsidR="00B6344B" w:rsidTr="0083717A" w14:paraId="5857A5F7" w14:textId="77777777">
        <w:tc>
          <w:tcPr>
            <w:tcW w:w="1556" w:type="pct"/>
          </w:tcPr>
          <w:p w:rsidRPr="00A6689B" w:rsidR="00B6344B" w:rsidP="0083717A" w:rsidRDefault="00B6344B" w14:paraId="2D0910E0" w14:textId="77777777">
            <w:pPr>
              <w:spacing w:line="240" w:lineRule="auto"/>
              <w:rPr>
                <w:i/>
              </w:rPr>
            </w:pPr>
            <w:r>
              <w:rPr>
                <w:b/>
                <w:i/>
              </w:rPr>
              <w:t>Yhteydenotot</w:t>
            </w:r>
          </w:p>
        </w:tc>
        <w:tc>
          <w:tcPr>
            <w:tcW w:w="3444" w:type="pct"/>
          </w:tcPr>
          <w:p w:rsidRPr="00A6689B" w:rsidR="00B6344B" w:rsidP="0083717A" w:rsidRDefault="00B6344B" w14:paraId="4FD9246F" w14:textId="77777777">
            <w:pPr>
              <w:spacing w:line="240" w:lineRule="auto"/>
              <w:rPr>
                <w:i/>
              </w:rPr>
            </w:pPr>
            <w:proofErr w:type="spellStart"/>
            <w:r>
              <w:rPr>
                <w:i/>
              </w:rPr>
              <w:t>Tzonka</w:t>
            </w:r>
            <w:proofErr w:type="spellEnd"/>
            <w:r>
              <w:rPr>
                <w:i/>
              </w:rPr>
              <w:t xml:space="preserve"> </w:t>
            </w:r>
            <w:proofErr w:type="spellStart"/>
            <w:r>
              <w:rPr>
                <w:i/>
              </w:rPr>
              <w:t>Iotzova</w:t>
            </w:r>
            <w:proofErr w:type="spellEnd"/>
          </w:p>
        </w:tc>
      </w:tr>
      <w:tr w:rsidRPr="00A6689B" w:rsidR="00B6344B" w:rsidTr="0083717A" w14:paraId="02E1076E" w14:textId="77777777">
        <w:tc>
          <w:tcPr>
            <w:tcW w:w="1556" w:type="pct"/>
          </w:tcPr>
          <w:p w:rsidRPr="00A6689B" w:rsidR="00B6344B" w:rsidP="0083717A" w:rsidRDefault="00B6344B" w14:paraId="3586E74C" w14:textId="77777777">
            <w:pPr>
              <w:spacing w:line="240" w:lineRule="auto"/>
              <w:rPr>
                <w:i/>
              </w:rPr>
            </w:pPr>
            <w:r>
              <w:rPr>
                <w:i/>
              </w:rPr>
              <w:t>P.</w:t>
            </w:r>
          </w:p>
        </w:tc>
        <w:tc>
          <w:tcPr>
            <w:tcW w:w="3444" w:type="pct"/>
          </w:tcPr>
          <w:p w:rsidRPr="00A6689B" w:rsidR="00B6344B" w:rsidP="0083717A" w:rsidRDefault="00B6344B" w14:paraId="13641E09" w14:textId="77777777">
            <w:pPr>
              <w:spacing w:line="240" w:lineRule="auto"/>
              <w:rPr>
                <w:i/>
              </w:rPr>
            </w:pPr>
            <w:r>
              <w:rPr>
                <w:i/>
              </w:rPr>
              <w:t>+32 25468978</w:t>
            </w:r>
          </w:p>
        </w:tc>
      </w:tr>
      <w:tr w:rsidRPr="00A6689B" w:rsidR="00B6344B" w:rsidTr="0083717A" w14:paraId="37EAC04C" w14:textId="77777777">
        <w:tc>
          <w:tcPr>
            <w:tcW w:w="1556" w:type="pct"/>
          </w:tcPr>
          <w:p w:rsidRPr="00A6689B" w:rsidR="00B6344B" w:rsidP="0083717A" w:rsidRDefault="00B6344B" w14:paraId="0DE6B75E" w14:textId="77777777">
            <w:pPr>
              <w:spacing w:line="240" w:lineRule="auto"/>
              <w:rPr>
                <w:i/>
              </w:rPr>
            </w:pPr>
            <w:r>
              <w:rPr>
                <w:i/>
              </w:rPr>
              <w:t>Sähköposti</w:t>
            </w:r>
          </w:p>
        </w:tc>
        <w:tc>
          <w:tcPr>
            <w:tcW w:w="3444" w:type="pct"/>
          </w:tcPr>
          <w:p w:rsidRPr="00A6689B" w:rsidR="00B6344B" w:rsidP="0083717A" w:rsidRDefault="00C63C8C" w14:paraId="671551A9" w14:textId="77777777">
            <w:pPr>
              <w:spacing w:line="240" w:lineRule="auto"/>
              <w:rPr>
                <w:i/>
              </w:rPr>
            </w:pPr>
            <w:hyperlink w:history="1" r:id="rId53">
              <w:r w:rsidR="00B6344B">
                <w:rPr>
                  <w:rStyle w:val="Hyperlink"/>
                  <w:i/>
                </w:rPr>
                <w:t>Tzonka.Iotzova@eesc.europa.eu</w:t>
              </w:r>
            </w:hyperlink>
          </w:p>
        </w:tc>
      </w:tr>
    </w:tbl>
    <w:p w:rsidR="00902A1F" w:rsidRDefault="00902A1F" w14:paraId="672A3999" w14:textId="77777777">
      <w:pPr>
        <w:spacing w:after="160" w:line="259" w:lineRule="auto"/>
        <w:jc w:val="left"/>
      </w:pPr>
      <w:r>
        <w:br w:type="page"/>
      </w:r>
    </w:p>
    <w:p w:rsidRPr="00C042DE" w:rsidR="00B6344B" w:rsidP="00B6344B" w:rsidRDefault="00B6344B" w14:paraId="04C61D64" w14:textId="77777777">
      <w:pPr>
        <w:widowControl w:val="0"/>
        <w:numPr>
          <w:ilvl w:val="0"/>
          <w:numId w:val="9"/>
        </w:numPr>
        <w:overflowPunct w:val="0"/>
        <w:autoSpaceDE w:val="0"/>
        <w:autoSpaceDN w:val="0"/>
        <w:adjustRightInd w:val="0"/>
        <w:ind w:hanging="567"/>
        <w:textAlignment w:val="baseline"/>
        <w:rPr>
          <w:rStyle w:val="Hyperlink"/>
          <w:sz w:val="20"/>
        </w:rPr>
      </w:pPr>
      <w:r>
        <w:rPr>
          <w:b/>
          <w:i/>
          <w:sz w:val="28"/>
        </w:rPr>
        <w:lastRenderedPageBreak/>
        <w:fldChar w:fldCharType="begin"/>
      </w:r>
      <w:r>
        <w:rPr>
          <w:b/>
          <w:i/>
          <w:sz w:val="28"/>
        </w:rPr>
        <w:instrText>HYPERLINK "https://www.eesc.europa.eu/fi/our-work/opinions-information-reports/opinions/democracy-africa-current-situation-and-future-perspectives-what-role-eesc"</w:instrText>
      </w:r>
      <w:r>
        <w:rPr>
          <w:b/>
          <w:i/>
          <w:sz w:val="28"/>
        </w:rPr>
        <w:fldChar w:fldCharType="separate"/>
      </w:r>
      <w:r>
        <w:rPr>
          <w:rStyle w:val="Hyperlink"/>
          <w:b/>
          <w:i/>
          <w:sz w:val="28"/>
        </w:rPr>
        <w:t xml:space="preserve">Demokratia Afrikassa: nykytilanne ja tulevaisuudennäkymät – Mikä on </w:t>
      </w:r>
      <w:proofErr w:type="spellStart"/>
      <w:r>
        <w:rPr>
          <w:rStyle w:val="Hyperlink"/>
          <w:b/>
          <w:i/>
          <w:sz w:val="28"/>
        </w:rPr>
        <w:t>ETSK:n</w:t>
      </w:r>
      <w:proofErr w:type="spellEnd"/>
      <w:r>
        <w:rPr>
          <w:rStyle w:val="Hyperlink"/>
          <w:b/>
          <w:i/>
          <w:sz w:val="28"/>
        </w:rPr>
        <w:t xml:space="preserve"> rooli?</w:t>
      </w:r>
    </w:p>
    <w:p w:rsidRPr="00A6689B" w:rsidR="00B6344B" w:rsidP="00B6344B" w:rsidRDefault="00B6344B" w14:paraId="3F623B5A" w14:textId="77777777">
      <w:pPr>
        <w:tabs>
          <w:tab w:val="center" w:pos="284"/>
        </w:tabs>
        <w:ind w:left="266" w:hanging="266"/>
        <w:rPr>
          <w:b/>
        </w:rPr>
      </w:pPr>
      <w:r>
        <w:rPr>
          <w:b/>
          <w:i/>
          <w:sz w:val="28"/>
        </w:rPr>
        <w:fldChar w:fldCharType="end"/>
      </w: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385"/>
      </w:tblGrid>
      <w:tr w:rsidRPr="00A6689B" w:rsidR="00B6344B" w:rsidTr="0083717A" w14:paraId="167C2B6D" w14:textId="77777777">
        <w:tc>
          <w:tcPr>
            <w:tcW w:w="1591" w:type="pct"/>
          </w:tcPr>
          <w:p w:rsidR="00B6344B" w:rsidP="0083717A" w:rsidRDefault="00B6344B" w14:paraId="368BC41D" w14:textId="77777777">
            <w:pPr>
              <w:tabs>
                <w:tab w:val="center" w:pos="284"/>
              </w:tabs>
              <w:ind w:left="266" w:hanging="266"/>
              <w:rPr>
                <w:b/>
              </w:rPr>
            </w:pPr>
            <w:r>
              <w:rPr>
                <w:b/>
              </w:rPr>
              <w:t>Esittelijä</w:t>
            </w:r>
          </w:p>
          <w:p w:rsidRPr="00A6689B" w:rsidR="00B6344B" w:rsidP="0083717A" w:rsidRDefault="00B6344B" w14:paraId="2AEF4CE6" w14:textId="77777777">
            <w:pPr>
              <w:tabs>
                <w:tab w:val="center" w:pos="284"/>
              </w:tabs>
              <w:ind w:left="266" w:hanging="266"/>
              <w:rPr>
                <w:b/>
                <w:lang w:val="en-US"/>
              </w:rPr>
            </w:pPr>
          </w:p>
        </w:tc>
        <w:tc>
          <w:tcPr>
            <w:tcW w:w="3409" w:type="pct"/>
          </w:tcPr>
          <w:p w:rsidRPr="00D726FC" w:rsidR="00B6344B" w:rsidP="0083717A" w:rsidRDefault="00B6344B" w14:paraId="3965EE85" w14:textId="77777777">
            <w:pPr>
              <w:tabs>
                <w:tab w:val="center" w:pos="284"/>
              </w:tabs>
              <w:ind w:left="266" w:hanging="266"/>
            </w:pPr>
            <w:r>
              <w:t xml:space="preserve">Carlos </w:t>
            </w:r>
            <w:proofErr w:type="spellStart"/>
            <w:r>
              <w:t>Trindade</w:t>
            </w:r>
            <w:proofErr w:type="spellEnd"/>
            <w:r>
              <w:t xml:space="preserve"> (työntekijät – PT)</w:t>
            </w:r>
          </w:p>
        </w:tc>
      </w:tr>
      <w:tr w:rsidRPr="00A6689B" w:rsidR="00B6344B" w:rsidTr="0083717A" w14:paraId="2E59799E" w14:textId="77777777">
        <w:tc>
          <w:tcPr>
            <w:tcW w:w="5000" w:type="pct"/>
            <w:gridSpan w:val="2"/>
          </w:tcPr>
          <w:p w:rsidRPr="00A6689B" w:rsidR="00B6344B" w:rsidP="0083717A" w:rsidRDefault="00B6344B" w14:paraId="349AB689" w14:textId="77777777">
            <w:pPr>
              <w:tabs>
                <w:tab w:val="center" w:pos="284"/>
              </w:tabs>
              <w:spacing w:line="160" w:lineRule="exact"/>
              <w:ind w:left="266" w:hanging="266"/>
              <w:rPr>
                <w:lang w:val="en-US"/>
              </w:rPr>
            </w:pPr>
          </w:p>
        </w:tc>
      </w:tr>
      <w:tr w:rsidRPr="00A6689B" w:rsidR="00B6344B" w:rsidTr="0083717A" w14:paraId="1F59896E" w14:textId="77777777">
        <w:tc>
          <w:tcPr>
            <w:tcW w:w="1591" w:type="pct"/>
            <w:vMerge w:val="restart"/>
          </w:tcPr>
          <w:p w:rsidRPr="00A6689B" w:rsidR="00B6344B" w:rsidP="0083717A" w:rsidRDefault="00B6344B" w14:paraId="399B5FB1" w14:textId="77777777">
            <w:pPr>
              <w:tabs>
                <w:tab w:val="center" w:pos="284"/>
              </w:tabs>
              <w:ind w:left="266" w:hanging="266"/>
              <w:rPr>
                <w:b/>
              </w:rPr>
            </w:pPr>
            <w:r>
              <w:rPr>
                <w:b/>
              </w:rPr>
              <w:t>Viiteasiakirja</w:t>
            </w:r>
          </w:p>
        </w:tc>
        <w:tc>
          <w:tcPr>
            <w:tcW w:w="3409" w:type="pct"/>
          </w:tcPr>
          <w:p w:rsidRPr="00A6689B" w:rsidR="00B6344B" w:rsidP="0083717A" w:rsidRDefault="00B6344B" w14:paraId="18B2D31C" w14:textId="77777777">
            <w:pPr>
              <w:tabs>
                <w:tab w:val="center" w:pos="284"/>
              </w:tabs>
              <w:ind w:left="266" w:hanging="266"/>
            </w:pPr>
            <w:r>
              <w:t>EESC-2024-01631-00-00-AS-TRA</w:t>
            </w:r>
          </w:p>
        </w:tc>
      </w:tr>
      <w:tr w:rsidRPr="00A6689B" w:rsidR="00B6344B" w:rsidTr="0083717A" w14:paraId="0FCF3220" w14:textId="77777777">
        <w:tc>
          <w:tcPr>
            <w:tcW w:w="1591" w:type="pct"/>
            <w:vMerge/>
          </w:tcPr>
          <w:p w:rsidRPr="00A6689B" w:rsidR="00B6344B" w:rsidP="0083717A" w:rsidRDefault="00B6344B" w14:paraId="48F9F38A" w14:textId="77777777">
            <w:pPr>
              <w:tabs>
                <w:tab w:val="center" w:pos="284"/>
              </w:tabs>
              <w:ind w:left="266" w:hanging="266"/>
              <w:rPr>
                <w:b/>
                <w:lang w:val="en-US"/>
              </w:rPr>
            </w:pPr>
          </w:p>
        </w:tc>
        <w:tc>
          <w:tcPr>
            <w:tcW w:w="3409" w:type="pct"/>
          </w:tcPr>
          <w:p w:rsidRPr="00A6689B" w:rsidR="00B6344B" w:rsidP="0083717A" w:rsidRDefault="00B6344B" w14:paraId="3800BFE9" w14:textId="77777777">
            <w:pPr>
              <w:tabs>
                <w:tab w:val="center" w:pos="284"/>
              </w:tabs>
              <w:ind w:left="266" w:hanging="266"/>
              <w:rPr>
                <w:lang w:val="en-US"/>
              </w:rPr>
            </w:pPr>
          </w:p>
        </w:tc>
      </w:tr>
    </w:tbl>
    <w:p w:rsidRPr="00A6689B" w:rsidR="00B6344B" w:rsidP="00B6344B" w:rsidRDefault="00B6344B" w14:paraId="1AC2BF5B" w14:textId="77777777">
      <w:pPr>
        <w:tabs>
          <w:tab w:val="center" w:pos="284"/>
        </w:tabs>
        <w:ind w:left="266" w:hanging="266"/>
      </w:pPr>
    </w:p>
    <w:p w:rsidRPr="00A6689B" w:rsidR="00B6344B" w:rsidP="00B6344B" w:rsidRDefault="00B6344B" w14:paraId="3C33D5B5" w14:textId="77777777">
      <w:pPr>
        <w:keepNext/>
        <w:keepLines/>
        <w:tabs>
          <w:tab w:val="center" w:pos="284"/>
        </w:tabs>
        <w:ind w:left="266" w:hanging="266"/>
        <w:rPr>
          <w:b/>
        </w:rPr>
      </w:pPr>
      <w:r>
        <w:rPr>
          <w:b/>
        </w:rPr>
        <w:t>Keskeiset kohdat</w:t>
      </w:r>
    </w:p>
    <w:p w:rsidRPr="00A6689B" w:rsidR="00B6344B" w:rsidP="00B6344B" w:rsidRDefault="00B6344B" w14:paraId="2B9A5DD1" w14:textId="77777777">
      <w:pPr>
        <w:keepNext/>
        <w:keepLines/>
        <w:tabs>
          <w:tab w:val="center" w:pos="284"/>
        </w:tabs>
        <w:ind w:left="266" w:hanging="266"/>
        <w:rPr>
          <w:b/>
        </w:rPr>
      </w:pPr>
    </w:p>
    <w:p w:rsidRPr="00A6689B" w:rsidR="00B6344B" w:rsidP="00B6344B" w:rsidRDefault="00B6344B" w14:paraId="5C0DE554" w14:textId="77777777">
      <w:pPr>
        <w:rPr>
          <w:bCs/>
          <w:iCs/>
        </w:rPr>
      </w:pPr>
      <w:r>
        <w:t>ETSK</w:t>
      </w:r>
    </w:p>
    <w:p w:rsidR="00B6344B" w:rsidP="00B6344B" w:rsidRDefault="00B6344B" w14:paraId="1C23AF85" w14:textId="77777777">
      <w:pPr>
        <w:rPr>
          <w:bCs/>
          <w:iCs/>
        </w:rPr>
      </w:pPr>
    </w:p>
    <w:p w:rsidR="00B6344B" w:rsidP="00B6344B" w:rsidRDefault="00B6344B" w14:paraId="2011394A" w14:textId="77777777">
      <w:pPr>
        <w:widowControl w:val="0"/>
        <w:numPr>
          <w:ilvl w:val="0"/>
          <w:numId w:val="9"/>
        </w:numPr>
        <w:overflowPunct w:val="0"/>
        <w:autoSpaceDE w:val="0"/>
        <w:autoSpaceDN w:val="0"/>
        <w:adjustRightInd w:val="0"/>
        <w:ind w:left="709" w:hanging="425"/>
        <w:textAlignment w:val="baseline"/>
        <w:rPr>
          <w:bCs/>
          <w:iCs/>
        </w:rPr>
      </w:pPr>
      <w:r>
        <w:t xml:space="preserve">katsoo, että </w:t>
      </w:r>
      <w:r>
        <w:rPr>
          <w:b/>
        </w:rPr>
        <w:t>demokratia</w:t>
      </w:r>
      <w:r>
        <w:t xml:space="preserve"> edellyttää </w:t>
      </w:r>
      <w:r>
        <w:rPr>
          <w:b/>
        </w:rPr>
        <w:t>ihmisoikeuksien kunnioittamista</w:t>
      </w:r>
      <w:r>
        <w:t xml:space="preserve">, </w:t>
      </w:r>
      <w:r>
        <w:rPr>
          <w:b/>
        </w:rPr>
        <w:t>vahvoja instituutioita</w:t>
      </w:r>
      <w:r>
        <w:t xml:space="preserve">, </w:t>
      </w:r>
      <w:r>
        <w:rPr>
          <w:b/>
        </w:rPr>
        <w:t>vallanjakoa</w:t>
      </w:r>
      <w:r>
        <w:t xml:space="preserve"> sekä sitä, että varmistetaan oikeusvaltioperiaatteen noudattaminen ja oikeuslaitoksen riippumattomuus, </w:t>
      </w:r>
      <w:r>
        <w:rPr>
          <w:b/>
        </w:rPr>
        <w:t>vapaat ja rehelliset vaalit</w:t>
      </w:r>
      <w:r>
        <w:t xml:space="preserve">, </w:t>
      </w:r>
      <w:r>
        <w:rPr>
          <w:b/>
        </w:rPr>
        <w:t>vastuuvelvollisuus kansalaisia kohtaan</w:t>
      </w:r>
      <w:r>
        <w:t xml:space="preserve">, </w:t>
      </w:r>
      <w:r>
        <w:rPr>
          <w:b/>
        </w:rPr>
        <w:t>oikeus täyteen osallistumiseen</w:t>
      </w:r>
      <w:r>
        <w:t xml:space="preserve"> ja </w:t>
      </w:r>
      <w:r>
        <w:rPr>
          <w:b/>
        </w:rPr>
        <w:t>syrjinnän torjuminen</w:t>
      </w:r>
      <w:r>
        <w:t>.</w:t>
      </w:r>
    </w:p>
    <w:p w:rsidR="00B6344B" w:rsidP="00B6344B" w:rsidRDefault="00B6344B" w14:paraId="4FCF99A8" w14:textId="77777777">
      <w:pPr>
        <w:widowControl w:val="0"/>
        <w:numPr>
          <w:ilvl w:val="0"/>
          <w:numId w:val="9"/>
        </w:numPr>
        <w:overflowPunct w:val="0"/>
        <w:autoSpaceDE w:val="0"/>
        <w:autoSpaceDN w:val="0"/>
        <w:adjustRightInd w:val="0"/>
        <w:ind w:left="709" w:hanging="425"/>
        <w:textAlignment w:val="baseline"/>
        <w:rPr>
          <w:bCs/>
          <w:iCs/>
        </w:rPr>
      </w:pPr>
      <w:r>
        <w:t xml:space="preserve">pitää myönteisenä sitä, että </w:t>
      </w:r>
      <w:r>
        <w:rPr>
          <w:b/>
        </w:rPr>
        <w:t>Afrikan unioni sitoutuu</w:t>
      </w:r>
      <w:r>
        <w:t xml:space="preserve"> </w:t>
      </w:r>
      <w:r>
        <w:rPr>
          <w:b/>
        </w:rPr>
        <w:t>demokraattisiin arvoihin ja demokratian edistämiseen</w:t>
      </w:r>
      <w:r>
        <w:t>, niin kuin Afrikan unionin Agenda 2063:n tavoitteissa korostetaan.</w:t>
      </w:r>
    </w:p>
    <w:p w:rsidR="00B6344B" w:rsidP="00B6344B" w:rsidRDefault="00B6344B" w14:paraId="6A46B0B3" w14:textId="77777777">
      <w:pPr>
        <w:widowControl w:val="0"/>
        <w:numPr>
          <w:ilvl w:val="0"/>
          <w:numId w:val="9"/>
        </w:numPr>
        <w:overflowPunct w:val="0"/>
        <w:autoSpaceDE w:val="0"/>
        <w:autoSpaceDN w:val="0"/>
        <w:adjustRightInd w:val="0"/>
        <w:ind w:left="709" w:hanging="425"/>
        <w:textAlignment w:val="baseline"/>
        <w:rPr>
          <w:bCs/>
          <w:iCs/>
        </w:rPr>
      </w:pPr>
      <w:r>
        <w:t xml:space="preserve">on tyytyväinen </w:t>
      </w:r>
      <w:r>
        <w:rPr>
          <w:b/>
        </w:rPr>
        <w:t>Afrikan demokratiakehitykseen</w:t>
      </w:r>
      <w:r>
        <w:t xml:space="preserve"> ja pitää myönteisenä sitä, että </w:t>
      </w:r>
      <w:r>
        <w:rPr>
          <w:b/>
        </w:rPr>
        <w:t>Afrikan kansalaiset ovat sitoutuneet siihen</w:t>
      </w:r>
      <w:r>
        <w:t xml:space="preserve"> ja että tuki demokratialle on laajaa, vaikka se onkin heikentynyt viime vuosikymmenen aikana.</w:t>
      </w:r>
    </w:p>
    <w:p w:rsidR="00B6344B" w:rsidP="00B6344B" w:rsidRDefault="00B6344B" w14:paraId="34F5A7BB" w14:textId="77777777">
      <w:pPr>
        <w:widowControl w:val="0"/>
        <w:numPr>
          <w:ilvl w:val="0"/>
          <w:numId w:val="9"/>
        </w:numPr>
        <w:overflowPunct w:val="0"/>
        <w:autoSpaceDE w:val="0"/>
        <w:autoSpaceDN w:val="0"/>
        <w:adjustRightInd w:val="0"/>
        <w:ind w:left="709" w:hanging="425"/>
        <w:textAlignment w:val="baseline"/>
        <w:rPr>
          <w:bCs/>
          <w:iCs/>
        </w:rPr>
      </w:pPr>
      <w:r>
        <w:t xml:space="preserve">kehottaa EU:n toimielimiä </w:t>
      </w:r>
      <w:r>
        <w:rPr>
          <w:b/>
        </w:rPr>
        <w:t>tiivistämään yhteistyötä, jotta voidaan kehittää demokratiaa ja lisätä kansalaisten luottamusta ja osallistumista demokraattisiin prosesseihin</w:t>
      </w:r>
      <w:r>
        <w:t xml:space="preserve"> ja </w:t>
      </w:r>
      <w:r>
        <w:rPr>
          <w:b/>
        </w:rPr>
        <w:t>tukea kansalaisyhteiskuntaa</w:t>
      </w:r>
      <w:r>
        <w:t>.</w:t>
      </w:r>
    </w:p>
    <w:p w:rsidR="00B6344B" w:rsidP="00B6344B" w:rsidRDefault="00B6344B" w14:paraId="4F308F91" w14:textId="77777777">
      <w:pPr>
        <w:widowControl w:val="0"/>
        <w:numPr>
          <w:ilvl w:val="0"/>
          <w:numId w:val="9"/>
        </w:numPr>
        <w:overflowPunct w:val="0"/>
        <w:autoSpaceDE w:val="0"/>
        <w:autoSpaceDN w:val="0"/>
        <w:adjustRightInd w:val="0"/>
        <w:ind w:left="709" w:hanging="425"/>
        <w:textAlignment w:val="baseline"/>
        <w:rPr>
          <w:bCs/>
          <w:iCs/>
        </w:rPr>
      </w:pPr>
      <w:r>
        <w:t xml:space="preserve">katsoo, että eurooppalaisen lähestymistavan on perustuttava </w:t>
      </w:r>
      <w:r>
        <w:rPr>
          <w:b/>
        </w:rPr>
        <w:t>tasavertaisiin suhteisiin</w:t>
      </w:r>
      <w:r>
        <w:t xml:space="preserve">, ja siinä on </w:t>
      </w:r>
      <w:r>
        <w:rPr>
          <w:b/>
        </w:rPr>
        <w:t>otettava huomioon maanosan monimuotoisuus</w:t>
      </w:r>
      <w:r>
        <w:t xml:space="preserve"> sekä talouskehityksen, sosiaalisen edistyksen, kriittisen infrastruktuurin tarjonnan ja geopoliittisten ja strategisten etujen moninaisuus.</w:t>
      </w:r>
    </w:p>
    <w:p w:rsidR="00B6344B" w:rsidP="00B6344B" w:rsidRDefault="00B6344B" w14:paraId="15009754" w14:textId="77777777">
      <w:pPr>
        <w:widowControl w:val="0"/>
        <w:numPr>
          <w:ilvl w:val="0"/>
          <w:numId w:val="9"/>
        </w:numPr>
        <w:overflowPunct w:val="0"/>
        <w:autoSpaceDE w:val="0"/>
        <w:autoSpaceDN w:val="0"/>
        <w:adjustRightInd w:val="0"/>
        <w:ind w:left="709" w:hanging="425"/>
        <w:textAlignment w:val="baseline"/>
        <w:rPr>
          <w:bCs/>
          <w:iCs/>
        </w:rPr>
      </w:pPr>
      <w:r>
        <w:t xml:space="preserve">pitää </w:t>
      </w:r>
      <w:r>
        <w:rPr>
          <w:b/>
        </w:rPr>
        <w:t xml:space="preserve">Global </w:t>
      </w:r>
      <w:proofErr w:type="spellStart"/>
      <w:r>
        <w:rPr>
          <w:b/>
        </w:rPr>
        <w:t>Gateway</w:t>
      </w:r>
      <w:proofErr w:type="spellEnd"/>
      <w:r>
        <w:rPr>
          <w:b/>
        </w:rPr>
        <w:t xml:space="preserve"> -strategiaa erittäin tärkeänä EU:n ja Afrikan suhteiden kannalta</w:t>
      </w:r>
      <w:r>
        <w:t xml:space="preserve"> ja toteaa, että sen avulla voidaan vahvistaa taloudellisia ja poliittisia siteitä ja varmistaa demokraattisten ja sosiaalisten periaatteiden kunnioittaminen.</w:t>
      </w:r>
    </w:p>
    <w:p w:rsidRPr="004605F1" w:rsidR="00B6344B" w:rsidP="00B6344B" w:rsidRDefault="00B6344B" w14:paraId="52BA2956" w14:textId="77777777">
      <w:pPr>
        <w:widowControl w:val="0"/>
        <w:numPr>
          <w:ilvl w:val="0"/>
          <w:numId w:val="9"/>
        </w:numPr>
        <w:overflowPunct w:val="0"/>
        <w:autoSpaceDE w:val="0"/>
        <w:autoSpaceDN w:val="0"/>
        <w:adjustRightInd w:val="0"/>
        <w:ind w:left="709" w:hanging="425"/>
        <w:textAlignment w:val="baseline"/>
        <w:rPr>
          <w:bCs/>
          <w:iCs/>
        </w:rPr>
      </w:pPr>
      <w:r>
        <w:t xml:space="preserve">on vakuuttunut siitä, että komitea voi kokemuksensa pohjalta yhdessä Afrikan kansalaisyhteiskunnan tunnustettujen edustajien, myös työmarkkinaosapuolten, kanssa </w:t>
      </w:r>
      <w:r>
        <w:rPr>
          <w:b/>
        </w:rPr>
        <w:t>edistää demokraattisia arvoja, puolustaa ihmisoikeuksia ja lujittaa kansalaisvuoropuhelua, työmarkkinavuoropuhelua ja poliittista vuoropuhelu</w:t>
      </w:r>
      <w:r>
        <w:t xml:space="preserve"> erityisesti Samoan sopimuksen nojalla perustettavien kansalaisyhteiskunnan osallistumista koskevien institutionaalisten mekanismien yhteydessä.</w:t>
      </w:r>
    </w:p>
    <w:p w:rsidR="00B6344B" w:rsidP="00B6344B" w:rsidRDefault="00B6344B" w14:paraId="4AD0AE72" w14:textId="77777777">
      <w:pPr>
        <w:widowControl w:val="0"/>
        <w:numPr>
          <w:ilvl w:val="0"/>
          <w:numId w:val="9"/>
        </w:numPr>
        <w:overflowPunct w:val="0"/>
        <w:autoSpaceDE w:val="0"/>
        <w:autoSpaceDN w:val="0"/>
        <w:adjustRightInd w:val="0"/>
        <w:ind w:left="709" w:hanging="425"/>
        <w:textAlignment w:val="baseline"/>
        <w:rPr>
          <w:bCs/>
          <w:iCs/>
        </w:rPr>
      </w:pPr>
      <w:r>
        <w:t xml:space="preserve">sitoutuu jatkamaan ja parantamaan toimiaan </w:t>
      </w:r>
      <w:r>
        <w:rPr>
          <w:b/>
        </w:rPr>
        <w:t>afrikkalaisten kansalaisyhteiskunnan organisaatioiden ja työmarkkinaosapuolten avustamiseksi ja tukemiseksi auttamalla niiden perustamisessa, organisoinnissa ja toiminnassa ja osallistumalla niiden institutionaalisten valmiuksien vahvistamiseen</w:t>
      </w:r>
      <w:r>
        <w:t xml:space="preserve"> voidakseen edistää kestävää demokratiaa Afrikassa EU:n tavoitteen mukaisesti.</w:t>
      </w:r>
    </w:p>
    <w:p w:rsidR="00B6344B" w:rsidP="00B6344B" w:rsidRDefault="00B6344B" w14:paraId="42C11BF6" w14:textId="77777777">
      <w:pPr>
        <w:widowControl w:val="0"/>
        <w:numPr>
          <w:ilvl w:val="0"/>
          <w:numId w:val="9"/>
        </w:numPr>
        <w:overflowPunct w:val="0"/>
        <w:autoSpaceDE w:val="0"/>
        <w:autoSpaceDN w:val="0"/>
        <w:adjustRightInd w:val="0"/>
        <w:ind w:left="709" w:hanging="425"/>
        <w:textAlignment w:val="baseline"/>
        <w:rPr>
          <w:bCs/>
          <w:iCs/>
        </w:rPr>
      </w:pPr>
      <w:r>
        <w:t xml:space="preserve">toteaa, että komitean toimintaa ohjaa ajatus </w:t>
      </w:r>
      <w:r>
        <w:rPr>
          <w:b/>
        </w:rPr>
        <w:t>kansalaisoikeuksien, poliittisten, sosiaalisten, taloudellisten ja sivistyksellisten oikeuksien edistämisen ja talouskasvun ja sosiaalisen edistyksen välisestä erottamattomasta yhteydestä</w:t>
      </w:r>
      <w:r>
        <w:t>.</w:t>
      </w:r>
    </w:p>
    <w:p w:rsidR="00B6344B" w:rsidP="00B6344B" w:rsidRDefault="00B6344B" w14:paraId="055A9053" w14:textId="77777777">
      <w:pPr>
        <w:widowControl w:val="0"/>
        <w:numPr>
          <w:ilvl w:val="0"/>
          <w:numId w:val="9"/>
        </w:numPr>
        <w:overflowPunct w:val="0"/>
        <w:autoSpaceDE w:val="0"/>
        <w:autoSpaceDN w:val="0"/>
        <w:adjustRightInd w:val="0"/>
        <w:ind w:left="709" w:hanging="425"/>
        <w:textAlignment w:val="baseline"/>
        <w:rPr>
          <w:bCs/>
          <w:iCs/>
        </w:rPr>
      </w:pPr>
      <w:r>
        <w:lastRenderedPageBreak/>
        <w:t xml:space="preserve">panee tyytyväisenä merkille komitean ja </w:t>
      </w:r>
      <w:r>
        <w:rPr>
          <w:b/>
        </w:rPr>
        <w:t>Afrikan unionin talous-, sosiaali- ja kulttuurineuvoston (ECOSOCC)</w:t>
      </w:r>
      <w:r>
        <w:t xml:space="preserve"> välisen </w:t>
      </w:r>
      <w:r>
        <w:rPr>
          <w:b/>
        </w:rPr>
        <w:t>yhteisymmärryspöytäkirjan</w:t>
      </w:r>
      <w:r>
        <w:t xml:space="preserve">, jota voidaan pitää erittäin tärkeänä siinä mielessä, että se auttaa </w:t>
      </w:r>
      <w:r>
        <w:rPr>
          <w:b/>
        </w:rPr>
        <w:t>vahvistamaan kansalaisyhteiskunnan panosta Euroopan ja Afrikan väliseen kumppanuuteen</w:t>
      </w:r>
      <w:r>
        <w:t>.</w:t>
      </w:r>
    </w:p>
    <w:p w:rsidRPr="000624A9" w:rsidR="00B6344B" w:rsidP="00B6344B" w:rsidRDefault="00B6344B" w14:paraId="7E5F7F77"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A6689B" w:rsidR="00B6344B" w:rsidTr="0083717A" w14:paraId="432CC5C8" w14:textId="77777777">
        <w:tc>
          <w:tcPr>
            <w:tcW w:w="1556" w:type="pct"/>
          </w:tcPr>
          <w:p w:rsidRPr="00A6689B" w:rsidR="00B6344B" w:rsidP="0083717A" w:rsidRDefault="00B6344B" w14:paraId="30A9E4BA" w14:textId="77777777">
            <w:pPr>
              <w:spacing w:line="240" w:lineRule="auto"/>
              <w:rPr>
                <w:i/>
              </w:rPr>
            </w:pPr>
            <w:r>
              <w:rPr>
                <w:b/>
                <w:i/>
              </w:rPr>
              <w:t>Yhteydentotot</w:t>
            </w:r>
          </w:p>
        </w:tc>
        <w:tc>
          <w:tcPr>
            <w:tcW w:w="3444" w:type="pct"/>
          </w:tcPr>
          <w:p w:rsidRPr="00A6689B" w:rsidR="00B6344B" w:rsidP="0083717A" w:rsidRDefault="00B6344B" w14:paraId="00B88E03" w14:textId="77777777">
            <w:pPr>
              <w:spacing w:line="240" w:lineRule="auto"/>
              <w:rPr>
                <w:i/>
              </w:rPr>
            </w:pPr>
            <w:r>
              <w:rPr>
                <w:i/>
              </w:rPr>
              <w:t xml:space="preserve">Charlotte </w:t>
            </w:r>
            <w:proofErr w:type="spellStart"/>
            <w:r>
              <w:rPr>
                <w:i/>
              </w:rPr>
              <w:t>Rive</w:t>
            </w:r>
            <w:proofErr w:type="spellEnd"/>
          </w:p>
        </w:tc>
      </w:tr>
      <w:tr w:rsidRPr="00A6689B" w:rsidR="00B6344B" w:rsidTr="0083717A" w14:paraId="68438795" w14:textId="77777777">
        <w:tc>
          <w:tcPr>
            <w:tcW w:w="1556" w:type="pct"/>
          </w:tcPr>
          <w:p w:rsidRPr="00A6689B" w:rsidR="00B6344B" w:rsidP="0083717A" w:rsidRDefault="00B6344B" w14:paraId="27AC6872" w14:textId="77777777">
            <w:pPr>
              <w:spacing w:line="240" w:lineRule="auto"/>
              <w:rPr>
                <w:i/>
              </w:rPr>
            </w:pPr>
            <w:r>
              <w:rPr>
                <w:i/>
              </w:rPr>
              <w:t>P.</w:t>
            </w:r>
          </w:p>
        </w:tc>
        <w:tc>
          <w:tcPr>
            <w:tcW w:w="3444" w:type="pct"/>
          </w:tcPr>
          <w:p w:rsidRPr="00A6689B" w:rsidR="00B6344B" w:rsidP="0083717A" w:rsidRDefault="00B6344B" w14:paraId="1C2F93BD" w14:textId="77777777">
            <w:pPr>
              <w:spacing w:line="240" w:lineRule="auto"/>
              <w:rPr>
                <w:i/>
              </w:rPr>
            </w:pPr>
            <w:r>
              <w:rPr>
                <w:i/>
              </w:rPr>
              <w:t>+32 25469388</w:t>
            </w:r>
          </w:p>
        </w:tc>
      </w:tr>
      <w:tr w:rsidRPr="00A6689B" w:rsidR="00B6344B" w:rsidTr="0083717A" w14:paraId="30D54CDD" w14:textId="77777777">
        <w:tc>
          <w:tcPr>
            <w:tcW w:w="1556" w:type="pct"/>
          </w:tcPr>
          <w:p w:rsidRPr="00A6689B" w:rsidR="00B6344B" w:rsidP="0083717A" w:rsidRDefault="00B6344B" w14:paraId="01B55BBD" w14:textId="77777777">
            <w:pPr>
              <w:spacing w:line="240" w:lineRule="auto"/>
              <w:rPr>
                <w:i/>
              </w:rPr>
            </w:pPr>
            <w:r>
              <w:rPr>
                <w:i/>
              </w:rPr>
              <w:t>Sähköposti</w:t>
            </w:r>
          </w:p>
        </w:tc>
        <w:tc>
          <w:tcPr>
            <w:tcW w:w="3444" w:type="pct"/>
          </w:tcPr>
          <w:p w:rsidRPr="00A6689B" w:rsidR="00B6344B" w:rsidP="0083717A" w:rsidRDefault="00C63C8C" w14:paraId="258D17C3" w14:textId="77777777">
            <w:pPr>
              <w:spacing w:line="240" w:lineRule="auto"/>
              <w:rPr>
                <w:i/>
              </w:rPr>
            </w:pPr>
            <w:hyperlink w:history="1" r:id="rId54">
              <w:r w:rsidR="00B6344B">
                <w:rPr>
                  <w:rStyle w:val="Hyperlink"/>
                  <w:i/>
                </w:rPr>
                <w:t>Charlotte.Rive@eesc.europa.eu</w:t>
              </w:r>
            </w:hyperlink>
          </w:p>
        </w:tc>
      </w:tr>
    </w:tbl>
    <w:p w:rsidR="00902A1F" w:rsidRDefault="00902A1F" w14:paraId="1239F9AF" w14:textId="77777777">
      <w:pPr>
        <w:spacing w:after="160" w:line="259" w:lineRule="auto"/>
        <w:jc w:val="left"/>
      </w:pPr>
      <w:r>
        <w:br w:type="page"/>
      </w:r>
    </w:p>
    <w:p w:rsidR="00BA5B45" w:rsidRDefault="00BA5B45" w14:paraId="4464305F" w14:textId="67DDEDA7">
      <w:pPr>
        <w:spacing w:after="160" w:line="259" w:lineRule="auto"/>
        <w:jc w:val="left"/>
      </w:pPr>
    </w:p>
    <w:p w:rsidRPr="006D2C8A" w:rsidR="006D2C8A" w:rsidP="006D6D4E" w:rsidRDefault="006D2C8A" w14:paraId="528C73AA" w14:textId="46DE726B">
      <w:pPr>
        <w:pStyle w:val="Heading1"/>
        <w:keepNext/>
        <w:keepLines/>
        <w:rPr>
          <w:b/>
        </w:rPr>
      </w:pPr>
      <w:bookmarkStart w:name="_Toc178009618" w:id="13"/>
      <w:r>
        <w:rPr>
          <w:b/>
          <w:color w:val="222A35" w:themeColor="text2" w:themeShade="80"/>
        </w:rPr>
        <w:t>NEUVOA-ANTAVA VALIOKUNTA ”TEOLLISUUDEN MUUTOKSET”</w:t>
      </w:r>
      <w:bookmarkEnd w:id="13"/>
    </w:p>
    <w:p w:rsidR="006D2C8A" w:rsidP="006D6D4E" w:rsidRDefault="006D2C8A" w14:paraId="713E272F" w14:textId="77777777">
      <w:pPr>
        <w:keepNext/>
        <w:keepLines/>
      </w:pPr>
    </w:p>
    <w:p w:rsidRPr="00DB40DB" w:rsidR="00857CCA" w:rsidP="00857CCA" w:rsidRDefault="00C63C8C" w14:paraId="4DD03881" w14:textId="77777777">
      <w:pPr>
        <w:widowControl w:val="0"/>
        <w:numPr>
          <w:ilvl w:val="0"/>
          <w:numId w:val="9"/>
        </w:numPr>
        <w:overflowPunct w:val="0"/>
        <w:autoSpaceDE w:val="0"/>
        <w:autoSpaceDN w:val="0"/>
        <w:adjustRightInd w:val="0"/>
        <w:ind w:left="266" w:hanging="266"/>
        <w:textAlignment w:val="baseline"/>
        <w:rPr>
          <w:b/>
        </w:rPr>
      </w:pPr>
      <w:hyperlink w:history="1" r:id="rId55">
        <w:r w:rsidR="00857CCA">
          <w:rPr>
            <w:rStyle w:val="Hyperlink"/>
            <w:b/>
            <w:i/>
            <w:sz w:val="28"/>
            <w:shd w:val="clear" w:color="auto" w:fill="FEFEFE"/>
          </w:rPr>
          <w:t>Alakohtaiset teollisuuspolitiikat vahvistamassa strategista riippumattomuutta</w:t>
        </w:r>
      </w:hyperlink>
    </w:p>
    <w:p w:rsidRPr="00DB40DB" w:rsidR="00857CCA" w:rsidP="00857CCA" w:rsidRDefault="00857CCA" w14:paraId="4814904B" w14:textId="77777777">
      <w:pPr>
        <w:widowControl w:val="0"/>
        <w:ind w:left="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A6689B" w:rsidR="00857CCA" w:rsidTr="0083717A" w14:paraId="64549711" w14:textId="77777777">
        <w:tc>
          <w:tcPr>
            <w:tcW w:w="1701" w:type="dxa"/>
          </w:tcPr>
          <w:p w:rsidRPr="00A6689B" w:rsidR="00857CCA" w:rsidP="0083717A" w:rsidRDefault="00857CCA" w14:paraId="57F06882" w14:textId="77777777">
            <w:pPr>
              <w:tabs>
                <w:tab w:val="center" w:pos="284"/>
              </w:tabs>
              <w:ind w:left="266" w:hanging="266"/>
              <w:rPr>
                <w:b/>
              </w:rPr>
            </w:pPr>
            <w:r>
              <w:rPr>
                <w:b/>
              </w:rPr>
              <w:t>Esittelijä</w:t>
            </w:r>
          </w:p>
        </w:tc>
        <w:tc>
          <w:tcPr>
            <w:tcW w:w="7479" w:type="dxa"/>
          </w:tcPr>
          <w:p w:rsidRPr="00A6689B" w:rsidR="00857CCA" w:rsidP="0083717A" w:rsidRDefault="00857CCA" w14:paraId="3CE62635" w14:textId="77777777">
            <w:pPr>
              <w:tabs>
                <w:tab w:val="center" w:pos="284"/>
              </w:tabs>
              <w:ind w:left="266" w:hanging="266"/>
            </w:pPr>
            <w:r>
              <w:t xml:space="preserve">Alain </w:t>
            </w:r>
            <w:proofErr w:type="spellStart"/>
            <w:r>
              <w:t>Coheur</w:t>
            </w:r>
            <w:proofErr w:type="spellEnd"/>
            <w:r>
              <w:t xml:space="preserve"> (kansalaisyhteiskunnan organisaatiot – BE)</w:t>
            </w:r>
          </w:p>
        </w:tc>
      </w:tr>
      <w:tr w:rsidRPr="00A6689B" w:rsidR="00857CCA" w:rsidTr="0083717A" w14:paraId="592A8398" w14:textId="77777777">
        <w:tc>
          <w:tcPr>
            <w:tcW w:w="1701" w:type="dxa"/>
          </w:tcPr>
          <w:p w:rsidRPr="00A6689B" w:rsidR="00857CCA" w:rsidP="0083717A" w:rsidRDefault="00857CCA" w14:paraId="1C3462E3" w14:textId="77777777">
            <w:pPr>
              <w:tabs>
                <w:tab w:val="center" w:pos="284"/>
              </w:tabs>
              <w:ind w:left="266" w:hanging="266"/>
              <w:rPr>
                <w:b/>
              </w:rPr>
            </w:pPr>
            <w:r>
              <w:rPr>
                <w:b/>
              </w:rPr>
              <w:t>Yhteisesittelijä</w:t>
            </w:r>
          </w:p>
        </w:tc>
        <w:tc>
          <w:tcPr>
            <w:tcW w:w="7479" w:type="dxa"/>
          </w:tcPr>
          <w:p w:rsidRPr="00A6689B" w:rsidR="00857CCA" w:rsidP="0083717A" w:rsidRDefault="00857CCA" w14:paraId="20C24DAC" w14:textId="77777777">
            <w:pPr>
              <w:tabs>
                <w:tab w:val="center" w:pos="284"/>
              </w:tabs>
              <w:ind w:left="266" w:hanging="266"/>
            </w:pPr>
            <w:proofErr w:type="spellStart"/>
            <w:r>
              <w:t>Antonello</w:t>
            </w:r>
            <w:proofErr w:type="spellEnd"/>
            <w:r>
              <w:t xml:space="preserve"> </w:t>
            </w:r>
            <w:proofErr w:type="spellStart"/>
            <w:r>
              <w:t>Pezzini</w:t>
            </w:r>
            <w:proofErr w:type="spellEnd"/>
            <w:r>
              <w:t xml:space="preserve"> (kategoria 3 – IT)</w:t>
            </w:r>
          </w:p>
        </w:tc>
      </w:tr>
      <w:tr w:rsidRPr="00A6689B" w:rsidR="00857CCA" w:rsidTr="0083717A" w14:paraId="63A241BF" w14:textId="77777777">
        <w:tc>
          <w:tcPr>
            <w:tcW w:w="9180" w:type="dxa"/>
            <w:gridSpan w:val="2"/>
          </w:tcPr>
          <w:p w:rsidRPr="00A6689B" w:rsidR="00857CCA" w:rsidP="0083717A" w:rsidRDefault="00857CCA" w14:paraId="4F073C54" w14:textId="77777777">
            <w:pPr>
              <w:tabs>
                <w:tab w:val="center" w:pos="284"/>
              </w:tabs>
              <w:spacing w:line="160" w:lineRule="exact"/>
              <w:ind w:left="266" w:hanging="266"/>
              <w:rPr>
                <w:lang w:val="en-US"/>
              </w:rPr>
            </w:pPr>
          </w:p>
        </w:tc>
      </w:tr>
      <w:tr w:rsidRPr="00A6689B" w:rsidR="00857CCA" w:rsidTr="0083717A" w14:paraId="77F70FF9" w14:textId="77777777">
        <w:tc>
          <w:tcPr>
            <w:tcW w:w="1701" w:type="dxa"/>
            <w:vMerge w:val="restart"/>
          </w:tcPr>
          <w:p w:rsidRPr="00A6689B" w:rsidR="00857CCA" w:rsidP="0083717A" w:rsidRDefault="00857CCA" w14:paraId="62C1376B" w14:textId="77777777">
            <w:pPr>
              <w:tabs>
                <w:tab w:val="center" w:pos="284"/>
              </w:tabs>
              <w:ind w:left="266" w:hanging="266"/>
              <w:rPr>
                <w:b/>
              </w:rPr>
            </w:pPr>
            <w:r>
              <w:rPr>
                <w:b/>
              </w:rPr>
              <w:t>Viiteasiakirjat</w:t>
            </w:r>
          </w:p>
        </w:tc>
        <w:tc>
          <w:tcPr>
            <w:tcW w:w="7479" w:type="dxa"/>
          </w:tcPr>
          <w:p w:rsidRPr="00A6689B" w:rsidR="00857CCA" w:rsidP="0083717A" w:rsidRDefault="00857CCA" w14:paraId="2977E774" w14:textId="77777777">
            <w:pPr>
              <w:tabs>
                <w:tab w:val="center" w:pos="284"/>
              </w:tabs>
              <w:ind w:left="266" w:hanging="266"/>
            </w:pPr>
            <w:r>
              <w:t>EESC-2024-02005-00-00-AC-TRA</w:t>
            </w:r>
          </w:p>
        </w:tc>
      </w:tr>
      <w:tr w:rsidRPr="00A6689B" w:rsidR="00857CCA" w:rsidTr="0083717A" w14:paraId="34D4C820" w14:textId="77777777">
        <w:tc>
          <w:tcPr>
            <w:tcW w:w="1701" w:type="dxa"/>
            <w:vMerge/>
          </w:tcPr>
          <w:p w:rsidRPr="00A6689B" w:rsidR="00857CCA" w:rsidP="0083717A" w:rsidRDefault="00857CCA" w14:paraId="5C2CC48F" w14:textId="77777777">
            <w:pPr>
              <w:tabs>
                <w:tab w:val="center" w:pos="284"/>
              </w:tabs>
              <w:ind w:left="266" w:hanging="266"/>
              <w:rPr>
                <w:b/>
                <w:lang w:val="en-US"/>
              </w:rPr>
            </w:pPr>
          </w:p>
        </w:tc>
        <w:tc>
          <w:tcPr>
            <w:tcW w:w="7479" w:type="dxa"/>
          </w:tcPr>
          <w:p w:rsidRPr="00A6689B" w:rsidR="00857CCA" w:rsidP="0083717A" w:rsidRDefault="00857CCA" w14:paraId="3C7D7A97" w14:textId="77777777">
            <w:pPr>
              <w:tabs>
                <w:tab w:val="center" w:pos="284"/>
              </w:tabs>
              <w:ind w:left="266" w:hanging="266"/>
              <w:rPr>
                <w:lang w:val="en-US"/>
              </w:rPr>
            </w:pPr>
          </w:p>
        </w:tc>
      </w:tr>
    </w:tbl>
    <w:p w:rsidRPr="00A6689B" w:rsidR="00857CCA" w:rsidP="00857CCA" w:rsidRDefault="00857CCA" w14:paraId="620E4239" w14:textId="77777777">
      <w:pPr>
        <w:keepNext/>
        <w:keepLines/>
        <w:tabs>
          <w:tab w:val="center" w:pos="284"/>
        </w:tabs>
        <w:ind w:left="266" w:hanging="266"/>
        <w:rPr>
          <w:b/>
        </w:rPr>
      </w:pPr>
      <w:r>
        <w:rPr>
          <w:b/>
        </w:rPr>
        <w:t>Keskeiset kohdat</w:t>
      </w:r>
    </w:p>
    <w:p w:rsidRPr="00A6689B" w:rsidR="00857CCA" w:rsidP="00857CCA" w:rsidRDefault="00857CCA" w14:paraId="580F734D" w14:textId="77777777">
      <w:pPr>
        <w:keepNext/>
        <w:keepLines/>
        <w:tabs>
          <w:tab w:val="center" w:pos="284"/>
        </w:tabs>
        <w:ind w:left="266" w:hanging="266"/>
        <w:rPr>
          <w:b/>
        </w:rPr>
      </w:pPr>
    </w:p>
    <w:p w:rsidR="00857CCA" w:rsidP="00857CCA" w:rsidRDefault="00857CCA" w14:paraId="63C72EB5" w14:textId="77777777">
      <w:r>
        <w:t>ETSK</w:t>
      </w:r>
    </w:p>
    <w:p w:rsidRPr="00424E5B" w:rsidR="00857CCA" w:rsidP="00857CCA" w:rsidRDefault="00857CCA" w14:paraId="6B57B882" w14:textId="77777777"/>
    <w:p w:rsidRPr="002855DE" w:rsidR="00857CCA" w:rsidP="00857CCA" w:rsidRDefault="00857CCA" w14:paraId="1F4E3C81" w14:textId="77777777">
      <w:pPr>
        <w:pStyle w:val="ListParagraph"/>
        <w:numPr>
          <w:ilvl w:val="0"/>
          <w:numId w:val="14"/>
        </w:numPr>
        <w:spacing w:after="200" w:line="276" w:lineRule="auto"/>
        <w:rPr>
          <w:bCs/>
          <w:iCs/>
        </w:rPr>
      </w:pPr>
      <w:r>
        <w:t xml:space="preserve">katsoo, että </w:t>
      </w:r>
      <w:r>
        <w:rPr>
          <w:b/>
        </w:rPr>
        <w:t>metalliteollisuus ei saisi enää taantua</w:t>
      </w:r>
      <w:r>
        <w:t xml:space="preserve">, sillä taantuma saattaisi </w:t>
      </w:r>
      <w:r>
        <w:rPr>
          <w:b/>
        </w:rPr>
        <w:t>heikentää vakavasti EU:n strategista riippumattomuutta</w:t>
      </w:r>
      <w:r>
        <w:t xml:space="preserve">, kaikkia sen teollisuusaloja (mm. rautatie-, ydin-, meri-, avaruus-, auto- ja puolustusteollisuus) ja siten sen teollisuuden tulevaisuutta. </w:t>
      </w:r>
      <w:r>
        <w:rPr>
          <w:b/>
        </w:rPr>
        <w:t>Euroopan unionissa on nyt tärkeämpää kuin koskaan laatia teollisuusohjelma</w:t>
      </w:r>
      <w:r>
        <w:t xml:space="preserve"> vihreän kehityksen ohjelman ja kiertotalouden toimintasuunnitelman tueksi,</w:t>
      </w:r>
      <w:r>
        <w:rPr>
          <w:b/>
        </w:rPr>
        <w:t xml:space="preserve"> vahvistaa metalliteollisuuden alliansseja</w:t>
      </w:r>
      <w:r>
        <w:t xml:space="preserve"> yhteistä etua koskevien tärkeiden hankkeiden avulla ja </w:t>
      </w:r>
      <w:proofErr w:type="spellStart"/>
      <w:r>
        <w:rPr>
          <w:b/>
        </w:rPr>
        <w:t>uudelleenteollistaa</w:t>
      </w:r>
      <w:proofErr w:type="spellEnd"/>
      <w:r>
        <w:rPr>
          <w:b/>
        </w:rPr>
        <w:t xml:space="preserve"> useita hylättyjä alueita, jotta voitaisiin luoda taas laadukkaita, lähellä olevia työpaikkoja</w:t>
      </w:r>
      <w:r>
        <w:t>.</w:t>
      </w:r>
    </w:p>
    <w:p w:rsidRPr="002855DE" w:rsidR="00857CCA" w:rsidP="00857CCA" w:rsidRDefault="00857CCA" w14:paraId="1773DC49" w14:textId="77777777">
      <w:pPr>
        <w:pStyle w:val="ListParagraph"/>
        <w:ind w:left="644"/>
        <w:rPr>
          <w:bCs/>
          <w:iCs/>
        </w:rPr>
      </w:pPr>
    </w:p>
    <w:p w:rsidRPr="001E01AE" w:rsidR="00857CCA" w:rsidP="00857CCA" w:rsidRDefault="00857CCA" w14:paraId="52D69191" w14:textId="77777777">
      <w:pPr>
        <w:pStyle w:val="ListParagraph"/>
        <w:numPr>
          <w:ilvl w:val="0"/>
          <w:numId w:val="9"/>
        </w:numPr>
      </w:pPr>
      <w:r>
        <w:t xml:space="preserve">kehottaa Euroopan komissiota </w:t>
      </w:r>
      <w:r>
        <w:rPr>
          <w:b/>
        </w:rPr>
        <w:t>jatkamaan kiireesti teollisuuspolitiikan alakohtaisten analyysien ja arvioiden tekemistä ennakointeja toteuttaen</w:t>
      </w:r>
      <w:r>
        <w:t xml:space="preserve">, jotta </w:t>
      </w:r>
      <w:r>
        <w:rPr>
          <w:b/>
        </w:rPr>
        <w:t>päästäisiin jälleen maailmanlaajuiseen kilpailuasemaan</w:t>
      </w:r>
      <w:r>
        <w:t>.</w:t>
      </w:r>
    </w:p>
    <w:p w:rsidRPr="00424E5B" w:rsidR="00857CCA" w:rsidP="00857CCA" w:rsidRDefault="00857CCA" w14:paraId="0C9B5899" w14:textId="77777777"/>
    <w:p w:rsidRPr="001E01AE" w:rsidR="00857CCA" w:rsidP="00857CCA" w:rsidRDefault="00857CCA" w14:paraId="3EA28ECB" w14:textId="77777777">
      <w:pPr>
        <w:pStyle w:val="ListParagraph"/>
        <w:numPr>
          <w:ilvl w:val="0"/>
          <w:numId w:val="9"/>
        </w:numPr>
      </w:pPr>
      <w:r>
        <w:t xml:space="preserve">kehottaa Euroopan komissiota </w:t>
      </w:r>
      <w:r>
        <w:rPr>
          <w:b/>
        </w:rPr>
        <w:t>toteuttamaan viipymättä kohdennettuja toimia strategisten alojen, esimerkiksi kemianteollisuuden ja siihen liittyvien alojen, metalliteollisuuden ja kyberturvallisuuden, tukemiseksi</w:t>
      </w:r>
      <w:r>
        <w:t>.</w:t>
      </w:r>
    </w:p>
    <w:p w:rsidRPr="00424E5B" w:rsidR="00857CCA" w:rsidP="00857CCA" w:rsidRDefault="00857CCA" w14:paraId="7D4CD7D6" w14:textId="77777777"/>
    <w:p w:rsidRPr="001E01AE" w:rsidR="00857CCA" w:rsidP="00857CCA" w:rsidRDefault="00857CCA" w14:paraId="080121A2" w14:textId="77777777">
      <w:pPr>
        <w:pStyle w:val="ListParagraph"/>
        <w:numPr>
          <w:ilvl w:val="0"/>
          <w:numId w:val="9"/>
        </w:numPr>
      </w:pPr>
      <w:r>
        <w:t xml:space="preserve">toteaa, että yrityksillä on oltava mahdollisuus </w:t>
      </w:r>
      <w:r>
        <w:rPr>
          <w:b/>
        </w:rPr>
        <w:t>saada rahoitusta Euroopan alueisiin sidoksissa olevaa teollisuuspolitiikkaa tukevilta pankkilaitoksilta</w:t>
      </w:r>
      <w:r>
        <w:t xml:space="preserve">, </w:t>
      </w:r>
      <w:r>
        <w:rPr>
          <w:b/>
        </w:rPr>
        <w:t>palkata yhä ammattitaitoisempia työntekijöitä</w:t>
      </w:r>
      <w:r>
        <w:t xml:space="preserve"> ja </w:t>
      </w:r>
      <w:r>
        <w:rPr>
          <w:b/>
        </w:rPr>
        <w:t>saada taustatukea akateemisilta laitoksilta, jotka edistävät innovointia ja tutkimusta</w:t>
      </w:r>
      <w:r>
        <w:t xml:space="preserve"> tulevaisuuden työpaikkojen luomiseksi.</w:t>
      </w:r>
    </w:p>
    <w:p w:rsidRPr="00424E5B" w:rsidR="00857CCA" w:rsidP="00857CCA" w:rsidRDefault="00857CCA" w14:paraId="2E74051E" w14:textId="77777777"/>
    <w:p w:rsidRPr="001E01AE" w:rsidR="00857CCA" w:rsidP="00857CCA" w:rsidRDefault="00857CCA" w14:paraId="33F50B64" w14:textId="77777777">
      <w:pPr>
        <w:pStyle w:val="ListParagraph"/>
        <w:numPr>
          <w:ilvl w:val="0"/>
          <w:numId w:val="9"/>
        </w:numPr>
      </w:pPr>
      <w:r>
        <w:t xml:space="preserve">painottaa, että </w:t>
      </w:r>
      <w:r>
        <w:rPr>
          <w:b/>
        </w:rPr>
        <w:t xml:space="preserve">on tarpeen lisätä kumppanuuksia innovoinnin ja investointien edistämiseksi, siirtää kemianteollisuutta takaisin ja perustaa päätöksentekokeskuksia Eurooppaan, yhdenmukaistaa lajitellun ja esikäsitellyn muovijätteen laatustandardeja </w:t>
      </w:r>
      <w:r>
        <w:t xml:space="preserve">ja luoda </w:t>
      </w:r>
      <w:r>
        <w:rPr>
          <w:b/>
        </w:rPr>
        <w:t>yhtenäiset ja avoimet jälkimarkkinat</w:t>
      </w:r>
      <w:r>
        <w:t>, jotta kemiallisten kierrätyslaitosten toimintaa varten olisi jatkuvasti saatavilla muovijätettä.</w:t>
      </w:r>
    </w:p>
    <w:p w:rsidRPr="00424E5B" w:rsidR="00857CCA" w:rsidP="00857CCA" w:rsidRDefault="00857CCA" w14:paraId="5AC2DDB5" w14:textId="77777777"/>
    <w:p w:rsidRPr="001E01AE" w:rsidR="00857CCA" w:rsidP="00857CCA" w:rsidRDefault="00857CCA" w14:paraId="00C0558E" w14:textId="77777777">
      <w:pPr>
        <w:pStyle w:val="ListParagraph"/>
        <w:numPr>
          <w:ilvl w:val="0"/>
          <w:numId w:val="9"/>
        </w:numPr>
      </w:pPr>
      <w:r>
        <w:t xml:space="preserve">suosittaa </w:t>
      </w:r>
      <w:r>
        <w:rPr>
          <w:b/>
        </w:rPr>
        <w:t>lisäämään valvontaa ja suorittamaan sitä jatkuvasti</w:t>
      </w:r>
      <w:r>
        <w:t xml:space="preserve"> sekä </w:t>
      </w:r>
      <w:r>
        <w:rPr>
          <w:b/>
        </w:rPr>
        <w:t>kehittämään</w:t>
      </w:r>
      <w:r>
        <w:t xml:space="preserve"> kaikkien yritysten saatavilla olevia </w:t>
      </w:r>
      <w:r>
        <w:rPr>
          <w:b/>
        </w:rPr>
        <w:t>ennaltaehkäisevän teknisen avun ohjelmia</w:t>
      </w:r>
      <w:r>
        <w:t>.</w:t>
      </w:r>
    </w:p>
    <w:p w:rsidRPr="001E01AE" w:rsidR="00857CCA" w:rsidP="00857CCA" w:rsidRDefault="00857CCA" w14:paraId="6D9ED22B" w14:textId="77777777">
      <w:pPr>
        <w:widowControl w:val="0"/>
        <w:ind w:left="567"/>
      </w:pPr>
    </w:p>
    <w:p w:rsidR="00857CCA" w:rsidP="00857CCA" w:rsidRDefault="00857CCA" w14:paraId="00F1B490" w14:textId="77777777">
      <w:pPr>
        <w:widowControl w:val="0"/>
        <w:ind w:left="567"/>
      </w:pPr>
    </w:p>
    <w:p w:rsidRPr="000624A9" w:rsidR="00857CCA" w:rsidP="00857CCA" w:rsidRDefault="00857CCA" w14:paraId="53A89768" w14:textId="77777777">
      <w:pPr>
        <w:keepNext/>
        <w:keepLines/>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857CCA" w:rsidTr="0083717A" w14:paraId="4ECEFB9B" w14:textId="77777777">
        <w:tc>
          <w:tcPr>
            <w:tcW w:w="1418" w:type="dxa"/>
          </w:tcPr>
          <w:p w:rsidRPr="00A6689B" w:rsidR="00857CCA" w:rsidP="0083717A" w:rsidRDefault="00857CCA" w14:paraId="05C5593D" w14:textId="77777777">
            <w:pPr>
              <w:keepNext/>
              <w:keepLines/>
              <w:spacing w:line="240" w:lineRule="auto"/>
              <w:rPr>
                <w:i/>
              </w:rPr>
            </w:pPr>
            <w:r>
              <w:rPr>
                <w:b/>
                <w:i/>
              </w:rPr>
              <w:t>Yhteydenotot</w:t>
            </w:r>
          </w:p>
        </w:tc>
        <w:tc>
          <w:tcPr>
            <w:tcW w:w="5670" w:type="dxa"/>
          </w:tcPr>
          <w:p w:rsidRPr="00A6689B" w:rsidR="00857CCA" w:rsidP="0083717A" w:rsidRDefault="00857CCA" w14:paraId="7EFD19AD" w14:textId="77777777">
            <w:pPr>
              <w:keepNext/>
              <w:keepLines/>
              <w:spacing w:line="240" w:lineRule="auto"/>
              <w:rPr>
                <w:i/>
              </w:rPr>
            </w:pPr>
            <w:r>
              <w:rPr>
                <w:i/>
              </w:rPr>
              <w:t>Marie-Laurence DRILLON</w:t>
            </w:r>
          </w:p>
        </w:tc>
      </w:tr>
      <w:tr w:rsidRPr="00A6689B" w:rsidR="00857CCA" w:rsidTr="0083717A" w14:paraId="392CE64F" w14:textId="77777777">
        <w:tc>
          <w:tcPr>
            <w:tcW w:w="1418" w:type="dxa"/>
          </w:tcPr>
          <w:p w:rsidRPr="00A6689B" w:rsidR="00857CCA" w:rsidP="0083717A" w:rsidRDefault="00857CCA" w14:paraId="75974997" w14:textId="77777777">
            <w:pPr>
              <w:keepNext/>
              <w:keepLines/>
              <w:spacing w:line="240" w:lineRule="auto"/>
              <w:rPr>
                <w:i/>
              </w:rPr>
            </w:pPr>
            <w:r>
              <w:rPr>
                <w:i/>
              </w:rPr>
              <w:t>P.</w:t>
            </w:r>
          </w:p>
        </w:tc>
        <w:tc>
          <w:tcPr>
            <w:tcW w:w="5670" w:type="dxa"/>
          </w:tcPr>
          <w:p w:rsidRPr="00A6689B" w:rsidR="00857CCA" w:rsidP="0083717A" w:rsidRDefault="00857CCA" w14:paraId="47EF0F5B" w14:textId="77777777">
            <w:pPr>
              <w:keepNext/>
              <w:keepLines/>
              <w:spacing w:line="240" w:lineRule="auto"/>
              <w:rPr>
                <w:i/>
              </w:rPr>
            </w:pPr>
            <w:r>
              <w:rPr>
                <w:i/>
              </w:rPr>
              <w:t>+32 25468320</w:t>
            </w:r>
          </w:p>
        </w:tc>
      </w:tr>
      <w:tr w:rsidRPr="00A6689B" w:rsidR="00857CCA" w:rsidTr="0083717A" w14:paraId="6BE38123" w14:textId="77777777">
        <w:tc>
          <w:tcPr>
            <w:tcW w:w="1418" w:type="dxa"/>
          </w:tcPr>
          <w:p w:rsidRPr="00A6689B" w:rsidR="00857CCA" w:rsidP="0083717A" w:rsidRDefault="00857CCA" w14:paraId="0A8C2CC9" w14:textId="77777777">
            <w:pPr>
              <w:spacing w:line="240" w:lineRule="auto"/>
              <w:rPr>
                <w:i/>
              </w:rPr>
            </w:pPr>
            <w:r>
              <w:rPr>
                <w:i/>
              </w:rPr>
              <w:t>Sähköposti</w:t>
            </w:r>
          </w:p>
        </w:tc>
        <w:tc>
          <w:tcPr>
            <w:tcW w:w="5670" w:type="dxa"/>
          </w:tcPr>
          <w:p w:rsidRPr="00A6689B" w:rsidR="00857CCA" w:rsidP="0083717A" w:rsidRDefault="00857CCA" w14:paraId="3E9EC475" w14:textId="77777777">
            <w:pPr>
              <w:spacing w:line="240" w:lineRule="auto"/>
              <w:rPr>
                <w:i/>
              </w:rPr>
            </w:pPr>
            <w:r>
              <w:rPr>
                <w:i/>
              </w:rPr>
              <w:t>Marie-Laurence.Drillon@eesc.europa.eu</w:t>
            </w:r>
          </w:p>
        </w:tc>
      </w:tr>
    </w:tbl>
    <w:p w:rsidR="00B61E90" w:rsidP="006D6D4E" w:rsidRDefault="00B61E90" w14:paraId="45DC78CE" w14:textId="320217D2">
      <w:pPr>
        <w:keepNext/>
        <w:keepLines/>
        <w:rPr>
          <w:lang w:val="en-GB"/>
        </w:rPr>
      </w:pPr>
    </w:p>
    <w:p w:rsidR="00B61E90" w:rsidRDefault="00B61E90" w14:paraId="15589095" w14:textId="77777777">
      <w:pPr>
        <w:spacing w:after="160" w:line="259" w:lineRule="auto"/>
        <w:jc w:val="left"/>
      </w:pPr>
      <w:r>
        <w:br w:type="page"/>
      </w:r>
    </w:p>
    <w:p w:rsidR="00395260" w:rsidP="006D6D4E" w:rsidRDefault="00395260" w14:paraId="2D41024D" w14:textId="77777777">
      <w:pPr>
        <w:keepNext/>
        <w:keepLines/>
        <w:rPr>
          <w:lang w:val="en-GB"/>
        </w:rPr>
      </w:pPr>
    </w:p>
    <w:p w:rsidRPr="00DB40DB" w:rsidR="00857CCA" w:rsidP="00857CCA" w:rsidRDefault="00C63C8C" w14:paraId="6343B29B" w14:textId="77777777">
      <w:pPr>
        <w:widowControl w:val="0"/>
        <w:numPr>
          <w:ilvl w:val="0"/>
          <w:numId w:val="9"/>
        </w:numPr>
        <w:overflowPunct w:val="0"/>
        <w:autoSpaceDE w:val="0"/>
        <w:autoSpaceDN w:val="0"/>
        <w:adjustRightInd w:val="0"/>
        <w:ind w:left="266" w:hanging="266"/>
        <w:textAlignment w:val="baseline"/>
        <w:rPr>
          <w:b/>
        </w:rPr>
      </w:pPr>
      <w:hyperlink w:history="1" r:id="rId56">
        <w:r w:rsidR="00857CCA">
          <w:rPr>
            <w:rStyle w:val="Hyperlink"/>
            <w:b/>
            <w:i/>
            <w:sz w:val="28"/>
            <w:shd w:val="clear" w:color="auto" w:fill="FEFEFE"/>
          </w:rPr>
          <w:t>Alakohtaiset teollisuuspolitiikat vahvistamassa strategista riippumattomuutta</w:t>
        </w:r>
      </w:hyperlink>
    </w:p>
    <w:p w:rsidRPr="00DB40DB" w:rsidR="00857CCA" w:rsidP="00857CCA" w:rsidRDefault="00857CCA" w14:paraId="3727CE1C" w14:textId="77777777">
      <w:pPr>
        <w:widowControl w:val="0"/>
        <w:ind w:left="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A6689B" w:rsidR="00857CCA" w:rsidTr="0083717A" w14:paraId="36525D88" w14:textId="77777777">
        <w:tc>
          <w:tcPr>
            <w:tcW w:w="1701" w:type="dxa"/>
          </w:tcPr>
          <w:p w:rsidRPr="00A6689B" w:rsidR="00857CCA" w:rsidP="0083717A" w:rsidRDefault="00857CCA" w14:paraId="0D1ACDEF" w14:textId="77777777">
            <w:pPr>
              <w:tabs>
                <w:tab w:val="center" w:pos="284"/>
              </w:tabs>
              <w:ind w:left="266" w:hanging="266"/>
              <w:rPr>
                <w:b/>
              </w:rPr>
            </w:pPr>
            <w:r>
              <w:rPr>
                <w:b/>
              </w:rPr>
              <w:t>Esittelijä</w:t>
            </w:r>
          </w:p>
        </w:tc>
        <w:tc>
          <w:tcPr>
            <w:tcW w:w="7479" w:type="dxa"/>
          </w:tcPr>
          <w:p w:rsidRPr="00A6689B" w:rsidR="00857CCA" w:rsidP="0083717A" w:rsidRDefault="00857CCA" w14:paraId="585B016B" w14:textId="77777777">
            <w:pPr>
              <w:tabs>
                <w:tab w:val="center" w:pos="284"/>
              </w:tabs>
              <w:ind w:left="266" w:hanging="266"/>
            </w:pPr>
            <w:r>
              <w:t xml:space="preserve">Alain </w:t>
            </w:r>
            <w:proofErr w:type="spellStart"/>
            <w:r>
              <w:t>Coheur</w:t>
            </w:r>
            <w:proofErr w:type="spellEnd"/>
            <w:r>
              <w:t xml:space="preserve"> (kansalaisyhteiskunnan organisaatiot – BE)</w:t>
            </w:r>
          </w:p>
        </w:tc>
      </w:tr>
      <w:tr w:rsidRPr="00A6689B" w:rsidR="00857CCA" w:rsidTr="0083717A" w14:paraId="53355ADB" w14:textId="77777777">
        <w:tc>
          <w:tcPr>
            <w:tcW w:w="1701" w:type="dxa"/>
          </w:tcPr>
          <w:p w:rsidRPr="00A6689B" w:rsidR="00857CCA" w:rsidP="0083717A" w:rsidRDefault="00857CCA" w14:paraId="10DB0752" w14:textId="77777777">
            <w:pPr>
              <w:tabs>
                <w:tab w:val="center" w:pos="284"/>
              </w:tabs>
              <w:ind w:left="266" w:hanging="266"/>
              <w:rPr>
                <w:b/>
              </w:rPr>
            </w:pPr>
            <w:r>
              <w:rPr>
                <w:b/>
              </w:rPr>
              <w:t>Yhteisesittelijä</w:t>
            </w:r>
          </w:p>
        </w:tc>
        <w:tc>
          <w:tcPr>
            <w:tcW w:w="7479" w:type="dxa"/>
          </w:tcPr>
          <w:p w:rsidRPr="00A6689B" w:rsidR="00857CCA" w:rsidP="0083717A" w:rsidRDefault="00857CCA" w14:paraId="3DB49142" w14:textId="77777777">
            <w:pPr>
              <w:tabs>
                <w:tab w:val="center" w:pos="284"/>
              </w:tabs>
              <w:ind w:left="266" w:hanging="266"/>
            </w:pPr>
            <w:proofErr w:type="spellStart"/>
            <w:r>
              <w:t>Antonello</w:t>
            </w:r>
            <w:proofErr w:type="spellEnd"/>
            <w:r>
              <w:t xml:space="preserve"> </w:t>
            </w:r>
            <w:proofErr w:type="spellStart"/>
            <w:r>
              <w:t>Pezzini</w:t>
            </w:r>
            <w:proofErr w:type="spellEnd"/>
            <w:r>
              <w:t xml:space="preserve"> (kategoria 3 – IT)</w:t>
            </w:r>
          </w:p>
        </w:tc>
      </w:tr>
      <w:tr w:rsidRPr="00A6689B" w:rsidR="00857CCA" w:rsidTr="0083717A" w14:paraId="20FA9D43" w14:textId="77777777">
        <w:tc>
          <w:tcPr>
            <w:tcW w:w="9180" w:type="dxa"/>
            <w:gridSpan w:val="2"/>
          </w:tcPr>
          <w:p w:rsidRPr="00A6689B" w:rsidR="00857CCA" w:rsidP="0083717A" w:rsidRDefault="00857CCA" w14:paraId="40EB6125" w14:textId="77777777">
            <w:pPr>
              <w:tabs>
                <w:tab w:val="center" w:pos="284"/>
              </w:tabs>
              <w:spacing w:line="160" w:lineRule="exact"/>
              <w:ind w:left="266" w:hanging="266"/>
              <w:rPr>
                <w:lang w:val="en-US"/>
              </w:rPr>
            </w:pPr>
          </w:p>
        </w:tc>
      </w:tr>
      <w:tr w:rsidRPr="00A6689B" w:rsidR="00857CCA" w:rsidTr="0083717A" w14:paraId="0E39A96D" w14:textId="77777777">
        <w:tc>
          <w:tcPr>
            <w:tcW w:w="1701" w:type="dxa"/>
            <w:vMerge w:val="restart"/>
          </w:tcPr>
          <w:p w:rsidRPr="00A6689B" w:rsidR="00857CCA" w:rsidP="0083717A" w:rsidRDefault="00857CCA" w14:paraId="496FDE7E" w14:textId="77777777">
            <w:pPr>
              <w:tabs>
                <w:tab w:val="center" w:pos="284"/>
              </w:tabs>
              <w:ind w:left="266" w:hanging="266"/>
              <w:rPr>
                <w:b/>
              </w:rPr>
            </w:pPr>
            <w:r>
              <w:rPr>
                <w:b/>
              </w:rPr>
              <w:t>Viiteasiakirjat</w:t>
            </w:r>
          </w:p>
        </w:tc>
        <w:tc>
          <w:tcPr>
            <w:tcW w:w="7479" w:type="dxa"/>
          </w:tcPr>
          <w:p w:rsidRPr="00A6689B" w:rsidR="00857CCA" w:rsidP="0083717A" w:rsidRDefault="00857CCA" w14:paraId="63B768BB" w14:textId="77777777">
            <w:pPr>
              <w:tabs>
                <w:tab w:val="center" w:pos="284"/>
              </w:tabs>
              <w:ind w:left="266" w:hanging="266"/>
            </w:pPr>
            <w:r>
              <w:t>EESC-2024-02005-00-00-AC-TRA</w:t>
            </w:r>
          </w:p>
        </w:tc>
      </w:tr>
      <w:tr w:rsidRPr="00A6689B" w:rsidR="00857CCA" w:rsidTr="0083717A" w14:paraId="012116EF" w14:textId="77777777">
        <w:tc>
          <w:tcPr>
            <w:tcW w:w="1701" w:type="dxa"/>
            <w:vMerge/>
          </w:tcPr>
          <w:p w:rsidRPr="00A6689B" w:rsidR="00857CCA" w:rsidP="0083717A" w:rsidRDefault="00857CCA" w14:paraId="552565C1" w14:textId="77777777">
            <w:pPr>
              <w:tabs>
                <w:tab w:val="center" w:pos="284"/>
              </w:tabs>
              <w:ind w:left="266" w:hanging="266"/>
              <w:rPr>
                <w:b/>
                <w:lang w:val="en-US"/>
              </w:rPr>
            </w:pPr>
          </w:p>
        </w:tc>
        <w:tc>
          <w:tcPr>
            <w:tcW w:w="7479" w:type="dxa"/>
          </w:tcPr>
          <w:p w:rsidRPr="00A6689B" w:rsidR="00857CCA" w:rsidP="0083717A" w:rsidRDefault="00857CCA" w14:paraId="16BD8EEF" w14:textId="77777777">
            <w:pPr>
              <w:tabs>
                <w:tab w:val="center" w:pos="284"/>
              </w:tabs>
              <w:ind w:left="266" w:hanging="266"/>
              <w:rPr>
                <w:lang w:val="en-US"/>
              </w:rPr>
            </w:pPr>
          </w:p>
        </w:tc>
      </w:tr>
    </w:tbl>
    <w:p w:rsidRPr="00A6689B" w:rsidR="00857CCA" w:rsidP="00857CCA" w:rsidRDefault="00857CCA" w14:paraId="6D797376" w14:textId="77777777">
      <w:pPr>
        <w:keepNext/>
        <w:keepLines/>
        <w:tabs>
          <w:tab w:val="center" w:pos="284"/>
        </w:tabs>
        <w:ind w:left="266" w:hanging="266"/>
        <w:rPr>
          <w:b/>
        </w:rPr>
      </w:pPr>
      <w:r>
        <w:rPr>
          <w:b/>
        </w:rPr>
        <w:t>Keskeiset kohdat</w:t>
      </w:r>
    </w:p>
    <w:p w:rsidRPr="00A6689B" w:rsidR="00857CCA" w:rsidP="00857CCA" w:rsidRDefault="00857CCA" w14:paraId="674F6F40" w14:textId="77777777">
      <w:pPr>
        <w:keepNext/>
        <w:keepLines/>
        <w:tabs>
          <w:tab w:val="center" w:pos="284"/>
        </w:tabs>
        <w:ind w:left="266" w:hanging="266"/>
        <w:rPr>
          <w:b/>
        </w:rPr>
      </w:pPr>
    </w:p>
    <w:p w:rsidR="00857CCA" w:rsidP="00857CCA" w:rsidRDefault="00857CCA" w14:paraId="6D6BD984" w14:textId="77777777">
      <w:r>
        <w:t>ETSK</w:t>
      </w:r>
    </w:p>
    <w:p w:rsidRPr="00424E5B" w:rsidR="00857CCA" w:rsidP="00857CCA" w:rsidRDefault="00857CCA" w14:paraId="5D84930A" w14:textId="77777777"/>
    <w:p w:rsidRPr="002855DE" w:rsidR="00857CCA" w:rsidP="00857CCA" w:rsidRDefault="00857CCA" w14:paraId="4209CAAA" w14:textId="77777777">
      <w:pPr>
        <w:pStyle w:val="ListParagraph"/>
        <w:numPr>
          <w:ilvl w:val="0"/>
          <w:numId w:val="14"/>
        </w:numPr>
        <w:spacing w:after="200" w:line="276" w:lineRule="auto"/>
        <w:rPr>
          <w:bCs/>
          <w:iCs/>
        </w:rPr>
      </w:pPr>
      <w:r>
        <w:t xml:space="preserve">katsoo, että </w:t>
      </w:r>
      <w:r>
        <w:rPr>
          <w:b/>
        </w:rPr>
        <w:t>metalliteollisuus ei saisi enää taantua</w:t>
      </w:r>
      <w:r>
        <w:t xml:space="preserve">, sillä taantuma saattaisi </w:t>
      </w:r>
      <w:r>
        <w:rPr>
          <w:b/>
        </w:rPr>
        <w:t>heikentää vakavasti EU:n strategista riippumattomuutta</w:t>
      </w:r>
      <w:r>
        <w:t xml:space="preserve">, kaikkia sen teollisuusaloja (mm. rautatie-, ydin-, meri-, avaruus-, auto- ja puolustusteollisuus) ja siten sen teollisuuden tulevaisuutta. </w:t>
      </w:r>
      <w:r>
        <w:rPr>
          <w:b/>
        </w:rPr>
        <w:t>Euroopan unionissa on nyt tärkeämpää kuin koskaan laatia teollisuusohjelma</w:t>
      </w:r>
      <w:r>
        <w:t xml:space="preserve"> vihreän kehityksen ohjelman ja kiertotalouden toimintasuunnitelman tueksi,</w:t>
      </w:r>
      <w:r>
        <w:rPr>
          <w:b/>
        </w:rPr>
        <w:t xml:space="preserve"> vahvistaa metalliteollisuuden alliansseja</w:t>
      </w:r>
      <w:r>
        <w:t xml:space="preserve"> yhteistä etua koskevien tärkeiden hankkeiden avulla ja </w:t>
      </w:r>
      <w:proofErr w:type="spellStart"/>
      <w:r>
        <w:rPr>
          <w:b/>
        </w:rPr>
        <w:t>uudelleenteollistaa</w:t>
      </w:r>
      <w:proofErr w:type="spellEnd"/>
      <w:r>
        <w:rPr>
          <w:b/>
        </w:rPr>
        <w:t xml:space="preserve"> useita hylättyjä alueita, jotta voitaisiin luoda taas laadukkaita, lähellä olevia työpaikkoja</w:t>
      </w:r>
      <w:r>
        <w:t>.</w:t>
      </w:r>
    </w:p>
    <w:p w:rsidRPr="002855DE" w:rsidR="00857CCA" w:rsidP="00857CCA" w:rsidRDefault="00857CCA" w14:paraId="0CB0A20B" w14:textId="77777777">
      <w:pPr>
        <w:pStyle w:val="ListParagraph"/>
        <w:ind w:left="644"/>
        <w:rPr>
          <w:bCs/>
          <w:iCs/>
        </w:rPr>
      </w:pPr>
    </w:p>
    <w:p w:rsidRPr="001E01AE" w:rsidR="00857CCA" w:rsidP="00857CCA" w:rsidRDefault="00857CCA" w14:paraId="6F454201" w14:textId="77777777">
      <w:pPr>
        <w:pStyle w:val="ListParagraph"/>
        <w:numPr>
          <w:ilvl w:val="0"/>
          <w:numId w:val="9"/>
        </w:numPr>
      </w:pPr>
      <w:r>
        <w:t xml:space="preserve">kehottaa Euroopan komissiota </w:t>
      </w:r>
      <w:r>
        <w:rPr>
          <w:b/>
        </w:rPr>
        <w:t>jatkamaan kiireesti teollisuuspolitiikan alakohtaisten analyysien ja arvioiden tekemistä ennakointeja toteuttaen</w:t>
      </w:r>
      <w:r>
        <w:t xml:space="preserve">, jotta </w:t>
      </w:r>
      <w:r>
        <w:rPr>
          <w:b/>
        </w:rPr>
        <w:t>päästäisiin jälleen maailmanlaajuiseen kilpailuasemaan</w:t>
      </w:r>
      <w:r>
        <w:t>.</w:t>
      </w:r>
    </w:p>
    <w:p w:rsidRPr="00424E5B" w:rsidR="00857CCA" w:rsidP="00857CCA" w:rsidRDefault="00857CCA" w14:paraId="4F02218A" w14:textId="77777777"/>
    <w:p w:rsidRPr="001E01AE" w:rsidR="00857CCA" w:rsidP="00857CCA" w:rsidRDefault="00857CCA" w14:paraId="1FCD8AAB" w14:textId="77777777">
      <w:pPr>
        <w:pStyle w:val="ListParagraph"/>
        <w:numPr>
          <w:ilvl w:val="0"/>
          <w:numId w:val="9"/>
        </w:numPr>
      </w:pPr>
      <w:r>
        <w:t xml:space="preserve">kehottaa Euroopan komissiota </w:t>
      </w:r>
      <w:r>
        <w:rPr>
          <w:b/>
        </w:rPr>
        <w:t>toteuttamaan viipymättä kohdennettuja toimia strategisten alojen, esimerkiksi kemianteollisuuden ja siihen liittyvien alojen, metalliteollisuuden ja kyberturvallisuuden, tukemiseksi</w:t>
      </w:r>
      <w:r>
        <w:t>.</w:t>
      </w:r>
    </w:p>
    <w:p w:rsidRPr="00424E5B" w:rsidR="00857CCA" w:rsidP="00857CCA" w:rsidRDefault="00857CCA" w14:paraId="2B4D8C4D" w14:textId="77777777"/>
    <w:p w:rsidRPr="001E01AE" w:rsidR="00857CCA" w:rsidP="00857CCA" w:rsidRDefault="00857CCA" w14:paraId="590C3911" w14:textId="77777777">
      <w:pPr>
        <w:pStyle w:val="ListParagraph"/>
        <w:numPr>
          <w:ilvl w:val="0"/>
          <w:numId w:val="9"/>
        </w:numPr>
      </w:pPr>
      <w:r>
        <w:t xml:space="preserve">toteaa, että yrityksillä on oltava mahdollisuus </w:t>
      </w:r>
      <w:r>
        <w:rPr>
          <w:b/>
        </w:rPr>
        <w:t>saada rahoitusta Euroopan alueisiin sidoksissa olevaa teollisuuspolitiikkaa tukevilta pankkilaitoksilta</w:t>
      </w:r>
      <w:r>
        <w:t xml:space="preserve">, </w:t>
      </w:r>
      <w:r>
        <w:rPr>
          <w:b/>
        </w:rPr>
        <w:t>palkata yhä ammattitaitoisempia työntekijöitä</w:t>
      </w:r>
      <w:r>
        <w:t xml:space="preserve"> ja </w:t>
      </w:r>
      <w:r>
        <w:rPr>
          <w:b/>
        </w:rPr>
        <w:t>saada taustatukea akateemisilta laitoksilta, jotka edistävät innovointia ja tutkimusta</w:t>
      </w:r>
      <w:r>
        <w:t xml:space="preserve"> tulevaisuuden työpaikkojen luomiseksi.</w:t>
      </w:r>
    </w:p>
    <w:p w:rsidRPr="00424E5B" w:rsidR="00857CCA" w:rsidP="00857CCA" w:rsidRDefault="00857CCA" w14:paraId="44F62BE0" w14:textId="77777777"/>
    <w:p w:rsidRPr="001E01AE" w:rsidR="00857CCA" w:rsidP="00857CCA" w:rsidRDefault="00857CCA" w14:paraId="32FDFD07" w14:textId="77777777">
      <w:pPr>
        <w:pStyle w:val="ListParagraph"/>
        <w:numPr>
          <w:ilvl w:val="0"/>
          <w:numId w:val="9"/>
        </w:numPr>
      </w:pPr>
      <w:r>
        <w:t xml:space="preserve">painottaa, että </w:t>
      </w:r>
      <w:r>
        <w:rPr>
          <w:b/>
        </w:rPr>
        <w:t xml:space="preserve">on tarpeen lisätä kumppanuuksia innovoinnin ja investointien edistämiseksi, siirtää kemianteollisuutta takaisin ja perustaa päätöksentekokeskuksia Eurooppaan, yhdenmukaistaa lajitellun ja esikäsitellyn muovijätteen laatustandardeja </w:t>
      </w:r>
      <w:r>
        <w:t xml:space="preserve">ja luoda </w:t>
      </w:r>
      <w:r>
        <w:rPr>
          <w:b/>
        </w:rPr>
        <w:t>yhtenäiset ja avoimet jälkimarkkinat</w:t>
      </w:r>
      <w:r>
        <w:t>, jotta kemiallisten kierrätyslaitosten toimintaa varten olisi jatkuvasti saatavilla muovijätettä.</w:t>
      </w:r>
    </w:p>
    <w:p w:rsidRPr="00424E5B" w:rsidR="00857CCA" w:rsidP="00857CCA" w:rsidRDefault="00857CCA" w14:paraId="54E0C86A" w14:textId="77777777"/>
    <w:p w:rsidRPr="001E01AE" w:rsidR="00857CCA" w:rsidP="00857CCA" w:rsidRDefault="00857CCA" w14:paraId="4E75604D" w14:textId="77777777">
      <w:pPr>
        <w:pStyle w:val="ListParagraph"/>
        <w:numPr>
          <w:ilvl w:val="0"/>
          <w:numId w:val="9"/>
        </w:numPr>
      </w:pPr>
      <w:r>
        <w:t xml:space="preserve">suosittaa </w:t>
      </w:r>
      <w:r>
        <w:rPr>
          <w:b/>
        </w:rPr>
        <w:t>lisäämään valvontaa ja suorittamaan sitä jatkuvasti</w:t>
      </w:r>
      <w:r>
        <w:t xml:space="preserve"> sekä </w:t>
      </w:r>
      <w:r>
        <w:rPr>
          <w:b/>
        </w:rPr>
        <w:t>kehittämään</w:t>
      </w:r>
      <w:r>
        <w:t xml:space="preserve"> kaikkien yritysten saatavilla olevia </w:t>
      </w:r>
      <w:r>
        <w:rPr>
          <w:b/>
        </w:rPr>
        <w:t>ennaltaehkäisevän teknisen avun ohjelmia</w:t>
      </w:r>
      <w:r>
        <w:t>.</w:t>
      </w:r>
    </w:p>
    <w:p w:rsidRPr="001E01AE" w:rsidR="00857CCA" w:rsidP="00857CCA" w:rsidRDefault="00857CCA" w14:paraId="07FC42FE" w14:textId="77777777">
      <w:pPr>
        <w:widowControl w:val="0"/>
        <w:ind w:left="567"/>
      </w:pPr>
    </w:p>
    <w:p w:rsidR="00857CCA" w:rsidP="00857CCA" w:rsidRDefault="00857CCA" w14:paraId="73A2B5A7" w14:textId="77777777">
      <w:pPr>
        <w:widowControl w:val="0"/>
        <w:ind w:left="567"/>
      </w:pPr>
    </w:p>
    <w:p w:rsidRPr="000624A9" w:rsidR="00857CCA" w:rsidP="00857CCA" w:rsidRDefault="00857CCA" w14:paraId="441FCE64" w14:textId="77777777">
      <w:pPr>
        <w:keepNext/>
        <w:keepLines/>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857CCA" w:rsidTr="0083717A" w14:paraId="2B3B7061" w14:textId="77777777">
        <w:tc>
          <w:tcPr>
            <w:tcW w:w="1418" w:type="dxa"/>
          </w:tcPr>
          <w:p w:rsidRPr="00A6689B" w:rsidR="00857CCA" w:rsidP="0083717A" w:rsidRDefault="00857CCA" w14:paraId="133D9C96" w14:textId="77777777">
            <w:pPr>
              <w:keepNext/>
              <w:keepLines/>
              <w:spacing w:line="240" w:lineRule="auto"/>
              <w:rPr>
                <w:i/>
              </w:rPr>
            </w:pPr>
            <w:r>
              <w:rPr>
                <w:b/>
                <w:i/>
              </w:rPr>
              <w:t>Yhteydenotot</w:t>
            </w:r>
          </w:p>
        </w:tc>
        <w:tc>
          <w:tcPr>
            <w:tcW w:w="5670" w:type="dxa"/>
          </w:tcPr>
          <w:p w:rsidRPr="00A6689B" w:rsidR="00857CCA" w:rsidP="0083717A" w:rsidRDefault="00857CCA" w14:paraId="3DACDA31" w14:textId="77777777">
            <w:pPr>
              <w:keepNext/>
              <w:keepLines/>
              <w:spacing w:line="240" w:lineRule="auto"/>
              <w:rPr>
                <w:i/>
              </w:rPr>
            </w:pPr>
            <w:r>
              <w:rPr>
                <w:i/>
              </w:rPr>
              <w:t>Marie-Laurence DRILLON</w:t>
            </w:r>
          </w:p>
        </w:tc>
      </w:tr>
      <w:tr w:rsidRPr="00A6689B" w:rsidR="00857CCA" w:rsidTr="0083717A" w14:paraId="15079047" w14:textId="77777777">
        <w:tc>
          <w:tcPr>
            <w:tcW w:w="1418" w:type="dxa"/>
          </w:tcPr>
          <w:p w:rsidRPr="00A6689B" w:rsidR="00857CCA" w:rsidP="0083717A" w:rsidRDefault="00857CCA" w14:paraId="22530644" w14:textId="77777777">
            <w:pPr>
              <w:keepNext/>
              <w:keepLines/>
              <w:spacing w:line="240" w:lineRule="auto"/>
              <w:rPr>
                <w:i/>
              </w:rPr>
            </w:pPr>
            <w:r>
              <w:rPr>
                <w:i/>
              </w:rPr>
              <w:t>P.</w:t>
            </w:r>
          </w:p>
        </w:tc>
        <w:tc>
          <w:tcPr>
            <w:tcW w:w="5670" w:type="dxa"/>
          </w:tcPr>
          <w:p w:rsidRPr="00A6689B" w:rsidR="00857CCA" w:rsidP="0083717A" w:rsidRDefault="00857CCA" w14:paraId="66242E0D" w14:textId="77777777">
            <w:pPr>
              <w:keepNext/>
              <w:keepLines/>
              <w:spacing w:line="240" w:lineRule="auto"/>
              <w:rPr>
                <w:i/>
              </w:rPr>
            </w:pPr>
            <w:r>
              <w:rPr>
                <w:i/>
              </w:rPr>
              <w:t>+32 25468320</w:t>
            </w:r>
          </w:p>
        </w:tc>
      </w:tr>
      <w:tr w:rsidRPr="00A6689B" w:rsidR="00857CCA" w:rsidTr="0083717A" w14:paraId="55909D85" w14:textId="77777777">
        <w:tc>
          <w:tcPr>
            <w:tcW w:w="1418" w:type="dxa"/>
          </w:tcPr>
          <w:p w:rsidRPr="00A6689B" w:rsidR="00857CCA" w:rsidP="0083717A" w:rsidRDefault="00857CCA" w14:paraId="5E36A851" w14:textId="77777777">
            <w:pPr>
              <w:spacing w:line="240" w:lineRule="auto"/>
              <w:rPr>
                <w:i/>
              </w:rPr>
            </w:pPr>
            <w:r>
              <w:rPr>
                <w:i/>
              </w:rPr>
              <w:t>Sähköposti</w:t>
            </w:r>
          </w:p>
        </w:tc>
        <w:tc>
          <w:tcPr>
            <w:tcW w:w="5670" w:type="dxa"/>
          </w:tcPr>
          <w:p w:rsidRPr="00A6689B" w:rsidR="00857CCA" w:rsidP="0083717A" w:rsidRDefault="00857CCA" w14:paraId="71E411ED" w14:textId="77777777">
            <w:pPr>
              <w:spacing w:line="240" w:lineRule="auto"/>
              <w:rPr>
                <w:i/>
              </w:rPr>
            </w:pPr>
            <w:r>
              <w:rPr>
                <w:i/>
              </w:rPr>
              <w:t>Marie-Laurence.Drillon@eesc.europa.eu</w:t>
            </w:r>
          </w:p>
        </w:tc>
      </w:tr>
    </w:tbl>
    <w:p w:rsidR="00BE4A01" w:rsidP="00857CCA" w:rsidRDefault="00BE4A01" w14:paraId="676479FF" w14:textId="77777777">
      <w:pPr>
        <w:widowControl w:val="0"/>
        <w:numPr>
          <w:ilvl w:val="0"/>
          <w:numId w:val="9"/>
        </w:numPr>
        <w:overflowPunct w:val="0"/>
        <w:autoSpaceDE w:val="0"/>
        <w:autoSpaceDN w:val="0"/>
        <w:adjustRightInd w:val="0"/>
        <w:ind w:hanging="567"/>
        <w:textAlignment w:val="baseline"/>
        <w:sectPr w:rsidR="00BE4A01" w:rsidSect="00902A1F">
          <w:pgSz w:w="11907" w:h="16839"/>
          <w:pgMar w:top="1418" w:right="1134" w:bottom="1418" w:left="1418" w:header="709" w:footer="709" w:gutter="0"/>
          <w:cols w:space="708"/>
          <w:docGrid w:linePitch="360"/>
        </w:sectPr>
      </w:pPr>
    </w:p>
    <w:p w:rsidRPr="00587740" w:rsidR="00857CCA" w:rsidP="00857CCA" w:rsidRDefault="00C63C8C" w14:paraId="4CF24DB7" w14:textId="55277FF3">
      <w:pPr>
        <w:widowControl w:val="0"/>
        <w:numPr>
          <w:ilvl w:val="0"/>
          <w:numId w:val="9"/>
        </w:numPr>
        <w:overflowPunct w:val="0"/>
        <w:autoSpaceDE w:val="0"/>
        <w:autoSpaceDN w:val="0"/>
        <w:adjustRightInd w:val="0"/>
        <w:ind w:hanging="567"/>
        <w:textAlignment w:val="baseline"/>
        <w:rPr>
          <w:rStyle w:val="Hyperlink"/>
          <w:b/>
          <w:bCs/>
          <w:i/>
          <w:iCs/>
          <w:sz w:val="28"/>
          <w:szCs w:val="28"/>
        </w:rPr>
      </w:pPr>
      <w:hyperlink w:history="1" r:id="rId57">
        <w:r w:rsidR="00857CCA">
          <w:rPr>
            <w:rStyle w:val="Hyperlink"/>
            <w:b/>
            <w:i/>
            <w:sz w:val="28"/>
          </w:rPr>
          <w:t>Asiantuntijapalvelut vihreässä siirtymässä</w:t>
        </w:r>
      </w:hyperlink>
    </w:p>
    <w:p w:rsidRPr="00A6689B" w:rsidR="00857CCA" w:rsidP="00857CCA" w:rsidRDefault="00857CCA" w14:paraId="069C458B" w14:textId="77777777">
      <w:pPr>
        <w:tabs>
          <w:tab w:val="center" w:pos="284"/>
        </w:tabs>
        <w:ind w:left="266" w:hanging="266"/>
        <w:rPr>
          <w:b/>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6870"/>
      </w:tblGrid>
      <w:tr w:rsidRPr="00A6689B" w:rsidR="00857CCA" w:rsidTr="0083717A" w14:paraId="23068909" w14:textId="77777777">
        <w:tc>
          <w:tcPr>
            <w:tcW w:w="1148" w:type="pct"/>
          </w:tcPr>
          <w:p w:rsidRPr="00A6689B" w:rsidR="00857CCA" w:rsidP="0083717A" w:rsidRDefault="00857CCA" w14:paraId="342493BA" w14:textId="77777777">
            <w:pPr>
              <w:tabs>
                <w:tab w:val="center" w:pos="284"/>
              </w:tabs>
              <w:ind w:left="266" w:hanging="266"/>
              <w:rPr>
                <w:b/>
              </w:rPr>
            </w:pPr>
            <w:r>
              <w:rPr>
                <w:b/>
              </w:rPr>
              <w:t>Esittelijä</w:t>
            </w:r>
          </w:p>
        </w:tc>
        <w:tc>
          <w:tcPr>
            <w:tcW w:w="3852" w:type="pct"/>
          </w:tcPr>
          <w:p w:rsidRPr="000E6176" w:rsidR="00857CCA" w:rsidP="0083717A" w:rsidRDefault="00857CCA" w14:paraId="7A44232E" w14:textId="77777777">
            <w:pPr>
              <w:tabs>
                <w:tab w:val="center" w:pos="284"/>
              </w:tabs>
              <w:ind w:left="266" w:hanging="266"/>
              <w:rPr>
                <w:b/>
                <w:bCs/>
              </w:rPr>
            </w:pPr>
            <w:proofErr w:type="spellStart"/>
            <w:r>
              <w:rPr>
                <w:b/>
              </w:rPr>
              <w:t>Violeta</w:t>
            </w:r>
            <w:proofErr w:type="spellEnd"/>
            <w:r>
              <w:rPr>
                <w:b/>
              </w:rPr>
              <w:t xml:space="preserve"> JELIĆ (työnantajat – HR)</w:t>
            </w:r>
          </w:p>
        </w:tc>
      </w:tr>
      <w:tr w:rsidRPr="00A6689B" w:rsidR="00857CCA" w:rsidTr="0083717A" w14:paraId="58228DF6" w14:textId="77777777">
        <w:tc>
          <w:tcPr>
            <w:tcW w:w="1148" w:type="pct"/>
          </w:tcPr>
          <w:p w:rsidRPr="00A6689B" w:rsidR="00857CCA" w:rsidP="0083717A" w:rsidRDefault="00857CCA" w14:paraId="4CC3D258" w14:textId="77777777">
            <w:pPr>
              <w:tabs>
                <w:tab w:val="center" w:pos="284"/>
              </w:tabs>
              <w:ind w:left="266" w:hanging="266"/>
              <w:rPr>
                <w:b/>
              </w:rPr>
            </w:pPr>
            <w:r>
              <w:rPr>
                <w:b/>
              </w:rPr>
              <w:t>Yhteisesittelijä</w:t>
            </w:r>
          </w:p>
        </w:tc>
        <w:tc>
          <w:tcPr>
            <w:tcW w:w="3852" w:type="pct"/>
          </w:tcPr>
          <w:p w:rsidRPr="000E6176" w:rsidR="00857CCA" w:rsidP="0083717A" w:rsidRDefault="00857CCA" w14:paraId="0F695D07" w14:textId="77777777">
            <w:pPr>
              <w:tabs>
                <w:tab w:val="center" w:pos="284"/>
              </w:tabs>
              <w:ind w:left="266" w:hanging="266"/>
              <w:rPr>
                <w:b/>
                <w:bCs/>
              </w:rPr>
            </w:pPr>
            <w:proofErr w:type="spellStart"/>
            <w:r>
              <w:rPr>
                <w:b/>
              </w:rPr>
              <w:t>Gaetano</w:t>
            </w:r>
            <w:proofErr w:type="spellEnd"/>
            <w:r>
              <w:rPr>
                <w:b/>
              </w:rPr>
              <w:t xml:space="preserve"> STELLA (kat. 3 – IT)</w:t>
            </w:r>
          </w:p>
        </w:tc>
      </w:tr>
      <w:tr w:rsidRPr="00A6689B" w:rsidR="00857CCA" w:rsidTr="0083717A" w14:paraId="49FD1F95" w14:textId="77777777">
        <w:tc>
          <w:tcPr>
            <w:tcW w:w="5000" w:type="pct"/>
            <w:gridSpan w:val="2"/>
          </w:tcPr>
          <w:p w:rsidRPr="00A6689B" w:rsidR="00857CCA" w:rsidP="0083717A" w:rsidRDefault="00857CCA" w14:paraId="40AD0DF4" w14:textId="77777777">
            <w:pPr>
              <w:tabs>
                <w:tab w:val="center" w:pos="284"/>
              </w:tabs>
              <w:spacing w:line="160" w:lineRule="exact"/>
              <w:ind w:left="266" w:hanging="266"/>
              <w:rPr>
                <w:lang w:val="en-US"/>
              </w:rPr>
            </w:pPr>
          </w:p>
        </w:tc>
      </w:tr>
      <w:tr w:rsidRPr="00A6689B" w:rsidR="00857CCA" w:rsidTr="0083717A" w14:paraId="62B7BA75" w14:textId="77777777">
        <w:tc>
          <w:tcPr>
            <w:tcW w:w="1148" w:type="pct"/>
            <w:vMerge w:val="restart"/>
          </w:tcPr>
          <w:p w:rsidRPr="00A6689B" w:rsidR="00857CCA" w:rsidP="0083717A" w:rsidRDefault="00857CCA" w14:paraId="0EB17E15" w14:textId="77777777">
            <w:pPr>
              <w:tabs>
                <w:tab w:val="center" w:pos="284"/>
              </w:tabs>
              <w:ind w:left="266" w:hanging="266"/>
              <w:rPr>
                <w:b/>
              </w:rPr>
            </w:pPr>
            <w:r>
              <w:rPr>
                <w:b/>
              </w:rPr>
              <w:t>Viiteasiakirja</w:t>
            </w:r>
          </w:p>
        </w:tc>
        <w:tc>
          <w:tcPr>
            <w:tcW w:w="3852" w:type="pct"/>
          </w:tcPr>
          <w:p w:rsidRPr="00587740" w:rsidR="00857CCA" w:rsidP="0083717A" w:rsidRDefault="00857CCA" w14:paraId="4A3EB522" w14:textId="77777777">
            <w:pPr>
              <w:tabs>
                <w:tab w:val="center" w:pos="284"/>
              </w:tabs>
              <w:ind w:left="266" w:hanging="266"/>
            </w:pPr>
            <w:r>
              <w:rPr>
                <w:rFonts w:ascii="Helvetica" w:hAnsi="Helvetica"/>
                <w:color w:val="000000"/>
                <w:sz w:val="21"/>
              </w:rPr>
              <w:t>EESC-2024-01953-00-00-PA</w:t>
            </w:r>
          </w:p>
        </w:tc>
      </w:tr>
      <w:tr w:rsidRPr="00A6689B" w:rsidR="00857CCA" w:rsidTr="0083717A" w14:paraId="050F673B" w14:textId="77777777">
        <w:tc>
          <w:tcPr>
            <w:tcW w:w="1148" w:type="pct"/>
            <w:vMerge/>
          </w:tcPr>
          <w:p w:rsidRPr="00A6689B" w:rsidR="00857CCA" w:rsidP="0083717A" w:rsidRDefault="00857CCA" w14:paraId="3D7903EE" w14:textId="77777777">
            <w:pPr>
              <w:tabs>
                <w:tab w:val="center" w:pos="284"/>
              </w:tabs>
              <w:ind w:left="266" w:hanging="266"/>
              <w:rPr>
                <w:b/>
                <w:lang w:val="en-US"/>
              </w:rPr>
            </w:pPr>
          </w:p>
        </w:tc>
        <w:tc>
          <w:tcPr>
            <w:tcW w:w="3852" w:type="pct"/>
          </w:tcPr>
          <w:p w:rsidRPr="00A6689B" w:rsidR="00857CCA" w:rsidP="0083717A" w:rsidRDefault="00857CCA" w14:paraId="66988ABD" w14:textId="77777777">
            <w:pPr>
              <w:tabs>
                <w:tab w:val="center" w:pos="284"/>
              </w:tabs>
              <w:ind w:left="266" w:hanging="266"/>
              <w:rPr>
                <w:lang w:val="en-US"/>
              </w:rPr>
            </w:pPr>
          </w:p>
        </w:tc>
      </w:tr>
    </w:tbl>
    <w:p w:rsidRPr="00A6689B" w:rsidR="00857CCA" w:rsidP="00857CCA" w:rsidRDefault="00857CCA" w14:paraId="3AF7EB7F" w14:textId="77777777">
      <w:pPr>
        <w:keepNext/>
        <w:keepLines/>
        <w:tabs>
          <w:tab w:val="center" w:pos="284"/>
        </w:tabs>
        <w:ind w:left="266" w:hanging="266"/>
        <w:rPr>
          <w:b/>
        </w:rPr>
      </w:pPr>
      <w:r>
        <w:rPr>
          <w:b/>
        </w:rPr>
        <w:t>Keskeiset kohdat</w:t>
      </w:r>
    </w:p>
    <w:p w:rsidRPr="00A6689B" w:rsidR="00857CCA" w:rsidP="00857CCA" w:rsidRDefault="00857CCA" w14:paraId="54122F4B" w14:textId="77777777">
      <w:pPr>
        <w:keepNext/>
        <w:keepLines/>
        <w:tabs>
          <w:tab w:val="center" w:pos="284"/>
        </w:tabs>
        <w:ind w:left="266" w:hanging="266"/>
        <w:rPr>
          <w:b/>
        </w:rPr>
      </w:pPr>
    </w:p>
    <w:p w:rsidRPr="004F5157" w:rsidR="00857CCA" w:rsidP="00857CCA" w:rsidRDefault="00857CCA" w14:paraId="58AD2703" w14:textId="77777777">
      <w:pPr>
        <w:rPr>
          <w:bCs/>
          <w:iCs/>
        </w:rPr>
      </w:pPr>
      <w:r>
        <w:t>ETSK</w:t>
      </w:r>
    </w:p>
    <w:p w:rsidR="00857CCA" w:rsidP="00857CCA" w:rsidRDefault="00857CCA" w14:paraId="05BE84F8" w14:textId="77777777">
      <w:pPr>
        <w:widowControl w:val="0"/>
        <w:numPr>
          <w:ilvl w:val="0"/>
          <w:numId w:val="9"/>
        </w:numPr>
        <w:overflowPunct w:val="0"/>
        <w:autoSpaceDE w:val="0"/>
        <w:autoSpaceDN w:val="0"/>
        <w:adjustRightInd w:val="0"/>
        <w:textAlignment w:val="baseline"/>
        <w:rPr>
          <w:bCs/>
          <w:iCs/>
        </w:rPr>
      </w:pPr>
      <w:r>
        <w:t>antaa tällä lausunnolla panoksensa yhteisiin pyrkimyksiin palauttaa Euroopan kilpailukyky ja vahvistaa sen teollista asemaa samalla kun parannetaan eurooppalaisten yritysten suorituskykyä vihreässä siirtymässä.</w:t>
      </w:r>
    </w:p>
    <w:p w:rsidRPr="00C33A61" w:rsidR="00857CCA" w:rsidP="00857CCA" w:rsidRDefault="00857CCA" w14:paraId="78FFE0A0" w14:textId="77777777">
      <w:pPr>
        <w:widowControl w:val="0"/>
        <w:numPr>
          <w:ilvl w:val="0"/>
          <w:numId w:val="9"/>
        </w:numPr>
        <w:overflowPunct w:val="0"/>
        <w:autoSpaceDE w:val="0"/>
        <w:autoSpaceDN w:val="0"/>
        <w:adjustRightInd w:val="0"/>
        <w:textAlignment w:val="baseline"/>
        <w:rPr>
          <w:bCs/>
          <w:iCs/>
        </w:rPr>
      </w:pPr>
      <w:r>
        <w:t>toteaa, että asiantuntijapalveluilla on keskeinen rooli vihreässä siirtymässä.</w:t>
      </w:r>
    </w:p>
    <w:p w:rsidR="00857CCA" w:rsidP="00857CCA" w:rsidRDefault="00857CCA" w14:paraId="0B5965B8" w14:textId="77777777">
      <w:pPr>
        <w:widowControl w:val="0"/>
        <w:numPr>
          <w:ilvl w:val="0"/>
          <w:numId w:val="9"/>
        </w:numPr>
        <w:overflowPunct w:val="0"/>
        <w:autoSpaceDE w:val="0"/>
        <w:autoSpaceDN w:val="0"/>
        <w:adjustRightInd w:val="0"/>
        <w:textAlignment w:val="baseline"/>
        <w:rPr>
          <w:bCs/>
          <w:iCs/>
        </w:rPr>
      </w:pPr>
      <w:r>
        <w:t xml:space="preserve">on huolissaan siitä, että viherryttämisprosessi voi seisahtua työvoimapulan ja osaamisvajeen, osaamisen </w:t>
      </w:r>
      <w:proofErr w:type="spellStart"/>
      <w:r>
        <w:t>kohtaanto</w:t>
      </w:r>
      <w:proofErr w:type="spellEnd"/>
      <w:r>
        <w:t>-ongelman, sääntely-, hallinto- ja kustannustaakan lisääntymisen sekä toimitusketjuissa tapahtuvien nopeiden muutosten aiheuttamien uusien haasteiden vuoksi.</w:t>
      </w:r>
    </w:p>
    <w:p w:rsidRPr="00C33A61" w:rsidR="00857CCA" w:rsidP="00857CCA" w:rsidRDefault="00857CCA" w14:paraId="7FA0069A" w14:textId="77777777">
      <w:pPr>
        <w:widowControl w:val="0"/>
        <w:numPr>
          <w:ilvl w:val="0"/>
          <w:numId w:val="9"/>
        </w:numPr>
        <w:overflowPunct w:val="0"/>
        <w:autoSpaceDE w:val="0"/>
        <w:autoSpaceDN w:val="0"/>
        <w:adjustRightInd w:val="0"/>
        <w:textAlignment w:val="baseline"/>
        <w:rPr>
          <w:bCs/>
          <w:iCs/>
        </w:rPr>
      </w:pPr>
      <w:r>
        <w:t>odottaa, että muutokset valmistusteollisuuden toimitusketjujen dynamiikassa helpottavat arvoketjujen uudelleenasemointia ja kannustavan toimintojen takaisin siirtämiseen, sillä monet yritykset harkitsevat tuotannon ja palvelujen palauttamista EU:n ulkopuolisista maista.</w:t>
      </w:r>
    </w:p>
    <w:p w:rsidRPr="00C33A61" w:rsidR="00857CCA" w:rsidP="00857CCA" w:rsidRDefault="00857CCA" w14:paraId="392A3C14" w14:textId="77777777">
      <w:pPr>
        <w:widowControl w:val="0"/>
        <w:numPr>
          <w:ilvl w:val="0"/>
          <w:numId w:val="9"/>
        </w:numPr>
        <w:overflowPunct w:val="0"/>
        <w:autoSpaceDE w:val="0"/>
        <w:autoSpaceDN w:val="0"/>
        <w:adjustRightInd w:val="0"/>
        <w:textAlignment w:val="baseline"/>
        <w:rPr>
          <w:bCs/>
          <w:iCs/>
        </w:rPr>
      </w:pPr>
      <w:r>
        <w:t>katsoo, että uusi visio osaamisunionista on pantava täytäntöön. Koulutusjärjestelmiä on uudistettava johdonmukaisesti opetussuunnitelmien mukauttamiseksi työelämän muutoksiin. Lisäksi on tuettava kaikkia asiaankuuluvia koulutusohjelmia (myös STEM-aineita), pantava täytäntöön uusi ammatillisen koulutuksen strategia, autettava opettajia ja parannettava koordinointia EU:n tasolla.</w:t>
      </w:r>
    </w:p>
    <w:p w:rsidRPr="00C33A61" w:rsidR="00857CCA" w:rsidP="00857CCA" w:rsidRDefault="00857CCA" w14:paraId="244FA81B" w14:textId="77777777">
      <w:pPr>
        <w:widowControl w:val="0"/>
        <w:numPr>
          <w:ilvl w:val="0"/>
          <w:numId w:val="9"/>
        </w:numPr>
        <w:overflowPunct w:val="0"/>
        <w:autoSpaceDE w:val="0"/>
        <w:autoSpaceDN w:val="0"/>
        <w:adjustRightInd w:val="0"/>
        <w:textAlignment w:val="baseline"/>
        <w:rPr>
          <w:bCs/>
          <w:iCs/>
        </w:rPr>
      </w:pPr>
      <w:r>
        <w:t>tunnustaa myös tarpeen edistää koulutusaloitteita sekä EU:n että jäsenvaltioiden tasolla muun muassa erityisin taloudellisin kannustimin sellaisten ammatillisen koulutuksen kurssien järjestämiseksi, joissa tähdätään asiantuntijapalveluiden viherryttämiseen. Toimiin voisi myös sisältyä EU-tason akateemisten kurssien perustamista uusien asiantuntijoiden kouluttamiseksi tai nykyisten asiantuntijoiden jatkokouluttamiseksi kestävyystavoitteiden osalta sekä nykyisten taitojen ja työpaikkojen mukauttamisen ja niiden parantamisen edistämiseksi (täydennys- ja uudelleenkoulutusohjelmat). Näillä aloitteilla voitaisiin myös luoda uusia taitoja vihreää ja digitaalista siirtymää varten, joita voidaan pitää ”kaksoissiirtymänä”, koska ne kulkevat käsi kädessä ja voivat vahvistaa toisiaan.</w:t>
      </w:r>
    </w:p>
    <w:p w:rsidRPr="00C33A61" w:rsidR="00857CCA" w:rsidP="00857CCA" w:rsidRDefault="00857CCA" w14:paraId="1EF0C94F" w14:textId="77777777">
      <w:pPr>
        <w:widowControl w:val="0"/>
        <w:numPr>
          <w:ilvl w:val="0"/>
          <w:numId w:val="9"/>
        </w:numPr>
        <w:overflowPunct w:val="0"/>
        <w:autoSpaceDE w:val="0"/>
        <w:autoSpaceDN w:val="0"/>
        <w:adjustRightInd w:val="0"/>
        <w:textAlignment w:val="baseline"/>
        <w:rPr>
          <w:bCs/>
          <w:iCs/>
        </w:rPr>
      </w:pPr>
      <w:r>
        <w:t>kehottaa tukemaan kohdennetuilla toimintapolitiikoilla asiantuntijapalvelujen verkottumista, jotta asianomaista toimintaa voidaan laajentaa ottaen asianmukaisesti huomioon kunkin jäsenvaltion erityispiirteet.</w:t>
      </w:r>
    </w:p>
    <w:p w:rsidRPr="00C33A61" w:rsidR="00857CCA" w:rsidP="00857CCA" w:rsidRDefault="00857CCA" w14:paraId="1667A9B4" w14:textId="77777777">
      <w:pPr>
        <w:widowControl w:val="0"/>
        <w:numPr>
          <w:ilvl w:val="0"/>
          <w:numId w:val="9"/>
        </w:numPr>
        <w:overflowPunct w:val="0"/>
        <w:autoSpaceDE w:val="0"/>
        <w:autoSpaceDN w:val="0"/>
        <w:adjustRightInd w:val="0"/>
        <w:textAlignment w:val="baseline"/>
        <w:rPr>
          <w:bCs/>
          <w:iCs/>
        </w:rPr>
      </w:pPr>
      <w:r>
        <w:t>katsoo, että osaamisvaje voitaisiin korjata noudattamalla edellä mainittuja ehdotuksia ja kouluttamalla ammattitaitoisia asiantuntijoita Euroopassa tai houkuttelemalla asiantuntijoita EU:n ulkopuolelta erilaisten toimintapolitiikkojen ja aloitteiden avulla.</w:t>
      </w:r>
    </w:p>
    <w:p w:rsidRPr="00C33A61" w:rsidR="00857CCA" w:rsidP="00857CCA" w:rsidRDefault="00857CCA" w14:paraId="21E6153E" w14:textId="77777777">
      <w:pPr>
        <w:widowControl w:val="0"/>
        <w:numPr>
          <w:ilvl w:val="0"/>
          <w:numId w:val="9"/>
        </w:numPr>
        <w:overflowPunct w:val="0"/>
        <w:autoSpaceDE w:val="0"/>
        <w:autoSpaceDN w:val="0"/>
        <w:adjustRightInd w:val="0"/>
        <w:textAlignment w:val="baseline"/>
        <w:rPr>
          <w:bCs/>
          <w:iCs/>
        </w:rPr>
      </w:pPr>
      <w:r>
        <w:t>korostaa työmarkkinaosapuolten, asiantuntijapalvelualan organisaatioiden ja muiden keskeisten kansalaisyhteiskunnan organisaatioiden tärkeää roolia onnistuneissa ja oikeudenmukaisissa vihreän siirtymän prosesseissa.</w:t>
      </w:r>
    </w:p>
    <w:p w:rsidRPr="00C33A61" w:rsidR="00857CCA" w:rsidP="00857CCA" w:rsidRDefault="00857CCA" w14:paraId="12C99D81" w14:textId="77777777">
      <w:pPr>
        <w:widowControl w:val="0"/>
        <w:numPr>
          <w:ilvl w:val="0"/>
          <w:numId w:val="9"/>
        </w:numPr>
        <w:overflowPunct w:val="0"/>
        <w:autoSpaceDE w:val="0"/>
        <w:autoSpaceDN w:val="0"/>
        <w:adjustRightInd w:val="0"/>
        <w:textAlignment w:val="baseline"/>
        <w:rPr>
          <w:bCs/>
          <w:iCs/>
        </w:rPr>
      </w:pPr>
      <w:r>
        <w:t xml:space="preserve">tuo myös esiin muita haasteita, jotka laajassa mielessä liittyvät asiantuntijapalvelujen tarjontaan, muun muassa tutkintojen tunnustamisen esteet, jotka on poistettava, jotta voidaan edistää ammatillista liikkuvuutta ja korjata osaamisvajeita. ETSK suosittaa jatkuvia toimia tällä alalla, myös </w:t>
      </w:r>
      <w:r>
        <w:lastRenderedPageBreak/>
        <w:t>laatimalla näistä aiheista jatkolausuntoja.</w:t>
      </w:r>
    </w:p>
    <w:p w:rsidRPr="000624A9" w:rsidR="00857CCA" w:rsidP="00857CCA" w:rsidRDefault="00857CCA" w14:paraId="5BAC1742"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A6689B" w:rsidR="00857CCA" w:rsidTr="0083717A" w14:paraId="71574A51" w14:textId="77777777">
        <w:tc>
          <w:tcPr>
            <w:tcW w:w="1556" w:type="pct"/>
          </w:tcPr>
          <w:p w:rsidRPr="00A6689B" w:rsidR="00857CCA" w:rsidP="0083717A" w:rsidRDefault="00857CCA" w14:paraId="74051E0F" w14:textId="77777777">
            <w:pPr>
              <w:spacing w:line="240" w:lineRule="auto"/>
              <w:rPr>
                <w:i/>
              </w:rPr>
            </w:pPr>
            <w:r>
              <w:rPr>
                <w:b/>
                <w:i/>
              </w:rPr>
              <w:t>Yhteydentotot</w:t>
            </w:r>
          </w:p>
        </w:tc>
        <w:tc>
          <w:tcPr>
            <w:tcW w:w="3444" w:type="pct"/>
          </w:tcPr>
          <w:p w:rsidRPr="004F5157" w:rsidR="00857CCA" w:rsidP="0083717A" w:rsidRDefault="00857CCA" w14:paraId="035F128D" w14:textId="77777777">
            <w:pPr>
              <w:spacing w:line="240" w:lineRule="auto"/>
              <w:rPr>
                <w:b/>
                <w:bCs/>
                <w:i/>
              </w:rPr>
            </w:pPr>
            <w:proofErr w:type="spellStart"/>
            <w:r>
              <w:rPr>
                <w:b/>
                <w:i/>
              </w:rPr>
              <w:t>Ioannis</w:t>
            </w:r>
            <w:proofErr w:type="spellEnd"/>
            <w:r>
              <w:rPr>
                <w:b/>
                <w:i/>
              </w:rPr>
              <w:t xml:space="preserve"> DIAMANTOPOULOS</w:t>
            </w:r>
          </w:p>
        </w:tc>
      </w:tr>
      <w:tr w:rsidRPr="00A6689B" w:rsidR="00857CCA" w:rsidTr="0083717A" w14:paraId="3F5775AF" w14:textId="77777777">
        <w:tc>
          <w:tcPr>
            <w:tcW w:w="1556" w:type="pct"/>
          </w:tcPr>
          <w:p w:rsidRPr="00A6689B" w:rsidR="00857CCA" w:rsidP="0083717A" w:rsidRDefault="00857CCA" w14:paraId="3CCAEDE0" w14:textId="77777777">
            <w:pPr>
              <w:spacing w:line="240" w:lineRule="auto"/>
              <w:rPr>
                <w:i/>
              </w:rPr>
            </w:pPr>
            <w:r>
              <w:rPr>
                <w:i/>
              </w:rPr>
              <w:t>P.</w:t>
            </w:r>
          </w:p>
        </w:tc>
        <w:tc>
          <w:tcPr>
            <w:tcW w:w="3444" w:type="pct"/>
          </w:tcPr>
          <w:p w:rsidRPr="00A6689B" w:rsidR="00857CCA" w:rsidP="0083717A" w:rsidRDefault="00857CCA" w14:paraId="50148C4E" w14:textId="77777777">
            <w:pPr>
              <w:spacing w:line="240" w:lineRule="auto"/>
              <w:rPr>
                <w:i/>
              </w:rPr>
            </w:pPr>
            <w:r>
              <w:rPr>
                <w:i/>
              </w:rPr>
              <w:t>+32 25469170</w:t>
            </w:r>
          </w:p>
        </w:tc>
      </w:tr>
      <w:tr w:rsidRPr="00A6689B" w:rsidR="00857CCA" w:rsidTr="0083717A" w14:paraId="58813C73" w14:textId="77777777">
        <w:tc>
          <w:tcPr>
            <w:tcW w:w="1556" w:type="pct"/>
          </w:tcPr>
          <w:p w:rsidRPr="00A6689B" w:rsidR="00857CCA" w:rsidP="0083717A" w:rsidRDefault="00857CCA" w14:paraId="194AA340" w14:textId="77777777">
            <w:pPr>
              <w:spacing w:line="240" w:lineRule="auto"/>
              <w:rPr>
                <w:i/>
              </w:rPr>
            </w:pPr>
            <w:r>
              <w:rPr>
                <w:i/>
              </w:rPr>
              <w:t>Sähköposti</w:t>
            </w:r>
          </w:p>
        </w:tc>
        <w:tc>
          <w:tcPr>
            <w:tcW w:w="3444" w:type="pct"/>
          </w:tcPr>
          <w:p w:rsidRPr="00A6689B" w:rsidR="00857CCA" w:rsidP="0083717A" w:rsidRDefault="00C63C8C" w14:paraId="5F659E92" w14:textId="77777777">
            <w:pPr>
              <w:spacing w:line="240" w:lineRule="auto"/>
              <w:rPr>
                <w:i/>
              </w:rPr>
            </w:pPr>
            <w:hyperlink w:history="1" r:id="rId58">
              <w:r w:rsidR="00857CCA">
                <w:rPr>
                  <w:rStyle w:val="Hyperlink"/>
                  <w:i/>
                </w:rPr>
                <w:t>Ioannis.Diamantopoulos@eesc.europa.eu</w:t>
              </w:r>
            </w:hyperlink>
          </w:p>
        </w:tc>
      </w:tr>
    </w:tbl>
    <w:p w:rsidRPr="001C59D9" w:rsidR="004135C1" w:rsidP="006D6D4E" w:rsidRDefault="004135C1" w14:paraId="6CFA8AD0" w14:textId="77777777">
      <w:pPr>
        <w:keepNext/>
        <w:keepLines/>
        <w:rPr>
          <w:lang w:val="en-GB"/>
        </w:rPr>
      </w:pPr>
    </w:p>
    <w:p w:rsidR="00395260" w:rsidP="006D6D4E" w:rsidRDefault="00395260" w14:paraId="3A6F59B7" w14:textId="77777777">
      <w:pPr>
        <w:keepNext/>
        <w:keepLines/>
      </w:pPr>
    </w:p>
    <w:p w:rsidR="000D394D" w:rsidP="006D6D4E" w:rsidRDefault="000127B6" w14:paraId="2E28EF19" w14:textId="0CD21960">
      <w:pPr>
        <w:spacing w:after="160" w:line="259" w:lineRule="auto"/>
        <w:jc w:val="center"/>
      </w:pPr>
      <w:r>
        <w:t>_____________</w:t>
      </w:r>
    </w:p>
    <w:sectPr w:rsidR="000D394D" w:rsidSect="00902A1F">
      <w:pgSz w:w="11907" w:h="1683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4C18" w14:textId="77777777" w:rsidR="00902A1F" w:rsidRPr="00902A1F" w:rsidRDefault="00902A1F" w:rsidP="00902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DBEE3B3" w:rsidR="00B518C9"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rsidR="00643D0B">
      <w:t>1</w:t>
    </w:r>
    <w:r>
      <w:fldChar w:fldCharType="end"/>
    </w:r>
    <w:r>
      <w:t>/</w:t>
    </w:r>
    <w:fldSimple w:instr=" NUMPAGES ">
      <w:r w:rsidR="00643D0B">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CA7" w14:textId="77777777" w:rsidR="00902A1F" w:rsidRPr="00902A1F" w:rsidRDefault="00902A1F" w:rsidP="00902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902A1F" w:rsidRDefault="00F32856" w:rsidP="00902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38E5B715" w:rsidR="00F32856"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t>2</w:t>
    </w:r>
    <w:r>
      <w:fldChar w:fldCharType="end"/>
    </w:r>
    <w:r>
      <w:t>/</w:t>
    </w:r>
    <w:fldSimple w:instr=" NUMPAGES ">
      <w:r>
        <w:t>27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902A1F" w:rsidRDefault="00F32856" w:rsidP="0090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857" w14:textId="77777777" w:rsidR="00902A1F" w:rsidRPr="00902A1F" w:rsidRDefault="00902A1F" w:rsidP="00902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716" w14:textId="01AC7515" w:rsidR="00902A1F" w:rsidRPr="00902A1F" w:rsidRDefault="00902A1F" w:rsidP="00902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6718" w14:textId="77777777" w:rsidR="00902A1F" w:rsidRPr="00902A1F" w:rsidRDefault="00902A1F" w:rsidP="00902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902A1F" w:rsidRDefault="00F32856" w:rsidP="00902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902A1F" w:rsidRDefault="00F32856" w:rsidP="00902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902A1F" w:rsidRDefault="00F32856" w:rsidP="0090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1"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6"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8"/>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7"/>
  </w:num>
  <w:num w:numId="8">
    <w:abstractNumId w:val="37"/>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2"/>
  </w:num>
  <w:num w:numId="12">
    <w:abstractNumId w:val="34"/>
  </w:num>
  <w:num w:numId="13">
    <w:abstractNumId w:val="21"/>
  </w:num>
  <w:num w:numId="14">
    <w:abstractNumId w:val="23"/>
  </w:num>
  <w:num w:numId="15">
    <w:abstractNumId w:val="24"/>
  </w:num>
  <w:num w:numId="16">
    <w:abstractNumId w:val="4"/>
  </w:num>
  <w:num w:numId="17">
    <w:abstractNumId w:val="40"/>
  </w:num>
  <w:num w:numId="18">
    <w:abstractNumId w:val="29"/>
  </w:num>
  <w:num w:numId="19">
    <w:abstractNumId w:val="27"/>
  </w:num>
  <w:num w:numId="20">
    <w:abstractNumId w:val="42"/>
  </w:num>
  <w:num w:numId="21">
    <w:abstractNumId w:val="5"/>
  </w:num>
  <w:num w:numId="22">
    <w:abstractNumId w:val="38"/>
  </w:num>
  <w:num w:numId="23">
    <w:abstractNumId w:val="19"/>
  </w:num>
  <w:num w:numId="24">
    <w:abstractNumId w:val="33"/>
  </w:num>
  <w:num w:numId="25">
    <w:abstractNumId w:val="35"/>
  </w:num>
  <w:num w:numId="26">
    <w:abstractNumId w:val="7"/>
  </w:num>
  <w:num w:numId="27">
    <w:abstractNumId w:val="31"/>
  </w:num>
  <w:num w:numId="28">
    <w:abstractNumId w:val="20"/>
  </w:num>
  <w:num w:numId="29">
    <w:abstractNumId w:val="41"/>
  </w:num>
  <w:num w:numId="30">
    <w:abstractNumId w:val="28"/>
  </w:num>
  <w:num w:numId="31">
    <w:abstractNumId w:val="2"/>
  </w:num>
  <w:num w:numId="32">
    <w:abstractNumId w:val="12"/>
  </w:num>
  <w:num w:numId="33">
    <w:abstractNumId w:val="6"/>
  </w:num>
  <w:num w:numId="34">
    <w:abstractNumId w:val="3"/>
  </w:num>
  <w:num w:numId="35">
    <w:abstractNumId w:val="32"/>
  </w:num>
  <w:num w:numId="36">
    <w:abstractNumId w:val="8"/>
  </w:num>
  <w:num w:numId="37">
    <w:abstractNumId w:val="16"/>
  </w:num>
  <w:num w:numId="38">
    <w:abstractNumId w:val="10"/>
  </w:num>
  <w:num w:numId="39">
    <w:abstractNumId w:val="25"/>
  </w:num>
  <w:num w:numId="40">
    <w:abstractNumId w:val="30"/>
  </w:num>
  <w:num w:numId="41">
    <w:abstractNumId w:val="9"/>
  </w:num>
  <w:num w:numId="42">
    <w:abstractNumId w:val="36"/>
  </w:num>
  <w:num w:numId="43">
    <w:abstractNumId w:val="39"/>
  </w:num>
  <w:num w:numId="44">
    <w:abstractNumId w:val="14"/>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6DA"/>
    <w:rsid w:val="00006302"/>
    <w:rsid w:val="00010755"/>
    <w:rsid w:val="00010A4D"/>
    <w:rsid w:val="000127B6"/>
    <w:rsid w:val="00013507"/>
    <w:rsid w:val="000139C0"/>
    <w:rsid w:val="0002198C"/>
    <w:rsid w:val="000311D9"/>
    <w:rsid w:val="0005550D"/>
    <w:rsid w:val="00060058"/>
    <w:rsid w:val="00061C9F"/>
    <w:rsid w:val="00063699"/>
    <w:rsid w:val="00063DFF"/>
    <w:rsid w:val="00064723"/>
    <w:rsid w:val="00065A12"/>
    <w:rsid w:val="00072A85"/>
    <w:rsid w:val="00074738"/>
    <w:rsid w:val="00075DDE"/>
    <w:rsid w:val="00076FEA"/>
    <w:rsid w:val="000835E1"/>
    <w:rsid w:val="000842A7"/>
    <w:rsid w:val="00093D60"/>
    <w:rsid w:val="00097638"/>
    <w:rsid w:val="000C3C0E"/>
    <w:rsid w:val="000C4EA7"/>
    <w:rsid w:val="000C5A8B"/>
    <w:rsid w:val="000C68EA"/>
    <w:rsid w:val="000D394D"/>
    <w:rsid w:val="000D430F"/>
    <w:rsid w:val="000D634C"/>
    <w:rsid w:val="000D71EF"/>
    <w:rsid w:val="000E1E59"/>
    <w:rsid w:val="000F0F74"/>
    <w:rsid w:val="00105088"/>
    <w:rsid w:val="00114003"/>
    <w:rsid w:val="00132926"/>
    <w:rsid w:val="00133070"/>
    <w:rsid w:val="00147198"/>
    <w:rsid w:val="00151032"/>
    <w:rsid w:val="00154A7F"/>
    <w:rsid w:val="0017133A"/>
    <w:rsid w:val="00194A00"/>
    <w:rsid w:val="001A2F56"/>
    <w:rsid w:val="001A6359"/>
    <w:rsid w:val="001B1F1D"/>
    <w:rsid w:val="001B2FD0"/>
    <w:rsid w:val="001C322E"/>
    <w:rsid w:val="001C59D9"/>
    <w:rsid w:val="001D054F"/>
    <w:rsid w:val="001D7E3C"/>
    <w:rsid w:val="001E391D"/>
    <w:rsid w:val="001E72CD"/>
    <w:rsid w:val="0020051E"/>
    <w:rsid w:val="00206313"/>
    <w:rsid w:val="0021254C"/>
    <w:rsid w:val="00216C2C"/>
    <w:rsid w:val="00235EB1"/>
    <w:rsid w:val="00236879"/>
    <w:rsid w:val="0023768A"/>
    <w:rsid w:val="002428CF"/>
    <w:rsid w:val="00244BDD"/>
    <w:rsid w:val="002608BA"/>
    <w:rsid w:val="002673F7"/>
    <w:rsid w:val="00270BD5"/>
    <w:rsid w:val="002A13FC"/>
    <w:rsid w:val="002A5636"/>
    <w:rsid w:val="002A60CB"/>
    <w:rsid w:val="002B1BC5"/>
    <w:rsid w:val="002B7981"/>
    <w:rsid w:val="002D1891"/>
    <w:rsid w:val="002D6198"/>
    <w:rsid w:val="002E4460"/>
    <w:rsid w:val="00301F08"/>
    <w:rsid w:val="003066BE"/>
    <w:rsid w:val="00310D3C"/>
    <w:rsid w:val="0031123C"/>
    <w:rsid w:val="003227CC"/>
    <w:rsid w:val="0032562B"/>
    <w:rsid w:val="00327E1C"/>
    <w:rsid w:val="00330CFA"/>
    <w:rsid w:val="003321DA"/>
    <w:rsid w:val="003331D9"/>
    <w:rsid w:val="003337BA"/>
    <w:rsid w:val="00394CC6"/>
    <w:rsid w:val="00395260"/>
    <w:rsid w:val="00395E32"/>
    <w:rsid w:val="003A3FDA"/>
    <w:rsid w:val="003A474F"/>
    <w:rsid w:val="003A64A6"/>
    <w:rsid w:val="003C24AB"/>
    <w:rsid w:val="003E3CA2"/>
    <w:rsid w:val="003E4C29"/>
    <w:rsid w:val="003E5661"/>
    <w:rsid w:val="003F326D"/>
    <w:rsid w:val="003F79EF"/>
    <w:rsid w:val="00412085"/>
    <w:rsid w:val="00412706"/>
    <w:rsid w:val="004135C1"/>
    <w:rsid w:val="004175C7"/>
    <w:rsid w:val="00417BAC"/>
    <w:rsid w:val="00424943"/>
    <w:rsid w:val="0043191A"/>
    <w:rsid w:val="0043506D"/>
    <w:rsid w:val="00450AE6"/>
    <w:rsid w:val="004521E2"/>
    <w:rsid w:val="0045501A"/>
    <w:rsid w:val="004616D9"/>
    <w:rsid w:val="00471C02"/>
    <w:rsid w:val="00482C25"/>
    <w:rsid w:val="00482F6A"/>
    <w:rsid w:val="00483A96"/>
    <w:rsid w:val="0049314C"/>
    <w:rsid w:val="00495789"/>
    <w:rsid w:val="0049668C"/>
    <w:rsid w:val="004A4E1A"/>
    <w:rsid w:val="004A5CD7"/>
    <w:rsid w:val="004B5D3D"/>
    <w:rsid w:val="004D5FA1"/>
    <w:rsid w:val="004D6AA3"/>
    <w:rsid w:val="004D7AC0"/>
    <w:rsid w:val="004E0D13"/>
    <w:rsid w:val="004E1104"/>
    <w:rsid w:val="004E557A"/>
    <w:rsid w:val="004E6555"/>
    <w:rsid w:val="004E70AF"/>
    <w:rsid w:val="004F208D"/>
    <w:rsid w:val="004F3D44"/>
    <w:rsid w:val="004F7498"/>
    <w:rsid w:val="00507085"/>
    <w:rsid w:val="00511DE3"/>
    <w:rsid w:val="00512F32"/>
    <w:rsid w:val="0052039C"/>
    <w:rsid w:val="00524472"/>
    <w:rsid w:val="005307E7"/>
    <w:rsid w:val="00532089"/>
    <w:rsid w:val="00533F3C"/>
    <w:rsid w:val="0054576E"/>
    <w:rsid w:val="00557589"/>
    <w:rsid w:val="0056095E"/>
    <w:rsid w:val="0056252F"/>
    <w:rsid w:val="00570340"/>
    <w:rsid w:val="005714B9"/>
    <w:rsid w:val="00577504"/>
    <w:rsid w:val="00584A92"/>
    <w:rsid w:val="00586B4B"/>
    <w:rsid w:val="0059010B"/>
    <w:rsid w:val="005A0BDA"/>
    <w:rsid w:val="005A452F"/>
    <w:rsid w:val="005B5380"/>
    <w:rsid w:val="005C5604"/>
    <w:rsid w:val="005D181D"/>
    <w:rsid w:val="005D19B4"/>
    <w:rsid w:val="005D220F"/>
    <w:rsid w:val="005D4DC8"/>
    <w:rsid w:val="005E67E2"/>
    <w:rsid w:val="005E7651"/>
    <w:rsid w:val="005F0629"/>
    <w:rsid w:val="005F115E"/>
    <w:rsid w:val="006122B1"/>
    <w:rsid w:val="0061752E"/>
    <w:rsid w:val="006177F1"/>
    <w:rsid w:val="00621F79"/>
    <w:rsid w:val="006249B6"/>
    <w:rsid w:val="00625CA3"/>
    <w:rsid w:val="00641262"/>
    <w:rsid w:val="00643D0B"/>
    <w:rsid w:val="006535D9"/>
    <w:rsid w:val="006766F1"/>
    <w:rsid w:val="00691580"/>
    <w:rsid w:val="00692DF0"/>
    <w:rsid w:val="00697BE1"/>
    <w:rsid w:val="006A1AC2"/>
    <w:rsid w:val="006A6A0C"/>
    <w:rsid w:val="006C1C6C"/>
    <w:rsid w:val="006D2C8A"/>
    <w:rsid w:val="006D2D64"/>
    <w:rsid w:val="006D6D4E"/>
    <w:rsid w:val="006F1DF9"/>
    <w:rsid w:val="006F2520"/>
    <w:rsid w:val="006F41A3"/>
    <w:rsid w:val="006F6754"/>
    <w:rsid w:val="00700711"/>
    <w:rsid w:val="00707D39"/>
    <w:rsid w:val="00712A38"/>
    <w:rsid w:val="007216F7"/>
    <w:rsid w:val="007224BE"/>
    <w:rsid w:val="00723B3A"/>
    <w:rsid w:val="00737271"/>
    <w:rsid w:val="00750D3B"/>
    <w:rsid w:val="00753C49"/>
    <w:rsid w:val="00754027"/>
    <w:rsid w:val="00755E22"/>
    <w:rsid w:val="00756838"/>
    <w:rsid w:val="00757670"/>
    <w:rsid w:val="00761851"/>
    <w:rsid w:val="00766B1A"/>
    <w:rsid w:val="00773F07"/>
    <w:rsid w:val="007810B5"/>
    <w:rsid w:val="007833CB"/>
    <w:rsid w:val="00787947"/>
    <w:rsid w:val="007912B3"/>
    <w:rsid w:val="00797C34"/>
    <w:rsid w:val="007A127F"/>
    <w:rsid w:val="007B157B"/>
    <w:rsid w:val="007B5ACA"/>
    <w:rsid w:val="007B7E12"/>
    <w:rsid w:val="007C7DDB"/>
    <w:rsid w:val="007D350D"/>
    <w:rsid w:val="007D7907"/>
    <w:rsid w:val="007E3BCB"/>
    <w:rsid w:val="007F5784"/>
    <w:rsid w:val="0080707C"/>
    <w:rsid w:val="00807CED"/>
    <w:rsid w:val="00826962"/>
    <w:rsid w:val="00831D96"/>
    <w:rsid w:val="00845F24"/>
    <w:rsid w:val="008470F5"/>
    <w:rsid w:val="00852A88"/>
    <w:rsid w:val="00857CCA"/>
    <w:rsid w:val="00863A8F"/>
    <w:rsid w:val="0087129B"/>
    <w:rsid w:val="00876B38"/>
    <w:rsid w:val="0088219D"/>
    <w:rsid w:val="00885409"/>
    <w:rsid w:val="00885FBB"/>
    <w:rsid w:val="008943DA"/>
    <w:rsid w:val="00896D61"/>
    <w:rsid w:val="008A6620"/>
    <w:rsid w:val="008C47BA"/>
    <w:rsid w:val="008C4F61"/>
    <w:rsid w:val="008D2193"/>
    <w:rsid w:val="008D5222"/>
    <w:rsid w:val="008E08F5"/>
    <w:rsid w:val="008E52D1"/>
    <w:rsid w:val="008F3650"/>
    <w:rsid w:val="008F6F62"/>
    <w:rsid w:val="008F781E"/>
    <w:rsid w:val="00902A1F"/>
    <w:rsid w:val="0091249B"/>
    <w:rsid w:val="009266F3"/>
    <w:rsid w:val="009416E3"/>
    <w:rsid w:val="00957436"/>
    <w:rsid w:val="00983331"/>
    <w:rsid w:val="00990E94"/>
    <w:rsid w:val="00994DD3"/>
    <w:rsid w:val="009B5279"/>
    <w:rsid w:val="009C0019"/>
    <w:rsid w:val="009C4B7B"/>
    <w:rsid w:val="009C5B03"/>
    <w:rsid w:val="009D2979"/>
    <w:rsid w:val="009D29DE"/>
    <w:rsid w:val="009D2D5C"/>
    <w:rsid w:val="009E3EE2"/>
    <w:rsid w:val="009F2B41"/>
    <w:rsid w:val="009F3A36"/>
    <w:rsid w:val="009F46E9"/>
    <w:rsid w:val="00A1413A"/>
    <w:rsid w:val="00A1632C"/>
    <w:rsid w:val="00A176AE"/>
    <w:rsid w:val="00A20E9D"/>
    <w:rsid w:val="00A23005"/>
    <w:rsid w:val="00A2635B"/>
    <w:rsid w:val="00A272B2"/>
    <w:rsid w:val="00A4094C"/>
    <w:rsid w:val="00A50553"/>
    <w:rsid w:val="00A53F9B"/>
    <w:rsid w:val="00A67887"/>
    <w:rsid w:val="00A7132A"/>
    <w:rsid w:val="00A76426"/>
    <w:rsid w:val="00A805AA"/>
    <w:rsid w:val="00AA430D"/>
    <w:rsid w:val="00AA65DC"/>
    <w:rsid w:val="00AB6CDB"/>
    <w:rsid w:val="00AC23D4"/>
    <w:rsid w:val="00AC6B0D"/>
    <w:rsid w:val="00AC7312"/>
    <w:rsid w:val="00AD3077"/>
    <w:rsid w:val="00AD320D"/>
    <w:rsid w:val="00AE4901"/>
    <w:rsid w:val="00AE4F3D"/>
    <w:rsid w:val="00AE5CF6"/>
    <w:rsid w:val="00AF2F0E"/>
    <w:rsid w:val="00B05F7D"/>
    <w:rsid w:val="00B2002E"/>
    <w:rsid w:val="00B203DA"/>
    <w:rsid w:val="00B2333B"/>
    <w:rsid w:val="00B34664"/>
    <w:rsid w:val="00B42E98"/>
    <w:rsid w:val="00B46B45"/>
    <w:rsid w:val="00B518C9"/>
    <w:rsid w:val="00B520E8"/>
    <w:rsid w:val="00B52CE3"/>
    <w:rsid w:val="00B61E90"/>
    <w:rsid w:val="00B6344B"/>
    <w:rsid w:val="00B70A01"/>
    <w:rsid w:val="00B75F7C"/>
    <w:rsid w:val="00B82684"/>
    <w:rsid w:val="00B827D8"/>
    <w:rsid w:val="00B82ADF"/>
    <w:rsid w:val="00B96875"/>
    <w:rsid w:val="00BA5B45"/>
    <w:rsid w:val="00BB1C2C"/>
    <w:rsid w:val="00BB600D"/>
    <w:rsid w:val="00BC21DF"/>
    <w:rsid w:val="00BC6104"/>
    <w:rsid w:val="00BC79F5"/>
    <w:rsid w:val="00BC7CE9"/>
    <w:rsid w:val="00BE0522"/>
    <w:rsid w:val="00BE0672"/>
    <w:rsid w:val="00BE4A01"/>
    <w:rsid w:val="00BE54B3"/>
    <w:rsid w:val="00C008B4"/>
    <w:rsid w:val="00C12517"/>
    <w:rsid w:val="00C178AD"/>
    <w:rsid w:val="00C17ABD"/>
    <w:rsid w:val="00C20274"/>
    <w:rsid w:val="00C24EDC"/>
    <w:rsid w:val="00C255D3"/>
    <w:rsid w:val="00C26C67"/>
    <w:rsid w:val="00C30DF7"/>
    <w:rsid w:val="00C34B13"/>
    <w:rsid w:val="00C45BCC"/>
    <w:rsid w:val="00C5333E"/>
    <w:rsid w:val="00C63C8C"/>
    <w:rsid w:val="00C643BA"/>
    <w:rsid w:val="00C70B4C"/>
    <w:rsid w:val="00C72301"/>
    <w:rsid w:val="00C77948"/>
    <w:rsid w:val="00C821A5"/>
    <w:rsid w:val="00C8618E"/>
    <w:rsid w:val="00CA021F"/>
    <w:rsid w:val="00CB3320"/>
    <w:rsid w:val="00CB57CE"/>
    <w:rsid w:val="00CE31B7"/>
    <w:rsid w:val="00CE749A"/>
    <w:rsid w:val="00CF7F32"/>
    <w:rsid w:val="00D0533C"/>
    <w:rsid w:val="00D10240"/>
    <w:rsid w:val="00D14F30"/>
    <w:rsid w:val="00D16683"/>
    <w:rsid w:val="00D341C1"/>
    <w:rsid w:val="00D34924"/>
    <w:rsid w:val="00D43613"/>
    <w:rsid w:val="00D50E90"/>
    <w:rsid w:val="00D6623C"/>
    <w:rsid w:val="00D7076A"/>
    <w:rsid w:val="00D73678"/>
    <w:rsid w:val="00D75E64"/>
    <w:rsid w:val="00D81F5E"/>
    <w:rsid w:val="00D92269"/>
    <w:rsid w:val="00DA5185"/>
    <w:rsid w:val="00DC1286"/>
    <w:rsid w:val="00DD1395"/>
    <w:rsid w:val="00DD2B4D"/>
    <w:rsid w:val="00DD77BE"/>
    <w:rsid w:val="00DE176A"/>
    <w:rsid w:val="00DE2877"/>
    <w:rsid w:val="00DE423D"/>
    <w:rsid w:val="00E00A6B"/>
    <w:rsid w:val="00E07297"/>
    <w:rsid w:val="00E13A99"/>
    <w:rsid w:val="00E24154"/>
    <w:rsid w:val="00E3232E"/>
    <w:rsid w:val="00E35FDD"/>
    <w:rsid w:val="00E40D64"/>
    <w:rsid w:val="00E47D6F"/>
    <w:rsid w:val="00E544AD"/>
    <w:rsid w:val="00E57317"/>
    <w:rsid w:val="00E671C0"/>
    <w:rsid w:val="00E73443"/>
    <w:rsid w:val="00E77899"/>
    <w:rsid w:val="00E77F43"/>
    <w:rsid w:val="00E85982"/>
    <w:rsid w:val="00E85F55"/>
    <w:rsid w:val="00E937A4"/>
    <w:rsid w:val="00E96EED"/>
    <w:rsid w:val="00EA16F5"/>
    <w:rsid w:val="00EB57BC"/>
    <w:rsid w:val="00EB5CCE"/>
    <w:rsid w:val="00ED3DF6"/>
    <w:rsid w:val="00ED4A7A"/>
    <w:rsid w:val="00ED623E"/>
    <w:rsid w:val="00EE1A93"/>
    <w:rsid w:val="00EE455D"/>
    <w:rsid w:val="00EF03A6"/>
    <w:rsid w:val="00EF069D"/>
    <w:rsid w:val="00EF5616"/>
    <w:rsid w:val="00EF5696"/>
    <w:rsid w:val="00F03EB0"/>
    <w:rsid w:val="00F05466"/>
    <w:rsid w:val="00F32856"/>
    <w:rsid w:val="00F34F7E"/>
    <w:rsid w:val="00F35182"/>
    <w:rsid w:val="00F365AE"/>
    <w:rsid w:val="00F36C6E"/>
    <w:rsid w:val="00F46322"/>
    <w:rsid w:val="00F50E3E"/>
    <w:rsid w:val="00F52D24"/>
    <w:rsid w:val="00F6465A"/>
    <w:rsid w:val="00F745EE"/>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F32856"/>
    <w:pPr>
      <w:numPr>
        <w:numId w:val="1"/>
      </w:numPr>
      <w:ind w:left="567" w:hanging="567"/>
      <w:outlineLvl w:val="0"/>
    </w:pPr>
    <w:rPr>
      <w:kern w:val="28"/>
    </w:rPr>
  </w:style>
  <w:style w:type="paragraph" w:styleId="Heading2">
    <w:name w:val="heading 2"/>
    <w:basedOn w:val="Normal"/>
    <w:next w:val="Normal"/>
    <w:link w:val="Heading2Char"/>
    <w:uiPriority w:val="9"/>
    <w:qFormat/>
    <w:rsid w:val="00F32856"/>
    <w:pPr>
      <w:numPr>
        <w:ilvl w:val="1"/>
        <w:numId w:val="1"/>
      </w:numPr>
      <w:ind w:left="567" w:hanging="567"/>
      <w:outlineLvl w:val="1"/>
    </w:pPr>
  </w:style>
  <w:style w:type="paragraph" w:styleId="Heading3">
    <w:name w:val="heading 3"/>
    <w:basedOn w:val="Normal"/>
    <w:next w:val="Normal"/>
    <w:link w:val="Heading3Char"/>
    <w:uiPriority w:val="9"/>
    <w:qFormat/>
    <w:rsid w:val="00F32856"/>
    <w:pPr>
      <w:numPr>
        <w:ilvl w:val="2"/>
        <w:numId w:val="1"/>
      </w:numPr>
      <w:ind w:left="567" w:hanging="567"/>
      <w:outlineLvl w:val="2"/>
    </w:pPr>
  </w:style>
  <w:style w:type="paragraph" w:styleId="Heading4">
    <w:name w:val="heading 4"/>
    <w:basedOn w:val="Normal"/>
    <w:next w:val="Normal"/>
    <w:link w:val="Heading4Char"/>
    <w:uiPriority w:val="9"/>
    <w:qFormat/>
    <w:rsid w:val="00F32856"/>
    <w:pPr>
      <w:numPr>
        <w:ilvl w:val="3"/>
        <w:numId w:val="1"/>
      </w:numPr>
      <w:ind w:left="567" w:hanging="567"/>
      <w:outlineLvl w:val="3"/>
    </w:pPr>
  </w:style>
  <w:style w:type="paragraph" w:styleId="Heading5">
    <w:name w:val="heading 5"/>
    <w:basedOn w:val="Normal"/>
    <w:next w:val="Normal"/>
    <w:link w:val="Heading5Char"/>
    <w:uiPriority w:val="9"/>
    <w:qFormat/>
    <w:rsid w:val="00F32856"/>
    <w:pPr>
      <w:numPr>
        <w:ilvl w:val="4"/>
        <w:numId w:val="1"/>
      </w:numPr>
      <w:ind w:left="567" w:hanging="567"/>
      <w:outlineLvl w:val="4"/>
    </w:pPr>
  </w:style>
  <w:style w:type="paragraph" w:styleId="Heading6">
    <w:name w:val="heading 6"/>
    <w:basedOn w:val="Normal"/>
    <w:next w:val="Normal"/>
    <w:link w:val="Heading6Char"/>
    <w:uiPriority w:val="9"/>
    <w:qFormat/>
    <w:rsid w:val="00F32856"/>
    <w:pPr>
      <w:numPr>
        <w:ilvl w:val="5"/>
        <w:numId w:val="1"/>
      </w:numPr>
      <w:ind w:left="567" w:hanging="567"/>
      <w:outlineLvl w:val="5"/>
    </w:pPr>
  </w:style>
  <w:style w:type="paragraph" w:styleId="Heading7">
    <w:name w:val="heading 7"/>
    <w:basedOn w:val="Normal"/>
    <w:next w:val="Normal"/>
    <w:link w:val="Heading7Char"/>
    <w:uiPriority w:val="9"/>
    <w:qFormat/>
    <w:rsid w:val="00F32856"/>
    <w:pPr>
      <w:numPr>
        <w:ilvl w:val="6"/>
        <w:numId w:val="1"/>
      </w:numPr>
      <w:ind w:left="567" w:hanging="567"/>
      <w:outlineLvl w:val="6"/>
    </w:pPr>
  </w:style>
  <w:style w:type="paragraph" w:styleId="Heading8">
    <w:name w:val="heading 8"/>
    <w:basedOn w:val="Normal"/>
    <w:next w:val="Normal"/>
    <w:link w:val="Heading8Char"/>
    <w:uiPriority w:val="9"/>
    <w:qFormat/>
    <w:rsid w:val="00F32856"/>
    <w:pPr>
      <w:numPr>
        <w:ilvl w:val="7"/>
        <w:numId w:val="1"/>
      </w:numPr>
      <w:ind w:left="567" w:hanging="567"/>
      <w:outlineLvl w:val="7"/>
    </w:pPr>
  </w:style>
  <w:style w:type="paragraph" w:styleId="Heading9">
    <w:name w:val="heading 9"/>
    <w:basedOn w:val="Normal"/>
    <w:next w:val="Normal"/>
    <w:link w:val="Heading9Char"/>
    <w:uiPriority w:val="9"/>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 w:type="table" w:customStyle="1" w:styleId="TableGrid1">
    <w:name w:val="Table Grid1"/>
    <w:basedOn w:val="TableNormal"/>
    <w:next w:val="TableGrid"/>
    <w:rsid w:val="00E85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table" w:customStyle="1" w:styleId="TableGrid2">
    <w:name w:val="Table Grid2"/>
    <w:basedOn w:val="TableNormal"/>
    <w:next w:val="TableGrid"/>
    <w:rsid w:val="009C5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B5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36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7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73F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63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A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95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6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9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12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95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C59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82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B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50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07473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hyperlink" Target="https://www.eesc.europa.eu/fi/our-work/opinions-information-reports/opinions/social-housing-eu-decent-sustainable-and-affordable" TargetMode="External"/><Relationship Id="rId21" Type="http://schemas.openxmlformats.org/officeDocument/2006/relationships/hyperlink" Target="mailto:Anna.Hakami@eesc.europa.eu" TargetMode="External"/><Relationship Id="rId34" Type="http://schemas.openxmlformats.org/officeDocument/2006/relationships/hyperlink" Target="mailto:Georgios.Meleas@eesc.europa.eu" TargetMode="External"/><Relationship Id="rId42" Type="http://schemas.openxmlformats.org/officeDocument/2006/relationships/hyperlink" Target="mailto:annalisa.tessarolo@eesc.europa.eu" TargetMode="External"/><Relationship Id="rId47" Type="http://schemas.openxmlformats.org/officeDocument/2006/relationships/hyperlink" Target="https://www.eesc.europa.eu/fi/our-work/opinions-information-reports/opinions/amendment-eafrd-provide-additional-assistance-member-states-affected-natural-disasters" TargetMode="External"/><Relationship Id="rId50" Type="http://schemas.openxmlformats.org/officeDocument/2006/relationships/hyperlink" Target="mailto:Nicolas.Stenger@eesc.europa.eu" TargetMode="External"/><Relationship Id="rId55" Type="http://schemas.openxmlformats.org/officeDocument/2006/relationships/hyperlink" Target="https://www.eesc.europa.eu/fi/our-work/opinions-information-reports/opinions/sector-specific-industrial-policies-supporting-greater-strategic-autonomy" TargetMode="External"/><Relationship Id="rId63"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eader" Target="header6.xm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Sergio.LorencioMatallana@eesc.europa.eu" TargetMode="External"/><Relationship Id="rId37" Type="http://schemas.openxmlformats.org/officeDocument/2006/relationships/hyperlink" Target="https://www.eesc.europa.eu/fi/our-work/opinions-information-reports/opinions/labour-and-skills-shortages-transport-energy-infrastructure-and-digital-sector" TargetMode="External"/><Relationship Id="rId40" Type="http://schemas.openxmlformats.org/officeDocument/2006/relationships/hyperlink" Target="mailto:Agota.Bazsik@eesc.europa.eu" TargetMode="External"/><Relationship Id="rId45" Type="http://schemas.openxmlformats.org/officeDocument/2006/relationships/hyperlink" Target="https://www.eesc.europa.eu/fi/our-work/opinions-information-reports/opinions/amendment-forest-reproductive-material-tested-category-its-labelling-and-names-authorities-responsible-approval-and" TargetMode="External"/><Relationship Id="rId53" Type="http://schemas.openxmlformats.org/officeDocument/2006/relationships/hyperlink" Target="mailto:Tzonka.Iotzova@eesc.europa.eu" TargetMode="External"/><Relationship Id="rId58" Type="http://schemas.openxmlformats.org/officeDocument/2006/relationships/hyperlink" Target="mailto:Ioannis.Diamantopoulos@eesc.europa.eu" TargetMode="External"/><Relationship Id="rId5" Type="http://schemas.openxmlformats.org/officeDocument/2006/relationships/numbering" Target="numbering.xml"/><Relationship Id="rId61" Type="http://schemas.openxmlformats.org/officeDocument/2006/relationships/customXml" Target="../customXml/item1.xml"/><Relationship Id="rId19"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https://www.eesc.europa.eu/fi/our-work/opinions-information-reports/opinions/factual-and-legislative-analysis-migration-flows-integration-eu-labour-market" TargetMode="External"/><Relationship Id="rId43" Type="http://schemas.openxmlformats.org/officeDocument/2006/relationships/hyperlink" Target="https://www.eesc.europa.eu/en/our-work/opinions-information-reports/opinions/cost-non-schengen-single-market-impact-bulgaria-and-romania" TargetMode="External"/><Relationship Id="rId48" Type="http://schemas.openxmlformats.org/officeDocument/2006/relationships/hyperlink" Target="mailto:Nicolas.Stenger@eesc.europa.eu" TargetMode="External"/><Relationship Id="rId56" Type="http://schemas.openxmlformats.org/officeDocument/2006/relationships/hyperlink" Target="https://www.eesc.europa.eu/fi/our-work/opinions-information-reports/opinions/sector-specific-industrial-policies-supporting-greater-strategic-autonomy" TargetMode="External"/><Relationship Id="rId64"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hyperlink" Target="https://www.eesc.europa.eu/fi/our-work/opinions-information-reports/opinions/decision-interpretation-and-application-energy-charter-treaty" TargetMode="Externa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yperlink" Target="https://www.eesc.europa.eu/fi/our-work/opinions-information-reports/opinions/revision-territorial-agenda-2030-towards-more-integrated-and-civic-approach-stronger-links-cohesion-policy" TargetMode="External"/><Relationship Id="rId38" Type="http://schemas.openxmlformats.org/officeDocument/2006/relationships/hyperlink" Target="mailto:Francesco.Napolitano@eesc.europa.eu" TargetMode="External"/><Relationship Id="rId46" Type="http://schemas.openxmlformats.org/officeDocument/2006/relationships/hyperlink" Target="mailto:Nicolas.Stenger@eesc.europa.eu" TargetMode="External"/><Relationship Id="rId59" Type="http://schemas.openxmlformats.org/officeDocument/2006/relationships/fontTable" Target="fontTable.xml"/><Relationship Id="rId20" Type="http://schemas.openxmlformats.org/officeDocument/2006/relationships/hyperlink" Target="https://www.eesc.europa.eu/fi/documents/resolution/european-economic-and-social-committee-contribution-2025-european-commission-work-programme" TargetMode="External"/><Relationship Id="rId41" Type="http://schemas.openxmlformats.org/officeDocument/2006/relationships/hyperlink" Target="https://www.eesc.europa.eu/fi/our-work/opinions-information-reports/opinions/potential-challenges-european-single-market-arising-future-enlargement-union" TargetMode="External"/><Relationship Id="rId54" Type="http://schemas.openxmlformats.org/officeDocument/2006/relationships/hyperlink" Target="mailto:Charlotte.Rive@eesc.europa.eu" TargetMode="External"/><Relationship Id="rId62" Type="http://schemas.openxmlformats.org/officeDocument/2006/relationships/customXml" Target="../customXml/item2.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fi/our-work/opinions-information-reports/opinions/regional-emergency-support-restore" TargetMode="External"/><Relationship Id="rId28" Type="http://schemas.openxmlformats.org/officeDocument/2006/relationships/footer" Target="footer5.xml"/><Relationship Id="rId36" Type="http://schemas.openxmlformats.org/officeDocument/2006/relationships/hyperlink" Target="mailto:Gemma.Amran@eesc.europa.eu" TargetMode="External"/><Relationship Id="rId49" Type="http://schemas.openxmlformats.org/officeDocument/2006/relationships/hyperlink" Target="https://www.eesc.europa.eu/fi/our-work/opinions-information-reports/opinions/towards-just-transition-legislative-proposal-and-eu-policy-tools-enable-more-social-european-green-deal" TargetMode="External"/><Relationship Id="rId57" Type="http://schemas.openxmlformats.org/officeDocument/2006/relationships/hyperlink" Target="https://www.eesc.europa.eu/fi/our-work/opinions-information-reports/opinions/professional-services-green-transition" TargetMode="External"/><Relationship Id="rId10" Type="http://schemas.openxmlformats.org/officeDocument/2006/relationships/endnotes" Target="endnotes.xml"/><Relationship Id="rId31" Type="http://schemas.openxmlformats.org/officeDocument/2006/relationships/hyperlink" Target="https://www.eesc.europa.eu/fi/our-work/opinions-information-reports/opinions/review-legal-framework-securitisation-eu" TargetMode="External"/><Relationship Id="rId44" Type="http://schemas.openxmlformats.org/officeDocument/2006/relationships/hyperlink" Target="mailto:Annalisa.Tessarolo@eesc.europa.eu" TargetMode="External"/><Relationship Id="rId52" Type="http://schemas.openxmlformats.org/officeDocument/2006/relationships/hyperlink" Target="mailto:Marco.Ristori@eesc.europa.eu"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F7M6YNZUATRX-1659962339-2838</_dlc_DocId>
    <_dlc_DocIdUrl xmlns="59ace41b-6786-4ce3-be71-52c27066c6ef">
      <Url>http://dm/eesc/2024/_layouts/15/DocIdRedir.aspx?ID=F7M6YNZUATRX-1659962339-2838</Url>
      <Description>F7M6YNZUATRX-1659962339-2838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2024-12-16T12:00:00+00:00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Paakkulainen Anna</DisplayName>
        <AccountId>1541</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300F5-6D55-4253-9C8F-DD65A7F8EF4F}"/>
</file>

<file path=customXml/itemProps2.xml><?xml version="1.0" encoding="utf-8"?>
<ds:datastoreItem xmlns:ds="http://schemas.openxmlformats.org/officeDocument/2006/customXml" ds:itemID="{468DDD55-4167-4109-BB6D-E839E8510ECF}"/>
</file>

<file path=customXml/itemProps3.xml><?xml version="1.0" encoding="utf-8"?>
<ds:datastoreItem xmlns:ds="http://schemas.openxmlformats.org/officeDocument/2006/customXml" ds:itemID="{E3F92D50-29F8-49A8-8F3F-CD38E3CEE6E0}"/>
</file>

<file path=customXml/itemProps4.xml><?xml version="1.0" encoding="utf-8"?>
<ds:datastoreItem xmlns:ds="http://schemas.openxmlformats.org/officeDocument/2006/customXml" ds:itemID="{2C37EF75-A2D2-4800-8AAC-9250524D0157}"/>
</file>

<file path=docProps/app.xml><?xml version="1.0" encoding="utf-8"?>
<Properties xmlns="http://schemas.openxmlformats.org/officeDocument/2006/extended-properties" xmlns:vt="http://schemas.openxmlformats.org/officeDocument/2006/docPropsVTypes">
  <Template>Normal.dotm</Template>
  <TotalTime>0</TotalTime>
  <Pages>32</Pages>
  <Words>8028</Words>
  <Characters>45764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53685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Yhteenveto annetuista lausunnoista - 592. täysistunto -  joulukuu 2024</dc:title>
  <dc:subject>TCD</dc:subject>
  <dc:creator>Nieddu Emma</dc:creator>
  <cp:keywords>EESC-2024-04018-00-00-TCD-TRA-EN</cp:keywords>
  <dc:description>Rapporteur:  - Original language: EN - Date of document: 16/12/2024 - Date of meeting: 30/22/2025 14:30 - External documents:  - Administrator: MME TAMASAUSKIENE Julija</dc:description>
  <cp:lastModifiedBy>Paakkulainen Anna</cp:lastModifiedBy>
  <cp:revision>12</cp:revision>
  <dcterms:created xsi:type="dcterms:W3CDTF">2024-12-12T14:00:00Z</dcterms:created>
  <dcterms:modified xsi:type="dcterms:W3CDTF">2024-12-16T10:53:00Z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79ae45c8-df64-4be4-b17b-92746057c1bb</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IT|0774613c-01ed-4e5d-a25d-11d2388de825;DA|5d49c027-8956-412b-aa16-e85a0f96ad0e;LT|a7ff5ce7-6123-4f68-865a-a57c31810414;FR|d2afafd3-4c81-4f60-8f52-ee33f2f54ff3;RO|feb747a2-64cd-4299-af12-4833ddc30497;DE|f6b31e5a-26fa-4935-b661-318e46daf27e;PL|1e03da61-4678-4e07-b136-b5024ca9197b;LV|46f7e311-5d9f-4663-b433-18aeccb7ace7;SV|c2ed69e7-a339-43d7-8f22-d93680a92aa0;ES|e7a6b05b-ae16-40c8-add9-68b64b03aeba;EN|f2175f21-25d7-44a3-96da-d6a61b075e1b;SL|98a412ae-eb01-49e9-ae3d-585a81724cfc;PT|50ccc04a-eadd-42ae-a0cb-acaf45f812ba;HU|6b229040-c589-4408-b4c1-4285663d20a8</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34;#LT|a7ff5ce7-6123-4f68-865a-a57c31810414;#32;#HU|6b229040-c589-4408-b4c1-4285663d20a8;#28;#LV|46f7e311-5d9f-4663-b433-18aeccb7ace7;#27;#SL|98a412ae-eb01-49e9-ae3d-585a81724cfc;#25;#DE|f6b31e5a-26fa-4935-b661-318e46daf27e;#24;#ES|e7a6b05b-ae16-40c8-add9-68b64b03aeba;#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35;#FI|87606a43-d45f-42d6-b8c9-e1a3457db5b7</vt:lpwstr>
  </property>
</Properties>
</file>