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DD115B" w14:paraId="4982DD4D" w14:textId="3CC25CD3">
      <w:pPr>
        <w:jc w:val="center"/>
      </w:pPr>
      <w:r>
        <w:rPr>
          <w:noProof/>
        </w:rPr>
        <w:drawing>
          <wp:inline distT="0" distB="0" distL="0" distR="0" wp14:anchorId="600C6764" wp14:editId="647A23F5">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Picture 1" title="EESCLogo_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076FD6EF"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A2FDAEC">
      <w:pPr>
        <w:jc w:val="right"/>
      </w:pPr>
      <w:r>
        <w:t>Bruselas, 17 de diciembre de 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863A8F" w14:paraId="4982DD59" w14:textId="77777777">
        <w:tc>
          <w:tcPr>
            <w:tcW w:w="9289" w:type="dxa"/>
            <w:tcBorders>
              <w:bottom w:val="double" w:color="auto" w:sz="4" w:space="0"/>
            </w:tcBorders>
          </w:tcPr>
          <w:p w:rsidR="003066BE" w:rsidP="00863A8F" w:rsidRDefault="008C47BA" w14:paraId="4982DD53" w14:textId="29474CC3">
            <w:pPr>
              <w:snapToGrid w:val="0"/>
              <w:jc w:val="center"/>
              <w:rPr>
                <w:b/>
                <w:sz w:val="32"/>
                <w:szCs w:val="32"/>
              </w:rPr>
            </w:pPr>
            <w:r>
              <w:rPr>
                <w:b/>
                <w:sz w:val="32"/>
              </w:rPr>
              <w:t>592.º PLENO</w:t>
            </w:r>
          </w:p>
          <w:p w:rsidR="003066BE" w:rsidP="00863A8F" w:rsidRDefault="003066BE" w14:paraId="4982DD54" w14:textId="77777777">
            <w:pPr>
              <w:snapToGrid w:val="0"/>
              <w:jc w:val="center"/>
              <w:rPr>
                <w:b/>
                <w:sz w:val="32"/>
                <w:szCs w:val="32"/>
              </w:rPr>
            </w:pPr>
          </w:p>
          <w:p w:rsidR="003066BE" w:rsidP="00863A8F" w:rsidRDefault="009E3EE2" w14:paraId="4982DD55" w14:textId="24514D05">
            <w:pPr>
              <w:snapToGrid w:val="0"/>
              <w:jc w:val="center"/>
              <w:rPr>
                <w:b/>
                <w:sz w:val="32"/>
                <w:szCs w:val="32"/>
              </w:rPr>
            </w:pPr>
            <w:r>
              <w:rPr>
                <w:b/>
                <w:sz w:val="32"/>
              </w:rPr>
              <w:t>4 y 5 de diciembre de 2024</w:t>
            </w:r>
          </w:p>
          <w:p w:rsidR="003066BE" w:rsidP="00863A8F" w:rsidRDefault="003066BE" w14:paraId="4982DD56" w14:textId="77777777">
            <w:pPr>
              <w:snapToGrid w:val="0"/>
              <w:jc w:val="center"/>
              <w:rPr>
                <w:b/>
                <w:sz w:val="32"/>
                <w:szCs w:val="32"/>
              </w:rPr>
            </w:pPr>
          </w:p>
          <w:p w:rsidRPr="0081153B" w:rsidR="004D7AC0" w:rsidP="00863A8F" w:rsidRDefault="00754027" w14:paraId="4982DD57" w14:textId="6619FCDA">
            <w:pPr>
              <w:snapToGrid w:val="0"/>
              <w:jc w:val="center"/>
              <w:rPr>
                <w:rFonts w:eastAsia="MS Mincho"/>
                <w:b/>
                <w:sz w:val="32"/>
                <w:szCs w:val="32"/>
              </w:rPr>
            </w:pPr>
            <w:r>
              <w:rPr>
                <w:b/>
                <w:sz w:val="32"/>
              </w:rPr>
              <w:t>SÍNTESIS DE LOS DICTÁMENES Y RESOLUCIONES APROBADOS Y DE LOS INFORM</w:t>
            </w:r>
            <w:r w:rsidR="00816CEF">
              <w:rPr>
                <w:b/>
                <w:sz w:val="32"/>
              </w:rPr>
              <w:t>E</w:t>
            </w:r>
            <w:r>
              <w:rPr>
                <w:b/>
                <w:sz w:val="32"/>
              </w:rPr>
              <w:t>S DE EVALUACIÓN</w:t>
            </w:r>
          </w:p>
          <w:p w:rsidR="004D7AC0" w:rsidP="00863A8F" w:rsidRDefault="004D7AC0" w14:paraId="4982DD58" w14:textId="77777777">
            <w:pPr>
              <w:snapToGrid w:val="0"/>
            </w:pPr>
          </w:p>
        </w:tc>
      </w:tr>
      <w:tr w:rsidR="004D7AC0" w:rsidTr="00863A8F"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863A8F" w:rsidRDefault="004D7AC0" w14:paraId="4982DD5A" w14:textId="1B01A9D9">
            <w:pPr>
              <w:snapToGrid w:val="0"/>
              <w:jc w:val="center"/>
            </w:pPr>
            <w:r>
              <w:t>Este documento puede consultarse en todas las lenguas oficiales de la Unión Europea</w:t>
            </w:r>
            <w:r w:rsidR="00816CEF">
              <w:br/>
            </w:r>
            <w:r>
              <w:t xml:space="preserve">en el sitio internet del CESE en la siguiente dirección: </w:t>
            </w:r>
            <w:r>
              <w:br/>
            </w:r>
            <w:r>
              <w:br/>
            </w:r>
            <w:hyperlink w:history="1" r:id="rId12">
              <w:r>
                <w:rPr>
                  <w:rStyle w:val="Hyperlink"/>
                </w:rPr>
                <w:t>https://www.eesc.europa.eu/es/our-work/opinions-information-reports/plenary-</w:t>
              </w:r>
              <w:r>
                <w:rPr>
                  <w:rStyle w:val="Hyperlink"/>
                </w:rPr>
                <w:t>s</w:t>
              </w:r>
              <w:r>
                <w:rPr>
                  <w:rStyle w:val="Hyperlink"/>
                </w:rPr>
                <w:t>ession-summaries</w:t>
              </w:r>
            </w:hyperlink>
          </w:p>
          <w:p w:rsidRPr="0081153B" w:rsidR="004D7AC0" w:rsidP="00863A8F" w:rsidRDefault="004D7AC0" w14:paraId="4982DD5C" w14:textId="77777777">
            <w:pPr>
              <w:snapToGrid w:val="0"/>
              <w:jc w:val="center"/>
              <w:rPr>
                <w:rFonts w:eastAsia="SimSun"/>
              </w:rPr>
            </w:pPr>
          </w:p>
          <w:p w:rsidRPr="00044561" w:rsidR="004D7AC0" w:rsidP="00863A8F" w:rsidRDefault="004D7AC0" w14:paraId="4982DD5D" w14:textId="77777777">
            <w:pPr>
              <w:snapToGrid w:val="0"/>
              <w:jc w:val="center"/>
            </w:pPr>
            <w:r>
              <w:t xml:space="preserve">Los dictámenes mencionados pueden consultarse en línea </w:t>
            </w:r>
            <w:r>
              <w:br/>
              <w:t>utilizando el motor de búsqueda del CESE:</w:t>
            </w:r>
            <w:r>
              <w:br/>
            </w:r>
            <w:r>
              <w:br/>
            </w:r>
            <w:hyperlink w:history="1" r:id="rId13">
              <w:r>
                <w:rPr>
                  <w:rStyle w:val="Hyperlink"/>
                </w:rPr>
                <w:t>https://dmsearch.eesc.euro</w:t>
              </w:r>
              <w:r>
                <w:rPr>
                  <w:rStyle w:val="Hyperlink"/>
                </w:rPr>
                <w:t>p</w:t>
              </w:r>
              <w:r>
                <w:rPr>
                  <w:rStyle w:val="Hyperlink"/>
                </w:rPr>
                <w:t>a.eu/search/opinion</w:t>
              </w:r>
            </w:hyperlink>
          </w:p>
          <w:p w:rsidRPr="00044561" w:rsidR="004D7AC0" w:rsidP="00863A8F"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2DC7F56">
      <w:pPr>
        <w:sectPr w:rsidR="004D7AC0" w:rsidSect="00902A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Índice:</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816CEF" w:rsidP="0066711D" w:rsidRDefault="004D7AC0" w14:paraId="18FB4AAB" w14:textId="01B05216">
          <w:pPr>
            <w:pStyle w:val="TOC1"/>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84804672">
            <w:r w:rsidRPr="0048010A" w:rsidR="00816CEF">
              <w:rPr>
                <w:rStyle w:val="Hyperlink"/>
                <w:b/>
                <w:noProof/>
              </w:rPr>
              <w:t>1.</w:t>
            </w:r>
            <w:r w:rsidR="00816CEF">
              <w:rPr>
                <w:rFonts w:asciiTheme="minorHAnsi" w:hAnsiTheme="minorHAnsi" w:eastAsiaTheme="minorEastAsia" w:cstheme="minorBidi"/>
                <w:noProof/>
                <w:lang w:val="en-US"/>
              </w:rPr>
              <w:tab/>
            </w:r>
            <w:r w:rsidRPr="0048010A" w:rsidR="00816CEF">
              <w:rPr>
                <w:rStyle w:val="Hyperlink"/>
                <w:b/>
                <w:noProof/>
              </w:rPr>
              <w:t>RESOLUCIÓN</w:t>
            </w:r>
            <w:r w:rsidR="00816CEF">
              <w:rPr>
                <w:noProof/>
                <w:webHidden/>
              </w:rPr>
              <w:tab/>
            </w:r>
            <w:r w:rsidR="00816CEF">
              <w:rPr>
                <w:noProof/>
                <w:webHidden/>
              </w:rPr>
              <w:fldChar w:fldCharType="begin"/>
            </w:r>
            <w:r w:rsidR="00816CEF">
              <w:rPr>
                <w:noProof/>
                <w:webHidden/>
              </w:rPr>
              <w:instrText xml:space="preserve"> PAGEREF _Toc184804672 \h </w:instrText>
            </w:r>
            <w:r w:rsidR="00816CEF">
              <w:rPr>
                <w:noProof/>
                <w:webHidden/>
              </w:rPr>
            </w:r>
            <w:r w:rsidR="00816CEF">
              <w:rPr>
                <w:noProof/>
                <w:webHidden/>
              </w:rPr>
              <w:fldChar w:fldCharType="separate"/>
            </w:r>
            <w:r w:rsidR="0066711D">
              <w:rPr>
                <w:noProof/>
                <w:webHidden/>
              </w:rPr>
              <w:t>3</w:t>
            </w:r>
            <w:r w:rsidR="00816CEF">
              <w:rPr>
                <w:noProof/>
                <w:webHidden/>
              </w:rPr>
              <w:fldChar w:fldCharType="end"/>
            </w:r>
          </w:hyperlink>
        </w:p>
        <w:p w:rsidR="00816CEF" w:rsidP="0066711D" w:rsidRDefault="00816CEF" w14:paraId="7B6C518B" w14:textId="7AC91489">
          <w:pPr>
            <w:pStyle w:val="TOC1"/>
            <w:rPr>
              <w:rFonts w:asciiTheme="minorHAnsi" w:hAnsiTheme="minorHAnsi" w:eastAsiaTheme="minorEastAsia" w:cstheme="minorBidi"/>
              <w:noProof/>
              <w:lang w:val="en-US"/>
            </w:rPr>
          </w:pPr>
          <w:hyperlink w:history="1" w:anchor="_Toc184804673">
            <w:r w:rsidRPr="0048010A">
              <w:rPr>
                <w:rStyle w:val="Hyperlink"/>
                <w:b/>
                <w:noProof/>
              </w:rPr>
              <w:t>2.</w:t>
            </w:r>
            <w:r>
              <w:rPr>
                <w:rFonts w:asciiTheme="minorHAnsi" w:hAnsiTheme="minorHAnsi" w:eastAsiaTheme="minorEastAsia" w:cstheme="minorBidi"/>
                <w:noProof/>
                <w:lang w:val="en-US"/>
              </w:rPr>
              <w:tab/>
            </w:r>
            <w:r w:rsidRPr="0048010A">
              <w:rPr>
                <w:rStyle w:val="Hyperlink"/>
                <w:b/>
                <w:noProof/>
              </w:rPr>
              <w:t>UNIÓN ECONÓMICA Y MONETARIA Y COHESIÓN ECONÓMICA Y SOCIAL</w:t>
            </w:r>
            <w:r>
              <w:rPr>
                <w:noProof/>
                <w:webHidden/>
              </w:rPr>
              <w:tab/>
            </w:r>
            <w:r>
              <w:rPr>
                <w:noProof/>
                <w:webHidden/>
              </w:rPr>
              <w:fldChar w:fldCharType="begin"/>
            </w:r>
            <w:r>
              <w:rPr>
                <w:noProof/>
                <w:webHidden/>
              </w:rPr>
              <w:instrText xml:space="preserve"> PAGEREF _Toc184804673 \h </w:instrText>
            </w:r>
            <w:r>
              <w:rPr>
                <w:noProof/>
                <w:webHidden/>
              </w:rPr>
            </w:r>
            <w:r>
              <w:rPr>
                <w:noProof/>
                <w:webHidden/>
              </w:rPr>
              <w:fldChar w:fldCharType="separate"/>
            </w:r>
            <w:r w:rsidR="0066711D">
              <w:rPr>
                <w:noProof/>
                <w:webHidden/>
              </w:rPr>
              <w:t>4</w:t>
            </w:r>
            <w:r>
              <w:rPr>
                <w:noProof/>
                <w:webHidden/>
              </w:rPr>
              <w:fldChar w:fldCharType="end"/>
            </w:r>
          </w:hyperlink>
        </w:p>
        <w:p w:rsidR="00816CEF" w:rsidP="0066711D" w:rsidRDefault="00816CEF" w14:paraId="05813005" w14:textId="385F5D95">
          <w:pPr>
            <w:pStyle w:val="TOC1"/>
            <w:rPr>
              <w:rFonts w:asciiTheme="minorHAnsi" w:hAnsiTheme="minorHAnsi" w:eastAsiaTheme="minorEastAsia" w:cstheme="minorBidi"/>
              <w:noProof/>
              <w:lang w:val="en-US"/>
            </w:rPr>
          </w:pPr>
          <w:hyperlink w:history="1" w:anchor="_Toc184804674">
            <w:r w:rsidRPr="0048010A">
              <w:rPr>
                <w:rStyle w:val="Hyperlink"/>
                <w:b/>
                <w:noProof/>
              </w:rPr>
              <w:t>3.</w:t>
            </w:r>
            <w:r>
              <w:rPr>
                <w:rFonts w:asciiTheme="minorHAnsi" w:hAnsiTheme="minorHAnsi" w:eastAsiaTheme="minorEastAsia" w:cstheme="minorBidi"/>
                <w:noProof/>
                <w:lang w:val="en-US"/>
              </w:rPr>
              <w:tab/>
            </w:r>
            <w:r w:rsidRPr="0048010A">
              <w:rPr>
                <w:rStyle w:val="Hyperlink"/>
                <w:b/>
                <w:noProof/>
              </w:rPr>
              <w:t>EMPLEO, ASUNTOS SOCIALES Y CIUDADANÍA</w:t>
            </w:r>
            <w:r>
              <w:rPr>
                <w:noProof/>
                <w:webHidden/>
              </w:rPr>
              <w:tab/>
            </w:r>
            <w:r>
              <w:rPr>
                <w:noProof/>
                <w:webHidden/>
              </w:rPr>
              <w:fldChar w:fldCharType="begin"/>
            </w:r>
            <w:r>
              <w:rPr>
                <w:noProof/>
                <w:webHidden/>
              </w:rPr>
              <w:instrText xml:space="preserve"> PAGEREF _Toc184804674 \h </w:instrText>
            </w:r>
            <w:r>
              <w:rPr>
                <w:noProof/>
                <w:webHidden/>
              </w:rPr>
            </w:r>
            <w:r>
              <w:rPr>
                <w:noProof/>
                <w:webHidden/>
              </w:rPr>
              <w:fldChar w:fldCharType="separate"/>
            </w:r>
            <w:r w:rsidR="0066711D">
              <w:rPr>
                <w:noProof/>
                <w:webHidden/>
              </w:rPr>
              <w:t>7</w:t>
            </w:r>
            <w:r>
              <w:rPr>
                <w:noProof/>
                <w:webHidden/>
              </w:rPr>
              <w:fldChar w:fldCharType="end"/>
            </w:r>
          </w:hyperlink>
        </w:p>
        <w:p w:rsidR="00816CEF" w:rsidP="0066711D" w:rsidRDefault="00816CEF" w14:paraId="481BE04B" w14:textId="3E1EEF08">
          <w:pPr>
            <w:pStyle w:val="TOC1"/>
            <w:rPr>
              <w:rFonts w:asciiTheme="minorHAnsi" w:hAnsiTheme="minorHAnsi" w:eastAsiaTheme="minorEastAsia" w:cstheme="minorBidi"/>
              <w:noProof/>
              <w:lang w:val="en-US"/>
            </w:rPr>
          </w:pPr>
          <w:hyperlink w:history="1" w:anchor="_Toc184804675">
            <w:r w:rsidRPr="0048010A">
              <w:rPr>
                <w:rStyle w:val="Hyperlink"/>
                <w:b/>
                <w:noProof/>
              </w:rPr>
              <w:t>4.</w:t>
            </w:r>
            <w:r>
              <w:rPr>
                <w:rFonts w:asciiTheme="minorHAnsi" w:hAnsiTheme="minorHAnsi" w:eastAsiaTheme="minorEastAsia" w:cstheme="minorBidi"/>
                <w:noProof/>
                <w:lang w:val="en-US"/>
              </w:rPr>
              <w:tab/>
            </w:r>
            <w:r w:rsidRPr="0048010A">
              <w:rPr>
                <w:rStyle w:val="Hyperlink"/>
                <w:b/>
                <w:noProof/>
              </w:rPr>
              <w:t xml:space="preserve">TRANSPORTE, </w:t>
            </w:r>
            <w:r w:rsidRPr="0048010A">
              <w:rPr>
                <w:rStyle w:val="Hyperlink"/>
                <w:b/>
                <w:noProof/>
              </w:rPr>
              <w:t>E</w:t>
            </w:r>
            <w:r w:rsidRPr="0048010A">
              <w:rPr>
                <w:rStyle w:val="Hyperlink"/>
                <w:b/>
                <w:noProof/>
              </w:rPr>
              <w:t>NERGÍA, INFRAESTRUCTURAS Y SOCIEDAD DE LA INFORMACIÓN</w:t>
            </w:r>
            <w:r>
              <w:rPr>
                <w:noProof/>
                <w:webHidden/>
              </w:rPr>
              <w:tab/>
            </w:r>
            <w:r>
              <w:rPr>
                <w:noProof/>
                <w:webHidden/>
              </w:rPr>
              <w:fldChar w:fldCharType="begin"/>
            </w:r>
            <w:r>
              <w:rPr>
                <w:noProof/>
                <w:webHidden/>
              </w:rPr>
              <w:instrText xml:space="preserve"> PAGEREF _Toc184804675 \h </w:instrText>
            </w:r>
            <w:r>
              <w:rPr>
                <w:noProof/>
                <w:webHidden/>
              </w:rPr>
            </w:r>
            <w:r>
              <w:rPr>
                <w:noProof/>
                <w:webHidden/>
              </w:rPr>
              <w:fldChar w:fldCharType="separate"/>
            </w:r>
            <w:r w:rsidR="0066711D">
              <w:rPr>
                <w:noProof/>
                <w:webHidden/>
              </w:rPr>
              <w:t>8</w:t>
            </w:r>
            <w:r>
              <w:rPr>
                <w:noProof/>
                <w:webHidden/>
              </w:rPr>
              <w:fldChar w:fldCharType="end"/>
            </w:r>
          </w:hyperlink>
        </w:p>
        <w:p w:rsidR="00816CEF" w:rsidP="0066711D" w:rsidRDefault="00816CEF" w14:paraId="70788B17" w14:textId="7332CF45">
          <w:pPr>
            <w:pStyle w:val="TOC1"/>
            <w:rPr>
              <w:rFonts w:asciiTheme="minorHAnsi" w:hAnsiTheme="minorHAnsi" w:eastAsiaTheme="minorEastAsia" w:cstheme="minorBidi"/>
              <w:noProof/>
              <w:lang w:val="en-US"/>
            </w:rPr>
          </w:pPr>
          <w:hyperlink w:history="1" w:anchor="_Toc184804676">
            <w:r w:rsidRPr="0048010A">
              <w:rPr>
                <w:rStyle w:val="Hyperlink"/>
                <w:b/>
                <w:noProof/>
              </w:rPr>
              <w:t>5.</w:t>
            </w:r>
            <w:r>
              <w:rPr>
                <w:rFonts w:asciiTheme="minorHAnsi" w:hAnsiTheme="minorHAnsi" w:eastAsiaTheme="minorEastAsia" w:cstheme="minorBidi"/>
                <w:noProof/>
                <w:lang w:val="en-US"/>
              </w:rPr>
              <w:tab/>
            </w:r>
            <w:r w:rsidRPr="0048010A">
              <w:rPr>
                <w:rStyle w:val="Hyperlink"/>
                <w:b/>
                <w:noProof/>
              </w:rPr>
              <w:t>MERCADO ÚNICO, PRODUCCIÓN Y CONSUMO</w:t>
            </w:r>
            <w:r>
              <w:rPr>
                <w:noProof/>
                <w:webHidden/>
              </w:rPr>
              <w:tab/>
            </w:r>
            <w:r>
              <w:rPr>
                <w:noProof/>
                <w:webHidden/>
              </w:rPr>
              <w:fldChar w:fldCharType="begin"/>
            </w:r>
            <w:r>
              <w:rPr>
                <w:noProof/>
                <w:webHidden/>
              </w:rPr>
              <w:instrText xml:space="preserve"> PAGEREF _Toc184804676 \h </w:instrText>
            </w:r>
            <w:r>
              <w:rPr>
                <w:noProof/>
                <w:webHidden/>
              </w:rPr>
            </w:r>
            <w:r>
              <w:rPr>
                <w:noProof/>
                <w:webHidden/>
              </w:rPr>
              <w:fldChar w:fldCharType="separate"/>
            </w:r>
            <w:r w:rsidR="0066711D">
              <w:rPr>
                <w:noProof/>
                <w:webHidden/>
              </w:rPr>
              <w:t>10</w:t>
            </w:r>
            <w:r>
              <w:rPr>
                <w:noProof/>
                <w:webHidden/>
              </w:rPr>
              <w:fldChar w:fldCharType="end"/>
            </w:r>
          </w:hyperlink>
        </w:p>
        <w:p w:rsidR="00816CEF" w:rsidP="0066711D" w:rsidRDefault="00816CEF" w14:paraId="5B7CD622" w14:textId="504769FB">
          <w:pPr>
            <w:pStyle w:val="TOC1"/>
            <w:rPr>
              <w:rFonts w:asciiTheme="minorHAnsi" w:hAnsiTheme="minorHAnsi" w:eastAsiaTheme="minorEastAsia" w:cstheme="minorBidi"/>
              <w:noProof/>
              <w:lang w:val="en-US"/>
            </w:rPr>
          </w:pPr>
          <w:hyperlink w:history="1" w:anchor="_Toc184804677">
            <w:r w:rsidRPr="0048010A">
              <w:rPr>
                <w:rStyle w:val="Hyperlink"/>
                <w:b/>
                <w:noProof/>
              </w:rPr>
              <w:t>6.</w:t>
            </w:r>
            <w:r>
              <w:rPr>
                <w:rFonts w:asciiTheme="minorHAnsi" w:hAnsiTheme="minorHAnsi" w:eastAsiaTheme="minorEastAsia" w:cstheme="minorBidi"/>
                <w:noProof/>
                <w:lang w:val="en-US"/>
              </w:rPr>
              <w:tab/>
            </w:r>
            <w:r w:rsidRPr="0048010A">
              <w:rPr>
                <w:rStyle w:val="Hyperlink"/>
                <w:b/>
                <w:noProof/>
              </w:rPr>
              <w:t>AGRICULTURA, DESARROLLO RURAL Y MEDIO AMBIENTE</w:t>
            </w:r>
            <w:r>
              <w:rPr>
                <w:noProof/>
                <w:webHidden/>
              </w:rPr>
              <w:tab/>
            </w:r>
            <w:r>
              <w:rPr>
                <w:noProof/>
                <w:webHidden/>
              </w:rPr>
              <w:fldChar w:fldCharType="begin"/>
            </w:r>
            <w:r>
              <w:rPr>
                <w:noProof/>
                <w:webHidden/>
              </w:rPr>
              <w:instrText xml:space="preserve"> PAGEREF _Toc184804677 \h </w:instrText>
            </w:r>
            <w:r>
              <w:rPr>
                <w:noProof/>
                <w:webHidden/>
              </w:rPr>
            </w:r>
            <w:r>
              <w:rPr>
                <w:noProof/>
                <w:webHidden/>
              </w:rPr>
              <w:fldChar w:fldCharType="separate"/>
            </w:r>
            <w:r w:rsidR="0066711D">
              <w:rPr>
                <w:noProof/>
                <w:webHidden/>
              </w:rPr>
              <w:t>12</w:t>
            </w:r>
            <w:r>
              <w:rPr>
                <w:noProof/>
                <w:webHidden/>
              </w:rPr>
              <w:fldChar w:fldCharType="end"/>
            </w:r>
          </w:hyperlink>
        </w:p>
        <w:p w:rsidR="00816CEF" w:rsidP="0066711D" w:rsidRDefault="00816CEF" w14:paraId="5F2FBC07" w14:textId="1518BC06">
          <w:pPr>
            <w:pStyle w:val="TOC1"/>
            <w:rPr>
              <w:rFonts w:asciiTheme="minorHAnsi" w:hAnsiTheme="minorHAnsi" w:eastAsiaTheme="minorEastAsia" w:cstheme="minorBidi"/>
              <w:noProof/>
              <w:lang w:val="en-US"/>
            </w:rPr>
          </w:pPr>
          <w:hyperlink w:history="1" w:anchor="_Toc184804678">
            <w:r w:rsidRPr="0048010A">
              <w:rPr>
                <w:rStyle w:val="Hyperlink"/>
                <w:b/>
                <w:noProof/>
              </w:rPr>
              <w:t>7.</w:t>
            </w:r>
            <w:r>
              <w:rPr>
                <w:rFonts w:asciiTheme="minorHAnsi" w:hAnsiTheme="minorHAnsi" w:eastAsiaTheme="minorEastAsia" w:cstheme="minorBidi"/>
                <w:noProof/>
                <w:lang w:val="en-US"/>
              </w:rPr>
              <w:tab/>
            </w:r>
            <w:r w:rsidRPr="0048010A">
              <w:rPr>
                <w:rStyle w:val="Hyperlink"/>
                <w:b/>
                <w:noProof/>
              </w:rPr>
              <w:t>RELACIONES EXTERIORES</w:t>
            </w:r>
            <w:r>
              <w:rPr>
                <w:noProof/>
                <w:webHidden/>
              </w:rPr>
              <w:tab/>
            </w:r>
            <w:r>
              <w:rPr>
                <w:noProof/>
                <w:webHidden/>
              </w:rPr>
              <w:fldChar w:fldCharType="begin"/>
            </w:r>
            <w:r>
              <w:rPr>
                <w:noProof/>
                <w:webHidden/>
              </w:rPr>
              <w:instrText xml:space="preserve"> PAGEREF _Toc184804678 \h </w:instrText>
            </w:r>
            <w:r>
              <w:rPr>
                <w:noProof/>
                <w:webHidden/>
              </w:rPr>
            </w:r>
            <w:r>
              <w:rPr>
                <w:noProof/>
                <w:webHidden/>
              </w:rPr>
              <w:fldChar w:fldCharType="separate"/>
            </w:r>
            <w:r w:rsidR="0066711D">
              <w:rPr>
                <w:noProof/>
                <w:webHidden/>
              </w:rPr>
              <w:t>14</w:t>
            </w:r>
            <w:r>
              <w:rPr>
                <w:noProof/>
                <w:webHidden/>
              </w:rPr>
              <w:fldChar w:fldCharType="end"/>
            </w:r>
          </w:hyperlink>
        </w:p>
        <w:p w:rsidR="00816CEF" w:rsidP="0066711D" w:rsidRDefault="00816CEF" w14:paraId="454D450A" w14:textId="0A74762C">
          <w:pPr>
            <w:pStyle w:val="TOC1"/>
            <w:rPr>
              <w:rFonts w:asciiTheme="minorHAnsi" w:hAnsiTheme="minorHAnsi" w:eastAsiaTheme="minorEastAsia" w:cstheme="minorBidi"/>
              <w:noProof/>
              <w:lang w:val="en-US"/>
            </w:rPr>
          </w:pPr>
          <w:hyperlink w:history="1" w:anchor="_Toc184804679">
            <w:r w:rsidRPr="0048010A">
              <w:rPr>
                <w:rStyle w:val="Hyperlink"/>
                <w:b/>
                <w:noProof/>
              </w:rPr>
              <w:t>8.</w:t>
            </w:r>
            <w:r>
              <w:rPr>
                <w:rFonts w:asciiTheme="minorHAnsi" w:hAnsiTheme="minorHAnsi" w:eastAsiaTheme="minorEastAsia" w:cstheme="minorBidi"/>
                <w:noProof/>
                <w:lang w:val="en-US"/>
              </w:rPr>
              <w:tab/>
            </w:r>
            <w:r w:rsidRPr="0048010A">
              <w:rPr>
                <w:rStyle w:val="Hyperlink"/>
                <w:b/>
                <w:noProof/>
              </w:rPr>
              <w:t>COMISIÓN CONSULTIVA DE LAS TRANSFORMACIONES I</w:t>
            </w:r>
            <w:r w:rsidRPr="0048010A">
              <w:rPr>
                <w:rStyle w:val="Hyperlink"/>
                <w:b/>
                <w:noProof/>
              </w:rPr>
              <w:t>N</w:t>
            </w:r>
            <w:r w:rsidRPr="0048010A">
              <w:rPr>
                <w:rStyle w:val="Hyperlink"/>
                <w:b/>
                <w:noProof/>
              </w:rPr>
              <w:t>DUSTRIALES</w:t>
            </w:r>
            <w:r>
              <w:rPr>
                <w:noProof/>
                <w:webHidden/>
              </w:rPr>
              <w:tab/>
            </w:r>
            <w:r>
              <w:rPr>
                <w:noProof/>
                <w:webHidden/>
              </w:rPr>
              <w:fldChar w:fldCharType="begin"/>
            </w:r>
            <w:r>
              <w:rPr>
                <w:noProof/>
                <w:webHidden/>
              </w:rPr>
              <w:instrText xml:space="preserve"> PAGEREF _Toc184804679 \h </w:instrText>
            </w:r>
            <w:r>
              <w:rPr>
                <w:noProof/>
                <w:webHidden/>
              </w:rPr>
            </w:r>
            <w:r>
              <w:rPr>
                <w:noProof/>
                <w:webHidden/>
              </w:rPr>
              <w:fldChar w:fldCharType="separate"/>
            </w:r>
            <w:r w:rsidR="0066711D">
              <w:rPr>
                <w:noProof/>
                <w:webHidden/>
              </w:rPr>
              <w:t>17</w:t>
            </w:r>
            <w:r>
              <w:rPr>
                <w:noProof/>
                <w:webHidden/>
              </w:rPr>
              <w:fldChar w:fldCharType="end"/>
            </w:r>
          </w:hyperlink>
        </w:p>
        <w:p w:rsidR="004D7AC0" w:rsidP="004D7AC0" w:rsidRDefault="004D7AC0" w14:paraId="4982DD6A" w14:textId="405E6B12">
          <w:r>
            <w:rPr>
              <w:b/>
            </w:rPr>
            <w:fldChar w:fldCharType="end"/>
          </w:r>
        </w:p>
      </w:sdtContent>
    </w:sdt>
    <w:p w:rsidR="004D7AC0" w:rsidP="004D7AC0" w:rsidRDefault="004D7AC0" w14:paraId="4982DD6B" w14:textId="77777777"/>
    <w:p w:rsidR="004D7AC0" w:rsidP="004D7AC0" w:rsidRDefault="004D7AC0" w14:paraId="4982DD6C" w14:textId="320B0F01">
      <w:pPr>
        <w:spacing w:after="160" w:line="259" w:lineRule="auto"/>
        <w:jc w:val="left"/>
      </w:pPr>
      <w:r>
        <w:br w:type="page"/>
      </w:r>
    </w:p>
    <w:p w:rsidR="002673F7" w:rsidP="00D264FF" w:rsidRDefault="002673F7" w14:paraId="2C14AA4D" w14:textId="2AF2A0E3">
      <w:pPr>
        <w:pStyle w:val="Heading1"/>
        <w:spacing w:line="276" w:lineRule="auto"/>
        <w:rPr>
          <w:b/>
        </w:rPr>
      </w:pPr>
      <w:bookmarkStart w:name="_Toc184804672" w:id="0"/>
      <w:r>
        <w:rPr>
          <w:b/>
        </w:rPr>
        <w:lastRenderedPageBreak/>
        <w:t>RESOLUCIÓN</w:t>
      </w:r>
      <w:bookmarkEnd w:id="0"/>
    </w:p>
    <w:p w:rsidR="002673F7" w:rsidP="00D264FF" w:rsidRDefault="002673F7" w14:paraId="3912EA4C" w14:textId="5657EB09">
      <w:pPr>
        <w:spacing w:line="276" w:lineRule="auto"/>
      </w:pPr>
    </w:p>
    <w:p w:rsidRPr="007224BE" w:rsidR="00E85F55" w:rsidP="00D264FF" w:rsidRDefault="00A207FB" w14:paraId="5E0BF013" w14:textId="5EA1F7D0">
      <w:pPr>
        <w:widowControl w:val="0"/>
        <w:numPr>
          <w:ilvl w:val="0"/>
          <w:numId w:val="2"/>
        </w:numPr>
        <w:overflowPunct w:val="0"/>
        <w:autoSpaceDE w:val="0"/>
        <w:autoSpaceDN w:val="0"/>
        <w:adjustRightInd w:val="0"/>
        <w:spacing w:line="276" w:lineRule="auto"/>
        <w:ind w:left="567" w:hanging="567"/>
        <w:textAlignment w:val="baseline"/>
        <w:rPr>
          <w:b/>
          <w:bCs/>
          <w:i/>
          <w:iCs/>
          <w:sz w:val="28"/>
          <w:szCs w:val="28"/>
        </w:rPr>
      </w:pPr>
      <w:hyperlink w:history="1" r:id="rId20">
        <w:r w:rsidR="00E85F55">
          <w:rPr>
            <w:b/>
            <w:i/>
            <w:color w:val="0000FF"/>
            <w:sz w:val="28"/>
            <w:u w:val="single"/>
          </w:rPr>
          <w:t>Resolución sobre la contribución</w:t>
        </w:r>
        <w:r w:rsidR="00E85F55">
          <w:rPr>
            <w:b/>
            <w:i/>
            <w:color w:val="0000FF"/>
            <w:sz w:val="28"/>
            <w:u w:val="single"/>
          </w:rPr>
          <w:t xml:space="preserve"> </w:t>
        </w:r>
        <w:r w:rsidR="00E85F55">
          <w:rPr>
            <w:b/>
            <w:i/>
            <w:color w:val="0000FF"/>
            <w:sz w:val="28"/>
            <w:u w:val="single"/>
          </w:rPr>
          <w:t>del Comité Económico y Social Europeo al programa de trabajo de la Comisión Europea para 2025</w:t>
        </w:r>
      </w:hyperlink>
      <w:r w:rsidR="00E85F55">
        <w:t>.</w:t>
      </w:r>
    </w:p>
    <w:p w:rsidRPr="00E85F55" w:rsidR="00E85F55" w:rsidP="00D264FF" w:rsidRDefault="00E85F55" w14:paraId="7F2B3E69" w14:textId="77777777">
      <w:pPr>
        <w:widowControl w:val="0"/>
        <w:overflowPunct w:val="0"/>
        <w:autoSpaceDE w:val="0"/>
        <w:autoSpaceDN w:val="0"/>
        <w:adjustRightInd w:val="0"/>
        <w:spacing w:line="276" w:lineRule="auto"/>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2"/>
        <w:gridCol w:w="7479"/>
      </w:tblGrid>
      <w:tr w:rsidRPr="00E85F55" w:rsidR="00E85F55" w:rsidTr="00863A8F" w14:paraId="2F18C2E9" w14:textId="77777777">
        <w:tc>
          <w:tcPr>
            <w:tcW w:w="1093" w:type="pct"/>
          </w:tcPr>
          <w:p w:rsidRPr="00E85F55" w:rsidR="00E85F55" w:rsidP="00D264FF" w:rsidRDefault="00E85F55" w14:paraId="390649B1" w14:textId="77777777">
            <w:pPr>
              <w:tabs>
                <w:tab w:val="center" w:pos="284"/>
              </w:tabs>
              <w:overflowPunct w:val="0"/>
              <w:autoSpaceDE w:val="0"/>
              <w:autoSpaceDN w:val="0"/>
              <w:adjustRightInd w:val="0"/>
              <w:spacing w:line="276" w:lineRule="auto"/>
              <w:ind w:left="266" w:hanging="266"/>
              <w:textAlignment w:val="baseline"/>
              <w:rPr>
                <w:b/>
              </w:rPr>
            </w:pPr>
            <w:r>
              <w:rPr>
                <w:b/>
              </w:rPr>
              <w:t>Ponentes</w:t>
            </w:r>
          </w:p>
        </w:tc>
        <w:tc>
          <w:tcPr>
            <w:tcW w:w="3907" w:type="pct"/>
          </w:tcPr>
          <w:p w:rsidRPr="00E85F55" w:rsidR="00E85F55" w:rsidP="00D264FF" w:rsidRDefault="00E85F55" w14:paraId="4145D568" w14:textId="77777777">
            <w:pPr>
              <w:tabs>
                <w:tab w:val="center" w:pos="284"/>
              </w:tabs>
              <w:overflowPunct w:val="0"/>
              <w:autoSpaceDE w:val="0"/>
              <w:autoSpaceDN w:val="0"/>
              <w:adjustRightInd w:val="0"/>
              <w:spacing w:line="276" w:lineRule="auto"/>
              <w:ind w:left="266" w:hanging="266"/>
              <w:textAlignment w:val="baseline"/>
            </w:pPr>
            <w:r>
              <w:t>Cinzia DEL RIO (Grupo de Trabajadores – IT)</w:t>
            </w:r>
          </w:p>
        </w:tc>
      </w:tr>
      <w:tr w:rsidRPr="00E85F55" w:rsidR="00E85F55" w:rsidTr="00863A8F" w14:paraId="3025319A" w14:textId="77777777">
        <w:tc>
          <w:tcPr>
            <w:tcW w:w="1093" w:type="pct"/>
          </w:tcPr>
          <w:p w:rsidRPr="00E85F55" w:rsidR="00E85F55" w:rsidP="00D264FF" w:rsidRDefault="00E85F55" w14:paraId="63FA2D19" w14:textId="77777777">
            <w:pPr>
              <w:tabs>
                <w:tab w:val="center" w:pos="284"/>
              </w:tabs>
              <w:overflowPunct w:val="0"/>
              <w:autoSpaceDE w:val="0"/>
              <w:autoSpaceDN w:val="0"/>
              <w:adjustRightInd w:val="0"/>
              <w:spacing w:line="276" w:lineRule="auto"/>
              <w:ind w:left="266" w:hanging="266"/>
              <w:textAlignment w:val="baseline"/>
              <w:rPr>
                <w:b/>
              </w:rPr>
            </w:pPr>
          </w:p>
        </w:tc>
        <w:tc>
          <w:tcPr>
            <w:tcW w:w="3907" w:type="pct"/>
          </w:tcPr>
          <w:p w:rsidRPr="00E85F55" w:rsidR="00E85F55" w:rsidP="00D264FF" w:rsidRDefault="00E85F55" w14:paraId="0FA10ABA" w14:textId="77777777">
            <w:pPr>
              <w:tabs>
                <w:tab w:val="center" w:pos="284"/>
              </w:tabs>
              <w:overflowPunct w:val="0"/>
              <w:autoSpaceDE w:val="0"/>
              <w:autoSpaceDN w:val="0"/>
              <w:adjustRightInd w:val="0"/>
              <w:spacing w:line="276" w:lineRule="auto"/>
              <w:ind w:left="266" w:hanging="266"/>
              <w:textAlignment w:val="baseline"/>
            </w:pPr>
            <w:r>
              <w:t>Christa SCHWENG (Grupo de Empresarios – AT)</w:t>
            </w:r>
          </w:p>
        </w:tc>
      </w:tr>
      <w:tr w:rsidRPr="00E85F55" w:rsidR="00E85F55" w:rsidTr="00863A8F" w14:paraId="09863B83" w14:textId="77777777">
        <w:tc>
          <w:tcPr>
            <w:tcW w:w="1093" w:type="pct"/>
          </w:tcPr>
          <w:p w:rsidRPr="00E85F55" w:rsidR="00E85F55" w:rsidP="00D264FF" w:rsidRDefault="00E85F55" w14:paraId="1DECA4FC" w14:textId="77777777">
            <w:pPr>
              <w:tabs>
                <w:tab w:val="center" w:pos="284"/>
              </w:tabs>
              <w:overflowPunct w:val="0"/>
              <w:autoSpaceDE w:val="0"/>
              <w:autoSpaceDN w:val="0"/>
              <w:adjustRightInd w:val="0"/>
              <w:spacing w:line="276" w:lineRule="auto"/>
              <w:ind w:left="266" w:hanging="266"/>
              <w:textAlignment w:val="baseline"/>
              <w:rPr>
                <w:b/>
              </w:rPr>
            </w:pPr>
          </w:p>
        </w:tc>
        <w:tc>
          <w:tcPr>
            <w:tcW w:w="3907" w:type="pct"/>
          </w:tcPr>
          <w:p w:rsidRPr="00E85F55" w:rsidR="00E85F55" w:rsidP="00D264FF" w:rsidRDefault="00E85F55" w14:paraId="1A820854" w14:textId="77777777">
            <w:pPr>
              <w:tabs>
                <w:tab w:val="center" w:pos="284"/>
              </w:tabs>
              <w:overflowPunct w:val="0"/>
              <w:autoSpaceDE w:val="0"/>
              <w:autoSpaceDN w:val="0"/>
              <w:adjustRightInd w:val="0"/>
              <w:spacing w:line="276" w:lineRule="auto"/>
              <w:ind w:left="266" w:hanging="266"/>
              <w:textAlignment w:val="baseline"/>
            </w:pPr>
            <w:r>
              <w:t>Ioannis VARDAKASTANIS (Grupo de Organizaciones de la Sociedad Civil – EL)</w:t>
            </w:r>
          </w:p>
        </w:tc>
      </w:tr>
      <w:tr w:rsidRPr="00E85F55" w:rsidR="00E85F55" w:rsidTr="00863A8F" w14:paraId="5A8ADB6B" w14:textId="77777777">
        <w:tc>
          <w:tcPr>
            <w:tcW w:w="5000" w:type="pct"/>
            <w:gridSpan w:val="2"/>
          </w:tcPr>
          <w:p w:rsidRPr="00E85F55" w:rsidR="00E85F55" w:rsidP="00D264FF" w:rsidRDefault="00E85F55" w14:paraId="7DA5BE84" w14:textId="77777777">
            <w:pPr>
              <w:tabs>
                <w:tab w:val="center" w:pos="284"/>
              </w:tabs>
              <w:overflowPunct w:val="0"/>
              <w:autoSpaceDE w:val="0"/>
              <w:autoSpaceDN w:val="0"/>
              <w:adjustRightInd w:val="0"/>
              <w:spacing w:line="276" w:lineRule="auto"/>
              <w:ind w:left="266" w:hanging="266"/>
              <w:textAlignment w:val="baseline"/>
            </w:pPr>
          </w:p>
        </w:tc>
      </w:tr>
      <w:tr w:rsidRPr="00E85F55" w:rsidR="00E85F55" w:rsidTr="00863A8F" w14:paraId="1EADF646" w14:textId="77777777">
        <w:tc>
          <w:tcPr>
            <w:tcW w:w="1093" w:type="pct"/>
            <w:vMerge w:val="restart"/>
          </w:tcPr>
          <w:p w:rsidRPr="00E85F55" w:rsidR="00E85F55" w:rsidP="00D264FF" w:rsidRDefault="00E85F55" w14:paraId="1C106F51" w14:textId="77777777">
            <w:pPr>
              <w:tabs>
                <w:tab w:val="center" w:pos="284"/>
              </w:tabs>
              <w:overflowPunct w:val="0"/>
              <w:autoSpaceDE w:val="0"/>
              <w:autoSpaceDN w:val="0"/>
              <w:adjustRightInd w:val="0"/>
              <w:spacing w:line="276" w:lineRule="auto"/>
              <w:ind w:left="266" w:hanging="266"/>
              <w:textAlignment w:val="baseline"/>
              <w:rPr>
                <w:b/>
              </w:rPr>
            </w:pPr>
            <w:r>
              <w:rPr>
                <w:b/>
                <w:bCs/>
              </w:rPr>
              <w:t>Referencias</w:t>
            </w:r>
          </w:p>
        </w:tc>
        <w:tc>
          <w:tcPr>
            <w:tcW w:w="3907" w:type="pct"/>
          </w:tcPr>
          <w:p w:rsidRPr="00E85F55" w:rsidR="00E85F55" w:rsidP="00D264FF" w:rsidRDefault="00E85F55" w14:paraId="3D8B28EE" w14:textId="77777777">
            <w:pPr>
              <w:tabs>
                <w:tab w:val="center" w:pos="284"/>
              </w:tabs>
              <w:overflowPunct w:val="0"/>
              <w:autoSpaceDE w:val="0"/>
              <w:autoSpaceDN w:val="0"/>
              <w:adjustRightInd w:val="0"/>
              <w:spacing w:line="276" w:lineRule="auto"/>
              <w:ind w:left="266" w:hanging="266"/>
              <w:textAlignment w:val="baseline"/>
            </w:pPr>
            <w:r>
              <w:t>EESC-2024-03700-00-00-RES</w:t>
            </w:r>
          </w:p>
        </w:tc>
      </w:tr>
      <w:tr w:rsidRPr="00E85F55" w:rsidR="00E85F55" w:rsidTr="00863A8F" w14:paraId="5F02857D" w14:textId="77777777">
        <w:tc>
          <w:tcPr>
            <w:tcW w:w="1093" w:type="pct"/>
            <w:vMerge/>
          </w:tcPr>
          <w:p w:rsidRPr="00E85F55" w:rsidR="00E85F55" w:rsidP="00D264FF" w:rsidRDefault="00E85F55" w14:paraId="12CD9DAB" w14:textId="77777777">
            <w:pPr>
              <w:tabs>
                <w:tab w:val="center" w:pos="284"/>
              </w:tabs>
              <w:overflowPunct w:val="0"/>
              <w:autoSpaceDE w:val="0"/>
              <w:autoSpaceDN w:val="0"/>
              <w:adjustRightInd w:val="0"/>
              <w:spacing w:line="276" w:lineRule="auto"/>
              <w:ind w:left="266" w:hanging="266"/>
              <w:textAlignment w:val="baseline"/>
              <w:rPr>
                <w:b/>
              </w:rPr>
            </w:pPr>
          </w:p>
        </w:tc>
        <w:tc>
          <w:tcPr>
            <w:tcW w:w="3907" w:type="pct"/>
          </w:tcPr>
          <w:p w:rsidRPr="00E85F55" w:rsidR="00E85F55" w:rsidP="00D264FF" w:rsidRDefault="00E85F55" w14:paraId="75267279" w14:textId="77777777">
            <w:pPr>
              <w:tabs>
                <w:tab w:val="center" w:pos="284"/>
              </w:tabs>
              <w:overflowPunct w:val="0"/>
              <w:autoSpaceDE w:val="0"/>
              <w:autoSpaceDN w:val="0"/>
              <w:adjustRightInd w:val="0"/>
              <w:spacing w:line="276" w:lineRule="auto"/>
              <w:ind w:left="266" w:hanging="266"/>
              <w:textAlignment w:val="baseline"/>
            </w:pPr>
          </w:p>
        </w:tc>
      </w:tr>
    </w:tbl>
    <w:p w:rsidRPr="00E85F55" w:rsidR="00E85F55" w:rsidP="00D264FF" w:rsidRDefault="00E85F55" w14:paraId="7EC7FE39"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E85F55" w:rsidR="00E85F55" w:rsidP="00D264FF" w:rsidRDefault="00E85F55" w14:paraId="5970CD89"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00E85F55" w:rsidP="00D264FF" w:rsidRDefault="00E85F55" w14:paraId="5789F249" w14:textId="77777777">
      <w:pPr>
        <w:overflowPunct w:val="0"/>
        <w:autoSpaceDE w:val="0"/>
        <w:autoSpaceDN w:val="0"/>
        <w:adjustRightInd w:val="0"/>
        <w:spacing w:line="276" w:lineRule="auto"/>
        <w:textAlignment w:val="baseline"/>
        <w:rPr>
          <w:bCs/>
          <w:iCs/>
        </w:rPr>
      </w:pPr>
      <w:r>
        <w:t>El CESE:</w:t>
      </w:r>
    </w:p>
    <w:p w:rsidRPr="00E85F55" w:rsidR="007224BE" w:rsidP="00D264FF" w:rsidRDefault="007224BE" w14:paraId="312AE980" w14:textId="77777777">
      <w:pPr>
        <w:overflowPunct w:val="0"/>
        <w:autoSpaceDE w:val="0"/>
        <w:autoSpaceDN w:val="0"/>
        <w:adjustRightInd w:val="0"/>
        <w:spacing w:line="276" w:lineRule="auto"/>
        <w:textAlignment w:val="baseline"/>
        <w:rPr>
          <w:bCs/>
          <w:iCs/>
          <w:lang w:val="en-GB"/>
        </w:rPr>
      </w:pPr>
    </w:p>
    <w:p w:rsidRPr="00E85F55" w:rsidR="00E85F55" w:rsidP="00D264FF" w:rsidRDefault="00E85F55" w14:paraId="1CC512CF" w14:textId="2ECAE528">
      <w:pPr>
        <w:widowControl w:val="0"/>
        <w:numPr>
          <w:ilvl w:val="0"/>
          <w:numId w:val="15"/>
        </w:numPr>
        <w:overflowPunct w:val="0"/>
        <w:autoSpaceDE w:val="0"/>
        <w:autoSpaceDN w:val="0"/>
        <w:adjustRightInd w:val="0"/>
        <w:spacing w:line="276" w:lineRule="auto"/>
        <w:ind w:left="426" w:hanging="426"/>
        <w:textAlignment w:val="baseline"/>
        <w:rPr>
          <w:bCs/>
          <w:iCs/>
        </w:rPr>
      </w:pPr>
      <w:r>
        <w:t>pide a las instituciones de la UE, ante los nuevos retos geopolíticos cada vez más complejos, que sigan la senda indicada en el «informe Draghi» y actúen con decisión para garantizar una UE caracterizada por la competitividad sostenible, la prosperidad para todos y el liderazgo a largo plazo en la escena mundial. Por lo tanto, es imperativo mejorar todas las políticas concebidas para reforzar la productividad y la competitividad de la UE, alineando las inversiones económicas vitales con objetivos sociales y medioambientales comunes, al tiempo que se promueve la economía social de mercado y se fomenta el bienestar de las generaciones futuras, se ejecuta una Estrategia Industrial Europea sólida (Pacto Industrial Limpio) y se realizan inversiones de gran calado para transformar la economía de tal modo que se preserve la integridad del mercado único y se colmen las brechas de crecimiento, productividad e innovación entre la UE y sus socios internacionales y sus principales competidores;</w:t>
      </w:r>
    </w:p>
    <w:p w:rsidRPr="00E85F55" w:rsidR="00E85F55" w:rsidP="00D264FF" w:rsidRDefault="00E85F55" w14:paraId="4F6F60B8" w14:textId="38C60121">
      <w:pPr>
        <w:widowControl w:val="0"/>
        <w:numPr>
          <w:ilvl w:val="0"/>
          <w:numId w:val="15"/>
        </w:numPr>
        <w:overflowPunct w:val="0"/>
        <w:autoSpaceDE w:val="0"/>
        <w:autoSpaceDN w:val="0"/>
        <w:adjustRightInd w:val="0"/>
        <w:spacing w:line="276" w:lineRule="auto"/>
        <w:ind w:left="426" w:hanging="426"/>
        <w:textAlignment w:val="baseline"/>
        <w:rPr>
          <w:bCs/>
          <w:iCs/>
        </w:rPr>
      </w:pPr>
      <w:r>
        <w:t>reconoce la importancia de reducir la carga administrativa y los costes de cumplimiento, pero subraya que esto debe hacerse de manera transparente e integradora, sin perjudicar los objetivos legislativos subyacentes y manteniendo las elevadas normas actuales, sobre todo en términos de bienestar social y de protección del medio ambiente. Para las pymes, debe hacerse realidad el principio de «pensar primero a pequeña escala», y debe proporcionárseles un marco legislativo estable, que racionalice y reduzca los procesos administrativos, garantice unas condiciones de competencia equitativas en el mercado único y les dé acceso a las energías renovables a precios asequibles;</w:t>
      </w:r>
    </w:p>
    <w:p w:rsidRPr="00E85F55" w:rsidR="00E85F55" w:rsidP="00D264FF" w:rsidRDefault="00E85F55" w14:paraId="7EDE64A8" w14:textId="1F262169">
      <w:pPr>
        <w:widowControl w:val="0"/>
        <w:numPr>
          <w:ilvl w:val="0"/>
          <w:numId w:val="15"/>
        </w:numPr>
        <w:overflowPunct w:val="0"/>
        <w:autoSpaceDE w:val="0"/>
        <w:autoSpaceDN w:val="0"/>
        <w:adjustRightInd w:val="0"/>
        <w:spacing w:line="276" w:lineRule="auto"/>
        <w:ind w:left="426" w:hanging="426"/>
        <w:textAlignment w:val="baseline"/>
        <w:rPr>
          <w:bCs/>
          <w:iCs/>
        </w:rPr>
      </w:pPr>
      <w:r>
        <w:t xml:space="preserve">acoge favorablemente la propuesta de un nuevo Plan de Acción del Pilar Europeo de Derechos Sociales, en el que se pide un enfoque plural a fin de aplicar, hacer cumplir y supervisar las iniciativas existentes en el ámbito social y laboral junto con un apoyo financiero, abordar los retos sociales y de empleo con nuevas medidas legislativas y no legislativas, y respaldar políticas de cohesión sólidas para abordar las desigualdades; </w:t>
      </w:r>
    </w:p>
    <w:p w:rsidRPr="00E85F55" w:rsidR="00E85F55" w:rsidP="00D264FF" w:rsidRDefault="00E85F55" w14:paraId="34C87DDD" w14:textId="77777777">
      <w:pPr>
        <w:widowControl w:val="0"/>
        <w:numPr>
          <w:ilvl w:val="0"/>
          <w:numId w:val="15"/>
        </w:numPr>
        <w:overflowPunct w:val="0"/>
        <w:autoSpaceDE w:val="0"/>
        <w:autoSpaceDN w:val="0"/>
        <w:adjustRightInd w:val="0"/>
        <w:spacing w:line="276" w:lineRule="auto"/>
        <w:ind w:left="426" w:hanging="426"/>
        <w:textAlignment w:val="baseline"/>
        <w:rPr>
          <w:bCs/>
          <w:iCs/>
        </w:rPr>
      </w:pPr>
      <w:r>
        <w:t>pide que se supervisen las inversiones sociales durante el proceso del Semestre de conformidad con el nuevo marco de convergencia social, que es un instrumento consensuado para seguir los avances y garantizar que las políticas sociales, en el marco del pilar europeo de derechos sociales, se apliquen y financien de manera adecuada;</w:t>
      </w:r>
    </w:p>
    <w:p w:rsidRPr="00E85F55" w:rsidR="00E85F55" w:rsidP="00D264FF" w:rsidRDefault="00E85F55" w14:paraId="0A915271" w14:textId="14DC8B7E">
      <w:pPr>
        <w:widowControl w:val="0"/>
        <w:numPr>
          <w:ilvl w:val="0"/>
          <w:numId w:val="15"/>
        </w:numPr>
        <w:overflowPunct w:val="0"/>
        <w:autoSpaceDE w:val="0"/>
        <w:autoSpaceDN w:val="0"/>
        <w:adjustRightInd w:val="0"/>
        <w:spacing w:line="276" w:lineRule="auto"/>
        <w:ind w:left="426" w:hanging="426"/>
        <w:textAlignment w:val="baseline"/>
        <w:rPr>
          <w:bCs/>
          <w:iCs/>
        </w:rPr>
      </w:pPr>
      <w:r>
        <w:t>subraya que el diálogo social a todos los niveles puede desempeñar un papel esencial en la mejora del crecimiento, la productividad, el empleo y la competitividad de las empresas europeas en los mercados mundiales;</w:t>
      </w:r>
    </w:p>
    <w:p w:rsidRPr="00E85F55" w:rsidR="00E85F55" w:rsidP="00D264FF" w:rsidRDefault="00E85F55" w14:paraId="041473A6" w14:textId="6FDEEBF6">
      <w:pPr>
        <w:keepNext/>
        <w:keepLines/>
        <w:numPr>
          <w:ilvl w:val="0"/>
          <w:numId w:val="15"/>
        </w:numPr>
        <w:overflowPunct w:val="0"/>
        <w:autoSpaceDE w:val="0"/>
        <w:autoSpaceDN w:val="0"/>
        <w:adjustRightInd w:val="0"/>
        <w:spacing w:line="276" w:lineRule="auto"/>
        <w:ind w:left="426" w:hanging="426"/>
        <w:textAlignment w:val="baseline"/>
        <w:rPr>
          <w:bCs/>
          <w:iCs/>
        </w:rPr>
      </w:pPr>
      <w:r>
        <w:lastRenderedPageBreak/>
        <w:t>pide a las instituciones de la UE que reconozcan la importancia de la sociedad civil como agente clave a la hora de diseñar y aplicar las políticas de la UE en favor del crecimiento sostenible, la defensa de la democracia y la justicia social, incluidas las transiciones justas. El CESE pide a las instituciones de la</w:t>
      </w:r>
      <w:r w:rsidR="00D264FF">
        <w:t> </w:t>
      </w:r>
      <w:r>
        <w:t>UE que desarrollen una estrategia para la sociedad civil, con un plan de acción claro;</w:t>
      </w:r>
    </w:p>
    <w:p w:rsidRPr="00E85F55" w:rsidR="00E85F55" w:rsidP="00D264FF" w:rsidRDefault="00E85F55" w14:paraId="1FA55C6E" w14:textId="77777777">
      <w:pPr>
        <w:widowControl w:val="0"/>
        <w:numPr>
          <w:ilvl w:val="0"/>
          <w:numId w:val="15"/>
        </w:numPr>
        <w:overflowPunct w:val="0"/>
        <w:autoSpaceDE w:val="0"/>
        <w:autoSpaceDN w:val="0"/>
        <w:adjustRightInd w:val="0"/>
        <w:spacing w:line="276" w:lineRule="auto"/>
        <w:ind w:left="426" w:hanging="426"/>
        <w:textAlignment w:val="baseline"/>
        <w:rPr>
          <w:bCs/>
          <w:iCs/>
        </w:rPr>
      </w:pPr>
      <w:r>
        <w:t>destaca que los fondos de cohesión siguen siendo vitales para aumentar la convergencia económica y social y que, por lo tanto, un enfoque político holístico, coordinado e integrado a escala de la UE resulta fundamental. Las políticas de cohesión deberían contar con el apoyo de una Dirección General de Cohesión específica y preservar su identidad basada en la gobernanza multinivel.</w:t>
      </w:r>
    </w:p>
    <w:p w:rsidRPr="00E85F55" w:rsidR="00E85F55" w:rsidP="00D264FF" w:rsidRDefault="00E85F55" w14:paraId="25D7B97C" w14:textId="77777777">
      <w:pPr>
        <w:widowControl w:val="0"/>
        <w:overflowPunct w:val="0"/>
        <w:autoSpaceDE w:val="0"/>
        <w:autoSpaceDN w:val="0"/>
        <w:adjustRightInd w:val="0"/>
        <w:spacing w:line="276" w:lineRule="auto"/>
        <w:ind w:left="426" w:hanging="426"/>
        <w:textAlignment w:val="baseline"/>
        <w:rPr>
          <w:szCs w:val="20"/>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E85F55" w:rsidR="00E85F55" w:rsidTr="00D264FF" w14:paraId="0CAC661A" w14:textId="77777777">
        <w:tc>
          <w:tcPr>
            <w:tcW w:w="1556" w:type="pct"/>
          </w:tcPr>
          <w:p w:rsidRPr="00E85F55" w:rsidR="00E85F55" w:rsidP="00D264FF" w:rsidRDefault="00E85F55" w14:paraId="5FF3957F" w14:textId="6BE02C26">
            <w:pPr>
              <w:overflowPunct w:val="0"/>
              <w:autoSpaceDE w:val="0"/>
              <w:autoSpaceDN w:val="0"/>
              <w:adjustRightInd w:val="0"/>
              <w:spacing w:line="276" w:lineRule="auto"/>
              <w:textAlignment w:val="baseline"/>
              <w:rPr>
                <w:i/>
              </w:rPr>
            </w:pPr>
            <w:r>
              <w:rPr>
                <w:b/>
                <w:i/>
              </w:rPr>
              <w:t xml:space="preserve">Contacto: </w:t>
            </w:r>
          </w:p>
        </w:tc>
        <w:tc>
          <w:tcPr>
            <w:tcW w:w="3444" w:type="pct"/>
          </w:tcPr>
          <w:p w:rsidRPr="00E85F55" w:rsidR="00E85F55" w:rsidP="00D264FF" w:rsidRDefault="00E85F55" w14:paraId="1EBB25F8" w14:textId="2B4ECE49">
            <w:pPr>
              <w:overflowPunct w:val="0"/>
              <w:autoSpaceDE w:val="0"/>
              <w:autoSpaceDN w:val="0"/>
              <w:adjustRightInd w:val="0"/>
              <w:spacing w:line="276" w:lineRule="auto"/>
              <w:textAlignment w:val="baseline"/>
              <w:rPr>
                <w:i/>
              </w:rPr>
            </w:pPr>
            <w:r>
              <w:rPr>
                <w:i/>
              </w:rPr>
              <w:t>Anna Hakami</w:t>
            </w:r>
          </w:p>
        </w:tc>
      </w:tr>
      <w:tr w:rsidRPr="00E85F55" w:rsidR="00E85F55" w:rsidTr="00D264FF" w14:paraId="58DD341F" w14:textId="77777777">
        <w:tc>
          <w:tcPr>
            <w:tcW w:w="1556" w:type="pct"/>
          </w:tcPr>
          <w:p w:rsidRPr="00E85F55" w:rsidR="00E85F55" w:rsidP="00D264FF" w:rsidRDefault="00E85F55" w14:paraId="4CD5A01A" w14:textId="77777777">
            <w:pPr>
              <w:overflowPunct w:val="0"/>
              <w:autoSpaceDE w:val="0"/>
              <w:autoSpaceDN w:val="0"/>
              <w:adjustRightInd w:val="0"/>
              <w:spacing w:line="276" w:lineRule="auto"/>
              <w:textAlignment w:val="baseline"/>
              <w:rPr>
                <w:i/>
              </w:rPr>
            </w:pPr>
            <w:r>
              <w:rPr>
                <w:i/>
              </w:rPr>
              <w:t>Teléfono:</w:t>
            </w:r>
          </w:p>
        </w:tc>
        <w:tc>
          <w:tcPr>
            <w:tcW w:w="3444" w:type="pct"/>
          </w:tcPr>
          <w:p w:rsidRPr="00E85F55" w:rsidR="00E85F55" w:rsidP="00D264FF" w:rsidRDefault="00E85F55" w14:paraId="3A6BE92D" w14:textId="77777777">
            <w:pPr>
              <w:overflowPunct w:val="0"/>
              <w:autoSpaceDE w:val="0"/>
              <w:autoSpaceDN w:val="0"/>
              <w:adjustRightInd w:val="0"/>
              <w:spacing w:line="276" w:lineRule="auto"/>
              <w:textAlignment w:val="baseline"/>
              <w:rPr>
                <w:i/>
              </w:rPr>
            </w:pPr>
            <w:r>
              <w:rPr>
                <w:i/>
              </w:rPr>
              <w:t>+32 25468674</w:t>
            </w:r>
          </w:p>
        </w:tc>
      </w:tr>
      <w:tr w:rsidRPr="00E85F55" w:rsidR="00E85F55" w:rsidTr="00D264FF" w14:paraId="09CB0502" w14:textId="77777777">
        <w:tc>
          <w:tcPr>
            <w:tcW w:w="1556" w:type="pct"/>
          </w:tcPr>
          <w:p w:rsidRPr="00E85F55" w:rsidR="00E85F55" w:rsidP="00D264FF" w:rsidRDefault="00E85F55" w14:paraId="39255BC2" w14:textId="77777777">
            <w:pPr>
              <w:overflowPunct w:val="0"/>
              <w:autoSpaceDE w:val="0"/>
              <w:autoSpaceDN w:val="0"/>
              <w:adjustRightInd w:val="0"/>
              <w:spacing w:line="276" w:lineRule="auto"/>
              <w:textAlignment w:val="baseline"/>
              <w:rPr>
                <w:i/>
              </w:rPr>
            </w:pPr>
            <w:r>
              <w:rPr>
                <w:i/>
              </w:rPr>
              <w:t>Correo electrónico:</w:t>
            </w:r>
          </w:p>
        </w:tc>
        <w:tc>
          <w:tcPr>
            <w:tcW w:w="3444" w:type="pct"/>
          </w:tcPr>
          <w:p w:rsidR="00E85F55" w:rsidP="00D264FF" w:rsidRDefault="00A207FB" w14:paraId="3F9F1C28" w14:textId="77777777">
            <w:pPr>
              <w:overflowPunct w:val="0"/>
              <w:autoSpaceDE w:val="0"/>
              <w:autoSpaceDN w:val="0"/>
              <w:adjustRightInd w:val="0"/>
              <w:spacing w:line="276" w:lineRule="auto"/>
              <w:textAlignment w:val="baseline"/>
              <w:rPr>
                <w:i/>
              </w:rPr>
            </w:pPr>
            <w:hyperlink w:history="1" r:id="rId21">
              <w:r w:rsidR="00DD115B">
                <w:rPr>
                  <w:i/>
                  <w:color w:val="0000FF"/>
                  <w:u w:val="single"/>
                </w:rPr>
                <w:t>Anna.Hakami@eesc.europa.eu</w:t>
              </w:r>
            </w:hyperlink>
            <w:r w:rsidR="00DD115B">
              <w:rPr>
                <w:i/>
              </w:rPr>
              <w:t xml:space="preserve"> </w:t>
            </w:r>
          </w:p>
          <w:p w:rsidRPr="00E85F55" w:rsidR="007224BE" w:rsidP="00D264FF" w:rsidRDefault="007224BE" w14:paraId="693DFACA" w14:textId="77777777">
            <w:pPr>
              <w:overflowPunct w:val="0"/>
              <w:autoSpaceDE w:val="0"/>
              <w:autoSpaceDN w:val="0"/>
              <w:adjustRightInd w:val="0"/>
              <w:spacing w:line="276" w:lineRule="auto"/>
              <w:textAlignment w:val="baseline"/>
              <w:rPr>
                <w:i/>
              </w:rPr>
            </w:pPr>
          </w:p>
        </w:tc>
      </w:tr>
      <w:tr w:rsidRPr="00E85F55" w:rsidR="00E85F55" w:rsidTr="00D264FF" w14:paraId="78462F3E" w14:textId="77777777">
        <w:tc>
          <w:tcPr>
            <w:tcW w:w="1556" w:type="pct"/>
          </w:tcPr>
          <w:p w:rsidRPr="00D264FF" w:rsidR="00E85F55" w:rsidP="00D264FF" w:rsidRDefault="00D264FF" w14:paraId="4C8BC73D" w14:textId="6AB7C273">
            <w:pPr>
              <w:overflowPunct w:val="0"/>
              <w:autoSpaceDE w:val="0"/>
              <w:autoSpaceDN w:val="0"/>
              <w:adjustRightInd w:val="0"/>
              <w:spacing w:line="276" w:lineRule="auto"/>
              <w:textAlignment w:val="baseline"/>
              <w:rPr>
                <w:b/>
                <w:bCs/>
                <w:i/>
              </w:rPr>
            </w:pPr>
            <w:r w:rsidRPr="00D264FF">
              <w:rPr>
                <w:b/>
                <w:bCs/>
                <w:i/>
              </w:rPr>
              <w:t>Contacto:</w:t>
            </w:r>
          </w:p>
        </w:tc>
        <w:tc>
          <w:tcPr>
            <w:tcW w:w="3444" w:type="pct"/>
          </w:tcPr>
          <w:p w:rsidRPr="00E85F55" w:rsidR="00E85F55" w:rsidP="00D264FF" w:rsidRDefault="00E85F55" w14:paraId="29673AC4" w14:textId="07E97004">
            <w:pPr>
              <w:overflowPunct w:val="0"/>
              <w:autoSpaceDE w:val="0"/>
              <w:autoSpaceDN w:val="0"/>
              <w:adjustRightInd w:val="0"/>
              <w:spacing w:line="276" w:lineRule="auto"/>
              <w:textAlignment w:val="baseline"/>
              <w:rPr>
                <w:i/>
              </w:rPr>
            </w:pPr>
            <w:r>
              <w:rPr>
                <w:i/>
              </w:rPr>
              <w:t>Eniko Greff</w:t>
            </w:r>
          </w:p>
        </w:tc>
      </w:tr>
      <w:tr w:rsidRPr="00E85F55" w:rsidR="00E85F55" w:rsidTr="00D264FF" w14:paraId="30A8EF76" w14:textId="77777777">
        <w:tc>
          <w:tcPr>
            <w:tcW w:w="1556" w:type="pct"/>
          </w:tcPr>
          <w:p w:rsidRPr="00E85F55" w:rsidR="00E85F55" w:rsidP="00D264FF" w:rsidRDefault="00E85F55" w14:paraId="378F46A6" w14:textId="77777777">
            <w:pPr>
              <w:overflowPunct w:val="0"/>
              <w:autoSpaceDE w:val="0"/>
              <w:autoSpaceDN w:val="0"/>
              <w:adjustRightInd w:val="0"/>
              <w:spacing w:line="276" w:lineRule="auto"/>
              <w:textAlignment w:val="baseline"/>
              <w:rPr>
                <w:i/>
              </w:rPr>
            </w:pPr>
            <w:r>
              <w:rPr>
                <w:i/>
              </w:rPr>
              <w:t>Teléfono:</w:t>
            </w:r>
          </w:p>
        </w:tc>
        <w:tc>
          <w:tcPr>
            <w:tcW w:w="3444" w:type="pct"/>
          </w:tcPr>
          <w:p w:rsidRPr="00E85F55" w:rsidR="00E85F55" w:rsidP="00D264FF" w:rsidRDefault="00E85F55" w14:paraId="0E962227" w14:textId="77777777">
            <w:pPr>
              <w:overflowPunct w:val="0"/>
              <w:autoSpaceDE w:val="0"/>
              <w:autoSpaceDN w:val="0"/>
              <w:adjustRightInd w:val="0"/>
              <w:spacing w:line="276" w:lineRule="auto"/>
              <w:textAlignment w:val="baseline"/>
              <w:rPr>
                <w:i/>
              </w:rPr>
            </w:pPr>
            <w:r>
              <w:rPr>
                <w:i/>
              </w:rPr>
              <w:t>+32 25468792</w:t>
            </w:r>
          </w:p>
        </w:tc>
      </w:tr>
      <w:tr w:rsidRPr="00E85F55" w:rsidR="00E85F55" w:rsidTr="00D264FF" w14:paraId="6FEEAA62" w14:textId="77777777">
        <w:tc>
          <w:tcPr>
            <w:tcW w:w="1556" w:type="pct"/>
          </w:tcPr>
          <w:p w:rsidRPr="00E85F55" w:rsidR="00E85F55" w:rsidP="00D264FF" w:rsidRDefault="00E85F55" w14:paraId="5BF74BAC" w14:textId="77777777">
            <w:pPr>
              <w:overflowPunct w:val="0"/>
              <w:autoSpaceDE w:val="0"/>
              <w:autoSpaceDN w:val="0"/>
              <w:adjustRightInd w:val="0"/>
              <w:spacing w:line="276" w:lineRule="auto"/>
              <w:textAlignment w:val="baseline"/>
              <w:rPr>
                <w:i/>
              </w:rPr>
            </w:pPr>
            <w:r>
              <w:rPr>
                <w:i/>
              </w:rPr>
              <w:t>Correo electrónico:</w:t>
            </w:r>
          </w:p>
        </w:tc>
        <w:tc>
          <w:tcPr>
            <w:tcW w:w="3444" w:type="pct"/>
          </w:tcPr>
          <w:p w:rsidRPr="00E85F55" w:rsidR="00E85F55" w:rsidP="00D264FF" w:rsidRDefault="00A207FB" w14:paraId="391EDC1A" w14:textId="77777777">
            <w:pPr>
              <w:overflowPunct w:val="0"/>
              <w:autoSpaceDE w:val="0"/>
              <w:autoSpaceDN w:val="0"/>
              <w:adjustRightInd w:val="0"/>
              <w:spacing w:line="276" w:lineRule="auto"/>
              <w:textAlignment w:val="baseline"/>
              <w:rPr>
                <w:i/>
              </w:rPr>
            </w:pPr>
            <w:hyperlink w:history="1" r:id="rId22">
              <w:r w:rsidR="00DD115B">
                <w:rPr>
                  <w:i/>
                  <w:color w:val="0000FF"/>
                  <w:u w:val="single"/>
                </w:rPr>
                <w:t>Eniko.Greff@eesc.europa.eu</w:t>
              </w:r>
            </w:hyperlink>
            <w:r w:rsidR="00DD115B">
              <w:rPr>
                <w:i/>
              </w:rPr>
              <w:t xml:space="preserve"> </w:t>
            </w:r>
          </w:p>
        </w:tc>
      </w:tr>
    </w:tbl>
    <w:p w:rsidR="002673F7" w:rsidP="00D264FF" w:rsidRDefault="002673F7" w14:paraId="05E09868" w14:textId="2365DBE3">
      <w:pPr>
        <w:spacing w:line="276" w:lineRule="auto"/>
        <w:jc w:val="left"/>
      </w:pPr>
    </w:p>
    <w:p w:rsidR="00D264FF" w:rsidP="00D264FF" w:rsidRDefault="00D264FF" w14:paraId="15B1461F" w14:textId="77777777">
      <w:pPr>
        <w:spacing w:line="276" w:lineRule="auto"/>
        <w:jc w:val="left"/>
      </w:pPr>
    </w:p>
    <w:p w:rsidR="004D7AC0" w:rsidP="00D264FF" w:rsidRDefault="004D7AC0" w14:paraId="4982DD6D" w14:textId="5F7524E1">
      <w:pPr>
        <w:pStyle w:val="Heading1"/>
        <w:keepNext/>
        <w:keepLines/>
        <w:spacing w:line="276" w:lineRule="auto"/>
        <w:rPr>
          <w:b/>
        </w:rPr>
      </w:pPr>
      <w:bookmarkStart w:name="_Toc184804673" w:id="1"/>
      <w:r>
        <w:rPr>
          <w:b/>
        </w:rPr>
        <w:t>UNIÓN ECONÓMICA Y MONETARIA Y COHESIÓN ECONÓMICA Y SOCIAL</w:t>
      </w:r>
      <w:bookmarkEnd w:id="1"/>
    </w:p>
    <w:p w:rsidR="00F52D24" w:rsidP="00D264FF" w:rsidRDefault="00F52D24" w14:paraId="1D43B004" w14:textId="77777777">
      <w:pPr>
        <w:keepNext/>
        <w:keepLines/>
        <w:spacing w:line="276" w:lineRule="auto"/>
      </w:pPr>
    </w:p>
    <w:p w:rsidRPr="00643D0B" w:rsidR="009C5B03" w:rsidP="00D264FF" w:rsidRDefault="00A207FB" w14:paraId="01A0641A" w14:textId="331D5F8D">
      <w:pPr>
        <w:widowControl w:val="0"/>
        <w:numPr>
          <w:ilvl w:val="0"/>
          <w:numId w:val="5"/>
        </w:numPr>
        <w:overflowPunct w:val="0"/>
        <w:autoSpaceDE w:val="0"/>
        <w:autoSpaceDN w:val="0"/>
        <w:adjustRightInd w:val="0"/>
        <w:spacing w:line="276" w:lineRule="auto"/>
        <w:ind w:left="567" w:hanging="567"/>
        <w:contextualSpacing/>
        <w:jc w:val="left"/>
        <w:textAlignment w:val="baseline"/>
        <w:rPr>
          <w:rFonts w:ascii="Calibri" w:hAnsi="Calibri"/>
          <w:b/>
          <w:bCs/>
          <w:i/>
          <w:iCs/>
          <w:sz w:val="28"/>
          <w:szCs w:val="28"/>
        </w:rPr>
      </w:pPr>
      <w:hyperlink w:history="1" r:id="rId23">
        <w:r w:rsidR="009C5B03">
          <w:rPr>
            <w:b/>
            <w:i/>
            <w:color w:val="0000FF"/>
            <w:sz w:val="28"/>
            <w:u w:val="single"/>
          </w:rPr>
          <w:t>Apoyo regional ur</w:t>
        </w:r>
        <w:r w:rsidR="009C5B03">
          <w:rPr>
            <w:b/>
            <w:i/>
            <w:color w:val="0000FF"/>
            <w:sz w:val="28"/>
            <w:u w:val="single"/>
          </w:rPr>
          <w:t>g</w:t>
        </w:r>
        <w:r w:rsidR="009C5B03">
          <w:rPr>
            <w:b/>
            <w:i/>
            <w:color w:val="0000FF"/>
            <w:sz w:val="28"/>
            <w:u w:val="single"/>
          </w:rPr>
          <w:t>ente – RE</w:t>
        </w:r>
        <w:r w:rsidR="009C5B03">
          <w:rPr>
            <w:b/>
            <w:i/>
            <w:color w:val="0000FF"/>
            <w:sz w:val="28"/>
            <w:u w:val="single"/>
          </w:rPr>
          <w:t>S</w:t>
        </w:r>
        <w:r w:rsidR="009C5B03">
          <w:rPr>
            <w:b/>
            <w:i/>
            <w:color w:val="0000FF"/>
            <w:sz w:val="28"/>
            <w:u w:val="single"/>
          </w:rPr>
          <w:t>TORE</w:t>
        </w:r>
      </w:hyperlink>
    </w:p>
    <w:p w:rsidRPr="00D264FF" w:rsidR="00F50E3E" w:rsidP="00D264FF" w:rsidRDefault="00F50E3E" w14:paraId="7685E971" w14:textId="77777777">
      <w:pPr>
        <w:widowControl w:val="0"/>
        <w:overflowPunct w:val="0"/>
        <w:autoSpaceDE w:val="0"/>
        <w:autoSpaceDN w:val="0"/>
        <w:adjustRightInd w:val="0"/>
        <w:spacing w:line="276" w:lineRule="auto"/>
        <w:contextualSpacing/>
        <w:jc w:val="left"/>
        <w:textAlignment w:val="baseline"/>
        <w:rPr>
          <w:rFonts w:ascii="Calibri" w:hAnsi="Calibri"/>
          <w:lang w:val="en-GB" w:eastAsia="zh-CN"/>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912"/>
      </w:tblGrid>
      <w:tr w:rsidRPr="009C5B03" w:rsidR="009C5B03" w:rsidTr="00D264FF" w14:paraId="50C784B1" w14:textId="77777777">
        <w:tc>
          <w:tcPr>
            <w:tcW w:w="2127" w:type="dxa"/>
          </w:tcPr>
          <w:p w:rsidRPr="009C5B03" w:rsidR="009C5B03" w:rsidP="00D264FF" w:rsidRDefault="009C5B03" w14:paraId="012CF731" w14:textId="78C3D6A4">
            <w:pPr>
              <w:overflowPunct w:val="0"/>
              <w:autoSpaceDE w:val="0"/>
              <w:autoSpaceDN w:val="0"/>
              <w:adjustRightInd w:val="0"/>
              <w:spacing w:line="276" w:lineRule="auto"/>
              <w:textAlignment w:val="baseline"/>
              <w:rPr>
                <w:b/>
              </w:rPr>
            </w:pPr>
            <w:r>
              <w:rPr>
                <w:b/>
              </w:rPr>
              <w:t>Ponente general</w:t>
            </w:r>
          </w:p>
        </w:tc>
        <w:tc>
          <w:tcPr>
            <w:tcW w:w="6912" w:type="dxa"/>
          </w:tcPr>
          <w:p w:rsidRPr="009C5B03" w:rsidR="009C5B03" w:rsidP="00D264FF" w:rsidRDefault="009C5B03" w14:paraId="3513B9B1" w14:textId="0C0E4E43">
            <w:pPr>
              <w:tabs>
                <w:tab w:val="center" w:pos="284"/>
              </w:tabs>
              <w:overflowPunct w:val="0"/>
              <w:autoSpaceDE w:val="0"/>
              <w:autoSpaceDN w:val="0"/>
              <w:adjustRightInd w:val="0"/>
              <w:spacing w:line="276" w:lineRule="auto"/>
              <w:textAlignment w:val="baseline"/>
            </w:pPr>
            <w:r>
              <w:t>Ioannis VARDAKASTANIS (Grupo de Organizaciones de la Sociedad Civil – EL)</w:t>
            </w:r>
          </w:p>
        </w:tc>
      </w:tr>
      <w:tr w:rsidRPr="009C5B03" w:rsidR="009C5B03" w:rsidTr="00D264FF" w14:paraId="04ADF6CF" w14:textId="77777777">
        <w:tc>
          <w:tcPr>
            <w:tcW w:w="9039" w:type="dxa"/>
            <w:gridSpan w:val="2"/>
          </w:tcPr>
          <w:p w:rsidRPr="009C5B03" w:rsidR="009C5B03" w:rsidP="00D264FF" w:rsidRDefault="009C5B03" w14:paraId="113A4D23" w14:textId="77777777">
            <w:pPr>
              <w:tabs>
                <w:tab w:val="center" w:pos="284"/>
              </w:tabs>
              <w:overflowPunct w:val="0"/>
              <w:autoSpaceDE w:val="0"/>
              <w:autoSpaceDN w:val="0"/>
              <w:adjustRightInd w:val="0"/>
              <w:spacing w:line="276" w:lineRule="auto"/>
              <w:textAlignment w:val="baseline"/>
              <w:rPr>
                <w:lang w:val="en-GB"/>
              </w:rPr>
            </w:pPr>
          </w:p>
        </w:tc>
      </w:tr>
      <w:tr w:rsidRPr="009C5B03" w:rsidR="009C5B03" w:rsidTr="00D264FF" w14:paraId="05F46EE6" w14:textId="77777777">
        <w:tc>
          <w:tcPr>
            <w:tcW w:w="2127" w:type="dxa"/>
          </w:tcPr>
          <w:p w:rsidRPr="009C5B03" w:rsidR="009C5B03" w:rsidP="00D264FF" w:rsidRDefault="009C5B03" w14:paraId="20E2146E" w14:textId="77777777">
            <w:pPr>
              <w:tabs>
                <w:tab w:val="center" w:pos="284"/>
              </w:tabs>
              <w:overflowPunct w:val="0"/>
              <w:autoSpaceDE w:val="0"/>
              <w:autoSpaceDN w:val="0"/>
              <w:adjustRightInd w:val="0"/>
              <w:spacing w:line="276" w:lineRule="auto"/>
              <w:textAlignment w:val="baseline"/>
              <w:rPr>
                <w:b/>
              </w:rPr>
            </w:pPr>
            <w:r>
              <w:rPr>
                <w:b/>
                <w:bCs/>
              </w:rPr>
              <w:t>Referencias</w:t>
            </w:r>
          </w:p>
        </w:tc>
        <w:tc>
          <w:tcPr>
            <w:tcW w:w="6912" w:type="dxa"/>
          </w:tcPr>
          <w:p w:rsidRPr="009C5B03" w:rsidR="009C5B03" w:rsidP="00D264FF" w:rsidRDefault="009C5B03" w14:paraId="1C368067" w14:textId="77777777">
            <w:pPr>
              <w:tabs>
                <w:tab w:val="center" w:pos="284"/>
              </w:tabs>
              <w:overflowPunct w:val="0"/>
              <w:autoSpaceDE w:val="0"/>
              <w:autoSpaceDN w:val="0"/>
              <w:adjustRightInd w:val="0"/>
              <w:spacing w:line="276" w:lineRule="auto"/>
              <w:textAlignment w:val="baseline"/>
            </w:pPr>
            <w:r>
              <w:t>COM(2024) 496 final</w:t>
            </w:r>
          </w:p>
          <w:p w:rsidRPr="009C5B03" w:rsidR="009C5B03" w:rsidP="00D264FF" w:rsidRDefault="009C5B03" w14:paraId="71E8AAFC" w14:textId="77777777">
            <w:pPr>
              <w:tabs>
                <w:tab w:val="center" w:pos="284"/>
              </w:tabs>
              <w:overflowPunct w:val="0"/>
              <w:autoSpaceDE w:val="0"/>
              <w:autoSpaceDN w:val="0"/>
              <w:adjustRightInd w:val="0"/>
              <w:spacing w:line="276" w:lineRule="auto"/>
              <w:textAlignment w:val="baseline"/>
              <w:rPr>
                <w:highlight w:val="yellow"/>
              </w:rPr>
            </w:pPr>
            <w:r>
              <w:t>EESC-2024-03939-00-00-AC</w:t>
            </w:r>
          </w:p>
        </w:tc>
      </w:tr>
    </w:tbl>
    <w:p w:rsidR="009C5B03" w:rsidP="00D264FF" w:rsidRDefault="009C5B03" w14:paraId="0D4F3005"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D264FF" w:rsidR="00F50E3E" w:rsidP="00D264FF" w:rsidRDefault="00F50E3E" w14:paraId="45D003C6"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009C5B03" w:rsidP="00D264FF" w:rsidRDefault="009C5B03" w14:paraId="31F1E7B7" w14:textId="2AEB2239">
      <w:pPr>
        <w:overflowPunct w:val="0"/>
        <w:autoSpaceDE w:val="0"/>
        <w:autoSpaceDN w:val="0"/>
        <w:adjustRightInd w:val="0"/>
        <w:spacing w:line="276" w:lineRule="auto"/>
        <w:ind w:left="425" w:hanging="425"/>
        <w:textAlignment w:val="baseline"/>
      </w:pPr>
      <w:r>
        <w:t>El CESE:</w:t>
      </w:r>
    </w:p>
    <w:p w:rsidR="00D264FF" w:rsidP="00D264FF" w:rsidRDefault="00D264FF" w14:paraId="198CB5A2" w14:textId="77777777">
      <w:pPr>
        <w:overflowPunct w:val="0"/>
        <w:autoSpaceDE w:val="0"/>
        <w:autoSpaceDN w:val="0"/>
        <w:adjustRightInd w:val="0"/>
        <w:spacing w:line="240" w:lineRule="auto"/>
        <w:ind w:left="425" w:hanging="425"/>
        <w:textAlignment w:val="baseline"/>
        <w:rPr>
          <w:szCs w:val="20"/>
        </w:rPr>
      </w:pPr>
    </w:p>
    <w:p w:rsidRPr="00816CEF" w:rsidR="009C5B03" w:rsidP="00D264FF" w:rsidRDefault="009C5B03" w14:paraId="28531E4A" w14:textId="77777777">
      <w:pPr>
        <w:pStyle w:val="ListParagraph"/>
        <w:numPr>
          <w:ilvl w:val="0"/>
          <w:numId w:val="46"/>
        </w:numPr>
        <w:spacing w:line="276" w:lineRule="auto"/>
        <w:ind w:left="426" w:hanging="426"/>
        <w:rPr>
          <w:szCs w:val="20"/>
        </w:rPr>
      </w:pPr>
      <w:r>
        <w:t>manifiesta claramente su solidaridad y apoyo a las personas gravemente afectadas por las recientes catástrofes naturales en Europa central, oriental y meridional. Cuando las catástrofes climáticas afectan a las regiones de la UE, Europa es más fuerte si colabora y se mantiene unida;</w:t>
      </w:r>
    </w:p>
    <w:p w:rsidRPr="00816CEF" w:rsidR="009C5B03" w:rsidP="00D264FF" w:rsidRDefault="009C5B03" w14:paraId="17BDC950" w14:textId="77777777">
      <w:pPr>
        <w:pStyle w:val="ListParagraph"/>
        <w:numPr>
          <w:ilvl w:val="0"/>
          <w:numId w:val="46"/>
        </w:numPr>
        <w:spacing w:line="276" w:lineRule="auto"/>
        <w:ind w:left="426" w:hanging="426"/>
        <w:rPr>
          <w:szCs w:val="20"/>
        </w:rPr>
      </w:pPr>
      <w:r>
        <w:t>reconoce que las consecuencias del cambio climático y la escasez de recursos ya se están dejando sentir. Aunque la Unión acierta al comprometerse con la tarea de evitar un empeoramiento de la situación, no estamos preparados para emergencias climáticas, crisis energéticas y catástrofes naturales imprevistas;</w:t>
      </w:r>
    </w:p>
    <w:p w:rsidRPr="00816CEF" w:rsidR="009C5B03" w:rsidP="00D264FF" w:rsidRDefault="009C5B03" w14:paraId="66E0C007" w14:textId="77777777">
      <w:pPr>
        <w:pStyle w:val="ListParagraph"/>
        <w:numPr>
          <w:ilvl w:val="0"/>
          <w:numId w:val="46"/>
        </w:numPr>
        <w:spacing w:line="276" w:lineRule="auto"/>
        <w:ind w:left="426" w:hanging="426"/>
        <w:rPr>
          <w:szCs w:val="20"/>
        </w:rPr>
      </w:pPr>
      <w:r>
        <w:t>destaca que es necesario un cambio sistémico del modo en que funciona nuestra economía, y que es crucial que los gobiernos se comprometan a adoptar soluciones sistémicas en lugar de limitarse a abordar los síntomas del problema;</w:t>
      </w:r>
    </w:p>
    <w:p w:rsidRPr="00816CEF" w:rsidR="009C5B03" w:rsidP="00D264FF" w:rsidRDefault="009C5B03" w14:paraId="5733AEB3" w14:textId="77777777">
      <w:pPr>
        <w:pStyle w:val="ListParagraph"/>
        <w:numPr>
          <w:ilvl w:val="0"/>
          <w:numId w:val="46"/>
        </w:numPr>
        <w:spacing w:line="276" w:lineRule="auto"/>
        <w:ind w:left="426" w:hanging="426"/>
        <w:rPr>
          <w:szCs w:val="20"/>
        </w:rPr>
      </w:pPr>
      <w:r>
        <w:t>considera que se necesitarán medidas inmediatas, sencillas y eficaces para paliar las consecuencias sociales, territoriales y económicas de estas catástrofes naturales. Las regiones de la UE requerirán amplias obras de reconstrucción para recuperarse de estas catástrofes;</w:t>
      </w:r>
    </w:p>
    <w:p w:rsidRPr="00816CEF" w:rsidR="009C5B03" w:rsidP="00D264FF" w:rsidRDefault="009C5B03" w14:paraId="74C1E0EA" w14:textId="77777777">
      <w:pPr>
        <w:pStyle w:val="ListParagraph"/>
        <w:numPr>
          <w:ilvl w:val="0"/>
          <w:numId w:val="46"/>
        </w:numPr>
        <w:spacing w:line="276" w:lineRule="auto"/>
        <w:ind w:left="426" w:hanging="426"/>
        <w:rPr>
          <w:szCs w:val="20"/>
        </w:rPr>
      </w:pPr>
      <w:r>
        <w:t>acoge con satisfacción la flexibilidad que se prevé en la propuesta de la Comisión para apoyar a los países afectados, habida cuenta del impacto grave y duradero que las catástrofes naturales tienen en el tejido social y económico de las regiones de la UE;</w:t>
      </w:r>
    </w:p>
    <w:p w:rsidRPr="00816CEF" w:rsidR="009C5B03" w:rsidP="00D264FF" w:rsidRDefault="009C5B03" w14:paraId="4CDE73AF" w14:textId="77777777">
      <w:pPr>
        <w:pStyle w:val="ListParagraph"/>
        <w:numPr>
          <w:ilvl w:val="0"/>
          <w:numId w:val="46"/>
        </w:numPr>
        <w:spacing w:line="276" w:lineRule="auto"/>
        <w:ind w:left="426" w:hanging="426"/>
        <w:rPr>
          <w:szCs w:val="20"/>
        </w:rPr>
      </w:pPr>
      <w:r>
        <w:lastRenderedPageBreak/>
        <w:t>expresa su apoyo a la política de cohesión como instrumento de inversión a largo plazo de la UE, al tiempo que reconoce que las catástrofes naturales extremas pueden poner en peligro su desarrollo en el futuro;</w:t>
      </w:r>
    </w:p>
    <w:p w:rsidRPr="00816CEF" w:rsidR="009C5B03" w:rsidP="00D264FF" w:rsidRDefault="009C5B03" w14:paraId="0D08D206" w14:textId="77777777">
      <w:pPr>
        <w:pStyle w:val="ListParagraph"/>
        <w:numPr>
          <w:ilvl w:val="0"/>
          <w:numId w:val="46"/>
        </w:numPr>
        <w:spacing w:line="276" w:lineRule="auto"/>
        <w:ind w:left="426" w:hanging="426"/>
        <w:rPr>
          <w:szCs w:val="20"/>
        </w:rPr>
      </w:pPr>
      <w:r>
        <w:t>subraya con fuerza que el principio fundamental de no dejar a nadie —ni personas ni regiones— atrás en la política de cohesión sigue teniendo vigencia y validez, y que los interlocutores de la sociedad civil están dispuestos a seguir trabajando en favor de este principio a través de una política de inversión sólida de la UE;</w:t>
      </w:r>
    </w:p>
    <w:p w:rsidRPr="00816CEF" w:rsidR="009C5B03" w:rsidP="00D264FF" w:rsidRDefault="009C5B03" w14:paraId="266DF4AB" w14:textId="77777777">
      <w:pPr>
        <w:pStyle w:val="ListParagraph"/>
        <w:numPr>
          <w:ilvl w:val="0"/>
          <w:numId w:val="46"/>
        </w:numPr>
        <w:spacing w:line="276" w:lineRule="auto"/>
        <w:ind w:left="426" w:hanging="426"/>
        <w:rPr>
          <w:szCs w:val="20"/>
        </w:rPr>
      </w:pPr>
      <w:r>
        <w:t>se refiere de forma clara y contundente a la política de cohesión como la política de inversión a largo plazo más importante de la UE para reducir las disparidades regionales, económicas y territoriales;</w:t>
      </w:r>
    </w:p>
    <w:p w:rsidRPr="00816CEF" w:rsidR="009C5B03" w:rsidP="00D264FF" w:rsidRDefault="009C5B03" w14:paraId="634FF858" w14:textId="1BDD1D69">
      <w:pPr>
        <w:pStyle w:val="ListParagraph"/>
        <w:numPr>
          <w:ilvl w:val="0"/>
          <w:numId w:val="46"/>
        </w:numPr>
        <w:spacing w:line="276" w:lineRule="auto"/>
        <w:ind w:left="426" w:hanging="426"/>
        <w:rPr>
          <w:szCs w:val="20"/>
        </w:rPr>
      </w:pPr>
      <w:r>
        <w:t>considera que la UE necesita un nuevo mecanismo de financiación estable y sólido que sea adaptable, flexible y esté preparado para responder a crisis nuevas y emergentes en los próximos años y décadas. es esencial que el funcionamiento de este mecanismo, más centrado en las respuestas rápidas y urgentes, sea coherente con las políticas generales de la Unión en materia de clima, medio ambiente y energía;</w:t>
      </w:r>
    </w:p>
    <w:p w:rsidRPr="00816CEF" w:rsidR="009C5B03" w:rsidP="00D264FF" w:rsidRDefault="009C5B03" w14:paraId="0DF738F7" w14:textId="0CBDFA0C">
      <w:pPr>
        <w:pStyle w:val="ListParagraph"/>
        <w:numPr>
          <w:ilvl w:val="0"/>
          <w:numId w:val="46"/>
        </w:numPr>
        <w:spacing w:line="276" w:lineRule="auto"/>
        <w:ind w:left="426" w:hanging="426"/>
        <w:rPr>
          <w:szCs w:val="20"/>
        </w:rPr>
      </w:pPr>
      <w:r>
        <w:t>insta a la Comisión Europea a colaborar estrechamente con los Estados miembros, los entes locales y las organizaciones de la sociedad civil para que aprovechen de la manera más eficaz y rápida posible las oportunidades de ayuda a las regiones afectadas. Las organizaciones de la sociedad civil, los trabajadores, las pymes y las ONG se han visto gravemente perjudicados por las catástrofes naturales y una parte sustancial de los fondos debe destinarse a ellos;</w:t>
      </w:r>
    </w:p>
    <w:p w:rsidRPr="00D264FF" w:rsidR="009C5B03" w:rsidP="00D264FF" w:rsidRDefault="009C5B03" w14:paraId="60510BE8" w14:textId="4838F29E">
      <w:pPr>
        <w:pStyle w:val="ListParagraph"/>
        <w:numPr>
          <w:ilvl w:val="0"/>
          <w:numId w:val="46"/>
        </w:numPr>
        <w:spacing w:line="276" w:lineRule="auto"/>
        <w:ind w:left="426" w:hanging="426"/>
        <w:rPr>
          <w:szCs w:val="20"/>
        </w:rPr>
      </w:pPr>
      <w:r>
        <w:t>hace un llamamiento al Consejo y al Parlamento Europeo para que aprueben rápidamente el Reglamento a fin de que pueda aplicarse lo antes posible.</w:t>
      </w:r>
    </w:p>
    <w:p w:rsidRPr="00D264FF" w:rsidR="00D264FF" w:rsidP="000E2EFF" w:rsidRDefault="00D264FF" w14:paraId="4BC07B6D" w14:textId="77777777">
      <w:pPr>
        <w:spacing w:line="276" w:lineRule="auto"/>
        <w:rPr>
          <w:szCs w:val="20"/>
        </w:rPr>
      </w:pPr>
    </w:p>
    <w:tbl>
      <w:tblPr>
        <w:tblStyle w:val="TableGrid2"/>
        <w:tblW w:w="5691"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6"/>
        <w:gridCol w:w="3735"/>
      </w:tblGrid>
      <w:tr w:rsidRPr="009C5B03" w:rsidR="00902A1F" w:rsidTr="00D264FF" w14:paraId="06614FB7" w14:textId="77777777">
        <w:tc>
          <w:tcPr>
            <w:tcW w:w="1956" w:type="dxa"/>
          </w:tcPr>
          <w:p w:rsidRPr="009C5B03" w:rsidR="00902A1F" w:rsidP="000E2EFF" w:rsidRDefault="00902A1F" w14:paraId="0619ADAD" w14:textId="77777777">
            <w:pPr>
              <w:overflowPunct w:val="0"/>
              <w:autoSpaceDE w:val="0"/>
              <w:autoSpaceDN w:val="0"/>
              <w:adjustRightInd w:val="0"/>
              <w:spacing w:line="276" w:lineRule="auto"/>
              <w:textAlignment w:val="baseline"/>
              <w:rPr>
                <w:bCs/>
                <w:i/>
              </w:rPr>
            </w:pPr>
            <w:r>
              <w:rPr>
                <w:b/>
                <w:bCs/>
                <w:i/>
              </w:rPr>
              <w:t>Contacto:</w:t>
            </w:r>
          </w:p>
        </w:tc>
        <w:tc>
          <w:tcPr>
            <w:tcW w:w="3735" w:type="dxa"/>
          </w:tcPr>
          <w:p w:rsidRPr="009C5B03" w:rsidR="00902A1F" w:rsidP="000E2EFF" w:rsidRDefault="00902A1F" w14:paraId="22287D72" w14:textId="77777777">
            <w:pPr>
              <w:overflowPunct w:val="0"/>
              <w:autoSpaceDE w:val="0"/>
              <w:autoSpaceDN w:val="0"/>
              <w:adjustRightInd w:val="0"/>
              <w:spacing w:line="276" w:lineRule="auto"/>
              <w:textAlignment w:val="baseline"/>
              <w:rPr>
                <w:bCs/>
                <w:i/>
                <w:iCs/>
              </w:rPr>
            </w:pPr>
            <w:r>
              <w:rPr>
                <w:i/>
              </w:rPr>
              <w:t>Georgios Meleas</w:t>
            </w:r>
          </w:p>
        </w:tc>
      </w:tr>
      <w:tr w:rsidRPr="009C5B03" w:rsidR="00902A1F" w:rsidTr="00D264FF" w14:paraId="549E05C1" w14:textId="77777777">
        <w:tc>
          <w:tcPr>
            <w:tcW w:w="1956" w:type="dxa"/>
          </w:tcPr>
          <w:p w:rsidRPr="009C5B03" w:rsidR="00902A1F" w:rsidP="000E2EFF" w:rsidRDefault="00902A1F" w14:paraId="5E3BD607" w14:textId="77777777">
            <w:pPr>
              <w:overflowPunct w:val="0"/>
              <w:autoSpaceDE w:val="0"/>
              <w:autoSpaceDN w:val="0"/>
              <w:adjustRightInd w:val="0"/>
              <w:spacing w:line="276" w:lineRule="auto"/>
              <w:textAlignment w:val="baseline"/>
              <w:rPr>
                <w:i/>
              </w:rPr>
            </w:pPr>
            <w:r>
              <w:rPr>
                <w:i/>
              </w:rPr>
              <w:t>Teléfono:</w:t>
            </w:r>
          </w:p>
        </w:tc>
        <w:tc>
          <w:tcPr>
            <w:tcW w:w="3735" w:type="dxa"/>
          </w:tcPr>
          <w:p w:rsidRPr="009C5B03" w:rsidR="00902A1F" w:rsidP="000E2EFF" w:rsidRDefault="00902A1F" w14:paraId="388EAD60" w14:textId="77777777">
            <w:pPr>
              <w:overflowPunct w:val="0"/>
              <w:autoSpaceDE w:val="0"/>
              <w:autoSpaceDN w:val="0"/>
              <w:adjustRightInd w:val="0"/>
              <w:spacing w:line="276" w:lineRule="auto"/>
              <w:textAlignment w:val="baseline"/>
              <w:rPr>
                <w:i/>
                <w:iCs/>
              </w:rPr>
            </w:pPr>
            <w:r>
              <w:rPr>
                <w:i/>
              </w:rPr>
              <w:t>+32 25469795</w:t>
            </w:r>
          </w:p>
        </w:tc>
      </w:tr>
      <w:tr w:rsidRPr="009C5B03" w:rsidR="00902A1F" w:rsidTr="00D264FF" w14:paraId="3990E4FC" w14:textId="77777777">
        <w:tc>
          <w:tcPr>
            <w:tcW w:w="1956" w:type="dxa"/>
          </w:tcPr>
          <w:p w:rsidRPr="009C5B03" w:rsidR="00902A1F" w:rsidP="000E2EFF" w:rsidRDefault="00902A1F" w14:paraId="4D4F9AB3" w14:textId="77777777">
            <w:pPr>
              <w:overflowPunct w:val="0"/>
              <w:autoSpaceDE w:val="0"/>
              <w:autoSpaceDN w:val="0"/>
              <w:adjustRightInd w:val="0"/>
              <w:spacing w:line="276" w:lineRule="auto"/>
              <w:textAlignment w:val="baseline"/>
              <w:rPr>
                <w:i/>
              </w:rPr>
            </w:pPr>
            <w:r>
              <w:rPr>
                <w:i/>
              </w:rPr>
              <w:t>Correo electrónico:</w:t>
            </w:r>
          </w:p>
        </w:tc>
        <w:tc>
          <w:tcPr>
            <w:tcW w:w="3735" w:type="dxa"/>
          </w:tcPr>
          <w:p w:rsidRPr="009C5B03" w:rsidR="00902A1F" w:rsidP="000E2EFF" w:rsidRDefault="00A207FB" w14:paraId="01EE99DA" w14:textId="77777777">
            <w:pPr>
              <w:overflowPunct w:val="0"/>
              <w:autoSpaceDE w:val="0"/>
              <w:autoSpaceDN w:val="0"/>
              <w:adjustRightInd w:val="0"/>
              <w:spacing w:line="276" w:lineRule="auto"/>
              <w:textAlignment w:val="baseline"/>
              <w:rPr>
                <w:i/>
                <w:iCs/>
              </w:rPr>
            </w:pPr>
            <w:hyperlink w:history="1" r:id="rId24">
              <w:r w:rsidR="00902A1F">
                <w:rPr>
                  <w:color w:val="0000FF"/>
                  <w:u w:val="single"/>
                </w:rPr>
                <w:t>Georgios.Meleas@eesc.europa.eu</w:t>
              </w:r>
            </w:hyperlink>
          </w:p>
        </w:tc>
      </w:tr>
    </w:tbl>
    <w:p w:rsidRPr="000E2EFF" w:rsidR="000E2EFF" w:rsidP="00321A8C" w:rsidRDefault="000E2EFF" w14:paraId="35DDC084" w14:textId="77777777">
      <w:pPr>
        <w:spacing w:line="276" w:lineRule="auto"/>
        <w:rPr>
          <w:bCs/>
        </w:rPr>
      </w:pPr>
    </w:p>
    <w:p w:rsidRPr="00482C25" w:rsidR="00482C25" w:rsidP="000E2EFF" w:rsidRDefault="00A207FB" w14:paraId="22B8A203" w14:textId="12187833">
      <w:pPr>
        <w:widowControl w:val="0"/>
        <w:numPr>
          <w:ilvl w:val="0"/>
          <w:numId w:val="6"/>
        </w:numPr>
        <w:overflowPunct w:val="0"/>
        <w:autoSpaceDE w:val="0"/>
        <w:autoSpaceDN w:val="0"/>
        <w:adjustRightInd w:val="0"/>
        <w:spacing w:line="276" w:lineRule="auto"/>
        <w:ind w:left="709" w:hanging="709"/>
        <w:textAlignment w:val="baseline"/>
        <w:rPr>
          <w:b/>
          <w:i/>
          <w:iCs/>
          <w:sz w:val="28"/>
          <w:szCs w:val="28"/>
        </w:rPr>
      </w:pPr>
      <w:hyperlink w:history="1" r:id="rId25">
        <w:r w:rsidR="00902A1F">
          <w:rPr>
            <w:b/>
            <w:i/>
            <w:color w:val="0000FF"/>
            <w:sz w:val="28"/>
            <w:u w:val="single"/>
          </w:rPr>
          <w:t>Revisión del marco jurídico para la titulizaci</w:t>
        </w:r>
        <w:r w:rsidR="00902A1F">
          <w:rPr>
            <w:b/>
            <w:i/>
            <w:color w:val="0000FF"/>
            <w:sz w:val="28"/>
            <w:u w:val="single"/>
          </w:rPr>
          <w:t>ó</w:t>
        </w:r>
        <w:r w:rsidR="00902A1F">
          <w:rPr>
            <w:b/>
            <w:i/>
            <w:color w:val="0000FF"/>
            <w:sz w:val="28"/>
            <w:u w:val="single"/>
          </w:rPr>
          <w:t>n en la UE</w:t>
        </w:r>
      </w:hyperlink>
      <w:r w:rsidR="00902A1F">
        <w:rPr>
          <w:b/>
          <w:i/>
          <w:sz w:val="28"/>
        </w:rPr>
        <w:t xml:space="preserve"> </w:t>
      </w:r>
    </w:p>
    <w:p w:rsidRPr="00482C25" w:rsidR="00482C25" w:rsidP="000E2EFF" w:rsidRDefault="00482C25" w14:paraId="202C21D6" w14:textId="77777777">
      <w:pPr>
        <w:widowControl w:val="0"/>
        <w:overflowPunct w:val="0"/>
        <w:autoSpaceDE w:val="0"/>
        <w:autoSpaceDN w:val="0"/>
        <w:adjustRightInd w:val="0"/>
        <w:spacing w:line="276" w:lineRule="auto"/>
        <w:ind w:left="284"/>
        <w:textAlignment w:val="baseline"/>
        <w:rPr>
          <w:b/>
          <w:i/>
          <w:iCs/>
          <w:sz w:val="20"/>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BB600D" w:rsidR="00482C25" w:rsidTr="00863A8F" w14:paraId="5FE72AFC" w14:textId="77777777">
        <w:tc>
          <w:tcPr>
            <w:tcW w:w="1701" w:type="dxa"/>
          </w:tcPr>
          <w:p w:rsidRPr="00482C25" w:rsidR="00482C25" w:rsidP="000E2EFF" w:rsidRDefault="00482C25" w14:paraId="581AD2ED"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p w:rsidRPr="00482C25" w:rsidR="00482C25" w:rsidP="000E2EFF" w:rsidRDefault="00482C25" w14:paraId="181AB32E" w14:textId="77777777">
            <w:pPr>
              <w:tabs>
                <w:tab w:val="center" w:pos="284"/>
              </w:tabs>
              <w:overflowPunct w:val="0"/>
              <w:autoSpaceDE w:val="0"/>
              <w:autoSpaceDN w:val="0"/>
              <w:adjustRightInd w:val="0"/>
              <w:spacing w:line="276" w:lineRule="auto"/>
              <w:ind w:left="266" w:hanging="266"/>
              <w:textAlignment w:val="baseline"/>
              <w:rPr>
                <w:b/>
              </w:rPr>
            </w:pPr>
            <w:r>
              <w:rPr>
                <w:b/>
                <w:bCs/>
              </w:rPr>
              <w:t>Coponente</w:t>
            </w:r>
          </w:p>
        </w:tc>
        <w:tc>
          <w:tcPr>
            <w:tcW w:w="6804" w:type="dxa"/>
            <w:gridSpan w:val="2"/>
          </w:tcPr>
          <w:p w:rsidRPr="00482C25" w:rsidR="00482C25" w:rsidP="000E2EFF" w:rsidRDefault="00482C25" w14:paraId="5358A076" w14:textId="4586C2B5">
            <w:pPr>
              <w:tabs>
                <w:tab w:val="center" w:pos="284"/>
              </w:tabs>
              <w:overflowPunct w:val="0"/>
              <w:autoSpaceDE w:val="0"/>
              <w:autoSpaceDN w:val="0"/>
              <w:adjustRightInd w:val="0"/>
              <w:spacing w:line="276" w:lineRule="auto"/>
              <w:ind w:left="266" w:hanging="266"/>
              <w:textAlignment w:val="baseline"/>
              <w:rPr>
                <w:bCs/>
              </w:rPr>
            </w:pPr>
            <w:r>
              <w:t>Philip VON BROCKDORFF (Grupo de Trabajadores – MT)</w:t>
            </w:r>
          </w:p>
          <w:p w:rsidRPr="000E2EFF" w:rsidR="00482C25" w:rsidP="000E2EFF" w:rsidRDefault="00482C25" w14:paraId="3B6D01B4" w14:textId="68C684CA">
            <w:pPr>
              <w:tabs>
                <w:tab w:val="center" w:pos="284"/>
              </w:tabs>
              <w:overflowPunct w:val="0"/>
              <w:autoSpaceDE w:val="0"/>
              <w:autoSpaceDN w:val="0"/>
              <w:adjustRightInd w:val="0"/>
              <w:spacing w:line="276" w:lineRule="auto"/>
              <w:ind w:left="266" w:hanging="266"/>
              <w:textAlignment w:val="baseline"/>
              <w:rPr>
                <w:bCs/>
              </w:rPr>
            </w:pPr>
            <w:r>
              <w:t>Antonio GARCÍA DEL RIEGO (Grupo de Empresarios – ES)</w:t>
            </w:r>
          </w:p>
        </w:tc>
      </w:tr>
      <w:tr w:rsidRPr="00BB600D" w:rsidR="00482C25" w:rsidTr="00863A8F" w14:paraId="4CB905DA" w14:textId="77777777">
        <w:trPr>
          <w:gridAfter w:val="1"/>
          <w:wAfter w:w="1417" w:type="dxa"/>
        </w:trPr>
        <w:tc>
          <w:tcPr>
            <w:tcW w:w="7088" w:type="dxa"/>
            <w:gridSpan w:val="2"/>
          </w:tcPr>
          <w:p w:rsidRPr="00482C25" w:rsidR="00482C25" w:rsidP="000E2EFF" w:rsidRDefault="00482C25" w14:paraId="4268E229" w14:textId="77777777">
            <w:pPr>
              <w:tabs>
                <w:tab w:val="center" w:pos="284"/>
              </w:tabs>
              <w:overflowPunct w:val="0"/>
              <w:autoSpaceDE w:val="0"/>
              <w:autoSpaceDN w:val="0"/>
              <w:adjustRightInd w:val="0"/>
              <w:spacing w:line="276" w:lineRule="auto"/>
              <w:ind w:left="266" w:hanging="266"/>
              <w:textAlignment w:val="baseline"/>
              <w:rPr>
                <w:lang w:val="es-ES_tradnl"/>
              </w:rPr>
            </w:pPr>
          </w:p>
        </w:tc>
      </w:tr>
      <w:tr w:rsidRPr="00482C25" w:rsidR="00482C25" w:rsidTr="00863A8F" w14:paraId="4B940311" w14:textId="77777777">
        <w:trPr>
          <w:gridAfter w:val="1"/>
          <w:wAfter w:w="1417" w:type="dxa"/>
        </w:trPr>
        <w:tc>
          <w:tcPr>
            <w:tcW w:w="1701" w:type="dxa"/>
          </w:tcPr>
          <w:p w:rsidRPr="00482C25" w:rsidR="00482C25" w:rsidP="000E2EFF" w:rsidRDefault="00482C25" w14:paraId="7122568E" w14:textId="77777777">
            <w:pPr>
              <w:tabs>
                <w:tab w:val="center" w:pos="284"/>
              </w:tabs>
              <w:overflowPunct w:val="0"/>
              <w:autoSpaceDE w:val="0"/>
              <w:autoSpaceDN w:val="0"/>
              <w:adjustRightInd w:val="0"/>
              <w:spacing w:line="276" w:lineRule="auto"/>
              <w:ind w:left="266" w:hanging="266"/>
              <w:textAlignment w:val="baseline"/>
              <w:rPr>
                <w:b/>
              </w:rPr>
            </w:pPr>
            <w:r>
              <w:rPr>
                <w:b/>
                <w:bCs/>
              </w:rPr>
              <w:t>Referencias</w:t>
            </w:r>
          </w:p>
        </w:tc>
        <w:tc>
          <w:tcPr>
            <w:tcW w:w="5387" w:type="dxa"/>
          </w:tcPr>
          <w:p w:rsidRPr="00482C25" w:rsidR="00482C25" w:rsidP="000E2EFF" w:rsidRDefault="00482C25" w14:paraId="4D5F8809" w14:textId="77777777">
            <w:pPr>
              <w:tabs>
                <w:tab w:val="center" w:pos="284"/>
              </w:tabs>
              <w:overflowPunct w:val="0"/>
              <w:autoSpaceDE w:val="0"/>
              <w:autoSpaceDN w:val="0"/>
              <w:adjustRightInd w:val="0"/>
              <w:spacing w:line="276" w:lineRule="auto"/>
              <w:ind w:left="266" w:hanging="266"/>
              <w:textAlignment w:val="baseline"/>
            </w:pPr>
            <w:r>
              <w:t>Dictamen de iniciativa</w:t>
            </w:r>
          </w:p>
          <w:p w:rsidRPr="00482C25" w:rsidR="00482C25" w:rsidP="000E2EFF" w:rsidRDefault="00482C25" w14:paraId="64F2A43F" w14:textId="68E44F58">
            <w:pPr>
              <w:tabs>
                <w:tab w:val="center" w:pos="284"/>
              </w:tabs>
              <w:overflowPunct w:val="0"/>
              <w:autoSpaceDE w:val="0"/>
              <w:autoSpaceDN w:val="0"/>
              <w:adjustRightInd w:val="0"/>
              <w:spacing w:line="276" w:lineRule="auto"/>
              <w:ind w:left="266" w:hanging="266"/>
              <w:textAlignment w:val="baseline"/>
            </w:pPr>
            <w:r>
              <w:t>EESC-2024-00531-00-00-AC</w:t>
            </w:r>
          </w:p>
        </w:tc>
      </w:tr>
    </w:tbl>
    <w:p w:rsidRPr="00482C25" w:rsidR="00482C25" w:rsidP="000E2EFF" w:rsidRDefault="00482C25" w14:paraId="08467886" w14:textId="77777777">
      <w:pPr>
        <w:tabs>
          <w:tab w:val="center" w:pos="284"/>
        </w:tabs>
        <w:overflowPunct w:val="0"/>
        <w:autoSpaceDE w:val="0"/>
        <w:autoSpaceDN w:val="0"/>
        <w:adjustRightInd w:val="0"/>
        <w:spacing w:line="276" w:lineRule="auto"/>
        <w:ind w:left="266" w:hanging="266"/>
        <w:textAlignment w:val="baseline"/>
        <w:rPr>
          <w:b/>
        </w:rPr>
      </w:pPr>
      <w:r>
        <w:rPr>
          <w:b/>
        </w:rPr>
        <w:t>Puntos clave</w:t>
      </w:r>
    </w:p>
    <w:p w:rsidRPr="000E2EFF" w:rsidR="00482C25" w:rsidP="000E2EFF" w:rsidRDefault="00482C25" w14:paraId="128A5BE3" w14:textId="77777777">
      <w:pPr>
        <w:tabs>
          <w:tab w:val="center" w:pos="284"/>
        </w:tabs>
        <w:overflowPunct w:val="0"/>
        <w:autoSpaceDE w:val="0"/>
        <w:autoSpaceDN w:val="0"/>
        <w:adjustRightInd w:val="0"/>
        <w:spacing w:line="276" w:lineRule="auto"/>
        <w:ind w:left="266" w:hanging="266"/>
        <w:textAlignment w:val="baseline"/>
        <w:rPr>
          <w:bCs/>
          <w:lang w:val="en-GB"/>
        </w:rPr>
      </w:pPr>
    </w:p>
    <w:p w:rsidRPr="00482C25" w:rsidR="00482C25" w:rsidP="000E2EFF" w:rsidRDefault="00482C25" w14:paraId="60F3D793" w14:textId="77777777">
      <w:pPr>
        <w:overflowPunct w:val="0"/>
        <w:autoSpaceDE w:val="0"/>
        <w:autoSpaceDN w:val="0"/>
        <w:adjustRightInd w:val="0"/>
        <w:spacing w:line="276" w:lineRule="auto"/>
        <w:textAlignment w:val="baseline"/>
        <w:rPr>
          <w:bCs/>
          <w:iCs/>
        </w:rPr>
      </w:pPr>
      <w:r>
        <w:t>El CESE:</w:t>
      </w:r>
    </w:p>
    <w:p w:rsidRPr="00482C25" w:rsidR="00482C25" w:rsidP="000E2EFF" w:rsidRDefault="00482C25" w14:paraId="05A20084" w14:textId="77777777">
      <w:pPr>
        <w:overflowPunct w:val="0"/>
        <w:autoSpaceDE w:val="0"/>
        <w:autoSpaceDN w:val="0"/>
        <w:adjustRightInd w:val="0"/>
        <w:spacing w:line="276" w:lineRule="auto"/>
        <w:textAlignment w:val="baseline"/>
        <w:rPr>
          <w:bCs/>
          <w:iCs/>
          <w:lang w:val="en-GB"/>
        </w:rPr>
      </w:pPr>
    </w:p>
    <w:p w:rsidRPr="00482C25" w:rsidR="00482C25" w:rsidP="000E2EFF" w:rsidRDefault="00482C25" w14:paraId="32FA80D3" w14:textId="77777777">
      <w:pPr>
        <w:numPr>
          <w:ilvl w:val="0"/>
          <w:numId w:val="18"/>
        </w:numPr>
        <w:overflowPunct w:val="0"/>
        <w:autoSpaceDE w:val="0"/>
        <w:autoSpaceDN w:val="0"/>
        <w:adjustRightInd w:val="0"/>
        <w:spacing w:line="276" w:lineRule="auto"/>
        <w:contextualSpacing/>
        <w:textAlignment w:val="baseline"/>
        <w:rPr>
          <w:bCs/>
          <w:iCs/>
        </w:rPr>
      </w:pPr>
      <w:r>
        <w:t>considera que mejorar el mercado de titulizaciones puede aumentar las oportunidades de inversión, ampliar el acceso al crédito y avanzar en la unión de los mercados de capitales;</w:t>
      </w:r>
    </w:p>
    <w:p w:rsidRPr="00482C25" w:rsidR="00482C25" w:rsidP="000E2EFF" w:rsidRDefault="00482C25" w14:paraId="4F2CF352" w14:textId="77777777">
      <w:pPr>
        <w:numPr>
          <w:ilvl w:val="0"/>
          <w:numId w:val="18"/>
        </w:numPr>
        <w:overflowPunct w:val="0"/>
        <w:autoSpaceDE w:val="0"/>
        <w:autoSpaceDN w:val="0"/>
        <w:adjustRightInd w:val="0"/>
        <w:spacing w:line="276" w:lineRule="auto"/>
        <w:contextualSpacing/>
        <w:textAlignment w:val="baseline"/>
        <w:rPr>
          <w:bCs/>
          <w:iCs/>
        </w:rPr>
      </w:pPr>
      <w:r>
        <w:t>considera adecuado llevar a cabo una evaluación de la eficacia del marco jurídico para la titulización, en particular de la infraestructura de mercado, la eficiencia y la transparencia, y estudiar ajustes relativos a los requisitos de información y diligencia debida;</w:t>
      </w:r>
    </w:p>
    <w:p w:rsidRPr="00482C25" w:rsidR="00482C25" w:rsidP="00D264FF" w:rsidRDefault="00482C25" w14:paraId="0A7F745F" w14:textId="77777777">
      <w:pPr>
        <w:numPr>
          <w:ilvl w:val="0"/>
          <w:numId w:val="18"/>
        </w:numPr>
        <w:overflowPunct w:val="0"/>
        <w:autoSpaceDE w:val="0"/>
        <w:autoSpaceDN w:val="0"/>
        <w:adjustRightInd w:val="0"/>
        <w:spacing w:line="276" w:lineRule="auto"/>
        <w:contextualSpacing/>
        <w:textAlignment w:val="baseline"/>
        <w:rPr>
          <w:bCs/>
          <w:iCs/>
        </w:rPr>
      </w:pPr>
      <w:r>
        <w:t>recomienda que las evaluaciones de la aplicación del marco regulador incluyan un análisis del impacto de la titulización en la financiación de la economía real;</w:t>
      </w:r>
    </w:p>
    <w:p w:rsidRPr="00482C25" w:rsidR="00482C25" w:rsidP="00D264FF" w:rsidRDefault="00482C25" w14:paraId="56A02359" w14:textId="77777777">
      <w:pPr>
        <w:numPr>
          <w:ilvl w:val="0"/>
          <w:numId w:val="18"/>
        </w:numPr>
        <w:overflowPunct w:val="0"/>
        <w:autoSpaceDE w:val="0"/>
        <w:autoSpaceDN w:val="0"/>
        <w:adjustRightInd w:val="0"/>
        <w:spacing w:line="276" w:lineRule="auto"/>
        <w:contextualSpacing/>
        <w:textAlignment w:val="baseline"/>
        <w:rPr>
          <w:bCs/>
          <w:iCs/>
        </w:rPr>
      </w:pPr>
      <w:r>
        <w:t>propone que los esfuerzos para estimular la titulización se concentren en producir financiación adicional para la economía real, especialmente para los hogares y las empresas;</w:t>
      </w:r>
    </w:p>
    <w:p w:rsidRPr="00482C25" w:rsidR="00482C25" w:rsidP="00D264FF" w:rsidRDefault="00482C25" w14:paraId="5878E812" w14:textId="77777777">
      <w:pPr>
        <w:numPr>
          <w:ilvl w:val="0"/>
          <w:numId w:val="18"/>
        </w:numPr>
        <w:overflowPunct w:val="0"/>
        <w:autoSpaceDE w:val="0"/>
        <w:autoSpaceDN w:val="0"/>
        <w:adjustRightInd w:val="0"/>
        <w:spacing w:line="276" w:lineRule="auto"/>
        <w:contextualSpacing/>
        <w:textAlignment w:val="baseline"/>
        <w:rPr>
          <w:bCs/>
          <w:iCs/>
        </w:rPr>
      </w:pPr>
      <w:r>
        <w:lastRenderedPageBreak/>
        <w:t>considera que la titulización debe desempeñar un papel complementario al de otros instrumentos de capital existentes, como los bonos garantizados, pero teniendo en cuenta que la titulización es el único instrumento que permite liberar capital para las entidades bancarias;</w:t>
      </w:r>
    </w:p>
    <w:p w:rsidRPr="00482C25" w:rsidR="00482C25" w:rsidP="00D264FF" w:rsidRDefault="00482C25" w14:paraId="316BD31B" w14:textId="77777777">
      <w:pPr>
        <w:numPr>
          <w:ilvl w:val="0"/>
          <w:numId w:val="18"/>
        </w:numPr>
        <w:overflowPunct w:val="0"/>
        <w:autoSpaceDE w:val="0"/>
        <w:autoSpaceDN w:val="0"/>
        <w:adjustRightInd w:val="0"/>
        <w:spacing w:line="276" w:lineRule="auto"/>
        <w:contextualSpacing/>
        <w:textAlignment w:val="baseline"/>
        <w:rPr>
          <w:bCs/>
          <w:iCs/>
        </w:rPr>
      </w:pPr>
      <w:r>
        <w:t>considera que ampliar los requisitos de divulgación sobre sostenibilidad o introducir un marco para la «titulización ecológica» podría añadir valor para aquellos inversores que desearan que midiera su cuota de inversión ambiental, social y de gobernanza (ASG), para evaluar los riesgos relacionados con los factores ASG y como herramienta de comparación;</w:t>
      </w:r>
    </w:p>
    <w:p w:rsidRPr="00482C25" w:rsidR="00482C25" w:rsidP="00D264FF" w:rsidRDefault="00482C25" w14:paraId="108E811D" w14:textId="77777777">
      <w:pPr>
        <w:numPr>
          <w:ilvl w:val="0"/>
          <w:numId w:val="18"/>
        </w:numPr>
        <w:overflowPunct w:val="0"/>
        <w:autoSpaceDE w:val="0"/>
        <w:autoSpaceDN w:val="0"/>
        <w:adjustRightInd w:val="0"/>
        <w:spacing w:line="276" w:lineRule="auto"/>
        <w:contextualSpacing/>
        <w:textAlignment w:val="baseline"/>
        <w:rPr>
          <w:bCs/>
          <w:iCs/>
        </w:rPr>
      </w:pPr>
      <w:r>
        <w:t>propone que se reduzcan los plazos y que se normalicen y armonicen aún más los requisitos para el reconocimiento de una transferencia significativa del riesgo;</w:t>
      </w:r>
    </w:p>
    <w:p w:rsidRPr="00482C25" w:rsidR="00482C25" w:rsidP="00D264FF" w:rsidRDefault="00482C25" w14:paraId="45FBE1E5" w14:textId="77777777">
      <w:pPr>
        <w:numPr>
          <w:ilvl w:val="0"/>
          <w:numId w:val="18"/>
        </w:numPr>
        <w:overflowPunct w:val="0"/>
        <w:autoSpaceDE w:val="0"/>
        <w:autoSpaceDN w:val="0"/>
        <w:adjustRightInd w:val="0"/>
        <w:spacing w:line="276" w:lineRule="auto"/>
        <w:contextualSpacing/>
        <w:textAlignment w:val="baseline"/>
        <w:rPr>
          <w:bCs/>
          <w:iCs/>
        </w:rPr>
      </w:pPr>
      <w:r>
        <w:t>considera que avanzar en la armonización, por ejemplo de la legislación en materia de contratos e insolvencia y de la fiscalidad, aumentaría la viabilidad de la puesta en común y la emisión transfronterizas;</w:t>
      </w:r>
    </w:p>
    <w:p w:rsidRPr="00482C25" w:rsidR="00482C25" w:rsidP="00D264FF" w:rsidRDefault="00482C25" w14:paraId="6B15D60C" w14:textId="77777777">
      <w:pPr>
        <w:numPr>
          <w:ilvl w:val="0"/>
          <w:numId w:val="18"/>
        </w:numPr>
        <w:overflowPunct w:val="0"/>
        <w:autoSpaceDE w:val="0"/>
        <w:autoSpaceDN w:val="0"/>
        <w:adjustRightInd w:val="0"/>
        <w:spacing w:line="276" w:lineRule="auto"/>
        <w:contextualSpacing/>
        <w:textAlignment w:val="baseline"/>
        <w:rPr>
          <w:bCs/>
          <w:iCs/>
        </w:rPr>
      </w:pPr>
      <w:r>
        <w:t>acoge con satisfacción el proceso de consulta de la Comisión Europea y recomienda que la Unión colabore activamente en la actual consulta al Consejo de Estabilidad Financiera.</w:t>
      </w:r>
    </w:p>
    <w:p w:rsidRPr="00482C25" w:rsidR="00482C25" w:rsidP="00D264FF" w:rsidRDefault="00482C25" w14:paraId="3FC16B9E" w14:textId="77777777">
      <w:pPr>
        <w:overflowPunct w:val="0"/>
        <w:autoSpaceDE w:val="0"/>
        <w:autoSpaceDN w:val="0"/>
        <w:adjustRightInd w:val="0"/>
        <w:spacing w:line="276" w:lineRule="auto"/>
        <w:textAlignment w:val="baseline"/>
        <w:rPr>
          <w:bCs/>
          <w:iCs/>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482C25" w:rsidR="00482C25" w:rsidTr="000E2EFF" w14:paraId="4854E09A" w14:textId="77777777">
        <w:tc>
          <w:tcPr>
            <w:tcW w:w="1951" w:type="dxa"/>
          </w:tcPr>
          <w:p w:rsidRPr="00482C25" w:rsidR="00482C25" w:rsidP="00D264FF" w:rsidRDefault="00482C25" w14:paraId="7A4A5D8B" w14:textId="77777777">
            <w:pPr>
              <w:overflowPunct w:val="0"/>
              <w:autoSpaceDE w:val="0"/>
              <w:autoSpaceDN w:val="0"/>
              <w:adjustRightInd w:val="0"/>
              <w:spacing w:line="276" w:lineRule="auto"/>
              <w:textAlignment w:val="baseline"/>
              <w:rPr>
                <w:i/>
              </w:rPr>
            </w:pPr>
            <w:r>
              <w:rPr>
                <w:b/>
                <w:i/>
              </w:rPr>
              <w:t>Contacto:</w:t>
            </w:r>
          </w:p>
        </w:tc>
        <w:tc>
          <w:tcPr>
            <w:tcW w:w="5137" w:type="dxa"/>
          </w:tcPr>
          <w:p w:rsidRPr="00482C25" w:rsidR="00482C25" w:rsidP="00D264FF" w:rsidRDefault="00482C25" w14:paraId="11F392D6" w14:textId="540E4AA0">
            <w:pPr>
              <w:overflowPunct w:val="0"/>
              <w:autoSpaceDE w:val="0"/>
              <w:autoSpaceDN w:val="0"/>
              <w:adjustRightInd w:val="0"/>
              <w:spacing w:line="276" w:lineRule="auto"/>
              <w:textAlignment w:val="baseline"/>
              <w:rPr>
                <w:i/>
              </w:rPr>
            </w:pPr>
            <w:r>
              <w:rPr>
                <w:i/>
              </w:rPr>
              <w:t>Sergio Lorencio Matallana</w:t>
            </w:r>
          </w:p>
        </w:tc>
      </w:tr>
      <w:tr w:rsidRPr="00482C25" w:rsidR="00482C25" w:rsidTr="000E2EFF" w14:paraId="6A09B6CF" w14:textId="77777777">
        <w:tc>
          <w:tcPr>
            <w:tcW w:w="1951" w:type="dxa"/>
          </w:tcPr>
          <w:p w:rsidRPr="00482C25" w:rsidR="00482C25" w:rsidP="00D264FF" w:rsidRDefault="00482C25" w14:paraId="7B394B02" w14:textId="77777777">
            <w:pPr>
              <w:overflowPunct w:val="0"/>
              <w:autoSpaceDE w:val="0"/>
              <w:autoSpaceDN w:val="0"/>
              <w:adjustRightInd w:val="0"/>
              <w:spacing w:line="276" w:lineRule="auto"/>
              <w:textAlignment w:val="baseline"/>
              <w:rPr>
                <w:i/>
              </w:rPr>
            </w:pPr>
            <w:r>
              <w:rPr>
                <w:i/>
              </w:rPr>
              <w:t>Teléfono:</w:t>
            </w:r>
          </w:p>
        </w:tc>
        <w:tc>
          <w:tcPr>
            <w:tcW w:w="5137" w:type="dxa"/>
          </w:tcPr>
          <w:p w:rsidRPr="00482C25" w:rsidR="00482C25" w:rsidP="00D264FF" w:rsidRDefault="00482C25" w14:paraId="5FFF8E7A" w14:textId="77777777">
            <w:pPr>
              <w:overflowPunct w:val="0"/>
              <w:autoSpaceDE w:val="0"/>
              <w:autoSpaceDN w:val="0"/>
              <w:adjustRightInd w:val="0"/>
              <w:spacing w:line="276" w:lineRule="auto"/>
              <w:textAlignment w:val="baseline"/>
              <w:rPr>
                <w:i/>
              </w:rPr>
            </w:pPr>
            <w:r>
              <w:rPr>
                <w:i/>
              </w:rPr>
              <w:t>+32 25469240</w:t>
            </w:r>
          </w:p>
        </w:tc>
      </w:tr>
      <w:tr w:rsidRPr="00482C25" w:rsidR="00482C25" w:rsidTr="000E2EFF" w14:paraId="7AAB38BF" w14:textId="77777777">
        <w:tc>
          <w:tcPr>
            <w:tcW w:w="1951" w:type="dxa"/>
          </w:tcPr>
          <w:p w:rsidRPr="00482C25" w:rsidR="00482C25" w:rsidP="00D264FF" w:rsidRDefault="00F365AE" w14:paraId="11B710E6" w14:textId="19C4CC2C">
            <w:pPr>
              <w:overflowPunct w:val="0"/>
              <w:autoSpaceDE w:val="0"/>
              <w:autoSpaceDN w:val="0"/>
              <w:adjustRightInd w:val="0"/>
              <w:spacing w:line="276" w:lineRule="auto"/>
              <w:textAlignment w:val="baseline"/>
              <w:rPr>
                <w:i/>
              </w:rPr>
            </w:pPr>
            <w:r>
              <w:rPr>
                <w:i/>
              </w:rPr>
              <w:t>Correo electrónico:</w:t>
            </w:r>
          </w:p>
        </w:tc>
        <w:tc>
          <w:tcPr>
            <w:tcW w:w="5137" w:type="dxa"/>
          </w:tcPr>
          <w:p w:rsidRPr="00482C25" w:rsidR="00482C25" w:rsidP="00D264FF" w:rsidRDefault="00A207FB" w14:paraId="370FF809" w14:textId="77777777">
            <w:pPr>
              <w:overflowPunct w:val="0"/>
              <w:autoSpaceDE w:val="0"/>
              <w:autoSpaceDN w:val="0"/>
              <w:adjustRightInd w:val="0"/>
              <w:spacing w:line="276" w:lineRule="auto"/>
              <w:textAlignment w:val="baseline"/>
              <w:rPr>
                <w:i/>
              </w:rPr>
            </w:pPr>
            <w:hyperlink w:history="1" r:id="rId26">
              <w:r w:rsidR="00DD115B">
                <w:rPr>
                  <w:color w:val="0000FF"/>
                  <w:u w:val="single"/>
                </w:rPr>
                <w:t>Sergio.LorencioMatallana@eesc.europa.eu</w:t>
              </w:r>
            </w:hyperlink>
          </w:p>
        </w:tc>
      </w:tr>
    </w:tbl>
    <w:p w:rsidRPr="00482C25" w:rsidR="000E2EFF" w:rsidP="006A2079" w:rsidRDefault="000E2EFF" w14:paraId="017F5EE9" w14:textId="77777777">
      <w:pPr>
        <w:overflowPunct w:val="0"/>
        <w:autoSpaceDE w:val="0"/>
        <w:autoSpaceDN w:val="0"/>
        <w:adjustRightInd w:val="0"/>
        <w:spacing w:line="276" w:lineRule="auto"/>
        <w:textAlignment w:val="baseline"/>
      </w:pPr>
    </w:p>
    <w:p w:rsidRPr="00EB5CCE" w:rsidR="00EB5CCE" w:rsidP="00D264FF" w:rsidRDefault="00A207FB" w14:paraId="64C8007D" w14:textId="2DD9685C">
      <w:pPr>
        <w:widowControl w:val="0"/>
        <w:numPr>
          <w:ilvl w:val="0"/>
          <w:numId w:val="6"/>
        </w:numPr>
        <w:overflowPunct w:val="0"/>
        <w:autoSpaceDE w:val="0"/>
        <w:autoSpaceDN w:val="0"/>
        <w:adjustRightInd w:val="0"/>
        <w:spacing w:line="276" w:lineRule="auto"/>
        <w:ind w:left="709" w:hanging="709"/>
        <w:textAlignment w:val="baseline"/>
        <w:rPr>
          <w:b/>
          <w:i/>
          <w:iCs/>
          <w:sz w:val="28"/>
          <w:szCs w:val="28"/>
        </w:rPr>
      </w:pPr>
      <w:hyperlink w:history="1" r:id="rId27">
        <w:r w:rsidR="00DD115B">
          <w:rPr>
            <w:b/>
            <w:i/>
            <w:color w:val="0000FF"/>
            <w:sz w:val="28"/>
            <w:u w:val="single"/>
          </w:rPr>
          <w:t>Revisión de la Agenda Territorial 2030 – H</w:t>
        </w:r>
        <w:r w:rsidR="00DD115B">
          <w:rPr>
            <w:b/>
            <w:i/>
            <w:color w:val="0000FF"/>
            <w:sz w:val="28"/>
            <w:u w:val="single"/>
          </w:rPr>
          <w:t>a</w:t>
        </w:r>
        <w:r w:rsidR="00DD115B">
          <w:rPr>
            <w:b/>
            <w:i/>
            <w:color w:val="0000FF"/>
            <w:sz w:val="28"/>
            <w:u w:val="single"/>
          </w:rPr>
          <w:t>cia un enfoque más integrado y cívico con vínculos más estrechos con la</w:t>
        </w:r>
        <w:r w:rsidR="00DD115B">
          <w:rPr>
            <w:b/>
            <w:i/>
            <w:color w:val="0000FF"/>
            <w:sz w:val="28"/>
            <w:u w:val="single"/>
          </w:rPr>
          <w:t xml:space="preserve"> </w:t>
        </w:r>
        <w:r w:rsidR="00DD115B">
          <w:rPr>
            <w:b/>
            <w:i/>
            <w:color w:val="0000FF"/>
            <w:sz w:val="28"/>
            <w:u w:val="single"/>
          </w:rPr>
          <w:t>política de cohesión</w:t>
        </w:r>
      </w:hyperlink>
    </w:p>
    <w:p w:rsidRPr="00EB5CCE" w:rsidR="00EB5CCE" w:rsidP="00D264FF" w:rsidRDefault="00EB5CCE" w14:paraId="67C7B085" w14:textId="77777777">
      <w:pPr>
        <w:widowControl w:val="0"/>
        <w:overflowPunct w:val="0"/>
        <w:autoSpaceDE w:val="0"/>
        <w:autoSpaceDN w:val="0"/>
        <w:adjustRightInd w:val="0"/>
        <w:spacing w:line="276" w:lineRule="auto"/>
        <w:ind w:left="266"/>
        <w:textAlignment w:val="baseline"/>
        <w:rPr>
          <w:bCs/>
          <w:lang w:val="en-GB"/>
        </w:rPr>
      </w:pPr>
    </w:p>
    <w:tbl>
      <w:tblPr>
        <w:tblStyle w:val="TableGrid3"/>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gridCol w:w="567"/>
      </w:tblGrid>
      <w:tr w:rsidRPr="00EB5CCE" w:rsidR="00EB5CCE" w:rsidTr="00863A8F" w14:paraId="7DEF2FBB" w14:textId="77777777">
        <w:trPr>
          <w:gridAfter w:val="1"/>
          <w:wAfter w:w="567" w:type="dxa"/>
        </w:trPr>
        <w:tc>
          <w:tcPr>
            <w:tcW w:w="1701" w:type="dxa"/>
          </w:tcPr>
          <w:p w:rsidRPr="00EB5CCE" w:rsidR="00EB5CCE" w:rsidP="00D264FF" w:rsidRDefault="00EB5CCE" w14:paraId="72CBDAD8"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6804" w:type="dxa"/>
          </w:tcPr>
          <w:p w:rsidRPr="00EB5CCE" w:rsidR="00EB5CCE" w:rsidP="00D264FF" w:rsidRDefault="00EB5CCE" w14:paraId="11978C54" w14:textId="77777777">
            <w:pPr>
              <w:tabs>
                <w:tab w:val="center" w:pos="284"/>
              </w:tabs>
              <w:overflowPunct w:val="0"/>
              <w:autoSpaceDE w:val="0"/>
              <w:autoSpaceDN w:val="0"/>
              <w:adjustRightInd w:val="0"/>
              <w:spacing w:line="276" w:lineRule="auto"/>
              <w:ind w:left="266" w:hanging="266"/>
              <w:textAlignment w:val="baseline"/>
              <w:rPr>
                <w:bCs/>
              </w:rPr>
            </w:pPr>
            <w:r>
              <w:t>Stefano PALMIERI (Grupo de Trabajadores – IT)</w:t>
            </w:r>
          </w:p>
        </w:tc>
      </w:tr>
      <w:tr w:rsidRPr="00EB5CCE" w:rsidR="00EB5CCE" w:rsidTr="00863A8F" w14:paraId="13E9AD18" w14:textId="77777777">
        <w:tc>
          <w:tcPr>
            <w:tcW w:w="9072" w:type="dxa"/>
            <w:gridSpan w:val="3"/>
          </w:tcPr>
          <w:p w:rsidRPr="00EB5CCE" w:rsidR="00EB5CCE" w:rsidP="00D264FF" w:rsidRDefault="00EB5CCE" w14:paraId="5C070222" w14:textId="77777777">
            <w:pPr>
              <w:tabs>
                <w:tab w:val="center" w:pos="284"/>
              </w:tabs>
              <w:overflowPunct w:val="0"/>
              <w:autoSpaceDE w:val="0"/>
              <w:autoSpaceDN w:val="0"/>
              <w:adjustRightInd w:val="0"/>
              <w:spacing w:line="276" w:lineRule="auto"/>
              <w:ind w:left="266" w:hanging="266"/>
              <w:textAlignment w:val="baseline"/>
            </w:pPr>
          </w:p>
        </w:tc>
      </w:tr>
      <w:tr w:rsidRPr="00EB5CCE" w:rsidR="00EB5CCE" w:rsidTr="00863A8F" w14:paraId="283AA2FE" w14:textId="77777777">
        <w:tc>
          <w:tcPr>
            <w:tcW w:w="1701" w:type="dxa"/>
          </w:tcPr>
          <w:p w:rsidRPr="00EB5CCE" w:rsidR="00EB5CCE" w:rsidP="00D264FF" w:rsidRDefault="00EB5CCE" w14:paraId="06A223ED" w14:textId="77777777">
            <w:pPr>
              <w:tabs>
                <w:tab w:val="center" w:pos="284"/>
              </w:tabs>
              <w:overflowPunct w:val="0"/>
              <w:autoSpaceDE w:val="0"/>
              <w:autoSpaceDN w:val="0"/>
              <w:adjustRightInd w:val="0"/>
              <w:spacing w:line="276" w:lineRule="auto"/>
              <w:ind w:left="266" w:hanging="266"/>
              <w:textAlignment w:val="baseline"/>
              <w:rPr>
                <w:b/>
              </w:rPr>
            </w:pPr>
            <w:r>
              <w:rPr>
                <w:b/>
                <w:bCs/>
              </w:rPr>
              <w:t>Referencia</w:t>
            </w:r>
          </w:p>
        </w:tc>
        <w:tc>
          <w:tcPr>
            <w:tcW w:w="7371" w:type="dxa"/>
            <w:gridSpan w:val="2"/>
          </w:tcPr>
          <w:p w:rsidR="00FE0B51" w:rsidP="00D264FF" w:rsidRDefault="00EB5CCE" w14:paraId="55D27B75" w14:textId="77777777">
            <w:pPr>
              <w:tabs>
                <w:tab w:val="center" w:pos="284"/>
              </w:tabs>
              <w:overflowPunct w:val="0"/>
              <w:autoSpaceDE w:val="0"/>
              <w:autoSpaceDN w:val="0"/>
              <w:adjustRightInd w:val="0"/>
              <w:spacing w:line="276" w:lineRule="auto"/>
              <w:ind w:left="266" w:hanging="266"/>
              <w:textAlignment w:val="baseline"/>
            </w:pPr>
            <w:r>
              <w:t>Dictamen de iniciativa</w:t>
            </w:r>
          </w:p>
          <w:p w:rsidRPr="00EB5CCE" w:rsidR="00EB5CCE" w:rsidP="00D264FF" w:rsidRDefault="00EB5CCE" w14:paraId="1548E30A" w14:textId="088569FE">
            <w:pPr>
              <w:tabs>
                <w:tab w:val="center" w:pos="284"/>
              </w:tabs>
              <w:overflowPunct w:val="0"/>
              <w:autoSpaceDE w:val="0"/>
              <w:autoSpaceDN w:val="0"/>
              <w:adjustRightInd w:val="0"/>
              <w:spacing w:line="276" w:lineRule="auto"/>
              <w:ind w:left="266" w:hanging="266"/>
              <w:textAlignment w:val="baseline"/>
            </w:pPr>
            <w:r>
              <w:t>EESC-2024-01368-00-00-AC</w:t>
            </w:r>
          </w:p>
        </w:tc>
      </w:tr>
    </w:tbl>
    <w:p w:rsidRPr="00EB5CCE" w:rsidR="00EB5CCE" w:rsidP="00D264FF" w:rsidRDefault="00EB5CCE" w14:paraId="6C8BB221"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EB5CCE" w:rsidR="00EB5CCE" w:rsidP="00D264FF" w:rsidRDefault="00EB5CCE" w14:paraId="463D7D3F" w14:textId="77777777">
      <w:pPr>
        <w:overflowPunct w:val="0"/>
        <w:autoSpaceDE w:val="0"/>
        <w:autoSpaceDN w:val="0"/>
        <w:adjustRightInd w:val="0"/>
        <w:spacing w:line="276" w:lineRule="auto"/>
        <w:textAlignment w:val="baseline"/>
        <w:rPr>
          <w:bCs/>
          <w:iCs/>
          <w:lang w:val="en-GB"/>
        </w:rPr>
      </w:pPr>
    </w:p>
    <w:p w:rsidR="00EB5CCE" w:rsidP="00D264FF" w:rsidRDefault="00EB5CCE" w14:paraId="3FFAAB09" w14:textId="77777777">
      <w:pPr>
        <w:overflowPunct w:val="0"/>
        <w:autoSpaceDE w:val="0"/>
        <w:autoSpaceDN w:val="0"/>
        <w:adjustRightInd w:val="0"/>
        <w:spacing w:line="276" w:lineRule="auto"/>
        <w:textAlignment w:val="baseline"/>
        <w:rPr>
          <w:bCs/>
          <w:iCs/>
        </w:rPr>
      </w:pPr>
      <w:r>
        <w:t>El CESE:</w:t>
      </w:r>
    </w:p>
    <w:p w:rsidRPr="00EB5CCE" w:rsidR="00FE0B51" w:rsidP="00D264FF" w:rsidRDefault="00FE0B51" w14:paraId="2C9C4BB6" w14:textId="77777777">
      <w:pPr>
        <w:overflowPunct w:val="0"/>
        <w:autoSpaceDE w:val="0"/>
        <w:autoSpaceDN w:val="0"/>
        <w:adjustRightInd w:val="0"/>
        <w:spacing w:line="276" w:lineRule="auto"/>
        <w:textAlignment w:val="baseline"/>
        <w:rPr>
          <w:bCs/>
          <w:iCs/>
          <w:lang w:val="en-GB"/>
        </w:rPr>
      </w:pPr>
    </w:p>
    <w:p w:rsidRPr="00EB5CCE" w:rsidR="00EB5CCE" w:rsidP="00D9406C" w:rsidRDefault="00EB5CCE" w14:paraId="0E80473F" w14:textId="77777777">
      <w:pPr>
        <w:numPr>
          <w:ilvl w:val="0"/>
          <w:numId w:val="19"/>
        </w:numPr>
        <w:overflowPunct w:val="0"/>
        <w:autoSpaceDE w:val="0"/>
        <w:autoSpaceDN w:val="0"/>
        <w:adjustRightInd w:val="0"/>
        <w:spacing w:line="276" w:lineRule="auto"/>
        <w:ind w:left="426" w:hanging="426"/>
        <w:textAlignment w:val="baseline"/>
        <w:rPr>
          <w:szCs w:val="20"/>
        </w:rPr>
      </w:pPr>
      <w:r>
        <w:t>considera que la Agenda Territorial debe, por una parte, promover la quinta libertad del mercado único —esbozada en el informe Letta como la «libertad de permanencia» en el lugar que cada persona haya elegido para vivir— y garantizar así la plena cohesión económica, social y territorial, y, por otro lado, tal como se describe en el informe Draghi, velar por que todos los territorios tengan la posibilidad de aprovechar las oportunidades de desarrollo local mediante intervenciones capaces de asegurar y reforzar su competitividad;</w:t>
      </w:r>
    </w:p>
    <w:p w:rsidRPr="00EB5CCE" w:rsidR="00EB5CCE" w:rsidP="00D9406C" w:rsidRDefault="00EB5CCE" w14:paraId="6A3A0098" w14:textId="77777777">
      <w:pPr>
        <w:numPr>
          <w:ilvl w:val="0"/>
          <w:numId w:val="19"/>
        </w:numPr>
        <w:overflowPunct w:val="0"/>
        <w:autoSpaceDE w:val="0"/>
        <w:autoSpaceDN w:val="0"/>
        <w:adjustRightInd w:val="0"/>
        <w:spacing w:line="276" w:lineRule="auto"/>
        <w:ind w:left="426" w:hanging="426"/>
        <w:textAlignment w:val="baseline"/>
        <w:rPr>
          <w:szCs w:val="20"/>
        </w:rPr>
      </w:pPr>
      <w:r>
        <w:t>subraya que, al hacer hincapié en una Europa más justa y más ecológica, la Agenda Territorial está en consonancia con los objetivos a largo plazo de la UE y proporciona una base sólida para la ordenación territorial integrada;</w:t>
      </w:r>
    </w:p>
    <w:p w:rsidRPr="00EB5CCE" w:rsidR="00EB5CCE" w:rsidP="00D9406C" w:rsidRDefault="00EB5CCE" w14:paraId="4E35B6B6" w14:textId="77777777">
      <w:pPr>
        <w:numPr>
          <w:ilvl w:val="0"/>
          <w:numId w:val="19"/>
        </w:numPr>
        <w:overflowPunct w:val="0"/>
        <w:autoSpaceDE w:val="0"/>
        <w:autoSpaceDN w:val="0"/>
        <w:adjustRightInd w:val="0"/>
        <w:spacing w:line="276" w:lineRule="auto"/>
        <w:ind w:left="426" w:hanging="426"/>
        <w:textAlignment w:val="baseline"/>
        <w:rPr>
          <w:szCs w:val="20"/>
        </w:rPr>
      </w:pPr>
      <w:r>
        <w:t>señala que, pese a las medidas adoptadas en la UE con vistas a someter a prueba y aplicar la Agenda Territorial, todavía no se han aprovechado plenamente a escala local y territorial los beneficios que esta puede aportar para fomentar la cohesión y el desarrollo justo;</w:t>
      </w:r>
    </w:p>
    <w:p w:rsidRPr="00EB5CCE" w:rsidR="00EB5CCE" w:rsidP="00D9406C" w:rsidRDefault="00EB5CCE" w14:paraId="7DAF48BE" w14:textId="77777777">
      <w:pPr>
        <w:numPr>
          <w:ilvl w:val="0"/>
          <w:numId w:val="19"/>
        </w:numPr>
        <w:overflowPunct w:val="0"/>
        <w:autoSpaceDE w:val="0"/>
        <w:autoSpaceDN w:val="0"/>
        <w:adjustRightInd w:val="0"/>
        <w:spacing w:line="276" w:lineRule="auto"/>
        <w:ind w:left="426" w:hanging="426"/>
        <w:textAlignment w:val="baseline"/>
        <w:rPr>
          <w:szCs w:val="20"/>
        </w:rPr>
      </w:pPr>
      <w:r>
        <w:t>subraya la importancia de poner en valor la interconexión entre la Agenda Territorial y la política de cohesión. La primera es un instrumento estratégico de apoyo a los territorios encaminado a fijar las prioridades para hacer frente a los retos que afrontan estos últimos, mientras que la política de cohesión garantiza la aplicación de la Agenda;</w:t>
      </w:r>
    </w:p>
    <w:p w:rsidRPr="00EB5CCE" w:rsidR="00EB5CCE" w:rsidP="00D9406C" w:rsidRDefault="00EB5CCE" w14:paraId="48869F0D" w14:textId="77777777">
      <w:pPr>
        <w:numPr>
          <w:ilvl w:val="0"/>
          <w:numId w:val="19"/>
        </w:numPr>
        <w:overflowPunct w:val="0"/>
        <w:autoSpaceDE w:val="0"/>
        <w:autoSpaceDN w:val="0"/>
        <w:adjustRightInd w:val="0"/>
        <w:spacing w:line="276" w:lineRule="auto"/>
        <w:ind w:left="426" w:hanging="426"/>
        <w:textAlignment w:val="baseline"/>
        <w:rPr>
          <w:szCs w:val="20"/>
        </w:rPr>
      </w:pPr>
      <w:r>
        <w:lastRenderedPageBreak/>
        <w:t>considera necesario reforzar las campañas de información y la participación de la sociedad civil en los procesos de planificación y aplicación de la Agenda Territorial, y destaca el riesgo de que se adopten iniciativas y proyectos que no sean plenamente coherentes con las necesidades de los destinatarios finales de las políticas y estrategias de la UE, a saber, las personas y los interlocutores sociales y económicos;</w:t>
      </w:r>
    </w:p>
    <w:p w:rsidRPr="00EB5CCE" w:rsidR="00EB5CCE" w:rsidP="00D9406C" w:rsidRDefault="00EB5CCE" w14:paraId="6F90A3A4" w14:textId="77777777">
      <w:pPr>
        <w:numPr>
          <w:ilvl w:val="0"/>
          <w:numId w:val="19"/>
        </w:numPr>
        <w:overflowPunct w:val="0"/>
        <w:autoSpaceDE w:val="0"/>
        <w:autoSpaceDN w:val="0"/>
        <w:adjustRightInd w:val="0"/>
        <w:spacing w:line="276" w:lineRule="auto"/>
        <w:ind w:left="426" w:hanging="426"/>
        <w:textAlignment w:val="baseline"/>
        <w:rPr>
          <w:szCs w:val="20"/>
        </w:rPr>
      </w:pPr>
      <w:r>
        <w:t>llama la atención sobre las crisis y los cambios sistémicos que se producen en la UE y el consiguiente aumento de las perturbaciones y los riesgos (sociales, económicos y medioambientales, entre otros);</w:t>
      </w:r>
    </w:p>
    <w:p w:rsidRPr="00EB5CCE" w:rsidR="00EB5CCE" w:rsidP="00D9406C" w:rsidRDefault="00EB5CCE" w14:paraId="1AE2B654" w14:textId="77777777">
      <w:pPr>
        <w:numPr>
          <w:ilvl w:val="0"/>
          <w:numId w:val="19"/>
        </w:numPr>
        <w:overflowPunct w:val="0"/>
        <w:autoSpaceDE w:val="0"/>
        <w:autoSpaceDN w:val="0"/>
        <w:adjustRightInd w:val="0"/>
        <w:spacing w:line="276" w:lineRule="auto"/>
        <w:ind w:left="426" w:hanging="426"/>
        <w:textAlignment w:val="baseline"/>
        <w:rPr>
          <w:szCs w:val="20"/>
        </w:rPr>
      </w:pPr>
      <w:r>
        <w:t>acoge favorablemente el proceso de elaboración y puesta a prueba de la Agenda Territorial que se lleva a cabo mediante las acciones piloto, pero destaca que la adopción de los procesos de desarrollo territorial integrado (social, económico y medioambiental) presenta un amplio margen de mejora;</w:t>
      </w:r>
    </w:p>
    <w:p w:rsidRPr="00EB5CCE" w:rsidR="00EB5CCE" w:rsidP="00D9406C" w:rsidRDefault="00EB5CCE" w14:paraId="06796FCA" w14:textId="77777777">
      <w:pPr>
        <w:numPr>
          <w:ilvl w:val="0"/>
          <w:numId w:val="19"/>
        </w:numPr>
        <w:overflowPunct w:val="0"/>
        <w:autoSpaceDE w:val="0"/>
        <w:autoSpaceDN w:val="0"/>
        <w:adjustRightInd w:val="0"/>
        <w:spacing w:line="276" w:lineRule="auto"/>
        <w:ind w:left="426" w:hanging="426"/>
        <w:textAlignment w:val="baseline"/>
        <w:rPr>
          <w:szCs w:val="20"/>
        </w:rPr>
      </w:pPr>
      <w:r>
        <w:t>considera que la cohesión, la sostenibilidad y la resiliencia de las diferentes dimensiones territoriales de la UE no pueden abordarse por separado utilizando instrumentos ordinarios. Por consiguiente, recomienda incluir la Agenda Territorial en el proceso del Semestre Europeo, siguiendo las directrices preconizadas por la Red Europea de Observación del Desarrollo y la Cohesión Territorial (ESPON);</w:t>
      </w:r>
    </w:p>
    <w:p w:rsidRPr="00EB5CCE" w:rsidR="00EB5CCE" w:rsidP="00D9406C" w:rsidRDefault="00EB5CCE" w14:paraId="7BC23F7E" w14:textId="77777777">
      <w:pPr>
        <w:numPr>
          <w:ilvl w:val="0"/>
          <w:numId w:val="19"/>
        </w:numPr>
        <w:overflowPunct w:val="0"/>
        <w:autoSpaceDE w:val="0"/>
        <w:autoSpaceDN w:val="0"/>
        <w:adjustRightInd w:val="0"/>
        <w:spacing w:line="276" w:lineRule="auto"/>
        <w:ind w:left="426" w:hanging="426"/>
        <w:textAlignment w:val="baseline"/>
        <w:rPr>
          <w:szCs w:val="20"/>
        </w:rPr>
      </w:pPr>
      <w:r>
        <w:t xml:space="preserve">recomienda garantizar una coordinación máxima de la Agenda Territorial con la política de cohesión; </w:t>
      </w:r>
    </w:p>
    <w:p w:rsidRPr="00EB5CCE" w:rsidR="00EB5CCE" w:rsidP="00D9406C" w:rsidRDefault="00EB5CCE" w14:paraId="660ABDEE" w14:textId="77777777">
      <w:pPr>
        <w:numPr>
          <w:ilvl w:val="0"/>
          <w:numId w:val="19"/>
        </w:numPr>
        <w:overflowPunct w:val="0"/>
        <w:autoSpaceDE w:val="0"/>
        <w:autoSpaceDN w:val="0"/>
        <w:adjustRightInd w:val="0"/>
        <w:spacing w:line="276" w:lineRule="auto"/>
        <w:ind w:left="426" w:hanging="426"/>
        <w:textAlignment w:val="baseline"/>
        <w:rPr>
          <w:szCs w:val="20"/>
        </w:rPr>
      </w:pPr>
      <w:r>
        <w:t xml:space="preserve">recuerda la necesidad de reforzar la presencia de representantes de los interlocutores sociales y económicos en el marco del principio de asociación en el ámbito del desarrollo territorial (local y regional); </w:t>
      </w:r>
    </w:p>
    <w:p w:rsidRPr="00EB5CCE" w:rsidR="00EB5CCE" w:rsidP="00D9406C" w:rsidRDefault="00EB5CCE" w14:paraId="452548B9" w14:textId="77777777">
      <w:pPr>
        <w:numPr>
          <w:ilvl w:val="0"/>
          <w:numId w:val="19"/>
        </w:numPr>
        <w:overflowPunct w:val="0"/>
        <w:autoSpaceDE w:val="0"/>
        <w:autoSpaceDN w:val="0"/>
        <w:adjustRightInd w:val="0"/>
        <w:spacing w:line="276" w:lineRule="auto"/>
        <w:ind w:left="426" w:hanging="426"/>
        <w:textAlignment w:val="baseline"/>
        <w:rPr>
          <w:szCs w:val="20"/>
        </w:rPr>
      </w:pPr>
      <w:r>
        <w:t>subraya la necesidad de crear procesos y elaborar iniciativas destinados a mejorar la coherencia de la Agenda Territorial con las necesidades y los retos que afronta la UE, así como las sinergias con la Carta de Leipzig y la agenda urbana para la UE;</w:t>
      </w:r>
    </w:p>
    <w:p w:rsidRPr="00EB5CCE" w:rsidR="00EB5CCE" w:rsidP="00D9406C" w:rsidRDefault="00EB5CCE" w14:paraId="4263C550" w14:textId="77777777">
      <w:pPr>
        <w:numPr>
          <w:ilvl w:val="0"/>
          <w:numId w:val="19"/>
        </w:numPr>
        <w:overflowPunct w:val="0"/>
        <w:autoSpaceDE w:val="0"/>
        <w:autoSpaceDN w:val="0"/>
        <w:adjustRightInd w:val="0"/>
        <w:spacing w:line="276" w:lineRule="auto"/>
        <w:ind w:left="426" w:hanging="426"/>
        <w:textAlignment w:val="baseline"/>
        <w:rPr>
          <w:szCs w:val="20"/>
        </w:rPr>
      </w:pPr>
      <w:r>
        <w:t>considera esencial especializar la acción de la Agenda Territorial en función de prioridades como la lucha contra el cambio climático, la adaptación a los cambios demográficos y el refuerzo del enfoque cívico y participativo de la sociedad civil;</w:t>
      </w:r>
    </w:p>
    <w:p w:rsidRPr="00EB5CCE" w:rsidR="00EB5CCE" w:rsidP="00D9406C" w:rsidRDefault="00EB5CCE" w14:paraId="08955B51" w14:textId="77777777">
      <w:pPr>
        <w:numPr>
          <w:ilvl w:val="0"/>
          <w:numId w:val="19"/>
        </w:numPr>
        <w:overflowPunct w:val="0"/>
        <w:autoSpaceDE w:val="0"/>
        <w:autoSpaceDN w:val="0"/>
        <w:adjustRightInd w:val="0"/>
        <w:spacing w:line="276" w:lineRule="auto"/>
        <w:ind w:left="426" w:hanging="426"/>
        <w:textAlignment w:val="baseline"/>
        <w:rPr>
          <w:szCs w:val="20"/>
        </w:rPr>
      </w:pPr>
      <w:r>
        <w:t>considera una prioridad fomentar un desarrollo territorial equilibrado y sostenible mediante una mayor cooperación entre todos los niveles de gobierno y un mayor recurso a las consultas públicas.</w:t>
      </w:r>
    </w:p>
    <w:p w:rsidRPr="00EB5CCE" w:rsidR="00EB5CCE" w:rsidP="00D264FF" w:rsidRDefault="00EB5CCE" w14:paraId="64DCF051" w14:textId="77777777">
      <w:pPr>
        <w:spacing w:line="276" w:lineRule="auto"/>
        <w:ind w:left="360"/>
        <w:contextualSpacing/>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EB5CCE" w:rsidR="00EB5CCE" w:rsidTr="00321A8C" w14:paraId="7DEEBD4B" w14:textId="77777777">
        <w:tc>
          <w:tcPr>
            <w:tcW w:w="2235" w:type="dxa"/>
          </w:tcPr>
          <w:p w:rsidRPr="00EB5CCE" w:rsidR="00EB5CCE" w:rsidP="00D264FF" w:rsidRDefault="00EB5CCE" w14:paraId="0AFC2E9E" w14:textId="77777777">
            <w:pPr>
              <w:overflowPunct w:val="0"/>
              <w:autoSpaceDE w:val="0"/>
              <w:autoSpaceDN w:val="0"/>
              <w:adjustRightInd w:val="0"/>
              <w:spacing w:line="276" w:lineRule="auto"/>
              <w:textAlignment w:val="baseline"/>
              <w:rPr>
                <w:i/>
              </w:rPr>
            </w:pPr>
            <w:r>
              <w:rPr>
                <w:b/>
                <w:i/>
              </w:rPr>
              <w:t>Contacto:</w:t>
            </w:r>
          </w:p>
        </w:tc>
        <w:tc>
          <w:tcPr>
            <w:tcW w:w="4853" w:type="dxa"/>
          </w:tcPr>
          <w:p w:rsidRPr="00EB5CCE" w:rsidR="00EB5CCE" w:rsidP="00D264FF" w:rsidRDefault="00EB5CCE" w14:paraId="0795190D" w14:textId="77777777">
            <w:pPr>
              <w:overflowPunct w:val="0"/>
              <w:autoSpaceDE w:val="0"/>
              <w:autoSpaceDN w:val="0"/>
              <w:adjustRightInd w:val="0"/>
              <w:spacing w:line="276" w:lineRule="auto"/>
              <w:textAlignment w:val="baseline"/>
              <w:rPr>
                <w:b/>
                <w:bCs/>
                <w:i/>
              </w:rPr>
            </w:pPr>
            <w:r>
              <w:rPr>
                <w:b/>
                <w:i/>
              </w:rPr>
              <w:t>Georgios Meleas</w:t>
            </w:r>
          </w:p>
        </w:tc>
      </w:tr>
      <w:tr w:rsidRPr="00EB5CCE" w:rsidR="00EB5CCE" w:rsidTr="00321A8C" w14:paraId="597E4104" w14:textId="77777777">
        <w:tc>
          <w:tcPr>
            <w:tcW w:w="2235" w:type="dxa"/>
          </w:tcPr>
          <w:p w:rsidRPr="00EB5CCE" w:rsidR="00EB5CCE" w:rsidP="00D264FF" w:rsidRDefault="00EB5CCE" w14:paraId="4AE0E194" w14:textId="77777777">
            <w:pPr>
              <w:overflowPunct w:val="0"/>
              <w:autoSpaceDE w:val="0"/>
              <w:autoSpaceDN w:val="0"/>
              <w:adjustRightInd w:val="0"/>
              <w:spacing w:line="276" w:lineRule="auto"/>
              <w:textAlignment w:val="baseline"/>
              <w:rPr>
                <w:i/>
              </w:rPr>
            </w:pPr>
            <w:r>
              <w:rPr>
                <w:i/>
              </w:rPr>
              <w:t>Teléfono:</w:t>
            </w:r>
          </w:p>
        </w:tc>
        <w:tc>
          <w:tcPr>
            <w:tcW w:w="4853" w:type="dxa"/>
          </w:tcPr>
          <w:p w:rsidRPr="00EB5CCE" w:rsidR="00EB5CCE" w:rsidP="00D264FF" w:rsidRDefault="00EB5CCE" w14:paraId="303AC402" w14:textId="77777777">
            <w:pPr>
              <w:overflowPunct w:val="0"/>
              <w:autoSpaceDE w:val="0"/>
              <w:autoSpaceDN w:val="0"/>
              <w:adjustRightInd w:val="0"/>
              <w:spacing w:line="276" w:lineRule="auto"/>
              <w:textAlignment w:val="baseline"/>
              <w:rPr>
                <w:i/>
              </w:rPr>
            </w:pPr>
            <w:r>
              <w:rPr>
                <w:i/>
              </w:rPr>
              <w:t>+32 25469795</w:t>
            </w:r>
          </w:p>
        </w:tc>
      </w:tr>
      <w:tr w:rsidRPr="00EB5CCE" w:rsidR="00EB5CCE" w:rsidTr="00321A8C" w14:paraId="5942734A" w14:textId="77777777">
        <w:tc>
          <w:tcPr>
            <w:tcW w:w="2235" w:type="dxa"/>
          </w:tcPr>
          <w:p w:rsidRPr="00EB5CCE" w:rsidR="00EB5CCE" w:rsidP="00D264FF" w:rsidRDefault="00EB5CCE" w14:paraId="5B910A72" w14:textId="77777777">
            <w:pPr>
              <w:overflowPunct w:val="0"/>
              <w:autoSpaceDE w:val="0"/>
              <w:autoSpaceDN w:val="0"/>
              <w:adjustRightInd w:val="0"/>
              <w:spacing w:line="276" w:lineRule="auto"/>
              <w:textAlignment w:val="baseline"/>
              <w:rPr>
                <w:i/>
              </w:rPr>
            </w:pPr>
            <w:r>
              <w:rPr>
                <w:i/>
              </w:rPr>
              <w:t>Correo electrónico:</w:t>
            </w:r>
          </w:p>
        </w:tc>
        <w:tc>
          <w:tcPr>
            <w:tcW w:w="4853" w:type="dxa"/>
          </w:tcPr>
          <w:p w:rsidRPr="00EB5CCE" w:rsidR="00EB5CCE" w:rsidP="00D264FF" w:rsidRDefault="00A207FB" w14:paraId="664AA901" w14:textId="77777777">
            <w:pPr>
              <w:overflowPunct w:val="0"/>
              <w:autoSpaceDE w:val="0"/>
              <w:autoSpaceDN w:val="0"/>
              <w:adjustRightInd w:val="0"/>
              <w:spacing w:line="276" w:lineRule="auto"/>
              <w:textAlignment w:val="baseline"/>
              <w:rPr>
                <w:i/>
              </w:rPr>
            </w:pPr>
            <w:hyperlink w:history="1" r:id="rId28">
              <w:r w:rsidR="00DD115B">
                <w:rPr>
                  <w:i/>
                  <w:color w:val="0000FF"/>
                  <w:u w:val="single"/>
                </w:rPr>
                <w:t>Georgios.Melea</w:t>
              </w:r>
              <w:r w:rsidR="00DD115B">
                <w:rPr>
                  <w:i/>
                  <w:color w:val="0000FF"/>
                  <w:u w:val="single"/>
                </w:rPr>
                <w:t>s</w:t>
              </w:r>
              <w:r w:rsidR="00DD115B">
                <w:rPr>
                  <w:i/>
                  <w:color w:val="0000FF"/>
                  <w:u w:val="single"/>
                </w:rPr>
                <w:t>@eesc.europa.eu</w:t>
              </w:r>
            </w:hyperlink>
            <w:r w:rsidR="00DD115B">
              <w:rPr>
                <w:i/>
              </w:rPr>
              <w:t xml:space="preserve"> </w:t>
            </w:r>
          </w:p>
        </w:tc>
      </w:tr>
    </w:tbl>
    <w:p w:rsidR="009C5B03" w:rsidP="00D264FF" w:rsidRDefault="009C5B03" w14:paraId="2929773F" w14:textId="012D9FB4">
      <w:pPr>
        <w:spacing w:line="276" w:lineRule="auto"/>
        <w:jc w:val="left"/>
      </w:pPr>
    </w:p>
    <w:p w:rsidRPr="00EB5CCE" w:rsidR="00321A8C" w:rsidP="00D264FF" w:rsidRDefault="00321A8C" w14:paraId="4E547629" w14:textId="77777777">
      <w:pPr>
        <w:spacing w:line="276" w:lineRule="auto"/>
        <w:jc w:val="left"/>
      </w:pPr>
    </w:p>
    <w:p w:rsidR="004D7AC0" w:rsidP="00D264FF" w:rsidRDefault="004D7AC0" w14:paraId="4982DD99" w14:textId="77777777">
      <w:pPr>
        <w:pStyle w:val="Heading1"/>
        <w:keepNext/>
        <w:keepLines/>
        <w:spacing w:line="276" w:lineRule="auto"/>
        <w:rPr>
          <w:b/>
        </w:rPr>
      </w:pPr>
      <w:bookmarkStart w:name="_Toc75527081" w:id="2"/>
      <w:bookmarkStart w:name="_Toc184804674" w:id="3"/>
      <w:r>
        <w:rPr>
          <w:b/>
        </w:rPr>
        <w:t>EMPLEO, ASUNTOS SOCIALES Y CIUDADANÍA</w:t>
      </w:r>
      <w:bookmarkEnd w:id="2"/>
      <w:bookmarkEnd w:id="3"/>
    </w:p>
    <w:p w:rsidRPr="00AB6CDB" w:rsidR="006A1AC2" w:rsidP="00D264FF" w:rsidRDefault="006A1AC2" w14:paraId="7B7E28B8" w14:textId="77777777">
      <w:pPr>
        <w:pStyle w:val="ListParagraph"/>
        <w:spacing w:line="276" w:lineRule="auto"/>
        <w:ind w:left="0"/>
      </w:pPr>
    </w:p>
    <w:p w:rsidRPr="00F8361B" w:rsidR="00F8361B" w:rsidP="00D264FF" w:rsidRDefault="00A207FB" w14:paraId="54BC0BD2" w14:textId="2C12DB0F">
      <w:pPr>
        <w:widowControl w:val="0"/>
        <w:numPr>
          <w:ilvl w:val="0"/>
          <w:numId w:val="6"/>
        </w:numPr>
        <w:overflowPunct w:val="0"/>
        <w:autoSpaceDE w:val="0"/>
        <w:autoSpaceDN w:val="0"/>
        <w:adjustRightInd w:val="0"/>
        <w:spacing w:line="276" w:lineRule="auto"/>
        <w:ind w:hanging="567"/>
        <w:textAlignment w:val="baseline"/>
        <w:rPr>
          <w:b/>
          <w:bCs/>
          <w:i/>
          <w:iCs/>
          <w:sz w:val="28"/>
          <w:szCs w:val="28"/>
        </w:rPr>
      </w:pPr>
      <w:hyperlink w:history="1" r:id="rId29">
        <w:r w:rsidR="00F8361B">
          <w:rPr>
            <w:b/>
            <w:i/>
            <w:color w:val="0000FF"/>
            <w:sz w:val="28"/>
            <w:u w:val="single"/>
          </w:rPr>
          <w:t>Análisis factual y legislativo pa</w:t>
        </w:r>
        <w:r w:rsidR="00F8361B">
          <w:rPr>
            <w:b/>
            <w:i/>
            <w:color w:val="0000FF"/>
            <w:sz w:val="28"/>
            <w:u w:val="single"/>
          </w:rPr>
          <w:t>r</w:t>
        </w:r>
        <w:r w:rsidR="00F8361B">
          <w:rPr>
            <w:b/>
            <w:i/>
            <w:color w:val="0000FF"/>
            <w:sz w:val="28"/>
            <w:u w:val="single"/>
          </w:rPr>
          <w:t>a una integración efectiva de los nacionales de terceros países en el mercado laboral de la UE</w:t>
        </w:r>
      </w:hyperlink>
    </w:p>
    <w:p w:rsidRPr="00F8361B" w:rsidR="00F8361B" w:rsidP="00D264FF" w:rsidRDefault="00F8361B" w14:paraId="4D1E5E2A" w14:textId="77777777">
      <w:pPr>
        <w:widowControl w:val="0"/>
        <w:overflowPunct w:val="0"/>
        <w:autoSpaceDE w:val="0"/>
        <w:autoSpaceDN w:val="0"/>
        <w:adjustRightInd w:val="0"/>
        <w:spacing w:line="276" w:lineRule="auto"/>
        <w:ind w:left="567"/>
        <w:textAlignment w:val="baseline"/>
        <w:rPr>
          <w:b/>
          <w:bCs/>
          <w:i/>
          <w:iCs/>
          <w:sz w:val="28"/>
          <w:szCs w:val="28"/>
        </w:rPr>
      </w:pPr>
    </w:p>
    <w:tbl>
      <w:tblPr>
        <w:tblStyle w:val="TableGrid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4786"/>
        <w:gridCol w:w="1195"/>
      </w:tblGrid>
      <w:tr w:rsidRPr="00F8361B" w:rsidR="00F8361B" w:rsidTr="00863A8F" w14:paraId="16AB33D9" w14:textId="77777777">
        <w:tc>
          <w:tcPr>
            <w:tcW w:w="1297" w:type="pct"/>
          </w:tcPr>
          <w:p w:rsidRPr="00F8361B" w:rsidR="00F8361B" w:rsidP="00D264FF" w:rsidRDefault="00F8361B" w14:paraId="210F5A29" w14:textId="77777777">
            <w:pPr>
              <w:widowControl w:val="0"/>
              <w:overflowPunct w:val="0"/>
              <w:autoSpaceDE w:val="0"/>
              <w:autoSpaceDN w:val="0"/>
              <w:adjustRightInd w:val="0"/>
              <w:spacing w:line="276" w:lineRule="auto"/>
              <w:ind w:left="-113"/>
              <w:textAlignment w:val="baseline"/>
              <w:rPr>
                <w:b/>
              </w:rPr>
            </w:pPr>
            <w:r>
              <w:rPr>
                <w:b/>
              </w:rPr>
              <w:t>Ponente</w:t>
            </w:r>
          </w:p>
          <w:p w:rsidRPr="00F8361B" w:rsidR="00F8361B" w:rsidP="00D264FF" w:rsidRDefault="00F8361B" w14:paraId="650295C2" w14:textId="77777777">
            <w:pPr>
              <w:widowControl w:val="0"/>
              <w:overflowPunct w:val="0"/>
              <w:autoSpaceDE w:val="0"/>
              <w:autoSpaceDN w:val="0"/>
              <w:adjustRightInd w:val="0"/>
              <w:spacing w:line="276" w:lineRule="auto"/>
              <w:ind w:left="-113"/>
              <w:textAlignment w:val="baseline"/>
              <w:rPr>
                <w:b/>
              </w:rPr>
            </w:pPr>
          </w:p>
        </w:tc>
        <w:tc>
          <w:tcPr>
            <w:tcW w:w="3703" w:type="pct"/>
            <w:gridSpan w:val="2"/>
          </w:tcPr>
          <w:p w:rsidRPr="00F8361B" w:rsidR="00F8361B" w:rsidP="00D264FF" w:rsidRDefault="00F8361B" w14:paraId="2F381C87" w14:textId="77777777">
            <w:pPr>
              <w:widowControl w:val="0"/>
              <w:tabs>
                <w:tab w:val="left" w:pos="4572"/>
              </w:tabs>
              <w:overflowPunct w:val="0"/>
              <w:autoSpaceDE w:val="0"/>
              <w:autoSpaceDN w:val="0"/>
              <w:adjustRightInd w:val="0"/>
              <w:spacing w:line="276" w:lineRule="auto"/>
              <w:ind w:left="-113" w:right="-823"/>
              <w:textAlignment w:val="baseline"/>
            </w:pPr>
            <w:r>
              <w:t>Panagiotis GKOFAS (Grupo de Organizaciones de la Sociedad Civil – EL)</w:t>
            </w:r>
          </w:p>
        </w:tc>
      </w:tr>
      <w:tr w:rsidRPr="000C4EA7" w:rsidR="00F8361B" w:rsidTr="00863A8F" w14:paraId="669D8CBB" w14:textId="77777777">
        <w:tc>
          <w:tcPr>
            <w:tcW w:w="1297" w:type="pct"/>
          </w:tcPr>
          <w:p w:rsidRPr="00F8361B" w:rsidR="00F8361B" w:rsidP="00D264FF" w:rsidRDefault="00F8361B" w14:paraId="40F0C647" w14:textId="77777777">
            <w:pPr>
              <w:widowControl w:val="0"/>
              <w:overflowPunct w:val="0"/>
              <w:autoSpaceDE w:val="0"/>
              <w:autoSpaceDN w:val="0"/>
              <w:adjustRightInd w:val="0"/>
              <w:spacing w:line="276" w:lineRule="auto"/>
              <w:ind w:left="-113"/>
              <w:textAlignment w:val="baseline"/>
              <w:rPr>
                <w:b/>
              </w:rPr>
            </w:pPr>
            <w:r>
              <w:rPr>
                <w:b/>
                <w:bCs/>
              </w:rPr>
              <w:t>Coponente</w:t>
            </w:r>
          </w:p>
        </w:tc>
        <w:tc>
          <w:tcPr>
            <w:tcW w:w="3703" w:type="pct"/>
            <w:gridSpan w:val="2"/>
          </w:tcPr>
          <w:p w:rsidRPr="00F8361B" w:rsidR="00F8361B" w:rsidP="00D264FF" w:rsidRDefault="00F8361B" w14:paraId="6FF35F57" w14:textId="6A6AA37E">
            <w:pPr>
              <w:widowControl w:val="0"/>
              <w:tabs>
                <w:tab w:val="left" w:pos="4572"/>
              </w:tabs>
              <w:overflowPunct w:val="0"/>
              <w:autoSpaceDE w:val="0"/>
              <w:autoSpaceDN w:val="0"/>
              <w:adjustRightInd w:val="0"/>
              <w:spacing w:line="276" w:lineRule="auto"/>
              <w:ind w:left="-113" w:right="-823"/>
              <w:textAlignment w:val="baseline"/>
            </w:pPr>
            <w:r>
              <w:t>José Antonio MORENO DÍAZ (Grupo de Trabajadores – ES)</w:t>
            </w:r>
          </w:p>
        </w:tc>
      </w:tr>
      <w:tr w:rsidRPr="000C4EA7" w:rsidR="00F8361B" w:rsidTr="00863A8F" w14:paraId="0920373A" w14:textId="77777777">
        <w:tc>
          <w:tcPr>
            <w:tcW w:w="1297" w:type="pct"/>
          </w:tcPr>
          <w:p w:rsidRPr="00F8361B" w:rsidR="00F8361B" w:rsidP="00D264FF" w:rsidRDefault="00F8361B" w14:paraId="452CD326" w14:textId="77777777">
            <w:pPr>
              <w:widowControl w:val="0"/>
              <w:overflowPunct w:val="0"/>
              <w:autoSpaceDE w:val="0"/>
              <w:autoSpaceDN w:val="0"/>
              <w:adjustRightInd w:val="0"/>
              <w:spacing w:line="276" w:lineRule="auto"/>
              <w:ind w:left="-113"/>
              <w:textAlignment w:val="baseline"/>
              <w:rPr>
                <w:b/>
                <w:lang w:val="es-ES_tradnl"/>
              </w:rPr>
            </w:pPr>
          </w:p>
        </w:tc>
        <w:tc>
          <w:tcPr>
            <w:tcW w:w="3703" w:type="pct"/>
            <w:gridSpan w:val="2"/>
          </w:tcPr>
          <w:p w:rsidRPr="00F8361B" w:rsidR="00F8361B" w:rsidP="00D264FF" w:rsidRDefault="00F8361B" w14:paraId="63AD4440" w14:textId="77777777">
            <w:pPr>
              <w:widowControl w:val="0"/>
              <w:tabs>
                <w:tab w:val="left" w:pos="4572"/>
              </w:tabs>
              <w:overflowPunct w:val="0"/>
              <w:autoSpaceDE w:val="0"/>
              <w:autoSpaceDN w:val="0"/>
              <w:adjustRightInd w:val="0"/>
              <w:spacing w:line="276" w:lineRule="auto"/>
              <w:ind w:left="-113" w:right="-823"/>
              <w:textAlignment w:val="baseline"/>
              <w:rPr>
                <w:lang w:val="es-ES_tradnl"/>
              </w:rPr>
            </w:pPr>
          </w:p>
        </w:tc>
      </w:tr>
      <w:tr w:rsidRPr="00F8361B" w:rsidR="00F8361B" w:rsidTr="00863A8F" w14:paraId="64E0BE1E" w14:textId="77777777">
        <w:trPr>
          <w:gridAfter w:val="1"/>
          <w:wAfter w:w="740" w:type="pct"/>
        </w:trPr>
        <w:tc>
          <w:tcPr>
            <w:tcW w:w="1297" w:type="pct"/>
            <w:vMerge w:val="restart"/>
          </w:tcPr>
          <w:p w:rsidRPr="00F8361B" w:rsidR="00F8361B" w:rsidP="00D264FF" w:rsidRDefault="00F8361B" w14:paraId="33F355BB" w14:textId="77777777">
            <w:pPr>
              <w:widowControl w:val="0"/>
              <w:overflowPunct w:val="0"/>
              <w:autoSpaceDE w:val="0"/>
              <w:autoSpaceDN w:val="0"/>
              <w:adjustRightInd w:val="0"/>
              <w:spacing w:line="276" w:lineRule="auto"/>
              <w:ind w:left="-113"/>
              <w:textAlignment w:val="baseline"/>
              <w:rPr>
                <w:b/>
              </w:rPr>
            </w:pPr>
            <w:r>
              <w:rPr>
                <w:b/>
                <w:bCs/>
              </w:rPr>
              <w:t>Referencia</w:t>
            </w:r>
          </w:p>
        </w:tc>
        <w:tc>
          <w:tcPr>
            <w:tcW w:w="2963" w:type="pct"/>
          </w:tcPr>
          <w:p w:rsidR="00753C49" w:rsidP="00D264FF" w:rsidRDefault="00753C49" w14:paraId="18283D1B" w14:textId="0F6A3197">
            <w:pPr>
              <w:widowControl w:val="0"/>
              <w:tabs>
                <w:tab w:val="left" w:pos="4430"/>
              </w:tabs>
              <w:overflowPunct w:val="0"/>
              <w:autoSpaceDE w:val="0"/>
              <w:autoSpaceDN w:val="0"/>
              <w:adjustRightInd w:val="0"/>
              <w:spacing w:line="276" w:lineRule="auto"/>
              <w:ind w:left="-113" w:right="-823"/>
              <w:textAlignment w:val="baseline"/>
            </w:pPr>
            <w:r>
              <w:t>Dictamen de iniciativa</w:t>
            </w:r>
          </w:p>
          <w:p w:rsidRPr="00F8361B" w:rsidR="00F8361B" w:rsidP="00D264FF" w:rsidRDefault="00F8361B" w14:paraId="192CC07A" w14:textId="0511D515">
            <w:pPr>
              <w:widowControl w:val="0"/>
              <w:tabs>
                <w:tab w:val="left" w:pos="4430"/>
              </w:tabs>
              <w:overflowPunct w:val="0"/>
              <w:autoSpaceDE w:val="0"/>
              <w:autoSpaceDN w:val="0"/>
              <w:adjustRightInd w:val="0"/>
              <w:spacing w:line="276" w:lineRule="auto"/>
              <w:ind w:left="-113" w:right="-823"/>
              <w:textAlignment w:val="baseline"/>
            </w:pPr>
            <w:r>
              <w:t>EESC-2024-01017-00-00-AC</w:t>
            </w:r>
          </w:p>
        </w:tc>
      </w:tr>
      <w:tr w:rsidRPr="00F8361B" w:rsidR="00F8361B" w:rsidTr="00863A8F" w14:paraId="20A9FCDF" w14:textId="77777777">
        <w:trPr>
          <w:gridAfter w:val="1"/>
          <w:wAfter w:w="740" w:type="pct"/>
        </w:trPr>
        <w:tc>
          <w:tcPr>
            <w:tcW w:w="1297" w:type="pct"/>
            <w:vMerge/>
          </w:tcPr>
          <w:p w:rsidRPr="00F8361B" w:rsidR="00F8361B" w:rsidP="00D264FF" w:rsidRDefault="00F8361B" w14:paraId="1CEA6EC6" w14:textId="77777777">
            <w:pPr>
              <w:widowControl w:val="0"/>
              <w:tabs>
                <w:tab w:val="center" w:pos="284"/>
              </w:tabs>
              <w:overflowPunct w:val="0"/>
              <w:autoSpaceDE w:val="0"/>
              <w:autoSpaceDN w:val="0"/>
              <w:adjustRightInd w:val="0"/>
              <w:spacing w:line="276" w:lineRule="auto"/>
              <w:ind w:left="266" w:hanging="266"/>
              <w:textAlignment w:val="baseline"/>
              <w:rPr>
                <w:b/>
              </w:rPr>
            </w:pPr>
          </w:p>
        </w:tc>
        <w:tc>
          <w:tcPr>
            <w:tcW w:w="2963" w:type="pct"/>
          </w:tcPr>
          <w:p w:rsidRPr="00F8361B" w:rsidR="00F8361B" w:rsidP="00D264FF" w:rsidRDefault="00F8361B" w14:paraId="68A86EA7" w14:textId="77777777">
            <w:pPr>
              <w:widowControl w:val="0"/>
              <w:tabs>
                <w:tab w:val="center" w:pos="38"/>
                <w:tab w:val="left" w:pos="4430"/>
              </w:tabs>
              <w:overflowPunct w:val="0"/>
              <w:autoSpaceDE w:val="0"/>
              <w:autoSpaceDN w:val="0"/>
              <w:adjustRightInd w:val="0"/>
              <w:spacing w:line="276" w:lineRule="auto"/>
              <w:ind w:left="266" w:right="-823" w:hanging="370"/>
              <w:textAlignment w:val="baseline"/>
            </w:pPr>
          </w:p>
        </w:tc>
      </w:tr>
    </w:tbl>
    <w:p w:rsidRPr="00F8361B" w:rsidR="00F8361B" w:rsidP="00D264FF" w:rsidRDefault="00F8361B" w14:paraId="3456C8AF" w14:textId="77777777">
      <w:pPr>
        <w:widowControl w:val="0"/>
        <w:tabs>
          <w:tab w:val="center" w:pos="284"/>
        </w:tabs>
        <w:overflowPunct w:val="0"/>
        <w:autoSpaceDE w:val="0"/>
        <w:autoSpaceDN w:val="0"/>
        <w:adjustRightInd w:val="0"/>
        <w:spacing w:line="276" w:lineRule="auto"/>
        <w:ind w:left="266" w:hanging="266"/>
        <w:textAlignment w:val="baseline"/>
        <w:rPr>
          <w:b/>
        </w:rPr>
      </w:pPr>
      <w:r>
        <w:rPr>
          <w:b/>
        </w:rPr>
        <w:lastRenderedPageBreak/>
        <w:t>Puntos clave</w:t>
      </w:r>
    </w:p>
    <w:p w:rsidRPr="00F8361B" w:rsidR="00F8361B" w:rsidP="00D264FF" w:rsidRDefault="00F8361B" w14:paraId="005DBAF8" w14:textId="77777777">
      <w:pPr>
        <w:widowControl w:val="0"/>
        <w:tabs>
          <w:tab w:val="center" w:pos="284"/>
        </w:tabs>
        <w:overflowPunct w:val="0"/>
        <w:autoSpaceDE w:val="0"/>
        <w:autoSpaceDN w:val="0"/>
        <w:adjustRightInd w:val="0"/>
        <w:spacing w:line="276" w:lineRule="auto"/>
        <w:ind w:left="266" w:hanging="266"/>
        <w:textAlignment w:val="baseline"/>
        <w:rPr>
          <w:b/>
          <w:lang w:val="en-GB"/>
        </w:rPr>
      </w:pPr>
    </w:p>
    <w:p w:rsidRPr="00F8361B" w:rsidR="00F8361B" w:rsidP="00D264FF" w:rsidRDefault="00F8361B" w14:paraId="26DA63F5" w14:textId="77777777">
      <w:pPr>
        <w:widowControl w:val="0"/>
        <w:tabs>
          <w:tab w:val="center" w:pos="284"/>
        </w:tabs>
        <w:overflowPunct w:val="0"/>
        <w:autoSpaceDE w:val="0"/>
        <w:autoSpaceDN w:val="0"/>
        <w:adjustRightInd w:val="0"/>
        <w:spacing w:line="276" w:lineRule="auto"/>
        <w:ind w:left="266" w:hanging="266"/>
        <w:textAlignment w:val="baseline"/>
        <w:rPr>
          <w:szCs w:val="20"/>
        </w:rPr>
      </w:pPr>
      <w:r>
        <w:t>El CESE:</w:t>
      </w:r>
    </w:p>
    <w:p w:rsidRPr="00F8361B" w:rsidR="00F8361B" w:rsidP="00D264FF" w:rsidRDefault="00F8361B" w14:paraId="233979C3" w14:textId="77777777">
      <w:pPr>
        <w:widowControl w:val="0"/>
        <w:tabs>
          <w:tab w:val="center" w:pos="284"/>
        </w:tabs>
        <w:overflowPunct w:val="0"/>
        <w:autoSpaceDE w:val="0"/>
        <w:autoSpaceDN w:val="0"/>
        <w:adjustRightInd w:val="0"/>
        <w:spacing w:line="276" w:lineRule="auto"/>
        <w:ind w:left="266" w:hanging="266"/>
        <w:textAlignment w:val="baseline"/>
        <w:rPr>
          <w:szCs w:val="20"/>
          <w:lang w:val="en-GB"/>
        </w:rPr>
      </w:pPr>
    </w:p>
    <w:p w:rsidRPr="00F8361B" w:rsidR="00F8361B" w:rsidP="00D264FF" w:rsidRDefault="00F8361B" w14:paraId="6F00E1D6" w14:textId="77777777">
      <w:pPr>
        <w:widowControl w:val="0"/>
        <w:numPr>
          <w:ilvl w:val="0"/>
          <w:numId w:val="20"/>
        </w:numPr>
        <w:tabs>
          <w:tab w:val="center" w:pos="426"/>
        </w:tabs>
        <w:overflowPunct w:val="0"/>
        <w:autoSpaceDE w:val="0"/>
        <w:autoSpaceDN w:val="0"/>
        <w:adjustRightInd w:val="0"/>
        <w:spacing w:line="276" w:lineRule="auto"/>
        <w:ind w:left="426" w:hanging="426"/>
        <w:contextualSpacing/>
        <w:textAlignment w:val="baseline"/>
      </w:pPr>
      <w:r>
        <w:t>señala que la movilidad laboral organizada en la UE se rige por un marco muy fragmentado y excesivamente complejo que consta de varias Directivas de la UE y de la legislación nacional coexistente. Las diferentes categorías de trabajadores migrantes se rigen por las disposiciones de diferentes Directivas y Reglamentos, cada uno de los cuales abarca distintos aspectos y fases del proceso de migración;</w:t>
      </w:r>
    </w:p>
    <w:p w:rsidRPr="00F8361B" w:rsidR="00F8361B" w:rsidP="00D264FF" w:rsidRDefault="00F8361B" w14:paraId="583A27C8" w14:textId="77777777">
      <w:pPr>
        <w:widowControl w:val="0"/>
        <w:numPr>
          <w:ilvl w:val="0"/>
          <w:numId w:val="20"/>
        </w:numPr>
        <w:tabs>
          <w:tab w:val="center" w:pos="426"/>
        </w:tabs>
        <w:overflowPunct w:val="0"/>
        <w:autoSpaceDE w:val="0"/>
        <w:autoSpaceDN w:val="0"/>
        <w:adjustRightInd w:val="0"/>
        <w:spacing w:line="276" w:lineRule="auto"/>
        <w:ind w:left="426" w:hanging="426"/>
        <w:contextualSpacing/>
        <w:textAlignment w:val="baseline"/>
      </w:pPr>
      <w:r>
        <w:t>señala que, dado que la escasez de mano de obra constituye un reto europeo común, también requiere una respuesta común. Aprovechar el potencial de un mercado laboral único de la UE, en lugar de funcionar como veintisiete mercados laborales separados, situaría a la UE en una mejor posición para atraer trabajadores migrantes en la «carrera mundial por el talento»;</w:t>
      </w:r>
    </w:p>
    <w:p w:rsidRPr="00F8361B" w:rsidR="00F8361B" w:rsidP="00D264FF" w:rsidRDefault="00F8361B" w14:paraId="2200264D" w14:textId="77777777">
      <w:pPr>
        <w:widowControl w:val="0"/>
        <w:numPr>
          <w:ilvl w:val="0"/>
          <w:numId w:val="20"/>
        </w:numPr>
        <w:tabs>
          <w:tab w:val="center" w:pos="426"/>
        </w:tabs>
        <w:overflowPunct w:val="0"/>
        <w:autoSpaceDE w:val="0"/>
        <w:autoSpaceDN w:val="0"/>
        <w:adjustRightInd w:val="0"/>
        <w:spacing w:line="276" w:lineRule="auto"/>
        <w:ind w:left="426" w:hanging="426"/>
        <w:contextualSpacing/>
        <w:textAlignment w:val="baseline"/>
      </w:pPr>
      <w:r>
        <w:t xml:space="preserve">destaca la necesidad de establecer normas claras sobre el acceso de los migrantes a visados y permisos de trabajo, así como de garantizar el reconocimiento de sus títulos y cualificaciones profesionales; </w:t>
      </w:r>
    </w:p>
    <w:p w:rsidRPr="00F8361B" w:rsidR="00F8361B" w:rsidP="00D264FF" w:rsidRDefault="00F8361B" w14:paraId="3941F19B" w14:textId="77777777">
      <w:pPr>
        <w:widowControl w:val="0"/>
        <w:numPr>
          <w:ilvl w:val="0"/>
          <w:numId w:val="20"/>
        </w:numPr>
        <w:tabs>
          <w:tab w:val="center" w:pos="426"/>
        </w:tabs>
        <w:overflowPunct w:val="0"/>
        <w:autoSpaceDE w:val="0"/>
        <w:autoSpaceDN w:val="0"/>
        <w:adjustRightInd w:val="0"/>
        <w:spacing w:line="276" w:lineRule="auto"/>
        <w:ind w:left="426" w:hanging="426"/>
        <w:contextualSpacing/>
        <w:textAlignment w:val="baseline"/>
      </w:pPr>
      <w:r>
        <w:t>llama especialmente la atención sobre la necesidad de facilitar el acceso de los migrantes al mercado laboral mediante el desarrollo de políticas y planes de acción destinados a promover su inclusión (con disposiciones particulares para las mujeres) en el mercado laboral, en los que se aborden sus necesidades específicas y se desarrolle una cooperación eficaz entre los gobiernos, las entidades sociales y las comunidades empresariales en el diseño y la financiación de la formación profesional de los migrantes, garantizando que haya también clases de lengua y de ciudadanía a disposición de los solicitantes de asilo y los refugiados.</w:t>
      </w:r>
    </w:p>
    <w:p w:rsidRPr="00F8361B" w:rsidR="00F8361B" w:rsidP="00D264FF" w:rsidRDefault="00F8361B" w14:paraId="31DEA57F" w14:textId="77777777">
      <w:pPr>
        <w:widowControl w:val="0"/>
        <w:overflowPunct w:val="0"/>
        <w:autoSpaceDE w:val="0"/>
        <w:autoSpaceDN w:val="0"/>
        <w:adjustRightInd w:val="0"/>
        <w:spacing w:line="276" w:lineRule="auto"/>
        <w:ind w:left="709"/>
        <w:textAlignment w:val="baseline"/>
        <w:rPr>
          <w:sz w:val="16"/>
          <w:szCs w:val="16"/>
          <w:lang w:val="en-GB"/>
        </w:rPr>
      </w:pPr>
    </w:p>
    <w:tbl>
      <w:tblPr>
        <w:tblStyle w:val="TableGrid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8361B" w:rsidR="00F8361B" w:rsidTr="00863A8F" w14:paraId="17083D1B" w14:textId="77777777">
        <w:tc>
          <w:tcPr>
            <w:tcW w:w="1556" w:type="pct"/>
          </w:tcPr>
          <w:p w:rsidRPr="00F8361B" w:rsidR="00F8361B" w:rsidP="00D264FF" w:rsidRDefault="00F8361B" w14:paraId="457FB8FA" w14:textId="77777777">
            <w:pPr>
              <w:widowControl w:val="0"/>
              <w:overflowPunct w:val="0"/>
              <w:autoSpaceDE w:val="0"/>
              <w:autoSpaceDN w:val="0"/>
              <w:adjustRightInd w:val="0"/>
              <w:spacing w:line="276" w:lineRule="auto"/>
              <w:textAlignment w:val="baseline"/>
              <w:rPr>
                <w:i/>
              </w:rPr>
            </w:pPr>
            <w:r>
              <w:rPr>
                <w:b/>
                <w:i/>
              </w:rPr>
              <w:t>Contacto:</w:t>
            </w:r>
          </w:p>
        </w:tc>
        <w:tc>
          <w:tcPr>
            <w:tcW w:w="3444" w:type="pct"/>
          </w:tcPr>
          <w:p w:rsidRPr="00F8361B" w:rsidR="00F8361B" w:rsidP="00D264FF" w:rsidRDefault="00F8361B" w14:paraId="4FE81F5E" w14:textId="5B251322">
            <w:pPr>
              <w:widowControl w:val="0"/>
              <w:overflowPunct w:val="0"/>
              <w:autoSpaceDE w:val="0"/>
              <w:autoSpaceDN w:val="0"/>
              <w:adjustRightInd w:val="0"/>
              <w:spacing w:line="276" w:lineRule="auto"/>
              <w:textAlignment w:val="baseline"/>
              <w:rPr>
                <w:i/>
              </w:rPr>
            </w:pPr>
            <w:r>
              <w:rPr>
                <w:i/>
              </w:rPr>
              <w:t>Gemma Amran</w:t>
            </w:r>
          </w:p>
        </w:tc>
      </w:tr>
      <w:tr w:rsidRPr="00F8361B" w:rsidR="00F8361B" w:rsidTr="00863A8F" w14:paraId="50F12DEA" w14:textId="77777777">
        <w:tc>
          <w:tcPr>
            <w:tcW w:w="1556" w:type="pct"/>
          </w:tcPr>
          <w:p w:rsidRPr="00F8361B" w:rsidR="00F8361B" w:rsidP="00D264FF" w:rsidRDefault="00F8361B" w14:paraId="321CF420" w14:textId="77777777">
            <w:pPr>
              <w:widowControl w:val="0"/>
              <w:overflowPunct w:val="0"/>
              <w:autoSpaceDE w:val="0"/>
              <w:autoSpaceDN w:val="0"/>
              <w:adjustRightInd w:val="0"/>
              <w:spacing w:line="276" w:lineRule="auto"/>
              <w:textAlignment w:val="baseline"/>
              <w:rPr>
                <w:i/>
              </w:rPr>
            </w:pPr>
            <w:r>
              <w:rPr>
                <w:i/>
              </w:rPr>
              <w:t>Teléfono:</w:t>
            </w:r>
          </w:p>
        </w:tc>
        <w:tc>
          <w:tcPr>
            <w:tcW w:w="3444" w:type="pct"/>
          </w:tcPr>
          <w:p w:rsidRPr="00F8361B" w:rsidR="00F8361B" w:rsidP="00D264FF" w:rsidRDefault="00F8361B" w14:paraId="1BCE35C3" w14:textId="77777777">
            <w:pPr>
              <w:widowControl w:val="0"/>
              <w:overflowPunct w:val="0"/>
              <w:autoSpaceDE w:val="0"/>
              <w:autoSpaceDN w:val="0"/>
              <w:adjustRightInd w:val="0"/>
              <w:spacing w:line="276" w:lineRule="auto"/>
              <w:textAlignment w:val="baseline"/>
              <w:rPr>
                <w:i/>
              </w:rPr>
            </w:pPr>
            <w:r>
              <w:rPr>
                <w:i/>
              </w:rPr>
              <w:t>+32 25469415</w:t>
            </w:r>
          </w:p>
        </w:tc>
      </w:tr>
      <w:tr w:rsidRPr="00F8361B" w:rsidR="00F8361B" w:rsidTr="00863A8F" w14:paraId="166FE7CF" w14:textId="77777777">
        <w:tc>
          <w:tcPr>
            <w:tcW w:w="1556" w:type="pct"/>
          </w:tcPr>
          <w:p w:rsidRPr="00F8361B" w:rsidR="00F8361B" w:rsidP="00D264FF" w:rsidRDefault="00F8361B" w14:paraId="4F7B4D10" w14:textId="77777777">
            <w:pPr>
              <w:widowControl w:val="0"/>
              <w:overflowPunct w:val="0"/>
              <w:autoSpaceDE w:val="0"/>
              <w:autoSpaceDN w:val="0"/>
              <w:adjustRightInd w:val="0"/>
              <w:spacing w:line="276" w:lineRule="auto"/>
              <w:textAlignment w:val="baseline"/>
              <w:rPr>
                <w:i/>
              </w:rPr>
            </w:pPr>
            <w:r>
              <w:rPr>
                <w:i/>
              </w:rPr>
              <w:t>Correo electrónico:</w:t>
            </w:r>
          </w:p>
        </w:tc>
        <w:tc>
          <w:tcPr>
            <w:tcW w:w="3444" w:type="pct"/>
          </w:tcPr>
          <w:p w:rsidRPr="00F8361B" w:rsidR="00F8361B" w:rsidP="00D264FF" w:rsidRDefault="00A207FB" w14:paraId="48483D99" w14:textId="77777777">
            <w:pPr>
              <w:widowControl w:val="0"/>
              <w:overflowPunct w:val="0"/>
              <w:autoSpaceDE w:val="0"/>
              <w:autoSpaceDN w:val="0"/>
              <w:adjustRightInd w:val="0"/>
              <w:spacing w:line="276" w:lineRule="auto"/>
              <w:textAlignment w:val="baseline"/>
              <w:rPr>
                <w:color w:val="0000FF"/>
                <w:u w:val="single"/>
              </w:rPr>
            </w:pPr>
            <w:hyperlink w:history="1" r:id="rId30">
              <w:r w:rsidR="00F8361B">
                <w:rPr>
                  <w:i/>
                  <w:color w:val="0000FF"/>
                  <w:u w:val="single"/>
                </w:rPr>
                <w:t>Gem</w:t>
              </w:r>
              <w:r w:rsidR="00F8361B">
                <w:rPr>
                  <w:i/>
                  <w:color w:val="0000FF"/>
                  <w:u w:val="single"/>
                </w:rPr>
                <w:t>m</w:t>
              </w:r>
              <w:r w:rsidR="00F8361B">
                <w:rPr>
                  <w:i/>
                  <w:color w:val="0000FF"/>
                  <w:u w:val="single"/>
                </w:rPr>
                <w:t>a.Amran@eesc.europa.eu</w:t>
              </w:r>
            </w:hyperlink>
          </w:p>
        </w:tc>
      </w:tr>
    </w:tbl>
    <w:p w:rsidRPr="00F8361B" w:rsidR="00327E1C" w:rsidP="00D264FF" w:rsidRDefault="00327E1C" w14:paraId="7912FB32" w14:textId="710E78D4">
      <w:pPr>
        <w:spacing w:line="276" w:lineRule="auto"/>
        <w:jc w:val="left"/>
        <w:rPr>
          <w:lang w:val="en-GB"/>
        </w:rPr>
      </w:pPr>
    </w:p>
    <w:p w:rsidR="00327E1C" w:rsidP="00D264FF" w:rsidRDefault="00327E1C" w14:paraId="14354E90" w14:textId="081D4476">
      <w:pPr>
        <w:spacing w:line="276" w:lineRule="auto"/>
        <w:jc w:val="left"/>
      </w:pPr>
    </w:p>
    <w:p w:rsidR="004D7AC0" w:rsidP="00D9406C" w:rsidRDefault="004D7AC0" w14:paraId="4982DDC6" w14:textId="22D8A927">
      <w:pPr>
        <w:pStyle w:val="Heading1"/>
        <w:keepNext/>
        <w:keepLines/>
        <w:spacing w:line="276" w:lineRule="auto"/>
        <w:ind w:right="-284"/>
        <w:rPr>
          <w:b/>
        </w:rPr>
      </w:pPr>
      <w:bookmarkStart w:name="_Toc24617160" w:id="4"/>
      <w:bookmarkStart w:name="_Toc75527082" w:id="5"/>
      <w:bookmarkStart w:name="_Toc184804675" w:id="6"/>
      <w:r>
        <w:rPr>
          <w:b/>
        </w:rPr>
        <w:t>TRANSPORTE, ENERGÍA, INFRAESTRUCTURAS Y SOCIEDAD DE LA INFORMACIÓN</w:t>
      </w:r>
      <w:bookmarkEnd w:id="4"/>
      <w:bookmarkEnd w:id="5"/>
      <w:bookmarkEnd w:id="6"/>
    </w:p>
    <w:p w:rsidR="004D7AC0" w:rsidP="00D264FF" w:rsidRDefault="004D7AC0" w14:paraId="4982DDC7" w14:textId="77777777">
      <w:pPr>
        <w:keepNext/>
        <w:keepLines/>
        <w:spacing w:line="276" w:lineRule="auto"/>
      </w:pPr>
    </w:p>
    <w:p w:rsidRPr="00B70A01" w:rsidR="00B70A01" w:rsidP="00D264FF" w:rsidRDefault="00A207FB" w14:paraId="2FBF511E" w14:textId="6CABB23C">
      <w:pPr>
        <w:widowControl w:val="0"/>
        <w:numPr>
          <w:ilvl w:val="0"/>
          <w:numId w:val="6"/>
        </w:numPr>
        <w:overflowPunct w:val="0"/>
        <w:autoSpaceDE w:val="0"/>
        <w:autoSpaceDN w:val="0"/>
        <w:adjustRightInd w:val="0"/>
        <w:spacing w:line="276" w:lineRule="auto"/>
        <w:ind w:left="709" w:hanging="709"/>
        <w:textAlignment w:val="baseline"/>
        <w:rPr>
          <w:b/>
        </w:rPr>
      </w:pPr>
      <w:hyperlink w:history="1" r:id="rId31">
        <w:r w:rsidR="00DD115B">
          <w:rPr>
            <w:b/>
            <w:i/>
            <w:color w:val="0000FF"/>
            <w:sz w:val="28"/>
            <w:u w:val="single"/>
          </w:rPr>
          <w:t>Escasez de mano de obr</w:t>
        </w:r>
        <w:r w:rsidR="00DD115B">
          <w:rPr>
            <w:b/>
            <w:i/>
            <w:color w:val="0000FF"/>
            <w:sz w:val="28"/>
            <w:u w:val="single"/>
          </w:rPr>
          <w:t>a</w:t>
        </w:r>
        <w:r w:rsidR="00DD115B">
          <w:rPr>
            <w:b/>
            <w:i/>
            <w:color w:val="0000FF"/>
            <w:sz w:val="28"/>
            <w:u w:val="single"/>
          </w:rPr>
          <w:t xml:space="preserve"> y</w:t>
        </w:r>
        <w:r w:rsidR="00DD115B">
          <w:rPr>
            <w:b/>
            <w:i/>
            <w:color w:val="0000FF"/>
            <w:sz w:val="28"/>
            <w:u w:val="single"/>
          </w:rPr>
          <w:t xml:space="preserve"> </w:t>
        </w:r>
        <w:r w:rsidR="00DD115B">
          <w:rPr>
            <w:b/>
            <w:i/>
            <w:color w:val="0000FF"/>
            <w:sz w:val="28"/>
            <w:u w:val="single"/>
          </w:rPr>
          <w:t xml:space="preserve">de capacidades en </w:t>
        </w:r>
        <w:r w:rsidR="00DD115B">
          <w:rPr>
            <w:b/>
            <w:i/>
            <w:color w:val="0000FF"/>
            <w:sz w:val="28"/>
            <w:u w:val="single"/>
          </w:rPr>
          <w:t>e</w:t>
        </w:r>
        <w:r w:rsidR="00DD115B">
          <w:rPr>
            <w:b/>
            <w:i/>
            <w:color w:val="0000FF"/>
            <w:sz w:val="28"/>
            <w:u w:val="single"/>
          </w:rPr>
          <w:t xml:space="preserve">l transporte, la energía, </w:t>
        </w:r>
        <w:r w:rsidR="00D9406C">
          <w:rPr>
            <w:b/>
            <w:i/>
            <w:color w:val="0000FF"/>
            <w:sz w:val="28"/>
            <w:u w:val="single"/>
          </w:rPr>
          <w:br/>
        </w:r>
        <w:r w:rsidR="00DD115B">
          <w:rPr>
            <w:b/>
            <w:i/>
            <w:color w:val="0000FF"/>
            <w:sz w:val="28"/>
            <w:u w:val="single"/>
          </w:rPr>
          <w:t>las infraestructuras y el sector digital</w:t>
        </w:r>
      </w:hyperlink>
    </w:p>
    <w:p w:rsidRPr="00B70A01" w:rsidR="00B70A01" w:rsidP="00D264FF" w:rsidRDefault="00B70A01" w14:paraId="5997B1F5" w14:textId="77777777">
      <w:pPr>
        <w:widowControl w:val="0"/>
        <w:overflowPunct w:val="0"/>
        <w:autoSpaceDE w:val="0"/>
        <w:autoSpaceDN w:val="0"/>
        <w:adjustRightInd w:val="0"/>
        <w:spacing w:line="276" w:lineRule="auto"/>
        <w:ind w:left="266"/>
        <w:textAlignment w:val="baseline"/>
        <w:rPr>
          <w:b/>
          <w:lang w:val="en-GB"/>
        </w:rPr>
      </w:pPr>
    </w:p>
    <w:tbl>
      <w:tblPr>
        <w:tblStyle w:val="TableGrid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B70A01" w:rsidR="00B70A01" w:rsidTr="00863A8F" w14:paraId="18B40AC4" w14:textId="77777777">
        <w:tc>
          <w:tcPr>
            <w:tcW w:w="1591" w:type="pct"/>
          </w:tcPr>
          <w:p w:rsidRPr="00B70A01" w:rsidR="00B70A01" w:rsidP="00D264FF" w:rsidRDefault="00B70A01" w14:paraId="2B92D77A"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3409" w:type="pct"/>
          </w:tcPr>
          <w:p w:rsidRPr="00B70A01" w:rsidR="00B70A01" w:rsidP="00D264FF" w:rsidRDefault="00B70A01" w14:paraId="3B612422" w14:textId="77777777">
            <w:pPr>
              <w:tabs>
                <w:tab w:val="center" w:pos="284"/>
              </w:tabs>
              <w:overflowPunct w:val="0"/>
              <w:autoSpaceDE w:val="0"/>
              <w:autoSpaceDN w:val="0"/>
              <w:adjustRightInd w:val="0"/>
              <w:spacing w:line="276" w:lineRule="auto"/>
              <w:ind w:left="266" w:hanging="266"/>
              <w:textAlignment w:val="baseline"/>
            </w:pPr>
            <w:r>
              <w:t>Thomas KATTNIG (Grupo de Trabajadores – AT)</w:t>
            </w:r>
          </w:p>
        </w:tc>
      </w:tr>
      <w:tr w:rsidRPr="00B70A01" w:rsidR="00B70A01" w:rsidTr="00863A8F" w14:paraId="7E15D1AC" w14:textId="77777777">
        <w:tc>
          <w:tcPr>
            <w:tcW w:w="5000" w:type="pct"/>
            <w:gridSpan w:val="2"/>
          </w:tcPr>
          <w:p w:rsidRPr="00B70A01" w:rsidR="00B70A01" w:rsidP="00D264FF" w:rsidRDefault="00B70A01" w14:paraId="4E0DAF95" w14:textId="77777777">
            <w:pPr>
              <w:tabs>
                <w:tab w:val="center" w:pos="284"/>
              </w:tabs>
              <w:overflowPunct w:val="0"/>
              <w:autoSpaceDE w:val="0"/>
              <w:autoSpaceDN w:val="0"/>
              <w:adjustRightInd w:val="0"/>
              <w:spacing w:line="276" w:lineRule="auto"/>
              <w:ind w:left="266" w:hanging="266"/>
              <w:textAlignment w:val="baseline"/>
            </w:pPr>
          </w:p>
        </w:tc>
      </w:tr>
      <w:tr w:rsidRPr="00B70A01" w:rsidR="00D9406C" w:rsidTr="00B378D1" w14:paraId="601CA657" w14:textId="77777777">
        <w:trPr>
          <w:trHeight w:val="793"/>
        </w:trPr>
        <w:tc>
          <w:tcPr>
            <w:tcW w:w="1591" w:type="pct"/>
          </w:tcPr>
          <w:p w:rsidRPr="00B70A01" w:rsidR="00D9406C" w:rsidP="00D264FF" w:rsidRDefault="00D9406C" w14:paraId="2619BEEE" w14:textId="77777777">
            <w:pPr>
              <w:tabs>
                <w:tab w:val="center" w:pos="284"/>
              </w:tabs>
              <w:overflowPunct w:val="0"/>
              <w:autoSpaceDE w:val="0"/>
              <w:autoSpaceDN w:val="0"/>
              <w:adjustRightInd w:val="0"/>
              <w:spacing w:line="276" w:lineRule="auto"/>
              <w:ind w:left="266" w:hanging="266"/>
              <w:textAlignment w:val="baseline"/>
              <w:rPr>
                <w:b/>
              </w:rPr>
            </w:pPr>
            <w:r>
              <w:rPr>
                <w:b/>
                <w:bCs/>
              </w:rPr>
              <w:t>Referencia</w:t>
            </w:r>
          </w:p>
        </w:tc>
        <w:tc>
          <w:tcPr>
            <w:tcW w:w="3409" w:type="pct"/>
          </w:tcPr>
          <w:p w:rsidRPr="00B70A01" w:rsidR="00D9406C" w:rsidP="00D264FF" w:rsidRDefault="00D9406C" w14:paraId="44BE6549" w14:textId="77777777">
            <w:pPr>
              <w:tabs>
                <w:tab w:val="center" w:pos="284"/>
              </w:tabs>
              <w:overflowPunct w:val="0"/>
              <w:autoSpaceDE w:val="0"/>
              <w:autoSpaceDN w:val="0"/>
              <w:adjustRightInd w:val="0"/>
              <w:spacing w:line="276" w:lineRule="auto"/>
              <w:ind w:left="266" w:hanging="266"/>
              <w:textAlignment w:val="baseline"/>
            </w:pPr>
            <w:r>
              <w:t>Dictamen de iniciativa</w:t>
            </w:r>
          </w:p>
          <w:p w:rsidRPr="00B70A01" w:rsidR="00D9406C" w:rsidP="00D9406C" w:rsidRDefault="00D9406C" w14:paraId="57407D88" w14:textId="77777777">
            <w:pPr>
              <w:tabs>
                <w:tab w:val="center" w:pos="284"/>
              </w:tabs>
              <w:overflowPunct w:val="0"/>
              <w:autoSpaceDE w:val="0"/>
              <w:autoSpaceDN w:val="0"/>
              <w:adjustRightInd w:val="0"/>
              <w:spacing w:line="276" w:lineRule="auto"/>
              <w:ind w:left="266" w:hanging="266"/>
              <w:textAlignment w:val="baseline"/>
            </w:pPr>
            <w:r>
              <w:t>EESC-2024-01463-00-00-AC</w:t>
            </w:r>
          </w:p>
        </w:tc>
      </w:tr>
    </w:tbl>
    <w:p w:rsidRPr="00B70A01" w:rsidR="00B70A01" w:rsidP="00D264FF" w:rsidRDefault="00B70A01" w14:paraId="6D7F98B5"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B70A01" w:rsidR="00B70A01" w:rsidP="00D264FF" w:rsidRDefault="00B70A01" w14:paraId="531246B9"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B70A01" w:rsidR="00B70A01" w:rsidP="00D264FF" w:rsidRDefault="00B70A01" w14:paraId="7F30017E" w14:textId="77777777">
      <w:pPr>
        <w:overflowPunct w:val="0"/>
        <w:autoSpaceDE w:val="0"/>
        <w:autoSpaceDN w:val="0"/>
        <w:adjustRightInd w:val="0"/>
        <w:spacing w:line="276" w:lineRule="auto"/>
        <w:textAlignment w:val="baseline"/>
        <w:rPr>
          <w:bCs/>
          <w:iCs/>
        </w:rPr>
      </w:pPr>
      <w:r>
        <w:t>El CESE:</w:t>
      </w:r>
    </w:p>
    <w:p w:rsidRPr="00B70A01" w:rsidR="00B70A01" w:rsidP="00D264FF" w:rsidRDefault="00B70A01" w14:paraId="6FB63A41" w14:textId="77777777">
      <w:pPr>
        <w:overflowPunct w:val="0"/>
        <w:autoSpaceDE w:val="0"/>
        <w:autoSpaceDN w:val="0"/>
        <w:adjustRightInd w:val="0"/>
        <w:spacing w:line="276" w:lineRule="auto"/>
        <w:textAlignment w:val="baseline"/>
        <w:rPr>
          <w:bCs/>
          <w:iCs/>
          <w:lang w:val="en-GB"/>
        </w:rPr>
      </w:pPr>
    </w:p>
    <w:p w:rsidRPr="00D9406C" w:rsidR="00B70A01" w:rsidP="00D9406C" w:rsidRDefault="00B70A01" w14:paraId="3CE5B6A4" w14:textId="4844AD6F">
      <w:pPr>
        <w:widowControl w:val="0"/>
        <w:numPr>
          <w:ilvl w:val="0"/>
          <w:numId w:val="21"/>
        </w:numPr>
        <w:overflowPunct w:val="0"/>
        <w:autoSpaceDE w:val="0"/>
        <w:autoSpaceDN w:val="0"/>
        <w:adjustRightInd w:val="0"/>
        <w:spacing w:line="276" w:lineRule="auto"/>
        <w:ind w:left="426" w:hanging="426"/>
        <w:textAlignment w:val="baseline"/>
        <w:rPr>
          <w:bCs/>
          <w:iCs/>
        </w:rPr>
      </w:pPr>
      <w:r>
        <w:t xml:space="preserve">pone de relieve </w:t>
      </w:r>
      <w:r>
        <w:rPr>
          <w:b/>
        </w:rPr>
        <w:t>el reto cada vez mayor que representa la escasez de mano de obra y de capacidades</w:t>
      </w:r>
      <w:r>
        <w:t xml:space="preserve"> en los sectores del transporte, la energía, las infraestructuras y la tecnología digital. Estos sectores de vital importancia para la prosperidad y la sostenibilidad ecológica de Europa son esenciales no solo para el Pacto Verde Europeo, sino también para la futura competitividad de la UE;</w:t>
      </w:r>
    </w:p>
    <w:p w:rsidRPr="00B70A01" w:rsidR="00D9406C" w:rsidP="00D9406C" w:rsidRDefault="00D9406C" w14:paraId="0DBE6859" w14:textId="77777777">
      <w:pPr>
        <w:widowControl w:val="0"/>
        <w:overflowPunct w:val="0"/>
        <w:autoSpaceDE w:val="0"/>
        <w:autoSpaceDN w:val="0"/>
        <w:adjustRightInd w:val="0"/>
        <w:spacing w:line="276" w:lineRule="auto"/>
        <w:textAlignment w:val="baseline"/>
        <w:rPr>
          <w:bCs/>
          <w:iCs/>
        </w:rPr>
      </w:pPr>
    </w:p>
    <w:p w:rsidRPr="00B70A01" w:rsidR="00B70A01" w:rsidP="00D9406C" w:rsidRDefault="00B70A01" w14:paraId="539C8220" w14:textId="77777777">
      <w:pPr>
        <w:widowControl w:val="0"/>
        <w:numPr>
          <w:ilvl w:val="0"/>
          <w:numId w:val="21"/>
        </w:numPr>
        <w:overflowPunct w:val="0"/>
        <w:autoSpaceDE w:val="0"/>
        <w:autoSpaceDN w:val="0"/>
        <w:adjustRightInd w:val="0"/>
        <w:spacing w:line="276" w:lineRule="auto"/>
        <w:ind w:left="426" w:hanging="426"/>
        <w:textAlignment w:val="baseline"/>
        <w:rPr>
          <w:bCs/>
          <w:iCs/>
        </w:rPr>
      </w:pPr>
      <w:r>
        <w:lastRenderedPageBreak/>
        <w:t xml:space="preserve">considera que </w:t>
      </w:r>
      <w:r>
        <w:rPr>
          <w:b/>
        </w:rPr>
        <w:t>se necesitan medidas más ambiciosas</w:t>
      </w:r>
      <w:r>
        <w:t xml:space="preserve"> para garantizar una transición justa, en particular promover la calidad del empleo, establecer un equilibrio en el mercado laboral y mejorar las condiciones de trabajo;</w:t>
      </w:r>
    </w:p>
    <w:p w:rsidRPr="00B70A01" w:rsidR="00B70A01" w:rsidP="00D9406C" w:rsidRDefault="00B70A01" w14:paraId="3638E995" w14:textId="77777777">
      <w:pPr>
        <w:widowControl w:val="0"/>
        <w:numPr>
          <w:ilvl w:val="0"/>
          <w:numId w:val="21"/>
        </w:numPr>
        <w:overflowPunct w:val="0"/>
        <w:autoSpaceDE w:val="0"/>
        <w:autoSpaceDN w:val="0"/>
        <w:adjustRightInd w:val="0"/>
        <w:spacing w:line="276" w:lineRule="auto"/>
        <w:ind w:left="426" w:hanging="426"/>
        <w:textAlignment w:val="baseline"/>
        <w:rPr>
          <w:bCs/>
          <w:iCs/>
        </w:rPr>
      </w:pPr>
      <w:r>
        <w:t xml:space="preserve">reconoce el </w:t>
      </w:r>
      <w:r>
        <w:rPr>
          <w:b/>
        </w:rPr>
        <w:t>importante papel que desempeñan los interlocutores sociales</w:t>
      </w:r>
      <w:r>
        <w:t xml:space="preserve"> en la elaboración y aplicación de medidas para hacer frente a la escasez de mano de obra y de capacidades;</w:t>
      </w:r>
    </w:p>
    <w:p w:rsidRPr="00B70A01" w:rsidR="00B70A01" w:rsidP="00D9406C" w:rsidRDefault="00B70A01" w14:paraId="4065B872" w14:textId="77777777">
      <w:pPr>
        <w:widowControl w:val="0"/>
        <w:numPr>
          <w:ilvl w:val="0"/>
          <w:numId w:val="21"/>
        </w:numPr>
        <w:overflowPunct w:val="0"/>
        <w:autoSpaceDE w:val="0"/>
        <w:autoSpaceDN w:val="0"/>
        <w:adjustRightInd w:val="0"/>
        <w:spacing w:line="276" w:lineRule="auto"/>
        <w:ind w:left="426" w:hanging="426"/>
        <w:textAlignment w:val="baseline"/>
        <w:rPr>
          <w:bCs/>
          <w:iCs/>
        </w:rPr>
      </w:pPr>
      <w:r>
        <w:t xml:space="preserve">propone desarrollar y financiar programas específicos, orientaciones centradas en el alumno y medidas coordinadas de apoyo a los alumnos para </w:t>
      </w:r>
      <w:r>
        <w:rPr>
          <w:b/>
        </w:rPr>
        <w:t>facilitar la incorporación al mercado laboral de grupos infrarrepresentados y desfavorecidos</w:t>
      </w:r>
      <w:r>
        <w:t>, como las mujeres con profesiones CTIM (ciencia, tecnología, ingeniería y matemáticas), las personas de origen migrante, las personas con discapacidad y los trabajadores de más edad;</w:t>
      </w:r>
    </w:p>
    <w:p w:rsidRPr="00B70A01" w:rsidR="00B70A01" w:rsidP="00D9406C" w:rsidRDefault="00B70A01" w14:paraId="1961B38D" w14:textId="77777777">
      <w:pPr>
        <w:widowControl w:val="0"/>
        <w:numPr>
          <w:ilvl w:val="0"/>
          <w:numId w:val="21"/>
        </w:numPr>
        <w:overflowPunct w:val="0"/>
        <w:autoSpaceDE w:val="0"/>
        <w:autoSpaceDN w:val="0"/>
        <w:adjustRightInd w:val="0"/>
        <w:spacing w:line="276" w:lineRule="auto"/>
        <w:ind w:left="426" w:hanging="426"/>
        <w:textAlignment w:val="baseline"/>
        <w:rPr>
          <w:bCs/>
          <w:iCs/>
        </w:rPr>
      </w:pPr>
      <w:r>
        <w:t xml:space="preserve">anima a los Estados miembros a constituir </w:t>
      </w:r>
      <w:r>
        <w:rPr>
          <w:b/>
        </w:rPr>
        <w:t>fondos para la formación gestionados de manera tripartita</w:t>
      </w:r>
      <w:r>
        <w:t>, que respeten las características de los diferentes sistemas nacionales, a fin de reducir los desincentivos y ayudar a las empresas a facilitar formación en el lugar de trabajo, como la formación de aprendices.</w:t>
      </w:r>
    </w:p>
    <w:p w:rsidRPr="00B70A01" w:rsidR="00B70A01" w:rsidP="00D264FF" w:rsidRDefault="00B70A01" w14:paraId="5431DC4C" w14:textId="77777777">
      <w:pPr>
        <w:widowControl w:val="0"/>
        <w:overflowPunct w:val="0"/>
        <w:autoSpaceDE w:val="0"/>
        <w:autoSpaceDN w:val="0"/>
        <w:adjustRightInd w:val="0"/>
        <w:spacing w:line="276" w:lineRule="auto"/>
        <w:ind w:left="709"/>
        <w:textAlignment w:val="baseline"/>
        <w:rPr>
          <w:szCs w:val="20"/>
          <w:lang w:val="en-GB"/>
        </w:rPr>
      </w:pPr>
    </w:p>
    <w:tbl>
      <w:tblPr>
        <w:tblStyle w:val="TableGrid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B70A01" w:rsidR="00B70A01" w:rsidTr="00863A8F" w14:paraId="01B5DFB9" w14:textId="77777777">
        <w:tc>
          <w:tcPr>
            <w:tcW w:w="1556" w:type="pct"/>
          </w:tcPr>
          <w:p w:rsidRPr="00B70A01" w:rsidR="00B70A01" w:rsidP="00D264FF" w:rsidRDefault="00B70A01" w14:paraId="17DD32AB" w14:textId="77777777">
            <w:pPr>
              <w:overflowPunct w:val="0"/>
              <w:autoSpaceDE w:val="0"/>
              <w:autoSpaceDN w:val="0"/>
              <w:adjustRightInd w:val="0"/>
              <w:spacing w:line="276" w:lineRule="auto"/>
              <w:textAlignment w:val="baseline"/>
              <w:rPr>
                <w:i/>
              </w:rPr>
            </w:pPr>
            <w:r>
              <w:rPr>
                <w:b/>
                <w:i/>
              </w:rPr>
              <w:t xml:space="preserve">Contacto </w:t>
            </w:r>
          </w:p>
        </w:tc>
        <w:tc>
          <w:tcPr>
            <w:tcW w:w="3444" w:type="pct"/>
          </w:tcPr>
          <w:p w:rsidRPr="00B70A01" w:rsidR="00B70A01" w:rsidP="00D264FF" w:rsidRDefault="00B70A01" w14:paraId="1BED828B" w14:textId="77777777">
            <w:pPr>
              <w:overflowPunct w:val="0"/>
              <w:autoSpaceDE w:val="0"/>
              <w:autoSpaceDN w:val="0"/>
              <w:adjustRightInd w:val="0"/>
              <w:spacing w:line="276" w:lineRule="auto"/>
              <w:textAlignment w:val="baseline"/>
              <w:rPr>
                <w:i/>
              </w:rPr>
            </w:pPr>
            <w:r>
              <w:rPr>
                <w:i/>
              </w:rPr>
              <w:t>Francesco Napolitano</w:t>
            </w:r>
          </w:p>
        </w:tc>
      </w:tr>
      <w:tr w:rsidRPr="00B70A01" w:rsidR="00B70A01" w:rsidTr="00863A8F" w14:paraId="07D804F8" w14:textId="77777777">
        <w:tc>
          <w:tcPr>
            <w:tcW w:w="1556" w:type="pct"/>
          </w:tcPr>
          <w:p w:rsidRPr="00B70A01" w:rsidR="00B70A01" w:rsidP="00D264FF" w:rsidRDefault="00B70A01" w14:paraId="39546BCA" w14:textId="77777777">
            <w:pPr>
              <w:overflowPunct w:val="0"/>
              <w:autoSpaceDE w:val="0"/>
              <w:autoSpaceDN w:val="0"/>
              <w:adjustRightInd w:val="0"/>
              <w:spacing w:line="276" w:lineRule="auto"/>
              <w:textAlignment w:val="baseline"/>
              <w:rPr>
                <w:i/>
              </w:rPr>
            </w:pPr>
            <w:r>
              <w:rPr>
                <w:i/>
              </w:rPr>
              <w:t>Teléfono:</w:t>
            </w:r>
          </w:p>
        </w:tc>
        <w:tc>
          <w:tcPr>
            <w:tcW w:w="3444" w:type="pct"/>
          </w:tcPr>
          <w:p w:rsidRPr="00B70A01" w:rsidR="00B70A01" w:rsidP="00D264FF" w:rsidRDefault="00B70A01" w14:paraId="76B7E4F8" w14:textId="77777777">
            <w:pPr>
              <w:overflowPunct w:val="0"/>
              <w:autoSpaceDE w:val="0"/>
              <w:autoSpaceDN w:val="0"/>
              <w:adjustRightInd w:val="0"/>
              <w:spacing w:line="276" w:lineRule="auto"/>
              <w:textAlignment w:val="baseline"/>
              <w:rPr>
                <w:i/>
              </w:rPr>
            </w:pPr>
            <w:r>
              <w:rPr>
                <w:i/>
              </w:rPr>
              <w:t>+32 25468921</w:t>
            </w:r>
          </w:p>
        </w:tc>
      </w:tr>
      <w:tr w:rsidRPr="00B70A01" w:rsidR="00B70A01" w:rsidTr="00863A8F" w14:paraId="0A3C7522" w14:textId="77777777">
        <w:tc>
          <w:tcPr>
            <w:tcW w:w="1556" w:type="pct"/>
          </w:tcPr>
          <w:p w:rsidRPr="00B70A01" w:rsidR="00B70A01" w:rsidP="00D264FF" w:rsidRDefault="00B70A01" w14:paraId="05434FC6" w14:textId="77777777">
            <w:pPr>
              <w:overflowPunct w:val="0"/>
              <w:autoSpaceDE w:val="0"/>
              <w:autoSpaceDN w:val="0"/>
              <w:adjustRightInd w:val="0"/>
              <w:spacing w:line="276" w:lineRule="auto"/>
              <w:textAlignment w:val="baseline"/>
              <w:rPr>
                <w:i/>
              </w:rPr>
            </w:pPr>
            <w:r>
              <w:rPr>
                <w:i/>
              </w:rPr>
              <w:t>Correo electrónico:</w:t>
            </w:r>
          </w:p>
        </w:tc>
        <w:tc>
          <w:tcPr>
            <w:tcW w:w="3444" w:type="pct"/>
          </w:tcPr>
          <w:p w:rsidRPr="00B70A01" w:rsidR="00B70A01" w:rsidP="00D264FF" w:rsidRDefault="00A207FB" w14:paraId="025822D2" w14:textId="5E8650F4">
            <w:pPr>
              <w:overflowPunct w:val="0"/>
              <w:autoSpaceDE w:val="0"/>
              <w:autoSpaceDN w:val="0"/>
              <w:adjustRightInd w:val="0"/>
              <w:spacing w:line="276" w:lineRule="auto"/>
              <w:textAlignment w:val="baseline"/>
              <w:rPr>
                <w:i/>
              </w:rPr>
            </w:pPr>
            <w:hyperlink w:history="1" r:id="rId32">
              <w:r w:rsidR="00DD115B">
                <w:rPr>
                  <w:i/>
                  <w:color w:val="0000FF"/>
                  <w:u w:val="single"/>
                </w:rPr>
                <w:t>Francesco.Napolita</w:t>
              </w:r>
              <w:r w:rsidR="00DD115B">
                <w:rPr>
                  <w:i/>
                  <w:color w:val="0000FF"/>
                  <w:u w:val="single"/>
                </w:rPr>
                <w:t>n</w:t>
              </w:r>
              <w:r w:rsidR="00DD115B">
                <w:rPr>
                  <w:i/>
                  <w:color w:val="0000FF"/>
                  <w:u w:val="single"/>
                </w:rPr>
                <w:t>o@eesc.europa.eu</w:t>
              </w:r>
            </w:hyperlink>
            <w:r w:rsidR="00DD115B">
              <w:rPr>
                <w:i/>
              </w:rPr>
              <w:t xml:space="preserve"> </w:t>
            </w:r>
          </w:p>
        </w:tc>
      </w:tr>
    </w:tbl>
    <w:p w:rsidR="000835E1" w:rsidP="00D264FF" w:rsidRDefault="000835E1" w14:paraId="5ABE072C" w14:textId="5CB5DCD2">
      <w:pPr>
        <w:spacing w:line="276" w:lineRule="auto"/>
        <w:jc w:val="left"/>
      </w:pPr>
    </w:p>
    <w:p w:rsidRPr="00450AE6" w:rsidR="00450AE6" w:rsidP="00D264FF" w:rsidRDefault="00A207FB" w14:paraId="78455EEB" w14:textId="399D97E7">
      <w:pPr>
        <w:widowControl w:val="0"/>
        <w:numPr>
          <w:ilvl w:val="0"/>
          <w:numId w:val="6"/>
        </w:numPr>
        <w:overflowPunct w:val="0"/>
        <w:autoSpaceDE w:val="0"/>
        <w:autoSpaceDN w:val="0"/>
        <w:adjustRightInd w:val="0"/>
        <w:spacing w:line="276" w:lineRule="auto"/>
        <w:ind w:hanging="567"/>
        <w:textAlignment w:val="baseline"/>
        <w:rPr>
          <w:b/>
          <w:bCs/>
          <w:i/>
          <w:iCs/>
          <w:sz w:val="28"/>
          <w:szCs w:val="28"/>
        </w:rPr>
      </w:pPr>
      <w:hyperlink w:history="1" r:id="rId33">
        <w:r w:rsidR="00450AE6">
          <w:rPr>
            <w:b/>
            <w:i/>
            <w:color w:val="0000FF"/>
            <w:sz w:val="28"/>
            <w:u w:val="single"/>
          </w:rPr>
          <w:t>Viviendas sociales dignas, sostenibles y asequibles en la UE</w:t>
        </w:r>
      </w:hyperlink>
    </w:p>
    <w:p w:rsidRPr="00450AE6" w:rsidR="00450AE6" w:rsidP="00D264FF" w:rsidRDefault="00450AE6" w14:paraId="18574719" w14:textId="77777777">
      <w:pPr>
        <w:tabs>
          <w:tab w:val="center" w:pos="284"/>
        </w:tabs>
        <w:overflowPunct w:val="0"/>
        <w:autoSpaceDE w:val="0"/>
        <w:autoSpaceDN w:val="0"/>
        <w:adjustRightInd w:val="0"/>
        <w:spacing w:line="276" w:lineRule="auto"/>
        <w:ind w:left="266" w:hanging="266"/>
        <w:textAlignment w:val="baseline"/>
        <w:rPr>
          <w:b/>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62"/>
      </w:tblGrid>
      <w:tr w:rsidRPr="00450AE6" w:rsidR="00450AE6" w:rsidTr="00D9406C" w14:paraId="28FDC637" w14:textId="77777777">
        <w:tc>
          <w:tcPr>
            <w:tcW w:w="1701" w:type="dxa"/>
          </w:tcPr>
          <w:p w:rsidRPr="00450AE6" w:rsidR="00450AE6" w:rsidP="00D264FF" w:rsidRDefault="00450AE6" w14:paraId="674F48F2"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6062" w:type="dxa"/>
          </w:tcPr>
          <w:p w:rsidRPr="00450AE6" w:rsidR="00450AE6" w:rsidP="00D264FF" w:rsidRDefault="00450AE6" w14:paraId="67AE54F6" w14:textId="453A4ECC">
            <w:pPr>
              <w:tabs>
                <w:tab w:val="center" w:pos="284"/>
              </w:tabs>
              <w:overflowPunct w:val="0"/>
              <w:autoSpaceDE w:val="0"/>
              <w:autoSpaceDN w:val="0"/>
              <w:adjustRightInd w:val="0"/>
              <w:spacing w:line="276" w:lineRule="auto"/>
              <w:ind w:left="266" w:hanging="266"/>
              <w:textAlignment w:val="baseline"/>
            </w:pPr>
            <w:r>
              <w:t>Thomas KATTNIG (Grupo de Trabajadores – AT)</w:t>
            </w:r>
          </w:p>
          <w:p w:rsidRPr="00450AE6" w:rsidR="00450AE6" w:rsidP="00D264FF" w:rsidRDefault="00450AE6" w14:paraId="25FE5489" w14:textId="756F2220">
            <w:pPr>
              <w:tabs>
                <w:tab w:val="center" w:pos="284"/>
              </w:tabs>
              <w:overflowPunct w:val="0"/>
              <w:autoSpaceDE w:val="0"/>
              <w:autoSpaceDN w:val="0"/>
              <w:adjustRightInd w:val="0"/>
              <w:spacing w:line="276" w:lineRule="auto"/>
              <w:ind w:left="266" w:hanging="266"/>
              <w:textAlignment w:val="baseline"/>
            </w:pPr>
            <w:r>
              <w:t>Rudolf KOLBE (Grupo de Organizaciones de la Sociedad Civil – AT)</w:t>
            </w:r>
          </w:p>
        </w:tc>
      </w:tr>
      <w:tr w:rsidRPr="00450AE6" w:rsidR="00450AE6" w:rsidTr="00D9406C" w14:paraId="55D6B02B" w14:textId="77777777">
        <w:tc>
          <w:tcPr>
            <w:tcW w:w="7763" w:type="dxa"/>
            <w:gridSpan w:val="2"/>
          </w:tcPr>
          <w:p w:rsidRPr="00450AE6" w:rsidR="00450AE6" w:rsidP="00D264FF" w:rsidRDefault="00450AE6" w14:paraId="2AA9F988" w14:textId="77777777">
            <w:pPr>
              <w:tabs>
                <w:tab w:val="center" w:pos="284"/>
              </w:tabs>
              <w:overflowPunct w:val="0"/>
              <w:autoSpaceDE w:val="0"/>
              <w:autoSpaceDN w:val="0"/>
              <w:adjustRightInd w:val="0"/>
              <w:spacing w:line="276" w:lineRule="auto"/>
              <w:ind w:left="266" w:hanging="266"/>
              <w:textAlignment w:val="baseline"/>
              <w:rPr>
                <w:sz w:val="16"/>
                <w:szCs w:val="16"/>
              </w:rPr>
            </w:pPr>
          </w:p>
        </w:tc>
      </w:tr>
      <w:tr w:rsidRPr="00450AE6" w:rsidR="00450AE6" w:rsidTr="00D9406C" w14:paraId="1E42B3C4" w14:textId="77777777">
        <w:tc>
          <w:tcPr>
            <w:tcW w:w="1701" w:type="dxa"/>
          </w:tcPr>
          <w:p w:rsidRPr="00450AE6" w:rsidR="00450AE6" w:rsidP="00D264FF" w:rsidRDefault="00450AE6" w14:paraId="283152B1" w14:textId="77777777">
            <w:pPr>
              <w:tabs>
                <w:tab w:val="center" w:pos="284"/>
              </w:tabs>
              <w:overflowPunct w:val="0"/>
              <w:autoSpaceDE w:val="0"/>
              <w:autoSpaceDN w:val="0"/>
              <w:adjustRightInd w:val="0"/>
              <w:spacing w:line="276" w:lineRule="auto"/>
              <w:ind w:left="266" w:hanging="266"/>
              <w:textAlignment w:val="baseline"/>
              <w:rPr>
                <w:b/>
              </w:rPr>
            </w:pPr>
            <w:r>
              <w:rPr>
                <w:b/>
                <w:bCs/>
              </w:rPr>
              <w:t>Referencia</w:t>
            </w:r>
          </w:p>
        </w:tc>
        <w:tc>
          <w:tcPr>
            <w:tcW w:w="6062" w:type="dxa"/>
          </w:tcPr>
          <w:p w:rsidRPr="00450AE6" w:rsidR="00450AE6" w:rsidP="00D264FF" w:rsidRDefault="00450AE6" w14:paraId="073E0774" w14:textId="77777777">
            <w:pPr>
              <w:tabs>
                <w:tab w:val="center" w:pos="284"/>
              </w:tabs>
              <w:overflowPunct w:val="0"/>
              <w:autoSpaceDE w:val="0"/>
              <w:autoSpaceDN w:val="0"/>
              <w:adjustRightInd w:val="0"/>
              <w:spacing w:line="276" w:lineRule="auto"/>
              <w:ind w:left="266" w:hanging="266"/>
              <w:textAlignment w:val="baseline"/>
            </w:pPr>
            <w:r>
              <w:t>Dictamen de iniciativa</w:t>
            </w:r>
          </w:p>
          <w:p w:rsidRPr="00450AE6" w:rsidR="00450AE6" w:rsidP="00D264FF" w:rsidRDefault="00450AE6" w14:paraId="71B094A0" w14:textId="77777777">
            <w:pPr>
              <w:tabs>
                <w:tab w:val="center" w:pos="284"/>
              </w:tabs>
              <w:overflowPunct w:val="0"/>
              <w:autoSpaceDE w:val="0"/>
              <w:autoSpaceDN w:val="0"/>
              <w:adjustRightInd w:val="0"/>
              <w:spacing w:line="276" w:lineRule="auto"/>
              <w:ind w:left="266" w:hanging="266"/>
              <w:textAlignment w:val="baseline"/>
            </w:pPr>
            <w:r>
              <w:t>EESC-2024-01187-00-00-AC</w:t>
            </w:r>
          </w:p>
        </w:tc>
      </w:tr>
    </w:tbl>
    <w:p w:rsidRPr="00450AE6" w:rsidR="00450AE6" w:rsidP="00D264FF" w:rsidRDefault="00450AE6" w14:paraId="7FF72092" w14:textId="77777777">
      <w:pPr>
        <w:tabs>
          <w:tab w:val="center" w:pos="284"/>
        </w:tabs>
        <w:overflowPunct w:val="0"/>
        <w:autoSpaceDE w:val="0"/>
        <w:autoSpaceDN w:val="0"/>
        <w:adjustRightInd w:val="0"/>
        <w:spacing w:line="276" w:lineRule="auto"/>
        <w:ind w:left="266" w:hanging="266"/>
        <w:textAlignment w:val="baseline"/>
        <w:rPr>
          <w:sz w:val="18"/>
          <w:szCs w:val="18"/>
          <w:lang w:val="en-GB"/>
        </w:rPr>
      </w:pPr>
    </w:p>
    <w:p w:rsidRPr="00450AE6" w:rsidR="00450AE6" w:rsidP="00D264FF" w:rsidRDefault="00450AE6" w14:paraId="46A96DFC"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450AE6" w:rsidR="00450AE6" w:rsidP="00D264FF" w:rsidRDefault="00450AE6" w14:paraId="6CED3A94" w14:textId="77777777">
      <w:pPr>
        <w:keepNext/>
        <w:keepLines/>
        <w:tabs>
          <w:tab w:val="center" w:pos="284"/>
        </w:tabs>
        <w:overflowPunct w:val="0"/>
        <w:autoSpaceDE w:val="0"/>
        <w:autoSpaceDN w:val="0"/>
        <w:adjustRightInd w:val="0"/>
        <w:spacing w:line="276" w:lineRule="auto"/>
        <w:ind w:left="266" w:hanging="266"/>
        <w:textAlignment w:val="baseline"/>
        <w:rPr>
          <w:b/>
          <w:sz w:val="18"/>
          <w:szCs w:val="18"/>
          <w:lang w:val="en-GB"/>
        </w:rPr>
      </w:pPr>
    </w:p>
    <w:p w:rsidR="00450AE6" w:rsidP="00D264FF" w:rsidRDefault="00450AE6" w14:paraId="63ED3E65" w14:textId="011D5C4C">
      <w:pPr>
        <w:overflowPunct w:val="0"/>
        <w:autoSpaceDE w:val="0"/>
        <w:autoSpaceDN w:val="0"/>
        <w:adjustRightInd w:val="0"/>
        <w:spacing w:line="276" w:lineRule="auto"/>
        <w:textAlignment w:val="baseline"/>
        <w:rPr>
          <w:bCs/>
          <w:iCs/>
        </w:rPr>
      </w:pPr>
      <w:r>
        <w:t>El CESE:</w:t>
      </w:r>
    </w:p>
    <w:p w:rsidRPr="00450AE6" w:rsidR="00450AE6" w:rsidP="00D264FF" w:rsidRDefault="00450AE6" w14:paraId="55F08739" w14:textId="77777777">
      <w:pPr>
        <w:overflowPunct w:val="0"/>
        <w:autoSpaceDE w:val="0"/>
        <w:autoSpaceDN w:val="0"/>
        <w:adjustRightInd w:val="0"/>
        <w:spacing w:line="276" w:lineRule="auto"/>
        <w:textAlignment w:val="baseline"/>
        <w:rPr>
          <w:bCs/>
          <w:iCs/>
          <w:lang w:val="en-GB"/>
        </w:rPr>
      </w:pPr>
    </w:p>
    <w:p w:rsidRPr="00450AE6" w:rsidR="00450AE6" w:rsidP="00D264FF" w:rsidRDefault="00450AE6" w14:paraId="1F7F81A2" w14:textId="77777777">
      <w:pPr>
        <w:widowControl w:val="0"/>
        <w:numPr>
          <w:ilvl w:val="0"/>
          <w:numId w:val="24"/>
        </w:numPr>
        <w:overflowPunct w:val="0"/>
        <w:autoSpaceDE w:val="0"/>
        <w:autoSpaceDN w:val="0"/>
        <w:adjustRightInd w:val="0"/>
        <w:spacing w:line="276" w:lineRule="auto"/>
        <w:ind w:left="426" w:hanging="426"/>
        <w:textAlignment w:val="baseline"/>
        <w:rPr>
          <w:bCs/>
          <w:iCs/>
        </w:rPr>
      </w:pPr>
      <w:r>
        <w:t>considera que se ha producido un fallo del mercado en el ámbito de la vivienda. Esta situación debe abordarse mejorando las condiciones marco, como los datos y la coordinación, los procedimientos de aprobación y la planificación del suelo, estableciendo un derecho fundamental a la vivienda, proporcionando financiación suficiente, aplicando el enfoque de «La vivienda primero» para las personas sin hogar y centrándose más en las necesidades de la juventud y en la sostenibilidad;</w:t>
      </w:r>
    </w:p>
    <w:p w:rsidRPr="00450AE6" w:rsidR="00450AE6" w:rsidP="00D264FF" w:rsidRDefault="00450AE6" w14:paraId="799CEEA0" w14:textId="77777777">
      <w:pPr>
        <w:widowControl w:val="0"/>
        <w:numPr>
          <w:ilvl w:val="0"/>
          <w:numId w:val="24"/>
        </w:numPr>
        <w:overflowPunct w:val="0"/>
        <w:autoSpaceDE w:val="0"/>
        <w:autoSpaceDN w:val="0"/>
        <w:adjustRightInd w:val="0"/>
        <w:spacing w:line="276" w:lineRule="auto"/>
        <w:ind w:left="426" w:hanging="426"/>
        <w:textAlignment w:val="baseline"/>
        <w:rPr>
          <w:bCs/>
          <w:iCs/>
        </w:rPr>
      </w:pPr>
      <w:r>
        <w:t>acoge favorablemente el nombramiento de un nuevo comisario de Vivienda, que deberá contar con el apoyo de un grupo de expertos que incluya representantes del CESE y del Comité Europeo de las Regiones, y pide participar como observador o asesor en los trabajos de la Comisión de Vivienda que se creará en el Parlamento Europeo;</w:t>
      </w:r>
    </w:p>
    <w:p w:rsidR="00450AE6" w:rsidP="00D264FF" w:rsidRDefault="00450AE6" w14:paraId="147B7AF8" w14:textId="1E681295">
      <w:pPr>
        <w:widowControl w:val="0"/>
        <w:numPr>
          <w:ilvl w:val="0"/>
          <w:numId w:val="24"/>
        </w:numPr>
        <w:overflowPunct w:val="0"/>
        <w:autoSpaceDE w:val="0"/>
        <w:autoSpaceDN w:val="0"/>
        <w:adjustRightInd w:val="0"/>
        <w:spacing w:line="276" w:lineRule="auto"/>
        <w:ind w:left="426" w:hanging="426"/>
        <w:textAlignment w:val="baseline"/>
      </w:pPr>
      <w:r>
        <w:t>pide a la Comisión que reconozca la vivienda social como un instrumento esencial y prometedor de las políticas activas de vivienda. A medio plazo, se debe consagrar el derecho fundamental a una vivienda asequible, accesible y digna para todos en el Derecho primario de la UE. Debe rechazarse el planteamiento actual, según el cual la política de vivienda debe ser un programa destinado únicamente a los hogares de renta más baja, y adaptar en consecuencia la legislación sobre ayudas estatales para adecuarla al sistema del Reglamento sobre los servicios de interés económico general (SIEG). Además, en los programas nacionales de reforma y de estabilidad y convergencia deben incluirse indicadores sobre la vivienda;</w:t>
      </w:r>
    </w:p>
    <w:p w:rsidRPr="00450AE6" w:rsidR="00D9406C" w:rsidP="00D9406C" w:rsidRDefault="00D9406C" w14:paraId="199D9414" w14:textId="77777777">
      <w:pPr>
        <w:widowControl w:val="0"/>
        <w:overflowPunct w:val="0"/>
        <w:autoSpaceDE w:val="0"/>
        <w:autoSpaceDN w:val="0"/>
        <w:adjustRightInd w:val="0"/>
        <w:spacing w:line="276" w:lineRule="auto"/>
        <w:textAlignment w:val="baseline"/>
      </w:pPr>
    </w:p>
    <w:p w:rsidRPr="00450AE6" w:rsidR="00450AE6" w:rsidP="00D264FF" w:rsidRDefault="00450AE6" w14:paraId="602945E5" w14:textId="77777777">
      <w:pPr>
        <w:widowControl w:val="0"/>
        <w:numPr>
          <w:ilvl w:val="0"/>
          <w:numId w:val="24"/>
        </w:numPr>
        <w:overflowPunct w:val="0"/>
        <w:autoSpaceDE w:val="0"/>
        <w:autoSpaceDN w:val="0"/>
        <w:adjustRightInd w:val="0"/>
        <w:spacing w:line="276" w:lineRule="auto"/>
        <w:ind w:left="426" w:hanging="426"/>
        <w:textAlignment w:val="baseline"/>
        <w:rPr>
          <w:szCs w:val="20"/>
        </w:rPr>
      </w:pPr>
      <w:r>
        <w:lastRenderedPageBreak/>
        <w:t>acoge con satisfacción la intención de crear una plataforma paneuropea de inversión para una vivienda asequible y sostenible. Además, los promotores inmobiliarios sin ánimo de lucro y las cooperativas, así como las autoridades locales, deberían poder obtener a través de esa plataforma tipos de interés del 0 % del Banco Europeo de Inversiones para préstamos a largo plazo;</w:t>
      </w:r>
    </w:p>
    <w:p w:rsidRPr="00450AE6" w:rsidR="00450AE6" w:rsidP="00D264FF" w:rsidRDefault="00450AE6" w14:paraId="2A6B5F2C" w14:textId="77777777">
      <w:pPr>
        <w:numPr>
          <w:ilvl w:val="0"/>
          <w:numId w:val="24"/>
        </w:numPr>
        <w:overflowPunct w:val="0"/>
        <w:autoSpaceDE w:val="0"/>
        <w:autoSpaceDN w:val="0"/>
        <w:adjustRightInd w:val="0"/>
        <w:spacing w:line="276" w:lineRule="auto"/>
        <w:ind w:left="426" w:hanging="426"/>
        <w:contextualSpacing/>
        <w:textAlignment w:val="baseline"/>
        <w:rPr>
          <w:szCs w:val="20"/>
        </w:rPr>
      </w:pPr>
      <w:r>
        <w:t>pide a la Comisión que apoye a los Estados miembros proporcionándoles, cuando proceda, recomendaciones para crear un conjunto de instrumentos que permita frenar el aumento descontrolado de los alquileres, incluidos por ejemplo límites legales para los alquileres, un impuesto sobre las viviendas vacías, incentivos fiscales para renovar viviendas vacías para su alquiler, más viviendas sociales, límites a los permisos de alquiler de corta duración, etc.;</w:t>
      </w:r>
    </w:p>
    <w:p w:rsidRPr="00450AE6" w:rsidR="00450AE6" w:rsidP="00D264FF" w:rsidRDefault="00450AE6" w14:paraId="742EF3EC" w14:textId="77777777">
      <w:pPr>
        <w:widowControl w:val="0"/>
        <w:numPr>
          <w:ilvl w:val="0"/>
          <w:numId w:val="24"/>
        </w:numPr>
        <w:overflowPunct w:val="0"/>
        <w:autoSpaceDE w:val="0"/>
        <w:autoSpaceDN w:val="0"/>
        <w:adjustRightInd w:val="0"/>
        <w:spacing w:line="276" w:lineRule="auto"/>
        <w:ind w:left="426" w:hanging="426"/>
        <w:textAlignment w:val="baseline"/>
        <w:rPr>
          <w:szCs w:val="20"/>
        </w:rPr>
      </w:pPr>
      <w:r>
        <w:t>pide un plan de acción que se centre en concreto en mejorar el acceso de las personas jóvenes a una vivienda asequible.</w:t>
      </w:r>
    </w:p>
    <w:p w:rsidRPr="00450AE6" w:rsidR="00450AE6" w:rsidP="00D264FF" w:rsidRDefault="00450AE6" w14:paraId="485095E0" w14:textId="77777777">
      <w:pPr>
        <w:widowControl w:val="0"/>
        <w:overflowPunct w:val="0"/>
        <w:autoSpaceDE w:val="0"/>
        <w:autoSpaceDN w:val="0"/>
        <w:adjustRightInd w:val="0"/>
        <w:spacing w:line="276" w:lineRule="auto"/>
        <w:ind w:left="709"/>
        <w:textAlignment w:val="baseline"/>
        <w:rPr>
          <w:sz w:val="16"/>
          <w:szCs w:val="16"/>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450AE6" w:rsidR="00450AE6" w:rsidTr="00D9406C" w14:paraId="380DCF50" w14:textId="77777777">
        <w:tc>
          <w:tcPr>
            <w:tcW w:w="1951" w:type="dxa"/>
          </w:tcPr>
          <w:p w:rsidRPr="00450AE6" w:rsidR="00450AE6" w:rsidP="00D264FF" w:rsidRDefault="00450AE6" w14:paraId="56929701" w14:textId="77777777">
            <w:pPr>
              <w:overflowPunct w:val="0"/>
              <w:autoSpaceDE w:val="0"/>
              <w:autoSpaceDN w:val="0"/>
              <w:adjustRightInd w:val="0"/>
              <w:spacing w:line="276" w:lineRule="auto"/>
              <w:textAlignment w:val="baseline"/>
              <w:rPr>
                <w:i/>
              </w:rPr>
            </w:pPr>
            <w:r>
              <w:rPr>
                <w:b/>
                <w:i/>
              </w:rPr>
              <w:t>Contacto:</w:t>
            </w:r>
          </w:p>
        </w:tc>
        <w:tc>
          <w:tcPr>
            <w:tcW w:w="5137" w:type="dxa"/>
          </w:tcPr>
          <w:p w:rsidRPr="00450AE6" w:rsidR="00450AE6" w:rsidP="00D264FF" w:rsidRDefault="00450AE6" w14:paraId="50B7D907" w14:textId="3FA448E5">
            <w:pPr>
              <w:overflowPunct w:val="0"/>
              <w:autoSpaceDE w:val="0"/>
              <w:autoSpaceDN w:val="0"/>
              <w:adjustRightInd w:val="0"/>
              <w:spacing w:line="276" w:lineRule="auto"/>
              <w:textAlignment w:val="baseline"/>
              <w:rPr>
                <w:i/>
              </w:rPr>
            </w:pPr>
            <w:r>
              <w:rPr>
                <w:i/>
              </w:rPr>
              <w:t>Agota Bazsik</w:t>
            </w:r>
          </w:p>
        </w:tc>
      </w:tr>
      <w:tr w:rsidRPr="00450AE6" w:rsidR="00450AE6" w:rsidTr="00D9406C" w14:paraId="1FE7CA74" w14:textId="77777777">
        <w:tc>
          <w:tcPr>
            <w:tcW w:w="1951" w:type="dxa"/>
          </w:tcPr>
          <w:p w:rsidRPr="00450AE6" w:rsidR="00450AE6" w:rsidP="00D264FF" w:rsidRDefault="00450AE6" w14:paraId="04D70DE0" w14:textId="77777777">
            <w:pPr>
              <w:overflowPunct w:val="0"/>
              <w:autoSpaceDE w:val="0"/>
              <w:autoSpaceDN w:val="0"/>
              <w:adjustRightInd w:val="0"/>
              <w:spacing w:line="276" w:lineRule="auto"/>
              <w:textAlignment w:val="baseline"/>
              <w:rPr>
                <w:i/>
              </w:rPr>
            </w:pPr>
            <w:r>
              <w:rPr>
                <w:i/>
              </w:rPr>
              <w:t>Teléfono:</w:t>
            </w:r>
          </w:p>
        </w:tc>
        <w:tc>
          <w:tcPr>
            <w:tcW w:w="5137" w:type="dxa"/>
          </w:tcPr>
          <w:p w:rsidRPr="00450AE6" w:rsidR="00450AE6" w:rsidP="00D264FF" w:rsidRDefault="00450AE6" w14:paraId="493C0DBC" w14:textId="77777777">
            <w:pPr>
              <w:overflowPunct w:val="0"/>
              <w:autoSpaceDE w:val="0"/>
              <w:autoSpaceDN w:val="0"/>
              <w:adjustRightInd w:val="0"/>
              <w:spacing w:line="276" w:lineRule="auto"/>
              <w:textAlignment w:val="baseline"/>
              <w:rPr>
                <w:i/>
              </w:rPr>
            </w:pPr>
            <w:r>
              <w:rPr>
                <w:i/>
              </w:rPr>
              <w:t>+32 254 68658</w:t>
            </w:r>
          </w:p>
        </w:tc>
      </w:tr>
      <w:tr w:rsidRPr="00450AE6" w:rsidR="00450AE6" w:rsidTr="00D9406C" w14:paraId="22E39DE7" w14:textId="77777777">
        <w:tc>
          <w:tcPr>
            <w:tcW w:w="1951" w:type="dxa"/>
          </w:tcPr>
          <w:p w:rsidRPr="00450AE6" w:rsidR="00450AE6" w:rsidP="00D264FF" w:rsidRDefault="00450AE6" w14:paraId="1A4E7FDC" w14:textId="437D0C47">
            <w:pPr>
              <w:overflowPunct w:val="0"/>
              <w:autoSpaceDE w:val="0"/>
              <w:autoSpaceDN w:val="0"/>
              <w:adjustRightInd w:val="0"/>
              <w:spacing w:line="276" w:lineRule="auto"/>
              <w:textAlignment w:val="baseline"/>
              <w:rPr>
                <w:i/>
              </w:rPr>
            </w:pPr>
            <w:r>
              <w:rPr>
                <w:i/>
              </w:rPr>
              <w:t>Correo electrónico:</w:t>
            </w:r>
          </w:p>
        </w:tc>
        <w:tc>
          <w:tcPr>
            <w:tcW w:w="5137" w:type="dxa"/>
          </w:tcPr>
          <w:p w:rsidRPr="00450AE6" w:rsidR="00450AE6" w:rsidP="00D264FF" w:rsidRDefault="00A207FB" w14:paraId="508BEBD8" w14:textId="77777777">
            <w:pPr>
              <w:overflowPunct w:val="0"/>
              <w:autoSpaceDE w:val="0"/>
              <w:autoSpaceDN w:val="0"/>
              <w:adjustRightInd w:val="0"/>
              <w:spacing w:line="276" w:lineRule="auto"/>
              <w:textAlignment w:val="baseline"/>
              <w:rPr>
                <w:i/>
              </w:rPr>
            </w:pPr>
            <w:hyperlink w:history="1" r:id="rId34">
              <w:r w:rsidR="00DD115B">
                <w:rPr>
                  <w:i/>
                  <w:color w:val="0000FF"/>
                  <w:u w:val="single"/>
                </w:rPr>
                <w:t>Agota.Bazs</w:t>
              </w:r>
              <w:r w:rsidR="00DD115B">
                <w:rPr>
                  <w:i/>
                  <w:color w:val="0000FF"/>
                  <w:u w:val="single"/>
                </w:rPr>
                <w:t>i</w:t>
              </w:r>
              <w:r w:rsidR="00DD115B">
                <w:rPr>
                  <w:i/>
                  <w:color w:val="0000FF"/>
                  <w:u w:val="single"/>
                </w:rPr>
                <w:t>k@eesc.europa.eu</w:t>
              </w:r>
            </w:hyperlink>
          </w:p>
        </w:tc>
      </w:tr>
    </w:tbl>
    <w:p w:rsidR="00B70A01" w:rsidP="00D264FF" w:rsidRDefault="00B70A01" w14:paraId="3B5E845F" w14:textId="44B93E05">
      <w:pPr>
        <w:spacing w:line="276" w:lineRule="auto"/>
        <w:jc w:val="left"/>
      </w:pPr>
    </w:p>
    <w:p w:rsidR="00D9406C" w:rsidP="00D264FF" w:rsidRDefault="00D9406C" w14:paraId="118D19F7" w14:textId="77777777">
      <w:pPr>
        <w:spacing w:line="276" w:lineRule="auto"/>
        <w:jc w:val="left"/>
      </w:pPr>
    </w:p>
    <w:p w:rsidR="004D7AC0" w:rsidP="00D264FF" w:rsidRDefault="004D7AC0" w14:paraId="4982DDF3" w14:textId="77777777">
      <w:pPr>
        <w:pStyle w:val="Heading1"/>
        <w:keepNext/>
        <w:keepLines/>
        <w:spacing w:line="276" w:lineRule="auto"/>
        <w:rPr>
          <w:b/>
        </w:rPr>
      </w:pPr>
      <w:bookmarkStart w:name="_Toc75527083" w:id="7"/>
      <w:bookmarkStart w:name="_Toc184804676" w:id="8"/>
      <w:r>
        <w:rPr>
          <w:b/>
        </w:rPr>
        <w:t>MERCADO ÚNICO, PRODUCCIÓN Y CONSUMO</w:t>
      </w:r>
      <w:bookmarkEnd w:id="7"/>
      <w:bookmarkEnd w:id="8"/>
    </w:p>
    <w:p w:rsidRPr="006D6D4E" w:rsidR="004D7AC0" w:rsidP="00D264FF" w:rsidRDefault="004D7AC0" w14:paraId="4982DE1D" w14:textId="77777777">
      <w:pPr>
        <w:pStyle w:val="ListParagraph"/>
        <w:spacing w:line="276" w:lineRule="auto"/>
        <w:ind w:left="0"/>
        <w:rPr>
          <w:sz w:val="20"/>
          <w:szCs w:val="20"/>
        </w:rPr>
      </w:pPr>
    </w:p>
    <w:p w:rsidRPr="00F6465A" w:rsidR="00F6465A" w:rsidP="00D264FF" w:rsidRDefault="00A207FB" w14:paraId="4C5E9265" w14:textId="332063B2">
      <w:pPr>
        <w:widowControl w:val="0"/>
        <w:numPr>
          <w:ilvl w:val="0"/>
          <w:numId w:val="6"/>
        </w:numPr>
        <w:overflowPunct w:val="0"/>
        <w:autoSpaceDE w:val="0"/>
        <w:autoSpaceDN w:val="0"/>
        <w:adjustRightInd w:val="0"/>
        <w:spacing w:line="276" w:lineRule="auto"/>
        <w:ind w:hanging="567"/>
        <w:textAlignment w:val="baseline"/>
        <w:rPr>
          <w:sz w:val="20"/>
          <w:szCs w:val="20"/>
        </w:rPr>
      </w:pPr>
      <w:hyperlink w:history="1" r:id="rId35">
        <w:r w:rsidR="00F6465A">
          <w:rPr>
            <w:b/>
            <w:i/>
            <w:color w:val="0000FF"/>
            <w:sz w:val="28"/>
            <w:u w:val="single"/>
          </w:rPr>
          <w:t>Mercado único/Futura amplia</w:t>
        </w:r>
        <w:r w:rsidR="00F6465A">
          <w:rPr>
            <w:b/>
            <w:i/>
            <w:color w:val="0000FF"/>
            <w:sz w:val="28"/>
            <w:u w:val="single"/>
          </w:rPr>
          <w:t>ción de la U</w:t>
        </w:r>
        <w:r w:rsidR="00F6465A">
          <w:rPr>
            <w:b/>
            <w:i/>
            <w:color w:val="0000FF"/>
            <w:sz w:val="28"/>
            <w:u w:val="single"/>
          </w:rPr>
          <w:t>n</w:t>
        </w:r>
        <w:r w:rsidR="00F6465A">
          <w:rPr>
            <w:b/>
            <w:i/>
            <w:color w:val="0000FF"/>
            <w:sz w:val="28"/>
            <w:u w:val="single"/>
          </w:rPr>
          <w:t>ión</w:t>
        </w:r>
      </w:hyperlink>
    </w:p>
    <w:p w:rsidRPr="00F6465A" w:rsidR="00F6465A" w:rsidP="00D264FF" w:rsidRDefault="00F6465A" w14:paraId="63231238" w14:textId="77777777">
      <w:pPr>
        <w:tabs>
          <w:tab w:val="center" w:pos="284"/>
        </w:tabs>
        <w:overflowPunct w:val="0"/>
        <w:autoSpaceDE w:val="0"/>
        <w:autoSpaceDN w:val="0"/>
        <w:adjustRightInd w:val="0"/>
        <w:spacing w:line="276" w:lineRule="auto"/>
        <w:ind w:left="266" w:hanging="266"/>
        <w:textAlignment w:val="baseline"/>
        <w:rPr>
          <w:b/>
          <w:lang w:val="en-GB"/>
        </w:rPr>
      </w:pPr>
    </w:p>
    <w:tbl>
      <w:tblPr>
        <w:tblStyle w:val="TableGrid7"/>
        <w:tblW w:w="518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7822"/>
      </w:tblGrid>
      <w:tr w:rsidRPr="00F6465A" w:rsidR="00D9406C" w:rsidTr="00863A8F" w14:paraId="678F7BE3" w14:textId="77777777">
        <w:trPr>
          <w:trHeight w:val="590"/>
        </w:trPr>
        <w:tc>
          <w:tcPr>
            <w:tcW w:w="1056" w:type="pct"/>
          </w:tcPr>
          <w:p w:rsidRPr="00F6465A" w:rsidR="00D9406C" w:rsidP="00D264FF" w:rsidRDefault="00D9406C" w14:paraId="537ECCE7"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3944" w:type="pct"/>
          </w:tcPr>
          <w:p w:rsidRPr="00F6465A" w:rsidR="00D9406C" w:rsidP="00D264FF" w:rsidRDefault="00D9406C" w14:paraId="42879C99" w14:textId="77777777">
            <w:pPr>
              <w:tabs>
                <w:tab w:val="center" w:pos="284"/>
              </w:tabs>
              <w:overflowPunct w:val="0"/>
              <w:autoSpaceDE w:val="0"/>
              <w:autoSpaceDN w:val="0"/>
              <w:adjustRightInd w:val="0"/>
              <w:spacing w:line="276" w:lineRule="auto"/>
              <w:ind w:left="266" w:hanging="266"/>
              <w:jc w:val="left"/>
              <w:textAlignment w:val="baseline"/>
            </w:pPr>
            <w:r>
              <w:t>Stoyan TCHOUKANOV (Grupo de Organizaciones de la Sociedad Civil – BG)</w:t>
            </w:r>
          </w:p>
        </w:tc>
      </w:tr>
      <w:tr w:rsidRPr="00F6465A" w:rsidR="00F6465A" w:rsidTr="00863A8F" w14:paraId="6A7B8849" w14:textId="77777777">
        <w:trPr>
          <w:trHeight w:val="306"/>
        </w:trPr>
        <w:tc>
          <w:tcPr>
            <w:tcW w:w="1056" w:type="pct"/>
            <w:vMerge w:val="restart"/>
          </w:tcPr>
          <w:p w:rsidRPr="00F6465A" w:rsidR="00F6465A" w:rsidP="00D264FF" w:rsidRDefault="00F6465A" w14:paraId="14DA43A0" w14:textId="77777777">
            <w:pPr>
              <w:tabs>
                <w:tab w:val="center" w:pos="284"/>
              </w:tabs>
              <w:overflowPunct w:val="0"/>
              <w:autoSpaceDE w:val="0"/>
              <w:autoSpaceDN w:val="0"/>
              <w:adjustRightInd w:val="0"/>
              <w:spacing w:line="276" w:lineRule="auto"/>
              <w:ind w:left="266" w:hanging="266"/>
              <w:textAlignment w:val="baseline"/>
              <w:rPr>
                <w:b/>
              </w:rPr>
            </w:pPr>
            <w:r>
              <w:rPr>
                <w:b/>
                <w:bCs/>
              </w:rPr>
              <w:t>Referencia</w:t>
            </w:r>
          </w:p>
        </w:tc>
        <w:tc>
          <w:tcPr>
            <w:tcW w:w="3944" w:type="pct"/>
          </w:tcPr>
          <w:p w:rsidRPr="00F6465A" w:rsidR="00F6465A" w:rsidP="00D264FF" w:rsidRDefault="00F6465A" w14:paraId="14610EA5" w14:textId="77777777">
            <w:pPr>
              <w:tabs>
                <w:tab w:val="center" w:pos="284"/>
              </w:tabs>
              <w:overflowPunct w:val="0"/>
              <w:autoSpaceDE w:val="0"/>
              <w:autoSpaceDN w:val="0"/>
              <w:adjustRightInd w:val="0"/>
              <w:spacing w:line="276" w:lineRule="auto"/>
              <w:ind w:left="266" w:hanging="266"/>
              <w:textAlignment w:val="baseline"/>
            </w:pPr>
            <w:r>
              <w:t>Dictamen de iniciativa</w:t>
            </w:r>
          </w:p>
        </w:tc>
      </w:tr>
      <w:tr w:rsidRPr="00F6465A" w:rsidR="00F337E5" w:rsidTr="00863A8F" w14:paraId="64D359A6" w14:textId="77777777">
        <w:trPr>
          <w:trHeight w:val="306"/>
        </w:trPr>
        <w:tc>
          <w:tcPr>
            <w:tcW w:w="1056" w:type="pct"/>
            <w:vMerge/>
          </w:tcPr>
          <w:p w:rsidR="00F337E5" w:rsidP="00D264FF" w:rsidRDefault="00F337E5" w14:paraId="07ED48F3" w14:textId="77777777">
            <w:pPr>
              <w:tabs>
                <w:tab w:val="center" w:pos="284"/>
              </w:tabs>
              <w:overflowPunct w:val="0"/>
              <w:autoSpaceDE w:val="0"/>
              <w:autoSpaceDN w:val="0"/>
              <w:adjustRightInd w:val="0"/>
              <w:spacing w:line="276" w:lineRule="auto"/>
              <w:ind w:left="266" w:hanging="266"/>
              <w:textAlignment w:val="baseline"/>
              <w:rPr>
                <w:b/>
                <w:bCs/>
              </w:rPr>
            </w:pPr>
          </w:p>
        </w:tc>
        <w:tc>
          <w:tcPr>
            <w:tcW w:w="3944" w:type="pct"/>
          </w:tcPr>
          <w:p w:rsidR="00F337E5" w:rsidP="00D264FF" w:rsidRDefault="00F337E5" w14:paraId="35143F76" w14:textId="47A4DA9A">
            <w:pPr>
              <w:tabs>
                <w:tab w:val="center" w:pos="284"/>
              </w:tabs>
              <w:overflowPunct w:val="0"/>
              <w:autoSpaceDE w:val="0"/>
              <w:autoSpaceDN w:val="0"/>
              <w:adjustRightInd w:val="0"/>
              <w:spacing w:line="276" w:lineRule="auto"/>
              <w:ind w:left="266" w:hanging="266"/>
              <w:textAlignment w:val="baseline"/>
            </w:pPr>
            <w:r>
              <w:t>EESC-2024-02187-00-00-AC</w:t>
            </w:r>
          </w:p>
        </w:tc>
      </w:tr>
    </w:tbl>
    <w:p w:rsidRPr="00F337E5" w:rsidR="00F337E5" w:rsidP="00D264FF" w:rsidRDefault="00F337E5" w14:paraId="5E0F0F68" w14:textId="77777777">
      <w:pPr>
        <w:keepNext/>
        <w:keepLines/>
        <w:tabs>
          <w:tab w:val="center" w:pos="284"/>
        </w:tabs>
        <w:overflowPunct w:val="0"/>
        <w:autoSpaceDE w:val="0"/>
        <w:autoSpaceDN w:val="0"/>
        <w:adjustRightInd w:val="0"/>
        <w:spacing w:line="276" w:lineRule="auto"/>
        <w:ind w:left="266" w:hanging="266"/>
        <w:textAlignment w:val="baseline"/>
        <w:rPr>
          <w:bCs/>
        </w:rPr>
      </w:pPr>
    </w:p>
    <w:p w:rsidRPr="00F6465A" w:rsidR="00F6465A" w:rsidP="00D264FF" w:rsidRDefault="00F6465A" w14:paraId="1B1AE230" w14:textId="0E153140">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F6465A" w:rsidR="00F6465A" w:rsidP="00D264FF" w:rsidRDefault="00F6465A" w14:paraId="71640B93"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F6465A" w:rsidR="00F6465A" w:rsidP="00D264FF" w:rsidRDefault="00F6465A" w14:paraId="261CF2D3" w14:textId="77777777">
      <w:pPr>
        <w:overflowPunct w:val="0"/>
        <w:autoSpaceDE w:val="0"/>
        <w:autoSpaceDN w:val="0"/>
        <w:adjustRightInd w:val="0"/>
        <w:spacing w:line="276" w:lineRule="auto"/>
        <w:textAlignment w:val="baseline"/>
        <w:rPr>
          <w:bCs/>
          <w:iCs/>
        </w:rPr>
      </w:pPr>
      <w:r>
        <w:t>El CESE:</w:t>
      </w:r>
    </w:p>
    <w:p w:rsidRPr="00F6465A" w:rsidR="00F6465A" w:rsidP="00D264FF" w:rsidRDefault="00F6465A" w14:paraId="3F9C5C33" w14:textId="77777777">
      <w:pPr>
        <w:overflowPunct w:val="0"/>
        <w:autoSpaceDE w:val="0"/>
        <w:autoSpaceDN w:val="0"/>
        <w:adjustRightInd w:val="0"/>
        <w:spacing w:line="276" w:lineRule="auto"/>
        <w:textAlignment w:val="baseline"/>
        <w:rPr>
          <w:bCs/>
          <w:iCs/>
          <w:lang w:val="en-GB"/>
        </w:rPr>
      </w:pPr>
    </w:p>
    <w:p w:rsidRPr="00F6465A" w:rsidR="00F6465A" w:rsidP="00D264FF" w:rsidRDefault="00F6465A" w14:paraId="6C89D84E" w14:textId="77777777">
      <w:pPr>
        <w:widowControl w:val="0"/>
        <w:numPr>
          <w:ilvl w:val="0"/>
          <w:numId w:val="24"/>
        </w:numPr>
        <w:overflowPunct w:val="0"/>
        <w:autoSpaceDE w:val="0"/>
        <w:autoSpaceDN w:val="0"/>
        <w:adjustRightInd w:val="0"/>
        <w:spacing w:line="276" w:lineRule="auto"/>
        <w:ind w:left="426" w:hanging="426"/>
        <w:textAlignment w:val="baseline"/>
        <w:rPr>
          <w:bCs/>
          <w:iCs/>
        </w:rPr>
      </w:pPr>
      <w:r>
        <w:t>cree que la ampliación de la UE es una historia de éxito y acoge con satisfacción la dinámica actual tras la Declaración de Granada del Consejo. No son solo los Estados candidatos los que deben prepararse: antes de su adhesión, la UE también debe introducir los cambios necesarios en la regulación;</w:t>
      </w:r>
    </w:p>
    <w:p w:rsidRPr="00F6465A" w:rsidR="00F6465A" w:rsidP="00D264FF" w:rsidRDefault="00F6465A" w14:paraId="7F3C28FC" w14:textId="77777777">
      <w:pPr>
        <w:widowControl w:val="0"/>
        <w:numPr>
          <w:ilvl w:val="0"/>
          <w:numId w:val="24"/>
        </w:numPr>
        <w:overflowPunct w:val="0"/>
        <w:autoSpaceDE w:val="0"/>
        <w:autoSpaceDN w:val="0"/>
        <w:adjustRightInd w:val="0"/>
        <w:spacing w:line="276" w:lineRule="auto"/>
        <w:ind w:left="426" w:hanging="426"/>
        <w:textAlignment w:val="baseline"/>
        <w:rPr>
          <w:bCs/>
          <w:iCs/>
        </w:rPr>
      </w:pPr>
      <w:r>
        <w:t>lamenta que la actual fragmentación del mercado financiero europeo provoque salidas de capital y constituye una amenaza para la competitividad europea a escala mundial, así como uno de los principales obstáculos para el futuro proceso de financiación de la ampliación. Los países candidatos albergan un potencial significativo en materia de inversiones, oportunidades económicas y empleo. La propuesta de «unión de ahorros e inversiones» movilizaría capital privado, fortalecería la competitividad de Europa, e impulsaría el crecimiento y una mayor capacidad de absorción. La ampliación también significa un mayor acceso a materias primas fundamentales y, por tanto, una Europa más resiliente y soberana;</w:t>
      </w:r>
    </w:p>
    <w:p w:rsidRPr="00F337E5" w:rsidR="00F6465A" w:rsidP="00D264FF" w:rsidRDefault="00F6465A" w14:paraId="41FD471B" w14:textId="02CEFA9A">
      <w:pPr>
        <w:widowControl w:val="0"/>
        <w:numPr>
          <w:ilvl w:val="0"/>
          <w:numId w:val="24"/>
        </w:numPr>
        <w:overflowPunct w:val="0"/>
        <w:autoSpaceDE w:val="0"/>
        <w:autoSpaceDN w:val="0"/>
        <w:adjustRightInd w:val="0"/>
        <w:spacing w:line="276" w:lineRule="auto"/>
        <w:ind w:left="426" w:hanging="426"/>
        <w:textAlignment w:val="baseline"/>
        <w:rPr>
          <w:bCs/>
          <w:iCs/>
        </w:rPr>
      </w:pPr>
      <w:r>
        <w:t xml:space="preserve">señala que la ampliación anterior creó una dinámica de ganadores y perdedores debido al desequilibrio de las oportunidades económicas. El CESE insta a la Comisión Europea y a los países candidatos a que consideren y gestionen los efectos de la ampliación para evitar que se repita esa misma dinámica y a que presten especial atención a las pymes, tanto de la UE como de los países candidatos, para distribuir de manera adecuada los beneficios; </w:t>
      </w:r>
    </w:p>
    <w:p w:rsidRPr="00F6465A" w:rsidR="00F337E5" w:rsidP="00F337E5" w:rsidRDefault="00F337E5" w14:paraId="5970960C" w14:textId="77777777">
      <w:pPr>
        <w:widowControl w:val="0"/>
        <w:overflowPunct w:val="0"/>
        <w:autoSpaceDE w:val="0"/>
        <w:autoSpaceDN w:val="0"/>
        <w:adjustRightInd w:val="0"/>
        <w:spacing w:line="276" w:lineRule="auto"/>
        <w:textAlignment w:val="baseline"/>
        <w:rPr>
          <w:bCs/>
          <w:iCs/>
        </w:rPr>
      </w:pPr>
    </w:p>
    <w:p w:rsidRPr="00F6465A" w:rsidR="00F6465A" w:rsidP="00D264FF" w:rsidRDefault="00F6465A" w14:paraId="2C9D9E84" w14:textId="77777777">
      <w:pPr>
        <w:widowControl w:val="0"/>
        <w:numPr>
          <w:ilvl w:val="0"/>
          <w:numId w:val="24"/>
        </w:numPr>
        <w:overflowPunct w:val="0"/>
        <w:autoSpaceDE w:val="0"/>
        <w:autoSpaceDN w:val="0"/>
        <w:adjustRightInd w:val="0"/>
        <w:spacing w:line="276" w:lineRule="auto"/>
        <w:ind w:left="426" w:hanging="426"/>
        <w:textAlignment w:val="baseline"/>
        <w:rPr>
          <w:bCs/>
          <w:iCs/>
        </w:rPr>
      </w:pPr>
      <w:r>
        <w:lastRenderedPageBreak/>
        <w:t>pide un proceso de consulta inclusivo para compensar debidamente los posibles costes sociales, habida cuenta de que el proceso de ampliación no consiste solo en alinear las políticas;</w:t>
      </w:r>
    </w:p>
    <w:p w:rsidRPr="00F6465A" w:rsidR="00F6465A" w:rsidP="00D264FF" w:rsidRDefault="00F6465A" w14:paraId="35D70146" w14:textId="77777777">
      <w:pPr>
        <w:widowControl w:val="0"/>
        <w:numPr>
          <w:ilvl w:val="0"/>
          <w:numId w:val="24"/>
        </w:numPr>
        <w:overflowPunct w:val="0"/>
        <w:autoSpaceDE w:val="0"/>
        <w:autoSpaceDN w:val="0"/>
        <w:adjustRightInd w:val="0"/>
        <w:spacing w:line="276" w:lineRule="auto"/>
        <w:ind w:left="426" w:hanging="426"/>
        <w:textAlignment w:val="baseline"/>
        <w:rPr>
          <w:bCs/>
          <w:iCs/>
        </w:rPr>
      </w:pPr>
      <w:r>
        <w:t>subraya que la UE necesita medidas rápidas y específicas para eliminar barreras importantes y liberar todo el potencial de los sectores financiero, energético y de las telecomunicaciones, y recomienda la armonización con el marco de la UE para el control de las inversiones extranjeras directas en los países de la ampliación;</w:t>
      </w:r>
    </w:p>
    <w:p w:rsidRPr="00F6465A" w:rsidR="00F6465A" w:rsidP="00D264FF" w:rsidRDefault="00F6465A" w14:paraId="1458B3AC" w14:textId="77777777">
      <w:pPr>
        <w:widowControl w:val="0"/>
        <w:numPr>
          <w:ilvl w:val="0"/>
          <w:numId w:val="24"/>
        </w:numPr>
        <w:overflowPunct w:val="0"/>
        <w:autoSpaceDE w:val="0"/>
        <w:autoSpaceDN w:val="0"/>
        <w:adjustRightInd w:val="0"/>
        <w:spacing w:line="276" w:lineRule="auto"/>
        <w:ind w:left="426" w:hanging="426"/>
        <w:textAlignment w:val="baseline"/>
      </w:pPr>
      <w:r>
        <w:t>considera que la ampliación debe situarse en el centro de los debates sobre el próximo marco financiero plurianual (MFP);</w:t>
      </w:r>
    </w:p>
    <w:p w:rsidRPr="00F6465A" w:rsidR="00F6465A" w:rsidP="00D264FF" w:rsidRDefault="00F6465A" w14:paraId="29F18DC6" w14:textId="77777777">
      <w:pPr>
        <w:widowControl w:val="0"/>
        <w:numPr>
          <w:ilvl w:val="0"/>
          <w:numId w:val="24"/>
        </w:numPr>
        <w:overflowPunct w:val="0"/>
        <w:autoSpaceDE w:val="0"/>
        <w:autoSpaceDN w:val="0"/>
        <w:adjustRightInd w:val="0"/>
        <w:spacing w:line="276" w:lineRule="auto"/>
        <w:ind w:left="426" w:hanging="426"/>
        <w:textAlignment w:val="baseline"/>
        <w:rPr>
          <w:rFonts w:asciiTheme="minorHAnsi" w:hAnsiTheme="minorHAnsi"/>
          <w:szCs w:val="20"/>
        </w:rPr>
      </w:pPr>
      <w:r>
        <w:t>considera que es necesario encontrar una nueva dinámica para el proceso en el contexto de las excepcionales circunstancias geopolíticas actuales y de los crecientes desafíos, como el cambio climático y la transición energética y medioambiental;</w:t>
      </w:r>
    </w:p>
    <w:p w:rsidRPr="00F6465A" w:rsidR="00F6465A" w:rsidP="00D264FF" w:rsidRDefault="00F6465A" w14:paraId="32D8B8ED" w14:textId="77777777">
      <w:pPr>
        <w:widowControl w:val="0"/>
        <w:numPr>
          <w:ilvl w:val="0"/>
          <w:numId w:val="24"/>
        </w:numPr>
        <w:overflowPunct w:val="0"/>
        <w:autoSpaceDE w:val="0"/>
        <w:autoSpaceDN w:val="0"/>
        <w:adjustRightInd w:val="0"/>
        <w:spacing w:line="276" w:lineRule="auto"/>
        <w:ind w:left="426" w:hanging="426"/>
        <w:textAlignment w:val="baseline"/>
        <w:rPr>
          <w:szCs w:val="20"/>
        </w:rPr>
      </w:pPr>
      <w:r>
        <w:t>recomienda que se incluya a la sociedad civil en el proceso de ampliación y considera que la ampliación debe ser parte integrante de las soluciones europeas a los retos globales.</w:t>
      </w:r>
    </w:p>
    <w:p w:rsidRPr="00F6465A" w:rsidR="00F6465A" w:rsidP="00F337E5" w:rsidRDefault="00F6465A" w14:paraId="3F3B2753" w14:textId="77777777">
      <w:pPr>
        <w:overflowPunct w:val="0"/>
        <w:autoSpaceDE w:val="0"/>
        <w:autoSpaceDN w:val="0"/>
        <w:adjustRightInd w:val="0"/>
        <w:spacing w:line="276" w:lineRule="auto"/>
        <w:ind w:left="709"/>
        <w:textAlignment w:val="baseline"/>
        <w:rPr>
          <w:szCs w:val="20"/>
          <w:lang w:val="en-GB"/>
        </w:rPr>
      </w:pPr>
    </w:p>
    <w:tbl>
      <w:tblPr>
        <w:tblStyle w:val="TableGrid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F6465A" w:rsidR="00F6465A" w:rsidTr="00863A8F" w14:paraId="0627B1C1" w14:textId="77777777">
        <w:tc>
          <w:tcPr>
            <w:tcW w:w="1556" w:type="pct"/>
          </w:tcPr>
          <w:p w:rsidRPr="00F6465A" w:rsidR="00F6465A" w:rsidP="00F337E5" w:rsidRDefault="00F6465A" w14:paraId="5B608314" w14:textId="77777777">
            <w:pPr>
              <w:overflowPunct w:val="0"/>
              <w:autoSpaceDE w:val="0"/>
              <w:autoSpaceDN w:val="0"/>
              <w:adjustRightInd w:val="0"/>
              <w:spacing w:line="276" w:lineRule="auto"/>
              <w:textAlignment w:val="baseline"/>
              <w:rPr>
                <w:i/>
              </w:rPr>
            </w:pPr>
            <w:r>
              <w:rPr>
                <w:b/>
                <w:i/>
              </w:rPr>
              <w:t>Contacto:</w:t>
            </w:r>
          </w:p>
        </w:tc>
        <w:tc>
          <w:tcPr>
            <w:tcW w:w="3444" w:type="pct"/>
          </w:tcPr>
          <w:p w:rsidRPr="00F6465A" w:rsidR="00F6465A" w:rsidP="00F337E5" w:rsidRDefault="00F6465A" w14:paraId="20916DA2" w14:textId="5D42882D">
            <w:pPr>
              <w:overflowPunct w:val="0"/>
              <w:autoSpaceDE w:val="0"/>
              <w:autoSpaceDN w:val="0"/>
              <w:adjustRightInd w:val="0"/>
              <w:spacing w:line="276" w:lineRule="auto"/>
              <w:textAlignment w:val="baseline"/>
              <w:rPr>
                <w:i/>
              </w:rPr>
            </w:pPr>
            <w:r>
              <w:rPr>
                <w:i/>
              </w:rPr>
              <w:t xml:space="preserve">Annalisa Tessarolo </w:t>
            </w:r>
          </w:p>
        </w:tc>
      </w:tr>
      <w:tr w:rsidRPr="00F6465A" w:rsidR="00F6465A" w:rsidTr="00863A8F" w14:paraId="794FEE90" w14:textId="77777777">
        <w:tc>
          <w:tcPr>
            <w:tcW w:w="1556" w:type="pct"/>
          </w:tcPr>
          <w:p w:rsidRPr="00F6465A" w:rsidR="00F6465A" w:rsidP="00F337E5" w:rsidRDefault="00F6465A" w14:paraId="3BDADAAF" w14:textId="77777777">
            <w:pPr>
              <w:overflowPunct w:val="0"/>
              <w:autoSpaceDE w:val="0"/>
              <w:autoSpaceDN w:val="0"/>
              <w:adjustRightInd w:val="0"/>
              <w:spacing w:line="276" w:lineRule="auto"/>
              <w:textAlignment w:val="baseline"/>
              <w:rPr>
                <w:i/>
              </w:rPr>
            </w:pPr>
            <w:r>
              <w:rPr>
                <w:i/>
              </w:rPr>
              <w:t>Teléfono:</w:t>
            </w:r>
          </w:p>
        </w:tc>
        <w:tc>
          <w:tcPr>
            <w:tcW w:w="3444" w:type="pct"/>
          </w:tcPr>
          <w:p w:rsidRPr="00F6465A" w:rsidR="00F6465A" w:rsidP="00F337E5" w:rsidRDefault="00F6465A" w14:paraId="56042D6F" w14:textId="77777777">
            <w:pPr>
              <w:overflowPunct w:val="0"/>
              <w:autoSpaceDE w:val="0"/>
              <w:autoSpaceDN w:val="0"/>
              <w:adjustRightInd w:val="0"/>
              <w:spacing w:line="276" w:lineRule="auto"/>
              <w:textAlignment w:val="baseline"/>
              <w:rPr>
                <w:i/>
              </w:rPr>
            </w:pPr>
            <w:r>
              <w:rPr>
                <w:i/>
              </w:rPr>
              <w:t>+32 25469732</w:t>
            </w:r>
          </w:p>
        </w:tc>
      </w:tr>
      <w:tr w:rsidRPr="00F6465A" w:rsidR="00F6465A" w:rsidTr="00863A8F" w14:paraId="1AF44A08" w14:textId="77777777">
        <w:tc>
          <w:tcPr>
            <w:tcW w:w="1556" w:type="pct"/>
          </w:tcPr>
          <w:p w:rsidRPr="00F6465A" w:rsidR="00F6465A" w:rsidP="00F337E5" w:rsidRDefault="00B2002E" w14:paraId="0A7FF217" w14:textId="7C9D76C2">
            <w:pPr>
              <w:overflowPunct w:val="0"/>
              <w:autoSpaceDE w:val="0"/>
              <w:autoSpaceDN w:val="0"/>
              <w:adjustRightInd w:val="0"/>
              <w:spacing w:line="276" w:lineRule="auto"/>
              <w:textAlignment w:val="baseline"/>
              <w:rPr>
                <w:i/>
              </w:rPr>
            </w:pPr>
            <w:r>
              <w:rPr>
                <w:i/>
              </w:rPr>
              <w:t>Correo electrónico:</w:t>
            </w:r>
          </w:p>
        </w:tc>
        <w:tc>
          <w:tcPr>
            <w:tcW w:w="3444" w:type="pct"/>
          </w:tcPr>
          <w:p w:rsidRPr="00F6465A" w:rsidR="00F6465A" w:rsidP="00F337E5" w:rsidRDefault="00A207FB" w14:paraId="697725DC" w14:textId="77777777">
            <w:pPr>
              <w:overflowPunct w:val="0"/>
              <w:autoSpaceDE w:val="0"/>
              <w:autoSpaceDN w:val="0"/>
              <w:adjustRightInd w:val="0"/>
              <w:spacing w:line="276" w:lineRule="auto"/>
              <w:textAlignment w:val="baseline"/>
              <w:rPr>
                <w:i/>
              </w:rPr>
            </w:pPr>
            <w:hyperlink w:history="1" r:id="rId36">
              <w:r w:rsidR="00DD115B">
                <w:rPr>
                  <w:i/>
                  <w:color w:val="0000FF"/>
                  <w:u w:val="single"/>
                </w:rPr>
                <w:t>Annalisa.Tessarolo@eesc</w:t>
              </w:r>
              <w:r w:rsidR="00DD115B">
                <w:rPr>
                  <w:i/>
                  <w:color w:val="0000FF"/>
                  <w:u w:val="single"/>
                </w:rPr>
                <w:t>.europa.eu</w:t>
              </w:r>
            </w:hyperlink>
            <w:r w:rsidR="00DD115B">
              <w:rPr>
                <w:i/>
              </w:rPr>
              <w:t xml:space="preserve"> </w:t>
            </w:r>
          </w:p>
        </w:tc>
      </w:tr>
    </w:tbl>
    <w:p w:rsidRPr="00F337E5" w:rsidR="00F337E5" w:rsidP="00F337E5" w:rsidRDefault="00F337E5" w14:paraId="79D2517F" w14:textId="77777777">
      <w:pPr>
        <w:overflowPunct w:val="0"/>
        <w:autoSpaceDE w:val="0"/>
        <w:autoSpaceDN w:val="0"/>
        <w:adjustRightInd w:val="0"/>
        <w:spacing w:line="276" w:lineRule="auto"/>
        <w:textAlignment w:val="baseline"/>
        <w:rPr>
          <w:b/>
          <w:bCs/>
          <w:i/>
          <w:iCs/>
          <w:sz w:val="28"/>
          <w:szCs w:val="28"/>
        </w:rPr>
      </w:pPr>
    </w:p>
    <w:p w:rsidRPr="001A6359" w:rsidR="001A6359" w:rsidP="00F337E5" w:rsidRDefault="00A207FB" w14:paraId="4B1A00B9" w14:textId="4937B973">
      <w:pPr>
        <w:numPr>
          <w:ilvl w:val="0"/>
          <w:numId w:val="6"/>
        </w:numPr>
        <w:overflowPunct w:val="0"/>
        <w:autoSpaceDE w:val="0"/>
        <w:autoSpaceDN w:val="0"/>
        <w:adjustRightInd w:val="0"/>
        <w:spacing w:line="276" w:lineRule="auto"/>
        <w:ind w:left="709" w:hanging="709"/>
        <w:textAlignment w:val="baseline"/>
        <w:rPr>
          <w:b/>
          <w:bCs/>
          <w:i/>
          <w:iCs/>
          <w:sz w:val="28"/>
          <w:szCs w:val="28"/>
        </w:rPr>
      </w:pPr>
      <w:hyperlink w:history="1" r:id="rId37">
        <w:r w:rsidR="006766F1">
          <w:rPr>
            <w:b/>
            <w:i/>
            <w:color w:val="0000FF"/>
            <w:sz w:val="28"/>
            <w:u w:val="single"/>
          </w:rPr>
          <w:t xml:space="preserve">El coste de no pertenecer al espacio Schengen para el mercado único – Impacto en </w:t>
        </w:r>
        <w:r w:rsidR="006766F1">
          <w:rPr>
            <w:b/>
            <w:i/>
            <w:color w:val="0000FF"/>
            <w:sz w:val="28"/>
            <w:u w:val="single"/>
          </w:rPr>
          <w:t>Bulgaria y Rumanía</w:t>
        </w:r>
      </w:hyperlink>
    </w:p>
    <w:p w:rsidRPr="001A6359" w:rsidR="001A6359" w:rsidP="00F337E5" w:rsidRDefault="001A6359" w14:paraId="3F9A8350" w14:textId="77777777">
      <w:pPr>
        <w:tabs>
          <w:tab w:val="center" w:pos="284"/>
        </w:tabs>
        <w:overflowPunct w:val="0"/>
        <w:autoSpaceDE w:val="0"/>
        <w:autoSpaceDN w:val="0"/>
        <w:adjustRightInd w:val="0"/>
        <w:spacing w:line="276" w:lineRule="auto"/>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A6359" w:rsidR="001A6359" w:rsidTr="00863A8F" w14:paraId="563F8401" w14:textId="77777777">
        <w:tc>
          <w:tcPr>
            <w:tcW w:w="1701" w:type="dxa"/>
          </w:tcPr>
          <w:p w:rsidRPr="001A6359" w:rsidR="001A6359" w:rsidP="00F337E5" w:rsidRDefault="001A6359" w14:paraId="60F30041"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5387" w:type="dxa"/>
          </w:tcPr>
          <w:p w:rsidRPr="001A6359" w:rsidR="001A6359" w:rsidP="00F337E5" w:rsidRDefault="001A6359" w14:paraId="655DB040" w14:textId="7E0E5BD9">
            <w:pPr>
              <w:tabs>
                <w:tab w:val="center" w:pos="284"/>
              </w:tabs>
              <w:overflowPunct w:val="0"/>
              <w:autoSpaceDE w:val="0"/>
              <w:autoSpaceDN w:val="0"/>
              <w:adjustRightInd w:val="0"/>
              <w:spacing w:line="276" w:lineRule="auto"/>
              <w:ind w:left="266" w:hanging="266"/>
              <w:textAlignment w:val="baseline"/>
            </w:pPr>
            <w:r>
              <w:t>Mariya MINCHEVA (Grupo de Empresarios – BG)</w:t>
            </w:r>
          </w:p>
        </w:tc>
      </w:tr>
      <w:tr w:rsidRPr="001A6359" w:rsidR="001A6359" w:rsidTr="00863A8F" w14:paraId="779B83FA" w14:textId="77777777">
        <w:tc>
          <w:tcPr>
            <w:tcW w:w="7088" w:type="dxa"/>
            <w:gridSpan w:val="2"/>
          </w:tcPr>
          <w:p w:rsidRPr="001A6359" w:rsidR="001A6359" w:rsidP="00F337E5" w:rsidRDefault="001A6359" w14:paraId="5DB804C3" w14:textId="77777777">
            <w:pPr>
              <w:tabs>
                <w:tab w:val="center" w:pos="284"/>
              </w:tabs>
              <w:overflowPunct w:val="0"/>
              <w:autoSpaceDE w:val="0"/>
              <w:autoSpaceDN w:val="0"/>
              <w:adjustRightInd w:val="0"/>
              <w:spacing w:line="276" w:lineRule="auto"/>
              <w:ind w:left="266" w:hanging="266"/>
              <w:textAlignment w:val="baseline"/>
            </w:pPr>
          </w:p>
        </w:tc>
      </w:tr>
      <w:tr w:rsidRPr="001A6359" w:rsidR="001A6359" w:rsidTr="00863A8F" w14:paraId="442BCF66" w14:textId="77777777">
        <w:tc>
          <w:tcPr>
            <w:tcW w:w="1701" w:type="dxa"/>
            <w:vMerge w:val="restart"/>
          </w:tcPr>
          <w:p w:rsidRPr="001A6359" w:rsidR="001A6359" w:rsidP="00F337E5" w:rsidRDefault="001A6359" w14:paraId="2423178A" w14:textId="77777777">
            <w:pPr>
              <w:tabs>
                <w:tab w:val="center" w:pos="284"/>
              </w:tabs>
              <w:overflowPunct w:val="0"/>
              <w:autoSpaceDE w:val="0"/>
              <w:autoSpaceDN w:val="0"/>
              <w:adjustRightInd w:val="0"/>
              <w:spacing w:line="276" w:lineRule="auto"/>
              <w:ind w:left="266" w:hanging="266"/>
              <w:textAlignment w:val="baseline"/>
              <w:rPr>
                <w:b/>
              </w:rPr>
            </w:pPr>
            <w:r>
              <w:rPr>
                <w:b/>
                <w:bCs/>
              </w:rPr>
              <w:t>Referencia</w:t>
            </w:r>
          </w:p>
        </w:tc>
        <w:tc>
          <w:tcPr>
            <w:tcW w:w="5387" w:type="dxa"/>
          </w:tcPr>
          <w:p w:rsidRPr="001A6359" w:rsidR="001A6359" w:rsidP="00F337E5" w:rsidRDefault="001A6359" w14:paraId="714ADD93" w14:textId="77777777">
            <w:pPr>
              <w:tabs>
                <w:tab w:val="center" w:pos="284"/>
              </w:tabs>
              <w:overflowPunct w:val="0"/>
              <w:autoSpaceDE w:val="0"/>
              <w:autoSpaceDN w:val="0"/>
              <w:adjustRightInd w:val="0"/>
              <w:spacing w:line="276" w:lineRule="auto"/>
              <w:ind w:left="266" w:hanging="266"/>
              <w:textAlignment w:val="baseline"/>
            </w:pPr>
            <w:r>
              <w:t>Dictamen de iniciativa</w:t>
            </w:r>
          </w:p>
          <w:p w:rsidRPr="001A6359" w:rsidR="001A6359" w:rsidP="00F337E5" w:rsidRDefault="001A6359" w14:paraId="60234570" w14:textId="07E68BF2">
            <w:pPr>
              <w:tabs>
                <w:tab w:val="center" w:pos="284"/>
              </w:tabs>
              <w:overflowPunct w:val="0"/>
              <w:autoSpaceDE w:val="0"/>
              <w:autoSpaceDN w:val="0"/>
              <w:adjustRightInd w:val="0"/>
              <w:spacing w:line="276" w:lineRule="auto"/>
              <w:ind w:left="266" w:hanging="266"/>
              <w:textAlignment w:val="baseline"/>
            </w:pPr>
            <w:r>
              <w:t>EESC-2024-01449-00-00-AC</w:t>
            </w:r>
          </w:p>
        </w:tc>
      </w:tr>
      <w:tr w:rsidRPr="001A6359" w:rsidR="001A6359" w:rsidTr="00863A8F" w14:paraId="6672C0AA" w14:textId="77777777">
        <w:tc>
          <w:tcPr>
            <w:tcW w:w="1701" w:type="dxa"/>
            <w:vMerge/>
          </w:tcPr>
          <w:p w:rsidRPr="001A6359" w:rsidR="001A6359" w:rsidP="00F337E5" w:rsidRDefault="001A6359" w14:paraId="5FC0639B" w14:textId="77777777">
            <w:pPr>
              <w:tabs>
                <w:tab w:val="center" w:pos="284"/>
              </w:tabs>
              <w:overflowPunct w:val="0"/>
              <w:autoSpaceDE w:val="0"/>
              <w:autoSpaceDN w:val="0"/>
              <w:adjustRightInd w:val="0"/>
              <w:spacing w:line="276" w:lineRule="auto"/>
              <w:ind w:left="266" w:hanging="266"/>
              <w:textAlignment w:val="baseline"/>
              <w:rPr>
                <w:b/>
              </w:rPr>
            </w:pPr>
          </w:p>
        </w:tc>
        <w:tc>
          <w:tcPr>
            <w:tcW w:w="5387" w:type="dxa"/>
          </w:tcPr>
          <w:p w:rsidRPr="001A6359" w:rsidR="00F337E5" w:rsidP="00F337E5" w:rsidRDefault="00F337E5" w14:paraId="72BA0C32" w14:textId="360446DF">
            <w:pPr>
              <w:tabs>
                <w:tab w:val="center" w:pos="284"/>
              </w:tabs>
              <w:overflowPunct w:val="0"/>
              <w:autoSpaceDE w:val="0"/>
              <w:autoSpaceDN w:val="0"/>
              <w:adjustRightInd w:val="0"/>
              <w:spacing w:line="276" w:lineRule="auto"/>
              <w:ind w:left="266" w:hanging="266"/>
              <w:textAlignment w:val="baseline"/>
            </w:pPr>
          </w:p>
        </w:tc>
      </w:tr>
    </w:tbl>
    <w:p w:rsidRPr="001A6359" w:rsidR="001A6359" w:rsidP="00F337E5" w:rsidRDefault="001A6359" w14:paraId="093F79E4" w14:textId="77777777">
      <w:pPr>
        <w:tabs>
          <w:tab w:val="center" w:pos="284"/>
        </w:tabs>
        <w:overflowPunct w:val="0"/>
        <w:autoSpaceDE w:val="0"/>
        <w:autoSpaceDN w:val="0"/>
        <w:adjustRightInd w:val="0"/>
        <w:spacing w:line="276" w:lineRule="auto"/>
        <w:ind w:left="266" w:hanging="266"/>
        <w:textAlignment w:val="baseline"/>
        <w:rPr>
          <w:b/>
        </w:rPr>
      </w:pPr>
      <w:r>
        <w:rPr>
          <w:b/>
        </w:rPr>
        <w:t>Puntos clave</w:t>
      </w:r>
    </w:p>
    <w:p w:rsidRPr="001A6359" w:rsidR="001A6359" w:rsidP="00F337E5" w:rsidRDefault="001A6359" w14:paraId="6333D7DF" w14:textId="77777777">
      <w:pPr>
        <w:tabs>
          <w:tab w:val="center" w:pos="284"/>
        </w:tabs>
        <w:overflowPunct w:val="0"/>
        <w:autoSpaceDE w:val="0"/>
        <w:autoSpaceDN w:val="0"/>
        <w:adjustRightInd w:val="0"/>
        <w:spacing w:line="276" w:lineRule="auto"/>
        <w:ind w:left="266" w:hanging="266"/>
        <w:textAlignment w:val="baseline"/>
        <w:rPr>
          <w:b/>
          <w:lang w:val="en-GB"/>
        </w:rPr>
      </w:pPr>
    </w:p>
    <w:p w:rsidRPr="001A6359" w:rsidR="001A6359" w:rsidP="00D264FF" w:rsidRDefault="001A6359" w14:paraId="56ED811E" w14:textId="77777777">
      <w:pPr>
        <w:overflowPunct w:val="0"/>
        <w:autoSpaceDE w:val="0"/>
        <w:autoSpaceDN w:val="0"/>
        <w:adjustRightInd w:val="0"/>
        <w:spacing w:line="276" w:lineRule="auto"/>
        <w:textAlignment w:val="baseline"/>
        <w:rPr>
          <w:bCs/>
          <w:iCs/>
        </w:rPr>
      </w:pPr>
      <w:r>
        <w:t>El CESE:</w:t>
      </w:r>
    </w:p>
    <w:p w:rsidRPr="001A6359" w:rsidR="001A6359" w:rsidP="00D264FF" w:rsidRDefault="001A6359" w14:paraId="707F4672" w14:textId="77777777">
      <w:pPr>
        <w:overflowPunct w:val="0"/>
        <w:autoSpaceDE w:val="0"/>
        <w:autoSpaceDN w:val="0"/>
        <w:adjustRightInd w:val="0"/>
        <w:spacing w:line="276" w:lineRule="auto"/>
        <w:textAlignment w:val="baseline"/>
        <w:rPr>
          <w:bCs/>
          <w:iCs/>
          <w:lang w:val="en-GB"/>
        </w:rPr>
      </w:pPr>
    </w:p>
    <w:p w:rsidRPr="001A6359" w:rsidR="001A6359" w:rsidP="00F337E5" w:rsidRDefault="001A6359" w14:paraId="5DBE687E" w14:textId="77777777">
      <w:pPr>
        <w:widowControl w:val="0"/>
        <w:numPr>
          <w:ilvl w:val="0"/>
          <w:numId w:val="26"/>
        </w:numPr>
        <w:overflowPunct w:val="0"/>
        <w:autoSpaceDE w:val="0"/>
        <w:autoSpaceDN w:val="0"/>
        <w:adjustRightInd w:val="0"/>
        <w:spacing w:line="276" w:lineRule="auto"/>
        <w:ind w:left="426" w:hanging="426"/>
        <w:textAlignment w:val="baseline"/>
        <w:rPr>
          <w:bCs/>
          <w:iCs/>
        </w:rPr>
      </w:pPr>
      <w:r>
        <w:t>hace un llamamiento al Consejo para que fije una fecha para la supresión de los controles fronterizos terrestres entre Bulgaria y Rumanía y los demás Estados miembros de Schengen ya en 2024. El CESE pide a todas las partes interesadas que colaboren para alcanzar este objetivo, con el fin de garantizar que los beneficios de la pertenencia a Schengen abarquen por igual a toda la ciudadanía de la UE;</w:t>
      </w:r>
    </w:p>
    <w:p w:rsidRPr="001A6359" w:rsidR="001A6359" w:rsidP="00F337E5" w:rsidRDefault="001A6359" w14:paraId="6CBB84F5" w14:textId="77777777">
      <w:pPr>
        <w:widowControl w:val="0"/>
        <w:numPr>
          <w:ilvl w:val="0"/>
          <w:numId w:val="26"/>
        </w:numPr>
        <w:overflowPunct w:val="0"/>
        <w:autoSpaceDE w:val="0"/>
        <w:autoSpaceDN w:val="0"/>
        <w:adjustRightInd w:val="0"/>
        <w:spacing w:line="276" w:lineRule="auto"/>
        <w:ind w:left="426" w:hanging="426"/>
        <w:textAlignment w:val="baseline"/>
        <w:rPr>
          <w:bCs/>
          <w:iCs/>
        </w:rPr>
      </w:pPr>
      <w:r>
        <w:t>subraya que el Acuerdo de Schengen es esencial para la libre circulación de personas, mercancías, servicios y capitales dentro de la UE, y que la competitividad de la Unión se ha convertido en una prioridad política apremiante, como ponen de relieve los recientes informes de Enrico Letta y Mario Draghi;</w:t>
      </w:r>
    </w:p>
    <w:p w:rsidRPr="001A6359" w:rsidR="001A6359" w:rsidP="00F337E5" w:rsidRDefault="001A6359" w14:paraId="70E8AD60" w14:textId="77777777">
      <w:pPr>
        <w:widowControl w:val="0"/>
        <w:numPr>
          <w:ilvl w:val="0"/>
          <w:numId w:val="26"/>
        </w:numPr>
        <w:overflowPunct w:val="0"/>
        <w:autoSpaceDE w:val="0"/>
        <w:autoSpaceDN w:val="0"/>
        <w:adjustRightInd w:val="0"/>
        <w:spacing w:line="276" w:lineRule="auto"/>
        <w:ind w:left="426" w:hanging="426"/>
        <w:textAlignment w:val="baseline"/>
        <w:rPr>
          <w:bCs/>
          <w:iCs/>
        </w:rPr>
      </w:pPr>
      <w:r>
        <w:t>considera que, a pesar de sus importantes logros, el mercado único europeo sigue siendo un proyecto en evolución. Toda limitación de la libertad de circulación interna tiene un efecto negativo en la competitividad y el crecimiento económico de la UE, lo que impide la plena realización de la economía social de mercado prevista en los Tratados;</w:t>
      </w:r>
    </w:p>
    <w:p w:rsidRPr="00F337E5" w:rsidR="001A6359" w:rsidP="00F337E5" w:rsidRDefault="001A6359" w14:paraId="29503E2D" w14:textId="1E5B04B0">
      <w:pPr>
        <w:widowControl w:val="0"/>
        <w:numPr>
          <w:ilvl w:val="0"/>
          <w:numId w:val="26"/>
        </w:numPr>
        <w:overflowPunct w:val="0"/>
        <w:autoSpaceDE w:val="0"/>
        <w:autoSpaceDN w:val="0"/>
        <w:adjustRightInd w:val="0"/>
        <w:spacing w:line="276" w:lineRule="auto"/>
        <w:ind w:left="426" w:hanging="426"/>
        <w:textAlignment w:val="baseline"/>
        <w:rPr>
          <w:bCs/>
          <w:iCs/>
        </w:rPr>
      </w:pPr>
      <w:r>
        <w:t>considera que la Comisión Europea debería proporcionar de forma periódica datos fiables sobre los efectos económicos y sociales directamente relacionados con la introducción de controles fronterizos en el espacio Schengen, también en lo que respecta a la competitividad;</w:t>
      </w:r>
    </w:p>
    <w:p w:rsidRPr="001A6359" w:rsidR="00F337E5" w:rsidP="00F337E5" w:rsidRDefault="00F337E5" w14:paraId="24CF980D" w14:textId="77777777">
      <w:pPr>
        <w:widowControl w:val="0"/>
        <w:overflowPunct w:val="0"/>
        <w:autoSpaceDE w:val="0"/>
        <w:autoSpaceDN w:val="0"/>
        <w:adjustRightInd w:val="0"/>
        <w:spacing w:line="276" w:lineRule="auto"/>
        <w:textAlignment w:val="baseline"/>
        <w:rPr>
          <w:bCs/>
          <w:iCs/>
        </w:rPr>
      </w:pPr>
    </w:p>
    <w:p w:rsidRPr="001A6359" w:rsidR="001A6359" w:rsidP="007C285C" w:rsidRDefault="001A6359" w14:paraId="066E1965" w14:textId="77777777">
      <w:pPr>
        <w:widowControl w:val="0"/>
        <w:numPr>
          <w:ilvl w:val="0"/>
          <w:numId w:val="26"/>
        </w:numPr>
        <w:overflowPunct w:val="0"/>
        <w:autoSpaceDE w:val="0"/>
        <w:autoSpaceDN w:val="0"/>
        <w:adjustRightInd w:val="0"/>
        <w:spacing w:line="264" w:lineRule="auto"/>
        <w:ind w:left="426" w:hanging="426"/>
        <w:textAlignment w:val="baseline"/>
        <w:rPr>
          <w:bCs/>
          <w:iCs/>
        </w:rPr>
      </w:pPr>
      <w:r>
        <w:lastRenderedPageBreak/>
        <w:t>señala que diferentes estimaciones muestran que las empresas que operan en Bulgaria y Rumanía pagan cada año miles de millones de euros como resultado del aumento de los costes y los retrasos. Todos estos costes directos se repercuten inevitablemente en los consumidores y afectan a la salud física y mental de los trabajadores;</w:t>
      </w:r>
    </w:p>
    <w:p w:rsidRPr="007C7DDB" w:rsidR="001A6359" w:rsidP="007C285C" w:rsidRDefault="001A6359" w14:paraId="12C93790" w14:textId="5F2EA09E">
      <w:pPr>
        <w:widowControl w:val="0"/>
        <w:numPr>
          <w:ilvl w:val="0"/>
          <w:numId w:val="26"/>
        </w:numPr>
        <w:overflowPunct w:val="0"/>
        <w:autoSpaceDE w:val="0"/>
        <w:autoSpaceDN w:val="0"/>
        <w:adjustRightInd w:val="0"/>
        <w:spacing w:line="264" w:lineRule="auto"/>
        <w:ind w:left="426" w:hanging="426"/>
        <w:jc w:val="left"/>
        <w:textAlignment w:val="baseline"/>
        <w:rPr>
          <w:bCs/>
          <w:iCs/>
        </w:rPr>
      </w:pPr>
      <w:r>
        <w:t>destaca que los controles en las fronteras terrestres inciden de forma negativa en el medio ambiente, debido a las emisiones de CO2 de los vehículos que esperan para cruzar la frontera, además de dificultar el turismo y obstaculizar la libre circulación de trabajadores. La incertidumbre y las ineficiencias asociadas a los controles en las fronteras terrestres desalientan la inversión extranjera directa y perjudican el clima de inversión;</w:t>
      </w:r>
    </w:p>
    <w:p w:rsidRPr="001A6359" w:rsidR="001A6359" w:rsidP="007C285C" w:rsidRDefault="001A6359" w14:paraId="642A6C45" w14:textId="77777777">
      <w:pPr>
        <w:widowControl w:val="0"/>
        <w:numPr>
          <w:ilvl w:val="0"/>
          <w:numId w:val="26"/>
        </w:numPr>
        <w:overflowPunct w:val="0"/>
        <w:autoSpaceDE w:val="0"/>
        <w:autoSpaceDN w:val="0"/>
        <w:adjustRightInd w:val="0"/>
        <w:spacing w:line="264" w:lineRule="auto"/>
        <w:ind w:left="426" w:hanging="426"/>
        <w:textAlignment w:val="baseline"/>
        <w:rPr>
          <w:bCs/>
          <w:iCs/>
        </w:rPr>
      </w:pPr>
      <w:r>
        <w:t>subraya que la no pertenencia de Bulgaria y Rumanía al espacio Schengen tiene un precio político. La adhesión al espacio Schengen no debe utilizarse como una suerte de condición no formal posterior a la adhesión a la UE. Este planteamiento genera desconfianza en las instituciones europeas y fomenta los sentimientos euroescépticos.</w:t>
      </w:r>
    </w:p>
    <w:p w:rsidRPr="001A6359" w:rsidR="001A6359" w:rsidP="007C285C" w:rsidRDefault="001A6359" w14:paraId="4A886D6E" w14:textId="77777777">
      <w:pPr>
        <w:widowControl w:val="0"/>
        <w:overflowPunct w:val="0"/>
        <w:autoSpaceDE w:val="0"/>
        <w:autoSpaceDN w:val="0"/>
        <w:adjustRightInd w:val="0"/>
        <w:spacing w:line="264" w:lineRule="auto"/>
        <w:ind w:left="709"/>
        <w:textAlignment w:val="baseline"/>
        <w:rPr>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1A6359" w:rsidR="001A6359" w:rsidTr="00F337E5" w14:paraId="1A3ACD8E" w14:textId="77777777">
        <w:tc>
          <w:tcPr>
            <w:tcW w:w="1951" w:type="dxa"/>
          </w:tcPr>
          <w:p w:rsidRPr="001A6359" w:rsidR="001A6359" w:rsidP="007C285C" w:rsidRDefault="001A6359" w14:paraId="6EDAF10C" w14:textId="77777777">
            <w:pPr>
              <w:overflowPunct w:val="0"/>
              <w:autoSpaceDE w:val="0"/>
              <w:autoSpaceDN w:val="0"/>
              <w:adjustRightInd w:val="0"/>
              <w:spacing w:line="264" w:lineRule="auto"/>
              <w:textAlignment w:val="baseline"/>
              <w:rPr>
                <w:i/>
              </w:rPr>
            </w:pPr>
            <w:r>
              <w:rPr>
                <w:b/>
                <w:i/>
              </w:rPr>
              <w:t>Contacto:</w:t>
            </w:r>
          </w:p>
        </w:tc>
        <w:tc>
          <w:tcPr>
            <w:tcW w:w="5670" w:type="dxa"/>
          </w:tcPr>
          <w:p w:rsidRPr="001A6359" w:rsidR="001A6359" w:rsidP="007C285C" w:rsidRDefault="001A6359" w14:paraId="605E3C43" w14:textId="77777777">
            <w:pPr>
              <w:overflowPunct w:val="0"/>
              <w:autoSpaceDE w:val="0"/>
              <w:autoSpaceDN w:val="0"/>
              <w:adjustRightInd w:val="0"/>
              <w:spacing w:line="264" w:lineRule="auto"/>
              <w:textAlignment w:val="baseline"/>
              <w:rPr>
                <w:i/>
              </w:rPr>
            </w:pPr>
            <w:r>
              <w:rPr>
                <w:i/>
              </w:rPr>
              <w:t>Annalisa Tessarolo</w:t>
            </w:r>
          </w:p>
        </w:tc>
      </w:tr>
      <w:tr w:rsidRPr="001A6359" w:rsidR="001A6359" w:rsidTr="00F337E5" w14:paraId="1DBB6BFC" w14:textId="77777777">
        <w:tc>
          <w:tcPr>
            <w:tcW w:w="1951" w:type="dxa"/>
          </w:tcPr>
          <w:p w:rsidRPr="001A6359" w:rsidR="001A6359" w:rsidP="007C285C" w:rsidRDefault="001A6359" w14:paraId="5CEC73B0" w14:textId="77777777">
            <w:pPr>
              <w:overflowPunct w:val="0"/>
              <w:autoSpaceDE w:val="0"/>
              <w:autoSpaceDN w:val="0"/>
              <w:adjustRightInd w:val="0"/>
              <w:spacing w:line="264" w:lineRule="auto"/>
              <w:textAlignment w:val="baseline"/>
              <w:rPr>
                <w:i/>
              </w:rPr>
            </w:pPr>
            <w:r>
              <w:rPr>
                <w:i/>
              </w:rPr>
              <w:t>Teléfono:</w:t>
            </w:r>
          </w:p>
        </w:tc>
        <w:tc>
          <w:tcPr>
            <w:tcW w:w="5670" w:type="dxa"/>
          </w:tcPr>
          <w:p w:rsidRPr="001A6359" w:rsidR="001A6359" w:rsidP="007C285C" w:rsidRDefault="001A6359" w14:paraId="761EFC21" w14:textId="77777777">
            <w:pPr>
              <w:overflowPunct w:val="0"/>
              <w:autoSpaceDE w:val="0"/>
              <w:autoSpaceDN w:val="0"/>
              <w:adjustRightInd w:val="0"/>
              <w:spacing w:line="264" w:lineRule="auto"/>
              <w:textAlignment w:val="baseline"/>
              <w:rPr>
                <w:i/>
              </w:rPr>
            </w:pPr>
            <w:r>
              <w:rPr>
                <w:i/>
              </w:rPr>
              <w:t>+32 25469732</w:t>
            </w:r>
          </w:p>
        </w:tc>
      </w:tr>
      <w:tr w:rsidRPr="001A6359" w:rsidR="001A6359" w:rsidTr="00F337E5" w14:paraId="021F9D0A" w14:textId="77777777">
        <w:tc>
          <w:tcPr>
            <w:tcW w:w="1951" w:type="dxa"/>
          </w:tcPr>
          <w:p w:rsidRPr="001A6359" w:rsidR="001A6359" w:rsidP="007C285C" w:rsidRDefault="00063699" w14:paraId="3A2A6EE6" w14:textId="1AD4BBC5">
            <w:pPr>
              <w:overflowPunct w:val="0"/>
              <w:autoSpaceDE w:val="0"/>
              <w:autoSpaceDN w:val="0"/>
              <w:adjustRightInd w:val="0"/>
              <w:spacing w:line="264" w:lineRule="auto"/>
              <w:textAlignment w:val="baseline"/>
              <w:rPr>
                <w:i/>
              </w:rPr>
            </w:pPr>
            <w:r>
              <w:rPr>
                <w:i/>
              </w:rPr>
              <w:t>Correo electrónico:</w:t>
            </w:r>
          </w:p>
        </w:tc>
        <w:tc>
          <w:tcPr>
            <w:tcW w:w="5670" w:type="dxa"/>
          </w:tcPr>
          <w:p w:rsidRPr="001A6359" w:rsidR="001A6359" w:rsidP="007C285C" w:rsidRDefault="00A207FB" w14:paraId="125FD94A" w14:textId="7E6D737C">
            <w:pPr>
              <w:overflowPunct w:val="0"/>
              <w:autoSpaceDE w:val="0"/>
              <w:autoSpaceDN w:val="0"/>
              <w:adjustRightInd w:val="0"/>
              <w:spacing w:line="264" w:lineRule="auto"/>
              <w:textAlignment w:val="baseline"/>
              <w:rPr>
                <w:i/>
              </w:rPr>
            </w:pPr>
            <w:hyperlink w:history="1" r:id="rId38">
              <w:r w:rsidR="00DD115B">
                <w:rPr>
                  <w:i/>
                  <w:color w:val="0000FF"/>
                  <w:u w:val="single"/>
                </w:rPr>
                <w:t>Annalisa.Tes</w:t>
              </w:r>
              <w:r w:rsidR="00DD115B">
                <w:rPr>
                  <w:i/>
                  <w:color w:val="0000FF"/>
                  <w:u w:val="single"/>
                </w:rPr>
                <w:t>s</w:t>
              </w:r>
              <w:r w:rsidR="00DD115B">
                <w:rPr>
                  <w:i/>
                  <w:color w:val="0000FF"/>
                  <w:u w:val="single"/>
                </w:rPr>
                <w:t>arolo@eesc.europa.eu</w:t>
              </w:r>
            </w:hyperlink>
          </w:p>
        </w:tc>
      </w:tr>
    </w:tbl>
    <w:p w:rsidR="003E4C29" w:rsidP="007C285C" w:rsidRDefault="003E4C29" w14:paraId="39B04A94" w14:textId="47F469D0">
      <w:pPr>
        <w:spacing w:line="264" w:lineRule="auto"/>
        <w:jc w:val="left"/>
      </w:pPr>
    </w:p>
    <w:p w:rsidR="00F337E5" w:rsidP="007C285C" w:rsidRDefault="00F337E5" w14:paraId="068C1D85" w14:textId="77777777">
      <w:pPr>
        <w:spacing w:line="264" w:lineRule="auto"/>
        <w:jc w:val="left"/>
      </w:pPr>
    </w:p>
    <w:p w:rsidR="004D7AC0" w:rsidP="007C285C" w:rsidRDefault="004D7AC0" w14:paraId="4982DE1F" w14:textId="77777777">
      <w:pPr>
        <w:pStyle w:val="Heading1"/>
        <w:spacing w:line="264" w:lineRule="auto"/>
        <w:rPr>
          <w:b/>
        </w:rPr>
      </w:pPr>
      <w:bookmarkStart w:name="_Toc70322234" w:id="9"/>
      <w:bookmarkStart w:name="_Toc75527084" w:id="10"/>
      <w:bookmarkStart w:name="_Toc184804677" w:id="11"/>
      <w:r>
        <w:rPr>
          <w:b/>
        </w:rPr>
        <w:t>AGRICULTURA, DESARROLLO RURAL Y MEDIO AMBIENTE</w:t>
      </w:r>
      <w:bookmarkEnd w:id="9"/>
      <w:bookmarkEnd w:id="10"/>
      <w:bookmarkEnd w:id="11"/>
    </w:p>
    <w:p w:rsidR="00F03EB0" w:rsidP="007C285C" w:rsidRDefault="00F03EB0" w14:paraId="76EDAB9B" w14:textId="6E6576A7">
      <w:pPr>
        <w:spacing w:line="264" w:lineRule="auto"/>
        <w:jc w:val="left"/>
      </w:pPr>
    </w:p>
    <w:p w:rsidRPr="002A13FC" w:rsidR="002A13FC" w:rsidP="007C285C" w:rsidRDefault="007C285C" w14:paraId="3F90E886" w14:textId="2545985D">
      <w:pPr>
        <w:widowControl w:val="0"/>
        <w:numPr>
          <w:ilvl w:val="0"/>
          <w:numId w:val="6"/>
        </w:numPr>
        <w:overflowPunct w:val="0"/>
        <w:autoSpaceDE w:val="0"/>
        <w:autoSpaceDN w:val="0"/>
        <w:adjustRightInd w:val="0"/>
        <w:spacing w:line="264" w:lineRule="auto"/>
        <w:ind w:left="426" w:hanging="426"/>
        <w:textAlignment w:val="baseline"/>
        <w:rPr>
          <w:b/>
          <w:color w:val="0000FF"/>
          <w:u w:val="single"/>
        </w:rPr>
      </w:pPr>
      <w:hyperlink w:history="1" r:id="rId39">
        <w:r w:rsidRPr="007C285C" w:rsidR="00DD115B">
          <w:rPr>
            <w:rStyle w:val="Hyperlink"/>
            <w:b/>
            <w:i/>
            <w:sz w:val="28"/>
          </w:rPr>
          <w:t>Modificación – Materiales for</w:t>
        </w:r>
        <w:r w:rsidRPr="007C285C" w:rsidR="00DD115B">
          <w:rPr>
            <w:rStyle w:val="Hyperlink"/>
            <w:b/>
            <w:i/>
            <w:sz w:val="28"/>
          </w:rPr>
          <w:t>e</w:t>
        </w:r>
        <w:r w:rsidRPr="007C285C" w:rsidR="00DD115B">
          <w:rPr>
            <w:rStyle w:val="Hyperlink"/>
            <w:b/>
            <w:i/>
            <w:sz w:val="28"/>
          </w:rPr>
          <w:t>stales de reproducción de la categoría «controlados», su etiquetado y el nombre de las autoridades responsables de la autorización y del control de la producción</w:t>
        </w:r>
      </w:hyperlink>
    </w:p>
    <w:p w:rsidRPr="002A13FC" w:rsidR="002A13FC" w:rsidP="007C285C" w:rsidRDefault="002A13FC" w14:paraId="353526EF" w14:textId="77777777">
      <w:pPr>
        <w:widowControl w:val="0"/>
        <w:overflowPunct w:val="0"/>
        <w:autoSpaceDE w:val="0"/>
        <w:autoSpaceDN w:val="0"/>
        <w:adjustRightInd w:val="0"/>
        <w:spacing w:line="264" w:lineRule="auto"/>
        <w:ind w:left="266"/>
        <w:textAlignment w:val="baseline"/>
        <w:rPr>
          <w:b/>
          <w:lang w:val="en-GB"/>
        </w:rPr>
      </w:pPr>
    </w:p>
    <w:tbl>
      <w:tblPr>
        <w:tblStyle w:val="TableGrid9"/>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5008"/>
      </w:tblGrid>
      <w:tr w:rsidRPr="00CE31B7" w:rsidR="002A13FC" w:rsidTr="00863A8F" w14:paraId="706D0A05" w14:textId="77777777">
        <w:tc>
          <w:tcPr>
            <w:tcW w:w="1195" w:type="pct"/>
            <w:vMerge w:val="restart"/>
          </w:tcPr>
          <w:p w:rsidRPr="002A13FC" w:rsidR="002A13FC" w:rsidP="007C285C" w:rsidRDefault="002A13FC" w14:paraId="532378E3" w14:textId="77777777">
            <w:pPr>
              <w:tabs>
                <w:tab w:val="center" w:pos="284"/>
              </w:tabs>
              <w:overflowPunct w:val="0"/>
              <w:autoSpaceDE w:val="0"/>
              <w:autoSpaceDN w:val="0"/>
              <w:adjustRightInd w:val="0"/>
              <w:spacing w:line="264" w:lineRule="auto"/>
              <w:ind w:left="266" w:hanging="266"/>
              <w:textAlignment w:val="baseline"/>
              <w:rPr>
                <w:b/>
              </w:rPr>
            </w:pPr>
            <w:r>
              <w:rPr>
                <w:b/>
                <w:bCs/>
              </w:rPr>
              <w:t>Referencias</w:t>
            </w:r>
          </w:p>
        </w:tc>
        <w:tc>
          <w:tcPr>
            <w:tcW w:w="3805" w:type="pct"/>
          </w:tcPr>
          <w:p w:rsidRPr="00643D0B" w:rsidR="00CE31B7" w:rsidP="007C285C" w:rsidRDefault="00CE31B7" w14:paraId="7B23CF57" w14:textId="68FE005D">
            <w:pPr>
              <w:tabs>
                <w:tab w:val="center" w:pos="284"/>
              </w:tabs>
              <w:overflowPunct w:val="0"/>
              <w:autoSpaceDE w:val="0"/>
              <w:autoSpaceDN w:val="0"/>
              <w:adjustRightInd w:val="0"/>
              <w:spacing w:line="264" w:lineRule="auto"/>
              <w:ind w:left="266" w:hanging="266"/>
              <w:textAlignment w:val="baseline"/>
            </w:pPr>
            <w:r>
              <w:t>Dictamen de categoría C</w:t>
            </w:r>
          </w:p>
          <w:p w:rsidRPr="00643D0B" w:rsidR="002A13FC" w:rsidP="007C285C" w:rsidRDefault="002A13FC" w14:paraId="12E1830B" w14:textId="6DC35F16">
            <w:pPr>
              <w:tabs>
                <w:tab w:val="center" w:pos="284"/>
              </w:tabs>
              <w:overflowPunct w:val="0"/>
              <w:autoSpaceDE w:val="0"/>
              <w:autoSpaceDN w:val="0"/>
              <w:adjustRightInd w:val="0"/>
              <w:spacing w:line="264" w:lineRule="auto"/>
              <w:ind w:left="266" w:hanging="266"/>
              <w:textAlignment w:val="baseline"/>
            </w:pPr>
            <w:r>
              <w:t>COM(2024) 517 final</w:t>
            </w:r>
          </w:p>
        </w:tc>
      </w:tr>
      <w:tr w:rsidRPr="002A13FC" w:rsidR="002A13FC" w:rsidTr="00863A8F" w14:paraId="68912AFA" w14:textId="77777777">
        <w:tc>
          <w:tcPr>
            <w:tcW w:w="1195" w:type="pct"/>
            <w:vMerge/>
          </w:tcPr>
          <w:p w:rsidRPr="00643D0B" w:rsidR="002A13FC" w:rsidP="007C285C" w:rsidRDefault="002A13FC" w14:paraId="22265788" w14:textId="77777777">
            <w:pPr>
              <w:tabs>
                <w:tab w:val="center" w:pos="284"/>
              </w:tabs>
              <w:overflowPunct w:val="0"/>
              <w:autoSpaceDE w:val="0"/>
              <w:autoSpaceDN w:val="0"/>
              <w:adjustRightInd w:val="0"/>
              <w:spacing w:line="264" w:lineRule="auto"/>
              <w:ind w:left="266" w:hanging="266"/>
              <w:textAlignment w:val="baseline"/>
              <w:rPr>
                <w:b/>
                <w:lang w:val="pt-PT"/>
              </w:rPr>
            </w:pPr>
          </w:p>
        </w:tc>
        <w:tc>
          <w:tcPr>
            <w:tcW w:w="3805" w:type="pct"/>
          </w:tcPr>
          <w:p w:rsidRPr="002A13FC" w:rsidR="002A13FC" w:rsidP="007C285C" w:rsidRDefault="002A13FC" w14:paraId="33F8BDAB" w14:textId="77777777">
            <w:pPr>
              <w:tabs>
                <w:tab w:val="center" w:pos="284"/>
              </w:tabs>
              <w:overflowPunct w:val="0"/>
              <w:autoSpaceDE w:val="0"/>
              <w:autoSpaceDN w:val="0"/>
              <w:adjustRightInd w:val="0"/>
              <w:spacing w:line="264" w:lineRule="auto"/>
              <w:ind w:left="266" w:hanging="266"/>
              <w:textAlignment w:val="baseline"/>
            </w:pPr>
            <w:r>
              <w:t>EESC-2024-04230-00-00-AC</w:t>
            </w:r>
          </w:p>
        </w:tc>
      </w:tr>
    </w:tbl>
    <w:p w:rsidRPr="002A13FC" w:rsidR="002A13FC" w:rsidP="007C285C" w:rsidRDefault="002A13FC" w14:paraId="242A9B34" w14:textId="77777777">
      <w:pPr>
        <w:tabs>
          <w:tab w:val="center" w:pos="284"/>
        </w:tabs>
        <w:overflowPunct w:val="0"/>
        <w:autoSpaceDE w:val="0"/>
        <w:autoSpaceDN w:val="0"/>
        <w:adjustRightInd w:val="0"/>
        <w:spacing w:line="264" w:lineRule="auto"/>
        <w:ind w:left="266" w:hanging="266"/>
        <w:textAlignment w:val="baseline"/>
        <w:rPr>
          <w:lang w:val="en-GB"/>
        </w:rPr>
      </w:pPr>
    </w:p>
    <w:p w:rsidRPr="002A13FC" w:rsidR="002A13FC" w:rsidP="007C285C" w:rsidRDefault="002A13FC" w14:paraId="3D57F1E3" w14:textId="69C4E208">
      <w:pPr>
        <w:widowControl w:val="0"/>
        <w:overflowPunct w:val="0"/>
        <w:autoSpaceDE w:val="0"/>
        <w:autoSpaceDN w:val="0"/>
        <w:adjustRightInd w:val="0"/>
        <w:spacing w:line="264" w:lineRule="auto"/>
        <w:textAlignment w:val="baseline"/>
        <w:rPr>
          <w:bCs/>
          <w:iCs/>
        </w:rPr>
      </w:pPr>
      <w:r>
        <w:t>El CESE considera que el contenido de la propuesta es plenamente satisfactorio y no es objeto de ninguna observación por su parte.</w:t>
      </w:r>
    </w:p>
    <w:p w:rsidRPr="002A13FC" w:rsidR="002A13FC" w:rsidP="007C285C" w:rsidRDefault="002A13FC" w14:paraId="71E76289" w14:textId="77777777">
      <w:pPr>
        <w:widowControl w:val="0"/>
        <w:overflowPunct w:val="0"/>
        <w:autoSpaceDE w:val="0"/>
        <w:autoSpaceDN w:val="0"/>
        <w:adjustRightInd w:val="0"/>
        <w:spacing w:line="264" w:lineRule="auto"/>
        <w:ind w:left="709"/>
        <w:textAlignment w:val="baseline"/>
        <w:rPr>
          <w:szCs w:val="20"/>
          <w:lang w:val="en-GB"/>
        </w:rPr>
      </w:pPr>
    </w:p>
    <w:tbl>
      <w:tblPr>
        <w:tblStyle w:val="TableGrid9"/>
        <w:tblW w:w="371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58"/>
      </w:tblGrid>
      <w:tr w:rsidRPr="002A13FC" w:rsidR="002A13FC" w:rsidTr="007C285C" w14:paraId="72F37C45" w14:textId="77777777">
        <w:tc>
          <w:tcPr>
            <w:tcW w:w="1372" w:type="pct"/>
          </w:tcPr>
          <w:p w:rsidRPr="002A13FC" w:rsidR="002A13FC" w:rsidP="007C285C" w:rsidRDefault="002A13FC" w14:paraId="54BC1023" w14:textId="77777777">
            <w:pPr>
              <w:overflowPunct w:val="0"/>
              <w:autoSpaceDE w:val="0"/>
              <w:autoSpaceDN w:val="0"/>
              <w:adjustRightInd w:val="0"/>
              <w:spacing w:line="264" w:lineRule="auto"/>
              <w:textAlignment w:val="baseline"/>
              <w:rPr>
                <w:i/>
              </w:rPr>
            </w:pPr>
            <w:r>
              <w:rPr>
                <w:b/>
                <w:i/>
              </w:rPr>
              <w:t>Contacto:</w:t>
            </w:r>
          </w:p>
        </w:tc>
        <w:tc>
          <w:tcPr>
            <w:tcW w:w="3628" w:type="pct"/>
          </w:tcPr>
          <w:p w:rsidRPr="002A13FC" w:rsidR="002A13FC" w:rsidP="007C285C" w:rsidRDefault="002A13FC" w14:paraId="4DC3FDFC" w14:textId="77777777">
            <w:pPr>
              <w:overflowPunct w:val="0"/>
              <w:autoSpaceDE w:val="0"/>
              <w:autoSpaceDN w:val="0"/>
              <w:adjustRightInd w:val="0"/>
              <w:spacing w:line="264" w:lineRule="auto"/>
              <w:ind w:hanging="110"/>
              <w:textAlignment w:val="baseline"/>
              <w:rPr>
                <w:i/>
              </w:rPr>
            </w:pPr>
            <w:r>
              <w:rPr>
                <w:i/>
              </w:rPr>
              <w:t>Nicolas Stenger</w:t>
            </w:r>
          </w:p>
        </w:tc>
      </w:tr>
      <w:tr w:rsidRPr="002A13FC" w:rsidR="002A13FC" w:rsidTr="007C285C" w14:paraId="0049C80A" w14:textId="77777777">
        <w:tc>
          <w:tcPr>
            <w:tcW w:w="1372" w:type="pct"/>
          </w:tcPr>
          <w:p w:rsidRPr="002A13FC" w:rsidR="002A13FC" w:rsidP="007C285C" w:rsidRDefault="002A13FC" w14:paraId="01F3471A" w14:textId="77777777">
            <w:pPr>
              <w:overflowPunct w:val="0"/>
              <w:autoSpaceDE w:val="0"/>
              <w:autoSpaceDN w:val="0"/>
              <w:adjustRightInd w:val="0"/>
              <w:spacing w:line="264" w:lineRule="auto"/>
              <w:textAlignment w:val="baseline"/>
              <w:rPr>
                <w:i/>
              </w:rPr>
            </w:pPr>
            <w:r>
              <w:rPr>
                <w:i/>
              </w:rPr>
              <w:t>Teléfono:</w:t>
            </w:r>
          </w:p>
        </w:tc>
        <w:tc>
          <w:tcPr>
            <w:tcW w:w="3628" w:type="pct"/>
          </w:tcPr>
          <w:p w:rsidRPr="002A13FC" w:rsidR="002A13FC" w:rsidP="007C285C" w:rsidRDefault="002A13FC" w14:paraId="6CFB5070" w14:textId="77777777">
            <w:pPr>
              <w:overflowPunct w:val="0"/>
              <w:autoSpaceDE w:val="0"/>
              <w:autoSpaceDN w:val="0"/>
              <w:adjustRightInd w:val="0"/>
              <w:spacing w:line="264" w:lineRule="auto"/>
              <w:ind w:hanging="110"/>
              <w:textAlignment w:val="baseline"/>
              <w:rPr>
                <w:i/>
              </w:rPr>
            </w:pPr>
            <w:r>
              <w:rPr>
                <w:i/>
              </w:rPr>
              <w:t>+32 25468152</w:t>
            </w:r>
          </w:p>
        </w:tc>
      </w:tr>
      <w:tr w:rsidRPr="002A13FC" w:rsidR="002A13FC" w:rsidTr="007C285C" w14:paraId="43A18F24" w14:textId="77777777">
        <w:tc>
          <w:tcPr>
            <w:tcW w:w="1372" w:type="pct"/>
          </w:tcPr>
          <w:p w:rsidRPr="002A13FC" w:rsidR="002A13FC" w:rsidP="007C285C" w:rsidRDefault="002A13FC" w14:paraId="298BC8AE" w14:textId="77777777">
            <w:pPr>
              <w:overflowPunct w:val="0"/>
              <w:autoSpaceDE w:val="0"/>
              <w:autoSpaceDN w:val="0"/>
              <w:adjustRightInd w:val="0"/>
              <w:spacing w:line="264" w:lineRule="auto"/>
              <w:textAlignment w:val="baseline"/>
              <w:rPr>
                <w:i/>
              </w:rPr>
            </w:pPr>
            <w:r>
              <w:rPr>
                <w:i/>
              </w:rPr>
              <w:t>Correo electrónico:</w:t>
            </w:r>
          </w:p>
        </w:tc>
        <w:tc>
          <w:tcPr>
            <w:tcW w:w="3628" w:type="pct"/>
          </w:tcPr>
          <w:p w:rsidRPr="002A13FC" w:rsidR="002A13FC" w:rsidP="007C285C" w:rsidRDefault="00A207FB" w14:paraId="729E72A8" w14:textId="77777777">
            <w:pPr>
              <w:overflowPunct w:val="0"/>
              <w:autoSpaceDE w:val="0"/>
              <w:autoSpaceDN w:val="0"/>
              <w:adjustRightInd w:val="0"/>
              <w:spacing w:line="264" w:lineRule="auto"/>
              <w:ind w:hanging="110"/>
              <w:textAlignment w:val="baseline"/>
              <w:rPr>
                <w:i/>
              </w:rPr>
            </w:pPr>
            <w:hyperlink w:history="1" r:id="rId40">
              <w:r w:rsidR="002A13FC">
                <w:rPr>
                  <w:i/>
                  <w:color w:val="0000FF"/>
                  <w:u w:val="single"/>
                </w:rPr>
                <w:t>Nicolas.Steng</w:t>
              </w:r>
              <w:r w:rsidR="002A13FC">
                <w:rPr>
                  <w:i/>
                  <w:color w:val="0000FF"/>
                  <w:u w:val="single"/>
                </w:rPr>
                <w:t>e</w:t>
              </w:r>
              <w:r w:rsidR="002A13FC">
                <w:rPr>
                  <w:i/>
                  <w:color w:val="0000FF"/>
                  <w:u w:val="single"/>
                </w:rPr>
                <w:t>r@eesc.europa.eu</w:t>
              </w:r>
            </w:hyperlink>
          </w:p>
        </w:tc>
      </w:tr>
    </w:tbl>
    <w:p w:rsidR="00061C9F" w:rsidP="007C285C" w:rsidRDefault="00061C9F" w14:paraId="6C8F4034" w14:textId="04C204AB">
      <w:pPr>
        <w:spacing w:line="276" w:lineRule="auto"/>
        <w:jc w:val="left"/>
      </w:pPr>
    </w:p>
    <w:p w:rsidRPr="00643D0B" w:rsidR="00395E32" w:rsidP="007C285C" w:rsidRDefault="00A207FB" w14:paraId="62C3FE5B" w14:textId="41203F2C">
      <w:pPr>
        <w:widowControl w:val="0"/>
        <w:numPr>
          <w:ilvl w:val="0"/>
          <w:numId w:val="2"/>
        </w:numPr>
        <w:spacing w:line="264" w:lineRule="auto"/>
        <w:ind w:hanging="851"/>
        <w:rPr>
          <w:b/>
          <w:bCs/>
          <w:i/>
          <w:iCs/>
          <w:sz w:val="28"/>
          <w:szCs w:val="28"/>
        </w:rPr>
      </w:pPr>
      <w:hyperlink w:history="1" r:id="rId41">
        <w:r w:rsidR="00DD115B">
          <w:rPr>
            <w:b/>
            <w:i/>
            <w:color w:val="0000FF"/>
            <w:sz w:val="28"/>
            <w:u w:val="single"/>
          </w:rPr>
          <w:t>Modificación del Feader para proporcionar ayuda adicional a los Estados miembros afe</w:t>
        </w:r>
        <w:r w:rsidR="00DD115B">
          <w:rPr>
            <w:b/>
            <w:i/>
            <w:color w:val="0000FF"/>
            <w:sz w:val="28"/>
            <w:u w:val="single"/>
          </w:rPr>
          <w:t>c</w:t>
        </w:r>
        <w:r w:rsidR="00DD115B">
          <w:rPr>
            <w:b/>
            <w:i/>
            <w:color w:val="0000FF"/>
            <w:sz w:val="28"/>
            <w:u w:val="single"/>
          </w:rPr>
          <w:t>tados por catástrofes naturales</w:t>
        </w:r>
      </w:hyperlink>
    </w:p>
    <w:p w:rsidRPr="00395E32" w:rsidR="00395E32" w:rsidP="007C285C" w:rsidRDefault="00395E32" w14:paraId="1401CD51" w14:textId="77777777">
      <w:pPr>
        <w:tabs>
          <w:tab w:val="center" w:pos="284"/>
        </w:tabs>
        <w:spacing w:line="264" w:lineRule="auto"/>
        <w:ind w:left="266" w:hanging="266"/>
        <w:rPr>
          <w:b/>
          <w:sz w:val="18"/>
          <w:szCs w:val="18"/>
        </w:rPr>
      </w:pPr>
    </w:p>
    <w:tbl>
      <w:tblPr>
        <w:tblStyle w:val="TableGrid10"/>
        <w:tblW w:w="43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6178"/>
      </w:tblGrid>
      <w:tr w:rsidRPr="00395E32" w:rsidR="00395E32" w:rsidTr="00643D0B" w14:paraId="507B4647" w14:textId="77777777">
        <w:trPr>
          <w:trHeight w:val="543"/>
        </w:trPr>
        <w:tc>
          <w:tcPr>
            <w:tcW w:w="1266" w:type="pct"/>
          </w:tcPr>
          <w:p w:rsidRPr="00395E32" w:rsidR="00395E32" w:rsidP="007C285C" w:rsidRDefault="00395E32" w14:paraId="242E5141" w14:textId="77777777">
            <w:pPr>
              <w:tabs>
                <w:tab w:val="center" w:pos="284"/>
              </w:tabs>
              <w:spacing w:line="264" w:lineRule="auto"/>
              <w:ind w:left="266" w:right="-958" w:hanging="266"/>
              <w:rPr>
                <w:b/>
              </w:rPr>
            </w:pPr>
            <w:r>
              <w:rPr>
                <w:b/>
              </w:rPr>
              <w:t>Ponente general</w:t>
            </w:r>
          </w:p>
        </w:tc>
        <w:tc>
          <w:tcPr>
            <w:tcW w:w="3734" w:type="pct"/>
          </w:tcPr>
          <w:p w:rsidRPr="00395E32" w:rsidR="00395E32" w:rsidP="007C285C" w:rsidRDefault="00395E32" w14:paraId="1FEFE044" w14:textId="77777777">
            <w:pPr>
              <w:tabs>
                <w:tab w:val="center" w:pos="284"/>
              </w:tabs>
              <w:spacing w:line="264" w:lineRule="auto"/>
              <w:ind w:left="266" w:hanging="266"/>
            </w:pPr>
            <w:r>
              <w:t>Peter SCHMIDT (Grupo de Trabajadores – DE)</w:t>
            </w:r>
          </w:p>
        </w:tc>
      </w:tr>
      <w:tr w:rsidRPr="00395E32" w:rsidR="00395E32" w:rsidTr="00643D0B" w14:paraId="6C1C462C" w14:textId="77777777">
        <w:trPr>
          <w:trHeight w:val="275"/>
        </w:trPr>
        <w:tc>
          <w:tcPr>
            <w:tcW w:w="1266" w:type="pct"/>
          </w:tcPr>
          <w:p w:rsidRPr="00395E32" w:rsidR="00395E32" w:rsidP="007C285C" w:rsidRDefault="00395E32" w14:paraId="2443E6C3" w14:textId="77777777">
            <w:pPr>
              <w:tabs>
                <w:tab w:val="center" w:pos="457"/>
              </w:tabs>
              <w:spacing w:line="264" w:lineRule="auto"/>
              <w:ind w:left="266" w:hanging="266"/>
              <w:rPr>
                <w:b/>
              </w:rPr>
            </w:pPr>
            <w:r>
              <w:rPr>
                <w:b/>
                <w:bCs/>
              </w:rPr>
              <w:t>Referencias</w:t>
            </w:r>
          </w:p>
        </w:tc>
        <w:tc>
          <w:tcPr>
            <w:tcW w:w="3734" w:type="pct"/>
          </w:tcPr>
          <w:p w:rsidR="00FE31E1" w:rsidP="007C285C" w:rsidRDefault="00FE31E1" w14:paraId="1D9397FC" w14:textId="226D9C40">
            <w:pPr>
              <w:tabs>
                <w:tab w:val="center" w:pos="284"/>
              </w:tabs>
              <w:spacing w:line="264" w:lineRule="auto"/>
              <w:ind w:left="266" w:hanging="266"/>
            </w:pPr>
            <w:r>
              <w:t xml:space="preserve">COM(2024) 495 final </w:t>
            </w:r>
          </w:p>
          <w:p w:rsidRPr="00395E32" w:rsidR="00395E32" w:rsidP="007C285C" w:rsidRDefault="00395E32" w14:paraId="5BF89FEE" w14:textId="4A14DDF3">
            <w:pPr>
              <w:tabs>
                <w:tab w:val="center" w:pos="284"/>
              </w:tabs>
              <w:spacing w:line="264" w:lineRule="auto"/>
              <w:ind w:left="266" w:hanging="266"/>
            </w:pPr>
            <w:r>
              <w:t>EESC-2024-04085-00-00-AC</w:t>
            </w:r>
          </w:p>
        </w:tc>
      </w:tr>
    </w:tbl>
    <w:p w:rsidRPr="00395E32" w:rsidR="00395E32" w:rsidP="007C285C" w:rsidRDefault="00395E32" w14:paraId="13BD0896" w14:textId="77777777">
      <w:pPr>
        <w:spacing w:line="264" w:lineRule="auto"/>
        <w:ind w:left="266" w:hanging="266"/>
        <w:rPr>
          <w:b/>
        </w:rPr>
      </w:pPr>
    </w:p>
    <w:p w:rsidRPr="00395E32" w:rsidR="00395E32" w:rsidP="007C285C" w:rsidRDefault="00395E32" w14:paraId="55FF2D0B" w14:textId="77777777">
      <w:pPr>
        <w:spacing w:line="264" w:lineRule="auto"/>
        <w:ind w:left="266" w:hanging="266"/>
        <w:rPr>
          <w:b/>
        </w:rPr>
      </w:pPr>
      <w:r>
        <w:rPr>
          <w:b/>
        </w:rPr>
        <w:t>Puntos clave</w:t>
      </w:r>
    </w:p>
    <w:p w:rsidRPr="00395E32" w:rsidR="00395E32" w:rsidP="007C285C" w:rsidRDefault="00395E32" w14:paraId="396FF4EF" w14:textId="77777777">
      <w:pPr>
        <w:tabs>
          <w:tab w:val="center" w:pos="284"/>
        </w:tabs>
        <w:spacing w:line="264" w:lineRule="auto"/>
        <w:ind w:left="266" w:hanging="266"/>
        <w:rPr>
          <w:b/>
          <w:sz w:val="16"/>
          <w:szCs w:val="16"/>
        </w:rPr>
      </w:pPr>
    </w:p>
    <w:p w:rsidR="00395E32" w:rsidP="007C285C" w:rsidRDefault="00395E32" w14:paraId="17144AEB" w14:textId="77777777">
      <w:pPr>
        <w:spacing w:line="264" w:lineRule="auto"/>
        <w:rPr>
          <w:bCs/>
          <w:iCs/>
        </w:rPr>
      </w:pPr>
      <w:r>
        <w:t>El CESE:</w:t>
      </w:r>
    </w:p>
    <w:p w:rsidRPr="00395E32" w:rsidR="008E08F5" w:rsidP="007C285C" w:rsidRDefault="008E08F5" w14:paraId="35B79CF5" w14:textId="77777777">
      <w:pPr>
        <w:spacing w:line="264" w:lineRule="auto"/>
        <w:rPr>
          <w:bCs/>
          <w:iCs/>
        </w:rPr>
      </w:pPr>
    </w:p>
    <w:p w:rsidRPr="00395E32" w:rsidR="00395E32" w:rsidP="00D264FF" w:rsidRDefault="00395E32" w14:paraId="008AE7E6" w14:textId="77777777">
      <w:pPr>
        <w:numPr>
          <w:ilvl w:val="0"/>
          <w:numId w:val="29"/>
        </w:numPr>
        <w:spacing w:line="276" w:lineRule="auto"/>
        <w:ind w:left="426" w:hanging="426"/>
      </w:pPr>
      <w:r>
        <w:rPr>
          <w:b/>
        </w:rPr>
        <w:t>apoya el principio de ayuda inmediata en caso de catástrofe</w:t>
      </w:r>
      <w:r>
        <w:t xml:space="preserve"> y reconoce la urgente necesidad de actuar con rapidez para que las comunidades afectadas puedan recibir una asistencia rápida;</w:t>
      </w:r>
    </w:p>
    <w:p w:rsidRPr="00395E32" w:rsidR="00395E32" w:rsidP="00D264FF" w:rsidRDefault="00395E32" w14:paraId="6BEF23D1" w14:textId="77777777">
      <w:pPr>
        <w:numPr>
          <w:ilvl w:val="0"/>
          <w:numId w:val="29"/>
        </w:numPr>
        <w:spacing w:line="276" w:lineRule="auto"/>
        <w:ind w:left="426" w:hanging="426"/>
        <w:rPr>
          <w:b/>
          <w:bCs/>
        </w:rPr>
      </w:pPr>
      <w:r>
        <w:lastRenderedPageBreak/>
        <w:t xml:space="preserve">destaca el aumento acelerado de la frecuencia y la gravedad de los acontecimientos provocados por el clima, y destaca sus repercusiones desproporcionadas en las zonas rurales y </w:t>
      </w:r>
      <w:r>
        <w:rPr>
          <w:b/>
        </w:rPr>
        <w:t>la necesidad de</w:t>
      </w:r>
      <w:r>
        <w:t xml:space="preserve"> </w:t>
      </w:r>
      <w:r>
        <w:rPr>
          <w:b/>
        </w:rPr>
        <w:t>dar prioridad a su resiliencia</w:t>
      </w:r>
      <w:r>
        <w:t>;</w:t>
      </w:r>
    </w:p>
    <w:p w:rsidRPr="00395E32" w:rsidR="00395E32" w:rsidP="00D264FF" w:rsidRDefault="00395E32" w14:paraId="503DEAC8" w14:textId="77777777">
      <w:pPr>
        <w:numPr>
          <w:ilvl w:val="0"/>
          <w:numId w:val="29"/>
        </w:numPr>
        <w:spacing w:line="276" w:lineRule="auto"/>
        <w:ind w:left="426" w:hanging="426"/>
      </w:pPr>
      <w:r>
        <w:t xml:space="preserve">hace hincapié en la necesidad de </w:t>
      </w:r>
      <w:r>
        <w:rPr>
          <w:b/>
        </w:rPr>
        <w:t>salvaguardar los presupuestos de desarrollo rural</w:t>
      </w:r>
      <w:r>
        <w:t>, y advierte contra las reiteradas propuestas de reasignación que corren el riesgo de socavar el crecimiento rural y la estabilidad a largo plazo;</w:t>
      </w:r>
    </w:p>
    <w:p w:rsidRPr="00395E32" w:rsidR="00395E32" w:rsidP="00D264FF" w:rsidRDefault="00395E32" w14:paraId="7264E893" w14:textId="77777777">
      <w:pPr>
        <w:numPr>
          <w:ilvl w:val="0"/>
          <w:numId w:val="29"/>
        </w:numPr>
        <w:spacing w:line="276" w:lineRule="auto"/>
        <w:ind w:left="426" w:hanging="426"/>
      </w:pPr>
      <w:r>
        <w:rPr>
          <w:b/>
        </w:rPr>
        <w:t>recomienda que se cree un fondo específico de la UE para catástrofes climáticas</w:t>
      </w:r>
      <w:r>
        <w:t>, inspirado en el fondo de pérdidas y daños de la COP28, para hacer frente a las catástrofes internas relacionadas con el clima sin poner en peligro los compromisos internacionales ni los mecanismos de financiación de la Unión existentes;</w:t>
      </w:r>
    </w:p>
    <w:p w:rsidRPr="00395E32" w:rsidR="00395E32" w:rsidP="00D264FF" w:rsidRDefault="00395E32" w14:paraId="243B3B27" w14:textId="77777777">
      <w:pPr>
        <w:numPr>
          <w:ilvl w:val="0"/>
          <w:numId w:val="29"/>
        </w:numPr>
        <w:spacing w:line="276" w:lineRule="auto"/>
        <w:ind w:left="426" w:hanging="426"/>
      </w:pPr>
      <w:r>
        <w:t xml:space="preserve">pide </w:t>
      </w:r>
      <w:r>
        <w:rPr>
          <w:b/>
        </w:rPr>
        <w:t>una mayor inversión en prevención, en particular en soluciones basadas en la naturaleza</w:t>
      </w:r>
      <w:r>
        <w:t>, que sean rentables, mejoren la resiliencia y reduzcan la carga financiera y social de los mecanismos de respuesta de emergencia;</w:t>
      </w:r>
    </w:p>
    <w:p w:rsidRPr="00395E32" w:rsidR="00395E32" w:rsidP="00D264FF" w:rsidRDefault="00395E32" w14:paraId="0F590271" w14:textId="77777777">
      <w:pPr>
        <w:numPr>
          <w:ilvl w:val="0"/>
          <w:numId w:val="29"/>
        </w:numPr>
        <w:spacing w:line="276" w:lineRule="auto"/>
        <w:ind w:left="426" w:hanging="426"/>
      </w:pPr>
      <w:r>
        <w:t xml:space="preserve">acoge con satisfacción los </w:t>
      </w:r>
      <w:r>
        <w:rPr>
          <w:b/>
        </w:rPr>
        <w:t xml:space="preserve">procedimientos simplificados </w:t>
      </w:r>
      <w:r>
        <w:t>de la propuesta</w:t>
      </w:r>
      <w:r>
        <w:rPr>
          <w:b/>
        </w:rPr>
        <w:t xml:space="preserve"> para prestar ayuda en caso de catástrofe</w:t>
      </w:r>
      <w:r>
        <w:t xml:space="preserve"> y alienta su integración en futuras políticas para garantizar respuestas más eficientes a las crisis;</w:t>
      </w:r>
    </w:p>
    <w:p w:rsidRPr="00395E32" w:rsidR="00395E32" w:rsidP="00D264FF" w:rsidRDefault="00395E32" w14:paraId="64BF5029" w14:textId="77777777">
      <w:pPr>
        <w:numPr>
          <w:ilvl w:val="0"/>
          <w:numId w:val="29"/>
        </w:numPr>
        <w:spacing w:line="276" w:lineRule="auto"/>
        <w:ind w:left="426" w:hanging="426"/>
      </w:pPr>
      <w:r>
        <w:t xml:space="preserve">insta al </w:t>
      </w:r>
      <w:r>
        <w:rPr>
          <w:b/>
        </w:rPr>
        <w:t>desarrollo de un marco proactivo y coordinado de la Unión para la prevención de catástrofes</w:t>
      </w:r>
      <w:r>
        <w:t xml:space="preserve">, que incorpore medidas preventivas, un aumento de la financiación y una planificación a largo plazo para </w:t>
      </w:r>
      <w:r>
        <w:rPr>
          <w:b/>
        </w:rPr>
        <w:t>abordar eficazmente las vulnerabilidades</w:t>
      </w:r>
      <w:r>
        <w:t>;</w:t>
      </w:r>
    </w:p>
    <w:p w:rsidRPr="00395E32" w:rsidR="00395E32" w:rsidP="00D264FF" w:rsidRDefault="00395E32" w14:paraId="1A732E0E" w14:textId="77777777">
      <w:pPr>
        <w:numPr>
          <w:ilvl w:val="0"/>
          <w:numId w:val="29"/>
        </w:numPr>
        <w:spacing w:line="276" w:lineRule="auto"/>
        <w:ind w:left="426" w:hanging="426"/>
      </w:pPr>
      <w:r>
        <w:t>Destaca la</w:t>
      </w:r>
      <w:r>
        <w:rPr>
          <w:b/>
        </w:rPr>
        <w:t xml:space="preserve"> importancia de la planificación de la resiliencia a largo plazo</w:t>
      </w:r>
      <w:r>
        <w:t>, en consonancia con la visión a largo plazo para las zonas rurales de la UE, y de garantizar un enfoque equilibrado de las medidas proactivas y reactivas.</w:t>
      </w:r>
    </w:p>
    <w:p w:rsidRPr="007C285C" w:rsidR="006F2520" w:rsidP="007C285C" w:rsidRDefault="006F2520" w14:paraId="7AE5FF32" w14:textId="77777777">
      <w:pPr>
        <w:widowControl w:val="0"/>
        <w:spacing w:line="276" w:lineRule="auto"/>
        <w:ind w:left="284" w:hanging="284"/>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395E32" w:rsidR="00395E32" w:rsidTr="00863A8F" w14:paraId="2B50A26D" w14:textId="77777777">
        <w:tc>
          <w:tcPr>
            <w:tcW w:w="1556" w:type="pct"/>
          </w:tcPr>
          <w:p w:rsidRPr="00395E32" w:rsidR="00395E32" w:rsidP="00D264FF" w:rsidRDefault="00395E32" w14:paraId="4548D0C8" w14:textId="77777777">
            <w:pPr>
              <w:spacing w:line="276" w:lineRule="auto"/>
              <w:rPr>
                <w:i/>
              </w:rPr>
            </w:pPr>
            <w:r>
              <w:rPr>
                <w:b/>
                <w:i/>
              </w:rPr>
              <w:t>Contacto:</w:t>
            </w:r>
          </w:p>
        </w:tc>
        <w:tc>
          <w:tcPr>
            <w:tcW w:w="3444" w:type="pct"/>
          </w:tcPr>
          <w:p w:rsidRPr="00395E32" w:rsidR="00395E32" w:rsidP="00D264FF" w:rsidRDefault="00395E32" w14:paraId="157E5A08" w14:textId="22562244">
            <w:pPr>
              <w:spacing w:line="276" w:lineRule="auto"/>
              <w:rPr>
                <w:i/>
              </w:rPr>
            </w:pPr>
            <w:r>
              <w:rPr>
                <w:i/>
              </w:rPr>
              <w:t>Nicolas Stenger</w:t>
            </w:r>
          </w:p>
        </w:tc>
      </w:tr>
      <w:tr w:rsidRPr="00395E32" w:rsidR="00395E32" w:rsidTr="00863A8F" w14:paraId="1084C0B0" w14:textId="77777777">
        <w:tc>
          <w:tcPr>
            <w:tcW w:w="1556" w:type="pct"/>
          </w:tcPr>
          <w:p w:rsidRPr="00395E32" w:rsidR="00395E32" w:rsidP="00D264FF" w:rsidRDefault="00395E32" w14:paraId="4F73E7F1" w14:textId="77777777">
            <w:pPr>
              <w:spacing w:line="276" w:lineRule="auto"/>
              <w:rPr>
                <w:i/>
              </w:rPr>
            </w:pPr>
            <w:r>
              <w:rPr>
                <w:i/>
              </w:rPr>
              <w:t>Teléfono:</w:t>
            </w:r>
          </w:p>
        </w:tc>
        <w:tc>
          <w:tcPr>
            <w:tcW w:w="3444" w:type="pct"/>
          </w:tcPr>
          <w:p w:rsidRPr="00395E32" w:rsidR="00395E32" w:rsidP="00D264FF" w:rsidRDefault="00395E32" w14:paraId="2C95F92B" w14:textId="77777777">
            <w:pPr>
              <w:spacing w:line="276" w:lineRule="auto"/>
              <w:rPr>
                <w:i/>
              </w:rPr>
            </w:pPr>
            <w:r>
              <w:rPr>
                <w:i/>
              </w:rPr>
              <w:t>+32 25468152</w:t>
            </w:r>
          </w:p>
        </w:tc>
      </w:tr>
      <w:tr w:rsidRPr="00395E32" w:rsidR="00395E32" w:rsidTr="00863A8F" w14:paraId="12481E84" w14:textId="77777777">
        <w:tc>
          <w:tcPr>
            <w:tcW w:w="1556" w:type="pct"/>
          </w:tcPr>
          <w:p w:rsidRPr="00395E32" w:rsidR="00395E32" w:rsidP="00D264FF" w:rsidRDefault="00395E32" w14:paraId="4FE0E027" w14:textId="77777777">
            <w:pPr>
              <w:spacing w:line="276" w:lineRule="auto"/>
              <w:rPr>
                <w:i/>
              </w:rPr>
            </w:pPr>
            <w:r>
              <w:rPr>
                <w:i/>
              </w:rPr>
              <w:t>Correo electrónico:</w:t>
            </w:r>
          </w:p>
        </w:tc>
        <w:tc>
          <w:tcPr>
            <w:tcW w:w="3444" w:type="pct"/>
          </w:tcPr>
          <w:p w:rsidRPr="00395E32" w:rsidR="00395E32" w:rsidP="00D264FF" w:rsidRDefault="00A207FB" w14:paraId="01040533" w14:textId="77777777">
            <w:pPr>
              <w:spacing w:line="276" w:lineRule="auto"/>
              <w:rPr>
                <w:i/>
              </w:rPr>
            </w:pPr>
            <w:hyperlink w:history="1" r:id="rId42">
              <w:r w:rsidR="00DD115B">
                <w:rPr>
                  <w:i/>
                  <w:color w:val="0000FF"/>
                  <w:u w:val="single"/>
                </w:rPr>
                <w:t>Nicolas.S</w:t>
              </w:r>
              <w:r w:rsidR="00DD115B">
                <w:rPr>
                  <w:i/>
                  <w:color w:val="0000FF"/>
                  <w:u w:val="single"/>
                </w:rPr>
                <w:t>t</w:t>
              </w:r>
              <w:r w:rsidR="00DD115B">
                <w:rPr>
                  <w:i/>
                  <w:color w:val="0000FF"/>
                  <w:u w:val="single"/>
                </w:rPr>
                <w:t>enger@eesc.europa.eu</w:t>
              </w:r>
            </w:hyperlink>
          </w:p>
        </w:tc>
      </w:tr>
    </w:tbl>
    <w:p w:rsidR="00395E32" w:rsidP="00D264FF" w:rsidRDefault="00395E32" w14:paraId="7602B700" w14:textId="14270D80">
      <w:pPr>
        <w:spacing w:line="276" w:lineRule="auto"/>
        <w:jc w:val="left"/>
      </w:pPr>
    </w:p>
    <w:p w:rsidRPr="00643D0B" w:rsidR="00826962" w:rsidP="00D264FF" w:rsidRDefault="00A207FB" w14:paraId="6580F677" w14:textId="0D2454E7">
      <w:pPr>
        <w:numPr>
          <w:ilvl w:val="0"/>
          <w:numId w:val="11"/>
        </w:numPr>
        <w:overflowPunct w:val="0"/>
        <w:autoSpaceDE w:val="0"/>
        <w:autoSpaceDN w:val="0"/>
        <w:adjustRightInd w:val="0"/>
        <w:spacing w:line="276" w:lineRule="auto"/>
        <w:ind w:left="567" w:hanging="567"/>
        <w:contextualSpacing/>
        <w:jc w:val="left"/>
        <w:textAlignment w:val="baseline"/>
        <w:rPr>
          <w:i/>
          <w:iCs/>
        </w:rPr>
      </w:pPr>
      <w:hyperlink w:history="1" r:id="rId43">
        <w:r w:rsidR="00DD115B">
          <w:rPr>
            <w:b/>
            <w:i/>
            <w:color w:val="0000FF"/>
            <w:sz w:val="28"/>
            <w:u w:val="single"/>
          </w:rPr>
          <w:t>Hacia una propuesta legislativa para una transición justa e instrumentos políticos de la UE que propicien un Pacto Verde Europeo más social</w:t>
        </w:r>
      </w:hyperlink>
    </w:p>
    <w:p w:rsidRPr="00826962" w:rsidR="004B5D3D" w:rsidP="00D264FF" w:rsidRDefault="004B5D3D" w14:paraId="3D84FFFB" w14:textId="77777777">
      <w:pPr>
        <w:overflowPunct w:val="0"/>
        <w:autoSpaceDE w:val="0"/>
        <w:autoSpaceDN w:val="0"/>
        <w:adjustRightInd w:val="0"/>
        <w:spacing w:line="276" w:lineRule="auto"/>
        <w:contextualSpacing/>
        <w:jc w:val="left"/>
        <w:textAlignment w:val="baseline"/>
        <w:rPr>
          <w:i/>
          <w:iCs/>
          <w:lang w:val="en-GB" w:eastAsia="zh-CN"/>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826962" w:rsidR="00826962" w:rsidTr="00863A8F" w14:paraId="5EE0B9C4" w14:textId="77777777">
        <w:tc>
          <w:tcPr>
            <w:tcW w:w="1701" w:type="dxa"/>
          </w:tcPr>
          <w:p w:rsidRPr="00826962" w:rsidR="00826962" w:rsidP="00D264FF" w:rsidRDefault="00826962" w14:paraId="7A2FE21B"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6096" w:type="dxa"/>
          </w:tcPr>
          <w:p w:rsidRPr="00826962" w:rsidR="00826962" w:rsidP="00D264FF" w:rsidRDefault="00826962" w14:paraId="1A02220B" w14:textId="77777777">
            <w:pPr>
              <w:tabs>
                <w:tab w:val="center" w:pos="284"/>
              </w:tabs>
              <w:overflowPunct w:val="0"/>
              <w:autoSpaceDE w:val="0"/>
              <w:autoSpaceDN w:val="0"/>
              <w:adjustRightInd w:val="0"/>
              <w:spacing w:line="276" w:lineRule="auto"/>
              <w:ind w:left="266" w:hanging="266"/>
              <w:textAlignment w:val="baseline"/>
              <w:rPr>
                <w:b/>
                <w:bCs/>
              </w:rPr>
            </w:pPr>
            <w:r>
              <w:rPr>
                <w:b/>
              </w:rPr>
              <w:t>Dirk BERGRATH</w:t>
            </w:r>
            <w:r>
              <w:t xml:space="preserve"> (Grupo de Trabajadores – DE)</w:t>
            </w:r>
          </w:p>
        </w:tc>
      </w:tr>
      <w:tr w:rsidRPr="00826962" w:rsidR="00826962" w:rsidTr="00863A8F" w14:paraId="2C238AB2" w14:textId="77777777">
        <w:tc>
          <w:tcPr>
            <w:tcW w:w="7797" w:type="dxa"/>
            <w:gridSpan w:val="2"/>
          </w:tcPr>
          <w:p w:rsidRPr="00826962" w:rsidR="00826962" w:rsidP="00D264FF" w:rsidRDefault="00826962" w14:paraId="6E436FC3"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826962" w:rsidR="00826962" w:rsidTr="00863A8F" w14:paraId="1C41560F" w14:textId="77777777">
        <w:tc>
          <w:tcPr>
            <w:tcW w:w="1701" w:type="dxa"/>
          </w:tcPr>
          <w:p w:rsidRPr="00826962" w:rsidR="00826962" w:rsidP="00D264FF" w:rsidRDefault="00826962" w14:paraId="6A8C9612" w14:textId="77777777">
            <w:pPr>
              <w:tabs>
                <w:tab w:val="center" w:pos="284"/>
              </w:tabs>
              <w:overflowPunct w:val="0"/>
              <w:autoSpaceDE w:val="0"/>
              <w:autoSpaceDN w:val="0"/>
              <w:adjustRightInd w:val="0"/>
              <w:spacing w:line="276" w:lineRule="auto"/>
              <w:ind w:left="266" w:hanging="266"/>
              <w:textAlignment w:val="baseline"/>
              <w:rPr>
                <w:b/>
              </w:rPr>
            </w:pPr>
            <w:r>
              <w:rPr>
                <w:b/>
              </w:rPr>
              <w:t>Referencia</w:t>
            </w:r>
          </w:p>
        </w:tc>
        <w:tc>
          <w:tcPr>
            <w:tcW w:w="6096" w:type="dxa"/>
          </w:tcPr>
          <w:p w:rsidR="006F2520" w:rsidP="00D264FF" w:rsidRDefault="006F2520" w14:paraId="3B7EBB53" w14:textId="043B8B38">
            <w:pPr>
              <w:tabs>
                <w:tab w:val="center" w:pos="284"/>
              </w:tabs>
              <w:overflowPunct w:val="0"/>
              <w:autoSpaceDE w:val="0"/>
              <w:autoSpaceDN w:val="0"/>
              <w:adjustRightInd w:val="0"/>
              <w:spacing w:line="276" w:lineRule="auto"/>
              <w:ind w:left="266" w:hanging="266"/>
              <w:textAlignment w:val="baseline"/>
            </w:pPr>
            <w:r>
              <w:t>Dictamen de iniciativa</w:t>
            </w:r>
          </w:p>
          <w:p w:rsidRPr="00826962" w:rsidR="00826962" w:rsidP="00D264FF" w:rsidRDefault="00826962" w14:paraId="2E660E5A" w14:textId="45D9D432">
            <w:pPr>
              <w:tabs>
                <w:tab w:val="center" w:pos="284"/>
              </w:tabs>
              <w:overflowPunct w:val="0"/>
              <w:autoSpaceDE w:val="0"/>
              <w:autoSpaceDN w:val="0"/>
              <w:adjustRightInd w:val="0"/>
              <w:spacing w:line="276" w:lineRule="auto"/>
              <w:ind w:left="266" w:hanging="266"/>
              <w:textAlignment w:val="baseline"/>
            </w:pPr>
            <w:r>
              <w:t>EESC-2024-01077-00-00-AC</w:t>
            </w:r>
          </w:p>
        </w:tc>
      </w:tr>
    </w:tbl>
    <w:p w:rsidRPr="00826962" w:rsidR="00826962" w:rsidP="00D264FF" w:rsidRDefault="00826962" w14:paraId="118F3C3E"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rsidRPr="00826962" w:rsidR="00826962" w:rsidP="00D264FF" w:rsidRDefault="00826962" w14:paraId="3F06D23E"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826962" w:rsidR="00826962" w:rsidP="00D264FF" w:rsidRDefault="00826962" w14:paraId="03BC6573"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rsidR="00826962" w:rsidP="00D264FF" w:rsidRDefault="00826962" w14:paraId="6D8CA6D8" w14:textId="77777777">
      <w:pPr>
        <w:overflowPunct w:val="0"/>
        <w:autoSpaceDE w:val="0"/>
        <w:autoSpaceDN w:val="0"/>
        <w:adjustRightInd w:val="0"/>
        <w:spacing w:line="276" w:lineRule="auto"/>
        <w:textAlignment w:val="baseline"/>
        <w:rPr>
          <w:bCs/>
          <w:iCs/>
        </w:rPr>
      </w:pPr>
      <w:r>
        <w:t>El CESE:</w:t>
      </w:r>
    </w:p>
    <w:p w:rsidRPr="00826962" w:rsidR="00F34F7E" w:rsidP="00D264FF" w:rsidRDefault="00F34F7E" w14:paraId="01806982" w14:textId="77777777">
      <w:pPr>
        <w:overflowPunct w:val="0"/>
        <w:autoSpaceDE w:val="0"/>
        <w:autoSpaceDN w:val="0"/>
        <w:adjustRightInd w:val="0"/>
        <w:spacing w:line="276" w:lineRule="auto"/>
        <w:textAlignment w:val="baseline"/>
        <w:rPr>
          <w:bCs/>
          <w:iCs/>
          <w:lang w:val="en-GB"/>
        </w:rPr>
      </w:pPr>
    </w:p>
    <w:p w:rsidRPr="00816CEF" w:rsidR="00826962" w:rsidP="00D264FF" w:rsidRDefault="00826962" w14:paraId="47E9A3E8" w14:textId="77777777">
      <w:pPr>
        <w:pStyle w:val="ListParagraph"/>
        <w:numPr>
          <w:ilvl w:val="0"/>
          <w:numId w:val="47"/>
        </w:numPr>
        <w:spacing w:line="276" w:lineRule="auto"/>
        <w:ind w:left="426" w:hanging="426"/>
        <w:rPr>
          <w:spacing w:val="-4"/>
          <w:szCs w:val="20"/>
        </w:rPr>
      </w:pPr>
      <w:r>
        <w:t>destaca la importancia de que la transición justa en la UE respete las prioridades estratégicas y Orientaciones políticas de la Comisión Europea para 2024-2029. La</w:t>
      </w:r>
      <w:r w:rsidRPr="00816CEF">
        <w:rPr>
          <w:b/>
        </w:rPr>
        <w:t xml:space="preserve"> transición justa afectará especialmente al mundo laboral</w:t>
      </w:r>
      <w:r>
        <w:t>, en particular a los sectores, los territorios, el empleo y las capacidades (incluidos los aspectos intergeneracionales y de género y los grupos vulnerables), la protección social, la cooperación entre los Estados miembros, la gobernanza, la actividad empresarial y las empresas (en concreto las pymes), y la financiación e inversión;</w:t>
      </w:r>
    </w:p>
    <w:p w:rsidRPr="00816CEF" w:rsidR="00826962" w:rsidP="00D264FF" w:rsidRDefault="00826962" w14:paraId="6941C36F" w14:textId="77777777">
      <w:pPr>
        <w:pStyle w:val="ListParagraph"/>
        <w:numPr>
          <w:ilvl w:val="0"/>
          <w:numId w:val="47"/>
        </w:numPr>
        <w:spacing w:line="276" w:lineRule="auto"/>
        <w:ind w:left="426" w:hanging="426"/>
        <w:rPr>
          <w:szCs w:val="20"/>
        </w:rPr>
      </w:pPr>
      <w:r>
        <w:t xml:space="preserve">hace hincapié en la </w:t>
      </w:r>
      <w:r w:rsidRPr="00816CEF">
        <w:rPr>
          <w:b/>
        </w:rPr>
        <w:t>necesidad de un paquete integral de políticas</w:t>
      </w:r>
      <w:r>
        <w:t xml:space="preserve"> para el mundo laboral que integre los instrumentos existentes a escala de la UE y conceda a los Estados miembros suficiente margen de maniobra para adoptar soluciones adecuadas a escala nacional y regional;</w:t>
      </w:r>
    </w:p>
    <w:p w:rsidRPr="00816CEF" w:rsidR="00826962" w:rsidP="00D264FF" w:rsidRDefault="00826962" w14:paraId="1AF37675" w14:textId="77777777">
      <w:pPr>
        <w:pStyle w:val="ListParagraph"/>
        <w:numPr>
          <w:ilvl w:val="0"/>
          <w:numId w:val="47"/>
        </w:numPr>
        <w:spacing w:line="276" w:lineRule="auto"/>
        <w:ind w:left="426" w:hanging="426"/>
        <w:rPr>
          <w:szCs w:val="20"/>
        </w:rPr>
      </w:pPr>
      <w:r>
        <w:lastRenderedPageBreak/>
        <w:t xml:space="preserve">pide </w:t>
      </w:r>
      <w:r w:rsidRPr="00816CEF">
        <w:rPr>
          <w:b/>
        </w:rPr>
        <w:t>un paquete de políticas para una transición justa</w:t>
      </w:r>
      <w:r>
        <w:t xml:space="preserve"> en el mundo laboral mediante la anticipación y la gestión del cambio, con el diálogo social y la negociación colectiva como principios rectores.</w:t>
      </w:r>
    </w:p>
    <w:p w:rsidRPr="00816CEF" w:rsidR="00826962" w:rsidP="00D264FF" w:rsidRDefault="00826962" w14:paraId="09142705" w14:textId="77777777">
      <w:pPr>
        <w:pStyle w:val="ListParagraph"/>
        <w:numPr>
          <w:ilvl w:val="0"/>
          <w:numId w:val="47"/>
        </w:numPr>
        <w:spacing w:line="276" w:lineRule="auto"/>
        <w:ind w:left="426" w:hanging="426"/>
        <w:rPr>
          <w:szCs w:val="20"/>
        </w:rPr>
      </w:pPr>
      <w:r>
        <w:t>Dicho paquete debería incluir medidas como las siguientes:</w:t>
      </w:r>
    </w:p>
    <w:p w:rsidRPr="00826962" w:rsidR="00826962" w:rsidP="00D264FF" w:rsidRDefault="00826962" w14:paraId="6529AD5A" w14:textId="77777777">
      <w:pPr>
        <w:numPr>
          <w:ilvl w:val="0"/>
          <w:numId w:val="12"/>
        </w:numPr>
        <w:overflowPunct w:val="0"/>
        <w:autoSpaceDE w:val="0"/>
        <w:autoSpaceDN w:val="0"/>
        <w:adjustRightInd w:val="0"/>
        <w:spacing w:line="276" w:lineRule="auto"/>
        <w:ind w:left="851" w:hanging="425"/>
        <w:contextualSpacing/>
        <w:textAlignment w:val="baseline"/>
      </w:pPr>
      <w:r>
        <w:t>realizar una cartografía sobre las necesidades y estrategias en materia de capacidades;</w:t>
      </w:r>
    </w:p>
    <w:p w:rsidRPr="00826962" w:rsidR="00826962" w:rsidP="00D264FF" w:rsidRDefault="00826962" w14:paraId="0AEC3AED" w14:textId="77777777">
      <w:pPr>
        <w:numPr>
          <w:ilvl w:val="0"/>
          <w:numId w:val="12"/>
        </w:numPr>
        <w:overflowPunct w:val="0"/>
        <w:autoSpaceDE w:val="0"/>
        <w:autoSpaceDN w:val="0"/>
        <w:adjustRightInd w:val="0"/>
        <w:spacing w:line="276" w:lineRule="auto"/>
        <w:ind w:left="851" w:hanging="425"/>
        <w:contextualSpacing/>
        <w:textAlignment w:val="baseline"/>
      </w:pPr>
      <w:r>
        <w:t>elaborar y aplicar programas adecuados de desarrollo de capacidades;</w:t>
      </w:r>
    </w:p>
    <w:p w:rsidRPr="00826962" w:rsidR="00826962" w:rsidP="00D264FF" w:rsidRDefault="00826962" w14:paraId="239D58C9" w14:textId="77777777">
      <w:pPr>
        <w:numPr>
          <w:ilvl w:val="0"/>
          <w:numId w:val="12"/>
        </w:numPr>
        <w:overflowPunct w:val="0"/>
        <w:autoSpaceDE w:val="0"/>
        <w:autoSpaceDN w:val="0"/>
        <w:adjustRightInd w:val="0"/>
        <w:spacing w:line="276" w:lineRule="auto"/>
        <w:ind w:left="851" w:hanging="425"/>
        <w:contextualSpacing/>
        <w:textAlignment w:val="baseline"/>
        <w:rPr>
          <w:spacing w:val="-4"/>
        </w:rPr>
      </w:pPr>
      <w:r>
        <w:t>generar un acceso significativo y exigible a horas de formación íntegramente remuneradas para todos los trabajadores;</w:t>
      </w:r>
    </w:p>
    <w:p w:rsidRPr="00826962" w:rsidR="00826962" w:rsidP="00D264FF" w:rsidRDefault="00826962" w14:paraId="6663E3D2" w14:textId="77777777">
      <w:pPr>
        <w:numPr>
          <w:ilvl w:val="0"/>
          <w:numId w:val="12"/>
        </w:numPr>
        <w:overflowPunct w:val="0"/>
        <w:autoSpaceDE w:val="0"/>
        <w:autoSpaceDN w:val="0"/>
        <w:adjustRightInd w:val="0"/>
        <w:spacing w:line="276" w:lineRule="auto"/>
        <w:ind w:left="851" w:hanging="425"/>
        <w:contextualSpacing/>
        <w:textAlignment w:val="baseline"/>
      </w:pPr>
      <w:r>
        <w:t>garantizar que se erijan sistemas eficaces de participación y de información y consulta de los trabajadores a nivel de empresa, en cumplimiento de la normativa vigente;</w:t>
      </w:r>
    </w:p>
    <w:p w:rsidRPr="00826962" w:rsidR="00826962" w:rsidP="00D264FF" w:rsidRDefault="00826962" w14:paraId="2127D019" w14:textId="77777777">
      <w:pPr>
        <w:numPr>
          <w:ilvl w:val="0"/>
          <w:numId w:val="12"/>
        </w:numPr>
        <w:overflowPunct w:val="0"/>
        <w:autoSpaceDE w:val="0"/>
        <w:autoSpaceDN w:val="0"/>
        <w:adjustRightInd w:val="0"/>
        <w:spacing w:line="276" w:lineRule="auto"/>
        <w:ind w:left="851" w:hanging="425"/>
        <w:contextualSpacing/>
        <w:textAlignment w:val="baseline"/>
      </w:pPr>
      <w:r>
        <w:t>integrar iniciativas de transición justa en la aplicación del pilar europeo de derechos sociales y del Semestre Europeo;</w:t>
      </w:r>
    </w:p>
    <w:p w:rsidRPr="00826962" w:rsidR="00826962" w:rsidP="00D264FF" w:rsidRDefault="00826962" w14:paraId="0F671CA3" w14:textId="77777777">
      <w:pPr>
        <w:numPr>
          <w:ilvl w:val="0"/>
          <w:numId w:val="12"/>
        </w:numPr>
        <w:overflowPunct w:val="0"/>
        <w:autoSpaceDE w:val="0"/>
        <w:autoSpaceDN w:val="0"/>
        <w:adjustRightInd w:val="0"/>
        <w:spacing w:line="276" w:lineRule="auto"/>
        <w:ind w:left="851" w:hanging="425"/>
        <w:contextualSpacing/>
        <w:textAlignment w:val="baseline"/>
      </w:pPr>
      <w:r>
        <w:t xml:space="preserve">generar incentivos sólidos para que las empresas: </w:t>
      </w:r>
    </w:p>
    <w:p w:rsidRPr="00816CEF" w:rsidR="00826962" w:rsidP="00D264FF" w:rsidRDefault="00826962" w14:paraId="01C24C9F" w14:textId="77777777">
      <w:pPr>
        <w:pStyle w:val="ListParagraph"/>
        <w:numPr>
          <w:ilvl w:val="0"/>
          <w:numId w:val="48"/>
        </w:numPr>
        <w:spacing w:line="276" w:lineRule="auto"/>
        <w:ind w:left="1276" w:hanging="425"/>
        <w:rPr>
          <w:szCs w:val="20"/>
        </w:rPr>
      </w:pPr>
      <w:r w:rsidRPr="00816CEF">
        <w:rPr>
          <w:b/>
        </w:rPr>
        <w:t>den prioridad al perfeccionamiento profesional</w:t>
      </w:r>
      <w:r>
        <w:t xml:space="preserve"> de sus plantillas a fin de cubrir el déficit de capacidades;</w:t>
      </w:r>
    </w:p>
    <w:p w:rsidRPr="00816CEF" w:rsidR="00826962" w:rsidP="00D264FF" w:rsidRDefault="00826962" w14:paraId="1602141B" w14:textId="77777777">
      <w:pPr>
        <w:pStyle w:val="ListParagraph"/>
        <w:numPr>
          <w:ilvl w:val="0"/>
          <w:numId w:val="48"/>
        </w:numPr>
        <w:spacing w:line="276" w:lineRule="auto"/>
        <w:ind w:left="1276" w:hanging="425"/>
        <w:rPr>
          <w:szCs w:val="20"/>
        </w:rPr>
      </w:pPr>
      <w:r>
        <w:t xml:space="preserve">elaboren, publiquen y actualicen periódicamente </w:t>
      </w:r>
      <w:r w:rsidRPr="00816CEF">
        <w:rPr>
          <w:b/>
        </w:rPr>
        <w:t>planes de transición de las empresas</w:t>
      </w:r>
      <w:r>
        <w:t>;</w:t>
      </w:r>
    </w:p>
    <w:p w:rsidRPr="00816CEF" w:rsidR="00826962" w:rsidP="00D264FF" w:rsidRDefault="00826962" w14:paraId="68CA06F5" w14:textId="77777777">
      <w:pPr>
        <w:pStyle w:val="ListParagraph"/>
        <w:numPr>
          <w:ilvl w:val="0"/>
          <w:numId w:val="48"/>
        </w:numPr>
        <w:spacing w:line="276" w:lineRule="auto"/>
        <w:ind w:left="1276" w:hanging="425"/>
        <w:rPr>
          <w:szCs w:val="20"/>
        </w:rPr>
      </w:pPr>
      <w:r>
        <w:t>y promuevan el aumento de las cotizaciones en concepto de aprendizaje y formación, de conformidad con los modelos nacionales, para financiar parcialmente la formación de los trabajadores a escala regional;</w:t>
      </w:r>
    </w:p>
    <w:p w:rsidRPr="00826962" w:rsidR="00826962" w:rsidP="00D264FF" w:rsidRDefault="00826962" w14:paraId="2979C9DC" w14:textId="77777777">
      <w:pPr>
        <w:pStyle w:val="ListParagraph"/>
        <w:numPr>
          <w:ilvl w:val="0"/>
          <w:numId w:val="32"/>
        </w:numPr>
        <w:overflowPunct w:val="0"/>
        <w:autoSpaceDE w:val="0"/>
        <w:autoSpaceDN w:val="0"/>
        <w:adjustRightInd w:val="0"/>
        <w:spacing w:line="276" w:lineRule="auto"/>
        <w:ind w:left="426" w:hanging="426"/>
        <w:textAlignment w:val="baseline"/>
        <w:rPr>
          <w:szCs w:val="20"/>
        </w:rPr>
      </w:pPr>
      <w:r>
        <w:t xml:space="preserve">recomienda que </w:t>
      </w:r>
      <w:r>
        <w:rPr>
          <w:b/>
        </w:rPr>
        <w:t>se elabore una cartografía detallada que permita comprender los retos y oportunidades que entraña la transición</w:t>
      </w:r>
      <w:r>
        <w:t>. El Observatorio de la Transición Justa puede liderar la cartografía de las políticas y las buenas prácticas y prestar apoyo a los Estados miembros proporcionándoles datos y realizando un ejercicio de seguimiento;</w:t>
      </w:r>
    </w:p>
    <w:p w:rsidRPr="00826962" w:rsidR="00826962" w:rsidP="00D264FF" w:rsidRDefault="00826962" w14:paraId="4041C321" w14:textId="77777777">
      <w:pPr>
        <w:pStyle w:val="ListParagraph"/>
        <w:numPr>
          <w:ilvl w:val="0"/>
          <w:numId w:val="32"/>
        </w:numPr>
        <w:overflowPunct w:val="0"/>
        <w:autoSpaceDE w:val="0"/>
        <w:autoSpaceDN w:val="0"/>
        <w:adjustRightInd w:val="0"/>
        <w:spacing w:line="276" w:lineRule="auto"/>
        <w:ind w:left="426" w:hanging="426"/>
        <w:textAlignment w:val="baseline"/>
        <w:rPr>
          <w:szCs w:val="20"/>
        </w:rPr>
      </w:pPr>
      <w:r>
        <w:t xml:space="preserve">pide a la Comisión Europea y a los Estados miembros que </w:t>
      </w:r>
      <w:r>
        <w:rPr>
          <w:b/>
        </w:rPr>
        <w:t>garanticen una financiación adecuada</w:t>
      </w:r>
      <w:r>
        <w:t xml:space="preserve"> ampliando el Fondo de Transición Justa y el Fondo Social por el Clima e </w:t>
      </w:r>
      <w:r>
        <w:rPr>
          <w:b/>
        </w:rPr>
        <w:t>impulsando y vinculando otros métodos de financiación</w:t>
      </w:r>
      <w:r>
        <w:t>, como la adaptación de los sistemas tributarios nacionales y la movilización de financiación privada en favor de la transición.</w:t>
      </w:r>
    </w:p>
    <w:p w:rsidRPr="007C285C" w:rsidR="00C34B13" w:rsidP="00D201F5" w:rsidRDefault="00C34B13" w14:paraId="198C6038" w14:textId="77777777">
      <w:pPr>
        <w:overflowPunct w:val="0"/>
        <w:autoSpaceDE w:val="0"/>
        <w:autoSpaceDN w:val="0"/>
        <w:adjustRightInd w:val="0"/>
        <w:spacing w:line="240" w:lineRule="auto"/>
        <w:textAlignment w:val="baseline"/>
        <w:rPr>
          <w:lang w:val="en-GB"/>
        </w:rPr>
      </w:pPr>
    </w:p>
    <w:tbl>
      <w:tblPr>
        <w:tblStyle w:val="TableGrid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5670"/>
      </w:tblGrid>
      <w:tr w:rsidRPr="00826962" w:rsidR="00826962" w:rsidTr="007C285C" w14:paraId="4CC0AE38" w14:textId="77777777">
        <w:tc>
          <w:tcPr>
            <w:tcW w:w="2376" w:type="dxa"/>
          </w:tcPr>
          <w:p w:rsidRPr="00826962" w:rsidR="00826962" w:rsidP="00D264FF" w:rsidRDefault="00826962" w14:paraId="1380C3A1" w14:textId="77777777">
            <w:pPr>
              <w:overflowPunct w:val="0"/>
              <w:autoSpaceDE w:val="0"/>
              <w:autoSpaceDN w:val="0"/>
              <w:adjustRightInd w:val="0"/>
              <w:spacing w:line="276" w:lineRule="auto"/>
              <w:ind w:left="709" w:hanging="393"/>
              <w:textAlignment w:val="baseline"/>
              <w:rPr>
                <w:i/>
              </w:rPr>
            </w:pPr>
            <w:r>
              <w:rPr>
                <w:b/>
                <w:i/>
              </w:rPr>
              <w:t>Contacto:</w:t>
            </w:r>
          </w:p>
        </w:tc>
        <w:tc>
          <w:tcPr>
            <w:tcW w:w="5670" w:type="dxa"/>
          </w:tcPr>
          <w:p w:rsidRPr="00826962" w:rsidR="00826962" w:rsidP="00D264FF" w:rsidRDefault="00826962" w14:paraId="4DDDB049" w14:textId="709CFDFF">
            <w:pPr>
              <w:overflowPunct w:val="0"/>
              <w:autoSpaceDE w:val="0"/>
              <w:autoSpaceDN w:val="0"/>
              <w:adjustRightInd w:val="0"/>
              <w:spacing w:line="276" w:lineRule="auto"/>
              <w:ind w:left="709" w:hanging="393"/>
              <w:textAlignment w:val="baseline"/>
              <w:rPr>
                <w:i/>
              </w:rPr>
            </w:pPr>
            <w:r>
              <w:t>Nicolas Stenger</w:t>
            </w:r>
          </w:p>
        </w:tc>
      </w:tr>
      <w:tr w:rsidRPr="00826962" w:rsidR="00826962" w:rsidTr="007C285C" w14:paraId="3B11FE8D" w14:textId="77777777">
        <w:tc>
          <w:tcPr>
            <w:tcW w:w="2376" w:type="dxa"/>
          </w:tcPr>
          <w:p w:rsidRPr="00826962" w:rsidR="00826962" w:rsidP="00D264FF" w:rsidRDefault="00826962" w14:paraId="16E8820C" w14:textId="77777777">
            <w:pPr>
              <w:overflowPunct w:val="0"/>
              <w:autoSpaceDE w:val="0"/>
              <w:autoSpaceDN w:val="0"/>
              <w:adjustRightInd w:val="0"/>
              <w:spacing w:line="276" w:lineRule="auto"/>
              <w:ind w:left="709" w:hanging="393"/>
              <w:textAlignment w:val="baseline"/>
              <w:rPr>
                <w:i/>
              </w:rPr>
            </w:pPr>
            <w:r>
              <w:rPr>
                <w:i/>
              </w:rPr>
              <w:t>Teléfono:</w:t>
            </w:r>
          </w:p>
        </w:tc>
        <w:tc>
          <w:tcPr>
            <w:tcW w:w="5670" w:type="dxa"/>
          </w:tcPr>
          <w:p w:rsidRPr="00826962" w:rsidR="00826962" w:rsidP="00D264FF" w:rsidRDefault="00826962" w14:paraId="70D1C8D1" w14:textId="77777777">
            <w:pPr>
              <w:overflowPunct w:val="0"/>
              <w:autoSpaceDE w:val="0"/>
              <w:autoSpaceDN w:val="0"/>
              <w:adjustRightInd w:val="0"/>
              <w:spacing w:line="276" w:lineRule="auto"/>
              <w:ind w:left="709" w:hanging="393"/>
              <w:textAlignment w:val="baseline"/>
              <w:rPr>
                <w:i/>
                <w:iCs/>
              </w:rPr>
            </w:pPr>
            <w:r>
              <w:rPr>
                <w:i/>
              </w:rPr>
              <w:t>+32 25468152</w:t>
            </w:r>
          </w:p>
        </w:tc>
      </w:tr>
      <w:tr w:rsidRPr="00826962" w:rsidR="00826962" w:rsidTr="007C285C" w14:paraId="5D4735FD" w14:textId="77777777">
        <w:tc>
          <w:tcPr>
            <w:tcW w:w="2376" w:type="dxa"/>
          </w:tcPr>
          <w:p w:rsidRPr="00826962" w:rsidR="00826962" w:rsidP="00D264FF" w:rsidRDefault="005A452F" w14:paraId="3C5F2E2E" w14:textId="50AE576F">
            <w:pPr>
              <w:overflowPunct w:val="0"/>
              <w:autoSpaceDE w:val="0"/>
              <w:autoSpaceDN w:val="0"/>
              <w:adjustRightInd w:val="0"/>
              <w:spacing w:line="276" w:lineRule="auto"/>
              <w:ind w:left="709" w:hanging="393"/>
              <w:textAlignment w:val="baseline"/>
              <w:rPr>
                <w:i/>
              </w:rPr>
            </w:pPr>
            <w:r>
              <w:rPr>
                <w:i/>
              </w:rPr>
              <w:t>Correo electrónico:</w:t>
            </w:r>
          </w:p>
        </w:tc>
        <w:tc>
          <w:tcPr>
            <w:tcW w:w="5670" w:type="dxa"/>
          </w:tcPr>
          <w:p w:rsidRPr="00826962" w:rsidR="00826962" w:rsidP="00D264FF" w:rsidRDefault="00A207FB" w14:paraId="2A7B7513" w14:textId="77777777">
            <w:pPr>
              <w:overflowPunct w:val="0"/>
              <w:autoSpaceDE w:val="0"/>
              <w:autoSpaceDN w:val="0"/>
              <w:adjustRightInd w:val="0"/>
              <w:spacing w:line="276" w:lineRule="auto"/>
              <w:ind w:left="709" w:hanging="393"/>
              <w:textAlignment w:val="baseline"/>
              <w:rPr>
                <w:i/>
                <w:iCs/>
                <w:color w:val="0000FF"/>
                <w:u w:val="single"/>
              </w:rPr>
            </w:pPr>
            <w:hyperlink w:history="1" r:id="rId44">
              <w:r w:rsidR="00826962">
                <w:rPr>
                  <w:i/>
                  <w:color w:val="0000FF"/>
                  <w:u w:val="single"/>
                </w:rPr>
                <w:t>Nicolas.Stenger@eesc.europa.eu</w:t>
              </w:r>
            </w:hyperlink>
          </w:p>
        </w:tc>
      </w:tr>
    </w:tbl>
    <w:p w:rsidR="00C70B4C" w:rsidP="00D264FF" w:rsidRDefault="00C70B4C" w14:paraId="2B905F39" w14:textId="36E50AC6">
      <w:pPr>
        <w:spacing w:line="276" w:lineRule="auto"/>
        <w:jc w:val="left"/>
      </w:pPr>
    </w:p>
    <w:p w:rsidR="007C285C" w:rsidP="00D264FF" w:rsidRDefault="007C285C" w14:paraId="0BDB22D4" w14:textId="77777777">
      <w:pPr>
        <w:spacing w:line="276" w:lineRule="auto"/>
        <w:jc w:val="left"/>
      </w:pPr>
    </w:p>
    <w:p w:rsidR="007F5784" w:rsidP="00D201F5" w:rsidRDefault="007F5784" w14:paraId="14026A78" w14:textId="4FAE1588">
      <w:pPr>
        <w:pStyle w:val="Heading1"/>
        <w:keepNext/>
        <w:keepLines/>
        <w:spacing w:line="240" w:lineRule="auto"/>
        <w:rPr>
          <w:b/>
        </w:rPr>
      </w:pPr>
      <w:bookmarkStart w:name="_Toc184804678" w:id="12"/>
      <w:r>
        <w:rPr>
          <w:b/>
        </w:rPr>
        <w:t>RELACIONES EXTERIORES</w:t>
      </w:r>
      <w:bookmarkEnd w:id="12"/>
    </w:p>
    <w:p w:rsidR="007F5784" w:rsidP="00D201F5" w:rsidRDefault="007F5784" w14:paraId="3BBB3E68" w14:textId="77777777">
      <w:pPr>
        <w:keepNext/>
        <w:keepLines/>
        <w:spacing w:line="240" w:lineRule="auto"/>
      </w:pPr>
    </w:p>
    <w:p w:rsidRPr="00B96875" w:rsidR="00B96875" w:rsidP="00D264FF" w:rsidRDefault="00A207FB" w14:paraId="7464D4C7" w14:textId="4B5D0BEC">
      <w:pPr>
        <w:widowControl w:val="0"/>
        <w:numPr>
          <w:ilvl w:val="0"/>
          <w:numId w:val="6"/>
        </w:numPr>
        <w:overflowPunct w:val="0"/>
        <w:autoSpaceDE w:val="0"/>
        <w:autoSpaceDN w:val="0"/>
        <w:adjustRightInd w:val="0"/>
        <w:spacing w:line="276" w:lineRule="auto"/>
        <w:ind w:hanging="567"/>
        <w:textAlignment w:val="baseline"/>
        <w:rPr>
          <w:sz w:val="24"/>
          <w:szCs w:val="24"/>
        </w:rPr>
      </w:pPr>
      <w:hyperlink w:history="1" r:id="rId45">
        <w:r w:rsidR="00DD115B">
          <w:rPr>
            <w:b/>
            <w:i/>
            <w:color w:val="0000FF"/>
            <w:sz w:val="28"/>
            <w:u w:val="single"/>
          </w:rPr>
          <w:t xml:space="preserve">Decisión sobre la interpretación y </w:t>
        </w:r>
        <w:r w:rsidR="00DD115B">
          <w:rPr>
            <w:b/>
            <w:i/>
            <w:color w:val="0000FF"/>
            <w:sz w:val="28"/>
            <w:u w:val="single"/>
          </w:rPr>
          <w:t>a</w:t>
        </w:r>
        <w:r w:rsidR="00DD115B">
          <w:rPr>
            <w:b/>
            <w:i/>
            <w:color w:val="0000FF"/>
            <w:sz w:val="28"/>
            <w:u w:val="single"/>
          </w:rPr>
          <w:t>plicación del Tratado sobre la Carta de la Energía</w:t>
        </w:r>
      </w:hyperlink>
    </w:p>
    <w:p w:rsidRPr="00D201F5" w:rsidR="00B96875" w:rsidP="00D201F5" w:rsidRDefault="00B96875" w14:paraId="5B43C9D5" w14:textId="77777777">
      <w:pPr>
        <w:keepNext/>
        <w:keepLines/>
        <w:spacing w:line="240" w:lineRule="auto"/>
        <w:rPr>
          <w:bCs/>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5387"/>
      </w:tblGrid>
      <w:tr w:rsidRPr="00B96875" w:rsidR="00B96875" w:rsidTr="00863A8F" w14:paraId="0BEC8599" w14:textId="77777777">
        <w:tc>
          <w:tcPr>
            <w:tcW w:w="1560" w:type="dxa"/>
          </w:tcPr>
          <w:p w:rsidRPr="00B96875" w:rsidR="00B96875" w:rsidP="00D201F5" w:rsidRDefault="00B96875" w14:paraId="52A2CDD0" w14:textId="77777777">
            <w:pPr>
              <w:overflowPunct w:val="0"/>
              <w:autoSpaceDE w:val="0"/>
              <w:autoSpaceDN w:val="0"/>
              <w:adjustRightInd w:val="0"/>
              <w:spacing w:line="240" w:lineRule="auto"/>
              <w:textAlignment w:val="baseline"/>
              <w:rPr>
                <w:b/>
              </w:rPr>
            </w:pPr>
            <w:r>
              <w:rPr>
                <w:b/>
              </w:rPr>
              <w:t>Ponente</w:t>
            </w:r>
          </w:p>
        </w:tc>
        <w:tc>
          <w:tcPr>
            <w:tcW w:w="5387" w:type="dxa"/>
          </w:tcPr>
          <w:p w:rsidRPr="00B96875" w:rsidR="00B96875" w:rsidP="00D201F5" w:rsidRDefault="00B96875" w14:paraId="4ABE91CF" w14:textId="4B9F4B54">
            <w:pPr>
              <w:tabs>
                <w:tab w:val="center" w:pos="284"/>
              </w:tabs>
              <w:overflowPunct w:val="0"/>
              <w:autoSpaceDE w:val="0"/>
              <w:autoSpaceDN w:val="0"/>
              <w:adjustRightInd w:val="0"/>
              <w:spacing w:line="240" w:lineRule="auto"/>
              <w:ind w:left="266" w:hanging="266"/>
              <w:textAlignment w:val="baseline"/>
            </w:pPr>
            <w:r>
              <w:t>Christophe QUAREZ (Grupo de Trabajadores – FR)</w:t>
            </w:r>
          </w:p>
        </w:tc>
      </w:tr>
      <w:tr w:rsidRPr="00B96875" w:rsidR="00B96875" w:rsidTr="00863A8F" w14:paraId="77C05020" w14:textId="77777777">
        <w:tc>
          <w:tcPr>
            <w:tcW w:w="6945" w:type="dxa"/>
            <w:gridSpan w:val="2"/>
          </w:tcPr>
          <w:p w:rsidRPr="00B96875" w:rsidR="00B96875" w:rsidP="00D201F5" w:rsidRDefault="00B96875" w14:paraId="0BCDF86E" w14:textId="77777777">
            <w:pPr>
              <w:overflowPunct w:val="0"/>
              <w:autoSpaceDE w:val="0"/>
              <w:autoSpaceDN w:val="0"/>
              <w:adjustRightInd w:val="0"/>
              <w:spacing w:line="240" w:lineRule="auto"/>
              <w:textAlignment w:val="baseline"/>
            </w:pPr>
          </w:p>
        </w:tc>
      </w:tr>
      <w:tr w:rsidRPr="00B96875" w:rsidR="00B96875" w:rsidTr="00863A8F" w14:paraId="04A8380E" w14:textId="77777777">
        <w:tc>
          <w:tcPr>
            <w:tcW w:w="1560" w:type="dxa"/>
            <w:vMerge w:val="restart"/>
          </w:tcPr>
          <w:p w:rsidRPr="00B96875" w:rsidR="00B96875" w:rsidP="00D201F5" w:rsidRDefault="00B96875" w14:paraId="27CED65C" w14:textId="77777777">
            <w:pPr>
              <w:overflowPunct w:val="0"/>
              <w:autoSpaceDE w:val="0"/>
              <w:autoSpaceDN w:val="0"/>
              <w:adjustRightInd w:val="0"/>
              <w:spacing w:line="240" w:lineRule="auto"/>
              <w:textAlignment w:val="baseline"/>
              <w:rPr>
                <w:b/>
              </w:rPr>
            </w:pPr>
            <w:r>
              <w:rPr>
                <w:b/>
                <w:bCs/>
              </w:rPr>
              <w:t>Referencias</w:t>
            </w:r>
            <w:r>
              <w:rPr>
                <w:b/>
              </w:rPr>
              <w:t xml:space="preserve"> </w:t>
            </w:r>
          </w:p>
        </w:tc>
        <w:tc>
          <w:tcPr>
            <w:tcW w:w="5387" w:type="dxa"/>
          </w:tcPr>
          <w:p w:rsidRPr="00B96875" w:rsidR="00B96875" w:rsidP="00D201F5" w:rsidRDefault="00B96875" w14:paraId="45024F47" w14:textId="77777777">
            <w:pPr>
              <w:tabs>
                <w:tab w:val="center" w:pos="284"/>
              </w:tabs>
              <w:overflowPunct w:val="0"/>
              <w:autoSpaceDE w:val="0"/>
              <w:autoSpaceDN w:val="0"/>
              <w:adjustRightInd w:val="0"/>
              <w:spacing w:line="240" w:lineRule="auto"/>
              <w:ind w:left="266" w:hanging="266"/>
              <w:textAlignment w:val="baseline"/>
            </w:pPr>
            <w:r>
              <w:t>COM(2024) 257 final</w:t>
            </w:r>
          </w:p>
        </w:tc>
      </w:tr>
      <w:tr w:rsidRPr="00B96875" w:rsidR="00B96875" w:rsidTr="00863A8F" w14:paraId="477DC2D7" w14:textId="77777777">
        <w:tc>
          <w:tcPr>
            <w:tcW w:w="1560" w:type="dxa"/>
            <w:vMerge/>
          </w:tcPr>
          <w:p w:rsidRPr="00B96875" w:rsidR="00B96875" w:rsidP="00D201F5" w:rsidRDefault="00B96875" w14:paraId="447B1BB8" w14:textId="77777777">
            <w:pPr>
              <w:tabs>
                <w:tab w:val="center" w:pos="284"/>
              </w:tabs>
              <w:overflowPunct w:val="0"/>
              <w:autoSpaceDE w:val="0"/>
              <w:autoSpaceDN w:val="0"/>
              <w:adjustRightInd w:val="0"/>
              <w:spacing w:line="240" w:lineRule="auto"/>
              <w:ind w:left="266" w:hanging="266"/>
              <w:textAlignment w:val="baseline"/>
              <w:rPr>
                <w:b/>
              </w:rPr>
            </w:pPr>
          </w:p>
        </w:tc>
        <w:tc>
          <w:tcPr>
            <w:tcW w:w="5387" w:type="dxa"/>
          </w:tcPr>
          <w:p w:rsidRPr="00B96875" w:rsidR="00B96875" w:rsidP="00D201F5" w:rsidRDefault="00B96875" w14:paraId="41E3493F" w14:textId="3919B340">
            <w:pPr>
              <w:tabs>
                <w:tab w:val="center" w:pos="284"/>
              </w:tabs>
              <w:overflowPunct w:val="0"/>
              <w:autoSpaceDE w:val="0"/>
              <w:autoSpaceDN w:val="0"/>
              <w:adjustRightInd w:val="0"/>
              <w:spacing w:line="240" w:lineRule="auto"/>
              <w:ind w:left="266" w:hanging="266"/>
              <w:textAlignment w:val="baseline"/>
            </w:pPr>
            <w:r>
              <w:t>EESC-2024-03646-00-00-AC</w:t>
            </w:r>
          </w:p>
        </w:tc>
      </w:tr>
    </w:tbl>
    <w:p w:rsidRPr="00B96875" w:rsidR="00B96875" w:rsidP="00D201F5" w:rsidRDefault="00B96875" w14:paraId="3EA87A7D"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Puntos clave</w:t>
      </w:r>
    </w:p>
    <w:p w:rsidRPr="00B96875" w:rsidR="00B96875" w:rsidP="00D201F5" w:rsidRDefault="00B96875" w14:paraId="606FD2B8"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B96875" w:rsidR="00B96875" w:rsidP="00D201F5" w:rsidRDefault="00B96875" w14:paraId="3CF3B75C" w14:textId="77777777">
      <w:pPr>
        <w:overflowPunct w:val="0"/>
        <w:autoSpaceDE w:val="0"/>
        <w:autoSpaceDN w:val="0"/>
        <w:adjustRightInd w:val="0"/>
        <w:spacing w:line="240" w:lineRule="auto"/>
        <w:textAlignment w:val="baseline"/>
        <w:rPr>
          <w:bCs/>
          <w:iCs/>
        </w:rPr>
      </w:pPr>
      <w:r>
        <w:t>El CESE:</w:t>
      </w:r>
    </w:p>
    <w:p w:rsidRPr="00B96875" w:rsidR="00B96875" w:rsidP="00D201F5" w:rsidRDefault="00B96875" w14:paraId="6CCE0814" w14:textId="77777777">
      <w:pPr>
        <w:overflowPunct w:val="0"/>
        <w:autoSpaceDE w:val="0"/>
        <w:autoSpaceDN w:val="0"/>
        <w:adjustRightInd w:val="0"/>
        <w:spacing w:line="240" w:lineRule="auto"/>
        <w:textAlignment w:val="baseline"/>
        <w:rPr>
          <w:bCs/>
          <w:iCs/>
          <w:lang w:val="en-GB"/>
        </w:rPr>
      </w:pPr>
    </w:p>
    <w:p w:rsidRPr="00B96875" w:rsidR="00B96875" w:rsidP="00D264FF" w:rsidRDefault="00B96875" w14:paraId="3718E84B" w14:textId="77777777">
      <w:pPr>
        <w:widowControl w:val="0"/>
        <w:numPr>
          <w:ilvl w:val="0"/>
          <w:numId w:val="36"/>
        </w:numPr>
        <w:overflowPunct w:val="0"/>
        <w:autoSpaceDE w:val="0"/>
        <w:autoSpaceDN w:val="0"/>
        <w:adjustRightInd w:val="0"/>
        <w:spacing w:line="276" w:lineRule="auto"/>
        <w:ind w:left="284" w:hanging="284"/>
        <w:textAlignment w:val="baseline"/>
      </w:pPr>
      <w:r>
        <w:rPr>
          <w:b/>
        </w:rPr>
        <w:t>aprueba el Acuerdo sobre la interpretación y aplicación del Tratado sobre la Carta de la Energía (TCE)</w:t>
      </w:r>
      <w:r>
        <w:t xml:space="preserve"> entre la Unión Europea, la Comunidad Europea de la Energía Atómica y sus Estados miembros y toma nota de que la UE se retiró oficialmente del TCE el 27 de junio de 2024;</w:t>
      </w:r>
    </w:p>
    <w:p w:rsidRPr="00B96875" w:rsidR="00B96875" w:rsidP="00D264FF" w:rsidRDefault="00B96875" w14:paraId="519456FE" w14:textId="77777777">
      <w:pPr>
        <w:widowControl w:val="0"/>
        <w:numPr>
          <w:ilvl w:val="0"/>
          <w:numId w:val="36"/>
        </w:numPr>
        <w:overflowPunct w:val="0"/>
        <w:autoSpaceDE w:val="0"/>
        <w:autoSpaceDN w:val="0"/>
        <w:adjustRightInd w:val="0"/>
        <w:spacing w:line="276" w:lineRule="auto"/>
        <w:ind w:left="284" w:hanging="284"/>
        <w:textAlignment w:val="baseline"/>
      </w:pPr>
      <w:r>
        <w:lastRenderedPageBreak/>
        <w:t xml:space="preserve">coincide con el Tribunal de Justicia de la Unión Europea (TJUE) en que el </w:t>
      </w:r>
      <w:r>
        <w:rPr>
          <w:b/>
        </w:rPr>
        <w:t>artículo 26, apartado 2, del TCE es incompatible con el Derecho de la UE</w:t>
      </w:r>
      <w:r>
        <w:t xml:space="preserve"> y hace hincapié en que el TCE no se concibió para aplicarse a las relaciones en el interior de la Unión Europea;</w:t>
      </w:r>
    </w:p>
    <w:p w:rsidRPr="00B96875" w:rsidR="00B96875" w:rsidP="00D264FF" w:rsidRDefault="00B96875" w14:paraId="42DA2EA2" w14:textId="77777777">
      <w:pPr>
        <w:widowControl w:val="0"/>
        <w:numPr>
          <w:ilvl w:val="0"/>
          <w:numId w:val="36"/>
        </w:numPr>
        <w:overflowPunct w:val="0"/>
        <w:autoSpaceDE w:val="0"/>
        <w:autoSpaceDN w:val="0"/>
        <w:adjustRightInd w:val="0"/>
        <w:spacing w:line="276" w:lineRule="auto"/>
        <w:ind w:left="284" w:hanging="284"/>
        <w:textAlignment w:val="baseline"/>
      </w:pPr>
      <w:r>
        <w:t xml:space="preserve">destaca que el mecanismo de resolución de litigios entre inversores y Estados del TCE puede </w:t>
      </w:r>
      <w:r>
        <w:rPr>
          <w:b/>
        </w:rPr>
        <w:t>socavar el Estado de Derecho, la democracia, la transparencia y la coherencia</w:t>
      </w:r>
      <w:r>
        <w:t>, puesto que permite a los inversores eludir los tribunales nacionales e impugnar las leyes nacionales, lo que incide en las expectativas en cuanto a beneficios;</w:t>
      </w:r>
    </w:p>
    <w:p w:rsidRPr="00B96875" w:rsidR="00B96875" w:rsidP="00D264FF" w:rsidRDefault="00B96875" w14:paraId="473BC6F5" w14:textId="77777777">
      <w:pPr>
        <w:widowControl w:val="0"/>
        <w:numPr>
          <w:ilvl w:val="0"/>
          <w:numId w:val="36"/>
        </w:numPr>
        <w:overflowPunct w:val="0"/>
        <w:autoSpaceDE w:val="0"/>
        <w:autoSpaceDN w:val="0"/>
        <w:adjustRightInd w:val="0"/>
        <w:spacing w:line="276" w:lineRule="auto"/>
        <w:ind w:left="284" w:hanging="284"/>
        <w:textAlignment w:val="baseline"/>
      </w:pPr>
      <w:r>
        <w:t xml:space="preserve">destaca que la </w:t>
      </w:r>
      <w:r>
        <w:rPr>
          <w:b/>
        </w:rPr>
        <w:t>protección de las inversiones en combustibles fósiles por parte del TCE es contraria a los objetivos climáticos</w:t>
      </w:r>
      <w:r>
        <w:t>, en particular los establecidos en el Pacto Verde Europeo y el Acuerdo de París;</w:t>
      </w:r>
    </w:p>
    <w:p w:rsidRPr="00B96875" w:rsidR="00B96875" w:rsidP="00D264FF" w:rsidRDefault="00B96875" w14:paraId="5B4C7121" w14:textId="77777777">
      <w:pPr>
        <w:widowControl w:val="0"/>
        <w:numPr>
          <w:ilvl w:val="0"/>
          <w:numId w:val="36"/>
        </w:numPr>
        <w:overflowPunct w:val="0"/>
        <w:autoSpaceDE w:val="0"/>
        <w:autoSpaceDN w:val="0"/>
        <w:adjustRightInd w:val="0"/>
        <w:spacing w:line="276" w:lineRule="auto"/>
        <w:ind w:left="284" w:hanging="284"/>
        <w:textAlignment w:val="baseline"/>
      </w:pPr>
      <w:r>
        <w:t xml:space="preserve">alienta a que se celebren </w:t>
      </w:r>
      <w:r>
        <w:rPr>
          <w:b/>
        </w:rPr>
        <w:t>acuerdos con terceros países</w:t>
      </w:r>
      <w:r>
        <w:t xml:space="preserve">, como el Reino Unido, para eliminar el riesgo de procedimientos de arbitraje que plantea la cláusula de supervivencia de veinte años del TCE; </w:t>
      </w:r>
    </w:p>
    <w:p w:rsidRPr="00B96875" w:rsidR="00B96875" w:rsidP="00D264FF" w:rsidRDefault="00B96875" w14:paraId="1E9CEDCF" w14:textId="77777777">
      <w:pPr>
        <w:widowControl w:val="0"/>
        <w:numPr>
          <w:ilvl w:val="0"/>
          <w:numId w:val="36"/>
        </w:numPr>
        <w:overflowPunct w:val="0"/>
        <w:autoSpaceDE w:val="0"/>
        <w:autoSpaceDN w:val="0"/>
        <w:adjustRightInd w:val="0"/>
        <w:spacing w:line="276" w:lineRule="auto"/>
        <w:ind w:left="284" w:hanging="284"/>
        <w:textAlignment w:val="baseline"/>
      </w:pPr>
      <w:r>
        <w:t xml:space="preserve">pide que se estudie la posibilidad de crear mecanismos jurídicos que permitan neutralizar los efectos de la cláusula de supervivencia, a fin de evitar riesgos de arbitraje prolongados que </w:t>
      </w:r>
      <w:r>
        <w:rPr>
          <w:b/>
        </w:rPr>
        <w:t>podrían obstaculizar la consecución de los objetivos climáticos y de transición energética de la UE</w:t>
      </w:r>
      <w:r>
        <w:t>;</w:t>
      </w:r>
    </w:p>
    <w:p w:rsidRPr="00B96875" w:rsidR="00B96875" w:rsidP="00D264FF" w:rsidRDefault="00B96875" w14:paraId="055BEA7B" w14:textId="77777777">
      <w:pPr>
        <w:widowControl w:val="0"/>
        <w:numPr>
          <w:ilvl w:val="0"/>
          <w:numId w:val="36"/>
        </w:numPr>
        <w:overflowPunct w:val="0"/>
        <w:autoSpaceDE w:val="0"/>
        <w:autoSpaceDN w:val="0"/>
        <w:adjustRightInd w:val="0"/>
        <w:spacing w:line="276" w:lineRule="auto"/>
        <w:ind w:left="284" w:hanging="284"/>
        <w:textAlignment w:val="baseline"/>
      </w:pPr>
      <w:r>
        <w:t xml:space="preserve">solicita a los Estados miembros que aún son partes contratantes del TCE que consideren la posibilidad de retirarse del mismo habida cuenta de sus problemas persistentes y </w:t>
      </w:r>
      <w:r>
        <w:rPr>
          <w:b/>
        </w:rPr>
        <w:t>aboga por que se elabore un nuevo marco multilateral de cooperación energética</w:t>
      </w:r>
      <w:r>
        <w:t xml:space="preserve"> que:</w:t>
      </w:r>
    </w:p>
    <w:p w:rsidRPr="00B96875" w:rsidR="00B96875" w:rsidP="00D264FF" w:rsidRDefault="00B96875" w14:paraId="323F20B7" w14:textId="77777777">
      <w:pPr>
        <w:widowControl w:val="0"/>
        <w:numPr>
          <w:ilvl w:val="0"/>
          <w:numId w:val="37"/>
        </w:numPr>
        <w:overflowPunct w:val="0"/>
        <w:autoSpaceDE w:val="0"/>
        <w:autoSpaceDN w:val="0"/>
        <w:adjustRightInd w:val="0"/>
        <w:spacing w:line="276" w:lineRule="auto"/>
        <w:textAlignment w:val="baseline"/>
      </w:pPr>
      <w:r>
        <w:t>dé prioridad a las fuentes de energía sostenibles y renovables;</w:t>
      </w:r>
    </w:p>
    <w:p w:rsidRPr="00B96875" w:rsidR="00B96875" w:rsidP="00D264FF" w:rsidRDefault="00B96875" w14:paraId="3AD6D084" w14:textId="77777777">
      <w:pPr>
        <w:widowControl w:val="0"/>
        <w:numPr>
          <w:ilvl w:val="0"/>
          <w:numId w:val="37"/>
        </w:numPr>
        <w:overflowPunct w:val="0"/>
        <w:autoSpaceDE w:val="0"/>
        <w:autoSpaceDN w:val="0"/>
        <w:adjustRightInd w:val="0"/>
        <w:spacing w:line="276" w:lineRule="auto"/>
        <w:textAlignment w:val="baseline"/>
      </w:pPr>
      <w:r>
        <w:t xml:space="preserve">esté plenamente en consonancia con los objetivos del </w:t>
      </w:r>
      <w:r>
        <w:rPr>
          <w:b/>
        </w:rPr>
        <w:t>Pacto Verde Europeo</w:t>
      </w:r>
      <w:r>
        <w:t>;</w:t>
      </w:r>
    </w:p>
    <w:p w:rsidRPr="00B96875" w:rsidR="00B96875" w:rsidP="00D264FF" w:rsidRDefault="00B96875" w14:paraId="5E0A2F18" w14:textId="77777777">
      <w:pPr>
        <w:widowControl w:val="0"/>
        <w:numPr>
          <w:ilvl w:val="0"/>
          <w:numId w:val="37"/>
        </w:numPr>
        <w:overflowPunct w:val="0"/>
        <w:autoSpaceDE w:val="0"/>
        <w:autoSpaceDN w:val="0"/>
        <w:adjustRightInd w:val="0"/>
        <w:spacing w:line="276" w:lineRule="auto"/>
        <w:textAlignment w:val="baseline"/>
      </w:pPr>
      <w:r>
        <w:t xml:space="preserve">tenga en cuenta la </w:t>
      </w:r>
      <w:r>
        <w:rPr>
          <w:b/>
        </w:rPr>
        <w:t>transición justa</w:t>
      </w:r>
      <w:r>
        <w:t>, y</w:t>
      </w:r>
    </w:p>
    <w:p w:rsidRPr="00B96875" w:rsidR="00B96875" w:rsidP="00D264FF" w:rsidRDefault="00B96875" w14:paraId="47BD8F13" w14:textId="77777777">
      <w:pPr>
        <w:widowControl w:val="0"/>
        <w:numPr>
          <w:ilvl w:val="0"/>
          <w:numId w:val="37"/>
        </w:numPr>
        <w:overflowPunct w:val="0"/>
        <w:autoSpaceDE w:val="0"/>
        <w:autoSpaceDN w:val="0"/>
        <w:adjustRightInd w:val="0"/>
        <w:spacing w:line="276" w:lineRule="auto"/>
        <w:textAlignment w:val="baseline"/>
        <w:rPr>
          <w:bCs/>
          <w:iCs/>
        </w:rPr>
      </w:pPr>
      <w:r>
        <w:t>respete los principios de transparencia, democracia y Estado de Derecho.</w:t>
      </w:r>
    </w:p>
    <w:p w:rsidRPr="00B96875" w:rsidR="00B96875" w:rsidP="00D264FF" w:rsidRDefault="00B96875" w14:paraId="4E26A032" w14:textId="77777777">
      <w:pPr>
        <w:widowControl w:val="0"/>
        <w:overflowPunct w:val="0"/>
        <w:autoSpaceDE w:val="0"/>
        <w:autoSpaceDN w:val="0"/>
        <w:adjustRightInd w:val="0"/>
        <w:spacing w:line="276" w:lineRule="auto"/>
        <w:ind w:left="709"/>
        <w:textAlignment w:val="baseline"/>
        <w:rPr>
          <w:rFonts w:asciiTheme="minorHAnsi" w:hAnsiTheme="minorHAnsi"/>
          <w:szCs w:val="20"/>
          <w:lang w:val="en-GB"/>
        </w:rPr>
      </w:pPr>
    </w:p>
    <w:p w:rsidRPr="00B96875" w:rsidR="00B96875" w:rsidP="00D264FF" w:rsidRDefault="00B96875" w14:paraId="3ADC8544" w14:textId="77777777">
      <w:pPr>
        <w:widowControl w:val="0"/>
        <w:overflowPunct w:val="0"/>
        <w:autoSpaceDE w:val="0"/>
        <w:autoSpaceDN w:val="0"/>
        <w:adjustRightInd w:val="0"/>
        <w:spacing w:line="276" w:lineRule="auto"/>
        <w:ind w:left="709"/>
        <w:textAlignment w:val="baseline"/>
        <w:rPr>
          <w:szCs w:val="20"/>
          <w:lang w:val="en-GB"/>
        </w:rPr>
      </w:pPr>
    </w:p>
    <w:tbl>
      <w:tblPr>
        <w:tblStyle w:val="TableGrid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137"/>
      </w:tblGrid>
      <w:tr w:rsidRPr="00B96875" w:rsidR="00B96875" w:rsidTr="0000304D" w14:paraId="76D2CF82" w14:textId="77777777">
        <w:tc>
          <w:tcPr>
            <w:tcW w:w="1951" w:type="dxa"/>
          </w:tcPr>
          <w:p w:rsidRPr="00B96875" w:rsidR="00B96875" w:rsidP="00D264FF" w:rsidRDefault="00B96875" w14:paraId="38F15925" w14:textId="77777777">
            <w:pPr>
              <w:overflowPunct w:val="0"/>
              <w:autoSpaceDE w:val="0"/>
              <w:autoSpaceDN w:val="0"/>
              <w:adjustRightInd w:val="0"/>
              <w:spacing w:line="276" w:lineRule="auto"/>
              <w:textAlignment w:val="baseline"/>
              <w:rPr>
                <w:i/>
              </w:rPr>
            </w:pPr>
            <w:r>
              <w:rPr>
                <w:b/>
                <w:i/>
              </w:rPr>
              <w:t>Contacto:</w:t>
            </w:r>
          </w:p>
        </w:tc>
        <w:tc>
          <w:tcPr>
            <w:tcW w:w="5137" w:type="dxa"/>
          </w:tcPr>
          <w:p w:rsidRPr="00B96875" w:rsidR="00B96875" w:rsidP="00D264FF" w:rsidRDefault="00B96875" w14:paraId="1DF5B94F" w14:textId="77777777">
            <w:pPr>
              <w:overflowPunct w:val="0"/>
              <w:autoSpaceDE w:val="0"/>
              <w:autoSpaceDN w:val="0"/>
              <w:adjustRightInd w:val="0"/>
              <w:spacing w:line="276" w:lineRule="auto"/>
              <w:textAlignment w:val="baseline"/>
              <w:rPr>
                <w:i/>
              </w:rPr>
            </w:pPr>
            <w:r>
              <w:rPr>
                <w:i/>
              </w:rPr>
              <w:t>Marco Ristori</w:t>
            </w:r>
          </w:p>
        </w:tc>
      </w:tr>
      <w:tr w:rsidRPr="00B96875" w:rsidR="00B96875" w:rsidTr="0000304D" w14:paraId="4AB96BAF" w14:textId="77777777">
        <w:tc>
          <w:tcPr>
            <w:tcW w:w="1951" w:type="dxa"/>
          </w:tcPr>
          <w:p w:rsidRPr="00B96875" w:rsidR="00B96875" w:rsidP="00D264FF" w:rsidRDefault="00B96875" w14:paraId="106F96D4" w14:textId="77777777">
            <w:pPr>
              <w:overflowPunct w:val="0"/>
              <w:autoSpaceDE w:val="0"/>
              <w:autoSpaceDN w:val="0"/>
              <w:adjustRightInd w:val="0"/>
              <w:spacing w:line="276" w:lineRule="auto"/>
              <w:textAlignment w:val="baseline"/>
              <w:rPr>
                <w:i/>
              </w:rPr>
            </w:pPr>
            <w:r>
              <w:rPr>
                <w:i/>
              </w:rPr>
              <w:t>Teléfono:</w:t>
            </w:r>
          </w:p>
        </w:tc>
        <w:tc>
          <w:tcPr>
            <w:tcW w:w="5137" w:type="dxa"/>
          </w:tcPr>
          <w:p w:rsidRPr="00B96875" w:rsidR="00B96875" w:rsidP="00D264FF" w:rsidRDefault="00B96875" w14:paraId="23FA0C5F" w14:textId="77777777">
            <w:pPr>
              <w:overflowPunct w:val="0"/>
              <w:autoSpaceDE w:val="0"/>
              <w:autoSpaceDN w:val="0"/>
              <w:adjustRightInd w:val="0"/>
              <w:spacing w:line="276" w:lineRule="auto"/>
              <w:textAlignment w:val="baseline"/>
              <w:rPr>
                <w:i/>
              </w:rPr>
            </w:pPr>
            <w:r>
              <w:rPr>
                <w:i/>
              </w:rPr>
              <w:t>+32 25469969</w:t>
            </w:r>
          </w:p>
        </w:tc>
      </w:tr>
      <w:tr w:rsidRPr="00B96875" w:rsidR="00B96875" w:rsidTr="0000304D" w14:paraId="7FC8E54F" w14:textId="77777777">
        <w:tc>
          <w:tcPr>
            <w:tcW w:w="1951" w:type="dxa"/>
          </w:tcPr>
          <w:p w:rsidRPr="00B96875" w:rsidR="00B96875" w:rsidP="00D264FF" w:rsidRDefault="00761851" w14:paraId="4664E3E1" w14:textId="29FE8102">
            <w:pPr>
              <w:overflowPunct w:val="0"/>
              <w:autoSpaceDE w:val="0"/>
              <w:autoSpaceDN w:val="0"/>
              <w:adjustRightInd w:val="0"/>
              <w:spacing w:line="276" w:lineRule="auto"/>
              <w:textAlignment w:val="baseline"/>
              <w:rPr>
                <w:i/>
              </w:rPr>
            </w:pPr>
            <w:r>
              <w:rPr>
                <w:i/>
              </w:rPr>
              <w:t>Correo electrónico:</w:t>
            </w:r>
          </w:p>
        </w:tc>
        <w:tc>
          <w:tcPr>
            <w:tcW w:w="5137" w:type="dxa"/>
          </w:tcPr>
          <w:p w:rsidRPr="00B96875" w:rsidR="00B96875" w:rsidP="00D264FF" w:rsidRDefault="00A207FB" w14:paraId="2786F745" w14:textId="77777777">
            <w:pPr>
              <w:overflowPunct w:val="0"/>
              <w:autoSpaceDE w:val="0"/>
              <w:autoSpaceDN w:val="0"/>
              <w:adjustRightInd w:val="0"/>
              <w:spacing w:line="276" w:lineRule="auto"/>
              <w:textAlignment w:val="baseline"/>
              <w:rPr>
                <w:i/>
                <w:iCs/>
              </w:rPr>
            </w:pPr>
            <w:hyperlink w:history="1" r:id="rId46">
              <w:r w:rsidR="00DD115B">
                <w:rPr>
                  <w:i/>
                  <w:color w:val="0000FF"/>
                  <w:u w:val="single"/>
                </w:rPr>
                <w:t>Marco.Ristori@</w:t>
              </w:r>
              <w:r w:rsidR="00DD115B">
                <w:rPr>
                  <w:i/>
                  <w:color w:val="0000FF"/>
                  <w:u w:val="single"/>
                </w:rPr>
                <w:t>e</w:t>
              </w:r>
              <w:r w:rsidR="00DD115B">
                <w:rPr>
                  <w:i/>
                  <w:color w:val="0000FF"/>
                  <w:u w:val="single"/>
                </w:rPr>
                <w:t>esc.europa.eu</w:t>
              </w:r>
            </w:hyperlink>
            <w:r w:rsidR="00DD115B">
              <w:rPr>
                <w:i/>
              </w:rPr>
              <w:t xml:space="preserve"> </w:t>
            </w:r>
          </w:p>
        </w:tc>
      </w:tr>
    </w:tbl>
    <w:p w:rsidR="00B96875" w:rsidP="00D264FF" w:rsidRDefault="00B96875" w14:paraId="64E1699F" w14:textId="197DC388">
      <w:pPr>
        <w:spacing w:line="276" w:lineRule="auto"/>
        <w:jc w:val="left"/>
      </w:pPr>
    </w:p>
    <w:p w:rsidRPr="00412085" w:rsidR="00412085" w:rsidP="00D264FF" w:rsidRDefault="00412085" w14:paraId="562FB9AE" w14:textId="74F4D257">
      <w:pPr>
        <w:widowControl w:val="0"/>
        <w:numPr>
          <w:ilvl w:val="0"/>
          <w:numId w:val="6"/>
        </w:numPr>
        <w:overflowPunct w:val="0"/>
        <w:autoSpaceDE w:val="0"/>
        <w:autoSpaceDN w:val="0"/>
        <w:adjustRightInd w:val="0"/>
        <w:spacing w:line="276" w:lineRule="auto"/>
        <w:ind w:hanging="567"/>
        <w:textAlignment w:val="baseline"/>
        <w:rPr>
          <w:color w:val="0000FF"/>
          <w:sz w:val="20"/>
          <w:szCs w:val="20"/>
          <w:u w:val="single"/>
        </w:rPr>
      </w:pPr>
      <w:r w:rsidRPr="00412085">
        <w:rPr>
          <w:b/>
          <w:i/>
          <w:sz w:val="28"/>
        </w:rPr>
        <w:fldChar w:fldCharType="begin"/>
      </w:r>
      <w:r w:rsidRPr="00412085">
        <w:rPr>
          <w:b/>
          <w:i/>
          <w:sz w:val="28"/>
        </w:rPr>
        <w:instrText xml:space="preserve"> HYPERLINK "https://www.eesc.europa.eu/es/our-work/opinions-information-reports/opinions/water-politics-empowering-youth-women-and-indigenous-and-local-communities" </w:instrText>
      </w:r>
      <w:r w:rsidRPr="00412085">
        <w:rPr>
          <w:b/>
          <w:i/>
          <w:sz w:val="28"/>
        </w:rPr>
        <w:fldChar w:fldCharType="separate"/>
      </w:r>
      <w:r>
        <w:rPr>
          <w:b/>
          <w:i/>
          <w:color w:val="0000FF"/>
          <w:sz w:val="28"/>
          <w:u w:val="single"/>
        </w:rPr>
        <w:t>Política del agua: cap</w:t>
      </w:r>
      <w:r>
        <w:rPr>
          <w:b/>
          <w:i/>
          <w:color w:val="0000FF"/>
          <w:sz w:val="28"/>
          <w:u w:val="single"/>
        </w:rPr>
        <w:t>a</w:t>
      </w:r>
      <w:r>
        <w:rPr>
          <w:b/>
          <w:i/>
          <w:color w:val="0000FF"/>
          <w:sz w:val="28"/>
          <w:u w:val="single"/>
        </w:rPr>
        <w:t>citar a los jóvenes, las mujeres y las comunidades indígenas y locales</w:t>
      </w:r>
    </w:p>
    <w:p w:rsidRPr="00412085" w:rsidR="00412085" w:rsidP="00D264FF" w:rsidRDefault="00412085" w14:paraId="7FF33753" w14:textId="77777777">
      <w:pPr>
        <w:tabs>
          <w:tab w:val="center" w:pos="284"/>
        </w:tabs>
        <w:overflowPunct w:val="0"/>
        <w:autoSpaceDE w:val="0"/>
        <w:autoSpaceDN w:val="0"/>
        <w:adjustRightInd w:val="0"/>
        <w:spacing w:line="276" w:lineRule="auto"/>
        <w:ind w:left="266" w:hanging="266"/>
        <w:textAlignment w:val="baseline"/>
        <w:rPr>
          <w:b/>
        </w:rPr>
      </w:pPr>
      <w:r w:rsidRPr="00412085">
        <w:rPr>
          <w:b/>
          <w:i/>
          <w:sz w:val="28"/>
        </w:rPr>
        <w:fldChar w:fldCharType="end"/>
      </w:r>
    </w:p>
    <w:tbl>
      <w:tblPr>
        <w:tblStyle w:val="TableGrid13"/>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7328"/>
      </w:tblGrid>
      <w:tr w:rsidRPr="00412085" w:rsidR="00412085" w:rsidTr="00863A8F" w14:paraId="5B43C61E" w14:textId="77777777">
        <w:tc>
          <w:tcPr>
            <w:tcW w:w="1111" w:type="pct"/>
          </w:tcPr>
          <w:p w:rsidRPr="00412085" w:rsidR="00412085" w:rsidP="00D264FF" w:rsidRDefault="00412085" w14:paraId="309E79AB"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p w:rsidRPr="00412085" w:rsidR="00412085" w:rsidP="00D264FF" w:rsidRDefault="00412085" w14:paraId="1DECC72F" w14:textId="08C2F4E1">
            <w:pPr>
              <w:tabs>
                <w:tab w:val="center" w:pos="284"/>
              </w:tabs>
              <w:overflowPunct w:val="0"/>
              <w:autoSpaceDE w:val="0"/>
              <w:autoSpaceDN w:val="0"/>
              <w:adjustRightInd w:val="0"/>
              <w:spacing w:line="276" w:lineRule="auto"/>
              <w:ind w:left="266" w:hanging="266"/>
              <w:textAlignment w:val="baseline"/>
              <w:rPr>
                <w:b/>
              </w:rPr>
            </w:pPr>
            <w:r>
              <w:rPr>
                <w:b/>
              </w:rPr>
              <w:t>Coponente</w:t>
            </w:r>
          </w:p>
        </w:tc>
        <w:tc>
          <w:tcPr>
            <w:tcW w:w="3889" w:type="pct"/>
          </w:tcPr>
          <w:p w:rsidRPr="00412085" w:rsidR="00412085" w:rsidP="00D264FF" w:rsidRDefault="00412085" w14:paraId="1FA216E4" w14:textId="6F365C32">
            <w:pPr>
              <w:tabs>
                <w:tab w:val="center" w:pos="284"/>
              </w:tabs>
              <w:overflowPunct w:val="0"/>
              <w:autoSpaceDE w:val="0"/>
              <w:autoSpaceDN w:val="0"/>
              <w:adjustRightInd w:val="0"/>
              <w:spacing w:line="276" w:lineRule="auto"/>
              <w:ind w:left="266" w:hanging="266"/>
              <w:textAlignment w:val="baseline"/>
            </w:pPr>
            <w:r>
              <w:t>Milena ANGELOVA (Grupo de Empresarios – BG)</w:t>
            </w:r>
          </w:p>
          <w:p w:rsidRPr="00412085" w:rsidR="00412085" w:rsidP="00D264FF" w:rsidRDefault="00412085" w14:paraId="2854E0E0" w14:textId="137BEF77">
            <w:pPr>
              <w:tabs>
                <w:tab w:val="center" w:pos="284"/>
              </w:tabs>
              <w:overflowPunct w:val="0"/>
              <w:autoSpaceDE w:val="0"/>
              <w:autoSpaceDN w:val="0"/>
              <w:adjustRightInd w:val="0"/>
              <w:spacing w:line="276" w:lineRule="auto"/>
              <w:ind w:left="266" w:hanging="266"/>
              <w:textAlignment w:val="baseline"/>
            </w:pPr>
            <w:r>
              <w:t>Ioannis VARDAKASTANIS (Grupo de Organizaciones de la Sociedad Civil – EL)</w:t>
            </w:r>
          </w:p>
        </w:tc>
      </w:tr>
      <w:tr w:rsidRPr="00412085" w:rsidR="00412085" w:rsidTr="00863A8F" w14:paraId="716B957D" w14:textId="77777777">
        <w:tc>
          <w:tcPr>
            <w:tcW w:w="5000" w:type="pct"/>
            <w:gridSpan w:val="2"/>
          </w:tcPr>
          <w:p w:rsidRPr="00412085" w:rsidR="00412085" w:rsidP="00D264FF" w:rsidRDefault="00412085" w14:paraId="52145772" w14:textId="77777777">
            <w:pPr>
              <w:tabs>
                <w:tab w:val="center" w:pos="284"/>
              </w:tabs>
              <w:overflowPunct w:val="0"/>
              <w:autoSpaceDE w:val="0"/>
              <w:autoSpaceDN w:val="0"/>
              <w:adjustRightInd w:val="0"/>
              <w:spacing w:line="276" w:lineRule="auto"/>
              <w:ind w:left="266" w:hanging="266"/>
              <w:textAlignment w:val="baseline"/>
            </w:pPr>
          </w:p>
        </w:tc>
      </w:tr>
      <w:tr w:rsidRPr="00412085" w:rsidR="00412085" w:rsidTr="00863A8F" w14:paraId="7F93B548" w14:textId="77777777">
        <w:tc>
          <w:tcPr>
            <w:tcW w:w="1111" w:type="pct"/>
            <w:vMerge w:val="restart"/>
          </w:tcPr>
          <w:p w:rsidRPr="00412085" w:rsidR="00412085" w:rsidP="00D264FF" w:rsidRDefault="00412085" w14:paraId="4752DDE3" w14:textId="77777777">
            <w:pPr>
              <w:tabs>
                <w:tab w:val="center" w:pos="284"/>
              </w:tabs>
              <w:overflowPunct w:val="0"/>
              <w:autoSpaceDE w:val="0"/>
              <w:autoSpaceDN w:val="0"/>
              <w:adjustRightInd w:val="0"/>
              <w:spacing w:line="276" w:lineRule="auto"/>
              <w:ind w:left="266" w:hanging="266"/>
              <w:textAlignment w:val="baseline"/>
              <w:rPr>
                <w:b/>
              </w:rPr>
            </w:pPr>
            <w:r>
              <w:rPr>
                <w:b/>
                <w:bCs/>
              </w:rPr>
              <w:t>Referencia</w:t>
            </w:r>
          </w:p>
        </w:tc>
        <w:tc>
          <w:tcPr>
            <w:tcW w:w="3889" w:type="pct"/>
          </w:tcPr>
          <w:p w:rsidR="00114003" w:rsidP="00D264FF" w:rsidRDefault="00114003" w14:paraId="49B51E12" w14:textId="4A2C07A8">
            <w:pPr>
              <w:tabs>
                <w:tab w:val="center" w:pos="284"/>
              </w:tabs>
              <w:overflowPunct w:val="0"/>
              <w:autoSpaceDE w:val="0"/>
              <w:autoSpaceDN w:val="0"/>
              <w:adjustRightInd w:val="0"/>
              <w:spacing w:line="276" w:lineRule="auto"/>
              <w:ind w:left="266" w:hanging="266"/>
              <w:textAlignment w:val="baseline"/>
            </w:pPr>
            <w:r>
              <w:t>Dictamen de iniciativa</w:t>
            </w:r>
          </w:p>
          <w:p w:rsidRPr="00412085" w:rsidR="00412085" w:rsidP="00D264FF" w:rsidRDefault="00412085" w14:paraId="51172282" w14:textId="622893A5">
            <w:pPr>
              <w:tabs>
                <w:tab w:val="center" w:pos="284"/>
              </w:tabs>
              <w:overflowPunct w:val="0"/>
              <w:autoSpaceDE w:val="0"/>
              <w:autoSpaceDN w:val="0"/>
              <w:adjustRightInd w:val="0"/>
              <w:spacing w:line="276" w:lineRule="auto"/>
              <w:ind w:left="266" w:hanging="266"/>
              <w:textAlignment w:val="baseline"/>
            </w:pPr>
            <w:r>
              <w:t>EESC-2024-00874-00-00-AC</w:t>
            </w:r>
          </w:p>
        </w:tc>
      </w:tr>
      <w:tr w:rsidRPr="00412085" w:rsidR="00412085" w:rsidTr="00863A8F" w14:paraId="5D98CFA2" w14:textId="77777777">
        <w:tc>
          <w:tcPr>
            <w:tcW w:w="1111" w:type="pct"/>
            <w:vMerge/>
          </w:tcPr>
          <w:p w:rsidRPr="00412085" w:rsidR="00412085" w:rsidP="00D264FF" w:rsidRDefault="00412085" w14:paraId="609E861D" w14:textId="77777777">
            <w:pPr>
              <w:tabs>
                <w:tab w:val="center" w:pos="284"/>
              </w:tabs>
              <w:overflowPunct w:val="0"/>
              <w:autoSpaceDE w:val="0"/>
              <w:autoSpaceDN w:val="0"/>
              <w:adjustRightInd w:val="0"/>
              <w:spacing w:line="276" w:lineRule="auto"/>
              <w:ind w:left="266" w:hanging="266"/>
              <w:textAlignment w:val="baseline"/>
              <w:rPr>
                <w:b/>
              </w:rPr>
            </w:pPr>
          </w:p>
        </w:tc>
        <w:tc>
          <w:tcPr>
            <w:tcW w:w="3889" w:type="pct"/>
          </w:tcPr>
          <w:p w:rsidRPr="00412085" w:rsidR="00412085" w:rsidP="00D264FF" w:rsidRDefault="00412085" w14:paraId="3C8BE339" w14:textId="77777777">
            <w:pPr>
              <w:tabs>
                <w:tab w:val="center" w:pos="284"/>
              </w:tabs>
              <w:overflowPunct w:val="0"/>
              <w:autoSpaceDE w:val="0"/>
              <w:autoSpaceDN w:val="0"/>
              <w:adjustRightInd w:val="0"/>
              <w:spacing w:line="276" w:lineRule="auto"/>
              <w:ind w:left="266" w:hanging="266"/>
              <w:textAlignment w:val="baseline"/>
            </w:pPr>
          </w:p>
        </w:tc>
      </w:tr>
    </w:tbl>
    <w:p w:rsidRPr="00412085" w:rsidR="00412085" w:rsidP="00D264FF" w:rsidRDefault="00412085" w14:paraId="38A7852E"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412085" w:rsidR="00412085" w:rsidP="00D264FF" w:rsidRDefault="00412085" w14:paraId="0DAD1519"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412085" w:rsidR="00412085" w:rsidP="00D264FF" w:rsidRDefault="00412085" w14:paraId="440F1C53" w14:textId="77777777">
      <w:pPr>
        <w:overflowPunct w:val="0"/>
        <w:autoSpaceDE w:val="0"/>
        <w:autoSpaceDN w:val="0"/>
        <w:adjustRightInd w:val="0"/>
        <w:spacing w:line="276" w:lineRule="auto"/>
        <w:textAlignment w:val="baseline"/>
        <w:rPr>
          <w:bCs/>
          <w:iCs/>
        </w:rPr>
      </w:pPr>
      <w:r>
        <w:t>El CESE:</w:t>
      </w:r>
    </w:p>
    <w:p w:rsidRPr="00412085" w:rsidR="00412085" w:rsidP="00D264FF" w:rsidRDefault="00412085" w14:paraId="12BE777E" w14:textId="77777777">
      <w:pPr>
        <w:overflowPunct w:val="0"/>
        <w:autoSpaceDE w:val="0"/>
        <w:autoSpaceDN w:val="0"/>
        <w:adjustRightInd w:val="0"/>
        <w:spacing w:line="276" w:lineRule="auto"/>
        <w:textAlignment w:val="baseline"/>
        <w:rPr>
          <w:bCs/>
          <w:iCs/>
          <w:lang w:val="en-GB"/>
        </w:rPr>
      </w:pPr>
    </w:p>
    <w:p w:rsidRPr="00412085" w:rsidR="00412085" w:rsidP="0000304D" w:rsidRDefault="00412085" w14:paraId="2FFAE05C" w14:textId="77777777">
      <w:pPr>
        <w:widowControl w:val="0"/>
        <w:numPr>
          <w:ilvl w:val="0"/>
          <w:numId w:val="38"/>
        </w:numPr>
        <w:overflowPunct w:val="0"/>
        <w:autoSpaceDE w:val="0"/>
        <w:autoSpaceDN w:val="0"/>
        <w:adjustRightInd w:val="0"/>
        <w:spacing w:line="276" w:lineRule="auto"/>
        <w:ind w:left="426" w:hanging="426"/>
        <w:textAlignment w:val="baseline"/>
        <w:rPr>
          <w:bCs/>
          <w:iCs/>
        </w:rPr>
      </w:pPr>
      <w:r>
        <w:t xml:space="preserve">recuerda que </w:t>
      </w:r>
      <w:r>
        <w:rPr>
          <w:b/>
        </w:rPr>
        <w:t>el agua es esencial para la vida y la dignidad del ser humano</w:t>
      </w:r>
      <w:r>
        <w:t xml:space="preserve"> y que, como reconoce la Unión, </w:t>
      </w:r>
      <w:r>
        <w:rPr>
          <w:b/>
        </w:rPr>
        <w:t>el acceso al agua y al saneamiento es un derecho humano fundamental</w:t>
      </w:r>
      <w:r>
        <w:t xml:space="preserve">; </w:t>
      </w:r>
    </w:p>
    <w:p w:rsidRPr="00412085" w:rsidR="00412085" w:rsidP="0000304D" w:rsidRDefault="00412085" w14:paraId="467DFD1E" w14:textId="77777777">
      <w:pPr>
        <w:widowControl w:val="0"/>
        <w:numPr>
          <w:ilvl w:val="0"/>
          <w:numId w:val="38"/>
        </w:numPr>
        <w:overflowPunct w:val="0"/>
        <w:autoSpaceDE w:val="0"/>
        <w:autoSpaceDN w:val="0"/>
        <w:adjustRightInd w:val="0"/>
        <w:spacing w:line="276" w:lineRule="auto"/>
        <w:ind w:left="426" w:hanging="426"/>
        <w:textAlignment w:val="baseline"/>
        <w:rPr>
          <w:bCs/>
          <w:iCs/>
        </w:rPr>
      </w:pPr>
      <w:r>
        <w:t xml:space="preserve">subraya que </w:t>
      </w:r>
      <w:r>
        <w:rPr>
          <w:b/>
        </w:rPr>
        <w:t>los jóvenes, las mujeres y las comunidades indígenas y locales, así como los migrantes y las personas con discapacidad</w:t>
      </w:r>
      <w:r>
        <w:t xml:space="preserve">, son los grupos de población que </w:t>
      </w:r>
      <w:r>
        <w:rPr>
          <w:b/>
        </w:rPr>
        <w:t>se encuentran más expuestos al estrés hídrico</w:t>
      </w:r>
      <w:r>
        <w:t>, y encierran un gran potencial inédito para contribuir a una gestión sostenible del agua, ponerla al servicio de la paz y la estabilidad y apostar así por la diplomacia azul;</w:t>
      </w:r>
    </w:p>
    <w:p w:rsidRPr="00412085" w:rsidR="00412085" w:rsidP="0000304D" w:rsidRDefault="00412085" w14:paraId="6A643D9D" w14:textId="77777777">
      <w:pPr>
        <w:widowControl w:val="0"/>
        <w:numPr>
          <w:ilvl w:val="0"/>
          <w:numId w:val="38"/>
        </w:numPr>
        <w:overflowPunct w:val="0"/>
        <w:autoSpaceDE w:val="0"/>
        <w:autoSpaceDN w:val="0"/>
        <w:adjustRightInd w:val="0"/>
        <w:spacing w:line="276" w:lineRule="auto"/>
        <w:ind w:left="426" w:hanging="426"/>
        <w:textAlignment w:val="baseline"/>
        <w:rPr>
          <w:bCs/>
          <w:iCs/>
        </w:rPr>
      </w:pPr>
      <w:r>
        <w:lastRenderedPageBreak/>
        <w:t xml:space="preserve">pide a la UE que, </w:t>
      </w:r>
      <w:r>
        <w:rPr>
          <w:b/>
        </w:rPr>
        <w:t>en los ámbitos de sus relaciones exteriores y de la cooperación internacional, preste la debida atención a estos grupos</w:t>
      </w:r>
      <w:r>
        <w:t xml:space="preserve">, y propone </w:t>
      </w:r>
      <w:r>
        <w:rPr>
          <w:b/>
        </w:rPr>
        <w:t>crear un programa faro de asociación con el que estudiar vías para capacitarlos</w:t>
      </w:r>
      <w:r>
        <w:t xml:space="preserve"> de manera integrada;</w:t>
      </w:r>
    </w:p>
    <w:p w:rsidRPr="00412085" w:rsidR="00412085" w:rsidP="0000304D" w:rsidRDefault="00412085" w14:paraId="229CA872" w14:textId="77777777">
      <w:pPr>
        <w:widowControl w:val="0"/>
        <w:numPr>
          <w:ilvl w:val="0"/>
          <w:numId w:val="38"/>
        </w:numPr>
        <w:overflowPunct w:val="0"/>
        <w:autoSpaceDE w:val="0"/>
        <w:autoSpaceDN w:val="0"/>
        <w:adjustRightInd w:val="0"/>
        <w:spacing w:line="276" w:lineRule="auto"/>
        <w:ind w:left="426" w:hanging="426"/>
        <w:textAlignment w:val="baseline"/>
        <w:rPr>
          <w:bCs/>
          <w:iCs/>
        </w:rPr>
      </w:pPr>
      <w:r>
        <w:t xml:space="preserve">observa que </w:t>
      </w:r>
      <w:r>
        <w:rPr>
          <w:b/>
        </w:rPr>
        <w:t>el acceso al agua limpia, la educación, el empleo y la participación en la formulación de políticas son elementos clave de cara a la capacitación</w:t>
      </w:r>
      <w:r>
        <w:t>. Mejorar el acceso a los servicios de agua, saneamiento e higiene es esencial, ya que deja tiempo libre para la educación y la formación profesional y brinda oportunidades más diversas de empleo y la capacidad de coadyuvar a la gestión del agua y a la elaboración de políticas hídricas;</w:t>
      </w:r>
    </w:p>
    <w:p w:rsidRPr="00412085" w:rsidR="00412085" w:rsidP="0000304D" w:rsidRDefault="00412085" w14:paraId="6EF6F348" w14:textId="77777777">
      <w:pPr>
        <w:widowControl w:val="0"/>
        <w:numPr>
          <w:ilvl w:val="0"/>
          <w:numId w:val="38"/>
        </w:numPr>
        <w:overflowPunct w:val="0"/>
        <w:autoSpaceDE w:val="0"/>
        <w:autoSpaceDN w:val="0"/>
        <w:adjustRightInd w:val="0"/>
        <w:spacing w:line="276" w:lineRule="auto"/>
        <w:ind w:left="426" w:hanging="426"/>
        <w:textAlignment w:val="baseline"/>
        <w:rPr>
          <w:bCs/>
          <w:iCs/>
        </w:rPr>
      </w:pPr>
      <w:r>
        <w:t xml:space="preserve">considera que </w:t>
      </w:r>
      <w:r>
        <w:rPr>
          <w:b/>
        </w:rPr>
        <w:t>hay que dotar a los jóvenes de conocimientos generales de ciudadanía cívica y emprendimiento</w:t>
      </w:r>
      <w:r>
        <w:t xml:space="preserve">, de modo que puedan contribuir a </w:t>
      </w:r>
      <w:r>
        <w:rPr>
          <w:b/>
        </w:rPr>
        <w:t>la gestión del agua, al empleo y a la formulación de políticas</w:t>
      </w:r>
      <w:r>
        <w:t xml:space="preserve"> como motores actuales del cambio y futuros responsables de la toma de decisiones;</w:t>
      </w:r>
    </w:p>
    <w:p w:rsidRPr="00412085" w:rsidR="00412085" w:rsidP="0000304D" w:rsidRDefault="00412085" w14:paraId="12DFF124" w14:textId="77777777">
      <w:pPr>
        <w:widowControl w:val="0"/>
        <w:numPr>
          <w:ilvl w:val="0"/>
          <w:numId w:val="38"/>
        </w:numPr>
        <w:overflowPunct w:val="0"/>
        <w:autoSpaceDE w:val="0"/>
        <w:autoSpaceDN w:val="0"/>
        <w:adjustRightInd w:val="0"/>
        <w:spacing w:line="276" w:lineRule="auto"/>
        <w:ind w:left="426" w:hanging="426"/>
        <w:textAlignment w:val="baseline"/>
        <w:rPr>
          <w:bCs/>
          <w:iCs/>
        </w:rPr>
      </w:pPr>
      <w:r>
        <w:t xml:space="preserve">considera que </w:t>
      </w:r>
      <w:r>
        <w:rPr>
          <w:b/>
        </w:rPr>
        <w:t>una igualdad de género plena en los ámbitos de la educación, el empleo, el sector público y el emprendimiento es otro factor vital</w:t>
      </w:r>
      <w:r>
        <w:t>. Es necesario prestar la debida atención a unas condiciones laborales dignas, así como a la prevención de la discriminación y el acoso;</w:t>
      </w:r>
    </w:p>
    <w:p w:rsidRPr="00412085" w:rsidR="00412085" w:rsidP="0000304D" w:rsidRDefault="00412085" w14:paraId="3432BFC8" w14:textId="77777777">
      <w:pPr>
        <w:widowControl w:val="0"/>
        <w:numPr>
          <w:ilvl w:val="0"/>
          <w:numId w:val="38"/>
        </w:numPr>
        <w:overflowPunct w:val="0"/>
        <w:autoSpaceDE w:val="0"/>
        <w:autoSpaceDN w:val="0"/>
        <w:adjustRightInd w:val="0"/>
        <w:spacing w:line="276" w:lineRule="auto"/>
        <w:ind w:left="426" w:hanging="426"/>
        <w:textAlignment w:val="baseline"/>
        <w:rPr>
          <w:bCs/>
          <w:iCs/>
        </w:rPr>
      </w:pPr>
      <w:r>
        <w:t xml:space="preserve">subraya que </w:t>
      </w:r>
      <w:r>
        <w:rPr>
          <w:b/>
        </w:rPr>
        <w:t>las comunidades locales deben tener acceso a las infraestructuras, la información, la educación y la formación</w:t>
      </w:r>
      <w:r>
        <w:t>, al tiempo que es necesario dar cabida a las organizaciones locales de la sociedad civil en los procesos locales de elaboración de políticas, en los que hay que procurar la participación y capacitación de las comunidades indígenas;</w:t>
      </w:r>
    </w:p>
    <w:p w:rsidRPr="00412085" w:rsidR="00412085" w:rsidP="0000304D" w:rsidRDefault="00412085" w14:paraId="19F41CFF" w14:textId="149E611B">
      <w:pPr>
        <w:widowControl w:val="0"/>
        <w:numPr>
          <w:ilvl w:val="0"/>
          <w:numId w:val="38"/>
        </w:numPr>
        <w:overflowPunct w:val="0"/>
        <w:autoSpaceDE w:val="0"/>
        <w:autoSpaceDN w:val="0"/>
        <w:adjustRightInd w:val="0"/>
        <w:spacing w:line="276" w:lineRule="auto"/>
        <w:ind w:left="426" w:hanging="426"/>
        <w:jc w:val="left"/>
        <w:textAlignment w:val="baseline"/>
        <w:rPr>
          <w:bCs/>
          <w:iCs/>
        </w:rPr>
      </w:pPr>
      <w:r>
        <w:t xml:space="preserve">reafirma que </w:t>
      </w:r>
      <w:r>
        <w:rPr>
          <w:b/>
        </w:rPr>
        <w:t>las tecnologías azules y digitales son fundamentales para mejorar la gestión del agua</w:t>
      </w:r>
      <w:r>
        <w:t xml:space="preserve"> y </w:t>
      </w:r>
      <w:r>
        <w:rPr>
          <w:b/>
        </w:rPr>
        <w:t>el acceso al agua limpia y al saneamiento</w:t>
      </w:r>
      <w:r>
        <w:t>;</w:t>
      </w:r>
    </w:p>
    <w:p w:rsidRPr="00412085" w:rsidR="00412085" w:rsidP="0000304D" w:rsidRDefault="00412085" w14:paraId="0AE10E58" w14:textId="77777777">
      <w:pPr>
        <w:widowControl w:val="0"/>
        <w:numPr>
          <w:ilvl w:val="0"/>
          <w:numId w:val="38"/>
        </w:numPr>
        <w:overflowPunct w:val="0"/>
        <w:autoSpaceDE w:val="0"/>
        <w:autoSpaceDN w:val="0"/>
        <w:adjustRightInd w:val="0"/>
        <w:spacing w:line="276" w:lineRule="auto"/>
        <w:ind w:left="426" w:hanging="426"/>
        <w:textAlignment w:val="baseline"/>
        <w:rPr>
          <w:bCs/>
          <w:szCs w:val="20"/>
        </w:rPr>
      </w:pPr>
      <w:r>
        <w:t xml:space="preserve">hace hincapié en que </w:t>
      </w:r>
      <w:r>
        <w:rPr>
          <w:b/>
        </w:rPr>
        <w:t>una asociación y financiación efectivas son fundamentales para la creación de infraestructuras, la educación y el desarrollo general de capacidades</w:t>
      </w:r>
      <w:r>
        <w:t>. Tanto los fondos europeos como los programas nacionales de donantes desempeñan un papel clave a este respecto, y resulta fundamental coordinarlos para crear sinergias y aprovechar al máximo los recursos asignados.</w:t>
      </w:r>
    </w:p>
    <w:p w:rsidRPr="00412085" w:rsidR="00412085" w:rsidP="00D264FF" w:rsidRDefault="00412085" w14:paraId="76F00CC6" w14:textId="77777777">
      <w:pPr>
        <w:widowControl w:val="0"/>
        <w:overflowPunct w:val="0"/>
        <w:autoSpaceDE w:val="0"/>
        <w:autoSpaceDN w:val="0"/>
        <w:adjustRightInd w:val="0"/>
        <w:spacing w:line="276" w:lineRule="auto"/>
        <w:ind w:left="709"/>
        <w:textAlignment w:val="baseline"/>
        <w:rPr>
          <w:szCs w:val="20"/>
          <w:lang w:val="en-GB"/>
        </w:rPr>
      </w:pPr>
    </w:p>
    <w:tbl>
      <w:tblPr>
        <w:tblStyle w:val="TableGrid1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412085" w:rsidR="00412085" w:rsidTr="00863A8F" w14:paraId="679CFF37" w14:textId="77777777">
        <w:tc>
          <w:tcPr>
            <w:tcW w:w="1556" w:type="pct"/>
          </w:tcPr>
          <w:p w:rsidRPr="00412085" w:rsidR="00412085" w:rsidP="00D264FF" w:rsidRDefault="00412085" w14:paraId="7226FAB8" w14:textId="77777777">
            <w:pPr>
              <w:overflowPunct w:val="0"/>
              <w:autoSpaceDE w:val="0"/>
              <w:autoSpaceDN w:val="0"/>
              <w:adjustRightInd w:val="0"/>
              <w:spacing w:line="276" w:lineRule="auto"/>
              <w:textAlignment w:val="baseline"/>
              <w:rPr>
                <w:i/>
              </w:rPr>
            </w:pPr>
            <w:r>
              <w:rPr>
                <w:b/>
                <w:i/>
              </w:rPr>
              <w:t>Contacto:</w:t>
            </w:r>
          </w:p>
        </w:tc>
        <w:tc>
          <w:tcPr>
            <w:tcW w:w="3444" w:type="pct"/>
          </w:tcPr>
          <w:p w:rsidRPr="00412085" w:rsidR="00412085" w:rsidP="00D264FF" w:rsidRDefault="00412085" w14:paraId="5C6D492C" w14:textId="77777777">
            <w:pPr>
              <w:overflowPunct w:val="0"/>
              <w:autoSpaceDE w:val="0"/>
              <w:autoSpaceDN w:val="0"/>
              <w:adjustRightInd w:val="0"/>
              <w:spacing w:line="276" w:lineRule="auto"/>
              <w:textAlignment w:val="baseline"/>
              <w:rPr>
                <w:i/>
              </w:rPr>
            </w:pPr>
            <w:r>
              <w:rPr>
                <w:i/>
              </w:rPr>
              <w:t>Tzonka Iotzova</w:t>
            </w:r>
          </w:p>
        </w:tc>
      </w:tr>
      <w:tr w:rsidRPr="00412085" w:rsidR="00412085" w:rsidTr="00863A8F" w14:paraId="425EFC6E" w14:textId="77777777">
        <w:tc>
          <w:tcPr>
            <w:tcW w:w="1556" w:type="pct"/>
          </w:tcPr>
          <w:p w:rsidRPr="00412085" w:rsidR="00412085" w:rsidP="00D264FF" w:rsidRDefault="00412085" w14:paraId="0CF7BFD8" w14:textId="77777777">
            <w:pPr>
              <w:overflowPunct w:val="0"/>
              <w:autoSpaceDE w:val="0"/>
              <w:autoSpaceDN w:val="0"/>
              <w:adjustRightInd w:val="0"/>
              <w:spacing w:line="276" w:lineRule="auto"/>
              <w:textAlignment w:val="baseline"/>
              <w:rPr>
                <w:i/>
              </w:rPr>
            </w:pPr>
            <w:r>
              <w:rPr>
                <w:i/>
              </w:rPr>
              <w:t>Teléfono:</w:t>
            </w:r>
          </w:p>
        </w:tc>
        <w:tc>
          <w:tcPr>
            <w:tcW w:w="3444" w:type="pct"/>
          </w:tcPr>
          <w:p w:rsidRPr="00412085" w:rsidR="00412085" w:rsidP="00D264FF" w:rsidRDefault="00412085" w14:paraId="1787734D" w14:textId="1AFFF71E">
            <w:pPr>
              <w:overflowPunct w:val="0"/>
              <w:autoSpaceDE w:val="0"/>
              <w:autoSpaceDN w:val="0"/>
              <w:adjustRightInd w:val="0"/>
              <w:spacing w:line="276" w:lineRule="auto"/>
              <w:textAlignment w:val="baseline"/>
              <w:rPr>
                <w:i/>
              </w:rPr>
            </w:pPr>
            <w:r>
              <w:rPr>
                <w:i/>
              </w:rPr>
              <w:t>+32 25468978</w:t>
            </w:r>
          </w:p>
        </w:tc>
      </w:tr>
      <w:tr w:rsidRPr="00412085" w:rsidR="00412085" w:rsidTr="00863A8F" w14:paraId="0B65A427" w14:textId="77777777">
        <w:tc>
          <w:tcPr>
            <w:tcW w:w="1556" w:type="pct"/>
          </w:tcPr>
          <w:p w:rsidRPr="00412085" w:rsidR="00412085" w:rsidP="00D264FF" w:rsidRDefault="00412085" w14:paraId="5106EF49" w14:textId="77777777">
            <w:pPr>
              <w:overflowPunct w:val="0"/>
              <w:autoSpaceDE w:val="0"/>
              <w:autoSpaceDN w:val="0"/>
              <w:adjustRightInd w:val="0"/>
              <w:spacing w:line="276" w:lineRule="auto"/>
              <w:textAlignment w:val="baseline"/>
              <w:rPr>
                <w:i/>
              </w:rPr>
            </w:pPr>
            <w:r>
              <w:rPr>
                <w:i/>
              </w:rPr>
              <w:t>Correo electrónico:</w:t>
            </w:r>
          </w:p>
        </w:tc>
        <w:tc>
          <w:tcPr>
            <w:tcW w:w="3444" w:type="pct"/>
          </w:tcPr>
          <w:p w:rsidRPr="00412085" w:rsidR="00412085" w:rsidP="00D264FF" w:rsidRDefault="00A207FB" w14:paraId="1216AFDE" w14:textId="77777777">
            <w:pPr>
              <w:overflowPunct w:val="0"/>
              <w:autoSpaceDE w:val="0"/>
              <w:autoSpaceDN w:val="0"/>
              <w:adjustRightInd w:val="0"/>
              <w:spacing w:line="276" w:lineRule="auto"/>
              <w:textAlignment w:val="baseline"/>
              <w:rPr>
                <w:i/>
              </w:rPr>
            </w:pPr>
            <w:hyperlink w:history="1" r:id="rId47">
              <w:r w:rsidR="00DD115B">
                <w:rPr>
                  <w:i/>
                  <w:color w:val="0000FF"/>
                  <w:u w:val="single"/>
                </w:rPr>
                <w:t>Tzonka.I</w:t>
              </w:r>
              <w:r w:rsidR="00DD115B">
                <w:rPr>
                  <w:i/>
                  <w:color w:val="0000FF"/>
                  <w:u w:val="single"/>
                </w:rPr>
                <w:t>o</w:t>
              </w:r>
              <w:r w:rsidR="00DD115B">
                <w:rPr>
                  <w:i/>
                  <w:color w:val="0000FF"/>
                  <w:u w:val="single"/>
                </w:rPr>
                <w:t>tzova@eesc.europa.eu</w:t>
              </w:r>
            </w:hyperlink>
          </w:p>
        </w:tc>
      </w:tr>
    </w:tbl>
    <w:p w:rsidR="00902A1F" w:rsidP="00D264FF" w:rsidRDefault="00902A1F" w14:paraId="672A3999" w14:textId="6D03C47C">
      <w:pPr>
        <w:spacing w:line="276" w:lineRule="auto"/>
        <w:jc w:val="left"/>
      </w:pPr>
    </w:p>
    <w:p w:rsidRPr="00395260" w:rsidR="00395260" w:rsidP="00D264FF" w:rsidRDefault="00395260" w14:paraId="2EEEDA1F" w14:textId="748FFCBB">
      <w:pPr>
        <w:pStyle w:val="ListParagraph"/>
        <w:numPr>
          <w:ilvl w:val="0"/>
          <w:numId w:val="42"/>
        </w:numPr>
        <w:spacing w:line="276" w:lineRule="auto"/>
        <w:ind w:left="426" w:hanging="426"/>
        <w:rPr>
          <w:color w:val="0000FF"/>
          <w:sz w:val="20"/>
          <w:szCs w:val="20"/>
          <w:u w:val="single"/>
        </w:rPr>
      </w:pPr>
      <w:r w:rsidRPr="00395260">
        <w:rPr>
          <w:b/>
          <w:i/>
          <w:sz w:val="28"/>
        </w:rPr>
        <w:fldChar w:fldCharType="begin"/>
      </w:r>
      <w:r w:rsidRPr="00395260">
        <w:rPr>
          <w:b/>
          <w:i/>
          <w:sz w:val="28"/>
        </w:rPr>
        <w:instrText>HYPERLINK "https://www.eesc.europa.eu/es/our-work/opinions-information-reports/opinions/democracy-africa-current-situation-and-future-perspectives-what-role-eesc"</w:instrText>
      </w:r>
      <w:r w:rsidRPr="00395260">
        <w:rPr>
          <w:b/>
          <w:i/>
          <w:sz w:val="28"/>
        </w:rPr>
        <w:fldChar w:fldCharType="separate"/>
      </w:r>
      <w:r>
        <w:rPr>
          <w:b/>
          <w:i/>
          <w:color w:val="0000FF"/>
          <w:sz w:val="28"/>
          <w:u w:val="single"/>
        </w:rPr>
        <w:t>Democracia en África: situación actual y perspectivas futuras. ¿Qué papel puede desempeñar el CESE?</w:t>
      </w:r>
    </w:p>
    <w:p w:rsidRPr="00395260" w:rsidR="00395260" w:rsidP="00D264FF" w:rsidRDefault="00395260" w14:paraId="1C329E5F" w14:textId="77777777">
      <w:pPr>
        <w:tabs>
          <w:tab w:val="center" w:pos="284"/>
        </w:tabs>
        <w:overflowPunct w:val="0"/>
        <w:autoSpaceDE w:val="0"/>
        <w:autoSpaceDN w:val="0"/>
        <w:adjustRightInd w:val="0"/>
        <w:spacing w:line="276" w:lineRule="auto"/>
        <w:ind w:left="426" w:hanging="426"/>
        <w:textAlignment w:val="baseline"/>
        <w:rPr>
          <w:b/>
        </w:rPr>
      </w:pPr>
      <w:r w:rsidRPr="00395260">
        <w:rPr>
          <w:b/>
          <w:i/>
          <w:sz w:val="28"/>
        </w:rPr>
        <w:fldChar w:fldCharType="end"/>
      </w: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395260" w:rsidR="00395260" w:rsidTr="00863A8F" w14:paraId="322608AD" w14:textId="77777777">
        <w:tc>
          <w:tcPr>
            <w:tcW w:w="1591" w:type="pct"/>
          </w:tcPr>
          <w:p w:rsidRPr="00395260" w:rsidR="00395260" w:rsidP="00D264FF" w:rsidRDefault="00395260" w14:paraId="5A04639F" w14:textId="4495AA01">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3409" w:type="pct"/>
          </w:tcPr>
          <w:p w:rsidRPr="00395260" w:rsidR="00395260" w:rsidP="00D264FF" w:rsidRDefault="00395260" w14:paraId="756EAE6A" w14:textId="52DF9309">
            <w:pPr>
              <w:tabs>
                <w:tab w:val="center" w:pos="284"/>
              </w:tabs>
              <w:overflowPunct w:val="0"/>
              <w:autoSpaceDE w:val="0"/>
              <w:autoSpaceDN w:val="0"/>
              <w:adjustRightInd w:val="0"/>
              <w:spacing w:line="276" w:lineRule="auto"/>
              <w:ind w:left="266" w:hanging="266"/>
              <w:textAlignment w:val="baseline"/>
            </w:pPr>
            <w:r>
              <w:t>Carlos TRINDADE (Grupo de Trabajadores – PT)</w:t>
            </w:r>
          </w:p>
        </w:tc>
      </w:tr>
      <w:tr w:rsidRPr="00395260" w:rsidR="00395260" w:rsidTr="00863A8F" w14:paraId="24ECAD0B" w14:textId="77777777">
        <w:tc>
          <w:tcPr>
            <w:tcW w:w="5000" w:type="pct"/>
            <w:gridSpan w:val="2"/>
          </w:tcPr>
          <w:p w:rsidRPr="00395260" w:rsidR="00395260" w:rsidP="00D264FF" w:rsidRDefault="00395260" w14:paraId="7827AB89" w14:textId="77777777">
            <w:pPr>
              <w:tabs>
                <w:tab w:val="center" w:pos="284"/>
              </w:tabs>
              <w:overflowPunct w:val="0"/>
              <w:autoSpaceDE w:val="0"/>
              <w:autoSpaceDN w:val="0"/>
              <w:adjustRightInd w:val="0"/>
              <w:spacing w:line="276" w:lineRule="auto"/>
              <w:ind w:left="266" w:hanging="266"/>
              <w:textAlignment w:val="baseline"/>
            </w:pPr>
          </w:p>
        </w:tc>
      </w:tr>
      <w:tr w:rsidRPr="00395260" w:rsidR="00395260" w:rsidTr="00863A8F" w14:paraId="479F66E3" w14:textId="77777777">
        <w:tc>
          <w:tcPr>
            <w:tcW w:w="1591" w:type="pct"/>
            <w:vMerge w:val="restart"/>
          </w:tcPr>
          <w:p w:rsidRPr="00395260" w:rsidR="00395260" w:rsidP="00D264FF" w:rsidRDefault="00395260" w14:paraId="26B745A8" w14:textId="77777777">
            <w:pPr>
              <w:tabs>
                <w:tab w:val="center" w:pos="284"/>
              </w:tabs>
              <w:overflowPunct w:val="0"/>
              <w:autoSpaceDE w:val="0"/>
              <w:autoSpaceDN w:val="0"/>
              <w:adjustRightInd w:val="0"/>
              <w:spacing w:line="276" w:lineRule="auto"/>
              <w:ind w:left="266" w:hanging="266"/>
              <w:textAlignment w:val="baseline"/>
              <w:rPr>
                <w:b/>
              </w:rPr>
            </w:pPr>
            <w:r>
              <w:rPr>
                <w:b/>
                <w:bCs/>
              </w:rPr>
              <w:t>Referencia</w:t>
            </w:r>
          </w:p>
        </w:tc>
        <w:tc>
          <w:tcPr>
            <w:tcW w:w="3409" w:type="pct"/>
          </w:tcPr>
          <w:p w:rsidR="006C1C6C" w:rsidP="00D264FF" w:rsidRDefault="006C1C6C" w14:paraId="45C32250" w14:textId="69B9E8B2">
            <w:pPr>
              <w:tabs>
                <w:tab w:val="center" w:pos="284"/>
              </w:tabs>
              <w:overflowPunct w:val="0"/>
              <w:autoSpaceDE w:val="0"/>
              <w:autoSpaceDN w:val="0"/>
              <w:adjustRightInd w:val="0"/>
              <w:spacing w:line="276" w:lineRule="auto"/>
              <w:ind w:left="266" w:hanging="266"/>
              <w:textAlignment w:val="baseline"/>
            </w:pPr>
            <w:r>
              <w:t>Dictamen de iniciativa</w:t>
            </w:r>
          </w:p>
          <w:p w:rsidRPr="00395260" w:rsidR="00395260" w:rsidP="00D264FF" w:rsidRDefault="00395260" w14:paraId="5FF7FC85" w14:textId="58AEF7E9">
            <w:pPr>
              <w:tabs>
                <w:tab w:val="center" w:pos="284"/>
              </w:tabs>
              <w:overflowPunct w:val="0"/>
              <w:autoSpaceDE w:val="0"/>
              <w:autoSpaceDN w:val="0"/>
              <w:adjustRightInd w:val="0"/>
              <w:spacing w:line="276" w:lineRule="auto"/>
              <w:ind w:left="266" w:hanging="266"/>
              <w:textAlignment w:val="baseline"/>
            </w:pPr>
            <w:r>
              <w:t>EESC-2024-01631-00-00-AC</w:t>
            </w:r>
          </w:p>
        </w:tc>
      </w:tr>
      <w:tr w:rsidRPr="00395260" w:rsidR="00395260" w:rsidTr="00863A8F" w14:paraId="2B877313" w14:textId="77777777">
        <w:tc>
          <w:tcPr>
            <w:tcW w:w="1591" w:type="pct"/>
            <w:vMerge/>
          </w:tcPr>
          <w:p w:rsidRPr="00395260" w:rsidR="00395260" w:rsidP="00D264FF" w:rsidRDefault="00395260" w14:paraId="493AF3DF" w14:textId="77777777">
            <w:pPr>
              <w:tabs>
                <w:tab w:val="center" w:pos="284"/>
              </w:tabs>
              <w:overflowPunct w:val="0"/>
              <w:autoSpaceDE w:val="0"/>
              <w:autoSpaceDN w:val="0"/>
              <w:adjustRightInd w:val="0"/>
              <w:spacing w:line="276" w:lineRule="auto"/>
              <w:ind w:left="266" w:hanging="266"/>
              <w:textAlignment w:val="baseline"/>
              <w:rPr>
                <w:b/>
              </w:rPr>
            </w:pPr>
          </w:p>
        </w:tc>
        <w:tc>
          <w:tcPr>
            <w:tcW w:w="3409" w:type="pct"/>
          </w:tcPr>
          <w:p w:rsidRPr="00395260" w:rsidR="00395260" w:rsidP="00D264FF" w:rsidRDefault="00395260" w14:paraId="75AA90F1" w14:textId="77777777">
            <w:pPr>
              <w:tabs>
                <w:tab w:val="center" w:pos="284"/>
              </w:tabs>
              <w:overflowPunct w:val="0"/>
              <w:autoSpaceDE w:val="0"/>
              <w:autoSpaceDN w:val="0"/>
              <w:adjustRightInd w:val="0"/>
              <w:spacing w:line="276" w:lineRule="auto"/>
              <w:ind w:left="266" w:hanging="266"/>
              <w:textAlignment w:val="baseline"/>
            </w:pPr>
          </w:p>
        </w:tc>
      </w:tr>
    </w:tbl>
    <w:p w:rsidRPr="00395260" w:rsidR="00395260" w:rsidP="00D264FF" w:rsidRDefault="00395260" w14:paraId="3CBD5463"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395260" w:rsidR="00395260" w:rsidP="00D264FF" w:rsidRDefault="00395260" w14:paraId="465B3A8C"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00395260" w:rsidP="00D264FF" w:rsidRDefault="00395260" w14:paraId="34E1EBDF" w14:textId="3CA7C400">
      <w:pPr>
        <w:overflowPunct w:val="0"/>
        <w:autoSpaceDE w:val="0"/>
        <w:autoSpaceDN w:val="0"/>
        <w:adjustRightInd w:val="0"/>
        <w:spacing w:line="276" w:lineRule="auto"/>
        <w:textAlignment w:val="baseline"/>
      </w:pPr>
      <w:r>
        <w:t>El CESE:</w:t>
      </w:r>
    </w:p>
    <w:p w:rsidRPr="00395260" w:rsidR="0000304D" w:rsidP="00D264FF" w:rsidRDefault="0000304D" w14:paraId="0B171376" w14:textId="77777777">
      <w:pPr>
        <w:overflowPunct w:val="0"/>
        <w:autoSpaceDE w:val="0"/>
        <w:autoSpaceDN w:val="0"/>
        <w:adjustRightInd w:val="0"/>
        <w:spacing w:line="276" w:lineRule="auto"/>
        <w:textAlignment w:val="baseline"/>
        <w:rPr>
          <w:bCs/>
          <w:iCs/>
        </w:rPr>
      </w:pPr>
    </w:p>
    <w:p w:rsidRPr="00395260" w:rsidR="00395260" w:rsidP="0000304D" w:rsidRDefault="00395260" w14:paraId="7A0C60DF" w14:textId="77777777">
      <w:pPr>
        <w:widowControl w:val="0"/>
        <w:numPr>
          <w:ilvl w:val="0"/>
          <w:numId w:val="41"/>
        </w:numPr>
        <w:overflowPunct w:val="0"/>
        <w:autoSpaceDE w:val="0"/>
        <w:autoSpaceDN w:val="0"/>
        <w:adjustRightInd w:val="0"/>
        <w:spacing w:line="276" w:lineRule="auto"/>
        <w:ind w:left="426" w:hanging="426"/>
        <w:textAlignment w:val="baseline"/>
        <w:rPr>
          <w:bCs/>
          <w:iCs/>
        </w:rPr>
      </w:pPr>
      <w:r>
        <w:t xml:space="preserve">considera que la </w:t>
      </w:r>
      <w:r>
        <w:rPr>
          <w:b/>
        </w:rPr>
        <w:t>democracia</w:t>
      </w:r>
      <w:r>
        <w:t xml:space="preserve"> exige el </w:t>
      </w:r>
      <w:r>
        <w:rPr>
          <w:b/>
        </w:rPr>
        <w:t>respeto de los derechos humanos</w:t>
      </w:r>
      <w:r>
        <w:t xml:space="preserve">, la existencia de unas </w:t>
      </w:r>
      <w:r>
        <w:rPr>
          <w:b/>
        </w:rPr>
        <w:t>instituciones sólidas</w:t>
      </w:r>
      <w:r>
        <w:t xml:space="preserve">, la </w:t>
      </w:r>
      <w:r>
        <w:rPr>
          <w:b/>
        </w:rPr>
        <w:t>separación de poderes</w:t>
      </w:r>
      <w:r>
        <w:t xml:space="preserve">, la garantía del Estado de Derecho y de la independencia del poder judicial, la celebración de </w:t>
      </w:r>
      <w:r>
        <w:rPr>
          <w:b/>
        </w:rPr>
        <w:t>elecciones libres y justas</w:t>
      </w:r>
      <w:r>
        <w:t xml:space="preserve">, la </w:t>
      </w:r>
      <w:r>
        <w:rPr>
          <w:b/>
        </w:rPr>
        <w:t>rendición de cuentas ante la ciudadanía</w:t>
      </w:r>
      <w:r>
        <w:t xml:space="preserve">, el </w:t>
      </w:r>
      <w:r>
        <w:rPr>
          <w:b/>
        </w:rPr>
        <w:t>derecho a la plena participación</w:t>
      </w:r>
      <w:r>
        <w:t xml:space="preserve"> y la </w:t>
      </w:r>
      <w:r>
        <w:rPr>
          <w:b/>
        </w:rPr>
        <w:t>lucha contra la discriminación</w:t>
      </w:r>
      <w:r>
        <w:t>;</w:t>
      </w:r>
    </w:p>
    <w:p w:rsidRPr="00395260" w:rsidR="00395260" w:rsidP="0000304D" w:rsidRDefault="00395260" w14:paraId="47ED3316" w14:textId="43E7BD84">
      <w:pPr>
        <w:widowControl w:val="0"/>
        <w:numPr>
          <w:ilvl w:val="0"/>
          <w:numId w:val="41"/>
        </w:numPr>
        <w:overflowPunct w:val="0"/>
        <w:autoSpaceDE w:val="0"/>
        <w:autoSpaceDN w:val="0"/>
        <w:adjustRightInd w:val="0"/>
        <w:spacing w:line="276" w:lineRule="auto"/>
        <w:ind w:left="426" w:hanging="426"/>
        <w:textAlignment w:val="baseline"/>
        <w:rPr>
          <w:bCs/>
          <w:iCs/>
        </w:rPr>
      </w:pPr>
      <w:r>
        <w:lastRenderedPageBreak/>
        <w:t xml:space="preserve">acoge favorablemente el </w:t>
      </w:r>
      <w:r>
        <w:rPr>
          <w:b/>
        </w:rPr>
        <w:t>compromiso de la Unión Africana (UA) con los valores democráticos y la promoción de la democracia</w:t>
      </w:r>
      <w:r>
        <w:t xml:space="preserve">, tal como </w:t>
      </w:r>
      <w:r>
        <w:rPr>
          <w:color w:val="000000" w:themeColor="text1"/>
        </w:rPr>
        <w:t>se enfatiza en las aspiraciones de la Agenda 2063 de la</w:t>
      </w:r>
      <w:r w:rsidR="0000304D">
        <w:rPr>
          <w:color w:val="000000" w:themeColor="text1"/>
        </w:rPr>
        <w:t> </w:t>
      </w:r>
      <w:r>
        <w:rPr>
          <w:color w:val="000000" w:themeColor="text1"/>
        </w:rPr>
        <w:t>UA</w:t>
      </w:r>
      <w:r>
        <w:t>;</w:t>
      </w:r>
    </w:p>
    <w:p w:rsidRPr="00395260" w:rsidR="00395260" w:rsidP="0000304D" w:rsidRDefault="00395260" w14:paraId="71CDB85E" w14:textId="77777777">
      <w:pPr>
        <w:widowControl w:val="0"/>
        <w:numPr>
          <w:ilvl w:val="0"/>
          <w:numId w:val="41"/>
        </w:numPr>
        <w:overflowPunct w:val="0"/>
        <w:autoSpaceDE w:val="0"/>
        <w:autoSpaceDN w:val="0"/>
        <w:adjustRightInd w:val="0"/>
        <w:spacing w:line="276" w:lineRule="auto"/>
        <w:ind w:left="426" w:hanging="426"/>
        <w:textAlignment w:val="baseline"/>
        <w:rPr>
          <w:bCs/>
          <w:iCs/>
        </w:rPr>
      </w:pPr>
      <w:r>
        <w:t xml:space="preserve">acoge con satisfacción los </w:t>
      </w:r>
      <w:r>
        <w:rPr>
          <w:b/>
        </w:rPr>
        <w:t>avances democráticos en África</w:t>
      </w:r>
      <w:r>
        <w:t xml:space="preserve"> y el </w:t>
      </w:r>
      <w:r>
        <w:rPr>
          <w:b/>
        </w:rPr>
        <w:t>compromiso que demuestra la ciudadanía africana con ellos</w:t>
      </w:r>
      <w:r>
        <w:t>, así como el apoyo popular a la democracia, pese a que se haya erosionado en el último decenio;</w:t>
      </w:r>
    </w:p>
    <w:p w:rsidRPr="00395260" w:rsidR="00395260" w:rsidP="0000304D" w:rsidRDefault="00395260" w14:paraId="7C26E522" w14:textId="77777777">
      <w:pPr>
        <w:widowControl w:val="0"/>
        <w:numPr>
          <w:ilvl w:val="0"/>
          <w:numId w:val="41"/>
        </w:numPr>
        <w:overflowPunct w:val="0"/>
        <w:autoSpaceDE w:val="0"/>
        <w:autoSpaceDN w:val="0"/>
        <w:adjustRightInd w:val="0"/>
        <w:spacing w:line="276" w:lineRule="auto"/>
        <w:ind w:left="426" w:hanging="426"/>
        <w:textAlignment w:val="baseline"/>
        <w:rPr>
          <w:bCs/>
          <w:iCs/>
        </w:rPr>
      </w:pPr>
      <w:r>
        <w:t xml:space="preserve">pide a las instituciones europeas que </w:t>
      </w:r>
      <w:r>
        <w:rPr>
          <w:b/>
        </w:rPr>
        <w:t>fortalezcan la cooperación a fin de seguir desarrollando la democracia y consolidando la confianza y la participación populares</w:t>
      </w:r>
      <w:r>
        <w:t xml:space="preserve"> y que </w:t>
      </w:r>
      <w:r>
        <w:rPr>
          <w:b/>
        </w:rPr>
        <w:t>apoyen a la sociedad civil</w:t>
      </w:r>
      <w:r>
        <w:t>;</w:t>
      </w:r>
    </w:p>
    <w:p w:rsidRPr="00395260" w:rsidR="00395260" w:rsidP="0000304D" w:rsidRDefault="00395260" w14:paraId="7B313445" w14:textId="77777777">
      <w:pPr>
        <w:widowControl w:val="0"/>
        <w:numPr>
          <w:ilvl w:val="0"/>
          <w:numId w:val="41"/>
        </w:numPr>
        <w:overflowPunct w:val="0"/>
        <w:autoSpaceDE w:val="0"/>
        <w:autoSpaceDN w:val="0"/>
        <w:adjustRightInd w:val="0"/>
        <w:spacing w:line="276" w:lineRule="auto"/>
        <w:ind w:left="426" w:hanging="426"/>
        <w:textAlignment w:val="baseline"/>
        <w:rPr>
          <w:bCs/>
          <w:iCs/>
        </w:rPr>
      </w:pPr>
      <w:r>
        <w:t xml:space="preserve">considera que el enfoque europeo debe basarse en una </w:t>
      </w:r>
      <w:r>
        <w:rPr>
          <w:b/>
        </w:rPr>
        <w:t>relación entre iguales y tener en cuenta la complejidad del continente</w:t>
      </w:r>
      <w:r>
        <w:t xml:space="preserve"> en términos de desarrollo económico, progreso social, nivel de realización de infraestructuras críticas, diversidad e intereses geopolíticos y estratégicos;</w:t>
      </w:r>
    </w:p>
    <w:p w:rsidRPr="00395260" w:rsidR="00395260" w:rsidP="0000304D" w:rsidRDefault="00395260" w14:paraId="29AF4310" w14:textId="77777777">
      <w:pPr>
        <w:widowControl w:val="0"/>
        <w:numPr>
          <w:ilvl w:val="0"/>
          <w:numId w:val="41"/>
        </w:numPr>
        <w:overflowPunct w:val="0"/>
        <w:autoSpaceDE w:val="0"/>
        <w:autoSpaceDN w:val="0"/>
        <w:adjustRightInd w:val="0"/>
        <w:spacing w:line="276" w:lineRule="auto"/>
        <w:ind w:left="426" w:hanging="426"/>
        <w:textAlignment w:val="baseline"/>
        <w:rPr>
          <w:bCs/>
          <w:iCs/>
        </w:rPr>
      </w:pPr>
      <w:r>
        <w:t xml:space="preserve">considera que la </w:t>
      </w:r>
      <w:r>
        <w:rPr>
          <w:b/>
        </w:rPr>
        <w:t>estrategia Global Gateway reviste una gran importancia para las relaciones entre la UE y África</w:t>
      </w:r>
      <w:r>
        <w:t>, y reafirma que reforzará los lazos económicos y políticos y garantizará el respeto de sus principios democráticos y sociales;</w:t>
      </w:r>
    </w:p>
    <w:p w:rsidRPr="00395260" w:rsidR="00395260" w:rsidP="0000304D" w:rsidRDefault="00395260" w14:paraId="43AC8A5D" w14:textId="77777777">
      <w:pPr>
        <w:widowControl w:val="0"/>
        <w:numPr>
          <w:ilvl w:val="0"/>
          <w:numId w:val="41"/>
        </w:numPr>
        <w:overflowPunct w:val="0"/>
        <w:autoSpaceDE w:val="0"/>
        <w:autoSpaceDN w:val="0"/>
        <w:adjustRightInd w:val="0"/>
        <w:spacing w:line="276" w:lineRule="auto"/>
        <w:ind w:left="426" w:hanging="426"/>
        <w:textAlignment w:val="baseline"/>
        <w:rPr>
          <w:bCs/>
          <w:iCs/>
        </w:rPr>
      </w:pPr>
      <w:r>
        <w:t xml:space="preserve">está convencido de que, gracias a su experiencia y junto con verdaderos representantes de la sociedad civil y de los interlocutores sociales de África, puede contribuir a </w:t>
      </w:r>
      <w:r>
        <w:rPr>
          <w:b/>
        </w:rPr>
        <w:t>promover los valores democráticos, defender los derechos humanos y reforzar el diálogo civil y social</w:t>
      </w:r>
      <w:r>
        <w:t>, en particular mediante los mecanismos institucionales de participación de la sociedad civil que deben establecerse en el marco del Acuerdo de Samoa;</w:t>
      </w:r>
    </w:p>
    <w:p w:rsidRPr="00395260" w:rsidR="00395260" w:rsidP="0000304D" w:rsidRDefault="00395260" w14:paraId="4D44EB8C" w14:textId="77777777">
      <w:pPr>
        <w:widowControl w:val="0"/>
        <w:numPr>
          <w:ilvl w:val="0"/>
          <w:numId w:val="41"/>
        </w:numPr>
        <w:overflowPunct w:val="0"/>
        <w:autoSpaceDE w:val="0"/>
        <w:autoSpaceDN w:val="0"/>
        <w:adjustRightInd w:val="0"/>
        <w:spacing w:line="276" w:lineRule="auto"/>
        <w:ind w:left="426" w:hanging="426"/>
        <w:textAlignment w:val="baseline"/>
        <w:rPr>
          <w:bCs/>
          <w:iCs/>
        </w:rPr>
      </w:pPr>
      <w:r>
        <w:t xml:space="preserve">se compromete a proseguir y mejorar las acciones encaminadas a </w:t>
      </w:r>
      <w:r>
        <w:rPr>
          <w:b/>
        </w:rPr>
        <w:t>promover y apoyar a las organizaciones de la sociedad civil y a los interlocutores sociales africanos, facilitando su constitución, organización y actuación y participando en el refuerzo de su capacidad institucional</w:t>
      </w:r>
      <w:r>
        <w:t>, como contribución a la consecución del objetivo de la UE de hacer resiliente la democracia en África;</w:t>
      </w:r>
    </w:p>
    <w:p w:rsidRPr="00395260" w:rsidR="00395260" w:rsidP="0000304D" w:rsidRDefault="00395260" w14:paraId="680D4AED" w14:textId="77777777">
      <w:pPr>
        <w:widowControl w:val="0"/>
        <w:numPr>
          <w:ilvl w:val="0"/>
          <w:numId w:val="41"/>
        </w:numPr>
        <w:overflowPunct w:val="0"/>
        <w:autoSpaceDE w:val="0"/>
        <w:autoSpaceDN w:val="0"/>
        <w:adjustRightInd w:val="0"/>
        <w:spacing w:line="276" w:lineRule="auto"/>
        <w:ind w:left="426" w:hanging="426"/>
        <w:textAlignment w:val="baseline"/>
        <w:rPr>
          <w:bCs/>
          <w:iCs/>
        </w:rPr>
      </w:pPr>
      <w:r>
        <w:t xml:space="preserve">insiste en que su acción se guiará por la </w:t>
      </w:r>
      <w:r>
        <w:rPr>
          <w:b/>
        </w:rPr>
        <w:t>indivisibilidad de la defensa de los derechos civiles, políticos, sociales, económicos y culturales y por el crecimiento económico y el progreso social</w:t>
      </w:r>
      <w:r>
        <w:t>;</w:t>
      </w:r>
    </w:p>
    <w:p w:rsidRPr="00395260" w:rsidR="00395260" w:rsidP="0000304D" w:rsidRDefault="00395260" w14:paraId="6100439B" w14:textId="77777777">
      <w:pPr>
        <w:widowControl w:val="0"/>
        <w:numPr>
          <w:ilvl w:val="0"/>
          <w:numId w:val="41"/>
        </w:numPr>
        <w:overflowPunct w:val="0"/>
        <w:autoSpaceDE w:val="0"/>
        <w:autoSpaceDN w:val="0"/>
        <w:adjustRightInd w:val="0"/>
        <w:spacing w:line="276" w:lineRule="auto"/>
        <w:ind w:left="426" w:hanging="426"/>
        <w:textAlignment w:val="baseline"/>
        <w:rPr>
          <w:bCs/>
          <w:iCs/>
        </w:rPr>
      </w:pPr>
      <w:r>
        <w:t xml:space="preserve">acoge con gran satisfacción haber firmado un </w:t>
      </w:r>
      <w:r>
        <w:rPr>
          <w:b/>
        </w:rPr>
        <w:t>memorando de entendimiento</w:t>
      </w:r>
      <w:r>
        <w:t xml:space="preserve"> con el </w:t>
      </w:r>
      <w:r>
        <w:rPr>
          <w:b/>
        </w:rPr>
        <w:t>ECOSOCC de la UA</w:t>
      </w:r>
      <w:r>
        <w:t xml:space="preserve">, que atribuye una importancia inconmensurable al </w:t>
      </w:r>
      <w:r>
        <w:rPr>
          <w:b/>
        </w:rPr>
        <w:t>refuerzo de las contribuciones de la sociedad civil a la asociación entre Europa y África</w:t>
      </w:r>
      <w:r>
        <w:t>.</w:t>
      </w:r>
    </w:p>
    <w:p w:rsidRPr="00395260" w:rsidR="00395260" w:rsidP="00D264FF" w:rsidRDefault="00395260" w14:paraId="622E8585" w14:textId="77777777">
      <w:pPr>
        <w:widowControl w:val="0"/>
        <w:overflowPunct w:val="0"/>
        <w:autoSpaceDE w:val="0"/>
        <w:autoSpaceDN w:val="0"/>
        <w:adjustRightInd w:val="0"/>
        <w:spacing w:line="276" w:lineRule="auto"/>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395260" w:rsidR="00395260" w:rsidTr="00863A8F" w14:paraId="260B4AB8" w14:textId="77777777">
        <w:tc>
          <w:tcPr>
            <w:tcW w:w="1556" w:type="pct"/>
          </w:tcPr>
          <w:p w:rsidRPr="00395260" w:rsidR="00395260" w:rsidP="00D264FF" w:rsidRDefault="00395260" w14:paraId="2DC534F5" w14:textId="77777777">
            <w:pPr>
              <w:overflowPunct w:val="0"/>
              <w:autoSpaceDE w:val="0"/>
              <w:autoSpaceDN w:val="0"/>
              <w:adjustRightInd w:val="0"/>
              <w:spacing w:line="276" w:lineRule="auto"/>
              <w:textAlignment w:val="baseline"/>
              <w:rPr>
                <w:i/>
              </w:rPr>
            </w:pPr>
            <w:r>
              <w:rPr>
                <w:b/>
                <w:i/>
              </w:rPr>
              <w:t>Contacto:</w:t>
            </w:r>
          </w:p>
        </w:tc>
        <w:tc>
          <w:tcPr>
            <w:tcW w:w="3444" w:type="pct"/>
          </w:tcPr>
          <w:p w:rsidRPr="00395260" w:rsidR="00395260" w:rsidP="00D264FF" w:rsidRDefault="00395260" w14:paraId="018D553A" w14:textId="77777777">
            <w:pPr>
              <w:overflowPunct w:val="0"/>
              <w:autoSpaceDE w:val="0"/>
              <w:autoSpaceDN w:val="0"/>
              <w:adjustRightInd w:val="0"/>
              <w:spacing w:line="276" w:lineRule="auto"/>
              <w:textAlignment w:val="baseline"/>
              <w:rPr>
                <w:i/>
              </w:rPr>
            </w:pPr>
            <w:r>
              <w:rPr>
                <w:i/>
              </w:rPr>
              <w:t>Charlotte Rive</w:t>
            </w:r>
          </w:p>
        </w:tc>
      </w:tr>
      <w:tr w:rsidRPr="00395260" w:rsidR="00395260" w:rsidTr="00863A8F" w14:paraId="2A69D17A" w14:textId="77777777">
        <w:tc>
          <w:tcPr>
            <w:tcW w:w="1556" w:type="pct"/>
          </w:tcPr>
          <w:p w:rsidRPr="00395260" w:rsidR="00395260" w:rsidP="00D264FF" w:rsidRDefault="00395260" w14:paraId="1A3E349D" w14:textId="77777777">
            <w:pPr>
              <w:overflowPunct w:val="0"/>
              <w:autoSpaceDE w:val="0"/>
              <w:autoSpaceDN w:val="0"/>
              <w:adjustRightInd w:val="0"/>
              <w:spacing w:line="276" w:lineRule="auto"/>
              <w:textAlignment w:val="baseline"/>
              <w:rPr>
                <w:i/>
              </w:rPr>
            </w:pPr>
            <w:r>
              <w:rPr>
                <w:i/>
              </w:rPr>
              <w:t>Teléfono:</w:t>
            </w:r>
          </w:p>
        </w:tc>
        <w:tc>
          <w:tcPr>
            <w:tcW w:w="3444" w:type="pct"/>
          </w:tcPr>
          <w:p w:rsidRPr="00395260" w:rsidR="00395260" w:rsidP="00D264FF" w:rsidRDefault="00395260" w14:paraId="5F7519C0" w14:textId="4B699A9B">
            <w:pPr>
              <w:overflowPunct w:val="0"/>
              <w:autoSpaceDE w:val="0"/>
              <w:autoSpaceDN w:val="0"/>
              <w:adjustRightInd w:val="0"/>
              <w:spacing w:line="276" w:lineRule="auto"/>
              <w:textAlignment w:val="baseline"/>
              <w:rPr>
                <w:i/>
              </w:rPr>
            </w:pPr>
            <w:r>
              <w:rPr>
                <w:i/>
              </w:rPr>
              <w:t>+32 25469388</w:t>
            </w:r>
          </w:p>
        </w:tc>
      </w:tr>
      <w:tr w:rsidRPr="00395260" w:rsidR="00395260" w:rsidTr="00863A8F" w14:paraId="1A56B5AA" w14:textId="77777777">
        <w:tc>
          <w:tcPr>
            <w:tcW w:w="1556" w:type="pct"/>
          </w:tcPr>
          <w:p w:rsidRPr="00395260" w:rsidR="00395260" w:rsidP="00D264FF" w:rsidRDefault="00697BE1" w14:paraId="3895F4B6" w14:textId="2D5D1AE7">
            <w:pPr>
              <w:overflowPunct w:val="0"/>
              <w:autoSpaceDE w:val="0"/>
              <w:autoSpaceDN w:val="0"/>
              <w:adjustRightInd w:val="0"/>
              <w:spacing w:line="276" w:lineRule="auto"/>
              <w:textAlignment w:val="baseline"/>
              <w:rPr>
                <w:i/>
              </w:rPr>
            </w:pPr>
            <w:r>
              <w:rPr>
                <w:i/>
              </w:rPr>
              <w:t>Correo electrónico:</w:t>
            </w:r>
          </w:p>
        </w:tc>
        <w:tc>
          <w:tcPr>
            <w:tcW w:w="3444" w:type="pct"/>
          </w:tcPr>
          <w:p w:rsidRPr="00395260" w:rsidR="00395260" w:rsidP="00D264FF" w:rsidRDefault="00A207FB" w14:paraId="6BD9B737" w14:textId="77777777">
            <w:pPr>
              <w:overflowPunct w:val="0"/>
              <w:autoSpaceDE w:val="0"/>
              <w:autoSpaceDN w:val="0"/>
              <w:adjustRightInd w:val="0"/>
              <w:spacing w:line="276" w:lineRule="auto"/>
              <w:textAlignment w:val="baseline"/>
              <w:rPr>
                <w:i/>
              </w:rPr>
            </w:pPr>
            <w:hyperlink w:history="1" r:id="rId48">
              <w:r w:rsidR="00DD115B">
                <w:rPr>
                  <w:i/>
                  <w:color w:val="0000FF"/>
                  <w:u w:val="single"/>
                </w:rPr>
                <w:t>Charlotte.Rive@eesc.europa.eu</w:t>
              </w:r>
            </w:hyperlink>
          </w:p>
        </w:tc>
      </w:tr>
    </w:tbl>
    <w:p w:rsidR="00902A1F" w:rsidP="00D264FF" w:rsidRDefault="00902A1F" w14:paraId="1239F9AF" w14:textId="4E04C728">
      <w:pPr>
        <w:spacing w:line="276" w:lineRule="auto"/>
        <w:jc w:val="left"/>
      </w:pPr>
    </w:p>
    <w:p w:rsidR="00BA5B45" w:rsidP="00D264FF" w:rsidRDefault="00BA5B45" w14:paraId="4464305F" w14:textId="67DDEDA7">
      <w:pPr>
        <w:spacing w:line="276" w:lineRule="auto"/>
        <w:jc w:val="left"/>
      </w:pPr>
    </w:p>
    <w:p w:rsidRPr="006D2C8A" w:rsidR="006D2C8A" w:rsidP="00D264FF" w:rsidRDefault="006D2C8A" w14:paraId="528C73AA" w14:textId="46DE726B">
      <w:pPr>
        <w:pStyle w:val="Heading1"/>
        <w:keepNext/>
        <w:keepLines/>
        <w:spacing w:line="276" w:lineRule="auto"/>
        <w:rPr>
          <w:b/>
        </w:rPr>
      </w:pPr>
      <w:bookmarkStart w:name="_Toc184804679" w:id="13"/>
      <w:r>
        <w:rPr>
          <w:b/>
          <w:color w:val="222A35" w:themeColor="text2" w:themeShade="80"/>
        </w:rPr>
        <w:t>COMISIÓN CONSULTIVA DE LAS TRANSFORMACIONES INDUSTRIALES</w:t>
      </w:r>
      <w:bookmarkEnd w:id="13"/>
    </w:p>
    <w:p w:rsidR="006D2C8A" w:rsidP="00D264FF" w:rsidRDefault="006D2C8A" w14:paraId="713E272F" w14:textId="77777777">
      <w:pPr>
        <w:keepNext/>
        <w:keepLines/>
        <w:spacing w:line="276" w:lineRule="auto"/>
      </w:pPr>
    </w:p>
    <w:p w:rsidRPr="001C59D9" w:rsidR="001C59D9" w:rsidP="00D264FF" w:rsidRDefault="00A207FB" w14:paraId="370A3F01" w14:textId="50B0D282">
      <w:pPr>
        <w:widowControl w:val="0"/>
        <w:numPr>
          <w:ilvl w:val="0"/>
          <w:numId w:val="6"/>
        </w:numPr>
        <w:overflowPunct w:val="0"/>
        <w:autoSpaceDE w:val="0"/>
        <w:autoSpaceDN w:val="0"/>
        <w:adjustRightInd w:val="0"/>
        <w:spacing w:line="276" w:lineRule="auto"/>
        <w:ind w:left="709" w:hanging="709"/>
        <w:textAlignment w:val="baseline"/>
        <w:rPr>
          <w:b/>
        </w:rPr>
      </w:pPr>
      <w:hyperlink w:history="1" r:id="rId49">
        <w:r w:rsidR="00DD115B">
          <w:rPr>
            <w:b/>
            <w:i/>
            <w:color w:val="0000FF"/>
            <w:sz w:val="28"/>
            <w:u w:val="single"/>
            <w:shd w:val="clear" w:color="auto" w:fill="FEFEFE"/>
          </w:rPr>
          <w:t>Políticas industriale</w:t>
        </w:r>
        <w:r w:rsidR="00DD115B">
          <w:rPr>
            <w:b/>
            <w:i/>
            <w:color w:val="0000FF"/>
            <w:sz w:val="28"/>
            <w:u w:val="single"/>
            <w:shd w:val="clear" w:color="auto" w:fill="FEFEFE"/>
          </w:rPr>
          <w:t>s</w:t>
        </w:r>
        <w:r w:rsidR="00DD115B">
          <w:rPr>
            <w:b/>
            <w:i/>
            <w:color w:val="0000FF"/>
            <w:sz w:val="28"/>
            <w:u w:val="single"/>
            <w:shd w:val="clear" w:color="auto" w:fill="FEFEFE"/>
          </w:rPr>
          <w:t xml:space="preserve"> sectoriales en apoyo de una mayor autonomía estratégica</w:t>
        </w:r>
      </w:hyperlink>
    </w:p>
    <w:p w:rsidRPr="001C59D9" w:rsidR="001C59D9" w:rsidP="00D264FF" w:rsidRDefault="001C59D9" w14:paraId="1F1FDD5C" w14:textId="77777777">
      <w:pPr>
        <w:widowControl w:val="0"/>
        <w:overflowPunct w:val="0"/>
        <w:autoSpaceDE w:val="0"/>
        <w:autoSpaceDN w:val="0"/>
        <w:adjustRightInd w:val="0"/>
        <w:spacing w:line="276" w:lineRule="auto"/>
        <w:ind w:left="266"/>
        <w:textAlignment w:val="baseline"/>
        <w:rPr>
          <w:b/>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1C59D9" w:rsidR="001C59D9" w:rsidTr="00863A8F" w14:paraId="0DE8DBCE" w14:textId="77777777">
        <w:tc>
          <w:tcPr>
            <w:tcW w:w="1701" w:type="dxa"/>
          </w:tcPr>
          <w:p w:rsidRPr="001C59D9" w:rsidR="001C59D9" w:rsidP="00D264FF" w:rsidRDefault="001C59D9" w14:paraId="247BDDA7"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7479" w:type="dxa"/>
          </w:tcPr>
          <w:p w:rsidRPr="001C59D9" w:rsidR="001C59D9" w:rsidP="00D264FF" w:rsidRDefault="001C59D9" w14:paraId="3EF3113B" w14:textId="2A88A6EF">
            <w:pPr>
              <w:tabs>
                <w:tab w:val="center" w:pos="284"/>
              </w:tabs>
              <w:overflowPunct w:val="0"/>
              <w:autoSpaceDE w:val="0"/>
              <w:autoSpaceDN w:val="0"/>
              <w:adjustRightInd w:val="0"/>
              <w:spacing w:line="276" w:lineRule="auto"/>
              <w:ind w:left="266" w:hanging="266"/>
              <w:textAlignment w:val="baseline"/>
            </w:pPr>
            <w:r>
              <w:t>Alain COHEUR (Grupo de Organizaciones de la Sociedad Civil – BE)</w:t>
            </w:r>
          </w:p>
        </w:tc>
      </w:tr>
      <w:tr w:rsidRPr="001C59D9" w:rsidR="001C59D9" w:rsidTr="00863A8F" w14:paraId="183BEC47" w14:textId="77777777">
        <w:tc>
          <w:tcPr>
            <w:tcW w:w="1701" w:type="dxa"/>
          </w:tcPr>
          <w:p w:rsidRPr="001C59D9" w:rsidR="001C59D9" w:rsidP="00D264FF" w:rsidRDefault="001C59D9" w14:paraId="3945195F" w14:textId="77777777">
            <w:pPr>
              <w:tabs>
                <w:tab w:val="center" w:pos="284"/>
              </w:tabs>
              <w:overflowPunct w:val="0"/>
              <w:autoSpaceDE w:val="0"/>
              <w:autoSpaceDN w:val="0"/>
              <w:adjustRightInd w:val="0"/>
              <w:spacing w:line="276" w:lineRule="auto"/>
              <w:ind w:left="266" w:hanging="266"/>
              <w:textAlignment w:val="baseline"/>
              <w:rPr>
                <w:b/>
              </w:rPr>
            </w:pPr>
            <w:r>
              <w:rPr>
                <w:b/>
                <w:bCs/>
              </w:rPr>
              <w:t>Coponente</w:t>
            </w:r>
          </w:p>
        </w:tc>
        <w:tc>
          <w:tcPr>
            <w:tcW w:w="7479" w:type="dxa"/>
          </w:tcPr>
          <w:p w:rsidRPr="001C59D9" w:rsidR="001C59D9" w:rsidP="00D264FF" w:rsidRDefault="001C59D9" w14:paraId="2AEB1972" w14:textId="0C765853">
            <w:pPr>
              <w:tabs>
                <w:tab w:val="center" w:pos="284"/>
              </w:tabs>
              <w:overflowPunct w:val="0"/>
              <w:autoSpaceDE w:val="0"/>
              <w:autoSpaceDN w:val="0"/>
              <w:adjustRightInd w:val="0"/>
              <w:spacing w:line="276" w:lineRule="auto"/>
              <w:ind w:left="266" w:hanging="266"/>
              <w:textAlignment w:val="baseline"/>
            </w:pPr>
            <w:r>
              <w:t>Antonello PEZZINI (Cat.1 – IT)</w:t>
            </w:r>
          </w:p>
        </w:tc>
      </w:tr>
      <w:tr w:rsidRPr="001C59D9" w:rsidR="001C59D9" w:rsidTr="00863A8F" w14:paraId="459283E6" w14:textId="77777777">
        <w:tc>
          <w:tcPr>
            <w:tcW w:w="9180" w:type="dxa"/>
            <w:gridSpan w:val="2"/>
          </w:tcPr>
          <w:p w:rsidRPr="001C59D9" w:rsidR="001C59D9" w:rsidP="00D264FF" w:rsidRDefault="001C59D9" w14:paraId="4DE42CAB" w14:textId="77777777">
            <w:pPr>
              <w:tabs>
                <w:tab w:val="center" w:pos="284"/>
              </w:tabs>
              <w:overflowPunct w:val="0"/>
              <w:autoSpaceDE w:val="0"/>
              <w:autoSpaceDN w:val="0"/>
              <w:adjustRightInd w:val="0"/>
              <w:spacing w:line="276" w:lineRule="auto"/>
              <w:ind w:left="266" w:hanging="266"/>
              <w:textAlignment w:val="baseline"/>
            </w:pPr>
          </w:p>
        </w:tc>
      </w:tr>
      <w:tr w:rsidRPr="001C59D9" w:rsidR="001C59D9" w:rsidTr="00863A8F" w14:paraId="4565FF1F" w14:textId="77777777">
        <w:tc>
          <w:tcPr>
            <w:tcW w:w="1701" w:type="dxa"/>
            <w:vMerge w:val="restart"/>
          </w:tcPr>
          <w:p w:rsidRPr="001C59D9" w:rsidR="001C59D9" w:rsidP="00D264FF" w:rsidRDefault="001C59D9" w14:paraId="20DAD7FD" w14:textId="77777777">
            <w:pPr>
              <w:tabs>
                <w:tab w:val="center" w:pos="284"/>
              </w:tabs>
              <w:overflowPunct w:val="0"/>
              <w:autoSpaceDE w:val="0"/>
              <w:autoSpaceDN w:val="0"/>
              <w:adjustRightInd w:val="0"/>
              <w:spacing w:line="276" w:lineRule="auto"/>
              <w:ind w:left="266" w:hanging="266"/>
              <w:textAlignment w:val="baseline"/>
              <w:rPr>
                <w:b/>
              </w:rPr>
            </w:pPr>
            <w:r>
              <w:rPr>
                <w:b/>
                <w:bCs/>
              </w:rPr>
              <w:t>Referencia</w:t>
            </w:r>
          </w:p>
        </w:tc>
        <w:tc>
          <w:tcPr>
            <w:tcW w:w="7479" w:type="dxa"/>
          </w:tcPr>
          <w:p w:rsidR="00B61E90" w:rsidP="00D264FF" w:rsidRDefault="00B61E90" w14:paraId="2736C770" w14:textId="4E254416">
            <w:pPr>
              <w:tabs>
                <w:tab w:val="center" w:pos="284"/>
              </w:tabs>
              <w:overflowPunct w:val="0"/>
              <w:autoSpaceDE w:val="0"/>
              <w:autoSpaceDN w:val="0"/>
              <w:adjustRightInd w:val="0"/>
              <w:spacing w:line="276" w:lineRule="auto"/>
              <w:ind w:left="266" w:hanging="266"/>
              <w:textAlignment w:val="baseline"/>
            </w:pPr>
            <w:r>
              <w:t>Dictamen de iniciativa</w:t>
            </w:r>
          </w:p>
          <w:p w:rsidRPr="001C59D9" w:rsidR="001C59D9" w:rsidP="00D264FF" w:rsidRDefault="001C59D9" w14:paraId="069CB8B0" w14:textId="332724EC">
            <w:pPr>
              <w:tabs>
                <w:tab w:val="center" w:pos="284"/>
              </w:tabs>
              <w:overflowPunct w:val="0"/>
              <w:autoSpaceDE w:val="0"/>
              <w:autoSpaceDN w:val="0"/>
              <w:adjustRightInd w:val="0"/>
              <w:spacing w:line="276" w:lineRule="auto"/>
              <w:ind w:left="266" w:hanging="266"/>
              <w:textAlignment w:val="baseline"/>
            </w:pPr>
            <w:r>
              <w:t>EESC-2024-02005-00-00-AC</w:t>
            </w:r>
          </w:p>
        </w:tc>
      </w:tr>
      <w:tr w:rsidRPr="001C59D9" w:rsidR="001C59D9" w:rsidTr="00863A8F" w14:paraId="34DA0A00" w14:textId="77777777">
        <w:tc>
          <w:tcPr>
            <w:tcW w:w="1701" w:type="dxa"/>
            <w:vMerge/>
          </w:tcPr>
          <w:p w:rsidRPr="001C59D9" w:rsidR="001C59D9" w:rsidP="00D264FF" w:rsidRDefault="001C59D9" w14:paraId="74F9112A" w14:textId="77777777">
            <w:pPr>
              <w:tabs>
                <w:tab w:val="center" w:pos="284"/>
              </w:tabs>
              <w:overflowPunct w:val="0"/>
              <w:autoSpaceDE w:val="0"/>
              <w:autoSpaceDN w:val="0"/>
              <w:adjustRightInd w:val="0"/>
              <w:spacing w:line="276" w:lineRule="auto"/>
              <w:ind w:left="266" w:hanging="266"/>
              <w:textAlignment w:val="baseline"/>
              <w:rPr>
                <w:b/>
              </w:rPr>
            </w:pPr>
          </w:p>
        </w:tc>
        <w:tc>
          <w:tcPr>
            <w:tcW w:w="7479" w:type="dxa"/>
          </w:tcPr>
          <w:p w:rsidRPr="001C59D9" w:rsidR="001C59D9" w:rsidP="00D264FF" w:rsidRDefault="001C59D9" w14:paraId="12146E59" w14:textId="77777777">
            <w:pPr>
              <w:tabs>
                <w:tab w:val="center" w:pos="284"/>
              </w:tabs>
              <w:overflowPunct w:val="0"/>
              <w:autoSpaceDE w:val="0"/>
              <w:autoSpaceDN w:val="0"/>
              <w:adjustRightInd w:val="0"/>
              <w:spacing w:line="276" w:lineRule="auto"/>
              <w:ind w:left="266" w:hanging="266"/>
              <w:textAlignment w:val="baseline"/>
            </w:pPr>
          </w:p>
        </w:tc>
      </w:tr>
    </w:tbl>
    <w:p w:rsidRPr="001C59D9" w:rsidR="001C59D9" w:rsidP="00E24189" w:rsidRDefault="001C59D9" w14:paraId="2BBE6849"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lastRenderedPageBreak/>
        <w:t>Puntos clave</w:t>
      </w:r>
    </w:p>
    <w:p w:rsidRPr="00E24189" w:rsidR="001C59D9" w:rsidP="00E24189" w:rsidRDefault="001C59D9" w14:paraId="42B37A88" w14:textId="77777777">
      <w:pPr>
        <w:keepNext/>
        <w:keepLines/>
        <w:tabs>
          <w:tab w:val="center" w:pos="284"/>
        </w:tabs>
        <w:overflowPunct w:val="0"/>
        <w:autoSpaceDE w:val="0"/>
        <w:autoSpaceDN w:val="0"/>
        <w:adjustRightInd w:val="0"/>
        <w:spacing w:line="240" w:lineRule="auto"/>
        <w:ind w:left="266" w:hanging="266"/>
        <w:textAlignment w:val="baseline"/>
        <w:rPr>
          <w:bCs/>
          <w:lang w:val="en-GB"/>
        </w:rPr>
      </w:pPr>
    </w:p>
    <w:p w:rsidRPr="001C59D9" w:rsidR="001C59D9" w:rsidP="00E24189" w:rsidRDefault="001C59D9" w14:paraId="7A708E37" w14:textId="77777777">
      <w:pPr>
        <w:overflowPunct w:val="0"/>
        <w:autoSpaceDE w:val="0"/>
        <w:autoSpaceDN w:val="0"/>
        <w:adjustRightInd w:val="0"/>
        <w:spacing w:line="240" w:lineRule="auto"/>
        <w:textAlignment w:val="baseline"/>
        <w:rPr>
          <w:szCs w:val="20"/>
        </w:rPr>
      </w:pPr>
      <w:r>
        <w:t>El CESE:</w:t>
      </w:r>
    </w:p>
    <w:p w:rsidRPr="001C59D9" w:rsidR="001C59D9" w:rsidP="00E24189" w:rsidRDefault="001C59D9" w14:paraId="4B0CD9E1" w14:textId="77777777">
      <w:pPr>
        <w:overflowPunct w:val="0"/>
        <w:autoSpaceDE w:val="0"/>
        <w:autoSpaceDN w:val="0"/>
        <w:adjustRightInd w:val="0"/>
        <w:spacing w:line="240" w:lineRule="auto"/>
        <w:textAlignment w:val="baseline"/>
        <w:rPr>
          <w:szCs w:val="20"/>
          <w:lang w:val="en-GB"/>
        </w:rPr>
      </w:pPr>
    </w:p>
    <w:p w:rsidRPr="001C59D9" w:rsidR="001C59D9" w:rsidP="00E24189" w:rsidRDefault="001C59D9" w14:paraId="470F56FE" w14:textId="7FC0311F">
      <w:pPr>
        <w:numPr>
          <w:ilvl w:val="0"/>
          <w:numId w:val="43"/>
        </w:numPr>
        <w:overflowPunct w:val="0"/>
        <w:autoSpaceDE w:val="0"/>
        <w:autoSpaceDN w:val="0"/>
        <w:adjustRightInd w:val="0"/>
        <w:spacing w:line="276" w:lineRule="auto"/>
        <w:ind w:left="426" w:hanging="426"/>
        <w:contextualSpacing/>
        <w:textAlignment w:val="baseline"/>
        <w:rPr>
          <w:bCs/>
          <w:iCs/>
        </w:rPr>
      </w:pPr>
      <w:r>
        <w:t xml:space="preserve">estima que un </w:t>
      </w:r>
      <w:r>
        <w:rPr>
          <w:b/>
          <w:bCs/>
        </w:rPr>
        <w:t>nuevo declive de la industria metalúrgica resulta inaceptable</w:t>
      </w:r>
      <w:r>
        <w:t xml:space="preserve">, ya que conllevaría el riesgo de </w:t>
      </w:r>
      <w:r>
        <w:rPr>
          <w:b/>
          <w:bCs/>
        </w:rPr>
        <w:t>socavar gravemente nuestra autonomía estratégica</w:t>
      </w:r>
      <w:r>
        <w:t xml:space="preserve">, todos nuestros sectores industriales (ferroviario, nuclear, marítimo, espacial, automovilístico, de defensa, etc.) y, por tanto, nuestro futuro industrial. Ahora más que nunca, </w:t>
      </w:r>
      <w:r>
        <w:rPr>
          <w:b/>
          <w:bCs/>
        </w:rPr>
        <w:t>Europa necesita un pacto industrial</w:t>
      </w:r>
      <w:r>
        <w:t xml:space="preserve"> que permita potenciar su Pacto Verde y su Plan de Acción para la Economía Circular, </w:t>
      </w:r>
      <w:r>
        <w:rPr>
          <w:b/>
          <w:bCs/>
        </w:rPr>
        <w:t>reforzar las alianzas industriales en el sector metalúrgico</w:t>
      </w:r>
      <w:r>
        <w:t xml:space="preserve"> a través de grandes proyectos de interés común y </w:t>
      </w:r>
      <w:r>
        <w:rPr>
          <w:b/>
          <w:bCs/>
        </w:rPr>
        <w:t>reindustrializar muchas regiones olvidadas para volver a generar empleos locales de calidad</w:t>
      </w:r>
      <w:r>
        <w:t>;</w:t>
      </w:r>
    </w:p>
    <w:p w:rsidRPr="001C59D9" w:rsidR="001C59D9" w:rsidP="00E24189" w:rsidRDefault="001C59D9" w14:paraId="52DD51D1" w14:textId="0B2965BB">
      <w:pPr>
        <w:numPr>
          <w:ilvl w:val="0"/>
          <w:numId w:val="43"/>
        </w:numPr>
        <w:overflowPunct w:val="0"/>
        <w:autoSpaceDE w:val="0"/>
        <w:autoSpaceDN w:val="0"/>
        <w:adjustRightInd w:val="0"/>
        <w:spacing w:line="276" w:lineRule="auto"/>
        <w:ind w:left="426" w:hanging="426"/>
        <w:contextualSpacing/>
        <w:textAlignment w:val="baseline"/>
      </w:pPr>
      <w:r>
        <w:t xml:space="preserve">pide urgentemente a la Comisión Europea que </w:t>
      </w:r>
      <w:r>
        <w:rPr>
          <w:b/>
          <w:bCs/>
        </w:rPr>
        <w:t>retome los análisis y las perspectivas sectoriales de la política industrial</w:t>
      </w:r>
      <w:r>
        <w:t xml:space="preserve"> por medio de </w:t>
      </w:r>
      <w:r>
        <w:rPr>
          <w:b/>
          <w:bCs/>
        </w:rPr>
        <w:t>ejercicios prospectivos</w:t>
      </w:r>
      <w:r>
        <w:t xml:space="preserve"> orientados a </w:t>
      </w:r>
      <w:r>
        <w:rPr>
          <w:b/>
          <w:bCs/>
        </w:rPr>
        <w:t>la recuperación de posiciones competitivas a escala mundial</w:t>
      </w:r>
      <w:r>
        <w:t>;</w:t>
      </w:r>
    </w:p>
    <w:p w:rsidRPr="001C59D9" w:rsidR="001C59D9" w:rsidP="00E24189" w:rsidRDefault="001C59D9" w14:paraId="6FFD9CC6" w14:textId="77777777">
      <w:pPr>
        <w:numPr>
          <w:ilvl w:val="0"/>
          <w:numId w:val="43"/>
        </w:numPr>
        <w:overflowPunct w:val="0"/>
        <w:autoSpaceDE w:val="0"/>
        <w:autoSpaceDN w:val="0"/>
        <w:adjustRightInd w:val="0"/>
        <w:spacing w:line="276" w:lineRule="auto"/>
        <w:ind w:left="426" w:hanging="426"/>
        <w:contextualSpacing/>
        <w:textAlignment w:val="baseline"/>
      </w:pPr>
      <w:r>
        <w:t xml:space="preserve">pide a la Comisión </w:t>
      </w:r>
      <w:r>
        <w:rPr>
          <w:b/>
          <w:bCs/>
        </w:rPr>
        <w:t>que adopte cuanto antes medidas específicas</w:t>
      </w:r>
      <w:r>
        <w:t xml:space="preserve"> para </w:t>
      </w:r>
      <w:r>
        <w:rPr>
          <w:b/>
          <w:bCs/>
        </w:rPr>
        <w:t>apoyar diversos sectores estratégicos, como los productos químicos y sus derivados, la metalurgia y la ciberseguridad</w:t>
      </w:r>
      <w:r>
        <w:t>;</w:t>
      </w:r>
    </w:p>
    <w:p w:rsidRPr="001C59D9" w:rsidR="001C59D9" w:rsidP="00E24189" w:rsidRDefault="001C59D9" w14:paraId="59B42CB8" w14:textId="4E3066F6">
      <w:pPr>
        <w:numPr>
          <w:ilvl w:val="0"/>
          <w:numId w:val="43"/>
        </w:numPr>
        <w:overflowPunct w:val="0"/>
        <w:autoSpaceDE w:val="0"/>
        <w:autoSpaceDN w:val="0"/>
        <w:adjustRightInd w:val="0"/>
        <w:spacing w:line="276" w:lineRule="auto"/>
        <w:ind w:left="426" w:hanging="426"/>
        <w:contextualSpacing/>
        <w:textAlignment w:val="baseline"/>
      </w:pPr>
      <w:r>
        <w:t xml:space="preserve">considera que las empresas necesitan </w:t>
      </w:r>
      <w:r>
        <w:rPr>
          <w:b/>
          <w:bCs/>
        </w:rPr>
        <w:t xml:space="preserve">acceso a instituciones bancarias que apoyen una política industrial arraigada en nuestros territorios, </w:t>
      </w:r>
      <w:r>
        <w:t>a</w:t>
      </w:r>
      <w:r>
        <w:rPr>
          <w:b/>
          <w:bCs/>
        </w:rPr>
        <w:t xml:space="preserve"> trabajadores cada vez más cualificados </w:t>
      </w:r>
      <w:r>
        <w:t>y a</w:t>
      </w:r>
      <w:r>
        <w:rPr>
          <w:b/>
          <w:bCs/>
        </w:rPr>
        <w:t xml:space="preserve"> centros universitarios que fomenten la innovación y la investigación</w:t>
      </w:r>
      <w:r>
        <w:t xml:space="preserve"> para crear los puestos de trabajo del futuro;</w:t>
      </w:r>
    </w:p>
    <w:p w:rsidRPr="001C59D9" w:rsidR="001C59D9" w:rsidP="00E24189" w:rsidRDefault="001C59D9" w14:paraId="43D02535" w14:textId="77777777">
      <w:pPr>
        <w:numPr>
          <w:ilvl w:val="0"/>
          <w:numId w:val="43"/>
        </w:numPr>
        <w:overflowPunct w:val="0"/>
        <w:autoSpaceDE w:val="0"/>
        <w:autoSpaceDN w:val="0"/>
        <w:adjustRightInd w:val="0"/>
        <w:spacing w:line="276" w:lineRule="auto"/>
        <w:ind w:left="426" w:hanging="426"/>
        <w:contextualSpacing/>
        <w:textAlignment w:val="baseline"/>
      </w:pPr>
      <w:r>
        <w:t xml:space="preserve">subraya la </w:t>
      </w:r>
      <w:r>
        <w:rPr>
          <w:b/>
          <w:bCs/>
        </w:rPr>
        <w:t xml:space="preserve">necesidad de ampliar las asociaciones para estimular la innovación y la inversión, </w:t>
      </w:r>
      <w:r>
        <w:t xml:space="preserve">de </w:t>
      </w:r>
      <w:r>
        <w:rPr>
          <w:b/>
          <w:bCs/>
        </w:rPr>
        <w:t xml:space="preserve">relocalizar la industria química e implantar los centros de toma de decisiones en suelo europeo, </w:t>
      </w:r>
      <w:r>
        <w:t>de</w:t>
      </w:r>
      <w:r>
        <w:rPr>
          <w:b/>
          <w:bCs/>
        </w:rPr>
        <w:t xml:space="preserve"> armonizar las normas de calidad para los residuos plásticos clasificados o pretratados </w:t>
      </w:r>
      <w:r>
        <w:t xml:space="preserve">y de crear un </w:t>
      </w:r>
      <w:r>
        <w:rPr>
          <w:b/>
          <w:bCs/>
        </w:rPr>
        <w:t>mercado secundario único y abierto</w:t>
      </w:r>
      <w:r>
        <w:t xml:space="preserve"> destinado a garantizar un suministro continuo de residuos plásticos para el funcionamiento de las plantas de reciclado químico, y</w:t>
      </w:r>
    </w:p>
    <w:p w:rsidRPr="00E24189" w:rsidR="001C59D9" w:rsidP="00E24189" w:rsidRDefault="001C59D9" w14:paraId="3DC481B7" w14:textId="6C7A9BE7">
      <w:pPr>
        <w:numPr>
          <w:ilvl w:val="0"/>
          <w:numId w:val="43"/>
        </w:numPr>
        <w:overflowPunct w:val="0"/>
        <w:autoSpaceDE w:val="0"/>
        <w:autoSpaceDN w:val="0"/>
        <w:adjustRightInd w:val="0"/>
        <w:spacing w:line="276" w:lineRule="auto"/>
        <w:ind w:left="426" w:hanging="426"/>
        <w:contextualSpacing/>
        <w:textAlignment w:val="baseline"/>
      </w:pPr>
      <w:r>
        <w:t xml:space="preserve">recomienda una </w:t>
      </w:r>
      <w:r>
        <w:rPr>
          <w:b/>
          <w:bCs/>
        </w:rPr>
        <w:t xml:space="preserve">supervisión reforzada y continua, </w:t>
      </w:r>
      <w:r>
        <w:t>y el</w:t>
      </w:r>
      <w:r>
        <w:rPr>
          <w:b/>
          <w:bCs/>
        </w:rPr>
        <w:t xml:space="preserve"> desarrollo de programas de asistencia técnica preventiva</w:t>
      </w:r>
      <w:r>
        <w:t xml:space="preserve"> a las que puedan acceder todas las empresas.</w:t>
      </w:r>
    </w:p>
    <w:p w:rsidRPr="001C59D9" w:rsidR="001C59D9" w:rsidP="00E24189" w:rsidRDefault="001C59D9" w14:paraId="4177570F" w14:textId="77777777">
      <w:pPr>
        <w:keepNext/>
        <w:keepLines/>
        <w:tabs>
          <w:tab w:val="center" w:pos="284"/>
        </w:tabs>
        <w:overflowPunct w:val="0"/>
        <w:autoSpaceDE w:val="0"/>
        <w:autoSpaceDN w:val="0"/>
        <w:adjustRightInd w:val="0"/>
        <w:spacing w:line="240" w:lineRule="auto"/>
        <w:ind w:left="266" w:hanging="266"/>
        <w:textAlignment w:val="baseline"/>
        <w:rPr>
          <w:szCs w:val="20"/>
          <w:lang w:val="en-GB"/>
        </w:rPr>
      </w:pPr>
    </w:p>
    <w:tbl>
      <w:tblPr>
        <w:tblStyle w:val="TableGrid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1C59D9" w:rsidR="001C59D9" w:rsidTr="00E24189" w14:paraId="7B9A0D37" w14:textId="77777777">
        <w:tc>
          <w:tcPr>
            <w:tcW w:w="1951" w:type="dxa"/>
          </w:tcPr>
          <w:p w:rsidRPr="001C59D9" w:rsidR="001C59D9" w:rsidP="00D264FF" w:rsidRDefault="001C59D9" w14:paraId="1A53C334" w14:textId="77777777">
            <w:pPr>
              <w:keepNext/>
              <w:keepLines/>
              <w:overflowPunct w:val="0"/>
              <w:autoSpaceDE w:val="0"/>
              <w:autoSpaceDN w:val="0"/>
              <w:adjustRightInd w:val="0"/>
              <w:spacing w:line="276" w:lineRule="auto"/>
              <w:textAlignment w:val="baseline"/>
              <w:rPr>
                <w:i/>
              </w:rPr>
            </w:pPr>
            <w:r>
              <w:rPr>
                <w:b/>
                <w:i/>
              </w:rPr>
              <w:t>Contacto:</w:t>
            </w:r>
          </w:p>
        </w:tc>
        <w:tc>
          <w:tcPr>
            <w:tcW w:w="5670" w:type="dxa"/>
          </w:tcPr>
          <w:p w:rsidRPr="001C59D9" w:rsidR="001C59D9" w:rsidP="00D264FF" w:rsidRDefault="001C59D9" w14:paraId="1A7452D2" w14:textId="77777777">
            <w:pPr>
              <w:keepNext/>
              <w:keepLines/>
              <w:overflowPunct w:val="0"/>
              <w:autoSpaceDE w:val="0"/>
              <w:autoSpaceDN w:val="0"/>
              <w:adjustRightInd w:val="0"/>
              <w:spacing w:line="276" w:lineRule="auto"/>
              <w:textAlignment w:val="baseline"/>
              <w:rPr>
                <w:i/>
              </w:rPr>
            </w:pPr>
            <w:r>
              <w:rPr>
                <w:i/>
              </w:rPr>
              <w:t>Marie-Laurence Drillon</w:t>
            </w:r>
          </w:p>
        </w:tc>
      </w:tr>
      <w:tr w:rsidRPr="001C59D9" w:rsidR="001C59D9" w:rsidTr="00E24189" w14:paraId="510D17C4" w14:textId="77777777">
        <w:tc>
          <w:tcPr>
            <w:tcW w:w="1951" w:type="dxa"/>
          </w:tcPr>
          <w:p w:rsidRPr="001C59D9" w:rsidR="001C59D9" w:rsidP="00D264FF" w:rsidRDefault="001C59D9" w14:paraId="5FF9E965" w14:textId="77777777">
            <w:pPr>
              <w:keepNext/>
              <w:keepLines/>
              <w:overflowPunct w:val="0"/>
              <w:autoSpaceDE w:val="0"/>
              <w:autoSpaceDN w:val="0"/>
              <w:adjustRightInd w:val="0"/>
              <w:spacing w:line="276" w:lineRule="auto"/>
              <w:textAlignment w:val="baseline"/>
              <w:rPr>
                <w:i/>
              </w:rPr>
            </w:pPr>
            <w:r>
              <w:rPr>
                <w:i/>
              </w:rPr>
              <w:t>Teléfono:</w:t>
            </w:r>
          </w:p>
        </w:tc>
        <w:tc>
          <w:tcPr>
            <w:tcW w:w="5670" w:type="dxa"/>
          </w:tcPr>
          <w:p w:rsidRPr="001C59D9" w:rsidR="001C59D9" w:rsidP="00D264FF" w:rsidRDefault="001C59D9" w14:paraId="117BAF9F" w14:textId="19179759">
            <w:pPr>
              <w:keepNext/>
              <w:keepLines/>
              <w:overflowPunct w:val="0"/>
              <w:autoSpaceDE w:val="0"/>
              <w:autoSpaceDN w:val="0"/>
              <w:adjustRightInd w:val="0"/>
              <w:spacing w:line="276" w:lineRule="auto"/>
              <w:textAlignment w:val="baseline"/>
              <w:rPr>
                <w:i/>
              </w:rPr>
            </w:pPr>
            <w:r>
              <w:rPr>
                <w:i/>
              </w:rPr>
              <w:t>+32 25468320</w:t>
            </w:r>
          </w:p>
        </w:tc>
      </w:tr>
      <w:tr w:rsidRPr="001C59D9" w:rsidR="001C59D9" w:rsidTr="00E24189" w14:paraId="375F101A" w14:textId="77777777">
        <w:tc>
          <w:tcPr>
            <w:tcW w:w="1951" w:type="dxa"/>
          </w:tcPr>
          <w:p w:rsidRPr="001C59D9" w:rsidR="001C59D9" w:rsidP="00D264FF" w:rsidRDefault="0052039C" w14:paraId="7E558C19" w14:textId="3915EE53">
            <w:pPr>
              <w:overflowPunct w:val="0"/>
              <w:autoSpaceDE w:val="0"/>
              <w:autoSpaceDN w:val="0"/>
              <w:adjustRightInd w:val="0"/>
              <w:spacing w:line="276" w:lineRule="auto"/>
              <w:textAlignment w:val="baseline"/>
              <w:rPr>
                <w:i/>
              </w:rPr>
            </w:pPr>
            <w:r>
              <w:rPr>
                <w:i/>
              </w:rPr>
              <w:t>Correo electrónico:</w:t>
            </w:r>
          </w:p>
        </w:tc>
        <w:tc>
          <w:tcPr>
            <w:tcW w:w="5670" w:type="dxa"/>
          </w:tcPr>
          <w:p w:rsidRPr="001C59D9" w:rsidR="001C59D9" w:rsidP="00D264FF" w:rsidRDefault="00E24189" w14:paraId="32EC8961" w14:textId="72CA40F3">
            <w:pPr>
              <w:overflowPunct w:val="0"/>
              <w:autoSpaceDE w:val="0"/>
              <w:autoSpaceDN w:val="0"/>
              <w:adjustRightInd w:val="0"/>
              <w:spacing w:line="276" w:lineRule="auto"/>
              <w:textAlignment w:val="baseline"/>
              <w:rPr>
                <w:i/>
              </w:rPr>
            </w:pPr>
            <w:hyperlink w:history="1" r:id="rId50">
              <w:r w:rsidRPr="00E24189" w:rsidR="001C59D9">
                <w:rPr>
                  <w:rStyle w:val="Hyperlink"/>
                  <w:i/>
                </w:rPr>
                <w:t>Marie-Laurence.Drillon</w:t>
              </w:r>
              <w:r w:rsidRPr="00E24189" w:rsidR="001C59D9">
                <w:rPr>
                  <w:rStyle w:val="Hyperlink"/>
                  <w:i/>
                </w:rPr>
                <w:t>@</w:t>
              </w:r>
              <w:r w:rsidRPr="00E24189" w:rsidR="001C59D9">
                <w:rPr>
                  <w:rStyle w:val="Hyperlink"/>
                  <w:i/>
                </w:rPr>
                <w:t>eesc.europa.eu</w:t>
              </w:r>
            </w:hyperlink>
          </w:p>
        </w:tc>
      </w:tr>
    </w:tbl>
    <w:p w:rsidR="00395260" w:rsidP="00D264FF" w:rsidRDefault="00395260" w14:paraId="2D41024D" w14:textId="77777777">
      <w:pPr>
        <w:keepNext/>
        <w:keepLines/>
        <w:spacing w:line="276" w:lineRule="auto"/>
        <w:rPr>
          <w:lang w:val="en-GB"/>
        </w:rPr>
      </w:pPr>
    </w:p>
    <w:p w:rsidRPr="004135C1" w:rsidR="004135C1" w:rsidP="00D264FF" w:rsidRDefault="00A207FB" w14:paraId="4C6E69A7" w14:textId="1964BA73">
      <w:pPr>
        <w:widowControl w:val="0"/>
        <w:numPr>
          <w:ilvl w:val="0"/>
          <w:numId w:val="6"/>
        </w:numPr>
        <w:overflowPunct w:val="0"/>
        <w:autoSpaceDE w:val="0"/>
        <w:autoSpaceDN w:val="0"/>
        <w:adjustRightInd w:val="0"/>
        <w:spacing w:line="276" w:lineRule="auto"/>
        <w:ind w:hanging="567"/>
        <w:textAlignment w:val="baseline"/>
        <w:rPr>
          <w:sz w:val="20"/>
          <w:szCs w:val="20"/>
        </w:rPr>
      </w:pPr>
      <w:hyperlink w:history="1" r:id="rId51">
        <w:r w:rsidR="00DD115B">
          <w:rPr>
            <w:b/>
            <w:i/>
            <w:color w:val="0000FF"/>
            <w:sz w:val="28"/>
            <w:u w:val="single"/>
          </w:rPr>
          <w:t>Transformaciones industrial</w:t>
        </w:r>
        <w:r w:rsidR="00DD115B">
          <w:rPr>
            <w:b/>
            <w:i/>
            <w:color w:val="0000FF"/>
            <w:sz w:val="28"/>
            <w:u w:val="single"/>
          </w:rPr>
          <w:t>e</w:t>
        </w:r>
        <w:r w:rsidR="00DD115B">
          <w:rPr>
            <w:b/>
            <w:i/>
            <w:color w:val="0000FF"/>
            <w:sz w:val="28"/>
            <w:u w:val="single"/>
          </w:rPr>
          <w:t>s en el sector sanitario ante la multiplicación de las crisis</w:t>
        </w:r>
      </w:hyperlink>
    </w:p>
    <w:p w:rsidRPr="00E24189" w:rsidR="004135C1" w:rsidP="00E24189" w:rsidRDefault="004135C1" w14:paraId="42D81671" w14:textId="77777777">
      <w:pPr>
        <w:keepNext/>
        <w:keepLines/>
        <w:tabs>
          <w:tab w:val="center" w:pos="284"/>
        </w:tabs>
        <w:overflowPunct w:val="0"/>
        <w:autoSpaceDE w:val="0"/>
        <w:autoSpaceDN w:val="0"/>
        <w:adjustRightInd w:val="0"/>
        <w:spacing w:line="240" w:lineRule="auto"/>
        <w:ind w:left="266" w:hanging="266"/>
        <w:textAlignment w:val="baseline"/>
        <w:rPr>
          <w:bCs/>
          <w:lang w:val="en-GB"/>
        </w:rPr>
      </w:pPr>
    </w:p>
    <w:tbl>
      <w:tblPr>
        <w:tblStyle w:val="TableGrid1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487"/>
      </w:tblGrid>
      <w:tr w:rsidRPr="004135C1" w:rsidR="004135C1" w:rsidTr="00863A8F" w14:paraId="7437B509" w14:textId="77777777">
        <w:tc>
          <w:tcPr>
            <w:tcW w:w="1591" w:type="pct"/>
          </w:tcPr>
          <w:p w:rsidRPr="004135C1" w:rsidR="004135C1" w:rsidP="00D264FF" w:rsidRDefault="004135C1" w14:paraId="76E1C0AB"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3409" w:type="pct"/>
          </w:tcPr>
          <w:p w:rsidRPr="004135C1" w:rsidR="004135C1" w:rsidP="00D264FF" w:rsidRDefault="004135C1" w14:paraId="4DA9553C" w14:textId="48518E84">
            <w:pPr>
              <w:tabs>
                <w:tab w:val="center" w:pos="284"/>
              </w:tabs>
              <w:overflowPunct w:val="0"/>
              <w:autoSpaceDE w:val="0"/>
              <w:autoSpaceDN w:val="0"/>
              <w:adjustRightInd w:val="0"/>
              <w:spacing w:line="276" w:lineRule="auto"/>
              <w:ind w:left="266" w:hanging="266"/>
              <w:textAlignment w:val="baseline"/>
            </w:pPr>
            <w:r>
              <w:t>Florian MARIN (Grupo de Trabajadores – RO)</w:t>
            </w:r>
          </w:p>
        </w:tc>
      </w:tr>
      <w:tr w:rsidRPr="004135C1" w:rsidR="004135C1" w:rsidTr="00863A8F" w14:paraId="5792E4CB" w14:textId="77777777">
        <w:tc>
          <w:tcPr>
            <w:tcW w:w="1591" w:type="pct"/>
          </w:tcPr>
          <w:p w:rsidRPr="004135C1" w:rsidR="004135C1" w:rsidP="00D264FF" w:rsidRDefault="004135C1" w14:paraId="18291D19" w14:textId="77777777">
            <w:pPr>
              <w:tabs>
                <w:tab w:val="center" w:pos="284"/>
              </w:tabs>
              <w:overflowPunct w:val="0"/>
              <w:autoSpaceDE w:val="0"/>
              <w:autoSpaceDN w:val="0"/>
              <w:adjustRightInd w:val="0"/>
              <w:spacing w:line="276" w:lineRule="auto"/>
              <w:ind w:left="266" w:hanging="266"/>
              <w:textAlignment w:val="baseline"/>
              <w:rPr>
                <w:b/>
              </w:rPr>
            </w:pPr>
            <w:r>
              <w:rPr>
                <w:b/>
                <w:bCs/>
              </w:rPr>
              <w:t>Coponente</w:t>
            </w:r>
          </w:p>
        </w:tc>
        <w:tc>
          <w:tcPr>
            <w:tcW w:w="3409" w:type="pct"/>
          </w:tcPr>
          <w:p w:rsidRPr="004135C1" w:rsidR="004135C1" w:rsidP="00D264FF" w:rsidRDefault="004135C1" w14:paraId="7C4E0140" w14:textId="3D6E3C8F">
            <w:pPr>
              <w:tabs>
                <w:tab w:val="center" w:pos="284"/>
              </w:tabs>
              <w:overflowPunct w:val="0"/>
              <w:autoSpaceDE w:val="0"/>
              <w:autoSpaceDN w:val="0"/>
              <w:adjustRightInd w:val="0"/>
              <w:spacing w:line="276" w:lineRule="auto"/>
              <w:ind w:left="266" w:hanging="266"/>
              <w:textAlignment w:val="baseline"/>
            </w:pPr>
            <w:r>
              <w:t>Antonello PEZZINI (Cat.1 – IT)</w:t>
            </w:r>
          </w:p>
        </w:tc>
      </w:tr>
      <w:tr w:rsidRPr="004135C1" w:rsidR="004135C1" w:rsidTr="00863A8F" w14:paraId="35C56C8C" w14:textId="77777777">
        <w:tc>
          <w:tcPr>
            <w:tcW w:w="5000" w:type="pct"/>
            <w:gridSpan w:val="2"/>
          </w:tcPr>
          <w:p w:rsidRPr="004135C1" w:rsidR="004135C1" w:rsidP="00E24189" w:rsidRDefault="004135C1" w14:paraId="396012FE" w14:textId="77777777">
            <w:pPr>
              <w:keepNext/>
              <w:keepLines/>
              <w:tabs>
                <w:tab w:val="center" w:pos="284"/>
              </w:tabs>
              <w:overflowPunct w:val="0"/>
              <w:autoSpaceDE w:val="0"/>
              <w:autoSpaceDN w:val="0"/>
              <w:adjustRightInd w:val="0"/>
              <w:spacing w:line="240" w:lineRule="auto"/>
              <w:ind w:left="266" w:hanging="266"/>
              <w:textAlignment w:val="baseline"/>
            </w:pPr>
          </w:p>
        </w:tc>
      </w:tr>
      <w:tr w:rsidRPr="004135C1" w:rsidR="004135C1" w:rsidTr="00863A8F" w14:paraId="688A83AF" w14:textId="77777777">
        <w:tc>
          <w:tcPr>
            <w:tcW w:w="1591" w:type="pct"/>
            <w:vMerge w:val="restart"/>
          </w:tcPr>
          <w:p w:rsidRPr="004135C1" w:rsidR="004135C1" w:rsidP="00D264FF" w:rsidRDefault="004135C1" w14:paraId="71E1FB44" w14:textId="77777777">
            <w:pPr>
              <w:tabs>
                <w:tab w:val="center" w:pos="284"/>
              </w:tabs>
              <w:overflowPunct w:val="0"/>
              <w:autoSpaceDE w:val="0"/>
              <w:autoSpaceDN w:val="0"/>
              <w:adjustRightInd w:val="0"/>
              <w:spacing w:line="276" w:lineRule="auto"/>
              <w:ind w:left="266" w:hanging="266"/>
              <w:textAlignment w:val="baseline"/>
              <w:rPr>
                <w:b/>
              </w:rPr>
            </w:pPr>
            <w:r>
              <w:rPr>
                <w:b/>
                <w:bCs/>
              </w:rPr>
              <w:t>Referencia</w:t>
            </w:r>
          </w:p>
        </w:tc>
        <w:tc>
          <w:tcPr>
            <w:tcW w:w="3409" w:type="pct"/>
          </w:tcPr>
          <w:p w:rsidR="00A7132A" w:rsidP="00D264FF" w:rsidRDefault="00A7132A" w14:paraId="70BFA311" w14:textId="4D7B97E1">
            <w:pPr>
              <w:tabs>
                <w:tab w:val="center" w:pos="284"/>
              </w:tabs>
              <w:overflowPunct w:val="0"/>
              <w:autoSpaceDE w:val="0"/>
              <w:autoSpaceDN w:val="0"/>
              <w:adjustRightInd w:val="0"/>
              <w:spacing w:line="276" w:lineRule="auto"/>
              <w:ind w:left="266" w:hanging="266"/>
              <w:textAlignment w:val="baseline"/>
            </w:pPr>
            <w:r>
              <w:t>Dictamen de iniciativa</w:t>
            </w:r>
          </w:p>
          <w:p w:rsidRPr="004135C1" w:rsidR="004135C1" w:rsidP="00D264FF" w:rsidRDefault="004135C1" w14:paraId="057159B1" w14:textId="4915FDE9">
            <w:pPr>
              <w:tabs>
                <w:tab w:val="center" w:pos="284"/>
              </w:tabs>
              <w:overflowPunct w:val="0"/>
              <w:autoSpaceDE w:val="0"/>
              <w:autoSpaceDN w:val="0"/>
              <w:adjustRightInd w:val="0"/>
              <w:spacing w:line="276" w:lineRule="auto"/>
              <w:ind w:left="266" w:hanging="266"/>
              <w:textAlignment w:val="baseline"/>
            </w:pPr>
            <w:r>
              <w:t>EESC-2024-02033-00-00-AC</w:t>
            </w:r>
          </w:p>
        </w:tc>
      </w:tr>
      <w:tr w:rsidRPr="004135C1" w:rsidR="00E24189" w:rsidTr="00863A8F" w14:paraId="3A541F7A" w14:textId="77777777">
        <w:trPr>
          <w:gridAfter w:val="1"/>
          <w:wAfter w:w="3409" w:type="pct"/>
          <w:trHeight w:val="264"/>
        </w:trPr>
        <w:tc>
          <w:tcPr>
            <w:tcW w:w="1591" w:type="pct"/>
            <w:vMerge/>
          </w:tcPr>
          <w:p w:rsidRPr="004135C1" w:rsidR="00E24189" w:rsidP="00D264FF" w:rsidRDefault="00E24189" w14:paraId="24EACD1B" w14:textId="77777777">
            <w:pPr>
              <w:tabs>
                <w:tab w:val="center" w:pos="284"/>
              </w:tabs>
              <w:overflowPunct w:val="0"/>
              <w:autoSpaceDE w:val="0"/>
              <w:autoSpaceDN w:val="0"/>
              <w:adjustRightInd w:val="0"/>
              <w:spacing w:line="276" w:lineRule="auto"/>
              <w:ind w:left="266" w:hanging="266"/>
              <w:textAlignment w:val="baseline"/>
              <w:rPr>
                <w:b/>
              </w:rPr>
            </w:pPr>
          </w:p>
        </w:tc>
      </w:tr>
    </w:tbl>
    <w:p w:rsidRPr="004135C1" w:rsidR="004135C1" w:rsidP="00E24189" w:rsidRDefault="004135C1" w14:paraId="1D9F9916"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Puntos clave</w:t>
      </w:r>
    </w:p>
    <w:p w:rsidRPr="00E24189" w:rsidR="004135C1" w:rsidP="00E24189" w:rsidRDefault="004135C1" w14:paraId="0EC092D3" w14:textId="77777777">
      <w:pPr>
        <w:keepNext/>
        <w:keepLines/>
        <w:tabs>
          <w:tab w:val="center" w:pos="284"/>
        </w:tabs>
        <w:overflowPunct w:val="0"/>
        <w:autoSpaceDE w:val="0"/>
        <w:autoSpaceDN w:val="0"/>
        <w:adjustRightInd w:val="0"/>
        <w:spacing w:line="240" w:lineRule="auto"/>
        <w:ind w:left="266" w:hanging="266"/>
        <w:textAlignment w:val="baseline"/>
        <w:rPr>
          <w:bCs/>
          <w:lang w:val="en-GB"/>
        </w:rPr>
      </w:pPr>
    </w:p>
    <w:p w:rsidR="004135C1" w:rsidP="00E24189" w:rsidRDefault="004135C1" w14:paraId="0CCD541D" w14:textId="77777777">
      <w:pPr>
        <w:keepNext/>
        <w:keepLines/>
        <w:tabs>
          <w:tab w:val="center" w:pos="284"/>
        </w:tabs>
        <w:overflowPunct w:val="0"/>
        <w:autoSpaceDE w:val="0"/>
        <w:autoSpaceDN w:val="0"/>
        <w:adjustRightInd w:val="0"/>
        <w:spacing w:line="240" w:lineRule="auto"/>
        <w:ind w:left="266" w:hanging="266"/>
        <w:textAlignment w:val="baseline"/>
        <w:rPr>
          <w:bCs/>
          <w:iCs/>
        </w:rPr>
      </w:pPr>
      <w:r>
        <w:t>El CESE:</w:t>
      </w:r>
    </w:p>
    <w:p w:rsidRPr="004135C1" w:rsidR="009C4B7B" w:rsidP="00E24189" w:rsidRDefault="009C4B7B" w14:paraId="2F9A5642" w14:textId="77777777">
      <w:pPr>
        <w:keepNext/>
        <w:keepLines/>
        <w:tabs>
          <w:tab w:val="center" w:pos="284"/>
        </w:tabs>
        <w:overflowPunct w:val="0"/>
        <w:autoSpaceDE w:val="0"/>
        <w:autoSpaceDN w:val="0"/>
        <w:adjustRightInd w:val="0"/>
        <w:spacing w:line="240" w:lineRule="auto"/>
        <w:ind w:left="266" w:hanging="266"/>
        <w:textAlignment w:val="baseline"/>
        <w:rPr>
          <w:bCs/>
          <w:iCs/>
          <w:lang w:val="en-GB"/>
        </w:rPr>
      </w:pPr>
    </w:p>
    <w:p w:rsidRPr="004135C1" w:rsidR="004135C1" w:rsidP="00E24189" w:rsidRDefault="004135C1" w14:paraId="4A46FD7C" w14:textId="77777777">
      <w:pPr>
        <w:widowControl w:val="0"/>
        <w:numPr>
          <w:ilvl w:val="0"/>
          <w:numId w:val="44"/>
        </w:numPr>
        <w:overflowPunct w:val="0"/>
        <w:autoSpaceDE w:val="0"/>
        <w:autoSpaceDN w:val="0"/>
        <w:adjustRightInd w:val="0"/>
        <w:spacing w:line="276" w:lineRule="auto"/>
        <w:ind w:left="426" w:hanging="426"/>
        <w:textAlignment w:val="baseline"/>
        <w:rPr>
          <w:bCs/>
          <w:iCs/>
        </w:rPr>
      </w:pPr>
      <w:r>
        <w:t>considera que los sistemas sanitarios de la UE deben ser resilientes y capaces de responder a las perturbaciones, proteger la vida y ser inclusivos y equitativos, centrarse en las personas y ser accesibles, basarse en la investigación y la innovación, y ser objeto de coordinación entre los Estados miembros;</w:t>
      </w:r>
    </w:p>
    <w:p w:rsidRPr="004135C1" w:rsidR="004135C1" w:rsidP="007474FB" w:rsidRDefault="004135C1" w14:paraId="20774A8D" w14:textId="77777777">
      <w:pPr>
        <w:widowControl w:val="0"/>
        <w:numPr>
          <w:ilvl w:val="0"/>
          <w:numId w:val="44"/>
        </w:numPr>
        <w:overflowPunct w:val="0"/>
        <w:autoSpaceDE w:val="0"/>
        <w:autoSpaceDN w:val="0"/>
        <w:adjustRightInd w:val="0"/>
        <w:spacing w:line="276" w:lineRule="auto"/>
        <w:ind w:left="426" w:hanging="426"/>
        <w:textAlignment w:val="baseline"/>
        <w:rPr>
          <w:bCs/>
          <w:iCs/>
          <w:szCs w:val="20"/>
        </w:rPr>
      </w:pPr>
      <w:r>
        <w:lastRenderedPageBreak/>
        <w:t>pide a la Comisión Europea que incluya entre las prioridades del mandato 2024-2029 la salud y el impulso de la integración de los sistemas sanitarios nacionales, y que las respalde prestando un apoyo institucional ambicioso y aumentando las inversiones;</w:t>
      </w:r>
    </w:p>
    <w:p w:rsidRPr="004135C1" w:rsidR="004135C1" w:rsidP="007474FB" w:rsidRDefault="004135C1" w14:paraId="1B73C829" w14:textId="77777777">
      <w:pPr>
        <w:widowControl w:val="0"/>
        <w:numPr>
          <w:ilvl w:val="0"/>
          <w:numId w:val="44"/>
        </w:numPr>
        <w:overflowPunct w:val="0"/>
        <w:autoSpaceDE w:val="0"/>
        <w:autoSpaceDN w:val="0"/>
        <w:adjustRightInd w:val="0"/>
        <w:spacing w:line="276" w:lineRule="auto"/>
        <w:ind w:left="426" w:hanging="426"/>
        <w:textAlignment w:val="baseline"/>
        <w:rPr>
          <w:bCs/>
          <w:iCs/>
          <w:szCs w:val="20"/>
        </w:rPr>
      </w:pPr>
      <w:r>
        <w:t>acoge con satisfacción la Ley de Medicamentos Esenciales anunciada en las orientaciones políticas para la nueva Comisión y pide que se refuerce la cooperación en este ámbito con los Estados miembros, las partes interesadas públicas y privadas, el mundo académico y la sociedad civil;</w:t>
      </w:r>
    </w:p>
    <w:p w:rsidRPr="004135C1" w:rsidR="004135C1" w:rsidP="007474FB" w:rsidRDefault="004135C1" w14:paraId="43D28491" w14:textId="77777777">
      <w:pPr>
        <w:widowControl w:val="0"/>
        <w:numPr>
          <w:ilvl w:val="0"/>
          <w:numId w:val="44"/>
        </w:numPr>
        <w:overflowPunct w:val="0"/>
        <w:autoSpaceDE w:val="0"/>
        <w:autoSpaceDN w:val="0"/>
        <w:adjustRightInd w:val="0"/>
        <w:spacing w:line="276" w:lineRule="auto"/>
        <w:ind w:left="426" w:hanging="426"/>
        <w:textAlignment w:val="baseline"/>
        <w:rPr>
          <w:bCs/>
          <w:iCs/>
          <w:szCs w:val="20"/>
        </w:rPr>
      </w:pPr>
      <w:r>
        <w:t>aboga por un enfoque integrado, pluridimensional y centrado en el paciente que garantice el acceso a medicamentos, diagnósticos y tratamientos seguros, eficaces y de calidad;</w:t>
      </w:r>
    </w:p>
    <w:p w:rsidRPr="004135C1" w:rsidR="004135C1" w:rsidP="007474FB" w:rsidRDefault="004135C1" w14:paraId="7E3486F0" w14:textId="77777777">
      <w:pPr>
        <w:widowControl w:val="0"/>
        <w:numPr>
          <w:ilvl w:val="0"/>
          <w:numId w:val="44"/>
        </w:numPr>
        <w:overflowPunct w:val="0"/>
        <w:autoSpaceDE w:val="0"/>
        <w:autoSpaceDN w:val="0"/>
        <w:adjustRightInd w:val="0"/>
        <w:spacing w:line="276" w:lineRule="auto"/>
        <w:ind w:left="426" w:hanging="426"/>
        <w:textAlignment w:val="baseline"/>
        <w:rPr>
          <w:rFonts w:asciiTheme="minorHAnsi" w:hAnsiTheme="minorHAnsi"/>
          <w:szCs w:val="20"/>
        </w:rPr>
      </w:pPr>
      <w:r>
        <w:t>propone emprender una serie de medidas concretas destinadas a promover la competitividad y la resiliencia del sector, mejorar las condiciones de trabajo del mismo y, a su vez, reducir las dependencias de terceros países y evitar la escasez de medicamentos. En particular, recomienda actualizar la lista de actos que abordan la vía de transición en materia de salud (health transition pathway) para seguir reforzando el mercado único en el sector sanitario;</w:t>
      </w:r>
    </w:p>
    <w:p w:rsidRPr="004135C1" w:rsidR="004135C1" w:rsidP="007474FB" w:rsidRDefault="004135C1" w14:paraId="4029A457" w14:textId="77777777">
      <w:pPr>
        <w:widowControl w:val="0"/>
        <w:numPr>
          <w:ilvl w:val="0"/>
          <w:numId w:val="44"/>
        </w:numPr>
        <w:overflowPunct w:val="0"/>
        <w:autoSpaceDE w:val="0"/>
        <w:autoSpaceDN w:val="0"/>
        <w:adjustRightInd w:val="0"/>
        <w:spacing w:line="276" w:lineRule="auto"/>
        <w:ind w:left="426" w:hanging="426"/>
        <w:textAlignment w:val="baseline"/>
        <w:rPr>
          <w:rFonts w:asciiTheme="minorHAnsi" w:hAnsiTheme="minorHAnsi"/>
          <w:szCs w:val="20"/>
        </w:rPr>
      </w:pPr>
      <w:r>
        <w:t>reconoce la transformación digital del sector sanitario y pide un uso de la inteligencia artificial (IA) centrado en el ser humano, una mayor interoperabilidad de los datos, espacios digitales compartidos y seguros y una protección reforzada frente a los riesgos cibernéticos;</w:t>
      </w:r>
    </w:p>
    <w:p w:rsidRPr="004135C1" w:rsidR="004135C1" w:rsidP="007474FB" w:rsidRDefault="004135C1" w14:paraId="189280E3" w14:textId="77777777">
      <w:pPr>
        <w:widowControl w:val="0"/>
        <w:numPr>
          <w:ilvl w:val="0"/>
          <w:numId w:val="44"/>
        </w:numPr>
        <w:overflowPunct w:val="0"/>
        <w:autoSpaceDE w:val="0"/>
        <w:autoSpaceDN w:val="0"/>
        <w:adjustRightInd w:val="0"/>
        <w:spacing w:line="276" w:lineRule="auto"/>
        <w:ind w:left="426" w:hanging="426"/>
        <w:textAlignment w:val="baseline"/>
        <w:rPr>
          <w:rFonts w:asciiTheme="minorHAnsi" w:hAnsiTheme="minorHAnsi"/>
          <w:szCs w:val="20"/>
        </w:rPr>
      </w:pPr>
      <w:r>
        <w:t>apoya la innovación como motor de la competitividad y pide una infraestructura pública supranacional de investigación de medicamentos;</w:t>
      </w:r>
    </w:p>
    <w:p w:rsidRPr="004135C1" w:rsidR="004135C1" w:rsidP="007474FB" w:rsidRDefault="004135C1" w14:paraId="476751CA" w14:textId="77777777">
      <w:pPr>
        <w:widowControl w:val="0"/>
        <w:numPr>
          <w:ilvl w:val="0"/>
          <w:numId w:val="44"/>
        </w:numPr>
        <w:overflowPunct w:val="0"/>
        <w:autoSpaceDE w:val="0"/>
        <w:autoSpaceDN w:val="0"/>
        <w:adjustRightInd w:val="0"/>
        <w:spacing w:line="276" w:lineRule="auto"/>
        <w:ind w:left="426" w:hanging="426"/>
        <w:textAlignment w:val="baseline"/>
        <w:rPr>
          <w:rFonts w:asciiTheme="minorHAnsi" w:hAnsiTheme="minorHAnsi"/>
          <w:szCs w:val="20"/>
        </w:rPr>
      </w:pPr>
      <w:r>
        <w:t>destaca el potencial de la medicina preventiva y personalizada y la necesidad de aumentar las inversiones en el ámbito de las enfermedades raras;</w:t>
      </w:r>
    </w:p>
    <w:p w:rsidRPr="004135C1" w:rsidR="004135C1" w:rsidP="007474FB" w:rsidRDefault="004135C1" w14:paraId="61B99D9A" w14:textId="77777777">
      <w:pPr>
        <w:widowControl w:val="0"/>
        <w:numPr>
          <w:ilvl w:val="0"/>
          <w:numId w:val="44"/>
        </w:numPr>
        <w:overflowPunct w:val="0"/>
        <w:autoSpaceDE w:val="0"/>
        <w:autoSpaceDN w:val="0"/>
        <w:adjustRightInd w:val="0"/>
        <w:spacing w:line="276" w:lineRule="auto"/>
        <w:ind w:left="426" w:hanging="426"/>
        <w:textAlignment w:val="baseline"/>
        <w:rPr>
          <w:rFonts w:asciiTheme="minorHAnsi" w:hAnsiTheme="minorHAnsi"/>
          <w:szCs w:val="20"/>
        </w:rPr>
      </w:pPr>
      <w:r>
        <w:t xml:space="preserve">destaca la importancia de garantizar un acceso universal y equitativo a la asistencia sanitaria y a los medicamentos en toda la Unión, lo que comprende precios asequibles basados en el «modelo de fijación del precio justo». </w:t>
      </w:r>
    </w:p>
    <w:p w:rsidRPr="00E068E4" w:rsidR="004135C1" w:rsidP="00E068E4" w:rsidRDefault="004135C1" w14:paraId="28E01A61" w14:textId="77777777">
      <w:pPr>
        <w:widowControl w:val="0"/>
        <w:overflowPunct w:val="0"/>
        <w:autoSpaceDE w:val="0"/>
        <w:autoSpaceDN w:val="0"/>
        <w:adjustRightInd w:val="0"/>
        <w:spacing w:line="276" w:lineRule="auto"/>
        <w:textAlignment w:val="baseline"/>
        <w:rPr>
          <w:szCs w:val="20"/>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4135C1" w:rsidR="004135C1" w:rsidTr="00863A8F" w14:paraId="0D9DE5D8" w14:textId="77777777">
        <w:tc>
          <w:tcPr>
            <w:tcW w:w="1556" w:type="pct"/>
          </w:tcPr>
          <w:p w:rsidRPr="004135C1" w:rsidR="004135C1" w:rsidP="00D264FF" w:rsidRDefault="004135C1" w14:paraId="3860B143" w14:textId="77777777">
            <w:pPr>
              <w:overflowPunct w:val="0"/>
              <w:autoSpaceDE w:val="0"/>
              <w:autoSpaceDN w:val="0"/>
              <w:adjustRightInd w:val="0"/>
              <w:spacing w:line="276" w:lineRule="auto"/>
              <w:textAlignment w:val="baseline"/>
              <w:rPr>
                <w:i/>
              </w:rPr>
            </w:pPr>
            <w:r>
              <w:rPr>
                <w:b/>
                <w:i/>
              </w:rPr>
              <w:t>Contacto:</w:t>
            </w:r>
          </w:p>
        </w:tc>
        <w:tc>
          <w:tcPr>
            <w:tcW w:w="3444" w:type="pct"/>
          </w:tcPr>
          <w:p w:rsidRPr="004135C1" w:rsidR="004135C1" w:rsidP="00D264FF" w:rsidRDefault="004135C1" w14:paraId="707D2FC1" w14:textId="37692FEF">
            <w:pPr>
              <w:overflowPunct w:val="0"/>
              <w:autoSpaceDE w:val="0"/>
              <w:autoSpaceDN w:val="0"/>
              <w:adjustRightInd w:val="0"/>
              <w:spacing w:line="276" w:lineRule="auto"/>
              <w:textAlignment w:val="baseline"/>
              <w:rPr>
                <w:i/>
              </w:rPr>
            </w:pPr>
            <w:r>
              <w:rPr>
                <w:i/>
              </w:rPr>
              <w:t>Laia Tomàs Vinardell</w:t>
            </w:r>
          </w:p>
        </w:tc>
      </w:tr>
      <w:tr w:rsidRPr="004135C1" w:rsidR="004135C1" w:rsidTr="00863A8F" w14:paraId="52696548" w14:textId="77777777">
        <w:tc>
          <w:tcPr>
            <w:tcW w:w="1556" w:type="pct"/>
          </w:tcPr>
          <w:p w:rsidRPr="004135C1" w:rsidR="004135C1" w:rsidP="00D264FF" w:rsidRDefault="004135C1" w14:paraId="7D874424" w14:textId="77777777">
            <w:pPr>
              <w:overflowPunct w:val="0"/>
              <w:autoSpaceDE w:val="0"/>
              <w:autoSpaceDN w:val="0"/>
              <w:adjustRightInd w:val="0"/>
              <w:spacing w:line="276" w:lineRule="auto"/>
              <w:textAlignment w:val="baseline"/>
              <w:rPr>
                <w:i/>
              </w:rPr>
            </w:pPr>
            <w:r>
              <w:rPr>
                <w:i/>
              </w:rPr>
              <w:t>Teléfono:</w:t>
            </w:r>
          </w:p>
        </w:tc>
        <w:tc>
          <w:tcPr>
            <w:tcW w:w="3444" w:type="pct"/>
          </w:tcPr>
          <w:p w:rsidRPr="004135C1" w:rsidR="004135C1" w:rsidP="00D264FF" w:rsidRDefault="004135C1" w14:paraId="494E0D84" w14:textId="77777777">
            <w:pPr>
              <w:overflowPunct w:val="0"/>
              <w:autoSpaceDE w:val="0"/>
              <w:autoSpaceDN w:val="0"/>
              <w:adjustRightInd w:val="0"/>
              <w:spacing w:line="276" w:lineRule="auto"/>
              <w:textAlignment w:val="baseline"/>
              <w:rPr>
                <w:i/>
              </w:rPr>
            </w:pPr>
            <w:r>
              <w:rPr>
                <w:i/>
              </w:rPr>
              <w:t>+32 25469149</w:t>
            </w:r>
          </w:p>
        </w:tc>
      </w:tr>
      <w:tr w:rsidRPr="004135C1" w:rsidR="004135C1" w:rsidTr="00863A8F" w14:paraId="683775F3" w14:textId="77777777">
        <w:tc>
          <w:tcPr>
            <w:tcW w:w="1556" w:type="pct"/>
          </w:tcPr>
          <w:p w:rsidRPr="004135C1" w:rsidR="004135C1" w:rsidP="00E068E4" w:rsidRDefault="004135C1" w14:paraId="305F5D50" w14:textId="77777777">
            <w:pPr>
              <w:overflowPunct w:val="0"/>
              <w:autoSpaceDE w:val="0"/>
              <w:autoSpaceDN w:val="0"/>
              <w:adjustRightInd w:val="0"/>
              <w:spacing w:line="276" w:lineRule="auto"/>
              <w:textAlignment w:val="baseline"/>
              <w:rPr>
                <w:i/>
              </w:rPr>
            </w:pPr>
            <w:r>
              <w:rPr>
                <w:i/>
              </w:rPr>
              <w:t>Correo electrónico:</w:t>
            </w:r>
          </w:p>
        </w:tc>
        <w:tc>
          <w:tcPr>
            <w:tcW w:w="3444" w:type="pct"/>
          </w:tcPr>
          <w:p w:rsidRPr="004135C1" w:rsidR="0052039C" w:rsidP="00E068E4" w:rsidRDefault="00A207FB" w14:paraId="558B9DF4" w14:textId="53E70D00">
            <w:pPr>
              <w:overflowPunct w:val="0"/>
              <w:autoSpaceDE w:val="0"/>
              <w:autoSpaceDN w:val="0"/>
              <w:adjustRightInd w:val="0"/>
              <w:spacing w:line="276" w:lineRule="auto"/>
              <w:textAlignment w:val="baseline"/>
              <w:rPr>
                <w:i/>
              </w:rPr>
            </w:pPr>
            <w:hyperlink w:history="1" r:id="rId52">
              <w:r w:rsidR="00DD115B">
                <w:rPr>
                  <w:i/>
                  <w:color w:val="0000FF"/>
                  <w:u w:val="single"/>
                </w:rPr>
                <w:t>Laia.To</w:t>
              </w:r>
              <w:r w:rsidR="00DD115B">
                <w:rPr>
                  <w:i/>
                  <w:color w:val="0000FF"/>
                  <w:u w:val="single"/>
                </w:rPr>
                <w:t>m</w:t>
              </w:r>
              <w:r w:rsidR="00DD115B">
                <w:rPr>
                  <w:i/>
                  <w:color w:val="0000FF"/>
                  <w:u w:val="single"/>
                </w:rPr>
                <w:t>asVinardell@eesc.europa.eu</w:t>
              </w:r>
            </w:hyperlink>
          </w:p>
        </w:tc>
      </w:tr>
    </w:tbl>
    <w:p w:rsidRPr="00E068E4" w:rsidR="00E068E4" w:rsidP="00E068E4" w:rsidRDefault="00E068E4" w14:paraId="555E6FBC" w14:textId="77777777">
      <w:pPr>
        <w:overflowPunct w:val="0"/>
        <w:autoSpaceDE w:val="0"/>
        <w:autoSpaceDN w:val="0"/>
        <w:adjustRightInd w:val="0"/>
        <w:spacing w:line="276" w:lineRule="auto"/>
        <w:textAlignment w:val="baseline"/>
        <w:rPr>
          <w:sz w:val="28"/>
          <w:szCs w:val="28"/>
        </w:rPr>
      </w:pPr>
    </w:p>
    <w:p w:rsidRPr="002B1BC5" w:rsidR="004135C1" w:rsidP="00E068E4" w:rsidRDefault="00A207FB" w14:paraId="2EA45047" w14:textId="22C6E4EE">
      <w:pPr>
        <w:numPr>
          <w:ilvl w:val="0"/>
          <w:numId w:val="6"/>
        </w:numPr>
        <w:overflowPunct w:val="0"/>
        <w:autoSpaceDE w:val="0"/>
        <w:autoSpaceDN w:val="0"/>
        <w:adjustRightInd w:val="0"/>
        <w:spacing w:line="276" w:lineRule="auto"/>
        <w:ind w:hanging="567"/>
        <w:textAlignment w:val="baseline"/>
        <w:rPr>
          <w:b/>
          <w:bCs/>
          <w:i/>
          <w:iCs/>
          <w:color w:val="0000FF"/>
          <w:sz w:val="28"/>
          <w:szCs w:val="28"/>
          <w:u w:val="single"/>
        </w:rPr>
      </w:pPr>
      <w:hyperlink w:history="1" r:id="rId53">
        <w:r w:rsidR="004135C1">
          <w:rPr>
            <w:b/>
            <w:i/>
            <w:color w:val="0000FF"/>
            <w:sz w:val="28"/>
            <w:u w:val="single"/>
          </w:rPr>
          <w:t>Servicios profesionales en la transición ecológica</w:t>
        </w:r>
      </w:hyperlink>
    </w:p>
    <w:p w:rsidRPr="007474FB" w:rsidR="001D7E3C" w:rsidP="00E068E4" w:rsidRDefault="001D7E3C" w14:paraId="61373B3B" w14:textId="77777777">
      <w:pPr>
        <w:tabs>
          <w:tab w:val="center" w:pos="284"/>
        </w:tabs>
        <w:overflowPunct w:val="0"/>
        <w:autoSpaceDE w:val="0"/>
        <w:autoSpaceDN w:val="0"/>
        <w:adjustRightInd w:val="0"/>
        <w:spacing w:line="276" w:lineRule="auto"/>
        <w:ind w:left="266" w:hanging="266"/>
        <w:textAlignment w:val="baseline"/>
        <w:rPr>
          <w:bCs/>
          <w:lang w:val="en-GB"/>
        </w:rPr>
      </w:pPr>
    </w:p>
    <w:tbl>
      <w:tblPr>
        <w:tblStyle w:val="TableGrid17"/>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5"/>
        <w:gridCol w:w="7028"/>
      </w:tblGrid>
      <w:tr w:rsidRPr="004135C1" w:rsidR="004135C1" w:rsidTr="00863A8F" w14:paraId="140B809D" w14:textId="77777777">
        <w:tc>
          <w:tcPr>
            <w:tcW w:w="1148" w:type="pct"/>
          </w:tcPr>
          <w:p w:rsidRPr="004135C1" w:rsidR="004135C1" w:rsidP="00E068E4" w:rsidRDefault="004135C1" w14:paraId="0B968550" w14:textId="77777777">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3852" w:type="pct"/>
          </w:tcPr>
          <w:p w:rsidRPr="00643D0B" w:rsidR="004135C1" w:rsidP="00E068E4" w:rsidRDefault="004135C1" w14:paraId="288511E0" w14:textId="00FD0DFA">
            <w:pPr>
              <w:tabs>
                <w:tab w:val="center" w:pos="284"/>
              </w:tabs>
              <w:overflowPunct w:val="0"/>
              <w:autoSpaceDE w:val="0"/>
              <w:autoSpaceDN w:val="0"/>
              <w:adjustRightInd w:val="0"/>
              <w:spacing w:line="276" w:lineRule="auto"/>
              <w:ind w:left="266" w:hanging="266"/>
              <w:textAlignment w:val="baseline"/>
            </w:pPr>
            <w:r>
              <w:t>Violeta JELIĆ (Grupo de Empresarios – HR)</w:t>
            </w:r>
          </w:p>
        </w:tc>
      </w:tr>
      <w:tr w:rsidRPr="004135C1" w:rsidR="004135C1" w:rsidTr="00863A8F" w14:paraId="43C07CCE" w14:textId="77777777">
        <w:tc>
          <w:tcPr>
            <w:tcW w:w="1148" w:type="pct"/>
          </w:tcPr>
          <w:p w:rsidRPr="004135C1" w:rsidR="004135C1" w:rsidP="00E068E4" w:rsidRDefault="004135C1" w14:paraId="1851D065" w14:textId="77777777">
            <w:pPr>
              <w:tabs>
                <w:tab w:val="center" w:pos="284"/>
              </w:tabs>
              <w:overflowPunct w:val="0"/>
              <w:autoSpaceDE w:val="0"/>
              <w:autoSpaceDN w:val="0"/>
              <w:adjustRightInd w:val="0"/>
              <w:spacing w:line="276" w:lineRule="auto"/>
              <w:ind w:left="266" w:hanging="266"/>
              <w:textAlignment w:val="baseline"/>
              <w:rPr>
                <w:b/>
              </w:rPr>
            </w:pPr>
            <w:r>
              <w:rPr>
                <w:b/>
                <w:bCs/>
              </w:rPr>
              <w:t>Coponente</w:t>
            </w:r>
          </w:p>
        </w:tc>
        <w:tc>
          <w:tcPr>
            <w:tcW w:w="3852" w:type="pct"/>
          </w:tcPr>
          <w:p w:rsidRPr="00643D0B" w:rsidR="004135C1" w:rsidP="00E068E4" w:rsidRDefault="004135C1" w14:paraId="15B45F80" w14:textId="070DDFA1">
            <w:pPr>
              <w:tabs>
                <w:tab w:val="center" w:pos="284"/>
              </w:tabs>
              <w:overflowPunct w:val="0"/>
              <w:autoSpaceDE w:val="0"/>
              <w:autoSpaceDN w:val="0"/>
              <w:adjustRightInd w:val="0"/>
              <w:spacing w:line="276" w:lineRule="auto"/>
              <w:ind w:left="266" w:hanging="266"/>
              <w:textAlignment w:val="baseline"/>
            </w:pPr>
            <w:r>
              <w:t>Gaetano STELLA (Cat. 3 – IT)</w:t>
            </w:r>
          </w:p>
        </w:tc>
      </w:tr>
      <w:tr w:rsidRPr="004135C1" w:rsidR="004135C1" w:rsidTr="00863A8F" w14:paraId="466DF065" w14:textId="77777777">
        <w:tc>
          <w:tcPr>
            <w:tcW w:w="5000" w:type="pct"/>
            <w:gridSpan w:val="2"/>
          </w:tcPr>
          <w:p w:rsidRPr="000C68EA" w:rsidR="004135C1" w:rsidP="007474FB" w:rsidRDefault="004135C1" w14:paraId="4A80B35E" w14:textId="77777777">
            <w:pPr>
              <w:tabs>
                <w:tab w:val="center" w:pos="284"/>
              </w:tabs>
              <w:overflowPunct w:val="0"/>
              <w:autoSpaceDE w:val="0"/>
              <w:autoSpaceDN w:val="0"/>
              <w:adjustRightInd w:val="0"/>
              <w:spacing w:line="240" w:lineRule="auto"/>
              <w:ind w:left="266" w:hanging="266"/>
              <w:textAlignment w:val="baseline"/>
            </w:pPr>
          </w:p>
        </w:tc>
      </w:tr>
      <w:tr w:rsidRPr="004135C1" w:rsidR="004135C1" w:rsidTr="00863A8F" w14:paraId="6B9424B3" w14:textId="77777777">
        <w:tc>
          <w:tcPr>
            <w:tcW w:w="1148" w:type="pct"/>
          </w:tcPr>
          <w:p w:rsidRPr="00643D0B" w:rsidR="004135C1" w:rsidP="007474FB" w:rsidRDefault="004135C1" w14:paraId="02AC24F7" w14:textId="77777777">
            <w:pPr>
              <w:tabs>
                <w:tab w:val="center" w:pos="284"/>
              </w:tabs>
              <w:overflowPunct w:val="0"/>
              <w:autoSpaceDE w:val="0"/>
              <w:autoSpaceDN w:val="0"/>
              <w:adjustRightInd w:val="0"/>
              <w:spacing w:line="240" w:lineRule="auto"/>
              <w:ind w:left="266" w:hanging="266"/>
              <w:textAlignment w:val="baseline"/>
              <w:rPr>
                <w:b/>
              </w:rPr>
            </w:pPr>
            <w:r>
              <w:rPr>
                <w:b/>
                <w:bCs/>
              </w:rPr>
              <w:t>Referencia</w:t>
            </w:r>
          </w:p>
        </w:tc>
        <w:tc>
          <w:tcPr>
            <w:tcW w:w="3852" w:type="pct"/>
          </w:tcPr>
          <w:p w:rsidRPr="00643D0B" w:rsidR="00533F3C" w:rsidP="007474FB" w:rsidRDefault="00533F3C" w14:paraId="11CA740D" w14:textId="4B9D5513">
            <w:pPr>
              <w:tabs>
                <w:tab w:val="center" w:pos="284"/>
              </w:tabs>
              <w:overflowPunct w:val="0"/>
              <w:autoSpaceDE w:val="0"/>
              <w:autoSpaceDN w:val="0"/>
              <w:adjustRightInd w:val="0"/>
              <w:spacing w:line="240" w:lineRule="auto"/>
              <w:ind w:left="266" w:hanging="266"/>
              <w:textAlignment w:val="baseline"/>
            </w:pPr>
            <w:r>
              <w:t>Dictamen de iniciativa</w:t>
            </w:r>
          </w:p>
          <w:p w:rsidRPr="00BB600D" w:rsidR="004135C1" w:rsidP="007474FB" w:rsidRDefault="004135C1" w14:paraId="2112DC24" w14:textId="3A48DE1E">
            <w:pPr>
              <w:tabs>
                <w:tab w:val="center" w:pos="284"/>
              </w:tabs>
              <w:overflowPunct w:val="0"/>
              <w:autoSpaceDE w:val="0"/>
              <w:autoSpaceDN w:val="0"/>
              <w:adjustRightInd w:val="0"/>
              <w:spacing w:line="240" w:lineRule="auto"/>
              <w:ind w:left="266" w:hanging="266"/>
              <w:textAlignment w:val="baseline"/>
            </w:pPr>
            <w:r>
              <w:rPr>
                <w:sz w:val="22"/>
              </w:rPr>
              <w:t>EESC-2024-01953-00-00-</w:t>
            </w:r>
            <w:r>
              <w:t>AC</w:t>
            </w:r>
          </w:p>
        </w:tc>
      </w:tr>
    </w:tbl>
    <w:p w:rsidRPr="007474FB" w:rsidR="007474FB" w:rsidP="007474FB" w:rsidRDefault="007474FB" w14:paraId="07F95021" w14:textId="77777777">
      <w:pPr>
        <w:tabs>
          <w:tab w:val="center" w:pos="284"/>
        </w:tabs>
        <w:overflowPunct w:val="0"/>
        <w:autoSpaceDE w:val="0"/>
        <w:autoSpaceDN w:val="0"/>
        <w:adjustRightInd w:val="0"/>
        <w:spacing w:line="240" w:lineRule="auto"/>
        <w:ind w:left="266" w:hanging="266"/>
        <w:textAlignment w:val="baseline"/>
        <w:rPr>
          <w:bCs/>
        </w:rPr>
      </w:pPr>
    </w:p>
    <w:p w:rsidRPr="004135C1" w:rsidR="004135C1" w:rsidP="007474FB" w:rsidRDefault="004135C1" w14:paraId="175B13F6" w14:textId="0135CCAA">
      <w:pPr>
        <w:tabs>
          <w:tab w:val="center" w:pos="284"/>
        </w:tabs>
        <w:overflowPunct w:val="0"/>
        <w:autoSpaceDE w:val="0"/>
        <w:autoSpaceDN w:val="0"/>
        <w:adjustRightInd w:val="0"/>
        <w:spacing w:line="240" w:lineRule="auto"/>
        <w:ind w:left="266" w:hanging="266"/>
        <w:textAlignment w:val="baseline"/>
        <w:rPr>
          <w:b/>
        </w:rPr>
      </w:pPr>
      <w:r>
        <w:rPr>
          <w:b/>
        </w:rPr>
        <w:t>Puntos clave</w:t>
      </w:r>
    </w:p>
    <w:p w:rsidRPr="007474FB" w:rsidR="004135C1" w:rsidP="007474FB" w:rsidRDefault="004135C1" w14:paraId="1C197A05" w14:textId="77777777">
      <w:pPr>
        <w:tabs>
          <w:tab w:val="center" w:pos="284"/>
        </w:tabs>
        <w:overflowPunct w:val="0"/>
        <w:autoSpaceDE w:val="0"/>
        <w:autoSpaceDN w:val="0"/>
        <w:adjustRightInd w:val="0"/>
        <w:spacing w:line="240" w:lineRule="auto"/>
        <w:ind w:left="266" w:hanging="266"/>
        <w:textAlignment w:val="baseline"/>
        <w:rPr>
          <w:bCs/>
          <w:lang w:val="en-GB"/>
        </w:rPr>
      </w:pPr>
    </w:p>
    <w:p w:rsidR="004135C1" w:rsidP="007474FB" w:rsidRDefault="004135C1" w14:paraId="186AC765" w14:textId="77777777">
      <w:pPr>
        <w:overflowPunct w:val="0"/>
        <w:autoSpaceDE w:val="0"/>
        <w:autoSpaceDN w:val="0"/>
        <w:adjustRightInd w:val="0"/>
        <w:spacing w:line="240" w:lineRule="auto"/>
        <w:textAlignment w:val="baseline"/>
        <w:rPr>
          <w:bCs/>
          <w:iCs/>
        </w:rPr>
      </w:pPr>
      <w:r>
        <w:t>El CESE:</w:t>
      </w:r>
    </w:p>
    <w:p w:rsidR="00E937A4" w:rsidP="007474FB" w:rsidRDefault="00E937A4" w14:paraId="1630A997" w14:textId="77777777">
      <w:pPr>
        <w:overflowPunct w:val="0"/>
        <w:autoSpaceDE w:val="0"/>
        <w:autoSpaceDN w:val="0"/>
        <w:adjustRightInd w:val="0"/>
        <w:spacing w:line="120" w:lineRule="auto"/>
        <w:textAlignment w:val="baseline"/>
        <w:rPr>
          <w:bCs/>
          <w:iCs/>
          <w:lang w:val="en-GB"/>
        </w:rPr>
      </w:pPr>
    </w:p>
    <w:p w:rsidRPr="004135C1" w:rsidR="004135C1" w:rsidP="007474FB" w:rsidRDefault="004135C1" w14:paraId="53701C4C" w14:textId="77777777">
      <w:pPr>
        <w:numPr>
          <w:ilvl w:val="0"/>
          <w:numId w:val="45"/>
        </w:numPr>
        <w:overflowPunct w:val="0"/>
        <w:autoSpaceDE w:val="0"/>
        <w:autoSpaceDN w:val="0"/>
        <w:adjustRightInd w:val="0"/>
        <w:spacing w:line="276" w:lineRule="auto"/>
        <w:ind w:left="426" w:hanging="426"/>
        <w:textAlignment w:val="baseline"/>
        <w:rPr>
          <w:bCs/>
          <w:iCs/>
        </w:rPr>
      </w:pPr>
      <w:r>
        <w:t>contribuye con este Dictamen al esfuerzo conjunto por restablecer la competitividad de Europa y reforzar su posición industrial, mejorando al mismo tiempo el rendimiento de las empresas europeas en la transición ecológica;</w:t>
      </w:r>
    </w:p>
    <w:p w:rsidRPr="004135C1" w:rsidR="004135C1" w:rsidP="007474FB" w:rsidRDefault="004135C1" w14:paraId="0EFA68B4" w14:textId="77777777">
      <w:pPr>
        <w:numPr>
          <w:ilvl w:val="0"/>
          <w:numId w:val="45"/>
        </w:numPr>
        <w:overflowPunct w:val="0"/>
        <w:autoSpaceDE w:val="0"/>
        <w:autoSpaceDN w:val="0"/>
        <w:adjustRightInd w:val="0"/>
        <w:spacing w:line="276" w:lineRule="auto"/>
        <w:ind w:left="426" w:hanging="426"/>
        <w:textAlignment w:val="baseline"/>
        <w:rPr>
          <w:bCs/>
          <w:iCs/>
        </w:rPr>
      </w:pPr>
      <w:r>
        <w:t>reconoce el papel fundamental que desempeñan los servicios profesionales en la transición ecológica;</w:t>
      </w:r>
    </w:p>
    <w:p w:rsidRPr="004135C1" w:rsidR="004135C1" w:rsidP="007474FB" w:rsidRDefault="004135C1" w14:paraId="378F73BE" w14:textId="77777777">
      <w:pPr>
        <w:numPr>
          <w:ilvl w:val="0"/>
          <w:numId w:val="45"/>
        </w:numPr>
        <w:overflowPunct w:val="0"/>
        <w:autoSpaceDE w:val="0"/>
        <w:autoSpaceDN w:val="0"/>
        <w:adjustRightInd w:val="0"/>
        <w:spacing w:line="276" w:lineRule="auto"/>
        <w:ind w:left="426" w:hanging="426"/>
        <w:textAlignment w:val="baseline"/>
        <w:rPr>
          <w:bCs/>
          <w:iCs/>
        </w:rPr>
      </w:pPr>
      <w:r>
        <w:t>siente preocupación por la posibilidad de que el proceso de ecologización pueda estancarse debido a la escasez de mano de obra y de capacidades, a la inadecuación de las competencias y al aumento de las cargas normativas y administrativas y de los costes, así como a los nuevos retos que plantean los rápidos cambios en las cadenas de suministro;</w:t>
      </w:r>
    </w:p>
    <w:p w:rsidRPr="004135C1" w:rsidR="004135C1" w:rsidP="007474FB" w:rsidRDefault="004135C1" w14:paraId="15581C43" w14:textId="51F4B3B8">
      <w:pPr>
        <w:widowControl w:val="0"/>
        <w:numPr>
          <w:ilvl w:val="0"/>
          <w:numId w:val="45"/>
        </w:numPr>
        <w:overflowPunct w:val="0"/>
        <w:autoSpaceDE w:val="0"/>
        <w:autoSpaceDN w:val="0"/>
        <w:adjustRightInd w:val="0"/>
        <w:spacing w:line="276" w:lineRule="auto"/>
        <w:ind w:left="426" w:hanging="426"/>
        <w:textAlignment w:val="baseline"/>
        <w:rPr>
          <w:bCs/>
          <w:iCs/>
        </w:rPr>
      </w:pPr>
      <w:r>
        <w:lastRenderedPageBreak/>
        <w:t>espera que los cambios en las dinámicas de las cadenas de suministro manufactureras ayuden a reubicar las cadenas de valor y fomenten la relocalización, y que muchas empresas se planteen volver a traer la producción y los servicios que antes deslocalizaron a países no pertenecientes a la</w:t>
      </w:r>
      <w:r w:rsidR="007474FB">
        <w:t> </w:t>
      </w:r>
      <w:r>
        <w:t>UE;</w:t>
      </w:r>
    </w:p>
    <w:p w:rsidRPr="004135C1" w:rsidR="004135C1" w:rsidP="007474FB" w:rsidRDefault="004135C1" w14:paraId="704100D1" w14:textId="77777777">
      <w:pPr>
        <w:widowControl w:val="0"/>
        <w:numPr>
          <w:ilvl w:val="0"/>
          <w:numId w:val="45"/>
        </w:numPr>
        <w:overflowPunct w:val="0"/>
        <w:autoSpaceDE w:val="0"/>
        <w:autoSpaceDN w:val="0"/>
        <w:adjustRightInd w:val="0"/>
        <w:spacing w:line="276" w:lineRule="auto"/>
        <w:ind w:left="426" w:hanging="426"/>
        <w:textAlignment w:val="baseline"/>
        <w:rPr>
          <w:bCs/>
          <w:iCs/>
        </w:rPr>
      </w:pPr>
      <w:r>
        <w:t>cree que es preciso poner en práctica la nueva visión de la unión de las competencias. Es necesario llevar a cabo reformas coherentes en los sistemas educativos para adaptar los planes de estudio a los cambios en el mundo laboral, apoyar todos los programas educativos pertinentes (también en CTIM), aplicar una nueva estrategia de educación y formación profesional (EFP), y respaldar a los profesores y mejorar la coordinación a escala de la UE;</w:t>
      </w:r>
    </w:p>
    <w:p w:rsidRPr="004135C1" w:rsidR="004135C1" w:rsidP="007474FB" w:rsidRDefault="004135C1" w14:paraId="08C940E6" w14:textId="77777777">
      <w:pPr>
        <w:widowControl w:val="0"/>
        <w:numPr>
          <w:ilvl w:val="0"/>
          <w:numId w:val="45"/>
        </w:numPr>
        <w:overflowPunct w:val="0"/>
        <w:autoSpaceDE w:val="0"/>
        <w:autoSpaceDN w:val="0"/>
        <w:adjustRightInd w:val="0"/>
        <w:spacing w:line="276" w:lineRule="auto"/>
        <w:ind w:left="426" w:hanging="426"/>
        <w:textAlignment w:val="baseline"/>
        <w:rPr>
          <w:bCs/>
          <w:iCs/>
        </w:rPr>
      </w:pPr>
      <w:r>
        <w:t>también reconoce la necesidad de fomentar las iniciativas educativas, a nivel tanto de la UE como de los Estados miembros. Esto podría implicar incentivos financieros específicos para cursos de EFP destinados a la ecologización de los servicios profesionales, o el establecimiento de cursos académicos a escala de la UE para incorporar a nuevos profesionales o formar a los profesionales en activo en objetivos de sostenibilidad, y promover tanto la adaptación como las mejoras en las capacidades y los puestos de trabajo existentes (programas de mejora de las capacidades y de reciclaje profesional). Estas iniciativas también podrían crear nuevas capacidades para las transiciones ecológica y digital, que pueden considerarse una «doble transición» en el sentido de que van de la mano y pueden reforzarse mutuamente;</w:t>
      </w:r>
    </w:p>
    <w:p w:rsidRPr="004135C1" w:rsidR="004135C1" w:rsidP="007474FB" w:rsidRDefault="004135C1" w14:paraId="2BCB6B7B" w14:textId="77777777">
      <w:pPr>
        <w:widowControl w:val="0"/>
        <w:numPr>
          <w:ilvl w:val="0"/>
          <w:numId w:val="45"/>
        </w:numPr>
        <w:overflowPunct w:val="0"/>
        <w:autoSpaceDE w:val="0"/>
        <w:autoSpaceDN w:val="0"/>
        <w:adjustRightInd w:val="0"/>
        <w:spacing w:line="276" w:lineRule="auto"/>
        <w:ind w:left="426" w:hanging="426"/>
        <w:textAlignment w:val="baseline"/>
        <w:rPr>
          <w:bCs/>
          <w:iCs/>
        </w:rPr>
      </w:pPr>
      <w:r>
        <w:t>propone orientar las políticas para apoyar la creación de redes de servicios profesionales con objeto de mejorar la escala operativa de las actividades conexas, teniendo debidamente en cuenta las características específicas de cada Estado miembro;</w:t>
      </w:r>
    </w:p>
    <w:p w:rsidR="001D7E3C" w:rsidP="007474FB" w:rsidRDefault="004135C1" w14:paraId="35E722CE" w14:textId="02CAFE41">
      <w:pPr>
        <w:widowControl w:val="0"/>
        <w:numPr>
          <w:ilvl w:val="0"/>
          <w:numId w:val="45"/>
        </w:numPr>
        <w:overflowPunct w:val="0"/>
        <w:autoSpaceDE w:val="0"/>
        <w:autoSpaceDN w:val="0"/>
        <w:adjustRightInd w:val="0"/>
        <w:spacing w:line="276" w:lineRule="auto"/>
        <w:ind w:left="426" w:hanging="426"/>
        <w:textAlignment w:val="baseline"/>
        <w:rPr>
          <w:bCs/>
          <w:iCs/>
        </w:rPr>
      </w:pPr>
      <w:r>
        <w:t>considera que el déficit de cualificaciones podría subsanarse siguiendo las propuestas anteriores y formando a profesionales cualificados dentro de Europa, o atrayendo a profesionales de fuera de la</w:t>
      </w:r>
      <w:r w:rsidR="007474FB">
        <w:t> </w:t>
      </w:r>
      <w:r>
        <w:t>UE a través de políticas e iniciativas;</w:t>
      </w:r>
    </w:p>
    <w:p w:rsidR="00E937A4" w:rsidP="007474FB" w:rsidRDefault="004135C1" w14:paraId="7F2EF97F" w14:textId="3AD0ECF9">
      <w:pPr>
        <w:widowControl w:val="0"/>
        <w:numPr>
          <w:ilvl w:val="0"/>
          <w:numId w:val="45"/>
        </w:numPr>
        <w:overflowPunct w:val="0"/>
        <w:autoSpaceDE w:val="0"/>
        <w:autoSpaceDN w:val="0"/>
        <w:adjustRightInd w:val="0"/>
        <w:spacing w:line="276" w:lineRule="auto"/>
        <w:ind w:left="426" w:hanging="426"/>
        <w:textAlignment w:val="baseline"/>
        <w:rPr>
          <w:bCs/>
          <w:iCs/>
        </w:rPr>
      </w:pPr>
      <w:r>
        <w:t>subraya el importante papel que desempeñan los interlocutores sociales, las organizaciones de servicios profesionales y otras organizaciones de la sociedad civil pertinentes para llevar a cabo con éxito los procesos de transición ecológica justa;</w:t>
      </w:r>
    </w:p>
    <w:p w:rsidR="004135C1" w:rsidP="007474FB" w:rsidRDefault="004135C1" w14:paraId="482673F9" w14:textId="77777777">
      <w:pPr>
        <w:widowControl w:val="0"/>
        <w:numPr>
          <w:ilvl w:val="0"/>
          <w:numId w:val="45"/>
        </w:numPr>
        <w:overflowPunct w:val="0"/>
        <w:autoSpaceDE w:val="0"/>
        <w:autoSpaceDN w:val="0"/>
        <w:adjustRightInd w:val="0"/>
        <w:spacing w:line="276" w:lineRule="auto"/>
        <w:ind w:left="426" w:hanging="426"/>
        <w:textAlignment w:val="baseline"/>
        <w:rPr>
          <w:bCs/>
          <w:iCs/>
        </w:rPr>
      </w:pPr>
      <w:r>
        <w:t>también destaca otros retos en el contexto general de la prestación de servicios profesionales, como las barreras al reconocimiento de las cualificaciones, que deberán eliminarse para contribuir a potenciar la movilidad profesional y abordar las carencias de competencias. El CESE recomienda que se prosigan los continuos esfuerzos en este ámbito, también a través de dictámenes de seguimiento sobre estas cuestiones.</w:t>
      </w:r>
    </w:p>
    <w:p w:rsidRPr="004135C1" w:rsidR="000016DA" w:rsidP="00D264FF" w:rsidRDefault="000016DA" w14:paraId="1AB122AC" w14:textId="77777777">
      <w:pPr>
        <w:widowControl w:val="0"/>
        <w:overflowPunct w:val="0"/>
        <w:autoSpaceDE w:val="0"/>
        <w:autoSpaceDN w:val="0"/>
        <w:adjustRightInd w:val="0"/>
        <w:spacing w:line="276" w:lineRule="auto"/>
        <w:ind w:left="284"/>
        <w:textAlignment w:val="baseline"/>
        <w:rPr>
          <w:bCs/>
          <w:iCs/>
          <w:lang w:val="en-GB"/>
        </w:rPr>
      </w:pPr>
    </w:p>
    <w:tbl>
      <w:tblPr>
        <w:tblStyle w:val="TableGrid1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4"/>
        <w:gridCol w:w="4636"/>
      </w:tblGrid>
      <w:tr w:rsidRPr="004135C1" w:rsidR="004135C1" w:rsidTr="00863A8F" w14:paraId="4C9E1B01" w14:textId="77777777">
        <w:tc>
          <w:tcPr>
            <w:tcW w:w="1556" w:type="pct"/>
          </w:tcPr>
          <w:p w:rsidRPr="004135C1" w:rsidR="004135C1" w:rsidP="00D264FF" w:rsidRDefault="004135C1" w14:paraId="45233C97" w14:textId="77777777">
            <w:pPr>
              <w:overflowPunct w:val="0"/>
              <w:autoSpaceDE w:val="0"/>
              <w:autoSpaceDN w:val="0"/>
              <w:adjustRightInd w:val="0"/>
              <w:spacing w:line="276" w:lineRule="auto"/>
              <w:textAlignment w:val="baseline"/>
              <w:rPr>
                <w:i/>
              </w:rPr>
            </w:pPr>
            <w:r>
              <w:rPr>
                <w:b/>
                <w:i/>
              </w:rPr>
              <w:t>Contacto:</w:t>
            </w:r>
          </w:p>
        </w:tc>
        <w:tc>
          <w:tcPr>
            <w:tcW w:w="3444" w:type="pct"/>
          </w:tcPr>
          <w:p w:rsidRPr="00B62613" w:rsidR="004135C1" w:rsidP="00D264FF" w:rsidRDefault="004135C1" w14:paraId="73D850BB" w14:textId="77777777">
            <w:pPr>
              <w:overflowPunct w:val="0"/>
              <w:autoSpaceDE w:val="0"/>
              <w:autoSpaceDN w:val="0"/>
              <w:adjustRightInd w:val="0"/>
              <w:spacing w:line="276" w:lineRule="auto"/>
              <w:textAlignment w:val="baseline"/>
              <w:rPr>
                <w:bCs/>
                <w:i/>
              </w:rPr>
            </w:pPr>
            <w:r w:rsidRPr="00B62613">
              <w:rPr>
                <w:bCs/>
                <w:i/>
              </w:rPr>
              <w:t>Ioannis DIAMANTOPOULOS</w:t>
            </w:r>
          </w:p>
        </w:tc>
      </w:tr>
      <w:tr w:rsidRPr="004135C1" w:rsidR="004135C1" w:rsidTr="00863A8F" w14:paraId="0FC85F78" w14:textId="77777777">
        <w:tc>
          <w:tcPr>
            <w:tcW w:w="1556" w:type="pct"/>
          </w:tcPr>
          <w:p w:rsidRPr="004135C1" w:rsidR="004135C1" w:rsidP="00D264FF" w:rsidRDefault="004135C1" w14:paraId="687EE5FA" w14:textId="77777777">
            <w:pPr>
              <w:overflowPunct w:val="0"/>
              <w:autoSpaceDE w:val="0"/>
              <w:autoSpaceDN w:val="0"/>
              <w:adjustRightInd w:val="0"/>
              <w:spacing w:line="276" w:lineRule="auto"/>
              <w:textAlignment w:val="baseline"/>
              <w:rPr>
                <w:i/>
              </w:rPr>
            </w:pPr>
            <w:r>
              <w:rPr>
                <w:i/>
              </w:rPr>
              <w:t>Teléfono:</w:t>
            </w:r>
          </w:p>
        </w:tc>
        <w:tc>
          <w:tcPr>
            <w:tcW w:w="3444" w:type="pct"/>
          </w:tcPr>
          <w:p w:rsidRPr="004135C1" w:rsidR="004135C1" w:rsidP="00D264FF" w:rsidRDefault="004135C1" w14:paraId="6749A83F" w14:textId="77777777">
            <w:pPr>
              <w:overflowPunct w:val="0"/>
              <w:autoSpaceDE w:val="0"/>
              <w:autoSpaceDN w:val="0"/>
              <w:adjustRightInd w:val="0"/>
              <w:spacing w:line="276" w:lineRule="auto"/>
              <w:textAlignment w:val="baseline"/>
              <w:rPr>
                <w:i/>
              </w:rPr>
            </w:pPr>
            <w:r>
              <w:rPr>
                <w:i/>
              </w:rPr>
              <w:t>+32 25469170</w:t>
            </w:r>
          </w:p>
        </w:tc>
      </w:tr>
      <w:tr w:rsidRPr="004135C1" w:rsidR="004135C1" w:rsidTr="00863A8F" w14:paraId="3DB36BB4" w14:textId="77777777">
        <w:tc>
          <w:tcPr>
            <w:tcW w:w="1556" w:type="pct"/>
          </w:tcPr>
          <w:p w:rsidRPr="00643D0B" w:rsidR="004135C1" w:rsidP="00D264FF" w:rsidRDefault="004135C1" w14:paraId="15032542" w14:textId="77777777">
            <w:pPr>
              <w:overflowPunct w:val="0"/>
              <w:autoSpaceDE w:val="0"/>
              <w:autoSpaceDN w:val="0"/>
              <w:adjustRightInd w:val="0"/>
              <w:spacing w:line="276" w:lineRule="auto"/>
              <w:textAlignment w:val="baseline"/>
              <w:rPr>
                <w:iCs/>
              </w:rPr>
            </w:pPr>
            <w:r>
              <w:t>Correo electrónico:</w:t>
            </w:r>
          </w:p>
        </w:tc>
        <w:tc>
          <w:tcPr>
            <w:tcW w:w="3444" w:type="pct"/>
          </w:tcPr>
          <w:p w:rsidRPr="004135C1" w:rsidR="004135C1" w:rsidP="00D264FF" w:rsidRDefault="00A207FB" w14:paraId="34B92454" w14:textId="77777777">
            <w:pPr>
              <w:overflowPunct w:val="0"/>
              <w:autoSpaceDE w:val="0"/>
              <w:autoSpaceDN w:val="0"/>
              <w:adjustRightInd w:val="0"/>
              <w:spacing w:line="276" w:lineRule="auto"/>
              <w:textAlignment w:val="baseline"/>
              <w:rPr>
                <w:i/>
              </w:rPr>
            </w:pPr>
            <w:hyperlink w:history="1" r:id="rId54">
              <w:r w:rsidR="004135C1">
                <w:rPr>
                  <w:i/>
                  <w:color w:val="0000FF"/>
                  <w:u w:val="single"/>
                </w:rPr>
                <w:t>Ioannis.Diamantopoulos@eesc.europa.eu</w:t>
              </w:r>
            </w:hyperlink>
          </w:p>
        </w:tc>
      </w:tr>
    </w:tbl>
    <w:p w:rsidRPr="001C59D9" w:rsidR="004135C1" w:rsidP="00D264FF" w:rsidRDefault="004135C1" w14:paraId="6CFA8AD0" w14:textId="77777777">
      <w:pPr>
        <w:keepNext/>
        <w:keepLines/>
        <w:spacing w:line="276" w:lineRule="auto"/>
        <w:rPr>
          <w:lang w:val="en-GB"/>
        </w:rPr>
      </w:pPr>
    </w:p>
    <w:p w:rsidR="00395260" w:rsidP="00D264FF" w:rsidRDefault="00395260" w14:paraId="3A6F59B7" w14:textId="77777777">
      <w:pPr>
        <w:keepNext/>
        <w:keepLines/>
        <w:spacing w:line="276" w:lineRule="auto"/>
      </w:pPr>
    </w:p>
    <w:p w:rsidR="000D394D" w:rsidP="00D264FF" w:rsidRDefault="000127B6" w14:paraId="2E28EF19" w14:textId="0CD21960">
      <w:pPr>
        <w:spacing w:line="276" w:lineRule="auto"/>
        <w:jc w:val="center"/>
      </w:pPr>
      <w:r>
        <w:t>_____________</w:t>
      </w:r>
    </w:p>
    <w:sectPr w:rsidR="000D394D" w:rsidSect="00902A1F">
      <w:headerReference w:type="even" r:id="rId55"/>
      <w:headerReference w:type="default" r:id="rId56"/>
      <w:footerReference w:type="even" r:id="rId57"/>
      <w:footerReference w:type="default" r:id="rId58"/>
      <w:headerReference w:type="first" r:id="rId59"/>
      <w:footerReference w:type="first" r:id="rId60"/>
      <w:pgSz w:w="11907" w:h="1683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4C18" w14:textId="77777777" w:rsidR="00902A1F" w:rsidRPr="00902A1F" w:rsidRDefault="00902A1F" w:rsidP="00902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DBEE3B3" w:rsidR="00B518C9"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rsidR="00643D0B">
      <w:t>1</w:t>
    </w:r>
    <w:r>
      <w:fldChar w:fldCharType="end"/>
    </w:r>
    <w:r>
      <w:t>/</w:t>
    </w:r>
    <w:r w:rsidR="00A207FB">
      <w:fldChar w:fldCharType="begin"/>
    </w:r>
    <w:r w:rsidR="00A207FB">
      <w:instrText xml:space="preserve"> NUMPAGES </w:instrText>
    </w:r>
    <w:r w:rsidR="00A207FB">
      <w:fldChar w:fldCharType="separate"/>
    </w:r>
    <w:r w:rsidR="00643D0B">
      <w:t>1</w:t>
    </w:r>
    <w:r w:rsidR="00A207F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CA7" w14:textId="77777777" w:rsidR="00902A1F" w:rsidRPr="00902A1F" w:rsidRDefault="00902A1F" w:rsidP="00902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902A1F" w:rsidRDefault="00F32856" w:rsidP="00902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38E5B715" w:rsidR="00F32856" w:rsidRPr="00902A1F" w:rsidRDefault="00902A1F" w:rsidP="00902A1F">
    <w:pPr>
      <w:pStyle w:val="Footer"/>
    </w:pPr>
    <w:r>
      <w:t xml:space="preserve">EESC-2024-04018-00-00-TCD-TRA (EN) </w:t>
    </w:r>
    <w:r>
      <w:fldChar w:fldCharType="begin"/>
    </w:r>
    <w:r>
      <w:instrText xml:space="preserve"> PAGE  \* Arabic  \* MERGEFORMAT </w:instrText>
    </w:r>
    <w:r>
      <w:fldChar w:fldCharType="separate"/>
    </w:r>
    <w:r>
      <w:t>2</w:t>
    </w:r>
    <w:r>
      <w:fldChar w:fldCharType="end"/>
    </w:r>
    <w:r>
      <w:t>/</w:t>
    </w:r>
    <w:r w:rsidR="00A207FB">
      <w:fldChar w:fldCharType="begin"/>
    </w:r>
    <w:r w:rsidR="00A207FB">
      <w:instrText xml:space="preserve"> NUMPAGES </w:instrText>
    </w:r>
    <w:r w:rsidR="00A207FB">
      <w:fldChar w:fldCharType="separate"/>
    </w:r>
    <w:r>
      <w:t>27</w:t>
    </w:r>
    <w:r w:rsidR="00A207F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902A1F" w:rsidRDefault="00F32856" w:rsidP="00902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F857" w14:textId="77777777" w:rsidR="00902A1F" w:rsidRPr="00902A1F" w:rsidRDefault="00902A1F" w:rsidP="00902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8716" w14:textId="01AC7515" w:rsidR="00902A1F" w:rsidRPr="00902A1F" w:rsidRDefault="00902A1F" w:rsidP="00902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6718" w14:textId="77777777" w:rsidR="00902A1F" w:rsidRPr="00902A1F" w:rsidRDefault="00902A1F" w:rsidP="00902A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902A1F" w:rsidRDefault="00F32856" w:rsidP="00902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3A04F623" w:rsidR="00F32856" w:rsidRPr="00902A1F" w:rsidRDefault="00F32856" w:rsidP="00902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902A1F" w:rsidRDefault="00F32856" w:rsidP="0090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4546156A"/>
    <w:lvl w:ilvl="0">
      <w:numFmt w:val="decimal"/>
      <w:lvlText w:val="*"/>
      <w:lvlJc w:val="left"/>
    </w:lvl>
  </w:abstractNum>
  <w:abstractNum w:abstractNumId="2" w15:restartNumberingAfterBreak="0">
    <w:nsid w:val="013C0428"/>
    <w:multiLevelType w:val="hybridMultilevel"/>
    <w:tmpl w:val="3FB0A6B6"/>
    <w:lvl w:ilvl="0" w:tplc="5B7E5B14">
      <w:start w:val="1"/>
      <w:numFmt w:val="bullet"/>
      <w:lvlText w:val=""/>
      <w:lvlJc w:val="left"/>
      <w:pPr>
        <w:ind w:left="928" w:hanging="360"/>
      </w:pPr>
      <w:rPr>
        <w:rFonts w:ascii="Symbol" w:hAnsi="Symbol" w:hint="default"/>
        <w:color w:val="auto"/>
      </w:rPr>
    </w:lvl>
    <w:lvl w:ilvl="1" w:tplc="10000003">
      <w:start w:val="1"/>
      <w:numFmt w:val="bullet"/>
      <w:lvlText w:val="o"/>
      <w:lvlJc w:val="left"/>
      <w:pPr>
        <w:ind w:left="1648" w:hanging="360"/>
      </w:pPr>
      <w:rPr>
        <w:rFonts w:ascii="Courier New" w:hAnsi="Courier New" w:cs="Courier New" w:hint="default"/>
      </w:rPr>
    </w:lvl>
    <w:lvl w:ilvl="2" w:tplc="10000005" w:tentative="1">
      <w:start w:val="1"/>
      <w:numFmt w:val="bullet"/>
      <w:lvlText w:val=""/>
      <w:lvlJc w:val="left"/>
      <w:pPr>
        <w:ind w:left="2368" w:hanging="360"/>
      </w:pPr>
      <w:rPr>
        <w:rFonts w:ascii="Wingdings" w:hAnsi="Wingdings" w:hint="default"/>
      </w:rPr>
    </w:lvl>
    <w:lvl w:ilvl="3" w:tplc="10000001" w:tentative="1">
      <w:start w:val="1"/>
      <w:numFmt w:val="bullet"/>
      <w:lvlText w:val=""/>
      <w:lvlJc w:val="left"/>
      <w:pPr>
        <w:ind w:left="3088" w:hanging="360"/>
      </w:pPr>
      <w:rPr>
        <w:rFonts w:ascii="Symbol" w:hAnsi="Symbol" w:hint="default"/>
      </w:rPr>
    </w:lvl>
    <w:lvl w:ilvl="4" w:tplc="10000003" w:tentative="1">
      <w:start w:val="1"/>
      <w:numFmt w:val="bullet"/>
      <w:lvlText w:val="o"/>
      <w:lvlJc w:val="left"/>
      <w:pPr>
        <w:ind w:left="3808" w:hanging="360"/>
      </w:pPr>
      <w:rPr>
        <w:rFonts w:ascii="Courier New" w:hAnsi="Courier New" w:cs="Courier New" w:hint="default"/>
      </w:rPr>
    </w:lvl>
    <w:lvl w:ilvl="5" w:tplc="10000005" w:tentative="1">
      <w:start w:val="1"/>
      <w:numFmt w:val="bullet"/>
      <w:lvlText w:val=""/>
      <w:lvlJc w:val="left"/>
      <w:pPr>
        <w:ind w:left="4528" w:hanging="360"/>
      </w:pPr>
      <w:rPr>
        <w:rFonts w:ascii="Wingdings" w:hAnsi="Wingdings" w:hint="default"/>
      </w:rPr>
    </w:lvl>
    <w:lvl w:ilvl="6" w:tplc="10000001" w:tentative="1">
      <w:start w:val="1"/>
      <w:numFmt w:val="bullet"/>
      <w:lvlText w:val=""/>
      <w:lvlJc w:val="left"/>
      <w:pPr>
        <w:ind w:left="5248" w:hanging="360"/>
      </w:pPr>
      <w:rPr>
        <w:rFonts w:ascii="Symbol" w:hAnsi="Symbol" w:hint="default"/>
      </w:rPr>
    </w:lvl>
    <w:lvl w:ilvl="7" w:tplc="10000003" w:tentative="1">
      <w:start w:val="1"/>
      <w:numFmt w:val="bullet"/>
      <w:lvlText w:val="o"/>
      <w:lvlJc w:val="left"/>
      <w:pPr>
        <w:ind w:left="5968" w:hanging="360"/>
      </w:pPr>
      <w:rPr>
        <w:rFonts w:ascii="Courier New" w:hAnsi="Courier New" w:cs="Courier New" w:hint="default"/>
      </w:rPr>
    </w:lvl>
    <w:lvl w:ilvl="8" w:tplc="10000005" w:tentative="1">
      <w:start w:val="1"/>
      <w:numFmt w:val="bullet"/>
      <w:lvlText w:val=""/>
      <w:lvlJc w:val="left"/>
      <w:pPr>
        <w:ind w:left="6688" w:hanging="360"/>
      </w:pPr>
      <w:rPr>
        <w:rFonts w:ascii="Wingdings" w:hAnsi="Wingdings" w:hint="default"/>
      </w:rPr>
    </w:lvl>
  </w:abstractNum>
  <w:abstractNum w:abstractNumId="3" w15:restartNumberingAfterBreak="0">
    <w:nsid w:val="01827DE3"/>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239029C"/>
    <w:multiLevelType w:val="hybridMultilevel"/>
    <w:tmpl w:val="CC265D90"/>
    <w:lvl w:ilvl="0" w:tplc="5B7E5B14">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55362C4"/>
    <w:multiLevelType w:val="hybridMultilevel"/>
    <w:tmpl w:val="983A5CB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79C2842"/>
    <w:multiLevelType w:val="hybridMultilevel"/>
    <w:tmpl w:val="30663F5C"/>
    <w:lvl w:ilvl="0" w:tplc="5B7E5B14">
      <w:start w:val="1"/>
      <w:numFmt w:val="bullet"/>
      <w:lvlText w:val=""/>
      <w:lvlJc w:val="left"/>
      <w:pPr>
        <w:ind w:left="1571" w:hanging="360"/>
      </w:pPr>
      <w:rPr>
        <w:rFonts w:ascii="Symbol" w:hAnsi="Symbol" w:hint="default"/>
        <w:color w:val="auto"/>
      </w:rPr>
    </w:lvl>
    <w:lvl w:ilvl="1" w:tplc="10000003" w:tentative="1">
      <w:start w:val="1"/>
      <w:numFmt w:val="bullet"/>
      <w:lvlText w:val="o"/>
      <w:lvlJc w:val="left"/>
      <w:pPr>
        <w:ind w:left="2291" w:hanging="360"/>
      </w:pPr>
      <w:rPr>
        <w:rFonts w:ascii="Courier New" w:hAnsi="Courier New" w:cs="Courier New" w:hint="default"/>
      </w:rPr>
    </w:lvl>
    <w:lvl w:ilvl="2" w:tplc="10000005" w:tentative="1">
      <w:start w:val="1"/>
      <w:numFmt w:val="bullet"/>
      <w:lvlText w:val=""/>
      <w:lvlJc w:val="left"/>
      <w:pPr>
        <w:ind w:left="3011" w:hanging="360"/>
      </w:pPr>
      <w:rPr>
        <w:rFonts w:ascii="Wingdings" w:hAnsi="Wingdings" w:hint="default"/>
      </w:rPr>
    </w:lvl>
    <w:lvl w:ilvl="3" w:tplc="10000001" w:tentative="1">
      <w:start w:val="1"/>
      <w:numFmt w:val="bullet"/>
      <w:lvlText w:val=""/>
      <w:lvlJc w:val="left"/>
      <w:pPr>
        <w:ind w:left="3731" w:hanging="360"/>
      </w:pPr>
      <w:rPr>
        <w:rFonts w:ascii="Symbol" w:hAnsi="Symbol" w:hint="default"/>
      </w:rPr>
    </w:lvl>
    <w:lvl w:ilvl="4" w:tplc="10000003" w:tentative="1">
      <w:start w:val="1"/>
      <w:numFmt w:val="bullet"/>
      <w:lvlText w:val="o"/>
      <w:lvlJc w:val="left"/>
      <w:pPr>
        <w:ind w:left="4451" w:hanging="360"/>
      </w:pPr>
      <w:rPr>
        <w:rFonts w:ascii="Courier New" w:hAnsi="Courier New" w:cs="Courier New" w:hint="default"/>
      </w:rPr>
    </w:lvl>
    <w:lvl w:ilvl="5" w:tplc="10000005" w:tentative="1">
      <w:start w:val="1"/>
      <w:numFmt w:val="bullet"/>
      <w:lvlText w:val=""/>
      <w:lvlJc w:val="left"/>
      <w:pPr>
        <w:ind w:left="5171" w:hanging="360"/>
      </w:pPr>
      <w:rPr>
        <w:rFonts w:ascii="Wingdings" w:hAnsi="Wingdings" w:hint="default"/>
      </w:rPr>
    </w:lvl>
    <w:lvl w:ilvl="6" w:tplc="10000001" w:tentative="1">
      <w:start w:val="1"/>
      <w:numFmt w:val="bullet"/>
      <w:lvlText w:val=""/>
      <w:lvlJc w:val="left"/>
      <w:pPr>
        <w:ind w:left="5891" w:hanging="360"/>
      </w:pPr>
      <w:rPr>
        <w:rFonts w:ascii="Symbol" w:hAnsi="Symbol" w:hint="default"/>
      </w:rPr>
    </w:lvl>
    <w:lvl w:ilvl="7" w:tplc="10000003" w:tentative="1">
      <w:start w:val="1"/>
      <w:numFmt w:val="bullet"/>
      <w:lvlText w:val="o"/>
      <w:lvlJc w:val="left"/>
      <w:pPr>
        <w:ind w:left="6611" w:hanging="360"/>
      </w:pPr>
      <w:rPr>
        <w:rFonts w:ascii="Courier New" w:hAnsi="Courier New" w:cs="Courier New" w:hint="default"/>
      </w:rPr>
    </w:lvl>
    <w:lvl w:ilvl="8" w:tplc="10000005" w:tentative="1">
      <w:start w:val="1"/>
      <w:numFmt w:val="bullet"/>
      <w:lvlText w:val=""/>
      <w:lvlJc w:val="left"/>
      <w:pPr>
        <w:ind w:left="7331" w:hanging="360"/>
      </w:pPr>
      <w:rPr>
        <w:rFonts w:ascii="Wingdings" w:hAnsi="Wingdings" w:hint="default"/>
      </w:rPr>
    </w:lvl>
  </w:abstractNum>
  <w:abstractNum w:abstractNumId="7" w15:restartNumberingAfterBreak="0">
    <w:nsid w:val="0A8F44DD"/>
    <w:multiLevelType w:val="hybridMultilevel"/>
    <w:tmpl w:val="148EF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 w15:restartNumberingAfterBreak="0">
    <w:nsid w:val="0D5D641C"/>
    <w:multiLevelType w:val="multilevel"/>
    <w:tmpl w:val="988A5340"/>
    <w:lvl w:ilvl="0">
      <w:start w:val="1"/>
      <w:numFmt w:val="bullet"/>
      <w:lvlText w:val=""/>
      <w:lvlJc w:val="left"/>
      <w:rPr>
        <w:rFonts w:ascii="Symbol" w:hAnsi="Symbol" w:hint="default"/>
        <w:color w:val="auto"/>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0E6A28EC"/>
    <w:multiLevelType w:val="hybridMultilevel"/>
    <w:tmpl w:val="AE848A0E"/>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10147BE8"/>
    <w:multiLevelType w:val="hybridMultilevel"/>
    <w:tmpl w:val="A43644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1"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8180516"/>
    <w:multiLevelType w:val="hybridMultilevel"/>
    <w:tmpl w:val="A300B5B2"/>
    <w:lvl w:ilvl="0" w:tplc="5B7E5B14">
      <w:start w:val="1"/>
      <w:numFmt w:val="bullet"/>
      <w:lvlText w:val=""/>
      <w:lvlJc w:val="left"/>
      <w:pPr>
        <w:ind w:left="720" w:hanging="360"/>
      </w:pPr>
      <w:rPr>
        <w:rFonts w:ascii="Symbol" w:hAnsi="Symbol" w:hint="default"/>
        <w:color w:val="auto"/>
      </w:rPr>
    </w:lvl>
    <w:lvl w:ilvl="1" w:tplc="5B7E5B14">
      <w:start w:val="1"/>
      <w:numFmt w:val="bullet"/>
      <w:lvlText w:val=""/>
      <w:lvlJc w:val="left"/>
      <w:pPr>
        <w:ind w:left="928" w:hanging="360"/>
      </w:pPr>
      <w:rPr>
        <w:rFonts w:ascii="Symbol" w:hAnsi="Symbol" w:hint="default"/>
        <w:color w:val="auto"/>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EEF6507"/>
    <w:multiLevelType w:val="hybridMultilevel"/>
    <w:tmpl w:val="F0AA5CE4"/>
    <w:lvl w:ilvl="0" w:tplc="250CA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28B44178"/>
    <w:multiLevelType w:val="hybridMultilevel"/>
    <w:tmpl w:val="ABE881AE"/>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83118"/>
    <w:multiLevelType w:val="hybridMultilevel"/>
    <w:tmpl w:val="39B4FC7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8" w15:restartNumberingAfterBreak="0">
    <w:nsid w:val="2C294C09"/>
    <w:multiLevelType w:val="hybridMultilevel"/>
    <w:tmpl w:val="4A48379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2FD83E27"/>
    <w:multiLevelType w:val="hybridMultilevel"/>
    <w:tmpl w:val="1F4CEE8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33FC0931"/>
    <w:multiLevelType w:val="hybridMultilevel"/>
    <w:tmpl w:val="AD6A3AE4"/>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3E615E64"/>
    <w:multiLevelType w:val="hybridMultilevel"/>
    <w:tmpl w:val="B77A5CE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2" w15:restartNumberingAfterBreak="0">
    <w:nsid w:val="3EBF6AB5"/>
    <w:multiLevelType w:val="multilevel"/>
    <w:tmpl w:val="F24CF432"/>
    <w:lvl w:ilvl="0">
      <w:start w:val="1"/>
      <w:numFmt w:val="decimal"/>
      <w:lvlText w:val="%1."/>
      <w:legacy w:legacy="1" w:legacySpace="0" w:legacyIndent="0"/>
      <w:lvlJc w:val="left"/>
    </w:lvl>
    <w:lvl w:ilvl="1">
      <w:start w:val="1"/>
      <w:numFmt w:val="bullet"/>
      <w:lvlText w:val="o"/>
      <w:lvlJc w:val="left"/>
      <w:rPr>
        <w:rFonts w:ascii="Courier New" w:hAnsi="Courier New" w:cs="Courier New"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3"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0C1742D"/>
    <w:multiLevelType w:val="hybridMultilevel"/>
    <w:tmpl w:val="893A2060"/>
    <w:lvl w:ilvl="0" w:tplc="250CA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014AA"/>
    <w:multiLevelType w:val="hybridMultilevel"/>
    <w:tmpl w:val="CB1EBA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2B85373"/>
    <w:multiLevelType w:val="hybridMultilevel"/>
    <w:tmpl w:val="A4CA556A"/>
    <w:lvl w:ilvl="0" w:tplc="5B7E5B14">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7" w15:restartNumberingAfterBreak="0">
    <w:nsid w:val="462411E4"/>
    <w:multiLevelType w:val="hybridMultilevel"/>
    <w:tmpl w:val="F8881F0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76122B4"/>
    <w:multiLevelType w:val="hybridMultilevel"/>
    <w:tmpl w:val="039E092A"/>
    <w:lvl w:ilvl="0" w:tplc="250CAA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27B21"/>
    <w:multiLevelType w:val="hybridMultilevel"/>
    <w:tmpl w:val="EB022A16"/>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0" w15:restartNumberingAfterBreak="0">
    <w:nsid w:val="493F31EB"/>
    <w:multiLevelType w:val="hybridMultilevel"/>
    <w:tmpl w:val="21368E6A"/>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9CF5E33"/>
    <w:multiLevelType w:val="hybridMultilevel"/>
    <w:tmpl w:val="3B48B696"/>
    <w:lvl w:ilvl="0" w:tplc="5B7E5B14">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21E1C17"/>
    <w:multiLevelType w:val="hybridMultilevel"/>
    <w:tmpl w:val="0FB4E5D4"/>
    <w:lvl w:ilvl="0" w:tplc="5B7E5B14">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2E267AC"/>
    <w:multiLevelType w:val="hybridMultilevel"/>
    <w:tmpl w:val="FF609A6C"/>
    <w:lvl w:ilvl="0" w:tplc="2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4" w15:restartNumberingAfterBreak="0">
    <w:nsid w:val="54726C2E"/>
    <w:multiLevelType w:val="hybridMultilevel"/>
    <w:tmpl w:val="D4DECCC0"/>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5" w15:restartNumberingAfterBreak="0">
    <w:nsid w:val="55B125C4"/>
    <w:multiLevelType w:val="multilevel"/>
    <w:tmpl w:val="935EEC2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56DB5B66"/>
    <w:multiLevelType w:val="hybridMultilevel"/>
    <w:tmpl w:val="326849A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7" w15:restartNumberingAfterBreak="0">
    <w:nsid w:val="5B6037DC"/>
    <w:multiLevelType w:val="hybridMultilevel"/>
    <w:tmpl w:val="F294A0A6"/>
    <w:lvl w:ilvl="0" w:tplc="5B7E5B14">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5E081D52"/>
    <w:multiLevelType w:val="hybridMultilevel"/>
    <w:tmpl w:val="F274EE7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61570975"/>
    <w:multiLevelType w:val="hybridMultilevel"/>
    <w:tmpl w:val="C1E4F12C"/>
    <w:lvl w:ilvl="0" w:tplc="CBE0F34E">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EAD312E"/>
    <w:multiLevelType w:val="hybridMultilevel"/>
    <w:tmpl w:val="C0B0A20C"/>
    <w:lvl w:ilvl="0" w:tplc="5B7E5B14">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70997AFF"/>
    <w:multiLevelType w:val="hybridMultilevel"/>
    <w:tmpl w:val="A7BC8150"/>
    <w:lvl w:ilvl="0" w:tplc="5B7E5B14">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4" w15:restartNumberingAfterBreak="0">
    <w:nsid w:val="71FE643B"/>
    <w:multiLevelType w:val="hybridMultilevel"/>
    <w:tmpl w:val="4662B02A"/>
    <w:lvl w:ilvl="0" w:tplc="5B7E5B1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5" w15:restartNumberingAfterBreak="0">
    <w:nsid w:val="7C8D0378"/>
    <w:multiLevelType w:val="hybridMultilevel"/>
    <w:tmpl w:val="35705048"/>
    <w:lvl w:ilvl="0" w:tplc="5B7E5B1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4"/>
  </w:num>
  <w:num w:numId="4">
    <w:abstractNumId w:val="19"/>
  </w:num>
  <w:num w:numId="5">
    <w:abstractNumId w:val="16"/>
  </w:num>
  <w:num w:numId="6">
    <w:abstractNumId w:val="1"/>
    <w:lvlOverride w:ilvl="0">
      <w:lvl w:ilvl="0">
        <w:start w:val="1"/>
        <w:numFmt w:val="bullet"/>
        <w:lvlText w:val=""/>
        <w:legacy w:legacy="1" w:legacySpace="0" w:legacyIndent="283"/>
        <w:lvlJc w:val="left"/>
        <w:pPr>
          <w:ind w:left="567" w:hanging="283"/>
        </w:pPr>
        <w:rPr>
          <w:rFonts w:ascii="Symbol" w:hAnsi="Symbol" w:hint="default"/>
          <w:b/>
          <w:bCs/>
          <w:color w:val="auto"/>
        </w:rPr>
      </w:lvl>
    </w:lvlOverride>
  </w:num>
  <w:num w:numId="7">
    <w:abstractNumId w:val="18"/>
  </w:num>
  <w:num w:numId="8">
    <w:abstractNumId w:val="40"/>
  </w:num>
  <w:num w:numId="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0">
    <w:abstractNumId w:val="11"/>
  </w:num>
  <w:num w:numId="11">
    <w:abstractNumId w:val="23"/>
  </w:num>
  <w:num w:numId="12">
    <w:abstractNumId w:val="37"/>
  </w:num>
  <w:num w:numId="13">
    <w:abstractNumId w:val="22"/>
  </w:num>
  <w:num w:numId="14">
    <w:abstractNumId w:val="25"/>
  </w:num>
  <w:num w:numId="15">
    <w:abstractNumId w:val="26"/>
  </w:num>
  <w:num w:numId="16">
    <w:abstractNumId w:val="4"/>
  </w:num>
  <w:num w:numId="17">
    <w:abstractNumId w:val="43"/>
  </w:num>
  <w:num w:numId="18">
    <w:abstractNumId w:val="32"/>
  </w:num>
  <w:num w:numId="19">
    <w:abstractNumId w:val="30"/>
  </w:num>
  <w:num w:numId="20">
    <w:abstractNumId w:val="45"/>
  </w:num>
  <w:num w:numId="21">
    <w:abstractNumId w:val="5"/>
  </w:num>
  <w:num w:numId="22">
    <w:abstractNumId w:val="41"/>
  </w:num>
  <w:num w:numId="23">
    <w:abstractNumId w:val="20"/>
  </w:num>
  <w:num w:numId="24">
    <w:abstractNumId w:val="36"/>
  </w:num>
  <w:num w:numId="25">
    <w:abstractNumId w:val="38"/>
  </w:num>
  <w:num w:numId="26">
    <w:abstractNumId w:val="7"/>
  </w:num>
  <w:num w:numId="27">
    <w:abstractNumId w:val="34"/>
  </w:num>
  <w:num w:numId="28">
    <w:abstractNumId w:val="21"/>
  </w:num>
  <w:num w:numId="29">
    <w:abstractNumId w:val="44"/>
  </w:num>
  <w:num w:numId="30">
    <w:abstractNumId w:val="31"/>
  </w:num>
  <w:num w:numId="31">
    <w:abstractNumId w:val="2"/>
  </w:num>
  <w:num w:numId="32">
    <w:abstractNumId w:val="12"/>
  </w:num>
  <w:num w:numId="33">
    <w:abstractNumId w:val="6"/>
  </w:num>
  <w:num w:numId="34">
    <w:abstractNumId w:val="3"/>
  </w:num>
  <w:num w:numId="35">
    <w:abstractNumId w:val="35"/>
  </w:num>
  <w:num w:numId="36">
    <w:abstractNumId w:val="8"/>
  </w:num>
  <w:num w:numId="37">
    <w:abstractNumId w:val="17"/>
  </w:num>
  <w:num w:numId="38">
    <w:abstractNumId w:val="10"/>
  </w:num>
  <w:num w:numId="39">
    <w:abstractNumId w:val="27"/>
  </w:num>
  <w:num w:numId="40">
    <w:abstractNumId w:val="33"/>
  </w:num>
  <w:num w:numId="41">
    <w:abstractNumId w:val="9"/>
  </w:num>
  <w:num w:numId="42">
    <w:abstractNumId w:val="39"/>
  </w:num>
  <w:num w:numId="43">
    <w:abstractNumId w:val="42"/>
  </w:num>
  <w:num w:numId="44">
    <w:abstractNumId w:val="15"/>
  </w:num>
  <w:num w:numId="45">
    <w:abstractNumId w:val="29"/>
  </w:num>
  <w:num w:numId="46">
    <w:abstractNumId w:val="13"/>
  </w:num>
  <w:num w:numId="47">
    <w:abstractNumId w:val="24"/>
  </w:num>
  <w:num w:numId="4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6DA"/>
    <w:rsid w:val="0000304D"/>
    <w:rsid w:val="00006302"/>
    <w:rsid w:val="00010755"/>
    <w:rsid w:val="00010A4D"/>
    <w:rsid w:val="000127B6"/>
    <w:rsid w:val="00013507"/>
    <w:rsid w:val="000139C0"/>
    <w:rsid w:val="0002198C"/>
    <w:rsid w:val="00027CE3"/>
    <w:rsid w:val="000311D9"/>
    <w:rsid w:val="0005550D"/>
    <w:rsid w:val="00060058"/>
    <w:rsid w:val="00061C9F"/>
    <w:rsid w:val="00063699"/>
    <w:rsid w:val="00063DFF"/>
    <w:rsid w:val="00064723"/>
    <w:rsid w:val="00065A12"/>
    <w:rsid w:val="00072A85"/>
    <w:rsid w:val="00075DDE"/>
    <w:rsid w:val="00076FEA"/>
    <w:rsid w:val="000835E1"/>
    <w:rsid w:val="000842A7"/>
    <w:rsid w:val="00093D60"/>
    <w:rsid w:val="00097638"/>
    <w:rsid w:val="000C3C0E"/>
    <w:rsid w:val="000C4EA7"/>
    <w:rsid w:val="000C5A8B"/>
    <w:rsid w:val="000C68EA"/>
    <w:rsid w:val="000D394D"/>
    <w:rsid w:val="000D430F"/>
    <w:rsid w:val="000D634C"/>
    <w:rsid w:val="000D71EF"/>
    <w:rsid w:val="000E1E59"/>
    <w:rsid w:val="000E2EFF"/>
    <w:rsid w:val="000F0F74"/>
    <w:rsid w:val="00105088"/>
    <w:rsid w:val="00114003"/>
    <w:rsid w:val="00132926"/>
    <w:rsid w:val="00133070"/>
    <w:rsid w:val="00147198"/>
    <w:rsid w:val="00151032"/>
    <w:rsid w:val="00154A7F"/>
    <w:rsid w:val="0017133A"/>
    <w:rsid w:val="001A2F56"/>
    <w:rsid w:val="001A6359"/>
    <w:rsid w:val="001B1F1D"/>
    <w:rsid w:val="001B2FD0"/>
    <w:rsid w:val="001C322E"/>
    <w:rsid w:val="001C59D9"/>
    <w:rsid w:val="001D054F"/>
    <w:rsid w:val="001D7E3C"/>
    <w:rsid w:val="001E391D"/>
    <w:rsid w:val="0020051E"/>
    <w:rsid w:val="00206313"/>
    <w:rsid w:val="0021254C"/>
    <w:rsid w:val="00214513"/>
    <w:rsid w:val="00216C2C"/>
    <w:rsid w:val="00235EB1"/>
    <w:rsid w:val="00236879"/>
    <w:rsid w:val="0023768A"/>
    <w:rsid w:val="002428CF"/>
    <w:rsid w:val="00244BDD"/>
    <w:rsid w:val="002608BA"/>
    <w:rsid w:val="002673F7"/>
    <w:rsid w:val="00270BD5"/>
    <w:rsid w:val="002A13FC"/>
    <w:rsid w:val="002A5636"/>
    <w:rsid w:val="002A60CB"/>
    <w:rsid w:val="002B1BC5"/>
    <w:rsid w:val="002B7981"/>
    <w:rsid w:val="002D1891"/>
    <w:rsid w:val="002D6198"/>
    <w:rsid w:val="002E4460"/>
    <w:rsid w:val="00301F08"/>
    <w:rsid w:val="003066BE"/>
    <w:rsid w:val="00310D3C"/>
    <w:rsid w:val="0031123C"/>
    <w:rsid w:val="00321A8C"/>
    <w:rsid w:val="003227CC"/>
    <w:rsid w:val="0032562B"/>
    <w:rsid w:val="00327E1C"/>
    <w:rsid w:val="00330CFA"/>
    <w:rsid w:val="003321DA"/>
    <w:rsid w:val="003331D9"/>
    <w:rsid w:val="003337BA"/>
    <w:rsid w:val="00394CC6"/>
    <w:rsid w:val="00395260"/>
    <w:rsid w:val="00395E32"/>
    <w:rsid w:val="003A3FDA"/>
    <w:rsid w:val="003A474F"/>
    <w:rsid w:val="003A64A6"/>
    <w:rsid w:val="003C24AB"/>
    <w:rsid w:val="003E3CA2"/>
    <w:rsid w:val="003E4C29"/>
    <w:rsid w:val="003E5661"/>
    <w:rsid w:val="003F326D"/>
    <w:rsid w:val="003F79EF"/>
    <w:rsid w:val="00412085"/>
    <w:rsid w:val="00412706"/>
    <w:rsid w:val="004135C1"/>
    <w:rsid w:val="004175C7"/>
    <w:rsid w:val="00417BAC"/>
    <w:rsid w:val="00424943"/>
    <w:rsid w:val="0043191A"/>
    <w:rsid w:val="00450AE6"/>
    <w:rsid w:val="004521E2"/>
    <w:rsid w:val="0045501A"/>
    <w:rsid w:val="004616D9"/>
    <w:rsid w:val="00471C02"/>
    <w:rsid w:val="00482C25"/>
    <w:rsid w:val="00482F6A"/>
    <w:rsid w:val="0049314C"/>
    <w:rsid w:val="00495789"/>
    <w:rsid w:val="0049668C"/>
    <w:rsid w:val="004A4E1A"/>
    <w:rsid w:val="004A5CD7"/>
    <w:rsid w:val="004B5D3D"/>
    <w:rsid w:val="004D5FA1"/>
    <w:rsid w:val="004D6AA3"/>
    <w:rsid w:val="004D7AC0"/>
    <w:rsid w:val="004E0D13"/>
    <w:rsid w:val="004E1104"/>
    <w:rsid w:val="004E557A"/>
    <w:rsid w:val="004E6555"/>
    <w:rsid w:val="004E70AF"/>
    <w:rsid w:val="004F208D"/>
    <w:rsid w:val="004F3D44"/>
    <w:rsid w:val="004F7498"/>
    <w:rsid w:val="00507085"/>
    <w:rsid w:val="00511DE3"/>
    <w:rsid w:val="00512F32"/>
    <w:rsid w:val="0052039C"/>
    <w:rsid w:val="00524472"/>
    <w:rsid w:val="005307E7"/>
    <w:rsid w:val="00532089"/>
    <w:rsid w:val="00533F3C"/>
    <w:rsid w:val="0054576E"/>
    <w:rsid w:val="00557589"/>
    <w:rsid w:val="0056095E"/>
    <w:rsid w:val="0056252F"/>
    <w:rsid w:val="00570340"/>
    <w:rsid w:val="005714B9"/>
    <w:rsid w:val="00577504"/>
    <w:rsid w:val="00584A92"/>
    <w:rsid w:val="00586B4B"/>
    <w:rsid w:val="0059010B"/>
    <w:rsid w:val="005A0BDA"/>
    <w:rsid w:val="005A452F"/>
    <w:rsid w:val="005B5380"/>
    <w:rsid w:val="005C5604"/>
    <w:rsid w:val="005D181D"/>
    <w:rsid w:val="005D19B4"/>
    <w:rsid w:val="005D220F"/>
    <w:rsid w:val="005D4DC8"/>
    <w:rsid w:val="005E67E2"/>
    <w:rsid w:val="005E7651"/>
    <w:rsid w:val="005F0629"/>
    <w:rsid w:val="005F115E"/>
    <w:rsid w:val="006122B1"/>
    <w:rsid w:val="0061752E"/>
    <w:rsid w:val="006177F1"/>
    <w:rsid w:val="00621F79"/>
    <w:rsid w:val="006249B6"/>
    <w:rsid w:val="00625CA3"/>
    <w:rsid w:val="00641262"/>
    <w:rsid w:val="00643D0B"/>
    <w:rsid w:val="006535D9"/>
    <w:rsid w:val="0066711D"/>
    <w:rsid w:val="006766F1"/>
    <w:rsid w:val="00691580"/>
    <w:rsid w:val="00692DF0"/>
    <w:rsid w:val="00697BE1"/>
    <w:rsid w:val="006A1AC2"/>
    <w:rsid w:val="006A2079"/>
    <w:rsid w:val="006A6A0C"/>
    <w:rsid w:val="006C1C6C"/>
    <w:rsid w:val="006D2C8A"/>
    <w:rsid w:val="006D2D64"/>
    <w:rsid w:val="006D6D4E"/>
    <w:rsid w:val="006F1DF9"/>
    <w:rsid w:val="006F2520"/>
    <w:rsid w:val="006F29E1"/>
    <w:rsid w:val="006F41A3"/>
    <w:rsid w:val="006F6754"/>
    <w:rsid w:val="00700711"/>
    <w:rsid w:val="00707D39"/>
    <w:rsid w:val="00712A38"/>
    <w:rsid w:val="007216F7"/>
    <w:rsid w:val="007224BE"/>
    <w:rsid w:val="00723B3A"/>
    <w:rsid w:val="00737271"/>
    <w:rsid w:val="007474FB"/>
    <w:rsid w:val="00750D3B"/>
    <w:rsid w:val="00753C49"/>
    <w:rsid w:val="00754027"/>
    <w:rsid w:val="00755E22"/>
    <w:rsid w:val="00756838"/>
    <w:rsid w:val="00757670"/>
    <w:rsid w:val="00761851"/>
    <w:rsid w:val="00766B1A"/>
    <w:rsid w:val="00773F07"/>
    <w:rsid w:val="007810B5"/>
    <w:rsid w:val="007833CB"/>
    <w:rsid w:val="00787947"/>
    <w:rsid w:val="007912B3"/>
    <w:rsid w:val="00797C34"/>
    <w:rsid w:val="007A127F"/>
    <w:rsid w:val="007B157B"/>
    <w:rsid w:val="007B5ACA"/>
    <w:rsid w:val="007B7E12"/>
    <w:rsid w:val="007C285C"/>
    <w:rsid w:val="007C7DDB"/>
    <w:rsid w:val="007D350D"/>
    <w:rsid w:val="007D7907"/>
    <w:rsid w:val="007E3BCB"/>
    <w:rsid w:val="007F5784"/>
    <w:rsid w:val="0080707C"/>
    <w:rsid w:val="00807CED"/>
    <w:rsid w:val="00816CEF"/>
    <w:rsid w:val="00826962"/>
    <w:rsid w:val="00831D96"/>
    <w:rsid w:val="00845F24"/>
    <w:rsid w:val="008470F5"/>
    <w:rsid w:val="00852A88"/>
    <w:rsid w:val="00863A8F"/>
    <w:rsid w:val="0087129B"/>
    <w:rsid w:val="00876B38"/>
    <w:rsid w:val="0088219D"/>
    <w:rsid w:val="00885409"/>
    <w:rsid w:val="00885FBB"/>
    <w:rsid w:val="008943DA"/>
    <w:rsid w:val="00896D61"/>
    <w:rsid w:val="008A6620"/>
    <w:rsid w:val="008C47BA"/>
    <w:rsid w:val="008C483C"/>
    <w:rsid w:val="008C4F61"/>
    <w:rsid w:val="008D2193"/>
    <w:rsid w:val="008D5222"/>
    <w:rsid w:val="008E08F5"/>
    <w:rsid w:val="008E52D1"/>
    <w:rsid w:val="008F3650"/>
    <w:rsid w:val="008F6F62"/>
    <w:rsid w:val="008F781E"/>
    <w:rsid w:val="00902A1F"/>
    <w:rsid w:val="0091249B"/>
    <w:rsid w:val="009266F3"/>
    <w:rsid w:val="009416E3"/>
    <w:rsid w:val="00957436"/>
    <w:rsid w:val="00983331"/>
    <w:rsid w:val="00990E94"/>
    <w:rsid w:val="00994DD3"/>
    <w:rsid w:val="009B5279"/>
    <w:rsid w:val="009C0019"/>
    <w:rsid w:val="009C4B7B"/>
    <w:rsid w:val="009C5B03"/>
    <w:rsid w:val="009D2979"/>
    <w:rsid w:val="009D29DE"/>
    <w:rsid w:val="009D2D5C"/>
    <w:rsid w:val="009E3EE2"/>
    <w:rsid w:val="009F2B41"/>
    <w:rsid w:val="009F3A36"/>
    <w:rsid w:val="009F46E9"/>
    <w:rsid w:val="00A1413A"/>
    <w:rsid w:val="00A1632C"/>
    <w:rsid w:val="00A176AE"/>
    <w:rsid w:val="00A207FB"/>
    <w:rsid w:val="00A20E9D"/>
    <w:rsid w:val="00A23005"/>
    <w:rsid w:val="00A272B2"/>
    <w:rsid w:val="00A50553"/>
    <w:rsid w:val="00A53F9B"/>
    <w:rsid w:val="00A67887"/>
    <w:rsid w:val="00A7132A"/>
    <w:rsid w:val="00A76426"/>
    <w:rsid w:val="00A805AA"/>
    <w:rsid w:val="00AA430D"/>
    <w:rsid w:val="00AA65DC"/>
    <w:rsid w:val="00AB6CDB"/>
    <w:rsid w:val="00AC23D4"/>
    <w:rsid w:val="00AC6B0D"/>
    <w:rsid w:val="00AC7312"/>
    <w:rsid w:val="00AD3077"/>
    <w:rsid w:val="00AD320D"/>
    <w:rsid w:val="00AE4901"/>
    <w:rsid w:val="00AE4F3D"/>
    <w:rsid w:val="00AE5CF6"/>
    <w:rsid w:val="00AF2F0E"/>
    <w:rsid w:val="00B05F7D"/>
    <w:rsid w:val="00B2002E"/>
    <w:rsid w:val="00B203DA"/>
    <w:rsid w:val="00B2333B"/>
    <w:rsid w:val="00B34664"/>
    <w:rsid w:val="00B42E98"/>
    <w:rsid w:val="00B46B45"/>
    <w:rsid w:val="00B518C9"/>
    <w:rsid w:val="00B520E8"/>
    <w:rsid w:val="00B52CE3"/>
    <w:rsid w:val="00B61E90"/>
    <w:rsid w:val="00B62613"/>
    <w:rsid w:val="00B70A01"/>
    <w:rsid w:val="00B75F7C"/>
    <w:rsid w:val="00B82684"/>
    <w:rsid w:val="00B827D8"/>
    <w:rsid w:val="00B82ADF"/>
    <w:rsid w:val="00B96875"/>
    <w:rsid w:val="00BA5B45"/>
    <w:rsid w:val="00BB1C2C"/>
    <w:rsid w:val="00BB600D"/>
    <w:rsid w:val="00BC21DF"/>
    <w:rsid w:val="00BC6104"/>
    <w:rsid w:val="00BC79F5"/>
    <w:rsid w:val="00BC7CE9"/>
    <w:rsid w:val="00BE0522"/>
    <w:rsid w:val="00BE0672"/>
    <w:rsid w:val="00BE54B3"/>
    <w:rsid w:val="00C008B4"/>
    <w:rsid w:val="00C12517"/>
    <w:rsid w:val="00C178AD"/>
    <w:rsid w:val="00C17ABD"/>
    <w:rsid w:val="00C24EDC"/>
    <w:rsid w:val="00C255D3"/>
    <w:rsid w:val="00C26C67"/>
    <w:rsid w:val="00C30DF7"/>
    <w:rsid w:val="00C34B13"/>
    <w:rsid w:val="00C45BCC"/>
    <w:rsid w:val="00C55B82"/>
    <w:rsid w:val="00C643BA"/>
    <w:rsid w:val="00C70B4C"/>
    <w:rsid w:val="00C72301"/>
    <w:rsid w:val="00C77948"/>
    <w:rsid w:val="00C821A5"/>
    <w:rsid w:val="00C8618E"/>
    <w:rsid w:val="00CA021F"/>
    <w:rsid w:val="00CB3320"/>
    <w:rsid w:val="00CB57CE"/>
    <w:rsid w:val="00CE31B7"/>
    <w:rsid w:val="00CE749A"/>
    <w:rsid w:val="00CF7F32"/>
    <w:rsid w:val="00D0533C"/>
    <w:rsid w:val="00D10240"/>
    <w:rsid w:val="00D14F30"/>
    <w:rsid w:val="00D16683"/>
    <w:rsid w:val="00D201F5"/>
    <w:rsid w:val="00D264FF"/>
    <w:rsid w:val="00D341C1"/>
    <w:rsid w:val="00D34924"/>
    <w:rsid w:val="00D43613"/>
    <w:rsid w:val="00D50E90"/>
    <w:rsid w:val="00D6623C"/>
    <w:rsid w:val="00D7076A"/>
    <w:rsid w:val="00D73678"/>
    <w:rsid w:val="00D75E64"/>
    <w:rsid w:val="00D81F5E"/>
    <w:rsid w:val="00D92269"/>
    <w:rsid w:val="00D9406C"/>
    <w:rsid w:val="00DA5185"/>
    <w:rsid w:val="00DC1286"/>
    <w:rsid w:val="00DD115B"/>
    <w:rsid w:val="00DD1395"/>
    <w:rsid w:val="00DD2B4D"/>
    <w:rsid w:val="00DD77BE"/>
    <w:rsid w:val="00DE176A"/>
    <w:rsid w:val="00DE2877"/>
    <w:rsid w:val="00DE423D"/>
    <w:rsid w:val="00E00A6B"/>
    <w:rsid w:val="00E068E4"/>
    <w:rsid w:val="00E07297"/>
    <w:rsid w:val="00E13A99"/>
    <w:rsid w:val="00E24154"/>
    <w:rsid w:val="00E24189"/>
    <w:rsid w:val="00E3232E"/>
    <w:rsid w:val="00E35FDD"/>
    <w:rsid w:val="00E40D64"/>
    <w:rsid w:val="00E47D6F"/>
    <w:rsid w:val="00E544AD"/>
    <w:rsid w:val="00E57317"/>
    <w:rsid w:val="00E671C0"/>
    <w:rsid w:val="00E73443"/>
    <w:rsid w:val="00E77899"/>
    <w:rsid w:val="00E77F43"/>
    <w:rsid w:val="00E85982"/>
    <w:rsid w:val="00E85F55"/>
    <w:rsid w:val="00E937A4"/>
    <w:rsid w:val="00E96EED"/>
    <w:rsid w:val="00EA16F5"/>
    <w:rsid w:val="00EB57BC"/>
    <w:rsid w:val="00EB5CCE"/>
    <w:rsid w:val="00ED3DF6"/>
    <w:rsid w:val="00ED4A7A"/>
    <w:rsid w:val="00ED623E"/>
    <w:rsid w:val="00EE1A93"/>
    <w:rsid w:val="00EE455D"/>
    <w:rsid w:val="00EF03A6"/>
    <w:rsid w:val="00EF069D"/>
    <w:rsid w:val="00EF5616"/>
    <w:rsid w:val="00EF5696"/>
    <w:rsid w:val="00F03EB0"/>
    <w:rsid w:val="00F05466"/>
    <w:rsid w:val="00F32856"/>
    <w:rsid w:val="00F337E5"/>
    <w:rsid w:val="00F34F7E"/>
    <w:rsid w:val="00F35182"/>
    <w:rsid w:val="00F365AE"/>
    <w:rsid w:val="00F46322"/>
    <w:rsid w:val="00F50E3E"/>
    <w:rsid w:val="00F52D24"/>
    <w:rsid w:val="00F6465A"/>
    <w:rsid w:val="00F745EE"/>
    <w:rsid w:val="00F8361B"/>
    <w:rsid w:val="00F83C17"/>
    <w:rsid w:val="00F96D7F"/>
    <w:rsid w:val="00F97324"/>
    <w:rsid w:val="00FA69F1"/>
    <w:rsid w:val="00FB7F11"/>
    <w:rsid w:val="00FC456F"/>
    <w:rsid w:val="00FE0B51"/>
    <w:rsid w:val="00FE2881"/>
    <w:rsid w:val="00FE3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0C8DAC3C-D9D8-478C-ACBC-60BF0C4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Normal"/>
    <w:next w:val="Normal"/>
    <w:link w:val="Heading2Char"/>
    <w:qFormat/>
    <w:rsid w:val="00F32856"/>
    <w:pPr>
      <w:numPr>
        <w:ilvl w:val="1"/>
        <w:numId w:val="1"/>
      </w:numPr>
      <w:ind w:left="567" w:hanging="567"/>
      <w:outlineLvl w:val="1"/>
    </w:p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66711D"/>
    <w:pPr>
      <w:tabs>
        <w:tab w:val="left" w:pos="440"/>
        <w:tab w:val="right" w:leader="dot" w:pos="9345"/>
      </w:tabs>
      <w:spacing w:after="100"/>
      <w:ind w:left="426" w:hanging="426"/>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 w:type="table" w:customStyle="1" w:styleId="TableGrid1">
    <w:name w:val="Table Grid1"/>
    <w:basedOn w:val="TableNormal"/>
    <w:next w:val="TableGrid"/>
    <w:rsid w:val="00E85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EE2"/>
    <w:pPr>
      <w:spacing w:after="0" w:line="240" w:lineRule="auto"/>
    </w:pPr>
    <w:rPr>
      <w:rFonts w:ascii="Times New Roman" w:eastAsia="Times New Roman" w:hAnsi="Times New Roman" w:cs="Times New Roman"/>
    </w:rPr>
  </w:style>
  <w:style w:type="table" w:customStyle="1" w:styleId="TableGrid2">
    <w:name w:val="Table Grid2"/>
    <w:basedOn w:val="TableNormal"/>
    <w:next w:val="TableGrid"/>
    <w:rsid w:val="009C5B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B5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836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70A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73F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64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63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A1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95E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26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968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120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95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C59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4135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82C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B5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50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2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87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Sergio.LorencioMatallana@eesc.europa.eu" TargetMode="External"/><Relationship Id="rId39" Type="http://schemas.openxmlformats.org/officeDocument/2006/relationships/hyperlink" Target="https://www.eesc.europa.eu/es/our-work/opinions-information-reports/opinions/amendment-forest-reproductive-material-tested-category-its-labelling-and-names-authorities-responsible-approval-and" TargetMode="External"/><Relationship Id="rId21" Type="http://schemas.openxmlformats.org/officeDocument/2006/relationships/hyperlink" Target="mailto:Anna.Hakami@eesc.europa.eu" TargetMode="External"/><Relationship Id="rId34" Type="http://schemas.openxmlformats.org/officeDocument/2006/relationships/hyperlink" Target="mailto:Agota.Bazsik@eesc.europa.eu" TargetMode="External"/><Relationship Id="rId42" Type="http://schemas.openxmlformats.org/officeDocument/2006/relationships/hyperlink" Target="mailto:Nicolas.Stenger@eesc.europa.eu" TargetMode="External"/><Relationship Id="rId47" Type="http://schemas.openxmlformats.org/officeDocument/2006/relationships/hyperlink" Target="mailto:Tzonka.Iotzova@eesc.europa.eu" TargetMode="External"/><Relationship Id="rId50" Type="http://schemas.openxmlformats.org/officeDocument/2006/relationships/hyperlink" Target="mailto:Marie-Laurence.Drillon@eesc.europa.eu" TargetMode="External"/><Relationship Id="rId55" Type="http://schemas.openxmlformats.org/officeDocument/2006/relationships/header" Target="header4.xml"/><Relationship Id="rId63" Type="http://schemas.openxmlformats.org/officeDocument/2006/relationships/customXml" Target="../customXml/item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s/our-work/opinions-information-reports/opinions/factual-and-legislative-analysis-migration-flows-integration-eu-labour-market"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Francesco.Napolitano@eesc.europa.eu" TargetMode="External"/><Relationship Id="rId37" Type="http://schemas.openxmlformats.org/officeDocument/2006/relationships/hyperlink" Target="https://www.eesc.europa.eu/es/our-work/opinions-information-reports/opinions/cost-non-schengen-single-market-impact-bulgaria-and-romania" TargetMode="External"/><Relationship Id="rId40" Type="http://schemas.openxmlformats.org/officeDocument/2006/relationships/hyperlink" Target="mailto:Nicolas.Stenger@eesc.europa.eu" TargetMode="External"/><Relationship Id="rId45" Type="http://schemas.openxmlformats.org/officeDocument/2006/relationships/hyperlink" Target="https://www.eesc.europa.eu/es/our-work/opinions-information-reports/opinions/decision-interpretation-and-application-energy-charter-treaty" TargetMode="External"/><Relationship Id="rId53" Type="http://schemas.openxmlformats.org/officeDocument/2006/relationships/hyperlink" Target="https://www.eesc.europa.eu/es/our-work/opinions-information-reports/opinions/professional-services-green-transition" TargetMode="External"/><Relationship Id="rId58" Type="http://schemas.openxmlformats.org/officeDocument/2006/relationships/footer" Target="footer5.xml"/><Relationship Id="rId66" Type="http://schemas.openxmlformats.org/officeDocument/2006/relationships/customXml" Target="../customXml/item4.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mailto:Eniko.Greff@eesc.europa.eu" TargetMode="External"/><Relationship Id="rId27" Type="http://schemas.openxmlformats.org/officeDocument/2006/relationships/hyperlink" Target="https://www.eesc.europa.eu/es/our-work/opinions-information-reports/opinions/revision-territorial-agenda-2030-towards-more-integrated-and-civic-approach-stronger-links-cohesion-policy" TargetMode="External"/><Relationship Id="rId30" Type="http://schemas.openxmlformats.org/officeDocument/2006/relationships/hyperlink" Target="mailto:Gemma.Amran@eesc.europa.eu" TargetMode="External"/><Relationship Id="rId35" Type="http://schemas.openxmlformats.org/officeDocument/2006/relationships/hyperlink" Target="https://www.eesc.europa.eu/es/our-work/opinions-information-reports/opinions/potential-challenges-european-single-market-arising-future-enlargement-union" TargetMode="External"/><Relationship Id="rId43" Type="http://schemas.openxmlformats.org/officeDocument/2006/relationships/hyperlink" Target="https://www.eesc.europa.eu/es/our-work/opinions-information-reports/opinions/towards-just-transition-legislative-proposal-and-eu-policy-tools-enable-more-social-european-green-deal" TargetMode="External"/><Relationship Id="rId48" Type="http://schemas.openxmlformats.org/officeDocument/2006/relationships/hyperlink" Target="mailto:Charlotte.Rive@eesc.europa.eu" TargetMode="External"/><Relationship Id="rId56" Type="http://schemas.openxmlformats.org/officeDocument/2006/relationships/header" Target="header5.xml"/><Relationship Id="rId64" Type="http://schemas.openxmlformats.org/officeDocument/2006/relationships/customXml" Target="../customXml/item2.xml"/><Relationship Id="rId8" Type="http://schemas.openxmlformats.org/officeDocument/2006/relationships/webSettings" Target="webSettings.xml"/><Relationship Id="rId51" Type="http://schemas.openxmlformats.org/officeDocument/2006/relationships/hyperlink" Target="https://www.eesc.europa.eu/es/our-work/opinions-information-reports/opinions/industrial-changes-health-sector-face-multiplying-crises" TargetMode="External"/><Relationship Id="rId12" Type="http://schemas.openxmlformats.org/officeDocument/2006/relationships/hyperlink" Target="https://www.eesc.europa.eu/es/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s/our-work/opinions-information-reports/opinions/review-legal-framework-securitisation-eu" TargetMode="External"/><Relationship Id="rId33" Type="http://schemas.openxmlformats.org/officeDocument/2006/relationships/hyperlink" Target="https://www.eesc.europa.eu/es/our-work/opinions-information-reports/opinions/social-housing-eu-decent-sustainable-and-affordable" TargetMode="External"/><Relationship Id="rId38" Type="http://schemas.openxmlformats.org/officeDocument/2006/relationships/hyperlink" Target="mailto:Annalisa.Tessarolo@eesc.europa.eu" TargetMode="External"/><Relationship Id="rId46" Type="http://schemas.openxmlformats.org/officeDocument/2006/relationships/hyperlink" Target="mailto:Marco.Ristori@eesc.europa.eu" TargetMode="External"/><Relationship Id="rId59" Type="http://schemas.openxmlformats.org/officeDocument/2006/relationships/header" Target="header6.xml"/><Relationship Id="rId20" Type="http://schemas.openxmlformats.org/officeDocument/2006/relationships/hyperlink" Target="https://www.eesc.europa.eu/es/documents/resolution/european-economic-and-social-committee-contribution-2025-european-commission-work-programme-all-languages" TargetMode="External"/><Relationship Id="rId41" Type="http://schemas.openxmlformats.org/officeDocument/2006/relationships/hyperlink" Target="https://www.eesc.europa.eu/es/our-work/opinions-information-reports/opinions/amendment-eafrd-provide-additional-assistance-member-states-affected-natural-disasters" TargetMode="External"/><Relationship Id="rId54" Type="http://schemas.openxmlformats.org/officeDocument/2006/relationships/hyperlink" Target="mailto:Ioannis.Diamantopoulos@eesc.europa.eu" TargetMode="External"/><Relationship Id="rId62" Type="http://schemas.openxmlformats.org/officeDocument/2006/relationships/theme" Target="theme/theme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esc.europa.eu/es/our-work/opinions-information-reports/opinions/regional-emergency-support-restore" TargetMode="External"/><Relationship Id="rId28" Type="http://schemas.openxmlformats.org/officeDocument/2006/relationships/hyperlink" Target="mailto:Georgios.Meleas@eesc.europa.eu" TargetMode="External"/><Relationship Id="rId36" Type="http://schemas.openxmlformats.org/officeDocument/2006/relationships/hyperlink" Target="mailto:annalisa.tessarolo@eesc.europa.eu" TargetMode="External"/><Relationship Id="rId49" Type="http://schemas.openxmlformats.org/officeDocument/2006/relationships/hyperlink" Target="https://www.eesc.europa.eu/es/our-work/opinions-information-reports/opinions/sector-specific-industrial-policies-supporting-greater-strategic-autonomy"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s://www.eesc.europa.eu/es/our-work/opinions-information-reports/opinions/labour-and-skills-shortages-transport-energy-infrastructure-and-digital-sector" TargetMode="External"/><Relationship Id="rId44" Type="http://schemas.openxmlformats.org/officeDocument/2006/relationships/hyperlink" Target="mailto:Nicolas.Stenger@eesc.europa.eu" TargetMode="External"/><Relationship Id="rId52" Type="http://schemas.openxmlformats.org/officeDocument/2006/relationships/hyperlink" Target="mailto:Laia.TomasVinardell@eesc.europa.eu" TargetMode="External"/><Relationship Id="rId60" Type="http://schemas.openxmlformats.org/officeDocument/2006/relationships/footer" Target="footer6.xml"/><Relationship Id="rId65"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F7M6YNZUATRX-1659962339-2448</_dlc_DocId>
    <_dlc_DocIdUrl xmlns="59ace41b-6786-4ce3-be71-52c27066c6ef">
      <Url>http://dm/eesc/2024/_layouts/15/DocIdRedir.aspx?ID=F7M6YNZUATRX-1659962339-2448</Url>
      <Description>F7M6YNZUATRX-1659962339-2448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2024-12-11T12:00:00+00:00</ProductionDate>
    <DocumentNumber xmlns="91e51ac0-4aa1-4d5e-9a67-017d481be00b">4018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2025-01-22T12:00:00+00:00</MeetingDate>
    <TaxCatchAll xmlns="59ace41b-6786-4ce3-be71-52c27066c6ef">
      <Value>36</Value>
      <Value>35</Value>
      <Value>34</Value>
      <Value>33</Value>
      <Value>32</Value>
      <Value>30</Value>
      <Value>29</Value>
      <Value>28</Value>
      <Value>27</Value>
      <Value>25</Value>
      <Value>24</Value>
      <Value>22</Value>
      <Value>21</Value>
      <Value>17</Value>
      <Value>16</Value>
      <Value>14</Value>
      <Value>13</Value>
      <Value>12</Value>
      <Value>8</Value>
      <Value>7</Value>
      <Value>6</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12265</FicheNumber>
    <OriginalSender xmlns="59ace41b-6786-4ce3-be71-52c27066c6ef">
      <UserInfo>
        <DisplayName>Fernandez Riego Maria Gabriela</DisplayName>
        <AccountId>1517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FB4101-0213-4478-AA75-90969BE652E1}"/>
</file>

<file path=customXml/itemProps2.xml><?xml version="1.0" encoding="utf-8"?>
<ds:datastoreItem xmlns:ds="http://schemas.openxmlformats.org/officeDocument/2006/customXml" ds:itemID="{31614AD1-175A-421C-825D-9440B0C9CB27}"/>
</file>

<file path=customXml/itemProps3.xml><?xml version="1.0" encoding="utf-8"?>
<ds:datastoreItem xmlns:ds="http://schemas.openxmlformats.org/officeDocument/2006/customXml" ds:itemID="{F611ACBF-34E5-4E98-A1FA-C124B7B2D28A}"/>
</file>

<file path=customXml/itemProps4.xml><?xml version="1.0" encoding="utf-8"?>
<ds:datastoreItem xmlns:ds="http://schemas.openxmlformats.org/officeDocument/2006/customXml" ds:itemID="{69801364-164B-47FF-A5E1-4F5EED2230B7}"/>
</file>

<file path=docProps/app.xml><?xml version="1.0" encoding="utf-8"?>
<Properties xmlns="http://schemas.openxmlformats.org/officeDocument/2006/extended-properties" xmlns:vt="http://schemas.openxmlformats.org/officeDocument/2006/docPropsVTypes">
  <Template>Normal.dotm</Template>
  <TotalTime>0</TotalTime>
  <Pages>20</Pages>
  <Words>8309</Words>
  <Characters>47367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Summary of opinions - 590th plenary session - September 2024</vt:lpstr>
    </vt:vector>
  </TitlesOfParts>
  <Company>CESE-CdR</Company>
  <LinksUpToDate>false</LinksUpToDate>
  <CharactersWithSpaces>55565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- 592. Pleno - diciembre de 2024</dc:title>
  <dc:subject>TCD</dc:subject>
  <dc:creator>Nieddu Emma</dc:creator>
  <cp:keywords>EESC-2024-04018-00-00-TCD-TRA-EN</cp:keywords>
  <dc:description>Rapporteur:  - Original language: EN - Date of document: 11/12/2024 - Date of meeting: 30/22/2025 14:30 - External documents:  - Administrator: MME TAMASAUSKIENE Julija</dc:description>
  <cp:lastModifiedBy>Fernandez Riego Maria Gabriela</cp:lastModifiedBy>
  <cp:revision>22</cp:revision>
  <dcterms:created xsi:type="dcterms:W3CDTF">2024-12-09T15:44:00Z</dcterms:created>
  <dcterms:modified xsi:type="dcterms:W3CDTF">2024-12-11T10:04:00Z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09/12/2024, 02/10/2024, 02/05/2022, 02/05/2022, 28/06/2021</vt:lpwstr>
  </property>
  <property fmtid="{D5CDD505-2E9C-101B-9397-08002B2CF9AE}" pid="4" name="Pref_Time">
    <vt:lpwstr>16:42:44, 09:08:00, 12:28:29, 12:25:37, 08:41:48</vt:lpwstr>
  </property>
  <property fmtid="{D5CDD505-2E9C-101B-9397-08002B2CF9AE}" pid="5" name="Pref_User">
    <vt:lpwstr>pacup, amett, enied, enied, enied</vt:lpwstr>
  </property>
  <property fmtid="{D5CDD505-2E9C-101B-9397-08002B2CF9AE}" pid="6" name="Pref_FileName">
    <vt:lpwstr>EESC-2024-04018-00-00-TCD-ORI.docx, EESC-2024-02813-00-00-TCD-ORI.docx,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66cec2e9-28e0-4131-8ea4-83651a4ea499</vt:lpwstr>
  </property>
  <property fmtid="{D5CDD505-2E9C-101B-9397-08002B2CF9AE}" pid="9" name="AvailableTranslations">
    <vt:lpwstr>12;#IT|0774613c-01ed-4e5d-a25d-11d2388de825;#16;#DA|5d49c027-8956-412b-aa16-e85a0f96ad0e;#34;#LT|a7ff5ce7-6123-4f68-865a-a57c31810414;#14;#FR|d2afafd3-4c81-4f60-8f52-ee33f2f54ff3;#29;#EL|6d4f4d51-af9b-4650-94b4-4276bee85c91;#22;#BG|1a1b3951-7821-4e6a-85f5-5673fc08bd2c;#33;#ET|ff6c3f4c-b02c-4c3c-ab07-2c37995a7a0a;#37;#RO|feb747a2-64cd-4299-af12-4833ddc30497;#30;#HR|2f555653-ed1a-4fe6-8362-9082d95989e5;#25;#DE|f6b31e5a-26fa-4935-b661-318e46daf27e;#17;#PL|1e03da61-4678-4e07-b136-b5024ca9197b;#28;#LV|46f7e311-5d9f-4663-b433-18aeccb7ace7;#21;#SV|c2ed69e7-a339-43d7-8f22-d93680a92aa0;#24;#ES|e7a6b05b-ae16-40c8-add9-68b64b03aeba;#35;#FI|87606a43-d45f-42d6-b8c9-e1a3457db5b7;#5;#EN|f2175f21-25d7-44a3-96da-d6a61b075e1b;#27;#SL|98a412ae-eb01-49e9-ae3d-585a81724cfc;#36;#PT|50ccc04a-eadd-42ae-a0cb-acaf45f812ba;#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4018</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2025-01-22T12:00:00Z</vt:filetime>
  </property>
  <property fmtid="{D5CDD505-2E9C-101B-9397-08002B2CF9AE}" pid="28" name="AvailableTranslations_0">
    <vt:lpwstr>IT|0774613c-01ed-4e5d-a25d-11d2388de825;LV|46f7e311-5d9f-4663-b433-18aeccb7ace7;SV|c2ed69e7-a339-43d7-8f22-d93680a92aa0;EN|f2175f21-25d7-44a3-96da-d6a61b075e1b;SL|98a412ae-eb01-49e9-ae3d-585a81724cfc;PT|50ccc04a-eadd-42ae-a0cb-acaf45f812ba</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13;#TCD|cd9d6eb6-3f4f-424a-b2d1-57c9d450eaaf;#12;#IT|0774613c-01ed-4e5d-a25d-11d2388de825;#28;#LV|46f7e311-5d9f-4663-b433-18aeccb7ace7;#27;#SL|98a412ae-eb01-49e9-ae3d-585a81724cfc;#8;#Final|ea5e6674-7b27-4bac-b091-73adbb394efe;#7;#SPL-CES|32d8cb1f-c9ec-4365-95c7-8385a18618ac;#6;#Unrestricted|826e22d7-d029-4ec0-a450-0c28ff673572;#5;#EN|f2175f21-25d7-44a3-96da-d6a61b075e1b;#21;#SV|c2ed69e7-a339-43d7-8f22-d93680a92aa0;#3;#TRA|150d2a88-1431-44e6-a8ca-0bb753ab8672;#36;#PT|50ccc04a-eadd-42ae-a0cb-acaf45f812ba;#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12265</vt:i4>
  </property>
  <property fmtid="{D5CDD505-2E9C-101B-9397-08002B2CF9AE}" pid="36" name="DocumentLanguage">
    <vt:lpwstr>24;#ES|e7a6b05b-ae16-40c8-add9-68b64b03aeba</vt:lpwstr>
  </property>
  <property fmtid="{D5CDD505-2E9C-101B-9397-08002B2CF9AE}" pid="37" name="_docset_NoMedatataSyncRequired">
    <vt:lpwstr>False</vt:lpwstr>
  </property>
</Properties>
</file>