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3EE" w:rsidR="004D7AC0" w:rsidP="004D7AC0" w:rsidRDefault="00064B8D" w14:paraId="4982DD4D" w14:textId="5902E40B">
      <w:pPr>
        <w:jc w:val="center"/>
      </w:pPr>
      <w:r w:rsidRPr="000403EE">
        <w:drawing>
          <wp:inline distT="0" distB="0" distL="0" distR="0" wp14:anchorId="30BCA383" wp14:editId="5B0B3BD3">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403EE" w:rsidR="004D7AC0">
        <w:rPr>
          <w:sz w:val="20"/>
        </w:rPr>
        <mc:AlternateContent>
          <mc:Choice Requires="wps">
            <w:drawing>
              <wp:anchor distT="0" distB="0" distL="114300" distR="114300" simplePos="0" relativeHeight="251659264" behindDoc="1" locked="0" layoutInCell="0" allowOverlap="1" wp14:editId="5EF36465"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403EE" w:rsidR="004D7AC0" w:rsidP="004D7AC0" w:rsidRDefault="004D7AC0" w14:paraId="4982DE54" w14:textId="77777777">
                            <w:pPr>
                              <w:jc w:val="center"/>
                              <w:rPr>
                                <w:rFonts w:ascii="Arial" w:hAnsi="Arial" w:cs="Arial"/>
                                <w:b/>
                                <w:bCs/>
                                <w:sz w:val="48"/>
                              </w:rPr>
                            </w:pPr>
                            <w:r w:rsidRPr="000403EE">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0403EE" w:rsidR="004D7AC0" w:rsidP="004D7AC0" w:rsidRDefault="004D7AC0" w14:paraId="4982DE54" w14:textId="77777777">
                      <w:pPr>
                        <w:jc w:val="center"/>
                        <w:rPr>
                          <w:rFonts w:ascii="Arial" w:hAnsi="Arial" w:cs="Arial"/>
                          <w:b/>
                          <w:bCs/>
                          <w:sz w:val="48"/>
                        </w:rPr>
                      </w:pPr>
                      <w:r w:rsidRPr="000403EE">
                        <w:rPr>
                          <w:rFonts w:ascii="Arial" w:hAnsi="Arial"/>
                          <w:b/>
                          <w:sz w:val="48"/>
                        </w:rPr>
                        <w:t>EL</w:t>
                      </w:r>
                    </w:p>
                  </w:txbxContent>
                </v:textbox>
                <w10:wrap anchorx="page" anchory="page"/>
              </v:shape>
            </w:pict>
          </mc:Fallback>
        </mc:AlternateContent>
      </w:r>
    </w:p>
    <w:p w:rsidRPr="000403EE" w:rsidR="004D7AC0" w:rsidP="004D7AC0" w:rsidRDefault="004D7AC0" w14:paraId="4982DD4E" w14:textId="77777777"/>
    <w:p w:rsidRPr="000403EE" w:rsidR="004D7AC0" w:rsidP="004D7AC0" w:rsidRDefault="004D7AC0" w14:paraId="4982DD4F" w14:textId="1A2FDAEC">
      <w:pPr>
        <w:jc w:val="right"/>
      </w:pPr>
      <w:r w:rsidRPr="000403EE">
        <w:t>Βρυξέλλες, 17 Δεκεμβρίου 2024</w:t>
      </w:r>
    </w:p>
    <w:p w:rsidRPr="000403EE" w:rsidR="004D7AC0" w:rsidP="004D7AC0" w:rsidRDefault="004D7AC0" w14:paraId="4982DD50" w14:textId="77777777"/>
    <w:p w:rsidRPr="000403EE" w:rsidR="004D7AC0" w:rsidP="004D7AC0" w:rsidRDefault="004D7AC0" w14:paraId="4982DD51" w14:textId="77777777"/>
    <w:p w:rsidRPr="000403EE" w:rsidR="004D7AC0" w:rsidP="004D7AC0" w:rsidRDefault="004D7AC0" w14:paraId="4982DD52" w14:textId="77777777"/>
    <w:tbl>
      <w:tblPr>
        <w:tblW w:w="0" w:type="auto"/>
        <w:tblLook w:val="04A0" w:firstRow="1" w:lastRow="0" w:firstColumn="1" w:lastColumn="0" w:noHBand="0" w:noVBand="1"/>
      </w:tblPr>
      <w:tblGrid>
        <w:gridCol w:w="9289"/>
      </w:tblGrid>
      <w:tr w:rsidRPr="000403EE" w:rsidR="004D7AC0" w:rsidTr="00863A8F" w14:paraId="4982DD59" w14:textId="77777777">
        <w:tc>
          <w:tcPr>
            <w:tcW w:w="9289" w:type="dxa"/>
            <w:tcBorders>
              <w:bottom w:val="double" w:color="auto" w:sz="4" w:space="0"/>
            </w:tcBorders>
          </w:tcPr>
          <w:p w:rsidRPr="000403EE" w:rsidR="003066BE" w:rsidP="00863A8F" w:rsidRDefault="008C47BA" w14:paraId="4982DD53" w14:textId="29474CC3">
            <w:pPr>
              <w:snapToGrid w:val="0"/>
              <w:jc w:val="center"/>
              <w:rPr>
                <w:b/>
                <w:sz w:val="32"/>
                <w:szCs w:val="32"/>
              </w:rPr>
            </w:pPr>
            <w:r w:rsidRPr="000403EE">
              <w:rPr>
                <w:b/>
                <w:sz w:val="32"/>
              </w:rPr>
              <w:t>592η ΣΥΝΟΔΟΣ ΟΛΟΜΕΛΕΙΑΣ</w:t>
            </w:r>
          </w:p>
          <w:p w:rsidRPr="000403EE" w:rsidR="003066BE" w:rsidP="00863A8F" w:rsidRDefault="003066BE" w14:paraId="4982DD54" w14:textId="77777777">
            <w:pPr>
              <w:snapToGrid w:val="0"/>
              <w:jc w:val="center"/>
              <w:rPr>
                <w:b/>
                <w:sz w:val="32"/>
                <w:szCs w:val="32"/>
              </w:rPr>
            </w:pPr>
          </w:p>
          <w:p w:rsidRPr="000403EE" w:rsidR="003066BE" w:rsidP="00863A8F" w:rsidRDefault="009E3EE2" w14:paraId="4982DD55" w14:textId="24514D05">
            <w:pPr>
              <w:snapToGrid w:val="0"/>
              <w:jc w:val="center"/>
              <w:rPr>
                <w:b/>
                <w:sz w:val="32"/>
                <w:szCs w:val="32"/>
              </w:rPr>
            </w:pPr>
            <w:r w:rsidRPr="000403EE">
              <w:rPr>
                <w:b/>
                <w:sz w:val="32"/>
              </w:rPr>
              <w:t>4 και 5 Δεκεμβρίου 2024</w:t>
            </w:r>
          </w:p>
          <w:p w:rsidRPr="000403EE" w:rsidR="003066BE" w:rsidP="00863A8F" w:rsidRDefault="003066BE" w14:paraId="4982DD56" w14:textId="77777777">
            <w:pPr>
              <w:snapToGrid w:val="0"/>
              <w:jc w:val="center"/>
              <w:rPr>
                <w:b/>
                <w:sz w:val="32"/>
                <w:szCs w:val="32"/>
              </w:rPr>
            </w:pPr>
          </w:p>
          <w:p w:rsidRPr="000403EE" w:rsidR="004D7AC0" w:rsidP="00863A8F" w:rsidRDefault="00754027" w14:paraId="4982DD57" w14:textId="5A35E792">
            <w:pPr>
              <w:snapToGrid w:val="0"/>
              <w:jc w:val="center"/>
              <w:rPr>
                <w:rFonts w:eastAsia="MS Mincho"/>
                <w:b/>
                <w:sz w:val="32"/>
                <w:szCs w:val="32"/>
              </w:rPr>
            </w:pPr>
            <w:r w:rsidRPr="000403EE">
              <w:rPr>
                <w:b/>
                <w:sz w:val="32"/>
              </w:rPr>
              <w:t>ΣΥΝΟΨΗ ΤΩΝ ΓΝΩΜΟΔΟΤΗΣΕΩΝ, ΨΗΦΙΣΜΑΤΩΝ ΚΑΙ ΕΝΗΜΕΡΩΤΙΚΩΝ ΕΚΘΕΣΕΩΝ / ΕΚΘΕΣΕΩΝ ΑΞΙΟΛΟΓΗΣΗΣ ΠΟΥ ΕΓΚΡΙΘΗΚΑΝ</w:t>
            </w:r>
          </w:p>
          <w:p w:rsidRPr="000403EE" w:rsidR="004D7AC0" w:rsidP="00863A8F" w:rsidRDefault="004D7AC0" w14:paraId="4982DD58" w14:textId="77777777">
            <w:pPr>
              <w:snapToGrid w:val="0"/>
            </w:pPr>
          </w:p>
        </w:tc>
      </w:tr>
      <w:tr w:rsidRPr="000403EE"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0403EE" w:rsidR="004D7AC0" w:rsidP="00863A8F" w:rsidRDefault="004D7AC0" w14:paraId="4982DD5A" w14:textId="0C0FF99D">
            <w:pPr>
              <w:snapToGrid w:val="0"/>
              <w:jc w:val="center"/>
            </w:pPr>
            <w:r w:rsidRPr="000403EE">
              <w:t>Το παρόν έγγραφο είναι διαθέσιμο στον ιστότοπο της ΕΟΚΕ,</w:t>
            </w:r>
            <w:r w:rsidRPr="000403EE">
              <w:br/>
              <w:t>σε όλες τις επίσημες γλώσσες της Ευρωπαϊκής Ένωσης, στην ακόλουθη ηλεκτρονική διεύθυνση:</w:t>
            </w:r>
            <w:r w:rsidRPr="000403EE">
              <w:br/>
            </w:r>
            <w:r w:rsidRPr="000403EE">
              <w:br/>
            </w:r>
            <w:hyperlink w:history="1" r:id="rId12">
              <w:r w:rsidRPr="000403EE">
                <w:rPr>
                  <w:rStyle w:val="Hyperlink"/>
                </w:rPr>
                <w:t>https://www.eesc.europa.eu/el/our-work/opinions-information-reports/plenary-session-summaries</w:t>
              </w:r>
            </w:hyperlink>
          </w:p>
          <w:p w:rsidRPr="000403EE" w:rsidR="004D7AC0" w:rsidP="00863A8F" w:rsidRDefault="004D7AC0" w14:paraId="4982DD5C" w14:textId="77777777">
            <w:pPr>
              <w:snapToGrid w:val="0"/>
              <w:jc w:val="center"/>
              <w:rPr>
                <w:rFonts w:eastAsia="SimSun"/>
              </w:rPr>
            </w:pPr>
          </w:p>
          <w:p w:rsidRPr="000403EE" w:rsidR="004D7AC0" w:rsidP="00863A8F" w:rsidRDefault="004D7AC0" w14:paraId="4982DD5D" w14:textId="77777777">
            <w:pPr>
              <w:snapToGrid w:val="0"/>
              <w:jc w:val="center"/>
            </w:pPr>
            <w:r w:rsidRPr="000403EE">
              <w:t>Μπορείτε να συμβουλευτείτε τις εν λόγω γνωμοδοτήσεις μέσω της μηχανής αναζήτησης</w:t>
            </w:r>
            <w:r w:rsidRPr="000403EE">
              <w:br/>
              <w:t>της ΕΟΚΕ:</w:t>
            </w:r>
            <w:r w:rsidRPr="000403EE">
              <w:br/>
            </w:r>
            <w:r w:rsidRPr="000403EE">
              <w:br/>
            </w:r>
            <w:hyperlink w:history="1" r:id="rId13">
              <w:r w:rsidRPr="000403EE">
                <w:rPr>
                  <w:rStyle w:val="Hyperlink"/>
                </w:rPr>
                <w:t>https://dmsearch.eesc.europa.eu/search/opinion</w:t>
              </w:r>
            </w:hyperlink>
          </w:p>
          <w:p w:rsidRPr="000403EE" w:rsidR="004D7AC0" w:rsidP="00863A8F" w:rsidRDefault="004D7AC0" w14:paraId="4982DD5E" w14:textId="77777777">
            <w:pPr>
              <w:snapToGrid w:val="0"/>
              <w:jc w:val="center"/>
            </w:pPr>
          </w:p>
        </w:tc>
      </w:tr>
    </w:tbl>
    <w:p w:rsidRPr="000403EE" w:rsidR="004D7AC0" w:rsidP="004D7AC0" w:rsidRDefault="004D7AC0" w14:paraId="4982DD60" w14:textId="77777777"/>
    <w:p w:rsidRPr="000403EE" w:rsidR="004D7AC0" w:rsidP="004D7AC0" w:rsidRDefault="004D7AC0" w14:paraId="4982DD61" w14:textId="77777777"/>
    <w:p w:rsidRPr="000403EE" w:rsidR="004D7AC0" w:rsidP="004D7AC0" w:rsidRDefault="004D7AC0" w14:paraId="4982DD62" w14:textId="72DC7F56">
      <w:pPr>
        <w:sectPr w:rsidRPr="000403EE" w:rsidR="004D7AC0" w:rsidSect="000403EE">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0403EE" w:rsidR="004D7AC0" w:rsidP="004D7AC0" w:rsidRDefault="004D7AC0" w14:paraId="4982DD63" w14:textId="77777777">
      <w:pPr>
        <w:rPr>
          <w:b/>
        </w:rPr>
      </w:pPr>
      <w:r w:rsidRPr="000403EE">
        <w:rPr>
          <w:b/>
        </w:rPr>
        <w:lastRenderedPageBreak/>
        <w:t>Περιεχόμενα:</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0403EE" w:rsidR="004D7AC0" w:rsidP="004D7AC0" w:rsidRDefault="004D7AC0" w14:paraId="4982DD64" w14:textId="77777777">
          <w:pPr>
            <w:pStyle w:val="TOCHeading"/>
            <w:rPr>
              <w:rFonts w:ascii="Times New Roman" w:hAnsi="Times New Roman" w:cs="Times New Roman"/>
              <w:color w:val="auto"/>
              <w:sz w:val="22"/>
              <w:szCs w:val="22"/>
            </w:rPr>
          </w:pPr>
        </w:p>
        <w:p w:rsidRPr="000403EE" w:rsidR="00AA65DC" w:rsidRDefault="004D7AC0" w14:paraId="0034B10D" w14:textId="3C3F7AC6">
          <w:pPr>
            <w:pStyle w:val="TOC1"/>
            <w:tabs>
              <w:tab w:val="left" w:pos="440"/>
              <w:tab w:val="right" w:leader="dot" w:pos="9063"/>
            </w:tabs>
            <w:rPr>
              <w:rFonts w:eastAsiaTheme="minorEastAsia"/>
              <w:sz w:val="20"/>
              <w:szCs w:val="20"/>
            </w:rPr>
          </w:pPr>
          <w:r w:rsidRPr="000403EE">
            <w:fldChar w:fldCharType="begin"/>
          </w:r>
          <w:r w:rsidRPr="000403EE">
            <w:instrText xml:space="preserve"> TOC \o "1-3" \h \z \u </w:instrText>
          </w:r>
          <w:r w:rsidRPr="000403EE">
            <w:fldChar w:fldCharType="separate"/>
          </w:r>
          <w:hyperlink w:history="1" w:anchor="_Toc178009552">
            <w:r w:rsidRPr="000403EE" w:rsidR="00AA65DC">
              <w:rPr>
                <w:rStyle w:val="Hyperlink"/>
                <w:b/>
                <w:sz w:val="20"/>
                <w:szCs w:val="20"/>
              </w:rPr>
              <w:t>1.</w:t>
            </w:r>
            <w:r w:rsidRPr="000403EE" w:rsidR="00AA65DC">
              <w:rPr>
                <w:rFonts w:eastAsiaTheme="minorEastAsia"/>
                <w:sz w:val="20"/>
                <w:szCs w:val="20"/>
              </w:rPr>
              <w:tab/>
            </w:r>
            <w:r w:rsidRPr="000403EE" w:rsidR="00270C6A">
              <w:rPr>
                <w:b/>
                <w:sz w:val="20"/>
                <w:szCs w:val="20"/>
              </w:rPr>
              <w:t>ΨΗΦΙΣΜΑ</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_Toc178009552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3</w:t>
            </w:r>
            <w:r w:rsidRPr="000403EE" w:rsidR="00AA65DC">
              <w:rPr>
                <w:webHidden/>
                <w:sz w:val="20"/>
                <w:szCs w:val="20"/>
              </w:rPr>
              <w:fldChar w:fldCharType="end"/>
            </w:r>
          </w:hyperlink>
        </w:p>
        <w:p w:rsidRPr="000403EE" w:rsidR="00AA65DC" w:rsidRDefault="00913BEC" w14:paraId="0078F707" w14:textId="789FC51E">
          <w:pPr>
            <w:pStyle w:val="TOC1"/>
            <w:tabs>
              <w:tab w:val="left" w:pos="440"/>
              <w:tab w:val="right" w:leader="dot" w:pos="9063"/>
            </w:tabs>
            <w:rPr>
              <w:rFonts w:eastAsiaTheme="minorEastAsia"/>
              <w:sz w:val="20"/>
              <w:szCs w:val="20"/>
            </w:rPr>
          </w:pPr>
          <w:hyperlink w:history="1" w:anchor="_Toc178009553">
            <w:r w:rsidRPr="000403EE" w:rsidR="00AA65DC">
              <w:rPr>
                <w:rStyle w:val="Hyperlink"/>
                <w:b/>
                <w:sz w:val="20"/>
                <w:szCs w:val="20"/>
              </w:rPr>
              <w:t>2.</w:t>
            </w:r>
            <w:r w:rsidRPr="000403EE" w:rsidR="00AA65DC">
              <w:rPr>
                <w:rFonts w:eastAsiaTheme="minorEastAsia"/>
                <w:sz w:val="20"/>
                <w:szCs w:val="20"/>
              </w:rPr>
              <w:tab/>
            </w:r>
            <w:r w:rsidRPr="000403EE" w:rsidR="00270C6A">
              <w:rPr>
                <w:b/>
                <w:sz w:val="20"/>
                <w:szCs w:val="20"/>
              </w:rPr>
              <w:t>ΟΙΚΟΝΟΜΙΚΗ ΚΑΙ ΝΟΜΙΣΜΑΤΙΚΗ ΕΝΩΣΗ, ΟΙΚΟΝΟΜΙΚΗ ΚΑΙ ΚΟΙΝΩΝΙΚΗ ΣΥΝΟΧΗ</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_Toc178009553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5</w:t>
            </w:r>
            <w:r w:rsidRPr="000403EE" w:rsidR="00AA65DC">
              <w:rPr>
                <w:webHidden/>
                <w:sz w:val="20"/>
                <w:szCs w:val="20"/>
              </w:rPr>
              <w:fldChar w:fldCharType="end"/>
            </w:r>
          </w:hyperlink>
        </w:p>
        <w:p w:rsidRPr="000403EE" w:rsidR="00AA65DC" w:rsidRDefault="00913BEC" w14:paraId="0DCB8A2D" w14:textId="2C459CEC">
          <w:pPr>
            <w:pStyle w:val="TOC1"/>
            <w:tabs>
              <w:tab w:val="left" w:pos="440"/>
              <w:tab w:val="right" w:leader="dot" w:pos="9063"/>
            </w:tabs>
            <w:rPr>
              <w:rFonts w:eastAsiaTheme="minorEastAsia"/>
              <w:sz w:val="20"/>
              <w:szCs w:val="20"/>
            </w:rPr>
          </w:pPr>
          <w:hyperlink w:history="1" w:anchor="_Toc178009563">
            <w:r w:rsidRPr="000403EE" w:rsidR="00AA65DC">
              <w:rPr>
                <w:rStyle w:val="Hyperlink"/>
                <w:b/>
                <w:sz w:val="20"/>
                <w:szCs w:val="20"/>
              </w:rPr>
              <w:t>3.</w:t>
            </w:r>
            <w:r w:rsidRPr="000403EE" w:rsidR="00AA65DC">
              <w:rPr>
                <w:rFonts w:eastAsiaTheme="minorEastAsia"/>
                <w:sz w:val="20"/>
                <w:szCs w:val="20"/>
              </w:rPr>
              <w:tab/>
            </w:r>
            <w:r w:rsidRPr="000403EE" w:rsidR="00F437E9">
              <w:rPr>
                <w:b/>
                <w:sz w:val="20"/>
                <w:szCs w:val="20"/>
              </w:rPr>
              <w:t>ΑΠΑΣΧΟΛΗΣΗ, ΚΟΙΝΩΝΙΚΕΣ ΥΠΟΘΕΣΕΙΣ, ΔΙΚΑΙΩΜΑΤΑ ΤΟΥ ΠΟΛΙΤΗ</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_Toc178009563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10</w:t>
            </w:r>
            <w:r w:rsidRPr="000403EE" w:rsidR="00AA65DC">
              <w:rPr>
                <w:webHidden/>
                <w:sz w:val="20"/>
                <w:szCs w:val="20"/>
              </w:rPr>
              <w:fldChar w:fldCharType="end"/>
            </w:r>
          </w:hyperlink>
        </w:p>
        <w:p w:rsidRPr="000403EE" w:rsidR="00AA65DC" w:rsidRDefault="00913BEC" w14:paraId="36F17F99" w14:textId="2A23A3EF">
          <w:pPr>
            <w:pStyle w:val="TOC1"/>
            <w:tabs>
              <w:tab w:val="left" w:pos="440"/>
              <w:tab w:val="right" w:leader="dot" w:pos="9063"/>
            </w:tabs>
            <w:rPr>
              <w:rFonts w:eastAsiaTheme="minorEastAsia"/>
              <w:sz w:val="20"/>
              <w:szCs w:val="20"/>
            </w:rPr>
          </w:pPr>
          <w:hyperlink w:history="1" w:anchor="_Toc178009574">
            <w:r w:rsidRPr="000403EE" w:rsidR="00AA65DC">
              <w:rPr>
                <w:rStyle w:val="Hyperlink"/>
                <w:b/>
                <w:sz w:val="20"/>
                <w:szCs w:val="20"/>
              </w:rPr>
              <w:t>4.</w:t>
            </w:r>
            <w:r w:rsidRPr="000403EE" w:rsidR="00AA65DC">
              <w:rPr>
                <w:rFonts w:eastAsiaTheme="minorEastAsia"/>
                <w:sz w:val="20"/>
                <w:szCs w:val="20"/>
              </w:rPr>
              <w:tab/>
            </w:r>
            <w:r w:rsidRPr="000403EE" w:rsidR="00945EE2">
              <w:rPr>
                <w:b/>
                <w:sz w:val="20"/>
                <w:szCs w:val="20"/>
              </w:rPr>
              <w:t>ΜΕΤΑΦΟΡΕΣ, ΕΝΕΡΓΕΙΑ, ΥΠΟΔΟΜΕΣ, ΚΟΙΝΩΝΙΑ ΤΩΝ ΠΛΗΡΟΦΟΡΙΩΝ</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_Toc178009574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11</w:t>
            </w:r>
            <w:r w:rsidRPr="000403EE" w:rsidR="00AA65DC">
              <w:rPr>
                <w:webHidden/>
                <w:sz w:val="20"/>
                <w:szCs w:val="20"/>
              </w:rPr>
              <w:fldChar w:fldCharType="end"/>
            </w:r>
          </w:hyperlink>
        </w:p>
        <w:p w:rsidRPr="000403EE" w:rsidR="00AA65DC" w:rsidRDefault="00913BEC" w14:paraId="69B8E58C" w14:textId="37C0E42A">
          <w:pPr>
            <w:pStyle w:val="TOC1"/>
            <w:tabs>
              <w:tab w:val="left" w:pos="440"/>
              <w:tab w:val="right" w:leader="dot" w:pos="9063"/>
            </w:tabs>
            <w:rPr>
              <w:rFonts w:eastAsiaTheme="minorEastAsia"/>
              <w:sz w:val="20"/>
              <w:szCs w:val="20"/>
            </w:rPr>
          </w:pPr>
          <w:hyperlink w:history="1" w:anchor="_Toc178009575">
            <w:r w:rsidRPr="000403EE" w:rsidR="00AA65DC">
              <w:rPr>
                <w:rStyle w:val="Hyperlink"/>
                <w:b/>
                <w:sz w:val="20"/>
                <w:szCs w:val="20"/>
              </w:rPr>
              <w:t>5.</w:t>
            </w:r>
            <w:r w:rsidRPr="000403EE" w:rsidR="00AA65DC">
              <w:rPr>
                <w:rFonts w:eastAsiaTheme="minorEastAsia"/>
                <w:sz w:val="20"/>
                <w:szCs w:val="20"/>
              </w:rPr>
              <w:tab/>
            </w:r>
            <w:r w:rsidRPr="000403EE" w:rsidR="00DF08D9">
              <w:rPr>
                <w:b/>
                <w:sz w:val="20"/>
                <w:szCs w:val="20"/>
              </w:rPr>
              <w:t>ΕΝΙΑΙΑ ΑΓΟΡΑ, ΠΑΡΑΓΩΓΗ ΚΑΙ ΚΑΤΑΝΑΛΩΣΗ</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_Toc178009575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14</w:t>
            </w:r>
            <w:r w:rsidRPr="000403EE" w:rsidR="00AA65DC">
              <w:rPr>
                <w:webHidden/>
                <w:sz w:val="20"/>
                <w:szCs w:val="20"/>
              </w:rPr>
              <w:fldChar w:fldCharType="end"/>
            </w:r>
          </w:hyperlink>
        </w:p>
        <w:p w:rsidRPr="000403EE" w:rsidR="00AA65DC" w:rsidRDefault="00913BEC" w14:paraId="754B2B4F" w14:textId="1016CA9D">
          <w:pPr>
            <w:pStyle w:val="TOC1"/>
            <w:tabs>
              <w:tab w:val="left" w:pos="440"/>
              <w:tab w:val="right" w:leader="dot" w:pos="9063"/>
            </w:tabs>
            <w:rPr>
              <w:rFonts w:eastAsiaTheme="minorEastAsia"/>
              <w:sz w:val="20"/>
              <w:szCs w:val="20"/>
            </w:rPr>
          </w:pPr>
          <w:hyperlink w:history="1" w:anchor="_Toc178009576">
            <w:r w:rsidRPr="000403EE" w:rsidR="00AA65DC">
              <w:rPr>
                <w:rStyle w:val="Hyperlink"/>
                <w:b/>
                <w:sz w:val="20"/>
                <w:szCs w:val="20"/>
              </w:rPr>
              <w:t>6.</w:t>
            </w:r>
            <w:r w:rsidRPr="000403EE" w:rsidR="00AA65DC">
              <w:rPr>
                <w:rFonts w:eastAsiaTheme="minorEastAsia"/>
                <w:sz w:val="20"/>
                <w:szCs w:val="20"/>
              </w:rPr>
              <w:tab/>
            </w:r>
            <w:r w:rsidRPr="000403EE" w:rsidR="001A5412">
              <w:rPr>
                <w:b/>
                <w:sz w:val="20"/>
                <w:szCs w:val="20"/>
              </w:rPr>
              <w:t>ΓΕΩΡΓΙΑ, ΑΓΡΟΤΙΚΗ ΑΝΑΠΤΥΞΗ, ΠΕΡΙΒΑΛΛΟΝ</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_Toc178009576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17</w:t>
            </w:r>
            <w:r w:rsidRPr="000403EE" w:rsidR="00AA65DC">
              <w:rPr>
                <w:webHidden/>
                <w:sz w:val="20"/>
                <w:szCs w:val="20"/>
              </w:rPr>
              <w:fldChar w:fldCharType="end"/>
            </w:r>
          </w:hyperlink>
        </w:p>
        <w:p w:rsidRPr="000403EE" w:rsidR="00AA65DC" w:rsidRDefault="00913BEC" w14:paraId="6FD02832" w14:textId="0667372D">
          <w:pPr>
            <w:pStyle w:val="TOC1"/>
            <w:tabs>
              <w:tab w:val="left" w:pos="440"/>
              <w:tab w:val="right" w:leader="dot" w:pos="9063"/>
            </w:tabs>
            <w:rPr>
              <w:rFonts w:eastAsiaTheme="minorEastAsia"/>
              <w:sz w:val="20"/>
              <w:szCs w:val="20"/>
            </w:rPr>
          </w:pPr>
          <w:hyperlink w:history="1" w:anchor="_Toc178009608">
            <w:r w:rsidRPr="000403EE" w:rsidR="00AA65DC">
              <w:rPr>
                <w:rStyle w:val="Hyperlink"/>
                <w:b/>
                <w:sz w:val="20"/>
                <w:szCs w:val="20"/>
              </w:rPr>
              <w:t>7.</w:t>
            </w:r>
            <w:r w:rsidRPr="000403EE" w:rsidR="00AA65DC">
              <w:rPr>
                <w:rFonts w:eastAsiaTheme="minorEastAsia"/>
                <w:sz w:val="20"/>
                <w:szCs w:val="20"/>
              </w:rPr>
              <w:tab/>
            </w:r>
            <w:r w:rsidRPr="000403EE" w:rsidR="001A5412">
              <w:rPr>
                <w:b/>
                <w:sz w:val="20"/>
                <w:szCs w:val="20"/>
              </w:rPr>
              <w:t>ΕΞΩΤΕΡΙΚΕΣ ΣΧΕΣΕΙΣ</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_Toc178009608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21</w:t>
            </w:r>
            <w:r w:rsidRPr="000403EE" w:rsidR="00AA65DC">
              <w:rPr>
                <w:webHidden/>
                <w:sz w:val="20"/>
                <w:szCs w:val="20"/>
              </w:rPr>
              <w:fldChar w:fldCharType="end"/>
            </w:r>
          </w:hyperlink>
        </w:p>
        <w:p w:rsidRPr="000403EE" w:rsidR="00AA65DC" w:rsidRDefault="00913BEC" w14:paraId="5A07342D" w14:textId="15DBC105">
          <w:pPr>
            <w:pStyle w:val="TOC1"/>
            <w:tabs>
              <w:tab w:val="left" w:pos="440"/>
              <w:tab w:val="right" w:leader="dot" w:pos="9063"/>
            </w:tabs>
            <w:rPr>
              <w:rFonts w:eastAsiaTheme="minorEastAsia"/>
            </w:rPr>
          </w:pPr>
          <w:hyperlink w:history="1" w:anchor="_Toc178009618">
            <w:r w:rsidRPr="000403EE" w:rsidR="00AA65DC">
              <w:rPr>
                <w:rStyle w:val="Hyperlink"/>
                <w:b/>
                <w:sz w:val="20"/>
                <w:szCs w:val="20"/>
              </w:rPr>
              <w:t>8.</w:t>
            </w:r>
            <w:r w:rsidRPr="000403EE" w:rsidR="00AA65DC">
              <w:rPr>
                <w:rFonts w:eastAsiaTheme="minorEastAsia"/>
                <w:sz w:val="20"/>
                <w:szCs w:val="20"/>
              </w:rPr>
              <w:tab/>
            </w:r>
            <w:r w:rsidRPr="000403EE" w:rsidR="001A5412">
              <w:rPr>
                <w:b/>
                <w:color w:val="222A35" w:themeColor="text2" w:themeShade="80"/>
                <w:sz w:val="20"/>
                <w:szCs w:val="20"/>
              </w:rPr>
              <w:t>ΣΥΜΒΟΥΛΕΥΤΙΚΗ ΕΠΙΤΡΟΠΗ ΒΙΟΜΗΧΑΝΙΚΩΝ ΜΕΤΑΛΛΑΓΩΝ</w:t>
            </w:r>
            <w:r w:rsidRPr="000403EE" w:rsidR="00AA65DC">
              <w:rPr>
                <w:webHidden/>
                <w:sz w:val="20"/>
                <w:szCs w:val="20"/>
              </w:rPr>
              <w:tab/>
            </w:r>
            <w:r w:rsidRPr="000403EE" w:rsidR="00AA65DC">
              <w:rPr>
                <w:webHidden/>
                <w:sz w:val="20"/>
                <w:szCs w:val="20"/>
              </w:rPr>
              <w:fldChar w:fldCharType="begin"/>
            </w:r>
            <w:r w:rsidRPr="000403EE" w:rsidR="00AA65DC">
              <w:rPr>
                <w:webHidden/>
                <w:sz w:val="20"/>
                <w:szCs w:val="20"/>
              </w:rPr>
              <w:instrText xml:space="preserve"> PAGEREF _Toc178009618 \h </w:instrText>
            </w:r>
            <w:r w:rsidRPr="000403EE" w:rsidR="00AA65DC">
              <w:rPr>
                <w:webHidden/>
                <w:sz w:val="20"/>
                <w:szCs w:val="20"/>
              </w:rPr>
            </w:r>
            <w:r w:rsidRPr="000403EE" w:rsidR="00AA65DC">
              <w:rPr>
                <w:webHidden/>
                <w:sz w:val="20"/>
                <w:szCs w:val="20"/>
              </w:rPr>
              <w:fldChar w:fldCharType="separate"/>
            </w:r>
            <w:r w:rsidRPr="000403EE" w:rsidR="00374AB5">
              <w:rPr>
                <w:webHidden/>
                <w:sz w:val="20"/>
                <w:szCs w:val="20"/>
              </w:rPr>
              <w:t>26</w:t>
            </w:r>
            <w:r w:rsidRPr="000403EE" w:rsidR="00AA65DC">
              <w:rPr>
                <w:webHidden/>
                <w:sz w:val="20"/>
                <w:szCs w:val="20"/>
              </w:rPr>
              <w:fldChar w:fldCharType="end"/>
            </w:r>
          </w:hyperlink>
        </w:p>
        <w:p w:rsidRPr="000403EE" w:rsidR="004D7AC0" w:rsidP="004D7AC0" w:rsidRDefault="004D7AC0" w14:paraId="4982DD6A" w14:textId="66C7A2FF">
          <w:r w:rsidRPr="000403EE">
            <w:rPr>
              <w:b/>
            </w:rPr>
            <w:fldChar w:fldCharType="end"/>
          </w:r>
        </w:p>
      </w:sdtContent>
    </w:sdt>
    <w:p w:rsidRPr="000403EE" w:rsidR="004D7AC0" w:rsidP="004D7AC0" w:rsidRDefault="004D7AC0" w14:paraId="4982DD6B" w14:textId="77777777"/>
    <w:p w:rsidRPr="000403EE" w:rsidR="004D7AC0" w:rsidP="004D7AC0" w:rsidRDefault="004D7AC0" w14:paraId="4982DD6C" w14:textId="4206A6D3">
      <w:pPr>
        <w:spacing w:after="160" w:line="259" w:lineRule="auto"/>
        <w:jc w:val="left"/>
      </w:pPr>
      <w:r w:rsidRPr="000403EE">
        <w:br w:type="page"/>
      </w:r>
    </w:p>
    <w:p w:rsidRPr="000403EE" w:rsidR="002673F7" w:rsidP="004D7AC0" w:rsidRDefault="002673F7" w14:paraId="2C14AA4D" w14:textId="2AF2A0E3">
      <w:pPr>
        <w:pStyle w:val="Heading1"/>
        <w:rPr>
          <w:b/>
        </w:rPr>
      </w:pPr>
      <w:bookmarkStart w:name="_Toc178009552" w:id="0"/>
      <w:r w:rsidRPr="000403EE">
        <w:rPr>
          <w:b/>
        </w:rPr>
        <w:lastRenderedPageBreak/>
        <w:t>ΨΗΦΙΣΜΑ</w:t>
      </w:r>
      <w:bookmarkEnd w:id="0"/>
    </w:p>
    <w:p w:rsidRPr="000403EE" w:rsidR="002673F7" w:rsidP="002673F7" w:rsidRDefault="002673F7" w14:paraId="3912EA4C" w14:textId="5657EB09"/>
    <w:p w:rsidRPr="000403EE" w:rsidR="00E85F55" w:rsidP="007224BE" w:rsidRDefault="00E85F55"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r w:rsidRPr="000403EE">
        <w:rPr>
          <w:b/>
          <w:i/>
          <w:color w:val="0000FF"/>
          <w:sz w:val="28"/>
          <w:u w:val="single"/>
        </w:rPr>
        <w:t>Ψήφισμα της ΕΟΚΕ</w:t>
      </w:r>
      <w:r w:rsidRPr="000403EE">
        <w:rPr>
          <w:b/>
          <w:color w:val="0000FF"/>
          <w:sz w:val="28"/>
          <w:u w:val="single"/>
        </w:rPr>
        <w:t xml:space="preserve"> με θέμα </w:t>
      </w:r>
      <w:hyperlink w:history="1" r:id="rId20">
        <w:r w:rsidRPr="000403EE">
          <w:rPr>
            <w:b/>
            <w:i/>
            <w:color w:val="0000FF"/>
            <w:sz w:val="28"/>
            <w:u w:val="single"/>
          </w:rPr>
          <w:t>«Η συμβολή της Ευρωπαϊκής Οικονομικής και Κοινωνικής Επιτροπής στο πρόγραμμα εργασίας της Ευρωπαϊκής Επιτροπής για το 2025»</w:t>
        </w:r>
      </w:hyperlink>
    </w:p>
    <w:p w:rsidRPr="000403EE" w:rsidR="00E85F55" w:rsidP="00E85F55" w:rsidRDefault="00E85F55" w14:paraId="0B05F8EC" w14:textId="77777777">
      <w:pPr>
        <w:widowControl w:val="0"/>
        <w:overflowPunct w:val="0"/>
        <w:autoSpaceDE w:val="0"/>
        <w:autoSpaceDN w:val="0"/>
        <w:adjustRightInd w:val="0"/>
        <w:ind w:left="266"/>
        <w:textAlignment w:val="baseline"/>
      </w:pPr>
    </w:p>
    <w:p w:rsidRPr="000403EE" w:rsidR="00E85F55" w:rsidP="00E85F55" w:rsidRDefault="00E85F55" w14:paraId="7F2B3E69" w14:textId="77777777">
      <w:pPr>
        <w:widowControl w:val="0"/>
        <w:overflowPunct w:val="0"/>
        <w:autoSpaceDE w:val="0"/>
        <w:autoSpaceDN w:val="0"/>
        <w:adjustRightInd w:val="0"/>
        <w:ind w:left="266"/>
        <w:textAlignment w:val="baseline"/>
        <w:rPr>
          <w:bCs/>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7479"/>
      </w:tblGrid>
      <w:tr w:rsidRPr="000403EE" w:rsidR="00E85F55" w:rsidTr="00863A8F" w14:paraId="2F18C2E9" w14:textId="77777777">
        <w:tc>
          <w:tcPr>
            <w:tcW w:w="1093" w:type="pct"/>
          </w:tcPr>
          <w:p w:rsidRPr="000403EE"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sidRPr="000403EE">
              <w:rPr>
                <w:b/>
              </w:rPr>
              <w:t>Εισηγητές</w:t>
            </w:r>
          </w:p>
        </w:tc>
        <w:tc>
          <w:tcPr>
            <w:tcW w:w="3907" w:type="pct"/>
          </w:tcPr>
          <w:p w:rsidRPr="000403EE" w:rsidR="00E85F55" w:rsidP="00E85F55" w:rsidRDefault="00E85F55" w14:paraId="4145D568" w14:textId="77777777">
            <w:pPr>
              <w:tabs>
                <w:tab w:val="center" w:pos="284"/>
              </w:tabs>
              <w:overflowPunct w:val="0"/>
              <w:autoSpaceDE w:val="0"/>
              <w:autoSpaceDN w:val="0"/>
              <w:adjustRightInd w:val="0"/>
              <w:ind w:left="266" w:hanging="266"/>
              <w:textAlignment w:val="baseline"/>
            </w:pPr>
            <w:r w:rsidRPr="000403EE">
              <w:t>Cinzia DEL RIO (Ομάδα των Εργαζομένων – IT)</w:t>
            </w:r>
          </w:p>
        </w:tc>
      </w:tr>
      <w:tr w:rsidRPr="000403EE" w:rsidR="00E85F55" w:rsidTr="00863A8F" w14:paraId="3025319A" w14:textId="77777777">
        <w:tc>
          <w:tcPr>
            <w:tcW w:w="1093" w:type="pct"/>
          </w:tcPr>
          <w:p w:rsidRPr="000403EE"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0403EE" w:rsidR="00E85F55" w:rsidP="00E85F55" w:rsidRDefault="00E85F55" w14:paraId="0FA10ABA" w14:textId="77777777">
            <w:pPr>
              <w:tabs>
                <w:tab w:val="center" w:pos="284"/>
              </w:tabs>
              <w:overflowPunct w:val="0"/>
              <w:autoSpaceDE w:val="0"/>
              <w:autoSpaceDN w:val="0"/>
              <w:adjustRightInd w:val="0"/>
              <w:ind w:left="266" w:hanging="266"/>
              <w:textAlignment w:val="baseline"/>
            </w:pPr>
            <w:r w:rsidRPr="000403EE">
              <w:t>Christa SCHWENG (Ομάδα των Εργοδοτών – AT)</w:t>
            </w:r>
          </w:p>
        </w:tc>
      </w:tr>
      <w:tr w:rsidRPr="000403EE" w:rsidR="00E85F55" w:rsidTr="00863A8F" w14:paraId="09863B83" w14:textId="77777777">
        <w:tc>
          <w:tcPr>
            <w:tcW w:w="1093" w:type="pct"/>
          </w:tcPr>
          <w:p w:rsidRPr="000403EE"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0403EE" w:rsidR="00E85F55" w:rsidP="00E85F55" w:rsidRDefault="00E85F55" w14:paraId="1A820854" w14:textId="77777777">
            <w:pPr>
              <w:tabs>
                <w:tab w:val="center" w:pos="284"/>
              </w:tabs>
              <w:overflowPunct w:val="0"/>
              <w:autoSpaceDE w:val="0"/>
              <w:autoSpaceDN w:val="0"/>
              <w:adjustRightInd w:val="0"/>
              <w:ind w:left="266" w:hanging="266"/>
              <w:textAlignment w:val="baseline"/>
            </w:pPr>
            <w:r w:rsidRPr="000403EE">
              <w:t>Ιωάννης ΒΑΡΔΑΚΑΣΤΑΝΗΣ (Ομάδα των Οργανώσεων της Κοινωνίας των Πολιτών – EL)</w:t>
            </w:r>
          </w:p>
        </w:tc>
      </w:tr>
      <w:tr w:rsidRPr="000403EE" w:rsidR="00E85F55" w:rsidTr="00863A8F" w14:paraId="5A8ADB6B" w14:textId="77777777">
        <w:tc>
          <w:tcPr>
            <w:tcW w:w="5000" w:type="pct"/>
            <w:gridSpan w:val="2"/>
          </w:tcPr>
          <w:p w:rsidRPr="000403EE"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0403EE" w:rsidR="00E85F55" w:rsidTr="00863A8F" w14:paraId="1EADF646" w14:textId="77777777">
        <w:tc>
          <w:tcPr>
            <w:tcW w:w="1093" w:type="pct"/>
            <w:vMerge w:val="restart"/>
          </w:tcPr>
          <w:p w:rsidRPr="000403EE"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sidRPr="000403EE">
              <w:rPr>
                <w:b/>
              </w:rPr>
              <w:t>Έγγραφο αναφοράς</w:t>
            </w:r>
          </w:p>
        </w:tc>
        <w:tc>
          <w:tcPr>
            <w:tcW w:w="3907" w:type="pct"/>
          </w:tcPr>
          <w:p w:rsidRPr="000403EE" w:rsidR="00E85F55" w:rsidP="00E85F55" w:rsidRDefault="00E85F55" w14:paraId="3D8B28EE" w14:textId="77777777">
            <w:pPr>
              <w:tabs>
                <w:tab w:val="center" w:pos="284"/>
              </w:tabs>
              <w:overflowPunct w:val="0"/>
              <w:autoSpaceDE w:val="0"/>
              <w:autoSpaceDN w:val="0"/>
              <w:adjustRightInd w:val="0"/>
              <w:ind w:left="266" w:hanging="266"/>
              <w:textAlignment w:val="baseline"/>
            </w:pPr>
            <w:r w:rsidRPr="000403EE">
              <w:t>EESC-2024-03700-00-00-RES</w:t>
            </w:r>
          </w:p>
        </w:tc>
      </w:tr>
      <w:tr w:rsidRPr="000403EE" w:rsidR="00E85F55" w:rsidTr="00863A8F" w14:paraId="5F02857D" w14:textId="77777777">
        <w:tc>
          <w:tcPr>
            <w:tcW w:w="1093" w:type="pct"/>
            <w:vMerge/>
          </w:tcPr>
          <w:p w:rsidRPr="000403EE"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0403EE"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0403EE"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rPr>
      </w:pPr>
    </w:p>
    <w:p w:rsidRPr="000403EE" w:rsidR="00E85F55" w:rsidP="00E85F55" w:rsidRDefault="00E85F55" w14:paraId="5789F249" w14:textId="77777777">
      <w:pPr>
        <w:overflowPunct w:val="0"/>
        <w:autoSpaceDE w:val="0"/>
        <w:autoSpaceDN w:val="0"/>
        <w:adjustRightInd w:val="0"/>
        <w:textAlignment w:val="baseline"/>
        <w:rPr>
          <w:bCs/>
          <w:iCs/>
        </w:rPr>
      </w:pPr>
      <w:r w:rsidRPr="000403EE">
        <w:t>Η ΕΟΚΕ:</w:t>
      </w:r>
    </w:p>
    <w:p w:rsidRPr="000403EE" w:rsidR="007224BE" w:rsidP="00E85F55" w:rsidRDefault="007224BE" w14:paraId="312AE980" w14:textId="77777777">
      <w:pPr>
        <w:overflowPunct w:val="0"/>
        <w:autoSpaceDE w:val="0"/>
        <w:autoSpaceDN w:val="0"/>
        <w:adjustRightInd w:val="0"/>
        <w:textAlignment w:val="baseline"/>
        <w:rPr>
          <w:bCs/>
          <w:iCs/>
        </w:rPr>
      </w:pPr>
    </w:p>
    <w:p w:rsidRPr="000403EE" w:rsidR="00E85F55" w:rsidP="00643D0B" w:rsidRDefault="00E85F55" w14:paraId="1CC512CF" w14:textId="2ECAE528">
      <w:pPr>
        <w:widowControl w:val="0"/>
        <w:numPr>
          <w:ilvl w:val="0"/>
          <w:numId w:val="15"/>
        </w:numPr>
        <w:overflowPunct w:val="0"/>
        <w:autoSpaceDE w:val="0"/>
        <w:autoSpaceDN w:val="0"/>
        <w:adjustRightInd w:val="0"/>
        <w:ind w:left="284" w:hanging="284"/>
        <w:textAlignment w:val="baseline"/>
        <w:rPr>
          <w:bCs/>
          <w:iCs/>
        </w:rPr>
      </w:pPr>
      <w:r w:rsidRPr="000403EE">
        <w:t>Για την αντιμετώπιση των νέων γεωπολιτικών και ολοένα και πιο σύνθετων προκλήσεων, καλεί τα θεσμικά όργανα της ΕΕ να δώσουν συνέχεια στην έκθεση Draghi και να δράσουν αποφασιστικά για να διασφαλίσουν τη μακροπρόθεσμη βιώσιμη ανταγωνιστικότητα, την ευημερία για όλους και την ηγετική θέση της ΕΕ στην παγκόσμια σκηνή. Ως εκ τούτου, είναι επιτακτική ανάγκη κατά πρώτον να βελτιωθούν όλες οι πολιτικές που συμβάλλουν στην ενίσχυση της παραγωγικότητας και της ανταγωνιστικότητας της ΕΕ, με ευθυγράμμιση των ζωτικής σημασίας οικονομικών επενδύσεων, με κοινούς κοινωνικούς και περιβαλλοντικούς στόχους και με προώθηση της κοινωνικής οικονομίας της αγοράς και ενίσχυση της ευημερίας των μελλοντικών γενεών, κατά δεύτερον να εφαρμοστεί μια ισχυρή ευρωπαϊκή βιομηχανική στρατηγική (συμφωνία για καθαρή βιομηχανία) και κατά τρίτον να πραγματοποιηθούν μαζικές επενδύσεις προκειμένου να μετασχηματιστεί η οικονομία κατά τρόπο που να διαφυλάσσει την ακεραιότητα της ενιαίας αγοράς και να καλύπτει τα κενά στην ανάπτυξη, την παραγωγικότητα και την καινοτομία μεταξύ της ΕΕ, αφενός, και των διεθνών εταίρων και των κύριων ανταγωνιστών, αφετέρου.</w:t>
      </w:r>
    </w:p>
    <w:p w:rsidRPr="000403EE" w:rsidR="00E85F55" w:rsidP="00643D0B" w:rsidRDefault="00E85F55" w14:paraId="4F6F60B8" w14:textId="38C60121">
      <w:pPr>
        <w:widowControl w:val="0"/>
        <w:numPr>
          <w:ilvl w:val="0"/>
          <w:numId w:val="15"/>
        </w:numPr>
        <w:overflowPunct w:val="0"/>
        <w:autoSpaceDE w:val="0"/>
        <w:autoSpaceDN w:val="0"/>
        <w:adjustRightInd w:val="0"/>
        <w:ind w:left="284" w:hanging="284"/>
        <w:textAlignment w:val="baseline"/>
        <w:rPr>
          <w:bCs/>
          <w:iCs/>
        </w:rPr>
      </w:pPr>
      <w:r w:rsidRPr="000403EE">
        <w:t>Αναγνωρίζει τη σημασία της μείωσης του διοικητικού φόρτου και του κόστους συμμόρφωσης, αλλά υπογραμμίζει ότι αυτό πρέπει να γίνει με διαφάνεια και χωρίς αποκλεισμούς, χωρίς να θίγονται οι υποκείμενοι νομοθετικοί στόχοι, αλλά με διατήρηση των ισχυόντων υψηλών προτύπων, ιδίως όσον αφορά την κοινωνιακή ευημερία και την προστασία του περιβάλλοντος. Για τις ΜΜΕ, η αρχή «προτεραιότητα στις μικρές επιχειρήσεις» θα πρέπει να γίνει πραγματικότητα, με την παροχή σταθερού νομοθετικού πλαισίου, τον εξορθολογισμό και τη μείωση των διοικητικών διαδικασιών, τη διασφάλιση ισότιμων όρων ανταγωνισμού στην ενιαία αγορά και την παροχή στις ΜΜΕ πρόσβασης στις ανανεώσιμες πηγές ενέργειας σε προσιτές τιμές.</w:t>
      </w:r>
    </w:p>
    <w:p w:rsidRPr="000403EE" w:rsidR="00E85F55" w:rsidP="00643D0B" w:rsidRDefault="00E85F55" w14:paraId="7EDE64A8" w14:textId="1F262169">
      <w:pPr>
        <w:widowControl w:val="0"/>
        <w:numPr>
          <w:ilvl w:val="0"/>
          <w:numId w:val="15"/>
        </w:numPr>
        <w:overflowPunct w:val="0"/>
        <w:autoSpaceDE w:val="0"/>
        <w:autoSpaceDN w:val="0"/>
        <w:adjustRightInd w:val="0"/>
        <w:ind w:left="284" w:hanging="284"/>
        <w:textAlignment w:val="baseline"/>
        <w:rPr>
          <w:bCs/>
          <w:iCs/>
        </w:rPr>
      </w:pPr>
      <w:r w:rsidRPr="000403EE">
        <w:t xml:space="preserve">Επικροτεί την πρόταση για ένα νέο σχέδιο δράσης για την εφαρμογή του ευρωπαϊκού πυλώνα κοινωνικών δικαιωμάτων (ΕΠΚΔ), με το οποίο ζητείται μια πλουραλιστική προσέγγιση για την εφαρμογή, την επιβολή και την παρακολούθηση των υφιστάμενων πρωτοβουλιών στον τομέα της απασχόλησης και στον κοινωνικό τομέα, σε συνδυασμό με τη χρηματοδοτική τους στήριξη, την αντιμετώπιση των προκλήσεων στον τομέα της απασχόλησης και της κοινωνίας με νέα νομοθετικά και μη νομοθετικά μέτρα, και τη στήριξη ισχυρών πολιτικών συνοχής για την αντιμετώπιση των ανισοτήτων. </w:t>
      </w:r>
    </w:p>
    <w:p w:rsidRPr="000403EE" w:rsidR="00E85F55" w:rsidP="00643D0B" w:rsidRDefault="00E85F55" w14:paraId="34C87DDD" w14:textId="77777777">
      <w:pPr>
        <w:widowControl w:val="0"/>
        <w:numPr>
          <w:ilvl w:val="0"/>
          <w:numId w:val="15"/>
        </w:numPr>
        <w:overflowPunct w:val="0"/>
        <w:autoSpaceDE w:val="0"/>
        <w:autoSpaceDN w:val="0"/>
        <w:adjustRightInd w:val="0"/>
        <w:ind w:left="284" w:hanging="284"/>
        <w:textAlignment w:val="baseline"/>
        <w:rPr>
          <w:bCs/>
          <w:iCs/>
        </w:rPr>
      </w:pPr>
      <w:r w:rsidRPr="000403EE">
        <w:lastRenderedPageBreak/>
        <w:t>Ζητεί την παρακολούθηση των κοινωνικών επενδύσεων κατά τη διάρκεια της διαδικασίας του Ευρωπαϊκού Εξαμήνου σύμφωνα με το νέο πλαίσιο κοινωνικής σύγκλισης, το οποίο αποτελεί συμφωνημένο εργαλείο για την παρακολούθηση της προόδου και τη διασφάλιση της επαρκούς εφαρμογής και χρηματοδότησης των κοινωνικών πολιτικών, στο πλαίσιο του ΕΠΚΔ.</w:t>
      </w:r>
    </w:p>
    <w:p w:rsidRPr="000403EE" w:rsidR="00E85F55" w:rsidP="00643D0B" w:rsidRDefault="00E85F55" w14:paraId="0A915271" w14:textId="14DC8B7E">
      <w:pPr>
        <w:widowControl w:val="0"/>
        <w:numPr>
          <w:ilvl w:val="0"/>
          <w:numId w:val="15"/>
        </w:numPr>
        <w:overflowPunct w:val="0"/>
        <w:autoSpaceDE w:val="0"/>
        <w:autoSpaceDN w:val="0"/>
        <w:adjustRightInd w:val="0"/>
        <w:ind w:left="284" w:hanging="284"/>
        <w:textAlignment w:val="baseline"/>
        <w:rPr>
          <w:bCs/>
          <w:iCs/>
        </w:rPr>
      </w:pPr>
      <w:r w:rsidRPr="000403EE">
        <w:t>Τονίζει ότι ο κοινωνικός διάλογος σε όλα τα επίπεδα μπορεί να διαδραματίσει καίριο ρόλο στην ενίσχυση της ανάπτυξης, της παραγωγικότητας, της απασχόλησης και της ανταγωνιστικότητας των ευρωπαϊκών επιχειρήσεων στις παγκόσμιες αγορές.</w:t>
      </w:r>
    </w:p>
    <w:p w:rsidRPr="000403EE" w:rsidR="00E85F55" w:rsidP="00643D0B" w:rsidRDefault="00E85F55" w14:paraId="041473A6" w14:textId="28443C1C">
      <w:pPr>
        <w:widowControl w:val="0"/>
        <w:numPr>
          <w:ilvl w:val="0"/>
          <w:numId w:val="15"/>
        </w:numPr>
        <w:overflowPunct w:val="0"/>
        <w:autoSpaceDE w:val="0"/>
        <w:autoSpaceDN w:val="0"/>
        <w:adjustRightInd w:val="0"/>
        <w:ind w:left="284" w:hanging="284"/>
        <w:textAlignment w:val="baseline"/>
        <w:rPr>
          <w:bCs/>
          <w:iCs/>
        </w:rPr>
      </w:pPr>
      <w:r w:rsidRPr="000403EE">
        <w:t>Καλεί τα θεσμικά όργανα της ΕΕ να αναγνωρίσουν τη σημασία της κοινωνίας των πολιτών ως βασικού παράγοντα για τον σχεδιασμό και την υλοποίηση των πολιτικών της ΕΕ για τη βιώσιμη ανάπτυξη, την προάσπιση της δημοκρατίας και την κοινωνική δικαιοσύνη, συμπεριλαμβανομένων των δίκαιων μεταβάσεων. Η ΕΟΚΕ καλεί τα θεσμικά όργανα της ΕΕ να αναπτύξουν μια στρατηγική για την κοινωνία των πολιτών, με σαφές σχέδιο δράσης.</w:t>
      </w:r>
    </w:p>
    <w:p w:rsidRPr="000403EE" w:rsidR="00E85F55" w:rsidP="00643D0B" w:rsidRDefault="00E85F55" w14:paraId="1FA55C6E" w14:textId="77777777">
      <w:pPr>
        <w:widowControl w:val="0"/>
        <w:numPr>
          <w:ilvl w:val="0"/>
          <w:numId w:val="15"/>
        </w:numPr>
        <w:overflowPunct w:val="0"/>
        <w:autoSpaceDE w:val="0"/>
        <w:autoSpaceDN w:val="0"/>
        <w:adjustRightInd w:val="0"/>
        <w:ind w:left="284" w:hanging="284"/>
        <w:textAlignment w:val="baseline"/>
        <w:rPr>
          <w:bCs/>
          <w:iCs/>
        </w:rPr>
      </w:pPr>
      <w:r w:rsidRPr="000403EE">
        <w:t>Τονίζει ότι τα ταμεία συνοχής παραμένουν ζωτικής σημασίας για την ανοδική οικονομική και κοινωνική σύγκλιση και, ως εκ τούτου, είναι καίριας σημασίας μια ολιστική, συντονισμένη και ολοκληρωμένη προσέγγιση πολιτικής σε επίπεδο ΕΕ. Οι πολιτικές συνοχής θα πρέπει να υποστηρίζονται μέσω μιας γενικής διεύθυνσης αποκλειστικά επιφορτισμένης με τη συνοχή και πρέπει να διατηρούν την ταυτότητα της πολυεπίπεδης διακυβέρνησής τους.</w:t>
      </w:r>
    </w:p>
    <w:p w:rsidRPr="000403EE" w:rsidR="00E85F55" w:rsidP="00E85F55" w:rsidRDefault="00E85F55" w14:paraId="25D7B97C" w14:textId="77777777">
      <w:pPr>
        <w:widowControl w:val="0"/>
        <w:overflowPunct w:val="0"/>
        <w:autoSpaceDE w:val="0"/>
        <w:autoSpaceDN w:val="0"/>
        <w:adjustRightInd w:val="0"/>
        <w:ind w:left="709"/>
        <w:textAlignment w:val="baseline"/>
        <w:rPr>
          <w:szCs w:val="20"/>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E85F55" w:rsidTr="00863A8F" w14:paraId="0CAC661A" w14:textId="77777777">
        <w:tc>
          <w:tcPr>
            <w:tcW w:w="1556" w:type="pct"/>
          </w:tcPr>
          <w:p w:rsidRPr="000403EE" w:rsidR="00E85F55" w:rsidP="00E85F55" w:rsidRDefault="00E85F55" w14:paraId="5FF3957F" w14:textId="6BE02C26">
            <w:pPr>
              <w:overflowPunct w:val="0"/>
              <w:autoSpaceDE w:val="0"/>
              <w:autoSpaceDN w:val="0"/>
              <w:adjustRightInd w:val="0"/>
              <w:spacing w:line="240" w:lineRule="auto"/>
              <w:textAlignment w:val="baseline"/>
              <w:rPr>
                <w:i/>
              </w:rPr>
            </w:pPr>
            <w:r w:rsidRPr="000403EE">
              <w:rPr>
                <w:b/>
                <w:i/>
              </w:rPr>
              <w:t xml:space="preserve">Επικοινωνία </w:t>
            </w:r>
          </w:p>
        </w:tc>
        <w:tc>
          <w:tcPr>
            <w:tcW w:w="3444" w:type="pct"/>
          </w:tcPr>
          <w:p w:rsidRPr="000403EE" w:rsidR="00E85F55" w:rsidP="00E85F55" w:rsidRDefault="00E85F55" w14:paraId="1EBB25F8" w14:textId="2B4ECE49">
            <w:pPr>
              <w:overflowPunct w:val="0"/>
              <w:autoSpaceDE w:val="0"/>
              <w:autoSpaceDN w:val="0"/>
              <w:adjustRightInd w:val="0"/>
              <w:spacing w:line="240" w:lineRule="auto"/>
              <w:textAlignment w:val="baseline"/>
              <w:rPr>
                <w:i/>
              </w:rPr>
            </w:pPr>
            <w:r w:rsidRPr="000403EE">
              <w:rPr>
                <w:i/>
              </w:rPr>
              <w:t>Anna Hakami</w:t>
            </w:r>
          </w:p>
        </w:tc>
      </w:tr>
      <w:tr w:rsidRPr="000403EE" w:rsidR="00E85F55" w:rsidTr="00863A8F" w14:paraId="58DD341F" w14:textId="77777777">
        <w:tc>
          <w:tcPr>
            <w:tcW w:w="1556" w:type="pct"/>
          </w:tcPr>
          <w:p w:rsidRPr="000403EE" w:rsidR="00E85F55" w:rsidP="00E85F55" w:rsidRDefault="00E85F55" w14:paraId="4CD5A01A"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E85F55" w:rsidP="00E85F55" w:rsidRDefault="00E85F55" w14:paraId="3A6BE92D" w14:textId="77777777">
            <w:pPr>
              <w:overflowPunct w:val="0"/>
              <w:autoSpaceDE w:val="0"/>
              <w:autoSpaceDN w:val="0"/>
              <w:adjustRightInd w:val="0"/>
              <w:spacing w:line="240" w:lineRule="auto"/>
              <w:textAlignment w:val="baseline"/>
              <w:rPr>
                <w:i/>
              </w:rPr>
            </w:pPr>
            <w:r w:rsidRPr="000403EE">
              <w:rPr>
                <w:i/>
              </w:rPr>
              <w:t>+32 25468674</w:t>
            </w:r>
          </w:p>
        </w:tc>
      </w:tr>
      <w:tr w:rsidRPr="000403EE" w:rsidR="00E85F55" w:rsidTr="00863A8F" w14:paraId="09CB0502" w14:textId="77777777">
        <w:tc>
          <w:tcPr>
            <w:tcW w:w="1556" w:type="pct"/>
          </w:tcPr>
          <w:p w:rsidRPr="000403EE" w:rsidR="00E85F55" w:rsidP="00E85F55" w:rsidRDefault="00E85F55" w14:paraId="39255BC2" w14:textId="7777777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E85F55" w:rsidP="00E85F55" w:rsidRDefault="00913BEC" w14:paraId="3F9F1C28" w14:textId="77777777">
            <w:pPr>
              <w:overflowPunct w:val="0"/>
              <w:autoSpaceDE w:val="0"/>
              <w:autoSpaceDN w:val="0"/>
              <w:adjustRightInd w:val="0"/>
              <w:spacing w:line="240" w:lineRule="auto"/>
              <w:textAlignment w:val="baseline"/>
              <w:rPr>
                <w:i/>
              </w:rPr>
            </w:pPr>
            <w:hyperlink w:history="1" r:id="rId21">
              <w:r w:rsidRPr="000403EE" w:rsidR="00064B8D">
                <w:rPr>
                  <w:i/>
                  <w:color w:val="0000FF"/>
                  <w:u w:val="single"/>
                </w:rPr>
                <w:t>Anna.Hakami@eesc.europa.eu</w:t>
              </w:r>
            </w:hyperlink>
            <w:r w:rsidRPr="000403EE" w:rsidR="00064B8D">
              <w:rPr>
                <w:i/>
              </w:rPr>
              <w:t xml:space="preserve"> </w:t>
            </w:r>
          </w:p>
          <w:p w:rsidRPr="000403EE" w:rsidR="007224BE" w:rsidP="00E85F55" w:rsidRDefault="007224BE" w14:paraId="693DFACA" w14:textId="77777777">
            <w:pPr>
              <w:overflowPunct w:val="0"/>
              <w:autoSpaceDE w:val="0"/>
              <w:autoSpaceDN w:val="0"/>
              <w:adjustRightInd w:val="0"/>
              <w:spacing w:line="240" w:lineRule="auto"/>
              <w:textAlignment w:val="baseline"/>
              <w:rPr>
                <w:i/>
              </w:rPr>
            </w:pPr>
          </w:p>
        </w:tc>
      </w:tr>
      <w:tr w:rsidRPr="000403EE" w:rsidR="00E85F55" w:rsidTr="00863A8F" w14:paraId="78462F3E" w14:textId="77777777">
        <w:tc>
          <w:tcPr>
            <w:tcW w:w="1556" w:type="pct"/>
          </w:tcPr>
          <w:p w:rsidRPr="000403EE" w:rsidR="00E85F55" w:rsidP="00E85F55" w:rsidRDefault="00E85F55" w14:paraId="4C8BC73D" w14:textId="120AA3AC">
            <w:pPr>
              <w:overflowPunct w:val="0"/>
              <w:autoSpaceDE w:val="0"/>
              <w:autoSpaceDN w:val="0"/>
              <w:adjustRightInd w:val="0"/>
              <w:spacing w:line="240" w:lineRule="auto"/>
              <w:textAlignment w:val="baseline"/>
              <w:rPr>
                <w:i/>
              </w:rPr>
            </w:pPr>
          </w:p>
        </w:tc>
        <w:tc>
          <w:tcPr>
            <w:tcW w:w="3444" w:type="pct"/>
          </w:tcPr>
          <w:p w:rsidRPr="000403EE" w:rsidR="00E85F55" w:rsidP="00E85F55" w:rsidRDefault="00E85F55" w14:paraId="29673AC4" w14:textId="07E97004">
            <w:pPr>
              <w:overflowPunct w:val="0"/>
              <w:autoSpaceDE w:val="0"/>
              <w:autoSpaceDN w:val="0"/>
              <w:adjustRightInd w:val="0"/>
              <w:spacing w:line="240" w:lineRule="auto"/>
              <w:textAlignment w:val="baseline"/>
              <w:rPr>
                <w:i/>
              </w:rPr>
            </w:pPr>
            <w:r w:rsidRPr="000403EE">
              <w:rPr>
                <w:i/>
              </w:rPr>
              <w:t>Eniko Greff</w:t>
            </w:r>
          </w:p>
        </w:tc>
      </w:tr>
      <w:tr w:rsidRPr="000403EE" w:rsidR="00E85F55" w:rsidTr="00863A8F" w14:paraId="30A8EF76" w14:textId="77777777">
        <w:tc>
          <w:tcPr>
            <w:tcW w:w="1556" w:type="pct"/>
          </w:tcPr>
          <w:p w:rsidRPr="000403EE" w:rsidR="00E85F55" w:rsidP="00E85F55" w:rsidRDefault="00E85F55" w14:paraId="378F46A6"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E85F55" w:rsidP="00E85F55" w:rsidRDefault="00E85F55" w14:paraId="0E962227" w14:textId="77777777">
            <w:pPr>
              <w:overflowPunct w:val="0"/>
              <w:autoSpaceDE w:val="0"/>
              <w:autoSpaceDN w:val="0"/>
              <w:adjustRightInd w:val="0"/>
              <w:spacing w:line="240" w:lineRule="auto"/>
              <w:textAlignment w:val="baseline"/>
              <w:rPr>
                <w:i/>
              </w:rPr>
            </w:pPr>
            <w:r w:rsidRPr="000403EE">
              <w:rPr>
                <w:i/>
              </w:rPr>
              <w:t>+32 25468792</w:t>
            </w:r>
          </w:p>
        </w:tc>
      </w:tr>
      <w:tr w:rsidRPr="000403EE" w:rsidR="00E85F55" w:rsidTr="00863A8F" w14:paraId="6FEEAA62" w14:textId="77777777">
        <w:tc>
          <w:tcPr>
            <w:tcW w:w="1556" w:type="pct"/>
          </w:tcPr>
          <w:p w:rsidRPr="000403EE" w:rsidR="00E85F55" w:rsidP="00E85F55" w:rsidRDefault="00E85F55" w14:paraId="5BF74BAC" w14:textId="7777777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E85F55" w:rsidP="00E85F55" w:rsidRDefault="00913BEC" w14:paraId="391EDC1A" w14:textId="77777777">
            <w:pPr>
              <w:overflowPunct w:val="0"/>
              <w:autoSpaceDE w:val="0"/>
              <w:autoSpaceDN w:val="0"/>
              <w:adjustRightInd w:val="0"/>
              <w:spacing w:line="240" w:lineRule="auto"/>
              <w:textAlignment w:val="baseline"/>
              <w:rPr>
                <w:i/>
              </w:rPr>
            </w:pPr>
            <w:hyperlink w:history="1" r:id="rId22">
              <w:r w:rsidRPr="000403EE" w:rsidR="00064B8D">
                <w:rPr>
                  <w:i/>
                  <w:color w:val="0000FF"/>
                  <w:u w:val="single"/>
                </w:rPr>
                <w:t>Eniko.Greff@eesc.europa.eu</w:t>
              </w:r>
            </w:hyperlink>
            <w:r w:rsidRPr="000403EE" w:rsidR="00064B8D">
              <w:rPr>
                <w:i/>
              </w:rPr>
              <w:t xml:space="preserve"> </w:t>
            </w:r>
          </w:p>
        </w:tc>
      </w:tr>
    </w:tbl>
    <w:p w:rsidRPr="000403EE" w:rsidR="002673F7" w:rsidRDefault="002673F7" w14:paraId="05E09868" w14:textId="51A666BF">
      <w:pPr>
        <w:spacing w:after="160" w:line="259" w:lineRule="auto"/>
        <w:jc w:val="left"/>
      </w:pPr>
      <w:r w:rsidRPr="000403EE">
        <w:br w:type="page"/>
      </w:r>
    </w:p>
    <w:p w:rsidRPr="000403EE" w:rsidR="004D7AC0" w:rsidP="006D6D4E" w:rsidRDefault="004D7AC0" w14:paraId="4982DD6D" w14:textId="5F7524E1">
      <w:pPr>
        <w:pStyle w:val="Heading1"/>
        <w:keepNext/>
        <w:keepLines/>
        <w:rPr>
          <w:b/>
        </w:rPr>
      </w:pPr>
      <w:bookmarkStart w:name="_Toc178009553" w:id="1"/>
      <w:r w:rsidRPr="000403EE">
        <w:rPr>
          <w:b/>
        </w:rPr>
        <w:lastRenderedPageBreak/>
        <w:t>ΟΙΚΟΝΟΜΙΚΗ ΚΑΙ ΝΟΜΙΣΜΑΤΙΚΗ ΕΝΩΣΗ, ΟΙΚΟΝΟΜΙΚΗ ΚΑΙ ΚΟΙΝΩΝΙΚΗ ΣΥΝΟΧΗ</w:t>
      </w:r>
      <w:bookmarkEnd w:id="1"/>
    </w:p>
    <w:p w:rsidRPr="000403EE" w:rsidR="00F52D24" w:rsidP="006D6D4E" w:rsidRDefault="00F52D24" w14:paraId="1D43B004" w14:textId="77777777">
      <w:pPr>
        <w:keepNext/>
        <w:keepLines/>
      </w:pPr>
    </w:p>
    <w:p w:rsidRPr="000403EE" w:rsidR="009C5B03" w:rsidP="009C5B03" w:rsidRDefault="00913BEC"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Pr="000403EE" w:rsidR="009C5B03">
          <w:rPr>
            <w:b/>
            <w:i/>
            <w:color w:val="0000FF"/>
            <w:sz w:val="28"/>
            <w:u w:val="single"/>
          </w:rPr>
          <w:t>Έκτακτη περιφερειακή στήριξη – RESTORE</w:t>
        </w:r>
      </w:hyperlink>
    </w:p>
    <w:p w:rsidRPr="000403EE" w:rsidR="00F50E3E" w:rsidP="00643D0B"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0403EE" w:rsidR="009C5B03" w:rsidTr="00863A8F" w14:paraId="50C784B1" w14:textId="77777777">
        <w:tc>
          <w:tcPr>
            <w:tcW w:w="2127" w:type="dxa"/>
          </w:tcPr>
          <w:p w:rsidRPr="000403EE" w:rsidR="009C5B03" w:rsidP="009C5B03" w:rsidRDefault="009C5B03" w14:paraId="012CF731" w14:textId="78C3D6A4">
            <w:pPr>
              <w:overflowPunct w:val="0"/>
              <w:autoSpaceDE w:val="0"/>
              <w:autoSpaceDN w:val="0"/>
              <w:adjustRightInd w:val="0"/>
              <w:ind w:left="176" w:hanging="284"/>
              <w:textAlignment w:val="baseline"/>
              <w:rPr>
                <w:b/>
              </w:rPr>
            </w:pPr>
            <w:r w:rsidRPr="000403EE">
              <w:rPr>
                <w:b/>
              </w:rPr>
              <w:t>Γενικός εισηγητής</w:t>
            </w:r>
          </w:p>
        </w:tc>
        <w:tc>
          <w:tcPr>
            <w:tcW w:w="6662" w:type="dxa"/>
          </w:tcPr>
          <w:p w:rsidRPr="000403EE" w:rsidR="009C5B03" w:rsidP="009C5B03" w:rsidRDefault="009C5B03" w14:paraId="3513B9B1" w14:textId="0C0E4E43">
            <w:pPr>
              <w:tabs>
                <w:tab w:val="center" w:pos="284"/>
              </w:tabs>
              <w:overflowPunct w:val="0"/>
              <w:autoSpaceDE w:val="0"/>
              <w:autoSpaceDN w:val="0"/>
              <w:adjustRightInd w:val="0"/>
              <w:textAlignment w:val="baseline"/>
            </w:pPr>
            <w:r w:rsidRPr="000403EE">
              <w:t>Ιωάννης ΒΑΡΔΑΚΑΣΤΑΝΗΣ (Ομάδα των Οργανώσεων της Κοινωνίας των Πολιτών – EL)</w:t>
            </w:r>
          </w:p>
        </w:tc>
      </w:tr>
      <w:tr w:rsidRPr="000403EE" w:rsidR="009C5B03" w:rsidTr="00863A8F" w14:paraId="04ADF6CF" w14:textId="77777777">
        <w:tc>
          <w:tcPr>
            <w:tcW w:w="8789" w:type="dxa"/>
            <w:gridSpan w:val="2"/>
          </w:tcPr>
          <w:p w:rsidRPr="000403EE"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pPr>
          </w:p>
        </w:tc>
      </w:tr>
      <w:tr w:rsidRPr="000403EE" w:rsidR="009C5B03" w:rsidTr="00863A8F" w14:paraId="05F46EE6" w14:textId="77777777">
        <w:tc>
          <w:tcPr>
            <w:tcW w:w="2127" w:type="dxa"/>
          </w:tcPr>
          <w:p w:rsidRPr="000403EE" w:rsidR="009C5B03" w:rsidP="009C5B03" w:rsidRDefault="009C5B03" w14:paraId="20E2146E" w14:textId="77777777">
            <w:pPr>
              <w:tabs>
                <w:tab w:val="center" w:pos="284"/>
              </w:tabs>
              <w:overflowPunct w:val="0"/>
              <w:autoSpaceDE w:val="0"/>
              <w:autoSpaceDN w:val="0"/>
              <w:adjustRightInd w:val="0"/>
              <w:ind w:left="266" w:hanging="374"/>
              <w:textAlignment w:val="baseline"/>
              <w:rPr>
                <w:b/>
              </w:rPr>
            </w:pPr>
            <w:r w:rsidRPr="000403EE">
              <w:rPr>
                <w:b/>
              </w:rPr>
              <w:t>Έγγραφα αναφοράς</w:t>
            </w:r>
          </w:p>
        </w:tc>
        <w:tc>
          <w:tcPr>
            <w:tcW w:w="6662" w:type="dxa"/>
          </w:tcPr>
          <w:p w:rsidRPr="000403EE" w:rsidR="009C5B03" w:rsidP="009C5B03" w:rsidRDefault="009C5B03" w14:paraId="1C368067" w14:textId="77777777">
            <w:pPr>
              <w:tabs>
                <w:tab w:val="center" w:pos="284"/>
              </w:tabs>
              <w:overflowPunct w:val="0"/>
              <w:autoSpaceDE w:val="0"/>
              <w:autoSpaceDN w:val="0"/>
              <w:adjustRightInd w:val="0"/>
              <w:textAlignment w:val="baseline"/>
            </w:pPr>
            <w:r w:rsidRPr="000403EE">
              <w:t>COM(2024) 496 final</w:t>
            </w:r>
          </w:p>
          <w:p w:rsidRPr="000403EE"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rsidRPr="000403EE">
              <w:t>EESC-2024-03939-00-00-AC</w:t>
            </w:r>
          </w:p>
        </w:tc>
      </w:tr>
    </w:tbl>
    <w:p w:rsidRPr="000403EE"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rPr>
      </w:pPr>
    </w:p>
    <w:p w:rsidRPr="000403EE" w:rsidR="009C5B03" w:rsidP="009C5B03" w:rsidRDefault="009C5B03" w14:paraId="31F1E7B7" w14:textId="77777777">
      <w:pPr>
        <w:overflowPunct w:val="0"/>
        <w:autoSpaceDE w:val="0"/>
        <w:autoSpaceDN w:val="0"/>
        <w:adjustRightInd w:val="0"/>
        <w:ind w:left="425" w:hanging="425"/>
        <w:textAlignment w:val="baseline"/>
        <w:rPr>
          <w:szCs w:val="20"/>
        </w:rPr>
      </w:pPr>
      <w:r w:rsidRPr="000403EE">
        <w:t>Η ΕΟΚΕ:</w:t>
      </w:r>
    </w:p>
    <w:p w:rsidRPr="000403EE" w:rsidR="009C5B03" w:rsidP="00643D0B" w:rsidRDefault="009C5B03" w14:paraId="28531E4A" w14:textId="77777777">
      <w:pPr>
        <w:numPr>
          <w:ilvl w:val="0"/>
          <w:numId w:val="16"/>
        </w:numPr>
        <w:overflowPunct w:val="0"/>
        <w:autoSpaceDE w:val="0"/>
        <w:autoSpaceDN w:val="0"/>
        <w:adjustRightInd w:val="0"/>
        <w:textAlignment w:val="baseline"/>
        <w:outlineLvl w:val="1"/>
        <w:rPr>
          <w:szCs w:val="20"/>
        </w:rPr>
      </w:pPr>
      <w:r w:rsidRPr="000403EE">
        <w:t>εκφράζει τη σαφή αλληλεγγύη και στήριξή της προς τους ανθρώπους που επλήγησαν σοβαρά από τις πρόσφατες φυσικές καταστροφές στην Κεντρική, Ανατολική και Νότια Ευρώπη. Όταν οι κλιματικές καταστροφές πλήττουν περιφέρειες της ΕΕ, η αλληλεγγύη και η ενότητα καθιστούν την Ευρώπη ισχυρότερη·</w:t>
      </w:r>
    </w:p>
    <w:p w:rsidRPr="000403EE" w:rsidR="009C5B03" w:rsidP="00643D0B" w:rsidRDefault="009C5B03" w14:paraId="17BDC950" w14:textId="77777777">
      <w:pPr>
        <w:numPr>
          <w:ilvl w:val="0"/>
          <w:numId w:val="16"/>
        </w:numPr>
        <w:overflowPunct w:val="0"/>
        <w:autoSpaceDE w:val="0"/>
        <w:autoSpaceDN w:val="0"/>
        <w:adjustRightInd w:val="0"/>
        <w:textAlignment w:val="baseline"/>
        <w:outlineLvl w:val="1"/>
        <w:rPr>
          <w:szCs w:val="20"/>
        </w:rPr>
      </w:pPr>
      <w:r w:rsidRPr="000403EE">
        <w:t>αναγνωρίζει ότι οι επιπτώσεις της κλιματικής αλλαγής και της σπανιότητας των πόρων έχουν ήδη, δυστυχώς, αρχίσει να γίνονται αισθητές. Παρότι η ΕΕ είναι ορθώς προσηλωμένη στην αποτροπή της επιδείνωσης της κατάστασης, παραμένουμε απροετοίμαστοι για την αντιμετώπιση απρόβλεπτων κλιματικών έκτακτων αναγκών, ενεργειακών κρίσεων και φυσικών καταστροφών·</w:t>
      </w:r>
    </w:p>
    <w:p w:rsidRPr="000403EE" w:rsidR="009C5B03" w:rsidP="00643D0B" w:rsidRDefault="009C5B03" w14:paraId="66E0C007" w14:textId="77777777">
      <w:pPr>
        <w:numPr>
          <w:ilvl w:val="0"/>
          <w:numId w:val="16"/>
        </w:numPr>
        <w:overflowPunct w:val="0"/>
        <w:autoSpaceDE w:val="0"/>
        <w:autoSpaceDN w:val="0"/>
        <w:adjustRightInd w:val="0"/>
        <w:textAlignment w:val="baseline"/>
        <w:outlineLvl w:val="1"/>
        <w:rPr>
          <w:szCs w:val="20"/>
        </w:rPr>
      </w:pPr>
      <w:r w:rsidRPr="000403EE">
        <w:t>τονίζει την ανάγκη να αλλάξει συστημικά ο τρόπος λειτουργίας της οικονομίας μας, καθώς και ότι είναι ζωτικής σημασίας η προσήλωση των κυβερνήσεων σε συστημικές λύσεις, και όχι απλά στην αντιμετώπιση των συμπτωμάτων της κρίσης·</w:t>
      </w:r>
    </w:p>
    <w:p w:rsidRPr="000403EE" w:rsidR="009C5B03" w:rsidP="00643D0B" w:rsidRDefault="009C5B03" w14:paraId="5733AEB3" w14:textId="77777777">
      <w:pPr>
        <w:numPr>
          <w:ilvl w:val="0"/>
          <w:numId w:val="16"/>
        </w:numPr>
        <w:overflowPunct w:val="0"/>
        <w:autoSpaceDE w:val="0"/>
        <w:autoSpaceDN w:val="0"/>
        <w:adjustRightInd w:val="0"/>
        <w:textAlignment w:val="baseline"/>
        <w:outlineLvl w:val="1"/>
        <w:rPr>
          <w:szCs w:val="20"/>
        </w:rPr>
      </w:pPr>
      <w:r w:rsidRPr="000403EE">
        <w:t>πιστεύει ότι θα χρειαστούν άμεσα, απλά και αποτελεσματικά μέτρα για την άμβλυνση των κοινωνικών, εδαφικών και οικονομικών επιπτώσεων τέτοιων φυσικών καταστροφών. Οι περιφέρειες της ΕΕ θα χρειαστούν έργα ανασυγκρότησης ευρείας κλίμακας για να ανακάμψουν από αυτές τις καταστροφές·</w:t>
      </w:r>
    </w:p>
    <w:p w:rsidRPr="000403EE" w:rsidR="009C5B03" w:rsidP="00643D0B" w:rsidRDefault="009C5B03" w14:paraId="74C1E0EA" w14:textId="77777777">
      <w:pPr>
        <w:numPr>
          <w:ilvl w:val="0"/>
          <w:numId w:val="16"/>
        </w:numPr>
        <w:overflowPunct w:val="0"/>
        <w:autoSpaceDE w:val="0"/>
        <w:autoSpaceDN w:val="0"/>
        <w:adjustRightInd w:val="0"/>
        <w:textAlignment w:val="baseline"/>
        <w:outlineLvl w:val="1"/>
        <w:rPr>
          <w:szCs w:val="20"/>
        </w:rPr>
      </w:pPr>
      <w:r w:rsidRPr="000403EE">
        <w:t>επικροτεί τις προτεινόμενες δυνατότητες ευελιξίας που προβλέπονται στην πρόταση της Ευρωπαϊκής Επιτροπής για τη στήριξη των πληγεισών χωρών, δεδομένων των σοβαρών και μακροχρόνιων επιπτώσεων που έχουν οι φυσικές καταστροφές στον κοινωνικό και οικονομικό ιστό των περιφερειών της ΕΕ·</w:t>
      </w:r>
    </w:p>
    <w:p w:rsidRPr="000403EE" w:rsidR="009C5B03" w:rsidP="00643D0B" w:rsidRDefault="009C5B03" w14:paraId="4CDE73AF" w14:textId="77777777">
      <w:pPr>
        <w:numPr>
          <w:ilvl w:val="0"/>
          <w:numId w:val="16"/>
        </w:numPr>
        <w:overflowPunct w:val="0"/>
        <w:autoSpaceDE w:val="0"/>
        <w:autoSpaceDN w:val="0"/>
        <w:adjustRightInd w:val="0"/>
        <w:textAlignment w:val="baseline"/>
        <w:outlineLvl w:val="1"/>
        <w:rPr>
          <w:szCs w:val="20"/>
        </w:rPr>
      </w:pPr>
      <w:r w:rsidRPr="000403EE">
        <w:t>εκφράζει τη στήριξή της στην πολιτική συνοχής ως μακροπρόθεσμο επενδυτικό εργαλείο της ΕΕ, αναγνωρίζοντας παράλληλα ότι οι ακραίες φυσικές καταστροφές μπορούν να θέσουν σε κίνδυνο τη μακρόπνοη ανάπτυξή της·</w:t>
      </w:r>
    </w:p>
    <w:p w:rsidRPr="000403EE" w:rsidR="009C5B03" w:rsidP="00643D0B" w:rsidRDefault="009C5B03" w14:paraId="0D08D206" w14:textId="77777777">
      <w:pPr>
        <w:numPr>
          <w:ilvl w:val="0"/>
          <w:numId w:val="16"/>
        </w:numPr>
        <w:overflowPunct w:val="0"/>
        <w:autoSpaceDE w:val="0"/>
        <w:autoSpaceDN w:val="0"/>
        <w:adjustRightInd w:val="0"/>
        <w:textAlignment w:val="baseline"/>
        <w:outlineLvl w:val="1"/>
        <w:rPr>
          <w:szCs w:val="20"/>
        </w:rPr>
      </w:pPr>
      <w:r w:rsidRPr="000403EE">
        <w:t>τονίζει ότι η θεμελιώδης αρχή της πολιτικής συνοχής σύμφωνα με την οποία κανένας άνθρωπος και καμία περιφέρεια δεν θα πρέπει να μείνει στο περιθώριο, παραμένει αταλάντευτη και σε ισχύ, καθώς και ότι οι εταίροι της κοινωνίας των πολιτών είναι διατεθειμένοι να συνεχίσουν να εργάζονται για την εφαρμογή της αρχής αυτής, μέσω μιας ισχυρής ενωσιακής πολιτικής επενδύσεων·</w:t>
      </w:r>
    </w:p>
    <w:p w:rsidRPr="000403EE" w:rsidR="009C5B03" w:rsidP="00643D0B" w:rsidRDefault="009C5B03" w14:paraId="266DF4AB" w14:textId="77777777">
      <w:pPr>
        <w:numPr>
          <w:ilvl w:val="0"/>
          <w:numId w:val="16"/>
        </w:numPr>
        <w:overflowPunct w:val="0"/>
        <w:autoSpaceDE w:val="0"/>
        <w:autoSpaceDN w:val="0"/>
        <w:adjustRightInd w:val="0"/>
        <w:textAlignment w:val="baseline"/>
        <w:outlineLvl w:val="1"/>
        <w:rPr>
          <w:szCs w:val="20"/>
        </w:rPr>
      </w:pPr>
      <w:r w:rsidRPr="000403EE">
        <w:t>αναφέρεται απερίφραστα και κατηγορηματικά σε μια πολιτική συνοχής που αποτελεί τη σημαντικότερη μακροπρόθεσμη επενδυτική πολιτική της ΕΕ για τη μείωση των περιφερειακών, οικονομικών και εδαφικών ανισοτήτων·</w:t>
      </w:r>
    </w:p>
    <w:p w:rsidRPr="000403EE" w:rsidR="009C5B03" w:rsidP="00643D0B" w:rsidRDefault="009C5B03" w14:paraId="634FF858" w14:textId="1BDD1D69">
      <w:pPr>
        <w:numPr>
          <w:ilvl w:val="0"/>
          <w:numId w:val="16"/>
        </w:numPr>
        <w:overflowPunct w:val="0"/>
        <w:autoSpaceDE w:val="0"/>
        <w:autoSpaceDN w:val="0"/>
        <w:adjustRightInd w:val="0"/>
        <w:textAlignment w:val="baseline"/>
        <w:outlineLvl w:val="1"/>
        <w:rPr>
          <w:szCs w:val="20"/>
        </w:rPr>
      </w:pPr>
      <w:r w:rsidRPr="000403EE">
        <w:t xml:space="preserve">είναι της άποψης ότι η ΕΕ χρειάζεται έναν νέο, σταθερό και αξιόπιστο μηχανισμό χρηματοδότησης, ο οποίος πρέπει να είναι ευπροσάρμοστος, ευέλικτος και ικανός να ανταποκριθεί στις νέες αναδυόμενες κρίσεις στα χρόνια και τις δεκαετίες που έπονται. Είναι εξαιρετικά σημαντικό η </w:t>
      </w:r>
      <w:r w:rsidRPr="000403EE">
        <w:lastRenderedPageBreak/>
        <w:t>λειτουργία του μηχανισμού αυτού, που θα επικεντρώνεται περισσότερο στην ταχεία και επείγουσα απόκριση, να συνάδει με τις γενικές πολιτικές της ΕΕ για το κλίμα, το περιβάλλον και την ενέργεια·</w:t>
      </w:r>
    </w:p>
    <w:p w:rsidRPr="000403EE" w:rsidR="009C5B03" w:rsidP="00643D0B" w:rsidRDefault="009C5B03" w14:paraId="0DF738F7" w14:textId="0CBDFA0C">
      <w:pPr>
        <w:numPr>
          <w:ilvl w:val="0"/>
          <w:numId w:val="16"/>
        </w:numPr>
        <w:overflowPunct w:val="0"/>
        <w:autoSpaceDE w:val="0"/>
        <w:autoSpaceDN w:val="0"/>
        <w:adjustRightInd w:val="0"/>
        <w:textAlignment w:val="baseline"/>
        <w:outlineLvl w:val="1"/>
        <w:rPr>
          <w:szCs w:val="20"/>
        </w:rPr>
      </w:pPr>
      <w:r w:rsidRPr="000403EE">
        <w:t>καλεί την Ευρωπαϊκή Επιτροπή να συνεργαστεί στενά με τα κράτη μέλη, τις τοπικές αρχές και τις οργανώσεις της κοινωνίας των πολιτών για την αποτελεσματικότερη και ταχύτερη αξιοποίηση των δυνατοτήτων στήριξης των πληγεισών περιφερειών. Οι οργανώσεις της κοινωνίας των πολιτών, οι εργαζόμενοι, οι μικρομεσαίες επιχειρήσεις και οι ΜΚΟ έχουν πληγεί σοβαρά από τις φυσικές καταστροφές και σημαντικό μέρος των κονδυλίων πρέπει να τους διατεθεί·</w:t>
      </w:r>
    </w:p>
    <w:p w:rsidRPr="000403EE" w:rsidR="009C5B03" w:rsidP="00F50E3E" w:rsidRDefault="009C5B03" w14:paraId="60510BE8" w14:textId="77777777">
      <w:pPr>
        <w:numPr>
          <w:ilvl w:val="0"/>
          <w:numId w:val="16"/>
        </w:numPr>
        <w:overflowPunct w:val="0"/>
        <w:autoSpaceDE w:val="0"/>
        <w:autoSpaceDN w:val="0"/>
        <w:adjustRightInd w:val="0"/>
        <w:textAlignment w:val="baseline"/>
        <w:outlineLvl w:val="1"/>
        <w:rPr>
          <w:szCs w:val="20"/>
        </w:rPr>
      </w:pPr>
      <w:r w:rsidRPr="000403EE">
        <w:t>καλεί το Συμβούλιο και το Ευρωπαϊκό Κοινοβούλιο να εγκρίνουν χωρίς χρονοτριβή τον κανονισμό ούτως ώστε να ολοκληρωθεί η διαδικασία έκδοσής του το συντομότερο δυνατόν.</w:t>
      </w:r>
    </w:p>
    <w:tbl>
      <w:tblPr>
        <w:tblStyle w:val="TableGrid2"/>
        <w:tblW w:w="5691" w:type="dxa"/>
        <w:tblInd w:w="-5" w:type="dxa"/>
        <w:tblLook w:val="04A0" w:firstRow="1" w:lastRow="0" w:firstColumn="1" w:lastColumn="0" w:noHBand="0" w:noVBand="1"/>
      </w:tblPr>
      <w:tblGrid>
        <w:gridCol w:w="1225"/>
        <w:gridCol w:w="4466"/>
      </w:tblGrid>
      <w:tr w:rsidRPr="000403EE" w:rsidR="00902A1F" w:rsidTr="00902A1F" w14:paraId="06614FB7" w14:textId="77777777">
        <w:tc>
          <w:tcPr>
            <w:tcW w:w="1173" w:type="dxa"/>
          </w:tcPr>
          <w:p w:rsidRPr="000403EE" w:rsidR="00902A1F" w:rsidP="00810BF5" w:rsidRDefault="00902A1F" w14:paraId="0619ADAD" w14:textId="77777777">
            <w:pPr>
              <w:overflowPunct w:val="0"/>
              <w:autoSpaceDE w:val="0"/>
              <w:autoSpaceDN w:val="0"/>
              <w:adjustRightInd w:val="0"/>
              <w:textAlignment w:val="baseline"/>
              <w:rPr>
                <w:bCs/>
                <w:i/>
              </w:rPr>
            </w:pPr>
            <w:r w:rsidRPr="000403EE">
              <w:rPr>
                <w:i/>
              </w:rPr>
              <w:t>Επικοινωνία</w:t>
            </w:r>
          </w:p>
        </w:tc>
        <w:tc>
          <w:tcPr>
            <w:tcW w:w="4518" w:type="dxa"/>
          </w:tcPr>
          <w:p w:rsidRPr="000403EE" w:rsidR="00902A1F" w:rsidP="00810BF5" w:rsidRDefault="00902A1F" w14:paraId="22287D72" w14:textId="77777777">
            <w:pPr>
              <w:overflowPunct w:val="0"/>
              <w:autoSpaceDE w:val="0"/>
              <w:autoSpaceDN w:val="0"/>
              <w:adjustRightInd w:val="0"/>
              <w:textAlignment w:val="baseline"/>
              <w:rPr>
                <w:bCs/>
                <w:i/>
                <w:iCs/>
              </w:rPr>
            </w:pPr>
            <w:r w:rsidRPr="000403EE">
              <w:rPr>
                <w:i/>
              </w:rPr>
              <w:t>Γεώργιος Μελέας</w:t>
            </w:r>
          </w:p>
        </w:tc>
      </w:tr>
      <w:tr w:rsidRPr="000403EE" w:rsidR="00902A1F" w:rsidTr="00902A1F" w14:paraId="549E05C1" w14:textId="77777777">
        <w:tc>
          <w:tcPr>
            <w:tcW w:w="1173" w:type="dxa"/>
          </w:tcPr>
          <w:p w:rsidRPr="000403EE" w:rsidR="00902A1F" w:rsidP="00810BF5" w:rsidRDefault="00902A1F" w14:paraId="5E3BD607" w14:textId="77777777">
            <w:pPr>
              <w:overflowPunct w:val="0"/>
              <w:autoSpaceDE w:val="0"/>
              <w:autoSpaceDN w:val="0"/>
              <w:adjustRightInd w:val="0"/>
              <w:textAlignment w:val="baseline"/>
              <w:rPr>
                <w:i/>
              </w:rPr>
            </w:pPr>
            <w:r w:rsidRPr="000403EE">
              <w:rPr>
                <w:i/>
              </w:rPr>
              <w:t>Τηλ.</w:t>
            </w:r>
          </w:p>
        </w:tc>
        <w:tc>
          <w:tcPr>
            <w:tcW w:w="4518" w:type="dxa"/>
          </w:tcPr>
          <w:p w:rsidRPr="000403EE" w:rsidR="00902A1F" w:rsidP="00810BF5" w:rsidRDefault="00902A1F" w14:paraId="388EAD60" w14:textId="77777777">
            <w:pPr>
              <w:overflowPunct w:val="0"/>
              <w:autoSpaceDE w:val="0"/>
              <w:autoSpaceDN w:val="0"/>
              <w:adjustRightInd w:val="0"/>
              <w:textAlignment w:val="baseline"/>
              <w:rPr>
                <w:i/>
                <w:iCs/>
              </w:rPr>
            </w:pPr>
            <w:r w:rsidRPr="000403EE">
              <w:rPr>
                <w:i/>
              </w:rPr>
              <w:t>+32 25469795</w:t>
            </w:r>
          </w:p>
        </w:tc>
      </w:tr>
      <w:tr w:rsidRPr="000403EE" w:rsidR="00902A1F" w:rsidTr="00902A1F" w14:paraId="3990E4FC" w14:textId="77777777">
        <w:tc>
          <w:tcPr>
            <w:tcW w:w="1173" w:type="dxa"/>
          </w:tcPr>
          <w:p w:rsidRPr="000403EE" w:rsidR="00902A1F" w:rsidP="00810BF5" w:rsidRDefault="00902A1F" w14:paraId="4D4F9AB3" w14:textId="77777777">
            <w:pPr>
              <w:overflowPunct w:val="0"/>
              <w:autoSpaceDE w:val="0"/>
              <w:autoSpaceDN w:val="0"/>
              <w:adjustRightInd w:val="0"/>
              <w:textAlignment w:val="baseline"/>
              <w:rPr>
                <w:i/>
              </w:rPr>
            </w:pPr>
            <w:r w:rsidRPr="000403EE">
              <w:rPr>
                <w:i/>
              </w:rPr>
              <w:t>Ηλ. δ/νση</w:t>
            </w:r>
          </w:p>
        </w:tc>
        <w:tc>
          <w:tcPr>
            <w:tcW w:w="4518" w:type="dxa"/>
          </w:tcPr>
          <w:p w:rsidRPr="000403EE" w:rsidR="00902A1F" w:rsidP="00810BF5" w:rsidRDefault="00913BEC" w14:paraId="01EE99DA" w14:textId="77777777">
            <w:pPr>
              <w:overflowPunct w:val="0"/>
              <w:autoSpaceDE w:val="0"/>
              <w:autoSpaceDN w:val="0"/>
              <w:adjustRightInd w:val="0"/>
              <w:textAlignment w:val="baseline"/>
              <w:rPr>
                <w:i/>
                <w:iCs/>
              </w:rPr>
            </w:pPr>
            <w:hyperlink w:history="1" r:id="rId24">
              <w:r w:rsidRPr="000403EE" w:rsidR="00902A1F">
                <w:rPr>
                  <w:color w:val="0000FF"/>
                  <w:u w:val="single"/>
                </w:rPr>
                <w:t>Georgios.Meleas@eesc.europa.eu</w:t>
              </w:r>
            </w:hyperlink>
          </w:p>
        </w:tc>
      </w:tr>
    </w:tbl>
    <w:p w:rsidRPr="000403EE" w:rsidR="00482C25" w:rsidP="00643D0B" w:rsidRDefault="00913BEC"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Pr="000403EE" w:rsidR="00902A1F">
          <w:rPr>
            <w:b/>
            <w:i/>
            <w:color w:val="0000FF"/>
            <w:sz w:val="28"/>
            <w:u w:val="single"/>
          </w:rPr>
          <w:t>Επανεξέταση του νομικού πλαισίου για τις τιτλοποιήσεις στην ΕΕ</w:t>
        </w:r>
      </w:hyperlink>
      <w:r w:rsidRPr="000403EE" w:rsidR="00902A1F">
        <w:rPr>
          <w:b/>
          <w:i/>
          <w:sz w:val="28"/>
        </w:rPr>
        <w:t xml:space="preserve"> </w:t>
      </w:r>
    </w:p>
    <w:p w:rsidRPr="000403EE" w:rsidR="00482C25" w:rsidP="00482C25" w:rsidRDefault="00482C25" w14:paraId="202C21D6" w14:textId="77777777">
      <w:pPr>
        <w:widowControl w:val="0"/>
        <w:overflowPunct w:val="0"/>
        <w:autoSpaceDE w:val="0"/>
        <w:autoSpaceDN w:val="0"/>
        <w:adjustRightInd w:val="0"/>
        <w:ind w:left="284"/>
        <w:textAlignment w:val="baseline"/>
        <w:rPr>
          <w:b/>
          <w:i/>
          <w:iCs/>
          <w:sz w:val="20"/>
          <w:szCs w:val="20"/>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0403EE" w:rsidR="00482C25" w:rsidTr="00863A8F" w14:paraId="5FE72AFC" w14:textId="77777777">
        <w:tc>
          <w:tcPr>
            <w:tcW w:w="1701" w:type="dxa"/>
          </w:tcPr>
          <w:p w:rsidRPr="000403EE" w:rsidR="00482C25" w:rsidP="00482C25" w:rsidRDefault="00482C25" w14:paraId="581AD2ED" w14:textId="77777777">
            <w:pPr>
              <w:tabs>
                <w:tab w:val="center" w:pos="284"/>
              </w:tabs>
              <w:overflowPunct w:val="0"/>
              <w:autoSpaceDE w:val="0"/>
              <w:autoSpaceDN w:val="0"/>
              <w:adjustRightInd w:val="0"/>
              <w:ind w:left="266" w:hanging="266"/>
              <w:textAlignment w:val="baseline"/>
              <w:rPr>
                <w:b/>
              </w:rPr>
            </w:pPr>
            <w:r w:rsidRPr="000403EE">
              <w:rPr>
                <w:b/>
              </w:rPr>
              <w:t>Εισηγητής</w:t>
            </w:r>
          </w:p>
          <w:p w:rsidRPr="000403EE" w:rsidR="00482C25" w:rsidP="00482C25" w:rsidRDefault="00482C25" w14:paraId="181AB32E" w14:textId="77777777">
            <w:pPr>
              <w:tabs>
                <w:tab w:val="center" w:pos="284"/>
              </w:tabs>
              <w:overflowPunct w:val="0"/>
              <w:autoSpaceDE w:val="0"/>
              <w:autoSpaceDN w:val="0"/>
              <w:adjustRightInd w:val="0"/>
              <w:ind w:left="266" w:hanging="266"/>
              <w:textAlignment w:val="baseline"/>
              <w:rPr>
                <w:b/>
              </w:rPr>
            </w:pPr>
            <w:r w:rsidRPr="000403EE">
              <w:rPr>
                <w:b/>
              </w:rPr>
              <w:t>Συνεισηγητής</w:t>
            </w:r>
          </w:p>
        </w:tc>
        <w:tc>
          <w:tcPr>
            <w:tcW w:w="6804" w:type="dxa"/>
            <w:gridSpan w:val="2"/>
          </w:tcPr>
          <w:p w:rsidRPr="000403EE" w:rsidR="00482C25" w:rsidP="00482C25" w:rsidRDefault="00482C25" w14:paraId="5358A076" w14:textId="5C7D29C3">
            <w:pPr>
              <w:tabs>
                <w:tab w:val="center" w:pos="284"/>
              </w:tabs>
              <w:overflowPunct w:val="0"/>
              <w:autoSpaceDE w:val="0"/>
              <w:autoSpaceDN w:val="0"/>
              <w:adjustRightInd w:val="0"/>
              <w:ind w:left="266" w:hanging="266"/>
              <w:textAlignment w:val="baseline"/>
              <w:rPr>
                <w:bCs/>
              </w:rPr>
            </w:pPr>
            <w:r w:rsidRPr="000403EE">
              <w:t xml:space="preserve">Philip VON BROCKDORFF (Ομάδα των Εργαζομένων </w:t>
            </w:r>
            <w:r w:rsidRPr="000403EE">
              <w:rPr>
                <w:b/>
                <w:i/>
              </w:rPr>
              <w:t>-</w:t>
            </w:r>
            <w:r w:rsidRPr="000403EE" w:rsidR="000403EE">
              <w:rPr>
                <w:b/>
                <w:i/>
              </w:rPr>
              <w:t xml:space="preserve"> </w:t>
            </w:r>
            <w:r w:rsidRPr="000403EE">
              <w:t>MT)</w:t>
            </w:r>
          </w:p>
          <w:p w:rsidRPr="000403EE" w:rsidR="00482C25" w:rsidP="00482C25" w:rsidRDefault="00482C25" w14:paraId="0A10A3EA" w14:textId="57CD5B8B">
            <w:pPr>
              <w:tabs>
                <w:tab w:val="center" w:pos="284"/>
              </w:tabs>
              <w:overflowPunct w:val="0"/>
              <w:autoSpaceDE w:val="0"/>
              <w:autoSpaceDN w:val="0"/>
              <w:adjustRightInd w:val="0"/>
              <w:ind w:left="266" w:hanging="266"/>
              <w:textAlignment w:val="baseline"/>
              <w:rPr>
                <w:bCs/>
              </w:rPr>
            </w:pPr>
            <w:r w:rsidRPr="000403EE">
              <w:t xml:space="preserve">Antonio GARCÍA DEL RIEGO (Ομάδα των Εργοδοτών </w:t>
            </w:r>
            <w:r w:rsidRPr="000403EE">
              <w:rPr>
                <w:b/>
                <w:i/>
              </w:rPr>
              <w:t>-</w:t>
            </w:r>
            <w:r w:rsidRPr="000403EE" w:rsidR="000403EE">
              <w:rPr>
                <w:b/>
                <w:i/>
              </w:rPr>
              <w:t xml:space="preserve"> </w:t>
            </w:r>
            <w:r w:rsidRPr="000403EE">
              <w:t>ES)</w:t>
            </w:r>
          </w:p>
          <w:p w:rsidRPr="000403EE" w:rsidR="00482C25" w:rsidP="00482C25" w:rsidRDefault="00482C25" w14:paraId="3B6D01B4" w14:textId="77777777">
            <w:pPr>
              <w:tabs>
                <w:tab w:val="center" w:pos="284"/>
              </w:tabs>
              <w:overflowPunct w:val="0"/>
              <w:autoSpaceDE w:val="0"/>
              <w:autoSpaceDN w:val="0"/>
              <w:adjustRightInd w:val="0"/>
              <w:ind w:left="266" w:hanging="266"/>
              <w:textAlignment w:val="baseline"/>
              <w:rPr>
                <w:bCs/>
              </w:rPr>
            </w:pPr>
          </w:p>
        </w:tc>
      </w:tr>
      <w:tr w:rsidRPr="000403EE" w:rsidR="00482C25" w:rsidTr="00863A8F" w14:paraId="4CB905DA" w14:textId="77777777">
        <w:trPr>
          <w:gridAfter w:val="1"/>
          <w:wAfter w:w="1417" w:type="dxa"/>
        </w:trPr>
        <w:tc>
          <w:tcPr>
            <w:tcW w:w="7088" w:type="dxa"/>
            <w:gridSpan w:val="2"/>
          </w:tcPr>
          <w:p w:rsidRPr="000403EE"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pPr>
          </w:p>
        </w:tc>
      </w:tr>
      <w:tr w:rsidRPr="000403EE" w:rsidR="00482C25" w:rsidTr="00863A8F" w14:paraId="4B940311" w14:textId="77777777">
        <w:trPr>
          <w:gridAfter w:val="1"/>
          <w:wAfter w:w="1417" w:type="dxa"/>
        </w:trPr>
        <w:tc>
          <w:tcPr>
            <w:tcW w:w="1701" w:type="dxa"/>
          </w:tcPr>
          <w:p w:rsidRPr="000403EE" w:rsidR="00482C25" w:rsidP="00482C25" w:rsidRDefault="00482C25" w14:paraId="7122568E"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5387" w:type="dxa"/>
          </w:tcPr>
          <w:p w:rsidRPr="000403EE" w:rsidR="00482C25" w:rsidP="00482C25" w:rsidRDefault="00482C25" w14:paraId="4D5F8809" w14:textId="77777777">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482C25" w:rsidP="00482C25" w:rsidRDefault="00482C25" w14:paraId="64F2A43F" w14:textId="68E44F58">
            <w:pPr>
              <w:tabs>
                <w:tab w:val="center" w:pos="284"/>
              </w:tabs>
              <w:overflowPunct w:val="0"/>
              <w:autoSpaceDE w:val="0"/>
              <w:autoSpaceDN w:val="0"/>
              <w:adjustRightInd w:val="0"/>
              <w:ind w:left="266" w:hanging="266"/>
              <w:textAlignment w:val="baseline"/>
            </w:pPr>
            <w:r w:rsidRPr="000403EE">
              <w:t>EESC-2024-00531-00-00-AC</w:t>
            </w:r>
          </w:p>
        </w:tc>
      </w:tr>
    </w:tbl>
    <w:p w:rsidRPr="000403EE"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rPr>
      </w:pPr>
      <w:r w:rsidRPr="000403EE">
        <w:rPr>
          <w:b/>
        </w:rPr>
        <w:t>Κύρια σημεία</w:t>
      </w:r>
    </w:p>
    <w:p w:rsidRPr="000403EE"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rPr>
      </w:pPr>
    </w:p>
    <w:p w:rsidRPr="000403EE" w:rsidR="00482C25" w:rsidP="00482C25" w:rsidRDefault="00482C25" w14:paraId="60F3D793" w14:textId="77777777">
      <w:pPr>
        <w:overflowPunct w:val="0"/>
        <w:autoSpaceDE w:val="0"/>
        <w:autoSpaceDN w:val="0"/>
        <w:adjustRightInd w:val="0"/>
        <w:textAlignment w:val="baseline"/>
        <w:rPr>
          <w:bCs/>
          <w:iCs/>
        </w:rPr>
      </w:pPr>
      <w:r w:rsidRPr="000403EE">
        <w:t>Η ΕΟΚΕ:</w:t>
      </w:r>
    </w:p>
    <w:p w:rsidRPr="000403EE" w:rsidR="00482C25" w:rsidP="00482C25" w:rsidRDefault="00482C25" w14:paraId="05A20084" w14:textId="77777777">
      <w:pPr>
        <w:overflowPunct w:val="0"/>
        <w:autoSpaceDE w:val="0"/>
        <w:autoSpaceDN w:val="0"/>
        <w:adjustRightInd w:val="0"/>
        <w:textAlignment w:val="baseline"/>
        <w:rPr>
          <w:bCs/>
          <w:iCs/>
        </w:rPr>
      </w:pPr>
    </w:p>
    <w:p w:rsidRPr="000403EE" w:rsidR="00482C25" w:rsidP="00643D0B"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Φρονεί ότι η βελτίωση της αγοράς τιτλοποιήσεων μπορεί να διευρύνει τις επενδυτικές ευκαιρίες και την πρόσβαση σε δανεισμό, καθώς και να προωθήσει την ένωση κεφαλαιαγορών.</w:t>
      </w:r>
    </w:p>
    <w:p w:rsidRPr="000403EE" w:rsidR="00482C25" w:rsidP="00643D0B"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Θεωρεί σκόπιμο να διενεργηθεί αξιολόγηση της αποτελεσματικότητας του νομικού πλαισίου των τιτλοποιήσεων, συμπεριλαμβανομένων των υποδομών της αγοράς, της αποτελεσματικότητας του νομικού πλαισίου, και να διερευνηθούν προσαρμογές στις απαιτήσεις υποβολής εκθέσεων και δέουσας επιμέλειας.</w:t>
      </w:r>
    </w:p>
    <w:p w:rsidRPr="000403EE" w:rsidR="00482C25" w:rsidP="00643D0B"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Συνιστά κάθε αξιολόγηση της εφαρμογής του κανονιστικού πλαισίου για την τιτλοποίηση να περιλαμβάνει ανάλυση του αντικτύπου στη χρηματοδότηση της πραγματικής οικονομίας.</w:t>
      </w:r>
    </w:p>
    <w:p w:rsidRPr="000403EE" w:rsidR="00482C25" w:rsidP="00643D0B"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Προτείνει οι προσπάθειες για την τόνωση της τιτλοποίησης να επικεντρωθούν στην δημιουργία πρόσθετης χρηματοδότησης για την πραγματική οικονομία, με έμφαση στα νοικοκυριά και τις επιχειρήσεις.</w:t>
      </w:r>
    </w:p>
    <w:p w:rsidRPr="000403EE" w:rsidR="00482C25" w:rsidP="00643D0B"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Θεωρεί ότι η τιτλοποίηση θα πρέπει να είναι συμπληρωματική σε άλλα υφιστάμενα κεφαλαιακά μέσα, όπως τα καλυμμένα ομόλογα, αλλά θα πρέπει να λαμβάνεται υπόψη ότι η τιτλοποίηση είναι το μόνο μέσο που επιτρέπει στις τράπεζες να απελευθερώνουν κεφάλαια.</w:t>
      </w:r>
    </w:p>
    <w:p w:rsidRPr="000403EE" w:rsidR="00482C25" w:rsidP="00643D0B"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Θεωρεί ότι η επέκταση των υφιστάμενων απαιτήσεων γνωστοποίησης σε σχέση με τη βιωσιμότητα ή η θέσπιση πλαισίου για την «πράσινη τιτλοποίηση» μπορούν να προσθέσουν αξία για τους επενδυτές οι οποίοι το θα εκτιμούσαν για τη μέτρηση του μεριδίου τους περιβαλλοντικών, κοινωνικών και σχετικών με τη διακυβέρνηση (ΠΚΔ) επενδύσεων, για την εκτίμηση των ΠΚΔ κινδύνων, καθώς και ως εργαλείου σύγκρισης.</w:t>
      </w:r>
    </w:p>
    <w:p w:rsidRPr="000403EE" w:rsidR="00482C25" w:rsidP="00643D0B"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Προτείνει να μειωθούν τα χρονοδιαγράμματα και να τυποποιηθούν περαιτέρω, καθώς και να εναρμονιστούν οι απαιτήσεις για την αναγνώριση της σημαντικής μεταφοράς κινδύνου.</w:t>
      </w:r>
    </w:p>
    <w:p w:rsidRPr="000403EE" w:rsidR="00482C25" w:rsidP="00643D0B" w:rsidRDefault="00482C25" w14:paraId="45FBE1E5"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Θεωρεί ότι η πρόοδος όσον αφορά την εναρμόνιση (παραδείγματος χάριν του δικαίου των συμβάσεων, της νομοθεσίας περί αφερεγγυότητας και της φορολογίας), θα βελτίωνε τη δυνατότητα διασυνοριακής συγκέντρωσης και έκδοσης τέτοιων τίτλων.</w:t>
      </w:r>
    </w:p>
    <w:p w:rsidRPr="000403EE" w:rsidR="00482C25" w:rsidP="00643D0B"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rPr>
      </w:pPr>
      <w:r w:rsidRPr="000403EE">
        <w:t>Επικροτεί τη διαδικασία διαβούλευσης της Ευρωπαϊκής Επιτροπής και συνιστά στην ΕΕ να συνεργαστεί ενεργά στο πλαίσιο της εν εξελίξει διαβούλευσης με το Συμβούλιο Χρηματοπιστωτικής Σταθερότητας.</w:t>
      </w:r>
    </w:p>
    <w:p w:rsidRPr="000403EE" w:rsidR="00482C25" w:rsidP="00482C25" w:rsidRDefault="00482C25" w14:paraId="3FC16B9E" w14:textId="77777777">
      <w:pPr>
        <w:overflowPunct w:val="0"/>
        <w:autoSpaceDE w:val="0"/>
        <w:autoSpaceDN w:val="0"/>
        <w:adjustRightInd w:val="0"/>
        <w:textAlignment w:val="baseline"/>
        <w:rPr>
          <w:bCs/>
          <w:iCs/>
          <w:szCs w:val="20"/>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482C25" w:rsidTr="00863A8F" w14:paraId="4854E09A" w14:textId="77777777">
        <w:tc>
          <w:tcPr>
            <w:tcW w:w="1418" w:type="dxa"/>
          </w:tcPr>
          <w:p w:rsidRPr="000403EE" w:rsidR="00482C25" w:rsidP="00482C25" w:rsidRDefault="00482C25" w14:paraId="7A4A5D8B" w14:textId="77777777">
            <w:pPr>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482C25" w:rsidP="00482C25" w:rsidRDefault="00482C25" w14:paraId="11F392D6" w14:textId="540E4AA0">
            <w:pPr>
              <w:overflowPunct w:val="0"/>
              <w:autoSpaceDE w:val="0"/>
              <w:autoSpaceDN w:val="0"/>
              <w:adjustRightInd w:val="0"/>
              <w:spacing w:line="240" w:lineRule="auto"/>
              <w:textAlignment w:val="baseline"/>
              <w:rPr>
                <w:i/>
              </w:rPr>
            </w:pPr>
            <w:r w:rsidRPr="000403EE">
              <w:rPr>
                <w:i/>
              </w:rPr>
              <w:t>Sergio Lorencio Matallana</w:t>
            </w:r>
          </w:p>
        </w:tc>
      </w:tr>
      <w:tr w:rsidRPr="000403EE" w:rsidR="00482C25" w:rsidTr="00863A8F" w14:paraId="6A09B6CF" w14:textId="77777777">
        <w:tc>
          <w:tcPr>
            <w:tcW w:w="1418" w:type="dxa"/>
          </w:tcPr>
          <w:p w:rsidRPr="000403EE" w:rsidR="00482C25" w:rsidP="00482C25" w:rsidRDefault="00482C25" w14:paraId="7B394B02" w14:textId="77777777">
            <w:pPr>
              <w:overflowPunct w:val="0"/>
              <w:autoSpaceDE w:val="0"/>
              <w:autoSpaceDN w:val="0"/>
              <w:adjustRightInd w:val="0"/>
              <w:spacing w:line="240" w:lineRule="auto"/>
              <w:textAlignment w:val="baseline"/>
              <w:rPr>
                <w:i/>
              </w:rPr>
            </w:pPr>
            <w:r w:rsidRPr="000403EE">
              <w:rPr>
                <w:i/>
              </w:rPr>
              <w:t>Τηλ.</w:t>
            </w:r>
          </w:p>
        </w:tc>
        <w:tc>
          <w:tcPr>
            <w:tcW w:w="5670" w:type="dxa"/>
          </w:tcPr>
          <w:p w:rsidRPr="000403EE" w:rsidR="00482C25" w:rsidP="00482C25" w:rsidRDefault="00482C25" w14:paraId="5FFF8E7A" w14:textId="77777777">
            <w:pPr>
              <w:overflowPunct w:val="0"/>
              <w:autoSpaceDE w:val="0"/>
              <w:autoSpaceDN w:val="0"/>
              <w:adjustRightInd w:val="0"/>
              <w:spacing w:line="240" w:lineRule="auto"/>
              <w:textAlignment w:val="baseline"/>
              <w:rPr>
                <w:i/>
              </w:rPr>
            </w:pPr>
            <w:r w:rsidRPr="000403EE">
              <w:rPr>
                <w:i/>
              </w:rPr>
              <w:t>+32 25469240</w:t>
            </w:r>
          </w:p>
        </w:tc>
      </w:tr>
      <w:tr w:rsidRPr="000403EE" w:rsidR="00482C25" w:rsidTr="00863A8F" w14:paraId="7AAB38BF" w14:textId="77777777">
        <w:tc>
          <w:tcPr>
            <w:tcW w:w="1418" w:type="dxa"/>
          </w:tcPr>
          <w:p w:rsidRPr="000403EE" w:rsidR="00482C25" w:rsidP="00482C25" w:rsidRDefault="00F365AE" w14:paraId="11B710E6" w14:textId="19C4CC2C">
            <w:pPr>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482C25" w:rsidP="00482C25" w:rsidRDefault="00913BEC" w14:paraId="370FF809" w14:textId="77777777">
            <w:pPr>
              <w:overflowPunct w:val="0"/>
              <w:autoSpaceDE w:val="0"/>
              <w:autoSpaceDN w:val="0"/>
              <w:adjustRightInd w:val="0"/>
              <w:spacing w:line="240" w:lineRule="auto"/>
              <w:textAlignment w:val="baseline"/>
              <w:rPr>
                <w:i/>
              </w:rPr>
            </w:pPr>
            <w:hyperlink w:history="1" r:id="rId26">
              <w:r w:rsidRPr="000403EE" w:rsidR="00064B8D">
                <w:rPr>
                  <w:color w:val="0000FF"/>
                  <w:u w:val="single"/>
                </w:rPr>
                <w:t>Sergio.LorencioMatallana@eesc.europa.eu</w:t>
              </w:r>
            </w:hyperlink>
          </w:p>
        </w:tc>
      </w:tr>
    </w:tbl>
    <w:p w:rsidRPr="000403EE" w:rsidR="009C5B03" w:rsidRDefault="004D7AC0" w14:paraId="16078824" w14:textId="21FB3874">
      <w:pPr>
        <w:spacing w:after="160" w:line="259" w:lineRule="auto"/>
        <w:jc w:val="left"/>
      </w:pPr>
      <w:r w:rsidRPr="000403EE">
        <w:br w:type="page"/>
      </w:r>
    </w:p>
    <w:p w:rsidRPr="000403EE" w:rsidR="00EB5CCE" w:rsidP="004B5D3D" w:rsidRDefault="00913BEC" w14:paraId="64C8007D" w14:textId="2DD9685C">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Pr="000403EE" w:rsidR="00064B8D">
          <w:rPr>
            <w:b/>
            <w:i/>
            <w:color w:val="0000FF"/>
            <w:sz w:val="28"/>
            <w:u w:val="single"/>
          </w:rPr>
          <w:t>Αναθεώρηση της Εδαφικής Ατζέντας 2030 της ΕΕ – Προς μια πιο ολοκληρωμένη προσέγγιση των πολιτών με ισχυρότερους δεσμούς με την πολιτική συνοχής</w:t>
        </w:r>
      </w:hyperlink>
    </w:p>
    <w:p w:rsidRPr="000403EE" w:rsidR="00EB5CCE" w:rsidP="00EB5CCE" w:rsidRDefault="00EB5CCE" w14:paraId="67C7B085" w14:textId="77777777">
      <w:pPr>
        <w:widowControl w:val="0"/>
        <w:overflowPunct w:val="0"/>
        <w:autoSpaceDE w:val="0"/>
        <w:autoSpaceDN w:val="0"/>
        <w:adjustRightInd w:val="0"/>
        <w:spacing w:after="120"/>
        <w:ind w:left="266"/>
        <w:textAlignment w:val="baseline"/>
        <w:rPr>
          <w:bCs/>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0403EE" w:rsidR="00EB5CCE" w:rsidTr="00863A8F" w14:paraId="7DEF2FBB" w14:textId="77777777">
        <w:trPr>
          <w:gridAfter w:val="1"/>
          <w:wAfter w:w="567" w:type="dxa"/>
        </w:trPr>
        <w:tc>
          <w:tcPr>
            <w:tcW w:w="1701" w:type="dxa"/>
          </w:tcPr>
          <w:p w:rsidRPr="000403EE" w:rsidR="00EB5CCE" w:rsidP="00EB5CCE" w:rsidRDefault="00EB5CCE" w14:paraId="72CBDAD8"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6804" w:type="dxa"/>
          </w:tcPr>
          <w:p w:rsidRPr="000403EE" w:rsidR="00EB5CCE" w:rsidP="00EB5CCE" w:rsidRDefault="00EB5CCE" w14:paraId="11978C54" w14:textId="77777777">
            <w:pPr>
              <w:tabs>
                <w:tab w:val="center" w:pos="284"/>
              </w:tabs>
              <w:overflowPunct w:val="0"/>
              <w:autoSpaceDE w:val="0"/>
              <w:autoSpaceDN w:val="0"/>
              <w:adjustRightInd w:val="0"/>
              <w:ind w:left="266" w:hanging="266"/>
              <w:textAlignment w:val="baseline"/>
              <w:rPr>
                <w:bCs/>
              </w:rPr>
            </w:pPr>
            <w:r w:rsidRPr="000403EE">
              <w:t>Stefano PALMIERI (Ομάδα των Εργαζομένων – IT)</w:t>
            </w:r>
          </w:p>
        </w:tc>
      </w:tr>
      <w:tr w:rsidRPr="000403EE" w:rsidR="00EB5CCE" w:rsidTr="00863A8F" w14:paraId="13E9AD18" w14:textId="77777777">
        <w:tc>
          <w:tcPr>
            <w:tcW w:w="9072" w:type="dxa"/>
            <w:gridSpan w:val="3"/>
          </w:tcPr>
          <w:p w:rsidRPr="000403EE"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pPr>
          </w:p>
        </w:tc>
      </w:tr>
      <w:tr w:rsidRPr="000403EE" w:rsidR="00EB5CCE" w:rsidTr="00863A8F" w14:paraId="283AA2FE" w14:textId="77777777">
        <w:tc>
          <w:tcPr>
            <w:tcW w:w="1701" w:type="dxa"/>
          </w:tcPr>
          <w:p w:rsidRPr="000403EE" w:rsidR="00EB5CCE" w:rsidP="00EB5CCE" w:rsidRDefault="00EB5CCE" w14:paraId="06A223ED"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7371" w:type="dxa"/>
            <w:gridSpan w:val="2"/>
          </w:tcPr>
          <w:p w:rsidRPr="000403EE" w:rsidR="00FE0B51" w:rsidP="00EB5CCE" w:rsidRDefault="00EB5CCE" w14:paraId="55D27B75" w14:textId="77777777">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EB5CCE" w:rsidP="00EB5CCE" w:rsidRDefault="00EB5CCE" w14:paraId="1548E30A" w14:textId="088569FE">
            <w:pPr>
              <w:tabs>
                <w:tab w:val="center" w:pos="284"/>
              </w:tabs>
              <w:overflowPunct w:val="0"/>
              <w:autoSpaceDE w:val="0"/>
              <w:autoSpaceDN w:val="0"/>
              <w:adjustRightInd w:val="0"/>
              <w:ind w:left="266" w:hanging="266"/>
              <w:textAlignment w:val="baseline"/>
            </w:pPr>
            <w:r w:rsidRPr="000403EE">
              <w:t>EESC-2024-01368-00-00-AC</w:t>
            </w:r>
          </w:p>
        </w:tc>
      </w:tr>
    </w:tbl>
    <w:p w:rsidRPr="000403EE"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rPr>
      </w:pPr>
      <w:r w:rsidRPr="000403EE">
        <w:rPr>
          <w:b/>
        </w:rPr>
        <w:t>Κύρια σημεία</w:t>
      </w:r>
    </w:p>
    <w:p w:rsidRPr="000403EE" w:rsidR="00EB5CCE" w:rsidP="00EB5CCE" w:rsidRDefault="00EB5CCE" w14:paraId="463D7D3F" w14:textId="77777777">
      <w:pPr>
        <w:overflowPunct w:val="0"/>
        <w:autoSpaceDE w:val="0"/>
        <w:autoSpaceDN w:val="0"/>
        <w:adjustRightInd w:val="0"/>
        <w:textAlignment w:val="baseline"/>
        <w:rPr>
          <w:bCs/>
          <w:iCs/>
        </w:rPr>
      </w:pPr>
    </w:p>
    <w:p w:rsidRPr="000403EE" w:rsidR="00EB5CCE" w:rsidP="00EB5CCE" w:rsidRDefault="00EB5CCE" w14:paraId="3FFAAB09" w14:textId="77777777">
      <w:pPr>
        <w:overflowPunct w:val="0"/>
        <w:autoSpaceDE w:val="0"/>
        <w:autoSpaceDN w:val="0"/>
        <w:adjustRightInd w:val="0"/>
        <w:textAlignment w:val="baseline"/>
        <w:rPr>
          <w:bCs/>
          <w:iCs/>
        </w:rPr>
      </w:pPr>
      <w:r w:rsidRPr="000403EE">
        <w:t>Η ΕΟΚΕ:</w:t>
      </w:r>
    </w:p>
    <w:p w:rsidRPr="000403EE" w:rsidR="00FE0B51" w:rsidP="00EB5CCE" w:rsidRDefault="00FE0B51" w14:paraId="2C9C4BB6" w14:textId="77777777">
      <w:pPr>
        <w:overflowPunct w:val="0"/>
        <w:autoSpaceDE w:val="0"/>
        <w:autoSpaceDN w:val="0"/>
        <w:adjustRightInd w:val="0"/>
        <w:textAlignment w:val="baseline"/>
        <w:rPr>
          <w:bCs/>
          <w:iCs/>
        </w:rPr>
      </w:pPr>
    </w:p>
    <w:p w:rsidRPr="000403EE" w:rsidR="00EB5CCE" w:rsidP="00643D0B" w:rsidRDefault="00EB5CCE" w14:paraId="0E80473F" w14:textId="77777777">
      <w:pPr>
        <w:numPr>
          <w:ilvl w:val="0"/>
          <w:numId w:val="19"/>
        </w:numPr>
        <w:overflowPunct w:val="0"/>
        <w:autoSpaceDE w:val="0"/>
        <w:autoSpaceDN w:val="0"/>
        <w:adjustRightInd w:val="0"/>
        <w:textAlignment w:val="baseline"/>
        <w:rPr>
          <w:szCs w:val="20"/>
        </w:rPr>
      </w:pPr>
      <w:r w:rsidRPr="000403EE">
        <w:t>Υποστηρίζει ότι η εδαφική ατζέντα πρέπει αφενός να δώσει ώθηση στην πέμπτη ελευθερία της εσωτερικής αγοράς —στην έκθεση Letta περιγράφεται ως «η ελευθερία παραμονής» των ανθρώπων στον τόπο στον οποίο επιλέγουν να ζήσουν— διασφαλίζοντας με τον τρόπο αυτό την οικονομική, κοινωνική και εδαφική συνοχή. Αφετέρου —όπως περιγράφεται στην έκθεση Draghi— πρέπει να προσφέρει σε όλες τις περιοχές τη δυνατότητα να αξιοποιήσουν τις τοπικές ευκαιρίες ανάπτυξης μέσω μέτρων που θα διασφαλίσουν και θα ενισχύσουν την ανταγωνιστικότητά τους.</w:t>
      </w:r>
    </w:p>
    <w:p w:rsidRPr="000403EE" w:rsidR="00EB5CCE" w:rsidP="00643D0B" w:rsidRDefault="00EB5CCE" w14:paraId="6A3A0098" w14:textId="77777777">
      <w:pPr>
        <w:numPr>
          <w:ilvl w:val="0"/>
          <w:numId w:val="19"/>
        </w:numPr>
        <w:overflowPunct w:val="0"/>
        <w:autoSpaceDE w:val="0"/>
        <w:autoSpaceDN w:val="0"/>
        <w:adjustRightInd w:val="0"/>
        <w:textAlignment w:val="baseline"/>
        <w:rPr>
          <w:szCs w:val="20"/>
        </w:rPr>
      </w:pPr>
      <w:r w:rsidRPr="000403EE">
        <w:t>Υπογραμμίζει ότι η Εδαφική Ατζέντα 2030 (ΕΑ2030) δίνει έμφαση σε μια πιο δίκαιη και πιο πράσινη Ευρώπη, συμβαδίζοντας έτσι με τους μακροπρόθεσμους στόχους της ΕΕ και θέτοντας ισχυρά θεμέλια για την ολοκλήρωση του χωροταξικού σχεδιασμού.</w:t>
      </w:r>
    </w:p>
    <w:p w:rsidRPr="000403EE" w:rsidR="00EB5CCE" w:rsidP="00643D0B" w:rsidRDefault="00EB5CCE" w14:paraId="4E35B6B6" w14:textId="77777777">
      <w:pPr>
        <w:numPr>
          <w:ilvl w:val="0"/>
          <w:numId w:val="19"/>
        </w:numPr>
        <w:overflowPunct w:val="0"/>
        <w:autoSpaceDE w:val="0"/>
        <w:autoSpaceDN w:val="0"/>
        <w:adjustRightInd w:val="0"/>
        <w:textAlignment w:val="baseline"/>
        <w:rPr>
          <w:szCs w:val="20"/>
        </w:rPr>
      </w:pPr>
      <w:r w:rsidRPr="000403EE">
        <w:t>Σημειώνει ότι, παρά τις δραστηριότητες που αναπτύχθηκαν σε επίπεδο ΕΕ για τη δοκιμή και την εφαρμογή της ΕA2030, τα οφέλη που μπορεί να προσφέρει η ΕΑ2030 για την υποστήριξη της συνοχής και της δίκαιης ανάπτυξης δεν έχουν ακόμη αξιοποιηθεί πλήρως σε τοπικό και περιφερειακό επίπεδο.</w:t>
      </w:r>
    </w:p>
    <w:p w:rsidRPr="000403EE" w:rsidR="00EB5CCE" w:rsidP="00643D0B" w:rsidRDefault="00EB5CCE" w14:paraId="7DAF48BE" w14:textId="77777777">
      <w:pPr>
        <w:numPr>
          <w:ilvl w:val="0"/>
          <w:numId w:val="19"/>
        </w:numPr>
        <w:overflowPunct w:val="0"/>
        <w:autoSpaceDE w:val="0"/>
        <w:autoSpaceDN w:val="0"/>
        <w:adjustRightInd w:val="0"/>
        <w:textAlignment w:val="baseline"/>
        <w:rPr>
          <w:szCs w:val="20"/>
        </w:rPr>
      </w:pPr>
      <w:r w:rsidRPr="000403EE">
        <w:t>Τονίζει ότι είναι σημαντικό να ενισχυθεί η διασύνδεση μεταξύ της ΕA2030 και της πολιτικής συνοχής. Ενώ η ΕA2030 αποτελεί στρατηγικό μέσο που βοηθά τις περιφέρειες να ιεραρχήσουν τις προτεραιότητες για να δώσουν απαντήσεις στα ζητήματα που τις απασχολούν, η πολιτική συνοχής διασφαλίζει την εφαρμογή της ΕΑ2030.</w:t>
      </w:r>
    </w:p>
    <w:p w:rsidRPr="000403EE" w:rsidR="00EB5CCE" w:rsidP="00643D0B" w:rsidRDefault="00EB5CCE" w14:paraId="48869F0D" w14:textId="77777777">
      <w:pPr>
        <w:numPr>
          <w:ilvl w:val="0"/>
          <w:numId w:val="19"/>
        </w:numPr>
        <w:overflowPunct w:val="0"/>
        <w:autoSpaceDE w:val="0"/>
        <w:autoSpaceDN w:val="0"/>
        <w:adjustRightInd w:val="0"/>
        <w:textAlignment w:val="baseline"/>
        <w:rPr>
          <w:szCs w:val="20"/>
        </w:rPr>
      </w:pPr>
      <w:r w:rsidRPr="000403EE">
        <w:t>Θεωρεί αναγκαίο να ενισχυθούν οι δραστηριότητες για την ενημέρωση και την ενθάρρυνση της συμμετοχής της κοινωνίας των πολιτών στις διαδικασίες σχεδιασμού και εφαρμογής της ΕA2030, επισημαίνοντας τον κίνδυνο να εγκριθούν πρωτοβουλίες και έργα όπου δεν λαμβάνονται πλήρως υπόψη οι ανάγκες των τελικών αποδεκτών των πολιτικών και των στρατηγικών της ΕΕ, δηλαδή των πολιτών και των κοινωνικών και οικονομικών εταίρων.</w:t>
      </w:r>
    </w:p>
    <w:p w:rsidRPr="000403EE" w:rsidR="00EB5CCE" w:rsidP="00643D0B" w:rsidRDefault="00EB5CCE" w14:paraId="6F90A3A4" w14:textId="77777777">
      <w:pPr>
        <w:numPr>
          <w:ilvl w:val="0"/>
          <w:numId w:val="19"/>
        </w:numPr>
        <w:overflowPunct w:val="0"/>
        <w:autoSpaceDE w:val="0"/>
        <w:autoSpaceDN w:val="0"/>
        <w:adjustRightInd w:val="0"/>
        <w:textAlignment w:val="baseline"/>
        <w:rPr>
          <w:szCs w:val="20"/>
        </w:rPr>
      </w:pPr>
      <w:r w:rsidRPr="000403EE">
        <w:t>Εφιστά την προσοχή στις κρίσεις και τις συστημικές αλλαγές που χαρακτηρίζουν την ΕΕ, καθώς και στην αύξηση των διαταραχών και των κινδύνων (κοινωνικών, οικονομικών, περιβαλλοντικών κ.λπ.).</w:t>
      </w:r>
    </w:p>
    <w:p w:rsidRPr="000403EE" w:rsidR="00EB5CCE" w:rsidP="00643D0B" w:rsidRDefault="00EB5CCE" w14:paraId="1AE2B654" w14:textId="77777777">
      <w:pPr>
        <w:numPr>
          <w:ilvl w:val="0"/>
          <w:numId w:val="19"/>
        </w:numPr>
        <w:overflowPunct w:val="0"/>
        <w:autoSpaceDE w:val="0"/>
        <w:autoSpaceDN w:val="0"/>
        <w:adjustRightInd w:val="0"/>
        <w:textAlignment w:val="baseline"/>
        <w:rPr>
          <w:szCs w:val="20"/>
        </w:rPr>
      </w:pPr>
      <w:r w:rsidRPr="000403EE">
        <w:t>Επικροτεί τη διαδικασία κατάρτισης και δοκιμαστικής εφαρμογής της ΕA2030 που υλοποιήθηκε μέσω των πιλοτικών δράσεων αλλά επισημαίνει ότι υπάρχουν μεγάλα περιθώρια βελτίωσης ως προς την έγκριση των διαδικασιών ολοκληρωμένης εδαφικής ανάπτυξης (κοινωνικής, οικονομικής και περιβαλλοντικής).</w:t>
      </w:r>
    </w:p>
    <w:p w:rsidRPr="000403EE" w:rsidR="00EB5CCE" w:rsidP="00643D0B" w:rsidRDefault="00EB5CCE" w14:paraId="06796FCA" w14:textId="77777777">
      <w:pPr>
        <w:numPr>
          <w:ilvl w:val="0"/>
          <w:numId w:val="19"/>
        </w:numPr>
        <w:overflowPunct w:val="0"/>
        <w:autoSpaceDE w:val="0"/>
        <w:autoSpaceDN w:val="0"/>
        <w:adjustRightInd w:val="0"/>
        <w:textAlignment w:val="baseline"/>
        <w:rPr>
          <w:szCs w:val="20"/>
        </w:rPr>
      </w:pPr>
      <w:r w:rsidRPr="000403EE">
        <w:t xml:space="preserve">Στρατηγικός συντονισμός: η ΕΟΚΕ υποστηρίζει ότι τα ζητήματα της συνοχής, της βιωσιμότητας και της ανθεκτικότητας των διαφόρων τοπικών εκφάνσεων της ΕΕ είναι αδύνατο να απαντηθούν χωριστά με τα συνήθη μέσα. Ως εκ τούτου, συνιστά να συμπεριληφθεί η ΕΑ στη διαδικασία του </w:t>
      </w:r>
      <w:r w:rsidRPr="000403EE">
        <w:lastRenderedPageBreak/>
        <w:t>Ευρωπαϊκού Εξαμήνου, σύμφωνα με τις κατευθυντήριες γραμμές που υποστηρίζονται από το Ευρωπαϊκό δίκτυο παρατήρησης για τη χωρική ανάπτυξη και συνοχή (ESPON).</w:t>
      </w:r>
    </w:p>
    <w:p w:rsidRPr="000403EE" w:rsidR="00EB5CCE" w:rsidP="00643D0B" w:rsidRDefault="00EB5CCE" w14:paraId="7BC23F7E" w14:textId="77777777">
      <w:pPr>
        <w:numPr>
          <w:ilvl w:val="0"/>
          <w:numId w:val="19"/>
        </w:numPr>
        <w:overflowPunct w:val="0"/>
        <w:autoSpaceDE w:val="0"/>
        <w:autoSpaceDN w:val="0"/>
        <w:adjustRightInd w:val="0"/>
        <w:textAlignment w:val="baseline"/>
        <w:rPr>
          <w:szCs w:val="20"/>
        </w:rPr>
      </w:pPr>
      <w:r w:rsidRPr="000403EE">
        <w:t xml:space="preserve">Συνιστά να εξασφαλιστεί ο μέγιστος δυνατός συντονισμός του αστικού θεματολογίου με την πολιτική συνοχής. </w:t>
      </w:r>
    </w:p>
    <w:p w:rsidRPr="000403EE" w:rsidR="00EB5CCE" w:rsidP="00643D0B" w:rsidRDefault="00EB5CCE" w14:paraId="660ABDEE" w14:textId="77777777">
      <w:pPr>
        <w:numPr>
          <w:ilvl w:val="0"/>
          <w:numId w:val="19"/>
        </w:numPr>
        <w:overflowPunct w:val="0"/>
        <w:autoSpaceDE w:val="0"/>
        <w:autoSpaceDN w:val="0"/>
        <w:adjustRightInd w:val="0"/>
        <w:textAlignment w:val="baseline"/>
        <w:rPr>
          <w:szCs w:val="20"/>
        </w:rPr>
      </w:pPr>
      <w:r w:rsidRPr="000403EE">
        <w:t xml:space="preserve">Επισημαίνει την ανάγκη να ενισχυθεί η παρουσία των εκπροσώπων των κοινωνικών και οικονομικών εταίρων βάσει της αρχής της εταιρικής σχέσης που διέπει την εδαφική (τοπική και περιφερειακή) ανάπτυξη. </w:t>
      </w:r>
    </w:p>
    <w:p w:rsidRPr="000403EE" w:rsidR="00EB5CCE" w:rsidP="00643D0B" w:rsidRDefault="00EB5CCE" w14:paraId="452548B9" w14:textId="77777777">
      <w:pPr>
        <w:numPr>
          <w:ilvl w:val="0"/>
          <w:numId w:val="19"/>
        </w:numPr>
        <w:overflowPunct w:val="0"/>
        <w:autoSpaceDE w:val="0"/>
        <w:autoSpaceDN w:val="0"/>
        <w:adjustRightInd w:val="0"/>
        <w:textAlignment w:val="baseline"/>
        <w:rPr>
          <w:szCs w:val="20"/>
        </w:rPr>
      </w:pPr>
      <w:r w:rsidRPr="000403EE">
        <w:t>Τονίζει την ανάγκη να αναπτυχθούν διαδικασίες και πρωτοβουλίες ώστε να ληφθούν περισσότερο υπόψη από την ΕΑ2030 οι ανάγκες και τα ζητούμενα της ΕΕ, καθώς και να ενισχυθούν οι συνέργειες με τον Χάρτη της Λειψίας και το Αστικό θεματολόγιο της ΕΕ.</w:t>
      </w:r>
    </w:p>
    <w:p w:rsidRPr="000403EE" w:rsidR="00EB5CCE" w:rsidP="00643D0B" w:rsidRDefault="00EB5CCE" w14:paraId="4263C550" w14:textId="77777777">
      <w:pPr>
        <w:numPr>
          <w:ilvl w:val="0"/>
          <w:numId w:val="19"/>
        </w:numPr>
        <w:overflowPunct w:val="0"/>
        <w:autoSpaceDE w:val="0"/>
        <w:autoSpaceDN w:val="0"/>
        <w:adjustRightInd w:val="0"/>
        <w:textAlignment w:val="baseline"/>
        <w:rPr>
          <w:szCs w:val="20"/>
        </w:rPr>
      </w:pPr>
      <w:r w:rsidRPr="000403EE">
        <w:t>Θεωρεί απαραίτητη την εξειδίκευση της δράσης της ΕA2030 σύμφωνα με προτεραιότητες όπως η καταπολέμηση της κλιματικής αλλαγής, η προσαρμογή στη δημογραφική αλλαγή, η και η ενίσχυση της προσέγγισης που βασίζεται στον πολίτη.</w:t>
      </w:r>
    </w:p>
    <w:p w:rsidRPr="000403EE" w:rsidR="00EB5CCE" w:rsidP="00643D0B" w:rsidRDefault="00EB5CCE" w14:paraId="08955B51" w14:textId="77777777">
      <w:pPr>
        <w:numPr>
          <w:ilvl w:val="0"/>
          <w:numId w:val="19"/>
        </w:numPr>
        <w:overflowPunct w:val="0"/>
        <w:autoSpaceDE w:val="0"/>
        <w:autoSpaceDN w:val="0"/>
        <w:adjustRightInd w:val="0"/>
        <w:textAlignment w:val="baseline"/>
        <w:rPr>
          <w:szCs w:val="20"/>
        </w:rPr>
      </w:pPr>
      <w:r w:rsidRPr="000403EE">
        <w:t>Υποστηρίζει ότι πρέπει να δοθεί προτεραιότητα στην ισορροπημένη και βιώσιμη εδαφική ανάπτυξη μέσω της σύσφιξης της συνεργασίας μεταξύ όλων των βαθμών της δημόσιας διοίκησης και της ενίσχυσης της δημόσιας διαβούλευσης.</w:t>
      </w:r>
    </w:p>
    <w:p w:rsidRPr="000403EE" w:rsidR="00EB5CCE" w:rsidP="00EB5CCE" w:rsidRDefault="00EB5CCE" w14:paraId="64DCF051" w14:textId="77777777">
      <w:pPr>
        <w:spacing w:after="200" w:line="276" w:lineRule="auto"/>
        <w:ind w:left="360"/>
        <w:contextualSpacing/>
        <w:rPr>
          <w:szCs w:val="20"/>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EB5CCE" w:rsidTr="00863A8F" w14:paraId="7DEEBD4B" w14:textId="77777777">
        <w:tc>
          <w:tcPr>
            <w:tcW w:w="1418" w:type="dxa"/>
          </w:tcPr>
          <w:p w:rsidRPr="000403EE" w:rsidR="00EB5CCE" w:rsidP="00EB5CCE" w:rsidRDefault="00EB5CCE" w14:paraId="0AFC2E9E" w14:textId="77777777">
            <w:pPr>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EB5CCE" w:rsidP="00EB5CCE" w:rsidRDefault="00EB5CCE" w14:paraId="0795190D" w14:textId="77777777">
            <w:pPr>
              <w:overflowPunct w:val="0"/>
              <w:autoSpaceDE w:val="0"/>
              <w:autoSpaceDN w:val="0"/>
              <w:adjustRightInd w:val="0"/>
              <w:spacing w:line="240" w:lineRule="auto"/>
              <w:textAlignment w:val="baseline"/>
              <w:rPr>
                <w:b/>
                <w:bCs/>
                <w:i/>
              </w:rPr>
            </w:pPr>
            <w:r w:rsidRPr="000403EE">
              <w:rPr>
                <w:b/>
                <w:i/>
              </w:rPr>
              <w:t>Γεώργιος Μελέας</w:t>
            </w:r>
          </w:p>
        </w:tc>
      </w:tr>
      <w:tr w:rsidRPr="000403EE" w:rsidR="00EB5CCE" w:rsidTr="00863A8F" w14:paraId="597E4104" w14:textId="77777777">
        <w:tc>
          <w:tcPr>
            <w:tcW w:w="1418" w:type="dxa"/>
          </w:tcPr>
          <w:p w:rsidRPr="000403EE" w:rsidR="00EB5CCE" w:rsidP="00EB5CCE" w:rsidRDefault="00EB5CCE" w14:paraId="4AE0E194" w14:textId="77777777">
            <w:pPr>
              <w:overflowPunct w:val="0"/>
              <w:autoSpaceDE w:val="0"/>
              <w:autoSpaceDN w:val="0"/>
              <w:adjustRightInd w:val="0"/>
              <w:spacing w:line="240" w:lineRule="auto"/>
              <w:textAlignment w:val="baseline"/>
              <w:rPr>
                <w:i/>
              </w:rPr>
            </w:pPr>
            <w:r w:rsidRPr="000403EE">
              <w:rPr>
                <w:i/>
              </w:rPr>
              <w:t>Τηλ.</w:t>
            </w:r>
          </w:p>
        </w:tc>
        <w:tc>
          <w:tcPr>
            <w:tcW w:w="5670" w:type="dxa"/>
          </w:tcPr>
          <w:p w:rsidRPr="000403EE" w:rsidR="00EB5CCE" w:rsidP="00EB5CCE" w:rsidRDefault="00EB5CCE" w14:paraId="303AC402" w14:textId="77777777">
            <w:pPr>
              <w:overflowPunct w:val="0"/>
              <w:autoSpaceDE w:val="0"/>
              <w:autoSpaceDN w:val="0"/>
              <w:adjustRightInd w:val="0"/>
              <w:spacing w:line="240" w:lineRule="auto"/>
              <w:textAlignment w:val="baseline"/>
              <w:rPr>
                <w:i/>
              </w:rPr>
            </w:pPr>
            <w:r w:rsidRPr="000403EE">
              <w:rPr>
                <w:i/>
              </w:rPr>
              <w:t>+32 25469795</w:t>
            </w:r>
          </w:p>
        </w:tc>
      </w:tr>
      <w:tr w:rsidRPr="000403EE" w:rsidR="00EB5CCE" w:rsidTr="00863A8F" w14:paraId="5942734A" w14:textId="77777777">
        <w:tc>
          <w:tcPr>
            <w:tcW w:w="1418" w:type="dxa"/>
          </w:tcPr>
          <w:p w:rsidRPr="000403EE" w:rsidR="00EB5CCE" w:rsidP="00EB5CCE" w:rsidRDefault="00EB5CCE" w14:paraId="5B910A72" w14:textId="77777777">
            <w:pPr>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EB5CCE" w:rsidP="00EB5CCE" w:rsidRDefault="00913BEC" w14:paraId="664AA901" w14:textId="77777777">
            <w:pPr>
              <w:overflowPunct w:val="0"/>
              <w:autoSpaceDE w:val="0"/>
              <w:autoSpaceDN w:val="0"/>
              <w:adjustRightInd w:val="0"/>
              <w:spacing w:line="240" w:lineRule="auto"/>
              <w:textAlignment w:val="baseline"/>
              <w:rPr>
                <w:i/>
              </w:rPr>
            </w:pPr>
            <w:hyperlink w:history="1" r:id="rId28">
              <w:r w:rsidRPr="000403EE" w:rsidR="00064B8D">
                <w:rPr>
                  <w:i/>
                  <w:color w:val="0000FF"/>
                  <w:u w:val="single"/>
                </w:rPr>
                <w:t>Georgios.Meleas@eesc.europa.eu</w:t>
              </w:r>
            </w:hyperlink>
            <w:r w:rsidRPr="000403EE" w:rsidR="00064B8D">
              <w:rPr>
                <w:i/>
              </w:rPr>
              <w:t xml:space="preserve"> </w:t>
            </w:r>
          </w:p>
        </w:tc>
      </w:tr>
    </w:tbl>
    <w:p w:rsidRPr="000403EE" w:rsidR="009C5B03" w:rsidRDefault="009C5B03" w14:paraId="2929773F" w14:textId="5B7797CD">
      <w:pPr>
        <w:spacing w:after="160" w:line="259" w:lineRule="auto"/>
        <w:jc w:val="left"/>
      </w:pPr>
      <w:r w:rsidRPr="000403EE">
        <w:br w:type="page"/>
      </w:r>
    </w:p>
    <w:p w:rsidRPr="000403EE" w:rsidR="004D7AC0" w:rsidP="006D6D4E" w:rsidRDefault="004D7AC0" w14:paraId="4982DD99" w14:textId="77777777">
      <w:pPr>
        <w:pStyle w:val="Heading1"/>
        <w:keepNext/>
        <w:keepLines/>
        <w:rPr>
          <w:b/>
        </w:rPr>
      </w:pPr>
      <w:bookmarkStart w:name="_Toc75527081" w:id="2"/>
      <w:bookmarkStart w:name="_Toc178009563" w:id="3"/>
      <w:r w:rsidRPr="000403EE">
        <w:rPr>
          <w:b/>
        </w:rPr>
        <w:lastRenderedPageBreak/>
        <w:t>ΑΠΑΣΧΟΛΗΣΗ, ΚΟΙΝΩΝΙΚΕΣ ΥΠΟΘΕΣΕΙΣ, ΔΙΚΑΙΩΜΑΤΑ ΤΟΥ ΠΟΛΙΤΗ</w:t>
      </w:r>
      <w:bookmarkEnd w:id="2"/>
      <w:bookmarkEnd w:id="3"/>
    </w:p>
    <w:p w:rsidRPr="000403EE" w:rsidR="006A1AC2" w:rsidP="000403EE" w:rsidRDefault="006A1AC2" w14:paraId="7B7E28B8" w14:textId="77777777"/>
    <w:p w:rsidRPr="000403EE" w:rsidR="00F8361B" w:rsidP="00F8361B" w:rsidRDefault="00913BEC"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Pr="000403EE" w:rsidR="00F8361B">
          <w:rPr>
            <w:b/>
            <w:i/>
            <w:color w:val="0000FF"/>
            <w:sz w:val="28"/>
            <w:u w:val="single"/>
          </w:rPr>
          <w:t>Τεκμηριωμένη και νομοθετική ανάλυση της ένταξης των μεταναστών στην αγορά εργασίας της ΕΕ</w:t>
        </w:r>
      </w:hyperlink>
    </w:p>
    <w:p w:rsidRPr="000403EE"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0403EE" w:rsidR="00F8361B" w:rsidTr="00863A8F" w14:paraId="16AB33D9" w14:textId="77777777">
        <w:tc>
          <w:tcPr>
            <w:tcW w:w="1297" w:type="pct"/>
          </w:tcPr>
          <w:p w:rsidRPr="000403EE" w:rsidR="00F8361B" w:rsidP="00643D0B" w:rsidRDefault="00F8361B" w14:paraId="210F5A29" w14:textId="77777777">
            <w:pPr>
              <w:widowControl w:val="0"/>
              <w:overflowPunct w:val="0"/>
              <w:autoSpaceDE w:val="0"/>
              <w:autoSpaceDN w:val="0"/>
              <w:adjustRightInd w:val="0"/>
              <w:spacing w:line="240" w:lineRule="auto"/>
              <w:ind w:left="-113"/>
              <w:textAlignment w:val="baseline"/>
              <w:rPr>
                <w:b/>
              </w:rPr>
            </w:pPr>
            <w:r w:rsidRPr="000403EE">
              <w:rPr>
                <w:b/>
              </w:rPr>
              <w:t>Εισηγητής</w:t>
            </w:r>
          </w:p>
          <w:p w:rsidRPr="000403EE" w:rsidR="00F8361B" w:rsidP="00643D0B" w:rsidRDefault="00F8361B" w14:paraId="650295C2" w14:textId="77777777">
            <w:pPr>
              <w:widowControl w:val="0"/>
              <w:overflowPunct w:val="0"/>
              <w:autoSpaceDE w:val="0"/>
              <w:autoSpaceDN w:val="0"/>
              <w:adjustRightInd w:val="0"/>
              <w:spacing w:line="240" w:lineRule="auto"/>
              <w:ind w:left="-113"/>
              <w:textAlignment w:val="baseline"/>
              <w:rPr>
                <w:b/>
              </w:rPr>
            </w:pPr>
          </w:p>
        </w:tc>
        <w:tc>
          <w:tcPr>
            <w:tcW w:w="3703" w:type="pct"/>
            <w:gridSpan w:val="2"/>
          </w:tcPr>
          <w:p w:rsidRPr="000403EE" w:rsidR="00F8361B" w:rsidP="00643D0B"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pPr>
            <w:r w:rsidRPr="000403EE">
              <w:t>Παναγιώτης ΓΚΟΦΑΣ (Ομάδα των Οργανώσεων της Κοινωνίας των Πολιτών – EL)</w:t>
            </w:r>
          </w:p>
        </w:tc>
      </w:tr>
      <w:tr w:rsidRPr="000403EE" w:rsidR="00F8361B" w:rsidTr="00863A8F" w14:paraId="669D8CBB" w14:textId="77777777">
        <w:tc>
          <w:tcPr>
            <w:tcW w:w="1297" w:type="pct"/>
          </w:tcPr>
          <w:p w:rsidRPr="000403EE" w:rsidR="00F8361B" w:rsidP="00643D0B" w:rsidRDefault="00F8361B" w14:paraId="40F0C647" w14:textId="77777777">
            <w:pPr>
              <w:widowControl w:val="0"/>
              <w:overflowPunct w:val="0"/>
              <w:autoSpaceDE w:val="0"/>
              <w:autoSpaceDN w:val="0"/>
              <w:adjustRightInd w:val="0"/>
              <w:spacing w:line="240" w:lineRule="auto"/>
              <w:ind w:left="-113"/>
              <w:textAlignment w:val="baseline"/>
              <w:rPr>
                <w:b/>
              </w:rPr>
            </w:pPr>
            <w:r w:rsidRPr="000403EE">
              <w:rPr>
                <w:b/>
              </w:rPr>
              <w:t>Συνεισηγητής</w:t>
            </w:r>
          </w:p>
        </w:tc>
        <w:tc>
          <w:tcPr>
            <w:tcW w:w="3703" w:type="pct"/>
            <w:gridSpan w:val="2"/>
          </w:tcPr>
          <w:p w:rsidRPr="000403EE" w:rsidR="00F8361B" w:rsidP="00643D0B" w:rsidRDefault="00F8361B" w14:paraId="6FF35F57" w14:textId="6A6AA37E">
            <w:pPr>
              <w:widowControl w:val="0"/>
              <w:tabs>
                <w:tab w:val="left" w:pos="4572"/>
              </w:tabs>
              <w:overflowPunct w:val="0"/>
              <w:autoSpaceDE w:val="0"/>
              <w:autoSpaceDN w:val="0"/>
              <w:adjustRightInd w:val="0"/>
              <w:spacing w:line="240" w:lineRule="auto"/>
              <w:ind w:left="-113" w:right="-823"/>
              <w:textAlignment w:val="baseline"/>
            </w:pPr>
            <w:r w:rsidRPr="000403EE">
              <w:t>José Antonio MORENO DÍAZ (Ομάδα των Εργαζομένων – ES)</w:t>
            </w:r>
          </w:p>
        </w:tc>
      </w:tr>
      <w:tr w:rsidRPr="000403EE" w:rsidR="00F8361B" w:rsidTr="00863A8F" w14:paraId="0920373A" w14:textId="77777777">
        <w:tc>
          <w:tcPr>
            <w:tcW w:w="1297" w:type="pct"/>
          </w:tcPr>
          <w:p w:rsidRPr="000403EE" w:rsidR="00F8361B" w:rsidP="00643D0B" w:rsidRDefault="00F8361B" w14:paraId="452CD326" w14:textId="77777777">
            <w:pPr>
              <w:widowControl w:val="0"/>
              <w:overflowPunct w:val="0"/>
              <w:autoSpaceDE w:val="0"/>
              <w:autoSpaceDN w:val="0"/>
              <w:adjustRightInd w:val="0"/>
              <w:spacing w:line="240" w:lineRule="auto"/>
              <w:ind w:left="-113"/>
              <w:textAlignment w:val="baseline"/>
              <w:rPr>
                <w:b/>
              </w:rPr>
            </w:pPr>
          </w:p>
        </w:tc>
        <w:tc>
          <w:tcPr>
            <w:tcW w:w="3703" w:type="pct"/>
            <w:gridSpan w:val="2"/>
          </w:tcPr>
          <w:p w:rsidRPr="000403EE"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pPr>
          </w:p>
        </w:tc>
      </w:tr>
      <w:tr w:rsidRPr="000403EE" w:rsidR="00F8361B" w:rsidTr="00863A8F" w14:paraId="64E0BE1E" w14:textId="77777777">
        <w:trPr>
          <w:gridAfter w:val="1"/>
          <w:wAfter w:w="740" w:type="pct"/>
        </w:trPr>
        <w:tc>
          <w:tcPr>
            <w:tcW w:w="1297" w:type="pct"/>
            <w:vMerge w:val="restart"/>
          </w:tcPr>
          <w:p w:rsidRPr="000403EE" w:rsidR="00F8361B" w:rsidP="00643D0B" w:rsidRDefault="00F8361B" w14:paraId="33F355BB" w14:textId="77777777">
            <w:pPr>
              <w:widowControl w:val="0"/>
              <w:overflowPunct w:val="0"/>
              <w:autoSpaceDE w:val="0"/>
              <w:autoSpaceDN w:val="0"/>
              <w:adjustRightInd w:val="0"/>
              <w:spacing w:line="240" w:lineRule="auto"/>
              <w:ind w:left="-113"/>
              <w:textAlignment w:val="baseline"/>
              <w:rPr>
                <w:b/>
              </w:rPr>
            </w:pPr>
            <w:r w:rsidRPr="000403EE">
              <w:rPr>
                <w:b/>
              </w:rPr>
              <w:t>Έγγραφα αναφοράς</w:t>
            </w:r>
          </w:p>
        </w:tc>
        <w:tc>
          <w:tcPr>
            <w:tcW w:w="2963" w:type="pct"/>
          </w:tcPr>
          <w:p w:rsidRPr="000403EE"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pPr>
            <w:r w:rsidRPr="000403EE">
              <w:t>Γνωμοδότηση πρωτοβουλίας</w:t>
            </w:r>
          </w:p>
          <w:p w:rsidRPr="000403EE"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rsidRPr="000403EE">
              <w:t>EESC-2024-01017-00-00-AC</w:t>
            </w:r>
          </w:p>
        </w:tc>
      </w:tr>
      <w:tr w:rsidRPr="000403EE" w:rsidR="00F8361B" w:rsidTr="00863A8F" w14:paraId="20A9FCDF" w14:textId="77777777">
        <w:trPr>
          <w:gridAfter w:val="1"/>
          <w:wAfter w:w="740" w:type="pct"/>
        </w:trPr>
        <w:tc>
          <w:tcPr>
            <w:tcW w:w="1297" w:type="pct"/>
            <w:vMerge/>
          </w:tcPr>
          <w:p w:rsidRPr="000403EE"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2963" w:type="pct"/>
          </w:tcPr>
          <w:p w:rsidRPr="000403EE"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0403EE" w:rsidR="00F8361B" w:rsidP="00643D0B"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rPr>
      </w:pPr>
      <w:r w:rsidRPr="000403EE">
        <w:rPr>
          <w:b/>
        </w:rPr>
        <w:t>Κύρια σημεία</w:t>
      </w:r>
    </w:p>
    <w:p w:rsidRPr="000403EE"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rPr>
      </w:pPr>
    </w:p>
    <w:p w:rsidRPr="000403EE"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rsidRPr="000403EE">
        <w:t>Η ΕΟΚΕ:</w:t>
      </w:r>
    </w:p>
    <w:p w:rsidRPr="000403EE"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rPr>
      </w:pPr>
    </w:p>
    <w:p w:rsidRPr="000403EE" w:rsidR="00F8361B" w:rsidP="00643D0B"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rsidRPr="000403EE">
        <w:t>Επισημαίνει το γεγονός ότι η οργανωμένη κινητικότητα του εργατικού δυναμικού στην ΕΕ διέπεται από ένα εξαιρετικά κατακερματισμένο και υπερβολικά πολύπλοκο πλαίσιο, το οποίο αποτελείται από διάφορες οδηγίες της ΕΕ και συνυπάρχουσες εθνικές νομοθεσίες. Διαφορετικές κατηγορίες διακινούμενων εργαζομένων διέπονται από τις διατάξεις διαφορετικών οδηγιών και κανονισμών, καθεμία από τις οποίες καλύπτει διαφορετικές πτυχές και διαφορετικά στάδια της διαδικασίας μετανάστευσης.</w:t>
      </w:r>
    </w:p>
    <w:p w:rsidRPr="000403EE" w:rsidR="00F8361B" w:rsidP="00643D0B"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rsidRPr="000403EE">
        <w:t>Σημειώνει ότι καθώς οι ελλείψεις εργατικού δυναμικού εκδηλώνονται ως κοινή ευρωπαϊκή πρόκληση, απαιτείται επίσης κοινή αντιμετώπιση. Η αξιοποίηση του δυναμικού μιας ενιαίας ενωσιακής αγοράς εργασίας, αντί να λειτουργεί ως 27 χωριστές αγορές εργασίας, θα ενισχύσει τη θέση της ΕΕ όσον αφορά τον ανταγωνισμό για διακινούμενους εργαζομένους στον «παγκόσμιο αγώνα δρόμου για την προσέλκυση ταλέντων».</w:t>
      </w:r>
    </w:p>
    <w:p w:rsidRPr="000403EE" w:rsidR="00F8361B" w:rsidP="00643D0B"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rsidRPr="000403EE">
        <w:t xml:space="preserve">Τονίζει την ανάγκη να θεσπιστούν σαφείς ρυθμίσεις σχετικά με την πρόσβαση των μεταναστών σε θεωρήσεις εργασίας και άδειες εργασίας, καθώς και να διασφαλιστεί η αναγνώριση των διπλωμάτων και των επαγγελματικών προσόντων τους. </w:t>
      </w:r>
    </w:p>
    <w:p w:rsidRPr="000403EE" w:rsidR="00F8361B" w:rsidP="00643D0B"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rsidRPr="000403EE">
        <w:t>Εφιστά ιδιαίτερα την προσοχή στην ανάγκη να διευκολυνθεί η πρόσβαση των μεταναστών στην αγορά εργασίας με την ανάπτυξη πολιτικών και σχεδίων δράσης που έχουν ως στόχο την προώθηση της ένταξης των μεταναστών στην αγορά εργασίας (με ειδικές διατάξεις για τις γυναίκες), μέσω της αντιμετώπισης των ειδικών αναγκών τους και της ανάπτυξης αποτελεσματικής συνεργασίας μεταξύ κυβερνήσεων, φορέων της κοινωνικής οικονομίας και επιχειρηματικών κοινοτήτων για τον σχεδιασμό και τη χρηματοδότηση της επαγγελματικής κατάρτισης των μεταναστών, με παράλληλη διασφάλιση της διαθεσιμότητας μαθημάτων γλώσσας και αγωγής του πολίτη επίσης για τους αιτούντες άσυλο και τους πρόσφυγες.</w:t>
      </w:r>
    </w:p>
    <w:p w:rsidRPr="000403EE" w:rsidR="00F8361B" w:rsidP="00F8361B" w:rsidRDefault="00F8361B" w14:paraId="31DEA57F" w14:textId="77777777">
      <w:pPr>
        <w:widowControl w:val="0"/>
        <w:overflowPunct w:val="0"/>
        <w:autoSpaceDE w:val="0"/>
        <w:autoSpaceDN w:val="0"/>
        <w:adjustRightInd w:val="0"/>
        <w:ind w:left="709"/>
        <w:textAlignment w:val="baseline"/>
        <w:rPr>
          <w:sz w:val="16"/>
          <w:szCs w:val="16"/>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F8361B" w:rsidTr="00863A8F" w14:paraId="17083D1B" w14:textId="77777777">
        <w:tc>
          <w:tcPr>
            <w:tcW w:w="1556" w:type="pct"/>
          </w:tcPr>
          <w:p w:rsidRPr="000403EE" w:rsidR="00F8361B" w:rsidP="00643D0B" w:rsidRDefault="00F8361B" w14:paraId="457FB8FA" w14:textId="77777777">
            <w:pPr>
              <w:widowControl w:val="0"/>
              <w:overflowPunct w:val="0"/>
              <w:autoSpaceDE w:val="0"/>
              <w:autoSpaceDN w:val="0"/>
              <w:adjustRightInd w:val="0"/>
              <w:spacing w:line="240" w:lineRule="auto"/>
              <w:textAlignment w:val="baseline"/>
              <w:rPr>
                <w:i/>
              </w:rPr>
            </w:pPr>
            <w:r w:rsidRPr="000403EE">
              <w:rPr>
                <w:b/>
                <w:i/>
              </w:rPr>
              <w:t>Επικοινωνία</w:t>
            </w:r>
          </w:p>
        </w:tc>
        <w:tc>
          <w:tcPr>
            <w:tcW w:w="3444" w:type="pct"/>
          </w:tcPr>
          <w:p w:rsidRPr="000403EE" w:rsidR="00F8361B" w:rsidP="00643D0B" w:rsidRDefault="00F8361B" w14:paraId="4FE81F5E" w14:textId="5B251322">
            <w:pPr>
              <w:widowControl w:val="0"/>
              <w:overflowPunct w:val="0"/>
              <w:autoSpaceDE w:val="0"/>
              <w:autoSpaceDN w:val="0"/>
              <w:adjustRightInd w:val="0"/>
              <w:spacing w:line="240" w:lineRule="auto"/>
              <w:textAlignment w:val="baseline"/>
              <w:rPr>
                <w:i/>
              </w:rPr>
            </w:pPr>
            <w:r w:rsidRPr="000403EE">
              <w:rPr>
                <w:i/>
              </w:rPr>
              <w:t>Gemma Amran</w:t>
            </w:r>
          </w:p>
        </w:tc>
      </w:tr>
      <w:tr w:rsidRPr="000403EE" w:rsidR="00F8361B" w:rsidTr="00863A8F" w14:paraId="50F12DEA" w14:textId="77777777">
        <w:tc>
          <w:tcPr>
            <w:tcW w:w="1556" w:type="pct"/>
          </w:tcPr>
          <w:p w:rsidRPr="000403EE" w:rsidR="00F8361B" w:rsidP="00643D0B" w:rsidRDefault="00F8361B" w14:paraId="321CF420" w14:textId="77777777">
            <w:pPr>
              <w:widowControl w:val="0"/>
              <w:overflowPunct w:val="0"/>
              <w:autoSpaceDE w:val="0"/>
              <w:autoSpaceDN w:val="0"/>
              <w:adjustRightInd w:val="0"/>
              <w:spacing w:line="240" w:lineRule="auto"/>
              <w:textAlignment w:val="baseline"/>
              <w:rPr>
                <w:i/>
              </w:rPr>
            </w:pPr>
            <w:r w:rsidRPr="000403EE">
              <w:rPr>
                <w:i/>
              </w:rPr>
              <w:t>Τηλ.</w:t>
            </w:r>
          </w:p>
        </w:tc>
        <w:tc>
          <w:tcPr>
            <w:tcW w:w="3444" w:type="pct"/>
          </w:tcPr>
          <w:p w:rsidRPr="000403EE" w:rsidR="00F8361B" w:rsidP="00643D0B" w:rsidRDefault="00F8361B" w14:paraId="1BCE35C3" w14:textId="77777777">
            <w:pPr>
              <w:widowControl w:val="0"/>
              <w:overflowPunct w:val="0"/>
              <w:autoSpaceDE w:val="0"/>
              <w:autoSpaceDN w:val="0"/>
              <w:adjustRightInd w:val="0"/>
              <w:spacing w:line="240" w:lineRule="auto"/>
              <w:textAlignment w:val="baseline"/>
              <w:rPr>
                <w:i/>
              </w:rPr>
            </w:pPr>
            <w:r w:rsidRPr="000403EE">
              <w:rPr>
                <w:i/>
              </w:rPr>
              <w:t>+32 25469415</w:t>
            </w:r>
          </w:p>
        </w:tc>
      </w:tr>
      <w:tr w:rsidRPr="000403EE" w:rsidR="00F8361B" w:rsidTr="00863A8F" w14:paraId="166FE7CF" w14:textId="77777777">
        <w:tc>
          <w:tcPr>
            <w:tcW w:w="1556" w:type="pct"/>
          </w:tcPr>
          <w:p w:rsidRPr="000403EE" w:rsidR="00F8361B" w:rsidP="00643D0B" w:rsidRDefault="00F8361B" w14:paraId="4F7B4D10" w14:textId="77777777">
            <w:pPr>
              <w:widowControl w:val="0"/>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F8361B" w:rsidP="00643D0B" w:rsidRDefault="00913BEC" w14:paraId="48483D99" w14:textId="77777777">
            <w:pPr>
              <w:widowControl w:val="0"/>
              <w:overflowPunct w:val="0"/>
              <w:autoSpaceDE w:val="0"/>
              <w:autoSpaceDN w:val="0"/>
              <w:adjustRightInd w:val="0"/>
              <w:spacing w:line="240" w:lineRule="auto"/>
              <w:textAlignment w:val="baseline"/>
              <w:rPr>
                <w:color w:val="0000FF"/>
                <w:u w:val="single"/>
              </w:rPr>
            </w:pPr>
            <w:hyperlink w:history="1" r:id="rId30">
              <w:r w:rsidRPr="000403EE" w:rsidR="00F8361B">
                <w:rPr>
                  <w:i/>
                  <w:color w:val="0000FF"/>
                  <w:u w:val="single"/>
                </w:rPr>
                <w:t>Gemma.Amran@eesc.europa.eu</w:t>
              </w:r>
            </w:hyperlink>
          </w:p>
        </w:tc>
      </w:tr>
    </w:tbl>
    <w:p w:rsidRPr="000403EE" w:rsidR="00327E1C" w:rsidRDefault="00327E1C" w14:paraId="7912FB32" w14:textId="710E78D4">
      <w:pPr>
        <w:spacing w:after="160" w:line="259" w:lineRule="auto"/>
        <w:jc w:val="left"/>
      </w:pPr>
    </w:p>
    <w:p w:rsidRPr="000403EE" w:rsidR="00327E1C" w:rsidRDefault="00327E1C" w14:paraId="14354E90" w14:textId="77777777">
      <w:pPr>
        <w:spacing w:after="160" w:line="259" w:lineRule="auto"/>
        <w:jc w:val="left"/>
      </w:pPr>
      <w:r w:rsidRPr="000403EE">
        <w:br w:type="page"/>
      </w:r>
    </w:p>
    <w:p w:rsidRPr="000403EE" w:rsidR="004D7AC0" w:rsidP="006D6D4E" w:rsidRDefault="004D7AC0" w14:paraId="4982DDC6" w14:textId="77777777">
      <w:pPr>
        <w:pStyle w:val="Heading1"/>
        <w:keepNext/>
        <w:keepLines/>
        <w:rPr>
          <w:b/>
        </w:rPr>
      </w:pPr>
      <w:bookmarkStart w:name="_Toc24617160" w:id="4"/>
      <w:bookmarkStart w:name="_Toc75527082" w:id="5"/>
      <w:bookmarkStart w:name="_Toc178009574" w:id="6"/>
      <w:r w:rsidRPr="000403EE">
        <w:rPr>
          <w:b/>
        </w:rPr>
        <w:lastRenderedPageBreak/>
        <w:t>ΜΕΤΑΦΟΡΕΣ, ΕΝΕΡΓΕΙΑ, ΥΠΟΔΟΜΕΣ, ΚΟΙΝΩΝΙΑ ΤΩΝ ΠΛΗΡΟΦΟΡΙΩΝ</w:t>
      </w:r>
      <w:bookmarkEnd w:id="4"/>
      <w:bookmarkEnd w:id="5"/>
      <w:bookmarkEnd w:id="6"/>
    </w:p>
    <w:p w:rsidRPr="000403EE" w:rsidR="004D7AC0" w:rsidP="006D6D4E" w:rsidRDefault="004D7AC0" w14:paraId="4982DDC7" w14:textId="77777777">
      <w:pPr>
        <w:keepNext/>
        <w:keepLines/>
      </w:pPr>
    </w:p>
    <w:p w:rsidRPr="000403EE" w:rsidR="00B70A01" w:rsidP="004B5D3D" w:rsidRDefault="00913BEC"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Pr="000403EE" w:rsidR="00064B8D">
          <w:rPr>
            <w:b/>
            <w:i/>
            <w:color w:val="0000FF"/>
            <w:sz w:val="28"/>
            <w:u w:val="single"/>
          </w:rPr>
          <w:t>Ελλείψεις εργατικού δυναμικού και δεξιοτήτων στους τομείς των μεταφορών, της ενέργειας, των υποδομών και των ψηφιακών τεχνολογιών</w:t>
        </w:r>
      </w:hyperlink>
    </w:p>
    <w:p w:rsidRPr="000403EE" w:rsidR="00B70A01" w:rsidP="00B70A01" w:rsidRDefault="00B70A01" w14:paraId="5997B1F5" w14:textId="77777777">
      <w:pPr>
        <w:widowControl w:val="0"/>
        <w:overflowPunct w:val="0"/>
        <w:autoSpaceDE w:val="0"/>
        <w:autoSpaceDN w:val="0"/>
        <w:adjustRightInd w:val="0"/>
        <w:ind w:left="266"/>
        <w:textAlignment w:val="baseline"/>
        <w:rPr>
          <w: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0403EE" w:rsidR="00B70A01" w:rsidTr="00863A8F" w14:paraId="18B40AC4" w14:textId="77777777">
        <w:tc>
          <w:tcPr>
            <w:tcW w:w="1591" w:type="pct"/>
          </w:tcPr>
          <w:p w:rsidRPr="000403EE" w:rsidR="00B70A01" w:rsidP="00B70A01" w:rsidRDefault="00B70A01" w14:paraId="2B92D77A"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3409" w:type="pct"/>
          </w:tcPr>
          <w:p w:rsidRPr="000403EE" w:rsidR="00B70A01" w:rsidP="00B70A01" w:rsidRDefault="00B70A01" w14:paraId="3B612422" w14:textId="77777777">
            <w:pPr>
              <w:tabs>
                <w:tab w:val="center" w:pos="284"/>
              </w:tabs>
              <w:overflowPunct w:val="0"/>
              <w:autoSpaceDE w:val="0"/>
              <w:autoSpaceDN w:val="0"/>
              <w:adjustRightInd w:val="0"/>
              <w:ind w:left="266" w:hanging="266"/>
              <w:textAlignment w:val="baseline"/>
            </w:pPr>
            <w:r w:rsidRPr="000403EE">
              <w:t>Thomas KATTNIG (Ομάδα των Εργαζομένων – AT)</w:t>
            </w:r>
          </w:p>
        </w:tc>
      </w:tr>
      <w:tr w:rsidRPr="000403EE" w:rsidR="00B70A01" w:rsidTr="00863A8F" w14:paraId="7E15D1AC" w14:textId="77777777">
        <w:tc>
          <w:tcPr>
            <w:tcW w:w="5000" w:type="pct"/>
            <w:gridSpan w:val="2"/>
          </w:tcPr>
          <w:p w:rsidRPr="000403EE"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pPr>
          </w:p>
        </w:tc>
      </w:tr>
      <w:tr w:rsidRPr="000403EE" w:rsidR="00B70A01" w:rsidTr="00863A8F" w14:paraId="601CA657" w14:textId="77777777">
        <w:tc>
          <w:tcPr>
            <w:tcW w:w="1591" w:type="pct"/>
            <w:vMerge w:val="restart"/>
          </w:tcPr>
          <w:p w:rsidRPr="000403EE" w:rsidR="00B70A01" w:rsidP="00B70A01" w:rsidRDefault="00B70A01" w14:paraId="2619BEEE"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3409" w:type="pct"/>
          </w:tcPr>
          <w:p w:rsidRPr="000403EE" w:rsidR="00B70A01" w:rsidP="00B70A01" w:rsidRDefault="00B70A01" w14:paraId="44BE6549" w14:textId="77777777">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B70A01" w:rsidP="00B70A01" w:rsidRDefault="00B70A01" w14:paraId="57407D88" w14:textId="77777777">
            <w:pPr>
              <w:tabs>
                <w:tab w:val="center" w:pos="284"/>
              </w:tabs>
              <w:overflowPunct w:val="0"/>
              <w:autoSpaceDE w:val="0"/>
              <w:autoSpaceDN w:val="0"/>
              <w:adjustRightInd w:val="0"/>
              <w:ind w:left="266" w:hanging="266"/>
              <w:textAlignment w:val="baseline"/>
            </w:pPr>
            <w:r w:rsidRPr="000403EE">
              <w:t>EESC-2024-01463-00-00-AC</w:t>
            </w:r>
          </w:p>
        </w:tc>
      </w:tr>
      <w:tr w:rsidRPr="000403EE" w:rsidR="00B70A01" w:rsidTr="00863A8F" w14:paraId="47536E82" w14:textId="77777777">
        <w:tc>
          <w:tcPr>
            <w:tcW w:w="1591" w:type="pct"/>
            <w:vMerge/>
          </w:tcPr>
          <w:p w:rsidRPr="000403EE"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0403EE"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0403EE" w:rsidR="00B70A01" w:rsidP="00B70A01" w:rsidRDefault="00B70A01" w14:paraId="66C34D76" w14:textId="77777777">
      <w:pPr>
        <w:tabs>
          <w:tab w:val="center" w:pos="284"/>
        </w:tabs>
        <w:overflowPunct w:val="0"/>
        <w:autoSpaceDE w:val="0"/>
        <w:autoSpaceDN w:val="0"/>
        <w:adjustRightInd w:val="0"/>
        <w:ind w:left="266" w:hanging="266"/>
        <w:textAlignment w:val="baseline"/>
      </w:pPr>
    </w:p>
    <w:p w:rsidRPr="000403EE"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rPr>
      </w:pPr>
    </w:p>
    <w:p w:rsidRPr="000403EE" w:rsidR="00B70A01" w:rsidP="00B70A01" w:rsidRDefault="00B70A01" w14:paraId="7F30017E" w14:textId="77777777">
      <w:pPr>
        <w:overflowPunct w:val="0"/>
        <w:autoSpaceDE w:val="0"/>
        <w:autoSpaceDN w:val="0"/>
        <w:adjustRightInd w:val="0"/>
        <w:textAlignment w:val="baseline"/>
        <w:rPr>
          <w:bCs/>
          <w:iCs/>
        </w:rPr>
      </w:pPr>
      <w:r w:rsidRPr="000403EE">
        <w:t>Η ΕΟΚΕ:</w:t>
      </w:r>
    </w:p>
    <w:p w:rsidRPr="000403EE" w:rsidR="00B70A01" w:rsidP="00B70A01" w:rsidRDefault="00B70A01" w14:paraId="6FB63A41" w14:textId="77777777">
      <w:pPr>
        <w:overflowPunct w:val="0"/>
        <w:autoSpaceDE w:val="0"/>
        <w:autoSpaceDN w:val="0"/>
        <w:adjustRightInd w:val="0"/>
        <w:textAlignment w:val="baseline"/>
        <w:rPr>
          <w:bCs/>
          <w:iCs/>
        </w:rPr>
      </w:pPr>
    </w:p>
    <w:p w:rsidRPr="000403EE" w:rsidR="00B70A01" w:rsidP="00643D0B" w:rsidRDefault="00B70A01" w14:paraId="3CE5B6A4" w14:textId="77777777">
      <w:pPr>
        <w:widowControl w:val="0"/>
        <w:numPr>
          <w:ilvl w:val="0"/>
          <w:numId w:val="21"/>
        </w:numPr>
        <w:overflowPunct w:val="0"/>
        <w:autoSpaceDE w:val="0"/>
        <w:autoSpaceDN w:val="0"/>
        <w:adjustRightInd w:val="0"/>
        <w:ind w:left="284" w:hanging="284"/>
        <w:textAlignment w:val="baseline"/>
        <w:rPr>
          <w:bCs/>
          <w:iCs/>
        </w:rPr>
      </w:pPr>
      <w:r w:rsidRPr="000403EE">
        <w:t xml:space="preserve">Επισημαίνει το </w:t>
      </w:r>
      <w:r w:rsidRPr="000403EE">
        <w:rPr>
          <w:b/>
        </w:rPr>
        <w:t>εντεινόμενο ζήτημα των ελλείψεων εργατικού δυναμικού και δεξιοτήτων</w:t>
      </w:r>
      <w:r w:rsidRPr="000403EE">
        <w:t xml:space="preserve"> στους τομείς των μεταφορών, της ενέργειας, των υποδομών και των ψηφιακών τεχνολογιών. Οι τομείς αυτοί είναι ζωτικής σημασίας για την ευημερία και την οικολογική βιωσιμότητα της ΕΕ και καίριας σημασίας για την Ευρωπαϊκή Πράσινη Συμφωνία, καθώς και για τη μελλοντική ανταγωνιστικότητα της ΕΕ.</w:t>
      </w:r>
    </w:p>
    <w:p w:rsidRPr="000403EE" w:rsidR="00B70A01" w:rsidP="00643D0B" w:rsidRDefault="00B70A01" w14:paraId="539C8220" w14:textId="77777777">
      <w:pPr>
        <w:widowControl w:val="0"/>
        <w:numPr>
          <w:ilvl w:val="0"/>
          <w:numId w:val="21"/>
        </w:numPr>
        <w:overflowPunct w:val="0"/>
        <w:autoSpaceDE w:val="0"/>
        <w:autoSpaceDN w:val="0"/>
        <w:adjustRightInd w:val="0"/>
        <w:ind w:left="284" w:hanging="284"/>
        <w:textAlignment w:val="baseline"/>
        <w:rPr>
          <w:bCs/>
          <w:iCs/>
        </w:rPr>
      </w:pPr>
      <w:r w:rsidRPr="000403EE">
        <w:t xml:space="preserve">Φρονεί ότι </w:t>
      </w:r>
      <w:r w:rsidRPr="000403EE">
        <w:rPr>
          <w:b/>
        </w:rPr>
        <w:t>απαιτούνται πιο φιλόδοξα μέτρα</w:t>
      </w:r>
      <w:r w:rsidRPr="000403EE">
        <w:t xml:space="preserve"> για τη διασφάλιση δίκαιης μετάβασης, η οποία θα περιλαμβάνει την προώθηση ποιοτικών θέσεων εργασίας, την εξισορρόπηση της αγοράς εργασίας και τη βελτίωση των εργασιακών συνθηκών.</w:t>
      </w:r>
    </w:p>
    <w:p w:rsidRPr="000403EE" w:rsidR="00B70A01" w:rsidP="00643D0B" w:rsidRDefault="00B70A01" w14:paraId="3638E995" w14:textId="77777777">
      <w:pPr>
        <w:widowControl w:val="0"/>
        <w:numPr>
          <w:ilvl w:val="0"/>
          <w:numId w:val="21"/>
        </w:numPr>
        <w:overflowPunct w:val="0"/>
        <w:autoSpaceDE w:val="0"/>
        <w:autoSpaceDN w:val="0"/>
        <w:adjustRightInd w:val="0"/>
        <w:ind w:left="284" w:hanging="284"/>
        <w:textAlignment w:val="baseline"/>
        <w:rPr>
          <w:bCs/>
          <w:iCs/>
        </w:rPr>
      </w:pPr>
      <w:r w:rsidRPr="000403EE">
        <w:t xml:space="preserve">Αναγνωρίζει τον </w:t>
      </w:r>
      <w:r w:rsidRPr="000403EE">
        <w:rPr>
          <w:b/>
        </w:rPr>
        <w:t>σημαντικό ρόλο των κοινωνικών εταίρων</w:t>
      </w:r>
      <w:r w:rsidRPr="000403EE">
        <w:t xml:space="preserve"> στην ανάπτυξη και την εφαρμογή μέτρων για την αποτελεσματική αντιμετώπιση των ελλείψεων εργατικού δυναμικού και δεξιοτήτων.</w:t>
      </w:r>
    </w:p>
    <w:p w:rsidRPr="000403EE" w:rsidR="00B70A01" w:rsidP="00643D0B" w:rsidRDefault="00B70A01" w14:paraId="4065B872" w14:textId="77777777">
      <w:pPr>
        <w:widowControl w:val="0"/>
        <w:numPr>
          <w:ilvl w:val="0"/>
          <w:numId w:val="21"/>
        </w:numPr>
        <w:overflowPunct w:val="0"/>
        <w:autoSpaceDE w:val="0"/>
        <w:autoSpaceDN w:val="0"/>
        <w:adjustRightInd w:val="0"/>
        <w:ind w:left="284" w:hanging="284"/>
        <w:textAlignment w:val="baseline"/>
        <w:rPr>
          <w:bCs/>
          <w:iCs/>
        </w:rPr>
      </w:pPr>
      <w:r w:rsidRPr="000403EE">
        <w:t xml:space="preserve">Προτείνει την ανάπτυξη και τη χρηματοδότηση στοχευμένων προγραμμάτων προσανατολισμού με επίκεντρο τον εκπαιδευόμενο καθώς και συντονισμένα μέτρα στήριξης των εκπαιδευόμενων, για τη </w:t>
      </w:r>
      <w:r w:rsidRPr="000403EE">
        <w:rPr>
          <w:b/>
        </w:rPr>
        <w:t>διευκόλυνση της εισόδου υποεκπροσωπούμενων και μειονεκτουσών ομάδων</w:t>
      </w:r>
      <w:r w:rsidRPr="000403EE">
        <w:t xml:space="preserve"> στην αγορά εργασίας. Σε αυτές περιλαμβάνονται οι γυναίκες που απασχολούνται στους κλάδους της τεχνολογίας, της μηχανικής, των μαθηματικών και των λοιπών θετικών επιστημών (STEM), τα άτομα που προέρχονται από οικογένειες μεταναστών, τα άτομα με αναπηρία και οι εργαζόμενοι μεγαλύτερης ηλικίας.</w:t>
      </w:r>
    </w:p>
    <w:p w:rsidRPr="000403EE" w:rsidR="00B70A01" w:rsidP="00643D0B" w:rsidRDefault="00B70A01" w14:paraId="1961B38D" w14:textId="77777777">
      <w:pPr>
        <w:widowControl w:val="0"/>
        <w:numPr>
          <w:ilvl w:val="0"/>
          <w:numId w:val="21"/>
        </w:numPr>
        <w:overflowPunct w:val="0"/>
        <w:autoSpaceDE w:val="0"/>
        <w:autoSpaceDN w:val="0"/>
        <w:adjustRightInd w:val="0"/>
        <w:ind w:left="284" w:hanging="284"/>
        <w:textAlignment w:val="baseline"/>
        <w:rPr>
          <w:bCs/>
          <w:iCs/>
        </w:rPr>
      </w:pPr>
      <w:r w:rsidRPr="000403EE">
        <w:t xml:space="preserve">Ενθαρρύνει τα κράτη μέλη να διαθέσουν </w:t>
      </w:r>
      <w:r w:rsidRPr="000403EE">
        <w:rPr>
          <w:b/>
        </w:rPr>
        <w:t>κονδύλια για την κατάρτιση, τα οποία θα τελούν υπό τριμερή διαχείριση</w:t>
      </w:r>
      <w:r w:rsidRPr="000403EE">
        <w:t>, ενώ θα τηρούνται οι ειδικές πτυχές των διαφόρων εθνικών συστημάτων, για να μειωθούν τα αντικίνητρα και να υποστηριχθούν οι επιχειρήσεις στην παροχή επιμόρφωσης στον χώρο εργασίας, όπως με τα προγράμματα μαθητείας.</w:t>
      </w:r>
    </w:p>
    <w:p w:rsidRPr="000403EE" w:rsidR="00B70A01" w:rsidP="00B70A01" w:rsidRDefault="00B70A01" w14:paraId="5431DC4C" w14:textId="77777777">
      <w:pPr>
        <w:widowControl w:val="0"/>
        <w:overflowPunct w:val="0"/>
        <w:autoSpaceDE w:val="0"/>
        <w:autoSpaceDN w:val="0"/>
        <w:adjustRightInd w:val="0"/>
        <w:ind w:left="709"/>
        <w:textAlignment w:val="baseline"/>
        <w:rPr>
          <w:szCs w:val="20"/>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B70A01" w:rsidTr="00863A8F" w14:paraId="01B5DFB9" w14:textId="77777777">
        <w:tc>
          <w:tcPr>
            <w:tcW w:w="1556" w:type="pct"/>
          </w:tcPr>
          <w:p w:rsidRPr="000403EE" w:rsidR="00B70A01" w:rsidP="00B70A01" w:rsidRDefault="00B70A01" w14:paraId="17DD32AB" w14:textId="77777777">
            <w:pPr>
              <w:overflowPunct w:val="0"/>
              <w:autoSpaceDE w:val="0"/>
              <w:autoSpaceDN w:val="0"/>
              <w:adjustRightInd w:val="0"/>
              <w:spacing w:line="240" w:lineRule="auto"/>
              <w:textAlignment w:val="baseline"/>
              <w:rPr>
                <w:i/>
              </w:rPr>
            </w:pPr>
            <w:r w:rsidRPr="000403EE">
              <w:rPr>
                <w:b/>
                <w:i/>
              </w:rPr>
              <w:t xml:space="preserve">Επικοινωνία </w:t>
            </w:r>
          </w:p>
        </w:tc>
        <w:tc>
          <w:tcPr>
            <w:tcW w:w="3444" w:type="pct"/>
          </w:tcPr>
          <w:p w:rsidRPr="000403EE" w:rsidR="00B70A01" w:rsidP="00B70A01" w:rsidRDefault="00B70A01" w14:paraId="1BED828B" w14:textId="77777777">
            <w:pPr>
              <w:overflowPunct w:val="0"/>
              <w:autoSpaceDE w:val="0"/>
              <w:autoSpaceDN w:val="0"/>
              <w:adjustRightInd w:val="0"/>
              <w:spacing w:line="240" w:lineRule="auto"/>
              <w:textAlignment w:val="baseline"/>
              <w:rPr>
                <w:i/>
              </w:rPr>
            </w:pPr>
            <w:r w:rsidRPr="000403EE">
              <w:rPr>
                <w:i/>
              </w:rPr>
              <w:t>Francesco Napolitano</w:t>
            </w:r>
          </w:p>
        </w:tc>
      </w:tr>
      <w:tr w:rsidRPr="000403EE" w:rsidR="00B70A01" w:rsidTr="00863A8F" w14:paraId="07D804F8" w14:textId="77777777">
        <w:tc>
          <w:tcPr>
            <w:tcW w:w="1556" w:type="pct"/>
          </w:tcPr>
          <w:p w:rsidRPr="000403EE" w:rsidR="00B70A01" w:rsidP="00B70A01" w:rsidRDefault="00B70A01" w14:paraId="39546BCA"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B70A01" w:rsidP="00B70A01" w:rsidRDefault="00B70A01" w14:paraId="76B7E4F8" w14:textId="77777777">
            <w:pPr>
              <w:overflowPunct w:val="0"/>
              <w:autoSpaceDE w:val="0"/>
              <w:autoSpaceDN w:val="0"/>
              <w:adjustRightInd w:val="0"/>
              <w:spacing w:line="240" w:lineRule="auto"/>
              <w:textAlignment w:val="baseline"/>
              <w:rPr>
                <w:i/>
              </w:rPr>
            </w:pPr>
            <w:r w:rsidRPr="000403EE">
              <w:rPr>
                <w:i/>
              </w:rPr>
              <w:t>+32 25468921</w:t>
            </w:r>
          </w:p>
        </w:tc>
      </w:tr>
      <w:tr w:rsidRPr="000403EE" w:rsidR="00B70A01" w:rsidTr="00863A8F" w14:paraId="0A3C7522" w14:textId="77777777">
        <w:tc>
          <w:tcPr>
            <w:tcW w:w="1556" w:type="pct"/>
          </w:tcPr>
          <w:p w:rsidRPr="000403EE" w:rsidR="00B70A01" w:rsidP="00B70A01" w:rsidRDefault="00B70A01" w14:paraId="05434FC6" w14:textId="7777777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B70A01" w:rsidP="00B70A01" w:rsidRDefault="00913BEC" w14:paraId="025822D2" w14:textId="5E8650F4">
            <w:pPr>
              <w:overflowPunct w:val="0"/>
              <w:autoSpaceDE w:val="0"/>
              <w:autoSpaceDN w:val="0"/>
              <w:adjustRightInd w:val="0"/>
              <w:spacing w:line="240" w:lineRule="auto"/>
              <w:textAlignment w:val="baseline"/>
              <w:rPr>
                <w:i/>
              </w:rPr>
            </w:pPr>
            <w:hyperlink w:history="1" r:id="rId32">
              <w:r w:rsidRPr="000403EE" w:rsidR="00064B8D">
                <w:rPr>
                  <w:i/>
                  <w:color w:val="0000FF"/>
                  <w:u w:val="single"/>
                </w:rPr>
                <w:t>Francesco.Napolitano@eesc.europa.eu</w:t>
              </w:r>
            </w:hyperlink>
            <w:r w:rsidRPr="000403EE" w:rsidR="00064B8D">
              <w:rPr>
                <w:i/>
              </w:rPr>
              <w:t xml:space="preserve"> </w:t>
            </w:r>
          </w:p>
        </w:tc>
      </w:tr>
    </w:tbl>
    <w:p w:rsidRPr="000403EE" w:rsidR="00E57317" w:rsidRDefault="00E57317" w14:paraId="051DEBB3" w14:textId="607435FB">
      <w:pPr>
        <w:spacing w:after="160" w:line="259" w:lineRule="auto"/>
        <w:jc w:val="left"/>
      </w:pPr>
    </w:p>
    <w:p w:rsidRPr="000403EE" w:rsidR="000835E1" w:rsidRDefault="000835E1" w14:paraId="5ABE072C" w14:textId="77777777">
      <w:pPr>
        <w:spacing w:after="160" w:line="259" w:lineRule="auto"/>
        <w:jc w:val="left"/>
      </w:pPr>
      <w:r w:rsidRPr="000403EE">
        <w:br w:type="page"/>
      </w:r>
    </w:p>
    <w:p w:rsidRPr="000403EE" w:rsidR="00450AE6" w:rsidP="00450AE6" w:rsidRDefault="00913BEC"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Pr="000403EE" w:rsidR="00450AE6">
          <w:rPr>
            <w:b/>
            <w:i/>
            <w:color w:val="0000FF"/>
            <w:sz w:val="28"/>
            <w:u w:val="single"/>
          </w:rPr>
          <w:t>Κοινωνική στέγαση στην ΕΕ – αξιοπρεπής, βιώσιμη και οικονομικά προσιτή</w:t>
        </w:r>
      </w:hyperlink>
    </w:p>
    <w:p w:rsidRPr="000403EE"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403EE" w:rsidR="00450AE6" w:rsidTr="00863A8F" w14:paraId="28FDC637" w14:textId="77777777">
        <w:tc>
          <w:tcPr>
            <w:tcW w:w="1701" w:type="dxa"/>
          </w:tcPr>
          <w:p w:rsidRPr="000403EE" w:rsidR="00450AE6" w:rsidP="00450AE6" w:rsidRDefault="00450AE6" w14:paraId="674F48F2" w14:textId="77777777">
            <w:pPr>
              <w:tabs>
                <w:tab w:val="center" w:pos="284"/>
              </w:tabs>
              <w:overflowPunct w:val="0"/>
              <w:autoSpaceDE w:val="0"/>
              <w:autoSpaceDN w:val="0"/>
              <w:adjustRightInd w:val="0"/>
              <w:ind w:left="266" w:hanging="266"/>
              <w:textAlignment w:val="baseline"/>
              <w:rPr>
                <w:b/>
              </w:rPr>
            </w:pPr>
            <w:r w:rsidRPr="000403EE">
              <w:rPr>
                <w:b/>
              </w:rPr>
              <w:t>Εισηγητές</w:t>
            </w:r>
          </w:p>
        </w:tc>
        <w:tc>
          <w:tcPr>
            <w:tcW w:w="5387" w:type="dxa"/>
          </w:tcPr>
          <w:p w:rsidRPr="000403EE" w:rsidR="00450AE6" w:rsidP="00450AE6" w:rsidRDefault="00450AE6" w14:paraId="67AE54F6" w14:textId="453A4ECC">
            <w:pPr>
              <w:tabs>
                <w:tab w:val="center" w:pos="284"/>
              </w:tabs>
              <w:overflowPunct w:val="0"/>
              <w:autoSpaceDE w:val="0"/>
              <w:autoSpaceDN w:val="0"/>
              <w:adjustRightInd w:val="0"/>
              <w:ind w:left="266" w:hanging="266"/>
              <w:textAlignment w:val="baseline"/>
            </w:pPr>
            <w:r w:rsidRPr="000403EE">
              <w:t>Thomas KATTNIG (Ομάδα των Εργαζομένων – AT)</w:t>
            </w:r>
          </w:p>
          <w:p w:rsidRPr="000403EE" w:rsidR="00450AE6" w:rsidP="00450AE6" w:rsidRDefault="00450AE6" w14:paraId="25FE5489" w14:textId="756F2220">
            <w:pPr>
              <w:tabs>
                <w:tab w:val="center" w:pos="284"/>
              </w:tabs>
              <w:overflowPunct w:val="0"/>
              <w:autoSpaceDE w:val="0"/>
              <w:autoSpaceDN w:val="0"/>
              <w:adjustRightInd w:val="0"/>
              <w:ind w:left="266" w:hanging="266"/>
              <w:textAlignment w:val="baseline"/>
            </w:pPr>
            <w:r w:rsidRPr="000403EE">
              <w:t>Rudolf KOLBE (Ομάδα των Οργανώσεων της Κοινωνίας των Πολιτών – ΑΤ)</w:t>
            </w:r>
          </w:p>
        </w:tc>
      </w:tr>
      <w:tr w:rsidRPr="000403EE" w:rsidR="00450AE6" w:rsidTr="00863A8F" w14:paraId="55D6B02B" w14:textId="77777777">
        <w:tc>
          <w:tcPr>
            <w:tcW w:w="7088" w:type="dxa"/>
            <w:gridSpan w:val="2"/>
          </w:tcPr>
          <w:p w:rsidRPr="000403EE"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rPr>
            </w:pPr>
          </w:p>
        </w:tc>
      </w:tr>
      <w:tr w:rsidRPr="000403EE" w:rsidR="00450AE6" w:rsidTr="00863A8F" w14:paraId="1E42B3C4" w14:textId="77777777">
        <w:tc>
          <w:tcPr>
            <w:tcW w:w="1701" w:type="dxa"/>
          </w:tcPr>
          <w:p w:rsidRPr="000403EE" w:rsidR="00450AE6" w:rsidP="00450AE6" w:rsidRDefault="00450AE6" w14:paraId="283152B1"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5387" w:type="dxa"/>
          </w:tcPr>
          <w:p w:rsidRPr="000403EE" w:rsidR="00450AE6" w:rsidP="00450AE6" w:rsidRDefault="00450AE6" w14:paraId="073E0774" w14:textId="77777777">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450AE6" w:rsidP="00450AE6" w:rsidRDefault="00450AE6" w14:paraId="71B094A0" w14:textId="77777777">
            <w:pPr>
              <w:tabs>
                <w:tab w:val="center" w:pos="284"/>
              </w:tabs>
              <w:overflowPunct w:val="0"/>
              <w:autoSpaceDE w:val="0"/>
              <w:autoSpaceDN w:val="0"/>
              <w:adjustRightInd w:val="0"/>
              <w:ind w:left="266" w:hanging="266"/>
              <w:textAlignment w:val="baseline"/>
            </w:pPr>
            <w:r w:rsidRPr="000403EE">
              <w:t>EESC-2024-01187-00-00-AC</w:t>
            </w:r>
          </w:p>
        </w:tc>
      </w:tr>
    </w:tbl>
    <w:p w:rsidRPr="000403EE" w:rsidR="00450AE6" w:rsidP="00450AE6" w:rsidRDefault="00450AE6" w14:paraId="7FF72092" w14:textId="77777777">
      <w:pPr>
        <w:tabs>
          <w:tab w:val="center" w:pos="284"/>
        </w:tabs>
        <w:overflowPunct w:val="0"/>
        <w:autoSpaceDE w:val="0"/>
        <w:autoSpaceDN w:val="0"/>
        <w:adjustRightInd w:val="0"/>
        <w:ind w:left="266" w:hanging="266"/>
        <w:textAlignment w:val="baseline"/>
        <w:rPr>
          <w:sz w:val="18"/>
          <w:szCs w:val="18"/>
        </w:rPr>
      </w:pPr>
    </w:p>
    <w:p w:rsidRPr="000403EE"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sz w:val="18"/>
          <w:szCs w:val="18"/>
        </w:rPr>
      </w:pPr>
    </w:p>
    <w:p w:rsidRPr="000403EE" w:rsidR="00450AE6" w:rsidP="00450AE6" w:rsidRDefault="00450AE6" w14:paraId="63ED3E65" w14:textId="011D5C4C">
      <w:pPr>
        <w:overflowPunct w:val="0"/>
        <w:autoSpaceDE w:val="0"/>
        <w:autoSpaceDN w:val="0"/>
        <w:adjustRightInd w:val="0"/>
        <w:textAlignment w:val="baseline"/>
        <w:rPr>
          <w:bCs/>
          <w:iCs/>
        </w:rPr>
      </w:pPr>
      <w:r w:rsidRPr="000403EE">
        <w:t>Η ΕΟΚΕ:</w:t>
      </w:r>
    </w:p>
    <w:p w:rsidRPr="000403EE" w:rsidR="00450AE6" w:rsidP="00450AE6" w:rsidRDefault="00450AE6" w14:paraId="55F08739" w14:textId="77777777">
      <w:pPr>
        <w:overflowPunct w:val="0"/>
        <w:autoSpaceDE w:val="0"/>
        <w:autoSpaceDN w:val="0"/>
        <w:adjustRightInd w:val="0"/>
        <w:textAlignment w:val="baseline"/>
        <w:rPr>
          <w:bCs/>
          <w:iCs/>
        </w:rPr>
      </w:pPr>
    </w:p>
    <w:p w:rsidRPr="000403EE" w:rsidR="00450AE6" w:rsidP="00643D0B" w:rsidRDefault="00450AE6" w14:paraId="1F7F81A2" w14:textId="77777777">
      <w:pPr>
        <w:widowControl w:val="0"/>
        <w:numPr>
          <w:ilvl w:val="0"/>
          <w:numId w:val="24"/>
        </w:numPr>
        <w:overflowPunct w:val="0"/>
        <w:autoSpaceDE w:val="0"/>
        <w:autoSpaceDN w:val="0"/>
        <w:adjustRightInd w:val="0"/>
        <w:ind w:left="426" w:hanging="426"/>
        <w:textAlignment w:val="baseline"/>
        <w:rPr>
          <w:bCs/>
          <w:iCs/>
        </w:rPr>
      </w:pPr>
      <w:r w:rsidRPr="000403EE">
        <w:t>πιστεύει ότι υπάρχει ανεπάρκεια της αγοράς στον τομέα της στέγασης, η οποία πρέπει να αντιμετωπιστεί με τους εξής τρόπους: βελτίωση των συνθηκών πλαισίου, όπως είναι τα δεδομένα, ο συντονισμός, οι διαδικασίες έγκρισης και οι κανόνες χωροταξικού σχεδιασμού· θέσπιση θεμελιώδους δικαιώματος στη στέγαση· παροχή επαρκούς χρηματοδότησης· εφαρμογή της κατευθυντήριας αρχής «Προτεραιότητα στη στέγαση» για τους αστέγους· και αυξημένη εστίαση στις ανάγκες των νέων και στη βιωσιμότητα.</w:t>
      </w:r>
    </w:p>
    <w:p w:rsidRPr="000403EE" w:rsidR="00450AE6" w:rsidP="00643D0B" w:rsidRDefault="00450AE6" w14:paraId="799CEEA0" w14:textId="77777777">
      <w:pPr>
        <w:widowControl w:val="0"/>
        <w:numPr>
          <w:ilvl w:val="0"/>
          <w:numId w:val="24"/>
        </w:numPr>
        <w:overflowPunct w:val="0"/>
        <w:autoSpaceDE w:val="0"/>
        <w:autoSpaceDN w:val="0"/>
        <w:adjustRightInd w:val="0"/>
        <w:ind w:left="426" w:hanging="426"/>
        <w:textAlignment w:val="baseline"/>
        <w:rPr>
          <w:bCs/>
          <w:iCs/>
        </w:rPr>
      </w:pPr>
      <w:r w:rsidRPr="000403EE">
        <w:t>Εκφράζει την ικανοποίησή της για τον διορισμό νέου Επιτρόπου αρμοδίου για τη Στέγαση, ο οποίος θα πρέπει να υποστηρίζεται από ομάδα εμπειρογνωμόνων, στην οποία θα συμμετέχουν μεταξύ άλλων εκπρόσωποι της ΕΟΚΕ και της Ευρωπαϊκής Επιτροπής των Περιφερειών, και ζητεί να συμμετάσχει υπό την ιδιότητα του παρατηρητή ή του συμβούλου στις εργασίες της επιτροπής στέγασης που αναμένεται να συσταθεί από το Ευρωπαϊκό Κοινοβούλιο.</w:t>
      </w:r>
    </w:p>
    <w:p w:rsidRPr="000403EE" w:rsidR="00450AE6" w:rsidP="00643D0B" w:rsidRDefault="00450AE6" w14:paraId="147B7AF8" w14:textId="77777777">
      <w:pPr>
        <w:widowControl w:val="0"/>
        <w:numPr>
          <w:ilvl w:val="0"/>
          <w:numId w:val="24"/>
        </w:numPr>
        <w:overflowPunct w:val="0"/>
        <w:autoSpaceDE w:val="0"/>
        <w:autoSpaceDN w:val="0"/>
        <w:adjustRightInd w:val="0"/>
        <w:ind w:left="426" w:hanging="426"/>
        <w:textAlignment w:val="baseline"/>
      </w:pPr>
      <w:r w:rsidRPr="000403EE">
        <w:t>Καλεί την Επιτροπή να αναγνωρίσει την κοινωνική στέγαση ως βασικό και ελπιδοφόρο εργαλείο ενεργών στεγαστικών πολιτικών. Σε μεσοπρόθεσμο ορίζοντα, προτείνεται να κατοχυρωθεί στο πρωτογενές ενωσιακό δίκαιο το θεμελιώδες δικαίωμα σε οικονομικά προσιτή και εν γένει προσβάσιμη και αξιοπρεπή στέγαση για όλους. Η τρέχουσα προσέγγιση, σύμφωνα με την οποία η στεγαστική πολιτική προσφέρεται ως πρόγραμμα μόνο για τα νοικοκυριά με τα χαμηλότερα εισοδήματα, θα πρέπει να απορριφθεί και η νομοθεσία για τις κρατικές ενισχύσεις να προσαρμοστεί αναλόγως με βάση το σύστημα ρύθμισης των υπηρεσιών γενικού οικονομικού συμφέροντος (ΥΓΟΣ). Επιπλέον, οι δείκτες στέγασης θα πρέπει να συμπεριληφθούν στα εθνικά προγράμματα μεταρρυθμίσεων και στα προγράμματα σταθερότητας/σύγκλισης.</w:t>
      </w:r>
    </w:p>
    <w:p w:rsidRPr="000403EE" w:rsidR="00450AE6" w:rsidP="00643D0B" w:rsidRDefault="00450AE6" w14:paraId="602945E5" w14:textId="77777777">
      <w:pPr>
        <w:widowControl w:val="0"/>
        <w:numPr>
          <w:ilvl w:val="0"/>
          <w:numId w:val="24"/>
        </w:numPr>
        <w:overflowPunct w:val="0"/>
        <w:autoSpaceDE w:val="0"/>
        <w:autoSpaceDN w:val="0"/>
        <w:adjustRightInd w:val="0"/>
        <w:ind w:left="426" w:hanging="426"/>
        <w:textAlignment w:val="baseline"/>
        <w:rPr>
          <w:szCs w:val="20"/>
        </w:rPr>
      </w:pPr>
      <w:r w:rsidRPr="000403EE">
        <w:t>Επικροτεί τη σχεδιαζόμενη πανευρωπαϊκή επενδυτική πλατφόρμα για οικονομικά προσιτή και βιώσιμη στέγαση. Επιπλέον, προτείνεται να προσφέρει η Ευρωπαϊκή Τράπεζα Επενδύσεων, μέσω της πλατφόρμας αυτής ή απευθείας, τη δυνατότητα για επιτόκια 0 % για μακροπρόθεσμα δάνεια σε μη κερδοσκοπικούς φορείς αστικής ανάπτυξης και σε συνεταιρισμούς, καθώς και στις τοπικές αρχές.</w:t>
      </w:r>
    </w:p>
    <w:p w:rsidRPr="000403EE" w:rsidR="00450AE6" w:rsidP="00643D0B" w:rsidRDefault="00450AE6" w14:paraId="2A6B5F2C" w14:textId="77777777">
      <w:pPr>
        <w:numPr>
          <w:ilvl w:val="0"/>
          <w:numId w:val="24"/>
        </w:numPr>
        <w:overflowPunct w:val="0"/>
        <w:autoSpaceDE w:val="0"/>
        <w:autoSpaceDN w:val="0"/>
        <w:adjustRightInd w:val="0"/>
        <w:ind w:left="426" w:hanging="426"/>
        <w:contextualSpacing/>
        <w:textAlignment w:val="baseline"/>
        <w:rPr>
          <w:szCs w:val="20"/>
        </w:rPr>
      </w:pPr>
      <w:r w:rsidRPr="000403EE">
        <w:t>Καλεί την Επιτροπή να στηρίξει τα κράτη μέλη με την έκδοση συστάσεων προς αυτά, όπου αυτό είναι απαραίτητο και να δημιουργήσει εργαλειοθήκη για τον περιορισμό των ανεξέλεγκτων αυξήσεων ενοικίων που θα περιλαμβάνει, μεταξύ άλλων, τη θέσπιση ανώτατων ορίων μισθωμάτων, ενός φόρου για τις άδειες κατοικίες και φορολογικών κινήτρων για την ανακαίνιση κενών κατοικιών με σκοπό τη μίσθωσή τους, την αύξηση των κοινωνικών κατοικιών, την επιβολή ορίων στις άδειες κατοικιών βραχυχρόνιας μίσθωσης κ.λπ.</w:t>
      </w:r>
    </w:p>
    <w:p w:rsidRPr="000403EE" w:rsidR="00450AE6" w:rsidP="008F334C" w:rsidRDefault="00450AE6" w14:paraId="742EF3EC" w14:textId="77777777">
      <w:pPr>
        <w:keepNext/>
        <w:keepLines/>
        <w:numPr>
          <w:ilvl w:val="0"/>
          <w:numId w:val="24"/>
        </w:numPr>
        <w:overflowPunct w:val="0"/>
        <w:autoSpaceDE w:val="0"/>
        <w:autoSpaceDN w:val="0"/>
        <w:adjustRightInd w:val="0"/>
        <w:ind w:left="426" w:hanging="426"/>
        <w:textAlignment w:val="baseline"/>
        <w:rPr>
          <w:szCs w:val="20"/>
        </w:rPr>
      </w:pPr>
      <w:r w:rsidRPr="000403EE">
        <w:lastRenderedPageBreak/>
        <w:t>Προτείνει την κατάρτιση σχεδίου δράσης που θα δίνει έμφαση ειδικά στη βελτίωση της πρόσβασης των νέων σε οικονομικά προσιτή στέγαση.</w:t>
      </w:r>
    </w:p>
    <w:p w:rsidRPr="000403EE" w:rsidR="00450AE6" w:rsidP="008F334C" w:rsidRDefault="00450AE6" w14:paraId="485095E0" w14:textId="77777777">
      <w:pPr>
        <w:keepNext/>
        <w:keepLines/>
        <w:overflowPunct w:val="0"/>
        <w:autoSpaceDE w:val="0"/>
        <w:autoSpaceDN w:val="0"/>
        <w:adjustRightInd w:val="0"/>
        <w:ind w:left="709"/>
        <w:textAlignment w:val="baseline"/>
        <w:rPr>
          <w:sz w:val="16"/>
          <w:szCs w:val="16"/>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450AE6" w:rsidTr="00863A8F" w14:paraId="380DCF50" w14:textId="77777777">
        <w:tc>
          <w:tcPr>
            <w:tcW w:w="1418" w:type="dxa"/>
          </w:tcPr>
          <w:p w:rsidRPr="000403EE" w:rsidR="00450AE6" w:rsidP="008F334C" w:rsidRDefault="00450AE6" w14:paraId="56929701" w14:textId="77777777">
            <w:pPr>
              <w:keepNext/>
              <w:keepLines/>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450AE6" w:rsidP="008F334C" w:rsidRDefault="00450AE6" w14:paraId="50B7D907" w14:textId="3FA448E5">
            <w:pPr>
              <w:keepNext/>
              <w:keepLines/>
              <w:overflowPunct w:val="0"/>
              <w:autoSpaceDE w:val="0"/>
              <w:autoSpaceDN w:val="0"/>
              <w:adjustRightInd w:val="0"/>
              <w:spacing w:line="240" w:lineRule="auto"/>
              <w:textAlignment w:val="baseline"/>
              <w:rPr>
                <w:i/>
              </w:rPr>
            </w:pPr>
            <w:r w:rsidRPr="000403EE">
              <w:rPr>
                <w:i/>
              </w:rPr>
              <w:t>Agota Bazsik</w:t>
            </w:r>
          </w:p>
        </w:tc>
      </w:tr>
      <w:tr w:rsidRPr="000403EE" w:rsidR="00450AE6" w:rsidTr="00863A8F" w14:paraId="1FE7CA74" w14:textId="77777777">
        <w:tc>
          <w:tcPr>
            <w:tcW w:w="1418" w:type="dxa"/>
          </w:tcPr>
          <w:p w:rsidRPr="000403EE" w:rsidR="00450AE6" w:rsidP="008F334C" w:rsidRDefault="00450AE6" w14:paraId="04D70DE0" w14:textId="77777777">
            <w:pPr>
              <w:keepNext/>
              <w:keepLines/>
              <w:overflowPunct w:val="0"/>
              <w:autoSpaceDE w:val="0"/>
              <w:autoSpaceDN w:val="0"/>
              <w:adjustRightInd w:val="0"/>
              <w:spacing w:line="240" w:lineRule="auto"/>
              <w:textAlignment w:val="baseline"/>
              <w:rPr>
                <w:i/>
              </w:rPr>
            </w:pPr>
            <w:r w:rsidRPr="000403EE">
              <w:rPr>
                <w:i/>
              </w:rPr>
              <w:t>Τηλ.</w:t>
            </w:r>
          </w:p>
        </w:tc>
        <w:tc>
          <w:tcPr>
            <w:tcW w:w="5670" w:type="dxa"/>
          </w:tcPr>
          <w:p w:rsidRPr="000403EE" w:rsidR="00450AE6" w:rsidP="008F334C" w:rsidRDefault="00450AE6" w14:paraId="493C0DBC" w14:textId="77777777">
            <w:pPr>
              <w:keepNext/>
              <w:keepLines/>
              <w:overflowPunct w:val="0"/>
              <w:autoSpaceDE w:val="0"/>
              <w:autoSpaceDN w:val="0"/>
              <w:adjustRightInd w:val="0"/>
              <w:spacing w:line="240" w:lineRule="auto"/>
              <w:textAlignment w:val="baseline"/>
              <w:rPr>
                <w:i/>
              </w:rPr>
            </w:pPr>
            <w:r w:rsidRPr="000403EE">
              <w:rPr>
                <w:i/>
              </w:rPr>
              <w:t>+32 254 68658</w:t>
            </w:r>
          </w:p>
        </w:tc>
      </w:tr>
      <w:tr w:rsidRPr="000403EE" w:rsidR="00450AE6" w:rsidTr="00863A8F" w14:paraId="22E39DE7" w14:textId="77777777">
        <w:tc>
          <w:tcPr>
            <w:tcW w:w="1418" w:type="dxa"/>
          </w:tcPr>
          <w:p w:rsidRPr="000403EE" w:rsidR="00450AE6" w:rsidP="008F334C" w:rsidRDefault="00450AE6" w14:paraId="1A4E7FDC" w14:textId="437D0C47">
            <w:pPr>
              <w:keepNext/>
              <w:keepLines/>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450AE6" w:rsidP="008F334C" w:rsidRDefault="00913BEC" w14:paraId="508BEBD8" w14:textId="77777777">
            <w:pPr>
              <w:keepNext/>
              <w:keepLines/>
              <w:overflowPunct w:val="0"/>
              <w:autoSpaceDE w:val="0"/>
              <w:autoSpaceDN w:val="0"/>
              <w:adjustRightInd w:val="0"/>
              <w:spacing w:line="240" w:lineRule="auto"/>
              <w:textAlignment w:val="baseline"/>
              <w:rPr>
                <w:i/>
              </w:rPr>
            </w:pPr>
            <w:hyperlink w:history="1" r:id="rId34">
              <w:r w:rsidRPr="000403EE" w:rsidR="00064B8D">
                <w:rPr>
                  <w:i/>
                  <w:color w:val="0000FF"/>
                  <w:u w:val="single"/>
                </w:rPr>
                <w:t>Agota.Bazsik@eesc.europa.eu</w:t>
              </w:r>
            </w:hyperlink>
          </w:p>
        </w:tc>
      </w:tr>
    </w:tbl>
    <w:p w:rsidRPr="000403EE" w:rsidR="00B70A01" w:rsidP="008F334C" w:rsidRDefault="00B70A01" w14:paraId="3B5E845F" w14:textId="16E7EEBA">
      <w:pPr>
        <w:keepNext/>
        <w:keepLines/>
        <w:spacing w:after="160" w:line="259" w:lineRule="auto"/>
        <w:jc w:val="left"/>
      </w:pPr>
      <w:r w:rsidRPr="000403EE">
        <w:br w:type="page"/>
      </w:r>
    </w:p>
    <w:p w:rsidRPr="000403EE" w:rsidR="004D7AC0" w:rsidP="006D6D4E" w:rsidRDefault="004D7AC0" w14:paraId="4982DDF3" w14:textId="77777777">
      <w:pPr>
        <w:pStyle w:val="Heading1"/>
        <w:keepNext/>
        <w:keepLines/>
        <w:rPr>
          <w:b/>
        </w:rPr>
      </w:pPr>
      <w:bookmarkStart w:name="_Toc75527083" w:id="7"/>
      <w:bookmarkStart w:name="_Toc178009575" w:id="8"/>
      <w:r w:rsidRPr="000403EE">
        <w:rPr>
          <w:b/>
        </w:rPr>
        <w:lastRenderedPageBreak/>
        <w:t>ΕΝΙΑΙΑ ΑΓΟΡΑ, ΠΑΡΑΓΩΓΗ ΚΑΙ ΚΑΤΑΝΑΛΩΣΗ</w:t>
      </w:r>
      <w:bookmarkEnd w:id="7"/>
      <w:bookmarkEnd w:id="8"/>
    </w:p>
    <w:p w:rsidRPr="000403EE" w:rsidR="004D7AC0" w:rsidP="000403EE" w:rsidRDefault="004D7AC0" w14:paraId="4982DE1D" w14:textId="77777777">
      <w:pPr>
        <w:rPr>
          <w:sz w:val="20"/>
        </w:rPr>
      </w:pPr>
    </w:p>
    <w:p w:rsidRPr="000403EE" w:rsidR="00F6465A" w:rsidP="00F6465A" w:rsidRDefault="00913BEC"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Pr="000403EE" w:rsidR="00F6465A">
          <w:rPr>
            <w:b/>
            <w:i/>
            <w:color w:val="0000FF"/>
            <w:sz w:val="28"/>
            <w:u w:val="single"/>
          </w:rPr>
          <w:t>Ενιαία αγορά / Μελλοντική διεύρυνση της Ένωσης</w:t>
        </w:r>
      </w:hyperlink>
    </w:p>
    <w:p w:rsidRPr="000403EE" w:rsidR="00F6465A" w:rsidP="00F6465A" w:rsidRDefault="00F6465A" w14:paraId="63231238" w14:textId="77777777">
      <w:pPr>
        <w:tabs>
          <w:tab w:val="center" w:pos="284"/>
        </w:tabs>
        <w:overflowPunct w:val="0"/>
        <w:autoSpaceDE w:val="0"/>
        <w:autoSpaceDN w:val="0"/>
        <w:adjustRightInd w:val="0"/>
        <w:ind w:left="266" w:hanging="266"/>
        <w:textAlignment w:val="baseline"/>
        <w:rPr>
          <w: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822"/>
      </w:tblGrid>
      <w:tr w:rsidRPr="000403EE" w:rsidR="00F6465A" w:rsidTr="00863A8F" w14:paraId="678F7BE3" w14:textId="77777777">
        <w:trPr>
          <w:trHeight w:val="590"/>
        </w:trPr>
        <w:tc>
          <w:tcPr>
            <w:tcW w:w="1056" w:type="pct"/>
          </w:tcPr>
          <w:p w:rsidRPr="000403EE" w:rsidR="00F6465A" w:rsidP="00F6465A" w:rsidRDefault="00F6465A" w14:paraId="537ECCE7"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3944" w:type="pct"/>
          </w:tcPr>
          <w:p w:rsidRPr="000403EE" w:rsidR="00F6465A" w:rsidP="00F6465A" w:rsidRDefault="00F6465A" w14:paraId="42879C99" w14:textId="77777777">
            <w:pPr>
              <w:tabs>
                <w:tab w:val="center" w:pos="284"/>
              </w:tabs>
              <w:overflowPunct w:val="0"/>
              <w:autoSpaceDE w:val="0"/>
              <w:autoSpaceDN w:val="0"/>
              <w:adjustRightInd w:val="0"/>
              <w:ind w:left="266" w:hanging="266"/>
              <w:jc w:val="left"/>
              <w:textAlignment w:val="baseline"/>
            </w:pPr>
            <w:r w:rsidRPr="000403EE">
              <w:t>Stoyan TCHOUKANOV (Ομάδα των Οργανώσεων της Κοινωνίας των Πολιτών – BG)</w:t>
            </w:r>
          </w:p>
        </w:tc>
      </w:tr>
      <w:tr w:rsidRPr="000403EE" w:rsidR="00F6465A" w:rsidTr="00863A8F" w14:paraId="7455A650" w14:textId="77777777">
        <w:trPr>
          <w:trHeight w:val="159"/>
        </w:trPr>
        <w:tc>
          <w:tcPr>
            <w:tcW w:w="5000" w:type="pct"/>
            <w:gridSpan w:val="2"/>
          </w:tcPr>
          <w:p w:rsidRPr="000403EE"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pPr>
          </w:p>
        </w:tc>
      </w:tr>
      <w:tr w:rsidRPr="000403EE" w:rsidR="00F6465A" w:rsidTr="00863A8F" w14:paraId="6A7B8849" w14:textId="77777777">
        <w:trPr>
          <w:trHeight w:val="306"/>
        </w:trPr>
        <w:tc>
          <w:tcPr>
            <w:tcW w:w="1056" w:type="pct"/>
            <w:vMerge w:val="restart"/>
          </w:tcPr>
          <w:p w:rsidRPr="000403EE" w:rsidR="00F6465A" w:rsidP="00F6465A" w:rsidRDefault="00F6465A" w14:paraId="14DA43A0"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3944" w:type="pct"/>
          </w:tcPr>
          <w:p w:rsidRPr="000403EE" w:rsidR="00F6465A" w:rsidP="00F6465A" w:rsidRDefault="00F6465A" w14:paraId="14610EA5" w14:textId="77777777">
            <w:pPr>
              <w:tabs>
                <w:tab w:val="center" w:pos="284"/>
              </w:tabs>
              <w:overflowPunct w:val="0"/>
              <w:autoSpaceDE w:val="0"/>
              <w:autoSpaceDN w:val="0"/>
              <w:adjustRightInd w:val="0"/>
              <w:ind w:left="266" w:hanging="266"/>
              <w:textAlignment w:val="baseline"/>
            </w:pPr>
            <w:r w:rsidRPr="000403EE">
              <w:t>Γνωμοδότηση πρωτοβουλίας</w:t>
            </w:r>
          </w:p>
        </w:tc>
      </w:tr>
      <w:tr w:rsidRPr="000403EE" w:rsidR="00F6465A" w:rsidTr="00863A8F" w14:paraId="14D3C1DF" w14:textId="77777777">
        <w:trPr>
          <w:trHeight w:val="306"/>
        </w:trPr>
        <w:tc>
          <w:tcPr>
            <w:tcW w:w="1056" w:type="pct"/>
            <w:vMerge/>
          </w:tcPr>
          <w:p w:rsidRPr="000403EE" w:rsidR="00F6465A" w:rsidP="00F6465A" w:rsidRDefault="00F6465A" w14:paraId="20284924" w14:textId="77777777">
            <w:pPr>
              <w:tabs>
                <w:tab w:val="center" w:pos="284"/>
              </w:tabs>
              <w:overflowPunct w:val="0"/>
              <w:autoSpaceDE w:val="0"/>
              <w:autoSpaceDN w:val="0"/>
              <w:adjustRightInd w:val="0"/>
              <w:ind w:left="266" w:hanging="266"/>
              <w:textAlignment w:val="baseline"/>
              <w:rPr>
                <w:b/>
              </w:rPr>
            </w:pPr>
          </w:p>
        </w:tc>
        <w:tc>
          <w:tcPr>
            <w:tcW w:w="3944" w:type="pct"/>
          </w:tcPr>
          <w:p w:rsidRPr="000403EE" w:rsidR="00F6465A" w:rsidP="00F6465A" w:rsidRDefault="00F6465A" w14:paraId="448A9DC7" w14:textId="77777777">
            <w:pPr>
              <w:tabs>
                <w:tab w:val="center" w:pos="284"/>
              </w:tabs>
              <w:overflowPunct w:val="0"/>
              <w:autoSpaceDE w:val="0"/>
              <w:autoSpaceDN w:val="0"/>
              <w:adjustRightInd w:val="0"/>
              <w:ind w:left="266" w:hanging="266"/>
              <w:textAlignment w:val="baseline"/>
            </w:pPr>
            <w:r w:rsidRPr="000403EE">
              <w:t>EESC-2024-02187-00-00-AC</w:t>
            </w:r>
          </w:p>
        </w:tc>
      </w:tr>
      <w:tr w:rsidRPr="000403EE" w:rsidR="00F6465A" w:rsidTr="00863A8F" w14:paraId="378597BC" w14:textId="77777777">
        <w:trPr>
          <w:trHeight w:val="295"/>
        </w:trPr>
        <w:tc>
          <w:tcPr>
            <w:tcW w:w="1056" w:type="pct"/>
            <w:vMerge/>
          </w:tcPr>
          <w:p w:rsidRPr="000403EE" w:rsidR="00F6465A" w:rsidP="00F6465A" w:rsidRDefault="00F6465A" w14:paraId="1AC1550A" w14:textId="77777777">
            <w:pPr>
              <w:tabs>
                <w:tab w:val="center" w:pos="284"/>
              </w:tabs>
              <w:overflowPunct w:val="0"/>
              <w:autoSpaceDE w:val="0"/>
              <w:autoSpaceDN w:val="0"/>
              <w:adjustRightInd w:val="0"/>
              <w:ind w:left="266" w:hanging="266"/>
              <w:textAlignment w:val="baseline"/>
              <w:rPr>
                <w:b/>
              </w:rPr>
            </w:pPr>
          </w:p>
        </w:tc>
        <w:tc>
          <w:tcPr>
            <w:tcW w:w="3944" w:type="pct"/>
          </w:tcPr>
          <w:p w:rsidRPr="000403EE" w:rsidR="00F6465A" w:rsidP="00F6465A" w:rsidRDefault="00F6465A" w14:paraId="05E82FFC" w14:textId="77777777">
            <w:pPr>
              <w:tabs>
                <w:tab w:val="center" w:pos="284"/>
              </w:tabs>
              <w:overflowPunct w:val="0"/>
              <w:autoSpaceDE w:val="0"/>
              <w:autoSpaceDN w:val="0"/>
              <w:adjustRightInd w:val="0"/>
              <w:ind w:left="266" w:hanging="266"/>
              <w:textAlignment w:val="baseline"/>
            </w:pPr>
          </w:p>
        </w:tc>
      </w:tr>
    </w:tbl>
    <w:p w:rsidRPr="000403EE"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rPr>
      </w:pPr>
    </w:p>
    <w:p w:rsidRPr="000403EE" w:rsidR="00F6465A" w:rsidP="00F6465A" w:rsidRDefault="00F6465A" w14:paraId="261CF2D3" w14:textId="77777777">
      <w:pPr>
        <w:overflowPunct w:val="0"/>
        <w:autoSpaceDE w:val="0"/>
        <w:autoSpaceDN w:val="0"/>
        <w:adjustRightInd w:val="0"/>
        <w:textAlignment w:val="baseline"/>
        <w:rPr>
          <w:bCs/>
          <w:iCs/>
        </w:rPr>
      </w:pPr>
      <w:r w:rsidRPr="000403EE">
        <w:t>Η ΕΟΚΕ:</w:t>
      </w:r>
    </w:p>
    <w:p w:rsidRPr="000403EE" w:rsidR="00F6465A" w:rsidP="00F6465A" w:rsidRDefault="00F6465A" w14:paraId="3F9C5C33" w14:textId="77777777">
      <w:pPr>
        <w:overflowPunct w:val="0"/>
        <w:autoSpaceDE w:val="0"/>
        <w:autoSpaceDN w:val="0"/>
        <w:adjustRightInd w:val="0"/>
        <w:textAlignment w:val="baseline"/>
        <w:rPr>
          <w:bCs/>
          <w:iCs/>
        </w:rPr>
      </w:pPr>
    </w:p>
    <w:p w:rsidRPr="000403EE" w:rsidR="00F6465A" w:rsidP="00643D0B" w:rsidRDefault="00F6465A" w14:paraId="6C89D84E" w14:textId="77777777">
      <w:pPr>
        <w:widowControl w:val="0"/>
        <w:numPr>
          <w:ilvl w:val="0"/>
          <w:numId w:val="24"/>
        </w:numPr>
        <w:overflowPunct w:val="0"/>
        <w:autoSpaceDE w:val="0"/>
        <w:autoSpaceDN w:val="0"/>
        <w:adjustRightInd w:val="0"/>
        <w:ind w:left="426" w:hanging="426"/>
        <w:textAlignment w:val="baseline"/>
        <w:rPr>
          <w:bCs/>
          <w:iCs/>
        </w:rPr>
      </w:pPr>
      <w:r w:rsidRPr="000403EE">
        <w:t>Θεωρεί το εγχείρημα της διεύρυνσης της ΕΕ επιτυχημένο και χαιρετίζει θερμά την τρέχουσα δυναμική μετά τη δήλωση της Γρανάδας του Συμβουλίου. Δεν είναι μόνο τα υποψήφια κράτη που πρέπει να προετοιμαστούν, αλλά και η ΕΕ πρέπει να προβεί στις αναγκαίες κανονιστικές αλλαγές πριν από την προσχώρησή τους.</w:t>
      </w:r>
    </w:p>
    <w:p w:rsidRPr="000403EE" w:rsidR="00F6465A" w:rsidP="00643D0B" w:rsidRDefault="00F6465A" w14:paraId="7F3C28FC" w14:textId="77777777">
      <w:pPr>
        <w:widowControl w:val="0"/>
        <w:numPr>
          <w:ilvl w:val="0"/>
          <w:numId w:val="24"/>
        </w:numPr>
        <w:overflowPunct w:val="0"/>
        <w:autoSpaceDE w:val="0"/>
        <w:autoSpaceDN w:val="0"/>
        <w:adjustRightInd w:val="0"/>
        <w:ind w:left="426" w:hanging="426"/>
        <w:textAlignment w:val="baseline"/>
        <w:rPr>
          <w:bCs/>
          <w:iCs/>
        </w:rPr>
      </w:pPr>
      <w:r w:rsidRPr="000403EE">
        <w:t>Διαπιστώνει με λύπη ότι ο σημερινός κατακερματισμός της ευρωπαϊκής χρηματοπιστωτικής αγοράς οδηγεί σε εκροές κεφαλαίων και αποτελεί απειλή για την ευρωπαϊκή παγκόσμια ανταγωνιστικότητα καθώς και ένα από τα σημαντικότερα εμπόδια στη μελλοντική διαδικασία για τη χρηματοδότηση της διεύρυνσης. Οι υποψήφιες χώρες προσφέρουν σημαντικές δυνατότητες για επενδύσεις, οικονομικές ευκαιρίες και θέσεις εργασίας. Η προτεινόμενη «Ένωση Αποταμιεύσεων και Επενδύσεων» θα κινητοποιήσει ιδιωτικά κεφάλαια και θα τονώσει την ανταγωνιστικότητα της Ευρώπης, ενισχύοντας παράλληλα την ανάπτυξη και την αύξηση της ικανότητας απορρόφησης. Η διεύρυνση συνεπάγεται επίσης μεγαλύτερη πρόσβαση σε κρίσιμες πρώτες ύλες και, ως εκ τούτου, σημαίνει μια πιο ανθεκτική και κυρίαρχη Ευρώπη.</w:t>
      </w:r>
    </w:p>
    <w:p w:rsidRPr="000403EE" w:rsidR="00F6465A" w:rsidP="00643D0B" w:rsidRDefault="00F6465A" w14:paraId="41FD471B" w14:textId="77777777">
      <w:pPr>
        <w:widowControl w:val="0"/>
        <w:numPr>
          <w:ilvl w:val="0"/>
          <w:numId w:val="24"/>
        </w:numPr>
        <w:overflowPunct w:val="0"/>
        <w:autoSpaceDE w:val="0"/>
        <w:autoSpaceDN w:val="0"/>
        <w:adjustRightInd w:val="0"/>
        <w:ind w:left="426" w:hanging="426"/>
        <w:textAlignment w:val="baseline"/>
        <w:rPr>
          <w:bCs/>
          <w:iCs/>
        </w:rPr>
      </w:pPr>
      <w:r w:rsidRPr="000403EE">
        <w:t xml:space="preserve">Επισημαίνει ότι η προηγούμενη διεύρυνση δημιούργησε μια δυναμική νικητών και χαμένων λόγω των άνισων οικονομικών ευκαιριών. Η ΕΟΚΕ καλεί την Ευρωπαϊκή Επιτροπή και τις υποψήφιες χώρες να εξετάσουν και να διαχειριστούν τις επιπτώσεις της διεύρυνσης, ώστε να μη δημιουργηθεί εκ νέου η ίδια δυναμική και να δοθεί ιδιαίτερη προσοχή στις μικρομεσαίες επιχειρήσεις, τόσο στην ΕΕ όσο και στις υποψήφιες χώρες, με σκοπό την δέουσα διάχυση των οφελών. </w:t>
      </w:r>
    </w:p>
    <w:p w:rsidRPr="000403EE" w:rsidR="00F6465A" w:rsidP="00643D0B" w:rsidRDefault="00F6465A" w14:paraId="2C9D9E84" w14:textId="77777777">
      <w:pPr>
        <w:widowControl w:val="0"/>
        <w:numPr>
          <w:ilvl w:val="0"/>
          <w:numId w:val="24"/>
        </w:numPr>
        <w:overflowPunct w:val="0"/>
        <w:autoSpaceDE w:val="0"/>
        <w:autoSpaceDN w:val="0"/>
        <w:adjustRightInd w:val="0"/>
        <w:ind w:left="426" w:hanging="426"/>
        <w:textAlignment w:val="baseline"/>
        <w:rPr>
          <w:bCs/>
          <w:iCs/>
        </w:rPr>
      </w:pPr>
      <w:r w:rsidRPr="000403EE">
        <w:t>Ζητεί μια συμπεριληπτική διαδικασία διαβούλευσης με σκοπό τη δέουσα αντιστάθμιση του ενδεχόμενου κοινωνικού κόστους, καθώς η διαδικασία διεύρυνσης δεν αφορά μόνο την ευθυγράμμιση των πολιτικών.</w:t>
      </w:r>
    </w:p>
    <w:p w:rsidRPr="000403EE" w:rsidR="00F6465A" w:rsidP="00643D0B" w:rsidRDefault="00F6465A" w14:paraId="35D70146" w14:textId="77777777">
      <w:pPr>
        <w:widowControl w:val="0"/>
        <w:numPr>
          <w:ilvl w:val="0"/>
          <w:numId w:val="24"/>
        </w:numPr>
        <w:overflowPunct w:val="0"/>
        <w:autoSpaceDE w:val="0"/>
        <w:autoSpaceDN w:val="0"/>
        <w:adjustRightInd w:val="0"/>
        <w:ind w:left="426" w:hanging="426"/>
        <w:textAlignment w:val="baseline"/>
        <w:rPr>
          <w:bCs/>
          <w:iCs/>
        </w:rPr>
      </w:pPr>
      <w:r w:rsidRPr="000403EE">
        <w:t>Τονίζει ότι η ΕΕ χρειάζεται ταχεία εφαρμογή στοχευμένων μέτρων για την άρση τυχόν σημαντικών φραγμών και την πλήρη αξιοποίηση του δυναμικού των τομέων των χρηματοπιστωτικών υπηρεσιών, των τηλεπικοινωνιών και της ενέργειας, και συνιστά την ευθυγράμμιση με το πλαίσιο της ΕΕ για τον έλεγχο των άμεσων ξένων επενδύσεων στις χώρες της διεύρυνσης.</w:t>
      </w:r>
    </w:p>
    <w:p w:rsidRPr="000403EE" w:rsidR="00F6465A" w:rsidP="00643D0B" w:rsidRDefault="00F6465A" w14:paraId="1458B3AC" w14:textId="77777777">
      <w:pPr>
        <w:widowControl w:val="0"/>
        <w:numPr>
          <w:ilvl w:val="0"/>
          <w:numId w:val="24"/>
        </w:numPr>
        <w:overflowPunct w:val="0"/>
        <w:autoSpaceDE w:val="0"/>
        <w:autoSpaceDN w:val="0"/>
        <w:adjustRightInd w:val="0"/>
        <w:ind w:left="426" w:hanging="426"/>
        <w:textAlignment w:val="baseline"/>
      </w:pPr>
      <w:r w:rsidRPr="000403EE">
        <w:t>Θεωρεί ότι η διεύρυνση θα πρέπει να είναι στο επίκεντρο των συζητήσεων όσον αφορά το επόμενο πολυετές δημοσιονομικό πλαίσιο (ΠΔΠ).</w:t>
      </w:r>
    </w:p>
    <w:p w:rsidRPr="000403EE" w:rsidR="00F6465A" w:rsidP="00643D0B" w:rsidRDefault="00F6465A" w14:paraId="29F18DC6" w14:textId="77777777">
      <w:pPr>
        <w:widowControl w:val="0"/>
        <w:numPr>
          <w:ilvl w:val="0"/>
          <w:numId w:val="24"/>
        </w:numPr>
        <w:overflowPunct w:val="0"/>
        <w:autoSpaceDE w:val="0"/>
        <w:autoSpaceDN w:val="0"/>
        <w:adjustRightInd w:val="0"/>
        <w:ind w:left="426" w:hanging="426"/>
        <w:textAlignment w:val="baseline"/>
        <w:rPr>
          <w:rFonts w:asciiTheme="minorHAnsi" w:hAnsiTheme="minorHAnsi"/>
          <w:szCs w:val="20"/>
        </w:rPr>
      </w:pPr>
      <w:r w:rsidRPr="000403EE">
        <w:t>Η ΕΟΚΕ θεωρεί ότι πρέπει να βρεθεί μια νέα δυναμική για τη διαδικασία με γνώμονα τις έκτακτες γεωπολιτικές συνθήκες που επικρατούν και τις εντεινόμενες προκλήσεις, όπως η κλιματική αλλαγή, η ενεργειακή και η περιβαλλοντική μετάβαση.</w:t>
      </w:r>
    </w:p>
    <w:p w:rsidRPr="000403EE" w:rsidR="00F6465A" w:rsidP="00233106" w:rsidRDefault="00F6465A" w14:paraId="32D8B8ED" w14:textId="77777777">
      <w:pPr>
        <w:keepNext/>
        <w:keepLines/>
        <w:numPr>
          <w:ilvl w:val="0"/>
          <w:numId w:val="24"/>
        </w:numPr>
        <w:overflowPunct w:val="0"/>
        <w:autoSpaceDE w:val="0"/>
        <w:autoSpaceDN w:val="0"/>
        <w:adjustRightInd w:val="0"/>
        <w:ind w:left="426" w:hanging="426"/>
        <w:textAlignment w:val="baseline"/>
        <w:rPr>
          <w:szCs w:val="20"/>
        </w:rPr>
      </w:pPr>
      <w:r w:rsidRPr="000403EE">
        <w:lastRenderedPageBreak/>
        <w:t>Συνιστά τη συμμετοχή της κοινωνίας των πολιτών στη διαδικασία διεύρυνσης και πιστεύει ότι η διεύρυνση θα πρέπει να αποτελεί αναπόσπαστο μέρος των ευρωπαϊκών λύσεων για την αντιμετώπιση των παγκόσμιων προκλήσεων.</w:t>
      </w:r>
    </w:p>
    <w:p w:rsidRPr="000403EE" w:rsidR="00F6465A" w:rsidP="00233106" w:rsidRDefault="00F6465A" w14:paraId="3F3B2753" w14:textId="77777777">
      <w:pPr>
        <w:keepNext/>
        <w:keepLines/>
        <w:overflowPunct w:val="0"/>
        <w:autoSpaceDE w:val="0"/>
        <w:autoSpaceDN w:val="0"/>
        <w:adjustRightInd w:val="0"/>
        <w:ind w:left="709"/>
        <w:textAlignment w:val="baseline"/>
        <w:rPr>
          <w:szCs w:val="20"/>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F6465A" w:rsidTr="00863A8F" w14:paraId="0627B1C1" w14:textId="77777777">
        <w:tc>
          <w:tcPr>
            <w:tcW w:w="1556" w:type="pct"/>
          </w:tcPr>
          <w:p w:rsidRPr="000403EE" w:rsidR="00F6465A" w:rsidP="00233106" w:rsidRDefault="00F6465A" w14:paraId="5B608314" w14:textId="77777777">
            <w:pPr>
              <w:keepNext/>
              <w:keepLines/>
              <w:overflowPunct w:val="0"/>
              <w:autoSpaceDE w:val="0"/>
              <w:autoSpaceDN w:val="0"/>
              <w:adjustRightInd w:val="0"/>
              <w:spacing w:line="240" w:lineRule="auto"/>
              <w:textAlignment w:val="baseline"/>
              <w:rPr>
                <w:i/>
              </w:rPr>
            </w:pPr>
            <w:r w:rsidRPr="000403EE">
              <w:rPr>
                <w:b/>
                <w:i/>
              </w:rPr>
              <w:t>Επικοινωνία</w:t>
            </w:r>
          </w:p>
        </w:tc>
        <w:tc>
          <w:tcPr>
            <w:tcW w:w="3444" w:type="pct"/>
          </w:tcPr>
          <w:p w:rsidRPr="000403EE" w:rsidR="00F6465A" w:rsidP="00233106" w:rsidRDefault="00F6465A" w14:paraId="20916DA2" w14:textId="5D42882D">
            <w:pPr>
              <w:keepNext/>
              <w:keepLines/>
              <w:overflowPunct w:val="0"/>
              <w:autoSpaceDE w:val="0"/>
              <w:autoSpaceDN w:val="0"/>
              <w:adjustRightInd w:val="0"/>
              <w:spacing w:line="240" w:lineRule="auto"/>
              <w:textAlignment w:val="baseline"/>
              <w:rPr>
                <w:i/>
              </w:rPr>
            </w:pPr>
            <w:r w:rsidRPr="000403EE">
              <w:rPr>
                <w:i/>
              </w:rPr>
              <w:t xml:space="preserve">Annalisa Tessarolo </w:t>
            </w:r>
          </w:p>
        </w:tc>
      </w:tr>
      <w:tr w:rsidRPr="000403EE" w:rsidR="00F6465A" w:rsidTr="00863A8F" w14:paraId="794FEE90" w14:textId="77777777">
        <w:tc>
          <w:tcPr>
            <w:tcW w:w="1556" w:type="pct"/>
          </w:tcPr>
          <w:p w:rsidRPr="000403EE" w:rsidR="00F6465A" w:rsidP="00233106" w:rsidRDefault="00F6465A" w14:paraId="3BDADAAF" w14:textId="77777777">
            <w:pPr>
              <w:keepNext/>
              <w:keepLines/>
              <w:overflowPunct w:val="0"/>
              <w:autoSpaceDE w:val="0"/>
              <w:autoSpaceDN w:val="0"/>
              <w:adjustRightInd w:val="0"/>
              <w:spacing w:line="240" w:lineRule="auto"/>
              <w:textAlignment w:val="baseline"/>
              <w:rPr>
                <w:i/>
              </w:rPr>
            </w:pPr>
            <w:r w:rsidRPr="000403EE">
              <w:rPr>
                <w:i/>
              </w:rPr>
              <w:t>Τηλ.</w:t>
            </w:r>
          </w:p>
        </w:tc>
        <w:tc>
          <w:tcPr>
            <w:tcW w:w="3444" w:type="pct"/>
          </w:tcPr>
          <w:p w:rsidRPr="000403EE" w:rsidR="00F6465A" w:rsidP="00233106" w:rsidRDefault="00F6465A" w14:paraId="56042D6F" w14:textId="77777777">
            <w:pPr>
              <w:keepNext/>
              <w:keepLines/>
              <w:overflowPunct w:val="0"/>
              <w:autoSpaceDE w:val="0"/>
              <w:autoSpaceDN w:val="0"/>
              <w:adjustRightInd w:val="0"/>
              <w:spacing w:line="240" w:lineRule="auto"/>
              <w:textAlignment w:val="baseline"/>
              <w:rPr>
                <w:i/>
              </w:rPr>
            </w:pPr>
            <w:r w:rsidRPr="000403EE">
              <w:rPr>
                <w:i/>
              </w:rPr>
              <w:t>+32 25469732</w:t>
            </w:r>
          </w:p>
        </w:tc>
      </w:tr>
      <w:tr w:rsidRPr="000403EE" w:rsidR="00F6465A" w:rsidTr="00863A8F" w14:paraId="1AF44A08" w14:textId="77777777">
        <w:tc>
          <w:tcPr>
            <w:tcW w:w="1556" w:type="pct"/>
          </w:tcPr>
          <w:p w:rsidRPr="000403EE" w:rsidR="00F6465A" w:rsidP="00233106" w:rsidRDefault="00B2002E" w14:paraId="0A7FF217" w14:textId="7C9D76C2">
            <w:pPr>
              <w:keepNext/>
              <w:keepLines/>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F6465A" w:rsidP="00233106" w:rsidRDefault="00913BEC" w14:paraId="697725DC" w14:textId="77777777">
            <w:pPr>
              <w:keepNext/>
              <w:keepLines/>
              <w:overflowPunct w:val="0"/>
              <w:autoSpaceDE w:val="0"/>
              <w:autoSpaceDN w:val="0"/>
              <w:adjustRightInd w:val="0"/>
              <w:spacing w:line="240" w:lineRule="auto"/>
              <w:textAlignment w:val="baseline"/>
              <w:rPr>
                <w:i/>
              </w:rPr>
            </w:pPr>
            <w:hyperlink w:history="1" r:id="rId36">
              <w:r w:rsidRPr="000403EE" w:rsidR="00064B8D">
                <w:rPr>
                  <w:i/>
                  <w:color w:val="0000FF"/>
                  <w:u w:val="single"/>
                </w:rPr>
                <w:t>Annalisa.Tessarolo@eesc.europa.eu</w:t>
              </w:r>
            </w:hyperlink>
            <w:r w:rsidRPr="000403EE" w:rsidR="00064B8D">
              <w:rPr>
                <w:i/>
              </w:rPr>
              <w:t xml:space="preserve"> </w:t>
            </w:r>
          </w:p>
        </w:tc>
      </w:tr>
    </w:tbl>
    <w:p w:rsidRPr="000403EE" w:rsidR="001A6359" w:rsidP="00643D0B" w:rsidRDefault="00913BEC"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Pr="000403EE" w:rsidR="006766F1">
          <w:rPr>
            <w:b/>
            <w:i/>
            <w:color w:val="0000FF"/>
            <w:sz w:val="28"/>
            <w:u w:val="single"/>
          </w:rPr>
          <w:t>Το κόστος της μη εφαρμογής του χώρου Σένγκεν για την ενιαία αγορά – Βουλγαρία και Ρουμανία</w:t>
        </w:r>
      </w:hyperlink>
    </w:p>
    <w:p w:rsidRPr="000403EE" w:rsidR="001A6359" w:rsidP="001A6359" w:rsidRDefault="001A6359" w14:paraId="3F9A8350" w14:textId="77777777">
      <w:pPr>
        <w:tabs>
          <w:tab w:val="center" w:pos="284"/>
        </w:tabs>
        <w:overflowPunct w:val="0"/>
        <w:autoSpaceDE w:val="0"/>
        <w:autoSpaceDN w:val="0"/>
        <w:adjustRightInd w:val="0"/>
        <w:ind w:left="266" w:hanging="266"/>
        <w:textAlignment w:val="baseline"/>
        <w:rPr>
          <w: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403EE" w:rsidR="001A6359" w:rsidTr="00863A8F" w14:paraId="563F8401" w14:textId="77777777">
        <w:tc>
          <w:tcPr>
            <w:tcW w:w="1701" w:type="dxa"/>
          </w:tcPr>
          <w:p w:rsidRPr="000403EE" w:rsidR="001A6359" w:rsidP="001A6359" w:rsidRDefault="001A6359" w14:paraId="60F30041" w14:textId="77777777">
            <w:pPr>
              <w:tabs>
                <w:tab w:val="center" w:pos="284"/>
              </w:tabs>
              <w:overflowPunct w:val="0"/>
              <w:autoSpaceDE w:val="0"/>
              <w:autoSpaceDN w:val="0"/>
              <w:adjustRightInd w:val="0"/>
              <w:ind w:left="266" w:hanging="266"/>
              <w:textAlignment w:val="baseline"/>
              <w:rPr>
                <w:b/>
              </w:rPr>
            </w:pPr>
            <w:r w:rsidRPr="000403EE">
              <w:rPr>
                <w:b/>
              </w:rPr>
              <w:t>Εισηγήτρια</w:t>
            </w:r>
          </w:p>
        </w:tc>
        <w:tc>
          <w:tcPr>
            <w:tcW w:w="5387" w:type="dxa"/>
          </w:tcPr>
          <w:p w:rsidRPr="000403EE" w:rsidR="001A6359" w:rsidP="001A6359" w:rsidRDefault="001A6359" w14:paraId="655DB040" w14:textId="7E0E5BD9">
            <w:pPr>
              <w:tabs>
                <w:tab w:val="center" w:pos="284"/>
              </w:tabs>
              <w:overflowPunct w:val="0"/>
              <w:autoSpaceDE w:val="0"/>
              <w:autoSpaceDN w:val="0"/>
              <w:adjustRightInd w:val="0"/>
              <w:ind w:left="266" w:hanging="266"/>
              <w:textAlignment w:val="baseline"/>
            </w:pPr>
            <w:r w:rsidRPr="000403EE">
              <w:t>Mariya MINCHEVA (Ομάδα των Εργοδοτών – BG)</w:t>
            </w:r>
          </w:p>
        </w:tc>
      </w:tr>
      <w:tr w:rsidRPr="000403EE" w:rsidR="001A6359" w:rsidTr="00863A8F" w14:paraId="779B83FA" w14:textId="77777777">
        <w:tc>
          <w:tcPr>
            <w:tcW w:w="7088" w:type="dxa"/>
            <w:gridSpan w:val="2"/>
          </w:tcPr>
          <w:p w:rsidRPr="000403EE"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pPr>
          </w:p>
        </w:tc>
      </w:tr>
      <w:tr w:rsidRPr="000403EE" w:rsidR="001A6359" w:rsidTr="00863A8F" w14:paraId="442BCF66" w14:textId="77777777">
        <w:tc>
          <w:tcPr>
            <w:tcW w:w="1701" w:type="dxa"/>
            <w:vMerge w:val="restart"/>
          </w:tcPr>
          <w:p w:rsidRPr="000403EE" w:rsidR="001A6359" w:rsidP="001A6359" w:rsidRDefault="001A6359" w14:paraId="2423178A"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5387" w:type="dxa"/>
          </w:tcPr>
          <w:p w:rsidRPr="000403EE" w:rsidR="001A6359" w:rsidP="001A6359" w:rsidRDefault="001A6359" w14:paraId="714ADD93" w14:textId="77777777">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1A6359" w:rsidP="001A6359" w:rsidRDefault="001A6359" w14:paraId="60234570" w14:textId="07E68BF2">
            <w:pPr>
              <w:tabs>
                <w:tab w:val="center" w:pos="284"/>
              </w:tabs>
              <w:overflowPunct w:val="0"/>
              <w:autoSpaceDE w:val="0"/>
              <w:autoSpaceDN w:val="0"/>
              <w:adjustRightInd w:val="0"/>
              <w:ind w:left="266" w:hanging="266"/>
              <w:textAlignment w:val="baseline"/>
            </w:pPr>
            <w:r w:rsidRPr="000403EE">
              <w:t>EESC-2024-01449-00-00-AC</w:t>
            </w:r>
          </w:p>
        </w:tc>
      </w:tr>
      <w:tr w:rsidRPr="000403EE" w:rsidR="001A6359" w:rsidTr="00863A8F" w14:paraId="6672C0AA" w14:textId="77777777">
        <w:tc>
          <w:tcPr>
            <w:tcW w:w="1701" w:type="dxa"/>
            <w:vMerge/>
          </w:tcPr>
          <w:p w:rsidRPr="000403EE" w:rsidR="001A6359" w:rsidP="001A6359" w:rsidRDefault="001A6359" w14:paraId="5FC0639B" w14:textId="77777777">
            <w:pPr>
              <w:tabs>
                <w:tab w:val="center" w:pos="284"/>
              </w:tabs>
              <w:overflowPunct w:val="0"/>
              <w:autoSpaceDE w:val="0"/>
              <w:autoSpaceDN w:val="0"/>
              <w:adjustRightInd w:val="0"/>
              <w:ind w:left="266" w:hanging="266"/>
              <w:textAlignment w:val="baseline"/>
              <w:rPr>
                <w:b/>
              </w:rPr>
            </w:pPr>
          </w:p>
        </w:tc>
        <w:tc>
          <w:tcPr>
            <w:tcW w:w="5387" w:type="dxa"/>
          </w:tcPr>
          <w:p w:rsidRPr="000403EE" w:rsidR="001A6359" w:rsidP="001A6359" w:rsidRDefault="001A6359" w14:paraId="72BA0C32" w14:textId="77777777">
            <w:pPr>
              <w:tabs>
                <w:tab w:val="center" w:pos="284"/>
              </w:tabs>
              <w:overflowPunct w:val="0"/>
              <w:autoSpaceDE w:val="0"/>
              <w:autoSpaceDN w:val="0"/>
              <w:adjustRightInd w:val="0"/>
              <w:ind w:left="266" w:hanging="266"/>
              <w:textAlignment w:val="baseline"/>
            </w:pPr>
          </w:p>
        </w:tc>
      </w:tr>
    </w:tbl>
    <w:p w:rsidRPr="000403EE"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rPr>
      </w:pPr>
    </w:p>
    <w:p w:rsidRPr="000403EE"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rPr>
      </w:pPr>
    </w:p>
    <w:p w:rsidRPr="000403EE" w:rsidR="001A6359" w:rsidP="001A6359" w:rsidRDefault="001A6359" w14:paraId="56ED811E" w14:textId="77777777">
      <w:pPr>
        <w:overflowPunct w:val="0"/>
        <w:autoSpaceDE w:val="0"/>
        <w:autoSpaceDN w:val="0"/>
        <w:adjustRightInd w:val="0"/>
        <w:textAlignment w:val="baseline"/>
        <w:rPr>
          <w:bCs/>
          <w:iCs/>
        </w:rPr>
      </w:pPr>
      <w:r w:rsidRPr="000403EE">
        <w:t>Η ΕΟΚΕ:</w:t>
      </w:r>
    </w:p>
    <w:p w:rsidRPr="000403EE" w:rsidR="001A6359" w:rsidP="001A6359" w:rsidRDefault="001A6359" w14:paraId="707F4672" w14:textId="77777777">
      <w:pPr>
        <w:overflowPunct w:val="0"/>
        <w:autoSpaceDE w:val="0"/>
        <w:autoSpaceDN w:val="0"/>
        <w:adjustRightInd w:val="0"/>
        <w:textAlignment w:val="baseline"/>
        <w:rPr>
          <w:bCs/>
          <w:iCs/>
        </w:rPr>
      </w:pPr>
    </w:p>
    <w:p w:rsidRPr="000403EE" w:rsidR="001A6359" w:rsidP="00643D0B"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Καλεί το Συμβούλιο να ορίσει ημερομηνία για την άρση των ελέγχων στα χερσαία σύνορα μεταξύ Βουλγαρίας και Ρουμανίας και των άλλων κρατών μελών Σένγκεν ήδη από το 2024. Καλεί όλα τα ενδιαφερόμενα μέρη να συνεργαστούν για την επίτευξη αυτού του στόχου, μεριμνώντας ώστε τα οφέλη της προσχώρησης στον χώρο Σένγκεν να επεκταθούν εξίσου σε όλους τους πολίτες της ΕΕ.</w:t>
      </w:r>
    </w:p>
    <w:p w:rsidRPr="000403EE" w:rsidR="001A6359" w:rsidP="00643D0B"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Υπογραμμίζει ότι η συμφωνία του Σένγκεν είναι απαραίτητη για την ελεύθερη κυκλοφορία προσώπων, αγαθών, υπηρεσιών και κεφαλαίων εντός της ΕΕ και ότι η ανταγωνιστικότητα της ΕΕ έχει αναδειχθεί σε επιτακτική πολιτική προτεραιότητα, όπως υπογραμμίζεται στις πρόσφατες εκθέσεις του Enrico Letta και του Mario Draghi.</w:t>
      </w:r>
    </w:p>
    <w:p w:rsidRPr="000403EE" w:rsidR="001A6359" w:rsidP="00643D0B"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Θεωρεί ότι παρά τα σημαντικά της επιτεύγματα, η ευρωπαϊκή ενιαία αγορά δεν έχει ακόμα ολοκληρωθεί. Κάθε περιορισμός στην ελεύθερη κυκλοφορία εντός της ενιαίας αγοράς έχει αρνητικές επιπτώσεις στην ανταγωνιστικότητα και την οικονομική ανάπτυξη της ΕΕ, με αποτέλεσμα να παρεμποδίζεται η πλήρης υλοποίηση της κοινωνικής οικονομίας της αγοράς όπως προβλέπεται στις Συνθήκες.</w:t>
      </w:r>
    </w:p>
    <w:p w:rsidRPr="000403EE" w:rsidR="001A6359" w:rsidP="00643D0B"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Θεωρεί ότι η Ευρωπαϊκή Επιτροπή θα πρέπει να παρέχει σε τακτική βάση αξιόπιστα στοιχεία για τις οικονομικές και κοινωνικές επιπτώσεις —μεταξύ άλλων στο επίπεδο της ανταγωνιστικότητας— που συνδέονται άμεσα με τη θέσπιση συνοριακών ελέγχων εντός του χώρου Σένγκεν.</w:t>
      </w:r>
    </w:p>
    <w:p w:rsidRPr="000403EE" w:rsidR="001A6359" w:rsidP="00643D0B"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Επισημαίνει ότι σύμφωνα με διάφορες εκτιμήσεις, οι εταιρείες που δραστηριοποιούνται στη Βουλγαρία και τη Ρουμανία καταβάλλουν ετησίως δισεκατομμύρια ευρώ ως αποτέλεσμα των υψηλότερων εξόδων και των καθυστερήσεων. Το άμεσο αυτό κόστος μετακυλίεται αναπόφευκτα στους καταναλωτές και έχει αντίκτυπο στη σωματική και την ψυχική υγεία των εργαζομένων.</w:t>
      </w:r>
    </w:p>
    <w:p w:rsidRPr="000403EE" w:rsidR="001A6359" w:rsidP="00643D0B" w:rsidRDefault="001A6359" w14:paraId="12C93790" w14:textId="5F2EA09E">
      <w:pPr>
        <w:widowControl w:val="0"/>
        <w:numPr>
          <w:ilvl w:val="0"/>
          <w:numId w:val="26"/>
        </w:numPr>
        <w:overflowPunct w:val="0"/>
        <w:autoSpaceDE w:val="0"/>
        <w:autoSpaceDN w:val="0"/>
        <w:adjustRightInd w:val="0"/>
        <w:spacing w:line="276" w:lineRule="auto"/>
        <w:ind w:left="284" w:hanging="284"/>
        <w:jc w:val="left"/>
        <w:textAlignment w:val="baseline"/>
        <w:rPr>
          <w:bCs/>
          <w:iCs/>
        </w:rPr>
      </w:pPr>
      <w:r w:rsidRPr="000403EE">
        <w:t>Επισημαίνει ότι οι έλεγχοι στα χερσαία σύνορα έχουν περιβαλλοντικό αντίκτυπο λόγω των εκπομπών CO2 των οχημάτων που περιμένουν να διασχίσουν τα σύνορα. Οι έλεγχοι αποτελούν τροχοπέδη για τον τουρισμό και εμποδίζουν την ελεύθερη κυκλοφορία των εργαζομένων. Η αβεβαιότητα και η μη αποδοτικότητα που χαρακτηρίζουν τους ελέγχους στα χερσαία σύνορα αποτρέπουν τις άμεσες ξένες επενδύσεις και βλάπτουν το επενδυτικό κλίμα.</w:t>
      </w:r>
    </w:p>
    <w:p w:rsidRPr="000403EE" w:rsidR="001A6359" w:rsidP="00643D0B"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rsidRPr="000403EE">
        <w:t>Τονίζει ότι η μη προσχώρηση της Βουλγαρίας και της Ρουμανίας στον χώρο Σένγκεν έχει πολιτικό κόστος. Η προσχώρηση στον χώρο Σένγκεν δεν θα πρέπει να χρησιμοποιείται ως μια μορφή μη τυπικής αιρεσιμότητας μετά την ένταξη στην ΕΕ. Η προσέγγιση αυτή δημιουργεί δυσπιστία στα ευρωπαϊκά θεσμικά όργανα και τροφοδοτεί ευρωσκεπτικιστικά αισθήματα.</w:t>
      </w:r>
    </w:p>
    <w:p w:rsidRPr="000403EE" w:rsidR="001A6359" w:rsidP="001A6359" w:rsidRDefault="001A6359" w14:paraId="4A886D6E" w14:textId="77777777">
      <w:pPr>
        <w:widowControl w:val="0"/>
        <w:overflowPunct w:val="0"/>
        <w:autoSpaceDE w:val="0"/>
        <w:autoSpaceDN w:val="0"/>
        <w:adjustRightInd w:val="0"/>
        <w:ind w:left="709"/>
        <w:textAlignment w:val="baseline"/>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1A6359" w:rsidTr="00863A8F" w14:paraId="1A3ACD8E" w14:textId="77777777">
        <w:tc>
          <w:tcPr>
            <w:tcW w:w="1418" w:type="dxa"/>
          </w:tcPr>
          <w:p w:rsidRPr="000403EE" w:rsidR="001A6359" w:rsidP="001A6359" w:rsidRDefault="001A6359" w14:paraId="6EDAF10C" w14:textId="77777777">
            <w:pPr>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1A6359" w:rsidP="001A6359" w:rsidRDefault="001A6359" w14:paraId="605E3C43" w14:textId="77777777">
            <w:pPr>
              <w:overflowPunct w:val="0"/>
              <w:autoSpaceDE w:val="0"/>
              <w:autoSpaceDN w:val="0"/>
              <w:adjustRightInd w:val="0"/>
              <w:spacing w:line="240" w:lineRule="auto"/>
              <w:textAlignment w:val="baseline"/>
              <w:rPr>
                <w:i/>
              </w:rPr>
            </w:pPr>
            <w:r w:rsidRPr="000403EE">
              <w:rPr>
                <w:i/>
              </w:rPr>
              <w:t>Annalisa Tessarolo</w:t>
            </w:r>
          </w:p>
        </w:tc>
      </w:tr>
      <w:tr w:rsidRPr="000403EE" w:rsidR="001A6359" w:rsidTr="00863A8F" w14:paraId="1DBB6BFC" w14:textId="77777777">
        <w:tc>
          <w:tcPr>
            <w:tcW w:w="1418" w:type="dxa"/>
          </w:tcPr>
          <w:p w:rsidRPr="000403EE" w:rsidR="001A6359" w:rsidP="001A6359" w:rsidRDefault="001A6359" w14:paraId="5CEC73B0" w14:textId="77777777">
            <w:pPr>
              <w:overflowPunct w:val="0"/>
              <w:autoSpaceDE w:val="0"/>
              <w:autoSpaceDN w:val="0"/>
              <w:adjustRightInd w:val="0"/>
              <w:spacing w:line="240" w:lineRule="auto"/>
              <w:textAlignment w:val="baseline"/>
              <w:rPr>
                <w:i/>
              </w:rPr>
            </w:pPr>
            <w:r w:rsidRPr="000403EE">
              <w:rPr>
                <w:i/>
              </w:rPr>
              <w:t>Τηλ.</w:t>
            </w:r>
          </w:p>
        </w:tc>
        <w:tc>
          <w:tcPr>
            <w:tcW w:w="5670" w:type="dxa"/>
          </w:tcPr>
          <w:p w:rsidRPr="000403EE" w:rsidR="001A6359" w:rsidP="001A6359" w:rsidRDefault="001A6359" w14:paraId="761EFC21" w14:textId="77777777">
            <w:pPr>
              <w:overflowPunct w:val="0"/>
              <w:autoSpaceDE w:val="0"/>
              <w:autoSpaceDN w:val="0"/>
              <w:adjustRightInd w:val="0"/>
              <w:spacing w:line="240" w:lineRule="auto"/>
              <w:textAlignment w:val="baseline"/>
              <w:rPr>
                <w:i/>
              </w:rPr>
            </w:pPr>
            <w:r w:rsidRPr="000403EE">
              <w:rPr>
                <w:i/>
              </w:rPr>
              <w:t>+32 25469732</w:t>
            </w:r>
          </w:p>
        </w:tc>
      </w:tr>
      <w:tr w:rsidRPr="000403EE" w:rsidR="001A6359" w:rsidTr="00863A8F" w14:paraId="021F9D0A" w14:textId="77777777">
        <w:tc>
          <w:tcPr>
            <w:tcW w:w="1418" w:type="dxa"/>
          </w:tcPr>
          <w:p w:rsidRPr="000403EE" w:rsidR="001A6359" w:rsidP="001A6359" w:rsidRDefault="00063699" w14:paraId="3A2A6EE6" w14:textId="1AD4BBC5">
            <w:pPr>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1A6359" w:rsidP="001A6359" w:rsidRDefault="00913BEC" w14:paraId="08ED4AEB" w14:textId="77777777">
            <w:pPr>
              <w:overflowPunct w:val="0"/>
              <w:autoSpaceDE w:val="0"/>
              <w:autoSpaceDN w:val="0"/>
              <w:adjustRightInd w:val="0"/>
              <w:spacing w:line="240" w:lineRule="auto"/>
              <w:textAlignment w:val="baseline"/>
              <w:rPr>
                <w:i/>
              </w:rPr>
            </w:pPr>
            <w:hyperlink w:history="1" r:id="rId38">
              <w:r w:rsidRPr="000403EE" w:rsidR="00064B8D">
                <w:rPr>
                  <w:i/>
                  <w:color w:val="0000FF"/>
                  <w:u w:val="single"/>
                </w:rPr>
                <w:t>Annalisa.Tessarolo@eesc.europa.eu</w:t>
              </w:r>
            </w:hyperlink>
          </w:p>
          <w:p w:rsidRPr="000403EE" w:rsidR="001A6359" w:rsidP="001A6359" w:rsidRDefault="001A6359" w14:paraId="125FD94A" w14:textId="77777777">
            <w:pPr>
              <w:overflowPunct w:val="0"/>
              <w:autoSpaceDE w:val="0"/>
              <w:autoSpaceDN w:val="0"/>
              <w:adjustRightInd w:val="0"/>
              <w:spacing w:line="240" w:lineRule="auto"/>
              <w:textAlignment w:val="baseline"/>
              <w:rPr>
                <w:i/>
              </w:rPr>
            </w:pPr>
          </w:p>
        </w:tc>
      </w:tr>
    </w:tbl>
    <w:p w:rsidRPr="000403EE" w:rsidR="003E4C29" w:rsidRDefault="003E4C29" w14:paraId="39B04A94" w14:textId="77777777">
      <w:pPr>
        <w:spacing w:after="160" w:line="259" w:lineRule="auto"/>
        <w:jc w:val="left"/>
      </w:pPr>
      <w:r w:rsidRPr="000403EE">
        <w:br w:type="page"/>
      </w:r>
    </w:p>
    <w:p w:rsidRPr="000403EE" w:rsidR="004D7AC0" w:rsidP="004D7AC0" w:rsidRDefault="004D7AC0" w14:paraId="4982DE1F" w14:textId="77777777">
      <w:pPr>
        <w:pStyle w:val="Heading1"/>
        <w:rPr>
          <w:b/>
        </w:rPr>
      </w:pPr>
      <w:bookmarkStart w:name="_Toc70322234" w:id="9"/>
      <w:bookmarkStart w:name="_Toc75527084" w:id="10"/>
      <w:bookmarkStart w:name="_Toc178009576" w:id="11"/>
      <w:r w:rsidRPr="000403EE">
        <w:rPr>
          <w:b/>
        </w:rPr>
        <w:lastRenderedPageBreak/>
        <w:t>ΓΕΩΡΓΙΑ, ΑΓΡΟΤΙΚΗ ΑΝΑΠΤΥΞΗ, ΠΕΡΙΒΑΛΛΟΝ</w:t>
      </w:r>
      <w:bookmarkEnd w:id="9"/>
      <w:bookmarkEnd w:id="10"/>
      <w:bookmarkEnd w:id="11"/>
    </w:p>
    <w:p w:rsidRPr="000403EE" w:rsidR="00F03EB0" w:rsidRDefault="00F03EB0" w14:paraId="76EDAB9B" w14:textId="6E6576A7">
      <w:pPr>
        <w:spacing w:after="160" w:line="259" w:lineRule="auto"/>
        <w:jc w:val="left"/>
      </w:pPr>
    </w:p>
    <w:p w:rsidRPr="000403EE" w:rsidR="002A13FC" w:rsidP="0021254C" w:rsidRDefault="00913BEC"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Pr="000403EE" w:rsidR="00064B8D">
          <w:rPr>
            <w:b/>
            <w:i/>
            <w:color w:val="0000FF"/>
            <w:sz w:val="28"/>
            <w:u w:val="single"/>
          </w:rPr>
          <w:t>Τροποποίηση όσον αφορά το δασικό πολλαπλασιαστικό υλικό</w:t>
        </w:r>
      </w:hyperlink>
      <w:r w:rsidRPr="000403EE" w:rsidR="00064B8D">
        <w:rPr>
          <w:b/>
          <w:i/>
          <w:color w:val="0000FF"/>
          <w:sz w:val="28"/>
          <w:u w:val="single"/>
        </w:rPr>
        <w:t xml:space="preserve"> της κατηγορίας «δοκιμασμένο», την επισήμανσή του και τα ονόματα των αρχών που είναι αρμόδιες για την έγκριση και τον έλεγχο της παραγωγής</w:t>
      </w:r>
    </w:p>
    <w:p w:rsidRPr="000403EE" w:rsidR="002A13FC" w:rsidP="002A13FC" w:rsidRDefault="002A13FC" w14:paraId="353526EF" w14:textId="77777777">
      <w:pPr>
        <w:widowControl w:val="0"/>
        <w:overflowPunct w:val="0"/>
        <w:autoSpaceDE w:val="0"/>
        <w:autoSpaceDN w:val="0"/>
        <w:adjustRightInd w:val="0"/>
        <w:ind w:left="266"/>
        <w:textAlignment w:val="baseline"/>
        <w:rPr>
          <w: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5008"/>
      </w:tblGrid>
      <w:tr w:rsidRPr="000403EE" w:rsidR="002A13FC" w:rsidTr="00863A8F" w14:paraId="706D0A05" w14:textId="77777777">
        <w:tc>
          <w:tcPr>
            <w:tcW w:w="1195" w:type="pct"/>
            <w:vMerge w:val="restart"/>
          </w:tcPr>
          <w:p w:rsidRPr="000403EE" w:rsidR="002A13FC" w:rsidP="002A13FC" w:rsidRDefault="002A13FC" w14:paraId="532378E3"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3805" w:type="pct"/>
          </w:tcPr>
          <w:p w:rsidRPr="000403EE" w:rsidR="00CE31B7" w:rsidP="002A13FC" w:rsidRDefault="00CE31B7" w14:paraId="7B23CF57" w14:textId="68FE005D">
            <w:pPr>
              <w:tabs>
                <w:tab w:val="center" w:pos="284"/>
              </w:tabs>
              <w:overflowPunct w:val="0"/>
              <w:autoSpaceDE w:val="0"/>
              <w:autoSpaceDN w:val="0"/>
              <w:adjustRightInd w:val="0"/>
              <w:ind w:left="266" w:hanging="266"/>
              <w:textAlignment w:val="baseline"/>
            </w:pPr>
            <w:r w:rsidRPr="000403EE">
              <w:t>Γνωμοδότηση κατηγορίας Γ</w:t>
            </w:r>
          </w:p>
          <w:p w:rsidRPr="000403EE" w:rsidR="002A13FC" w:rsidP="002A13FC" w:rsidRDefault="002A13FC" w14:paraId="12E1830B" w14:textId="6DC35F16">
            <w:pPr>
              <w:tabs>
                <w:tab w:val="center" w:pos="284"/>
              </w:tabs>
              <w:overflowPunct w:val="0"/>
              <w:autoSpaceDE w:val="0"/>
              <w:autoSpaceDN w:val="0"/>
              <w:adjustRightInd w:val="0"/>
              <w:ind w:left="266" w:hanging="266"/>
              <w:textAlignment w:val="baseline"/>
            </w:pPr>
            <w:r w:rsidRPr="000403EE">
              <w:t>COM(2024) 517 final</w:t>
            </w:r>
          </w:p>
        </w:tc>
      </w:tr>
      <w:tr w:rsidRPr="000403EE" w:rsidR="002A13FC" w:rsidTr="00863A8F" w14:paraId="68912AFA" w14:textId="77777777">
        <w:tc>
          <w:tcPr>
            <w:tcW w:w="1195" w:type="pct"/>
            <w:vMerge/>
          </w:tcPr>
          <w:p w:rsidRPr="000403EE" w:rsidR="002A13FC" w:rsidP="002A13FC" w:rsidRDefault="002A13FC" w14:paraId="22265788" w14:textId="77777777">
            <w:pPr>
              <w:tabs>
                <w:tab w:val="center" w:pos="284"/>
              </w:tabs>
              <w:overflowPunct w:val="0"/>
              <w:autoSpaceDE w:val="0"/>
              <w:autoSpaceDN w:val="0"/>
              <w:adjustRightInd w:val="0"/>
              <w:ind w:left="266" w:hanging="266"/>
              <w:textAlignment w:val="baseline"/>
              <w:rPr>
                <w:b/>
              </w:rPr>
            </w:pPr>
          </w:p>
        </w:tc>
        <w:tc>
          <w:tcPr>
            <w:tcW w:w="3805" w:type="pct"/>
          </w:tcPr>
          <w:p w:rsidRPr="000403EE" w:rsidR="002A13FC" w:rsidP="002A13FC" w:rsidRDefault="002A13FC" w14:paraId="33F8BDAB" w14:textId="77777777">
            <w:pPr>
              <w:tabs>
                <w:tab w:val="center" w:pos="284"/>
              </w:tabs>
              <w:overflowPunct w:val="0"/>
              <w:autoSpaceDE w:val="0"/>
              <w:autoSpaceDN w:val="0"/>
              <w:adjustRightInd w:val="0"/>
              <w:ind w:left="266" w:hanging="266"/>
              <w:textAlignment w:val="baseline"/>
            </w:pPr>
            <w:r w:rsidRPr="000403EE">
              <w:t>EESC-2024-04230-00-00-AC</w:t>
            </w:r>
          </w:p>
        </w:tc>
      </w:tr>
    </w:tbl>
    <w:p w:rsidRPr="000403EE" w:rsidR="002A13FC" w:rsidP="002A13FC" w:rsidRDefault="002A13FC" w14:paraId="242A9B34" w14:textId="77777777">
      <w:pPr>
        <w:tabs>
          <w:tab w:val="center" w:pos="284"/>
        </w:tabs>
        <w:overflowPunct w:val="0"/>
        <w:autoSpaceDE w:val="0"/>
        <w:autoSpaceDN w:val="0"/>
        <w:adjustRightInd w:val="0"/>
        <w:ind w:left="266" w:hanging="266"/>
        <w:textAlignment w:val="baseline"/>
      </w:pPr>
    </w:p>
    <w:p w:rsidRPr="000403EE" w:rsidR="002A13FC" w:rsidP="002A13FC" w:rsidRDefault="002A13FC" w14:paraId="1190E054" w14:textId="0C35EB10">
      <w:pPr>
        <w:keepNext/>
        <w:keepLines/>
        <w:tabs>
          <w:tab w:val="center" w:pos="284"/>
        </w:tabs>
        <w:overflowPunct w:val="0"/>
        <w:autoSpaceDE w:val="0"/>
        <w:autoSpaceDN w:val="0"/>
        <w:adjustRightInd w:val="0"/>
        <w:ind w:left="266" w:hanging="266"/>
        <w:textAlignment w:val="baseline"/>
        <w:rPr>
          <w:b/>
        </w:rPr>
      </w:pPr>
    </w:p>
    <w:p w:rsidRPr="000403EE"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rPr>
      </w:pPr>
    </w:p>
    <w:p w:rsidRPr="000403EE" w:rsidR="002A13FC" w:rsidP="00643D0B" w:rsidRDefault="002A13FC" w14:paraId="3D57F1E3" w14:textId="69C4E208">
      <w:pPr>
        <w:widowControl w:val="0"/>
        <w:overflowPunct w:val="0"/>
        <w:autoSpaceDE w:val="0"/>
        <w:autoSpaceDN w:val="0"/>
        <w:adjustRightInd w:val="0"/>
        <w:textAlignment w:val="baseline"/>
        <w:rPr>
          <w:bCs/>
          <w:iCs/>
        </w:rPr>
      </w:pPr>
      <w:r w:rsidRPr="000403EE">
        <w:t>Η ΕΟΚΕ θεωρεί ότι η πρόταση της Επιτροπής είναι απολύτως ικανοποιητική και δεν χρήζει περαιτέρω σχολίων εκ μέρους της.</w:t>
      </w:r>
    </w:p>
    <w:p w:rsidRPr="000403EE" w:rsidR="002A13FC" w:rsidP="002A13FC" w:rsidRDefault="002A13FC" w14:paraId="71E76289" w14:textId="77777777">
      <w:pPr>
        <w:widowControl w:val="0"/>
        <w:overflowPunct w:val="0"/>
        <w:autoSpaceDE w:val="0"/>
        <w:autoSpaceDN w:val="0"/>
        <w:adjustRightInd w:val="0"/>
        <w:ind w:left="709"/>
        <w:textAlignment w:val="baseline"/>
        <w:rPr>
          <w:szCs w:val="20"/>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5158"/>
      </w:tblGrid>
      <w:tr w:rsidRPr="000403EE" w:rsidR="002A13FC" w:rsidTr="00863A8F" w14:paraId="72F37C45" w14:textId="77777777">
        <w:tc>
          <w:tcPr>
            <w:tcW w:w="1168" w:type="pct"/>
          </w:tcPr>
          <w:p w:rsidRPr="000403EE" w:rsidR="002A13FC" w:rsidP="00643D0B" w:rsidRDefault="002A13FC" w14:paraId="54BC1023" w14:textId="77777777">
            <w:pPr>
              <w:overflowPunct w:val="0"/>
              <w:autoSpaceDE w:val="0"/>
              <w:autoSpaceDN w:val="0"/>
              <w:adjustRightInd w:val="0"/>
              <w:spacing w:line="240" w:lineRule="auto"/>
              <w:ind w:hanging="110"/>
              <w:textAlignment w:val="baseline"/>
              <w:rPr>
                <w:i/>
              </w:rPr>
            </w:pPr>
            <w:r w:rsidRPr="000403EE">
              <w:rPr>
                <w:b/>
                <w:i/>
              </w:rPr>
              <w:t>Επικοινωνία</w:t>
            </w:r>
          </w:p>
        </w:tc>
        <w:tc>
          <w:tcPr>
            <w:tcW w:w="3832" w:type="pct"/>
          </w:tcPr>
          <w:p w:rsidRPr="000403EE" w:rsidR="002A13FC" w:rsidP="00643D0B" w:rsidRDefault="002A13FC" w14:paraId="4DC3FDFC" w14:textId="77777777">
            <w:pPr>
              <w:overflowPunct w:val="0"/>
              <w:autoSpaceDE w:val="0"/>
              <w:autoSpaceDN w:val="0"/>
              <w:adjustRightInd w:val="0"/>
              <w:spacing w:line="240" w:lineRule="auto"/>
              <w:ind w:hanging="110"/>
              <w:textAlignment w:val="baseline"/>
              <w:rPr>
                <w:i/>
              </w:rPr>
            </w:pPr>
            <w:r w:rsidRPr="000403EE">
              <w:rPr>
                <w:i/>
              </w:rPr>
              <w:t>Nicolas Stenger</w:t>
            </w:r>
          </w:p>
        </w:tc>
      </w:tr>
      <w:tr w:rsidRPr="000403EE" w:rsidR="002A13FC" w:rsidTr="00863A8F" w14:paraId="0049C80A" w14:textId="77777777">
        <w:tc>
          <w:tcPr>
            <w:tcW w:w="1168" w:type="pct"/>
          </w:tcPr>
          <w:p w:rsidRPr="000403EE" w:rsidR="002A13FC" w:rsidP="00643D0B" w:rsidRDefault="002A13FC" w14:paraId="01F3471A" w14:textId="77777777">
            <w:pPr>
              <w:overflowPunct w:val="0"/>
              <w:autoSpaceDE w:val="0"/>
              <w:autoSpaceDN w:val="0"/>
              <w:adjustRightInd w:val="0"/>
              <w:spacing w:line="240" w:lineRule="auto"/>
              <w:ind w:hanging="110"/>
              <w:textAlignment w:val="baseline"/>
              <w:rPr>
                <w:i/>
              </w:rPr>
            </w:pPr>
            <w:r w:rsidRPr="000403EE">
              <w:rPr>
                <w:i/>
              </w:rPr>
              <w:t>Τηλ.</w:t>
            </w:r>
          </w:p>
        </w:tc>
        <w:tc>
          <w:tcPr>
            <w:tcW w:w="3832" w:type="pct"/>
          </w:tcPr>
          <w:p w:rsidRPr="000403EE" w:rsidR="002A13FC" w:rsidP="00643D0B" w:rsidRDefault="002A13FC" w14:paraId="6CFB5070" w14:textId="77777777">
            <w:pPr>
              <w:overflowPunct w:val="0"/>
              <w:autoSpaceDE w:val="0"/>
              <w:autoSpaceDN w:val="0"/>
              <w:adjustRightInd w:val="0"/>
              <w:spacing w:line="240" w:lineRule="auto"/>
              <w:ind w:hanging="110"/>
              <w:textAlignment w:val="baseline"/>
              <w:rPr>
                <w:i/>
              </w:rPr>
            </w:pPr>
            <w:r w:rsidRPr="000403EE">
              <w:rPr>
                <w:i/>
              </w:rPr>
              <w:t>+32 25468152</w:t>
            </w:r>
          </w:p>
        </w:tc>
      </w:tr>
      <w:tr w:rsidRPr="000403EE" w:rsidR="002A13FC" w:rsidTr="00863A8F" w14:paraId="43A18F24" w14:textId="77777777">
        <w:tc>
          <w:tcPr>
            <w:tcW w:w="1168" w:type="pct"/>
          </w:tcPr>
          <w:p w:rsidRPr="000403EE" w:rsidR="002A13FC" w:rsidP="00643D0B" w:rsidRDefault="002A13FC" w14:paraId="298BC8AE" w14:textId="77777777">
            <w:pPr>
              <w:overflowPunct w:val="0"/>
              <w:autoSpaceDE w:val="0"/>
              <w:autoSpaceDN w:val="0"/>
              <w:adjustRightInd w:val="0"/>
              <w:spacing w:line="240" w:lineRule="auto"/>
              <w:ind w:hanging="110"/>
              <w:textAlignment w:val="baseline"/>
              <w:rPr>
                <w:i/>
              </w:rPr>
            </w:pPr>
            <w:r w:rsidRPr="000403EE">
              <w:rPr>
                <w:i/>
              </w:rPr>
              <w:t>Ηλ. δ/νση</w:t>
            </w:r>
          </w:p>
        </w:tc>
        <w:tc>
          <w:tcPr>
            <w:tcW w:w="3832" w:type="pct"/>
          </w:tcPr>
          <w:p w:rsidRPr="000403EE" w:rsidR="002A13FC" w:rsidP="00643D0B" w:rsidRDefault="00913BEC" w14:paraId="729E72A8" w14:textId="77777777">
            <w:pPr>
              <w:overflowPunct w:val="0"/>
              <w:autoSpaceDE w:val="0"/>
              <w:autoSpaceDN w:val="0"/>
              <w:adjustRightInd w:val="0"/>
              <w:spacing w:line="240" w:lineRule="auto"/>
              <w:ind w:hanging="110"/>
              <w:textAlignment w:val="baseline"/>
              <w:rPr>
                <w:i/>
              </w:rPr>
            </w:pPr>
            <w:hyperlink w:history="1" r:id="rId40">
              <w:r w:rsidRPr="000403EE" w:rsidR="002A13FC">
                <w:rPr>
                  <w:i/>
                  <w:color w:val="0000FF"/>
                  <w:u w:val="single"/>
                </w:rPr>
                <w:t>Nicolas.Stenger@eesc.europa.eu</w:t>
              </w:r>
            </w:hyperlink>
          </w:p>
        </w:tc>
      </w:tr>
    </w:tbl>
    <w:p w:rsidRPr="000403EE" w:rsidR="00061C9F" w:rsidRDefault="00061C9F" w14:paraId="4F6C2D4F" w14:textId="77777777">
      <w:pPr>
        <w:spacing w:after="160" w:line="259" w:lineRule="auto"/>
        <w:jc w:val="left"/>
      </w:pPr>
    </w:p>
    <w:p w:rsidRPr="000403EE" w:rsidR="00061C9F" w:rsidRDefault="00061C9F" w14:paraId="6C8F4034" w14:textId="77777777">
      <w:pPr>
        <w:spacing w:after="160" w:line="259" w:lineRule="auto"/>
        <w:jc w:val="left"/>
      </w:pPr>
      <w:r w:rsidRPr="000403EE">
        <w:br w:type="page"/>
      </w:r>
    </w:p>
    <w:p w:rsidRPr="000403EE" w:rsidR="00395E32" w:rsidP="004B5D3D" w:rsidRDefault="00913BEC" w14:paraId="62C3FE5B" w14:textId="41203F2C">
      <w:pPr>
        <w:widowControl w:val="0"/>
        <w:numPr>
          <w:ilvl w:val="0"/>
          <w:numId w:val="2"/>
        </w:numPr>
        <w:ind w:hanging="851"/>
        <w:rPr>
          <w:b/>
          <w:bCs/>
          <w:i/>
          <w:iCs/>
          <w:sz w:val="28"/>
          <w:szCs w:val="28"/>
        </w:rPr>
      </w:pPr>
      <w:hyperlink w:history="1" r:id="rId41">
        <w:r w:rsidRPr="000403EE" w:rsidR="00064B8D">
          <w:rPr>
            <w:b/>
            <w:i/>
            <w:color w:val="0000FF"/>
            <w:sz w:val="28"/>
            <w:u w:val="single"/>
          </w:rPr>
          <w:t>Τροποποίηση του Ευρωπαϊκού Γεωργικού Ταμείου Αγροτικής Ανάπτυξης (ΕΓΤΑΑ) για την παροχή πρόσθετης βοήθειας στα κράτη μέλη που έχουν πληγεί από φυσικές καταστροφές</w:t>
        </w:r>
      </w:hyperlink>
    </w:p>
    <w:p w:rsidRPr="000403EE" w:rsidR="004B5D3D" w:rsidP="00643D0B" w:rsidRDefault="004B5D3D" w14:paraId="126B4C34" w14:textId="77777777">
      <w:pPr>
        <w:widowControl w:val="0"/>
        <w:ind w:left="568"/>
        <w:rPr>
          <w:b/>
          <w:bCs/>
          <w:i/>
          <w:iCs/>
          <w:sz w:val="28"/>
          <w:szCs w:val="28"/>
        </w:rPr>
      </w:pPr>
    </w:p>
    <w:p w:rsidRPr="000403EE" w:rsidR="00395E32" w:rsidP="00395E32" w:rsidRDefault="00395E32" w14:paraId="1401CD51" w14:textId="77777777">
      <w:pPr>
        <w:tabs>
          <w:tab w:val="center" w:pos="284"/>
        </w:tabs>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0403EE" w:rsidR="00395E32" w:rsidTr="00643D0B" w14:paraId="507B4647" w14:textId="77777777">
        <w:trPr>
          <w:trHeight w:val="543"/>
        </w:trPr>
        <w:tc>
          <w:tcPr>
            <w:tcW w:w="1266" w:type="pct"/>
          </w:tcPr>
          <w:p w:rsidRPr="000403EE" w:rsidR="00395E32" w:rsidP="00FE31E1" w:rsidRDefault="00395E32" w14:paraId="242E5141" w14:textId="77777777">
            <w:pPr>
              <w:tabs>
                <w:tab w:val="center" w:pos="284"/>
              </w:tabs>
              <w:ind w:left="266" w:right="-958" w:hanging="266"/>
              <w:rPr>
                <w:b/>
              </w:rPr>
            </w:pPr>
            <w:r w:rsidRPr="000403EE">
              <w:rPr>
                <w:b/>
              </w:rPr>
              <w:t>Γενικός εισηγητής</w:t>
            </w:r>
          </w:p>
        </w:tc>
        <w:tc>
          <w:tcPr>
            <w:tcW w:w="3734" w:type="pct"/>
          </w:tcPr>
          <w:p w:rsidRPr="000403EE" w:rsidR="00395E32" w:rsidP="00395E32" w:rsidRDefault="00395E32" w14:paraId="1FEFE044" w14:textId="77777777">
            <w:pPr>
              <w:tabs>
                <w:tab w:val="center" w:pos="284"/>
              </w:tabs>
              <w:ind w:left="266" w:hanging="266"/>
            </w:pPr>
            <w:r w:rsidRPr="000403EE">
              <w:t>Peter SCHMIDT (Ομάδα των Εργαζομένων – DE)</w:t>
            </w:r>
          </w:p>
        </w:tc>
      </w:tr>
      <w:tr w:rsidRPr="000403EE" w:rsidR="00395E32" w:rsidTr="00643D0B" w14:paraId="6C1C462C" w14:textId="77777777">
        <w:trPr>
          <w:trHeight w:val="275"/>
        </w:trPr>
        <w:tc>
          <w:tcPr>
            <w:tcW w:w="1266" w:type="pct"/>
          </w:tcPr>
          <w:p w:rsidRPr="000403EE" w:rsidR="00395E32" w:rsidP="008E08F5" w:rsidRDefault="00395E32" w14:paraId="2443E6C3" w14:textId="77777777">
            <w:pPr>
              <w:tabs>
                <w:tab w:val="center" w:pos="457"/>
              </w:tabs>
              <w:ind w:left="266" w:hanging="266"/>
              <w:rPr>
                <w:b/>
              </w:rPr>
            </w:pPr>
            <w:r w:rsidRPr="000403EE">
              <w:rPr>
                <w:b/>
              </w:rPr>
              <w:t>Έγγραφα αναφοράς</w:t>
            </w:r>
          </w:p>
        </w:tc>
        <w:tc>
          <w:tcPr>
            <w:tcW w:w="3734" w:type="pct"/>
          </w:tcPr>
          <w:p w:rsidRPr="000403EE" w:rsidR="00FE31E1" w:rsidP="00395E32" w:rsidRDefault="00FE31E1" w14:paraId="1D9397FC" w14:textId="226D9C40">
            <w:pPr>
              <w:tabs>
                <w:tab w:val="center" w:pos="284"/>
              </w:tabs>
              <w:ind w:left="266" w:hanging="266"/>
            </w:pPr>
            <w:r w:rsidRPr="000403EE">
              <w:t xml:space="preserve">COM(2024) 495 final </w:t>
            </w:r>
          </w:p>
          <w:p w:rsidRPr="000403EE" w:rsidR="00395E32" w:rsidP="00395E32" w:rsidRDefault="00395E32" w14:paraId="5BF89FEE" w14:textId="4A14DDF3">
            <w:pPr>
              <w:tabs>
                <w:tab w:val="center" w:pos="284"/>
              </w:tabs>
              <w:ind w:left="266" w:hanging="266"/>
            </w:pPr>
            <w:r w:rsidRPr="000403EE">
              <w:t>EESC-2024-04085-00-00-AC</w:t>
            </w:r>
          </w:p>
        </w:tc>
      </w:tr>
    </w:tbl>
    <w:p w:rsidRPr="000403EE" w:rsidR="00395E32" w:rsidP="00395E32" w:rsidRDefault="00395E32" w14:paraId="13BD0896" w14:textId="77777777">
      <w:pPr>
        <w:ind w:left="266" w:hanging="266"/>
        <w:rPr>
          <w:b/>
        </w:rPr>
      </w:pPr>
    </w:p>
    <w:p w:rsidRPr="000403EE" w:rsidR="00395E32" w:rsidP="00395E32" w:rsidRDefault="00395E32" w14:paraId="55FF2D0B" w14:textId="77777777">
      <w:pPr>
        <w:ind w:left="266" w:hanging="266"/>
        <w:rPr>
          <w:b/>
        </w:rPr>
      </w:pPr>
      <w:r w:rsidRPr="000403EE">
        <w:rPr>
          <w:b/>
        </w:rPr>
        <w:t>Κύρια σημεία</w:t>
      </w:r>
    </w:p>
    <w:p w:rsidRPr="000403EE" w:rsidR="00395E32" w:rsidP="00395E32" w:rsidRDefault="00395E32" w14:paraId="396FF4EF" w14:textId="77777777">
      <w:pPr>
        <w:tabs>
          <w:tab w:val="center" w:pos="284"/>
        </w:tabs>
        <w:ind w:left="266" w:hanging="266"/>
        <w:rPr>
          <w:b/>
          <w:sz w:val="16"/>
          <w:szCs w:val="16"/>
        </w:rPr>
      </w:pPr>
    </w:p>
    <w:p w:rsidRPr="000403EE" w:rsidR="00395E32" w:rsidP="00395E32" w:rsidRDefault="00395E32" w14:paraId="17144AEB" w14:textId="77777777">
      <w:pPr>
        <w:rPr>
          <w:bCs/>
          <w:iCs/>
        </w:rPr>
      </w:pPr>
      <w:r w:rsidRPr="000403EE">
        <w:t>Η ΕΟΚΕ:</w:t>
      </w:r>
    </w:p>
    <w:p w:rsidRPr="000403EE" w:rsidR="008E08F5" w:rsidP="00395E32" w:rsidRDefault="008E08F5" w14:paraId="35B79CF5" w14:textId="77777777">
      <w:pPr>
        <w:rPr>
          <w:bCs/>
          <w:iCs/>
        </w:rPr>
      </w:pPr>
    </w:p>
    <w:p w:rsidRPr="000403EE" w:rsidR="00395E32" w:rsidP="00643D0B" w:rsidRDefault="00395E32" w14:paraId="008AE7E6" w14:textId="77777777">
      <w:pPr>
        <w:numPr>
          <w:ilvl w:val="0"/>
          <w:numId w:val="29"/>
        </w:numPr>
        <w:ind w:left="426" w:hanging="426"/>
      </w:pPr>
      <w:r w:rsidRPr="000403EE">
        <w:rPr>
          <w:b/>
        </w:rPr>
        <w:t>υποστηρίζει την αρχή της άμεσης αρωγής σε περιπτώσεις καταστροφών</w:t>
      </w:r>
      <w:r w:rsidRPr="000403EE">
        <w:t xml:space="preserve"> και αναγνωρίζει την επείγουσα ανάγκη για ανάληψη ταχείας δράσης ούτως ώστε οι πληττόμενες κοινότητες να μπορούν να λαμβάνουν άμεση βοήθεια·</w:t>
      </w:r>
    </w:p>
    <w:p w:rsidRPr="000403EE" w:rsidR="00395E32" w:rsidP="00643D0B" w:rsidRDefault="00395E32" w14:paraId="6BEF23D1" w14:textId="77777777">
      <w:pPr>
        <w:numPr>
          <w:ilvl w:val="0"/>
          <w:numId w:val="29"/>
        </w:numPr>
        <w:ind w:left="426" w:hanging="426"/>
        <w:rPr>
          <w:b/>
          <w:bCs/>
        </w:rPr>
      </w:pPr>
      <w:r w:rsidRPr="000403EE">
        <w:t xml:space="preserve">επισημαίνει την κλιμακούμενη συχνότητα και δριμύτητα των φαινομένων που προκαλούνται από το κλίμα, τονίζοντας τον δυσανάλογο αντίκτυπο στις αγροτικές περιοχές και την </w:t>
      </w:r>
      <w:r w:rsidRPr="000403EE">
        <w:rPr>
          <w:b/>
        </w:rPr>
        <w:t>ανάγκη να δοθεί προτεραιότητα στην ανθεκτικότητά τους</w:t>
      </w:r>
      <w:r w:rsidRPr="000403EE">
        <w:t>·</w:t>
      </w:r>
    </w:p>
    <w:p w:rsidRPr="000403EE" w:rsidR="00395E32" w:rsidP="00643D0B" w:rsidRDefault="00395E32" w14:paraId="503DEAC8" w14:textId="77777777">
      <w:pPr>
        <w:numPr>
          <w:ilvl w:val="0"/>
          <w:numId w:val="29"/>
        </w:numPr>
        <w:ind w:left="426" w:hanging="426"/>
      </w:pPr>
      <w:r w:rsidRPr="000403EE">
        <w:t xml:space="preserve">τονίζει την ανάγκη </w:t>
      </w:r>
      <w:r w:rsidRPr="000403EE">
        <w:rPr>
          <w:b/>
        </w:rPr>
        <w:t>διασφάλισης των προϋπολογισμών αγροτικής ανάπτυξης</w:t>
      </w:r>
      <w:r w:rsidRPr="000403EE">
        <w:t>, προειδοποιώντας για τις επανειλημμένες ανακατανομές που ενέχουν τον κίνδυνο υπονόμευσης της μακροπρόθεσμης αγροτικής ανάπτυξης και σταθερότητας·</w:t>
      </w:r>
    </w:p>
    <w:p w:rsidRPr="000403EE" w:rsidR="00395E32" w:rsidP="00643D0B" w:rsidRDefault="00395E32" w14:paraId="7264E893" w14:textId="77777777">
      <w:pPr>
        <w:numPr>
          <w:ilvl w:val="0"/>
          <w:numId w:val="29"/>
        </w:numPr>
        <w:ind w:left="426" w:hanging="426"/>
      </w:pPr>
      <w:r w:rsidRPr="000403EE">
        <w:rPr>
          <w:b/>
        </w:rPr>
        <w:t>συνιστά τη δημιουργία ενός ειδικού ταμείου της ΕΕ για τις κλιματικές καταστροφές</w:t>
      </w:r>
      <w:r w:rsidRPr="000403EE">
        <w:t>, εμπνευσμένου από το Ταμείο απωλειών και ζημιών που δημιουργήθηκε κατά την COP28, για την αντιμετώπιση των εσωτερικών καταστροφών που σχετίζονται με το κλίμα, χωρίς να υπονομεύονται οι διεθνείς δεσμεύσεις ή οι υφιστάμενοι χρηματοδοτικοί μηχανισμοί της ΕΕ·</w:t>
      </w:r>
    </w:p>
    <w:p w:rsidRPr="000403EE" w:rsidR="00395E32" w:rsidP="00643D0B" w:rsidRDefault="00395E32" w14:paraId="243B3B27" w14:textId="77777777">
      <w:pPr>
        <w:numPr>
          <w:ilvl w:val="0"/>
          <w:numId w:val="29"/>
        </w:numPr>
        <w:ind w:left="426" w:hanging="426"/>
      </w:pPr>
      <w:r w:rsidRPr="000403EE">
        <w:rPr>
          <w:b/>
        </w:rPr>
        <w:t>ζητεί μεγαλύτερες επενδύσεις στην πρόληψη, ιδίως σε λύσεις που βασίζονται στη φύση</w:t>
      </w:r>
      <w:r w:rsidRPr="000403EE">
        <w:t>, οι οποίες είναι οικονομικά αποδοτικές, ενισχύουν την ανθεκτικότητα και μειώνουν την οικονομική και κοινωνική επιβάρυνση των μηχανισμών αντιμετώπισης καταστάσεων έκτακτης ανάγκης·</w:t>
      </w:r>
    </w:p>
    <w:p w:rsidRPr="000403EE" w:rsidR="00395E32" w:rsidP="00643D0B" w:rsidRDefault="00395E32" w14:paraId="0F590271" w14:textId="77777777">
      <w:pPr>
        <w:numPr>
          <w:ilvl w:val="0"/>
          <w:numId w:val="29"/>
        </w:numPr>
        <w:ind w:left="426" w:hanging="426"/>
      </w:pPr>
      <w:r w:rsidRPr="000403EE">
        <w:t xml:space="preserve">εκφράζει την ικανοποίησή της για τις </w:t>
      </w:r>
      <w:r w:rsidRPr="000403EE">
        <w:rPr>
          <w:b/>
        </w:rPr>
        <w:t>απλουστευμένες διαδικασίες που προτείνονται για την αντιμετώπιση καταστροφών</w:t>
      </w:r>
      <w:r w:rsidRPr="000403EE">
        <w:t xml:space="preserve"> και ενθαρρύνει την ενσωμάτωσή τους στις μελλοντικές πολιτικές προς διασφάλιση αποτελεσματικότερης αντιμετώπισης των κρίσεων·</w:t>
      </w:r>
    </w:p>
    <w:p w:rsidRPr="000403EE" w:rsidR="00395E32" w:rsidP="00643D0B" w:rsidRDefault="00395E32" w14:paraId="64BF5029" w14:textId="77777777">
      <w:pPr>
        <w:numPr>
          <w:ilvl w:val="0"/>
          <w:numId w:val="29"/>
        </w:numPr>
        <w:ind w:left="426" w:hanging="426"/>
      </w:pPr>
      <w:r w:rsidRPr="000403EE">
        <w:t xml:space="preserve">ζητεί επιτακτικά την </w:t>
      </w:r>
      <w:r w:rsidRPr="000403EE">
        <w:rPr>
          <w:b/>
        </w:rPr>
        <w:t>ανάπτυξη ενός προορατικού, συντονισμένου πλαισίου της ΕΕ για ετοιμότητα έναντι των καταστροφών</w:t>
      </w:r>
      <w:r w:rsidRPr="000403EE">
        <w:t xml:space="preserve">, το οποίο θα περιλαμβάνει προληπτικά μέτρα, αυξημένη χρηματοδότηση και μακροπρόθεσμο σχεδιασμό για την </w:t>
      </w:r>
      <w:r w:rsidRPr="000403EE">
        <w:rPr>
          <w:b/>
        </w:rPr>
        <w:t>αποτελεσματική αντιμετώπιση των τρωτών σημείων</w:t>
      </w:r>
      <w:r w:rsidRPr="000403EE">
        <w:t>·</w:t>
      </w:r>
    </w:p>
    <w:p w:rsidRPr="000403EE" w:rsidR="00395E32" w:rsidP="00643D0B" w:rsidRDefault="00395E32" w14:paraId="1A732E0E" w14:textId="77777777">
      <w:pPr>
        <w:numPr>
          <w:ilvl w:val="0"/>
          <w:numId w:val="29"/>
        </w:numPr>
        <w:ind w:left="426" w:hanging="426"/>
      </w:pPr>
      <w:r w:rsidRPr="000403EE">
        <w:t xml:space="preserve">τονίζει τη </w:t>
      </w:r>
      <w:r w:rsidRPr="000403EE">
        <w:rPr>
          <w:b/>
        </w:rPr>
        <w:t>σημασία του μακροπρόθεσμου σχεδιασμού ανθεκτικότητας</w:t>
      </w:r>
      <w:r w:rsidRPr="000403EE">
        <w:t>, που ευθυγραμμίζεται με το μακροπρόθεσμο όραμα της ΕΕ για τις αγροτικές περιοχές και διασφαλίζει μια ισορροπημένη προσέγγιση όσον αφορά τα προορατικά και αντιδραστικά μέτρα.</w:t>
      </w:r>
    </w:p>
    <w:p w:rsidRPr="000403EE" w:rsidR="00395E32" w:rsidP="00395E32" w:rsidRDefault="00395E32" w14:paraId="4FBA9DE9" w14:textId="77777777">
      <w:pPr>
        <w:widowControl w:val="0"/>
        <w:ind w:left="284" w:hanging="284"/>
        <w:rPr>
          <w:sz w:val="16"/>
          <w:szCs w:val="16"/>
        </w:rPr>
      </w:pPr>
    </w:p>
    <w:p w:rsidRPr="000403EE" w:rsidR="006F2520" w:rsidP="00395E32" w:rsidRDefault="006F2520" w14:paraId="7AE5FF32" w14:textId="77777777">
      <w:pPr>
        <w:widowControl w:val="0"/>
        <w:ind w:left="284" w:hanging="284"/>
        <w:rPr>
          <w:sz w:val="16"/>
          <w:szCs w:val="16"/>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395E32" w:rsidTr="00863A8F" w14:paraId="2B50A26D" w14:textId="77777777">
        <w:tc>
          <w:tcPr>
            <w:tcW w:w="1556" w:type="pct"/>
          </w:tcPr>
          <w:p w:rsidRPr="000403EE" w:rsidR="00395E32" w:rsidP="00395E32" w:rsidRDefault="00395E32" w14:paraId="4548D0C8" w14:textId="77777777">
            <w:pPr>
              <w:spacing w:line="240" w:lineRule="auto"/>
              <w:rPr>
                <w:i/>
              </w:rPr>
            </w:pPr>
            <w:r w:rsidRPr="000403EE">
              <w:rPr>
                <w:b/>
                <w:i/>
              </w:rPr>
              <w:t>Επικοινωνία</w:t>
            </w:r>
          </w:p>
        </w:tc>
        <w:tc>
          <w:tcPr>
            <w:tcW w:w="3444" w:type="pct"/>
          </w:tcPr>
          <w:p w:rsidRPr="000403EE" w:rsidR="00395E32" w:rsidP="00395E32" w:rsidRDefault="00395E32" w14:paraId="157E5A08" w14:textId="22562244">
            <w:pPr>
              <w:spacing w:line="240" w:lineRule="auto"/>
              <w:rPr>
                <w:i/>
              </w:rPr>
            </w:pPr>
            <w:r w:rsidRPr="000403EE">
              <w:rPr>
                <w:i/>
              </w:rPr>
              <w:t>Nicolas Stenger</w:t>
            </w:r>
          </w:p>
        </w:tc>
      </w:tr>
      <w:tr w:rsidRPr="000403EE" w:rsidR="00395E32" w:rsidTr="00863A8F" w14:paraId="1084C0B0" w14:textId="77777777">
        <w:tc>
          <w:tcPr>
            <w:tcW w:w="1556" w:type="pct"/>
          </w:tcPr>
          <w:p w:rsidRPr="000403EE" w:rsidR="00395E32" w:rsidP="00395E32" w:rsidRDefault="00395E32" w14:paraId="4F73E7F1" w14:textId="77777777">
            <w:pPr>
              <w:spacing w:line="240" w:lineRule="auto"/>
              <w:rPr>
                <w:i/>
              </w:rPr>
            </w:pPr>
            <w:r w:rsidRPr="000403EE">
              <w:rPr>
                <w:i/>
              </w:rPr>
              <w:t>Τηλ.</w:t>
            </w:r>
          </w:p>
        </w:tc>
        <w:tc>
          <w:tcPr>
            <w:tcW w:w="3444" w:type="pct"/>
          </w:tcPr>
          <w:p w:rsidRPr="000403EE" w:rsidR="00395E32" w:rsidP="00395E32" w:rsidRDefault="00395E32" w14:paraId="2C95F92B" w14:textId="77777777">
            <w:pPr>
              <w:spacing w:line="240" w:lineRule="auto"/>
              <w:rPr>
                <w:i/>
              </w:rPr>
            </w:pPr>
            <w:r w:rsidRPr="000403EE">
              <w:rPr>
                <w:i/>
              </w:rPr>
              <w:t>+32 25468152</w:t>
            </w:r>
          </w:p>
        </w:tc>
      </w:tr>
      <w:tr w:rsidRPr="000403EE" w:rsidR="00395E32" w:rsidTr="00863A8F" w14:paraId="12481E84" w14:textId="77777777">
        <w:tc>
          <w:tcPr>
            <w:tcW w:w="1556" w:type="pct"/>
          </w:tcPr>
          <w:p w:rsidRPr="000403EE" w:rsidR="00395E32" w:rsidP="00395E32" w:rsidRDefault="00395E32" w14:paraId="4FE0E027" w14:textId="77777777">
            <w:pPr>
              <w:spacing w:line="240" w:lineRule="auto"/>
              <w:rPr>
                <w:i/>
              </w:rPr>
            </w:pPr>
            <w:r w:rsidRPr="000403EE">
              <w:rPr>
                <w:i/>
              </w:rPr>
              <w:t>Ηλ. δ/νση</w:t>
            </w:r>
          </w:p>
        </w:tc>
        <w:tc>
          <w:tcPr>
            <w:tcW w:w="3444" w:type="pct"/>
          </w:tcPr>
          <w:p w:rsidRPr="000403EE" w:rsidR="00395E32" w:rsidP="00395E32" w:rsidRDefault="00913BEC" w14:paraId="01040533" w14:textId="77777777">
            <w:pPr>
              <w:spacing w:line="240" w:lineRule="auto"/>
              <w:rPr>
                <w:i/>
              </w:rPr>
            </w:pPr>
            <w:hyperlink w:history="1" r:id="rId42">
              <w:r w:rsidRPr="000403EE" w:rsidR="00064B8D">
                <w:rPr>
                  <w:i/>
                  <w:color w:val="0000FF"/>
                  <w:u w:val="single"/>
                </w:rPr>
                <w:t>Nicolas.Stenger@eesc.europa.eu</w:t>
              </w:r>
            </w:hyperlink>
          </w:p>
        </w:tc>
      </w:tr>
    </w:tbl>
    <w:p w:rsidRPr="000403EE" w:rsidR="00C768AC" w:rsidRDefault="00C768AC" w14:paraId="035A101C" w14:textId="77777777">
      <w:pPr>
        <w:spacing w:after="160" w:line="259" w:lineRule="auto"/>
        <w:jc w:val="left"/>
      </w:pPr>
      <w:r w:rsidRPr="000403EE">
        <w:br w:type="page"/>
      </w:r>
    </w:p>
    <w:p w:rsidRPr="000403EE" w:rsidR="00395E32" w:rsidRDefault="00395E32" w14:paraId="7DDBE706" w14:textId="77777777">
      <w:pPr>
        <w:spacing w:after="160" w:line="259" w:lineRule="auto"/>
        <w:jc w:val="left"/>
      </w:pPr>
    </w:p>
    <w:p w:rsidRPr="000403EE" w:rsidR="00826962" w:rsidP="004B5D3D" w:rsidRDefault="00913BEC"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Pr="000403EE" w:rsidR="00064B8D">
          <w:rPr>
            <w:b/>
            <w:i/>
            <w:color w:val="0000FF"/>
            <w:sz w:val="28"/>
            <w:u w:val="single"/>
          </w:rPr>
          <w:t>Προς μια νομοθετική πρόταση για τη δίκαιη μετάβαση και μέσα πολιτικής της ΕΕ που προωθούν μια πιο κοινωνική Ευρωπαϊκή Πράσινη Συμφωνία</w:t>
        </w:r>
      </w:hyperlink>
    </w:p>
    <w:p w:rsidRPr="000403EE"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eastAsia="zh-CN"/>
        </w:rPr>
      </w:pPr>
    </w:p>
    <w:p w:rsidRPr="000403EE" w:rsidR="00826962" w:rsidP="00826962" w:rsidRDefault="00826962" w14:paraId="1F7C2F50" w14:textId="77777777">
      <w:pPr>
        <w:widowControl w:val="0"/>
        <w:overflowPunct w:val="0"/>
        <w:autoSpaceDE w:val="0"/>
        <w:autoSpaceDN w:val="0"/>
        <w:adjustRightInd w:val="0"/>
        <w:ind w:left="567"/>
        <w:textAlignment w:val="baseline"/>
        <w:rPr>
          <w:bCs/>
          <w:sz w:val="16"/>
          <w:szCs w:val="16"/>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403EE" w:rsidR="00826962" w:rsidTr="00863A8F" w14:paraId="5EE0B9C4" w14:textId="77777777">
        <w:tc>
          <w:tcPr>
            <w:tcW w:w="1701" w:type="dxa"/>
          </w:tcPr>
          <w:p w:rsidRPr="000403EE" w:rsidR="00826962" w:rsidP="00826962" w:rsidRDefault="00826962" w14:paraId="7A2FE21B"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6096" w:type="dxa"/>
          </w:tcPr>
          <w:p w:rsidRPr="000403EE" w:rsidR="00826962" w:rsidP="00826962" w:rsidRDefault="00826962" w14:paraId="1A02220B" w14:textId="77777777">
            <w:pPr>
              <w:tabs>
                <w:tab w:val="center" w:pos="284"/>
              </w:tabs>
              <w:overflowPunct w:val="0"/>
              <w:autoSpaceDE w:val="0"/>
              <w:autoSpaceDN w:val="0"/>
              <w:adjustRightInd w:val="0"/>
              <w:ind w:left="266" w:hanging="266"/>
              <w:textAlignment w:val="baseline"/>
              <w:rPr>
                <w:b/>
                <w:bCs/>
              </w:rPr>
            </w:pPr>
            <w:r w:rsidRPr="000403EE">
              <w:rPr>
                <w:b/>
              </w:rPr>
              <w:t xml:space="preserve">Dirk BERGRATH </w:t>
            </w:r>
            <w:r w:rsidRPr="000403EE">
              <w:t>(Ομάδα των Εργαζομένων – DE)</w:t>
            </w:r>
          </w:p>
        </w:tc>
      </w:tr>
      <w:tr w:rsidRPr="000403EE" w:rsidR="00826962" w:rsidTr="00863A8F" w14:paraId="2C238AB2" w14:textId="77777777">
        <w:tc>
          <w:tcPr>
            <w:tcW w:w="7797" w:type="dxa"/>
            <w:gridSpan w:val="2"/>
          </w:tcPr>
          <w:p w:rsidRPr="000403EE"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0403EE" w:rsidR="00826962" w:rsidTr="00863A8F" w14:paraId="1C41560F" w14:textId="77777777">
        <w:tc>
          <w:tcPr>
            <w:tcW w:w="1701" w:type="dxa"/>
          </w:tcPr>
          <w:p w:rsidRPr="000403EE" w:rsidR="00826962" w:rsidP="00826962" w:rsidRDefault="00826962" w14:paraId="6A8C9612"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6096" w:type="dxa"/>
          </w:tcPr>
          <w:p w:rsidRPr="000403EE" w:rsidR="006F2520" w:rsidP="00826962" w:rsidRDefault="006F2520" w14:paraId="3B7EBB53" w14:textId="043B8B38">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826962" w:rsidP="00826962" w:rsidRDefault="00826962" w14:paraId="2E660E5A" w14:textId="45D9D432">
            <w:pPr>
              <w:tabs>
                <w:tab w:val="center" w:pos="284"/>
              </w:tabs>
              <w:overflowPunct w:val="0"/>
              <w:autoSpaceDE w:val="0"/>
              <w:autoSpaceDN w:val="0"/>
              <w:adjustRightInd w:val="0"/>
              <w:ind w:left="266" w:hanging="266"/>
              <w:textAlignment w:val="baseline"/>
            </w:pPr>
            <w:r w:rsidRPr="000403EE">
              <w:t>EESC-2024-01077-00-00-AC</w:t>
            </w:r>
          </w:p>
        </w:tc>
      </w:tr>
    </w:tbl>
    <w:p w:rsidRPr="000403EE"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rPr>
      </w:pPr>
    </w:p>
    <w:p w:rsidRPr="000403EE"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sidRPr="000403EE">
        <w:rPr>
          <w:b/>
        </w:rPr>
        <w:t>Κύρια σημεία</w:t>
      </w:r>
    </w:p>
    <w:p w:rsidRPr="000403EE"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Pr="000403EE" w:rsidR="00826962" w:rsidP="00826962" w:rsidRDefault="00826962" w14:paraId="6D8CA6D8" w14:textId="77777777">
      <w:pPr>
        <w:overflowPunct w:val="0"/>
        <w:autoSpaceDE w:val="0"/>
        <w:autoSpaceDN w:val="0"/>
        <w:adjustRightInd w:val="0"/>
        <w:spacing w:line="240" w:lineRule="auto"/>
        <w:textAlignment w:val="baseline"/>
        <w:rPr>
          <w:bCs/>
          <w:iCs/>
        </w:rPr>
      </w:pPr>
      <w:r w:rsidRPr="000403EE">
        <w:t>Η ΕΟΚΕ:</w:t>
      </w:r>
    </w:p>
    <w:p w:rsidRPr="000403EE" w:rsidR="00F34F7E" w:rsidP="00826962" w:rsidRDefault="00F34F7E" w14:paraId="01806982" w14:textId="77777777">
      <w:pPr>
        <w:overflowPunct w:val="0"/>
        <w:autoSpaceDE w:val="0"/>
        <w:autoSpaceDN w:val="0"/>
        <w:adjustRightInd w:val="0"/>
        <w:spacing w:line="240" w:lineRule="auto"/>
        <w:textAlignment w:val="baseline"/>
        <w:rPr>
          <w:bCs/>
          <w:iCs/>
        </w:rPr>
      </w:pPr>
    </w:p>
    <w:p w:rsidRPr="000403EE" w:rsidR="00826962" w:rsidP="00643D0B"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rPr>
      </w:pPr>
      <w:r w:rsidRPr="000403EE">
        <w:t xml:space="preserve">τονίζει τη σημασία της δίκαιης μετάβασης στην ΕΕ σύμφωνα με τις στρατηγικές προτεραιότητες και τις πολιτικές κατευθυντήριες γραμμές της Ευρωπαϊκής Επιτροπής για την περίοδο 2024-2029. Η </w:t>
      </w:r>
      <w:r w:rsidRPr="000403EE">
        <w:rPr>
          <w:b/>
        </w:rPr>
        <w:t>δίκαιη μετάβαση θα έχει ιδιαίτερη επίδραση στον κόσμο της εργασίας</w:t>
      </w:r>
      <w:r w:rsidRPr="000403EE">
        <w:t>, επηρεάζοντας όλους τους τομείς, τις περιφέρειες, τις θέσεις εργασίας και τις δεξιότητες (συμπεριλαμβανομένων των έμφυλων και διαγενεακών πτυχών, καθώς και των ευάλωτων ομάδων), την πρόνοια, τη συνεργασία μεταξύ των κρατών μελών, τη διακυβέρνηση, την επιχειρηματικότητα και τις επιχειρήσεις (ιδίως τις μικρομεσαίες επιχειρήσεις), όπως και τη χρηματοδότηση και τις επενδύσεις·</w:t>
      </w:r>
    </w:p>
    <w:p w:rsidRPr="000403EE" w:rsidR="00826962" w:rsidP="00643D0B" w:rsidRDefault="00826962" w14:paraId="6941C36F" w14:textId="77777777">
      <w:pPr>
        <w:pStyle w:val="ListParagraph"/>
        <w:numPr>
          <w:ilvl w:val="1"/>
          <w:numId w:val="32"/>
        </w:numPr>
        <w:overflowPunct w:val="0"/>
        <w:autoSpaceDE w:val="0"/>
        <w:autoSpaceDN w:val="0"/>
        <w:adjustRightInd w:val="0"/>
        <w:ind w:left="426" w:hanging="426"/>
        <w:textAlignment w:val="baseline"/>
        <w:outlineLvl w:val="1"/>
        <w:rPr>
          <w:szCs w:val="20"/>
        </w:rPr>
      </w:pPr>
      <w:r w:rsidRPr="000403EE">
        <w:t xml:space="preserve">τονίζει την </w:t>
      </w:r>
      <w:r w:rsidRPr="000403EE">
        <w:rPr>
          <w:b/>
        </w:rPr>
        <w:t>ανάγκη για μια ολοκληρωμένη δέσμη μέτρων πολιτικής</w:t>
      </w:r>
      <w:r w:rsidRPr="000403EE">
        <w:t xml:space="preserve"> για τον κόσμο της εργασίας η οποία θα ενσωματώνει τα υφιστάμενα εργαλεία σε επίπεδο ΕΕ και θα παρέχει επαρκή περιθώρια στα κράτη μέλη να υιοθετήσουν κατάλληλες λύσεις σε εθνικό και περιφερειακό επίπεδο·</w:t>
      </w:r>
    </w:p>
    <w:p w:rsidRPr="000403EE" w:rsidR="00826962" w:rsidP="00643D0B" w:rsidRDefault="00826962" w14:paraId="1AF37675" w14:textId="77777777">
      <w:pPr>
        <w:pStyle w:val="ListParagraph"/>
        <w:numPr>
          <w:ilvl w:val="1"/>
          <w:numId w:val="32"/>
        </w:numPr>
        <w:overflowPunct w:val="0"/>
        <w:autoSpaceDE w:val="0"/>
        <w:autoSpaceDN w:val="0"/>
        <w:adjustRightInd w:val="0"/>
        <w:ind w:left="426" w:hanging="426"/>
        <w:textAlignment w:val="baseline"/>
        <w:outlineLvl w:val="1"/>
        <w:rPr>
          <w:szCs w:val="20"/>
        </w:rPr>
      </w:pPr>
      <w:r w:rsidRPr="000403EE">
        <w:t xml:space="preserve">ζητεί μια </w:t>
      </w:r>
      <w:r w:rsidRPr="000403EE">
        <w:rPr>
          <w:b/>
        </w:rPr>
        <w:t>δέσμη μέτρων πολιτικής για τη δίκαιη μετάβαση</w:t>
      </w:r>
      <w:r w:rsidRPr="000403EE">
        <w:t xml:space="preserve"> του κόσμου της εργασίας μέσω της πρόβλεψης και της διαχείρισης της αλλαγής, με κατευθυντήριες αρχές τον κοινωνικό διάλογο και τις συλλογικές διαπραγματεύσεις.</w:t>
      </w:r>
    </w:p>
    <w:p w:rsidRPr="000403EE" w:rsidR="00826962" w:rsidP="00643D0B"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rPr>
      </w:pPr>
      <w:r w:rsidRPr="000403EE">
        <w:t>Η εν λόγω δέσμη μέτρων πολιτικής θα πρέπει να περιλαμβάνει μέτρα όπως:</w:t>
      </w:r>
    </w:p>
    <w:p w:rsidRPr="000403EE"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pPr>
      <w:r w:rsidRPr="000403EE">
        <w:t>τη διεξαγωγή χαρτογράφησης των αναγκών σε δεξιότητες και των στρατηγικών·</w:t>
      </w:r>
    </w:p>
    <w:p w:rsidRPr="000403EE"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pPr>
      <w:r w:rsidRPr="000403EE">
        <w:t>την κατάρτιση και την εφαρμογή κατάλληλων προγραμμάτων ανάπτυξης δεξιοτήτων·</w:t>
      </w:r>
    </w:p>
    <w:p w:rsidRPr="000403EE"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rPr>
      </w:pPr>
      <w:r w:rsidRPr="000403EE">
        <w:t>την καθιέρωση ουσιαστικού και εκτελεστού δικαιώματος πρόσβασης σε πλήρως αμειβόμενες ώρες κατάρτισης για όλους τους εργαζομένους·</w:t>
      </w:r>
    </w:p>
    <w:p w:rsidRPr="000403EE"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pPr>
      <w:r w:rsidRPr="000403EE">
        <w:t>την εξασφάλιση της θέσπισης αποτελεσματικών συστημάτων συμμετοχής και αποτελεσματικής ενημέρωσης των εργαζομένων και διαβούλευσης με αυτούς σε εταιρικό επίπεδο σύμφωνα με τους ισχύοντες κανόνες·</w:t>
      </w:r>
    </w:p>
    <w:p w:rsidRPr="000403EE"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pPr>
      <w:r w:rsidRPr="000403EE">
        <w:t>την ενσωμάτωση πρωτοβουλιών δίκαιης μετάβασης στην εφαρμογή του ευρωπαϊκού πυλώνα κοινωνικών δικαιωμάτων και του Ευρωπαϊκού Εξαμήνου·</w:t>
      </w:r>
    </w:p>
    <w:p w:rsidRPr="000403EE"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pPr>
      <w:r w:rsidRPr="000403EE">
        <w:t xml:space="preserve">την παροχή ισχυρών κινήτρων στις εταιρείες ώστε: </w:t>
      </w:r>
    </w:p>
    <w:p w:rsidRPr="000403EE" w:rsidR="00826962" w:rsidP="00643D0B"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rPr>
      </w:pPr>
      <w:r w:rsidRPr="000403EE">
        <w:t xml:space="preserve">να δίνουν </w:t>
      </w:r>
      <w:r w:rsidRPr="000403EE">
        <w:rPr>
          <w:b/>
        </w:rPr>
        <w:t>προτεραιότητα στην αναβάθμιση των δεξιοτήτων</w:t>
      </w:r>
      <w:r w:rsidRPr="000403EE">
        <w:t xml:space="preserve"> των νυν εργαζομένων για την κάλυψη των ελλείψεων δεξιοτήτων·</w:t>
      </w:r>
    </w:p>
    <w:p w:rsidRPr="000403EE" w:rsidR="00826962" w:rsidP="00643D0B"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rPr>
      </w:pPr>
      <w:r w:rsidRPr="000403EE">
        <w:t xml:space="preserve">να προβαίνουν σε ανάπτυξη, δημοσίευση και τακτική επικαιροποίηση </w:t>
      </w:r>
      <w:r w:rsidRPr="000403EE">
        <w:rPr>
          <w:b/>
        </w:rPr>
        <w:t>εταιρικών σχεδίων μετάβασης</w:t>
      </w:r>
      <w:r w:rsidRPr="000403EE">
        <w:t>·</w:t>
      </w:r>
    </w:p>
    <w:p w:rsidRPr="000403EE" w:rsidR="00826962" w:rsidP="00643D0B"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rPr>
      </w:pPr>
      <w:r w:rsidRPr="000403EE">
        <w:t>και να ενθαρρύνουν την επιβολή αυξημένων εισφορών για τη μαθητεία και την κατάρτιση σύμφωνα με τα εθνικά πρότυπα για τη μερική χρηματοδότηση της κατάρτισης των εργαζομένων σε περιφερειακό επίπεδο·</w:t>
      </w:r>
    </w:p>
    <w:p w:rsidRPr="000403EE" w:rsidR="00826962" w:rsidP="00643D0B"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rPr>
      </w:pPr>
      <w:r w:rsidRPr="000403EE">
        <w:lastRenderedPageBreak/>
        <w:t xml:space="preserve">συνιστά </w:t>
      </w:r>
      <w:r w:rsidRPr="000403EE">
        <w:rPr>
          <w:b/>
        </w:rPr>
        <w:t>αναλυτικές δραστηριότητες χαρτογράφησης για τη διασφάλιση της ευαισθητοποίησης ως προς τις προκλήσεις και τις ευκαιρίες της μετάβασης</w:t>
      </w:r>
      <w:r w:rsidRPr="000403EE">
        <w:t>. Το παρατηρητήριο δίκαιης μετάβασης μπορεί να ηγηθεί της χαρτογράφησης των πολιτικών και των βέλτιστων πρακτικών, και να στηρίξει τα κράτη μέλη με δεδομένα και παρακολούθηση·</w:t>
      </w:r>
    </w:p>
    <w:p w:rsidRPr="000403EE" w:rsidR="00826962" w:rsidP="00643D0B" w:rsidRDefault="00826962" w14:paraId="4041C321" w14:textId="77777777">
      <w:pPr>
        <w:pStyle w:val="ListParagraph"/>
        <w:numPr>
          <w:ilvl w:val="0"/>
          <w:numId w:val="32"/>
        </w:numPr>
        <w:overflowPunct w:val="0"/>
        <w:autoSpaceDE w:val="0"/>
        <w:autoSpaceDN w:val="0"/>
        <w:adjustRightInd w:val="0"/>
        <w:ind w:left="426" w:hanging="426"/>
        <w:textAlignment w:val="baseline"/>
        <w:rPr>
          <w:szCs w:val="20"/>
        </w:rPr>
      </w:pPr>
      <w:r w:rsidRPr="000403EE">
        <w:t xml:space="preserve">καλεί την Ευρωπαϊκή Επιτροπή και τα κράτη μέλη να </w:t>
      </w:r>
      <w:r w:rsidRPr="000403EE">
        <w:rPr>
          <w:b/>
        </w:rPr>
        <w:t>διασφαλίσουν επαρκή χρηματοδότηση</w:t>
      </w:r>
      <w:r w:rsidRPr="000403EE">
        <w:t xml:space="preserve"> μέσω της ενίσχυσης του Ταμείου Δίκαιης Μετάβασης και του Κοινωνικού Ταμείου για το Κλίμα και </w:t>
      </w:r>
      <w:r w:rsidRPr="000403EE">
        <w:rPr>
          <w:b/>
        </w:rPr>
        <w:t>μέσω της ενίσχυσης και της σύνδεσης άλλων μεθόδων χρηματοδότησης</w:t>
      </w:r>
      <w:r w:rsidRPr="000403EE">
        <w:t>, όπως η προσαρμογή των εθνικών φορολογικών συστημάτων και η άντληση ιδιωτικής χρηματοδότησης για τη μετάβαση.</w:t>
      </w:r>
    </w:p>
    <w:p w:rsidRPr="000403EE" w:rsidR="00826962" w:rsidP="00826962" w:rsidRDefault="00826962" w14:paraId="35E7AA65" w14:textId="77777777">
      <w:pPr>
        <w:overflowPunct w:val="0"/>
        <w:autoSpaceDE w:val="0"/>
        <w:autoSpaceDN w:val="0"/>
        <w:adjustRightInd w:val="0"/>
        <w:spacing w:line="240" w:lineRule="auto"/>
        <w:textAlignment w:val="baseline"/>
        <w:rPr>
          <w:sz w:val="16"/>
          <w:szCs w:val="16"/>
        </w:rPr>
      </w:pPr>
    </w:p>
    <w:p w:rsidRPr="000403EE" w:rsidR="00C34B13" w:rsidP="00826962" w:rsidRDefault="00C34B13" w14:paraId="198C6038" w14:textId="77777777">
      <w:pPr>
        <w:overflowPunct w:val="0"/>
        <w:autoSpaceDE w:val="0"/>
        <w:autoSpaceDN w:val="0"/>
        <w:adjustRightInd w:val="0"/>
        <w:spacing w:line="240" w:lineRule="auto"/>
        <w:textAlignment w:val="baseline"/>
        <w:rPr>
          <w:sz w:val="16"/>
          <w:szCs w:val="16"/>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0403EE" w:rsidR="00826962" w:rsidTr="00863A8F" w14:paraId="4CC0AE38" w14:textId="77777777">
        <w:tc>
          <w:tcPr>
            <w:tcW w:w="1634" w:type="dxa"/>
          </w:tcPr>
          <w:p w:rsidRPr="000403EE" w:rsidR="00826962" w:rsidP="00643D0B" w:rsidRDefault="00826962" w14:paraId="1380C3A1" w14:textId="77777777">
            <w:pPr>
              <w:overflowPunct w:val="0"/>
              <w:autoSpaceDE w:val="0"/>
              <w:autoSpaceDN w:val="0"/>
              <w:adjustRightInd w:val="0"/>
              <w:spacing w:line="240" w:lineRule="auto"/>
              <w:ind w:left="709" w:hanging="393"/>
              <w:textAlignment w:val="baseline"/>
              <w:rPr>
                <w:i/>
              </w:rPr>
            </w:pPr>
            <w:r w:rsidRPr="000403EE">
              <w:rPr>
                <w:b/>
                <w:i/>
              </w:rPr>
              <w:t>Επικοινωνία</w:t>
            </w:r>
          </w:p>
        </w:tc>
        <w:tc>
          <w:tcPr>
            <w:tcW w:w="5670" w:type="dxa"/>
          </w:tcPr>
          <w:p w:rsidRPr="000403EE" w:rsidR="00826962" w:rsidP="00643D0B" w:rsidRDefault="00826962" w14:paraId="4DDDB049" w14:textId="709CFDFF">
            <w:pPr>
              <w:overflowPunct w:val="0"/>
              <w:autoSpaceDE w:val="0"/>
              <w:autoSpaceDN w:val="0"/>
              <w:adjustRightInd w:val="0"/>
              <w:spacing w:line="240" w:lineRule="auto"/>
              <w:ind w:left="709" w:hanging="393"/>
              <w:textAlignment w:val="baseline"/>
              <w:rPr>
                <w:i/>
              </w:rPr>
            </w:pPr>
            <w:r w:rsidRPr="000403EE">
              <w:t>Nicolas Stenger</w:t>
            </w:r>
          </w:p>
        </w:tc>
      </w:tr>
      <w:tr w:rsidRPr="000403EE" w:rsidR="00826962" w:rsidTr="00863A8F" w14:paraId="3B11FE8D" w14:textId="77777777">
        <w:tc>
          <w:tcPr>
            <w:tcW w:w="1634" w:type="dxa"/>
          </w:tcPr>
          <w:p w:rsidRPr="000403EE" w:rsidR="00826962" w:rsidP="00643D0B" w:rsidRDefault="00826962" w14:paraId="16E8820C" w14:textId="77777777">
            <w:pPr>
              <w:overflowPunct w:val="0"/>
              <w:autoSpaceDE w:val="0"/>
              <w:autoSpaceDN w:val="0"/>
              <w:adjustRightInd w:val="0"/>
              <w:spacing w:line="240" w:lineRule="auto"/>
              <w:ind w:left="709" w:hanging="393"/>
              <w:textAlignment w:val="baseline"/>
              <w:rPr>
                <w:i/>
              </w:rPr>
            </w:pPr>
            <w:r w:rsidRPr="000403EE">
              <w:rPr>
                <w:i/>
              </w:rPr>
              <w:t>Τηλ.</w:t>
            </w:r>
          </w:p>
        </w:tc>
        <w:tc>
          <w:tcPr>
            <w:tcW w:w="5670" w:type="dxa"/>
          </w:tcPr>
          <w:p w:rsidRPr="000403EE" w:rsidR="00826962" w:rsidP="00643D0B" w:rsidRDefault="00826962" w14:paraId="70D1C8D1" w14:textId="77777777">
            <w:pPr>
              <w:overflowPunct w:val="0"/>
              <w:autoSpaceDE w:val="0"/>
              <w:autoSpaceDN w:val="0"/>
              <w:adjustRightInd w:val="0"/>
              <w:spacing w:line="240" w:lineRule="auto"/>
              <w:ind w:left="709" w:hanging="393"/>
              <w:textAlignment w:val="baseline"/>
              <w:rPr>
                <w:i/>
                <w:iCs/>
              </w:rPr>
            </w:pPr>
            <w:r w:rsidRPr="000403EE">
              <w:rPr>
                <w:i/>
              </w:rPr>
              <w:t>+32 25468152</w:t>
            </w:r>
          </w:p>
        </w:tc>
      </w:tr>
      <w:tr w:rsidRPr="000403EE" w:rsidR="00826962" w:rsidTr="00863A8F" w14:paraId="5D4735FD" w14:textId="77777777">
        <w:tc>
          <w:tcPr>
            <w:tcW w:w="1634" w:type="dxa"/>
          </w:tcPr>
          <w:p w:rsidRPr="000403EE" w:rsidR="00826962" w:rsidP="00643D0B" w:rsidRDefault="005A452F" w14:paraId="3C5F2E2E" w14:textId="50AE576F">
            <w:pPr>
              <w:overflowPunct w:val="0"/>
              <w:autoSpaceDE w:val="0"/>
              <w:autoSpaceDN w:val="0"/>
              <w:adjustRightInd w:val="0"/>
              <w:spacing w:line="240" w:lineRule="auto"/>
              <w:ind w:left="709" w:hanging="393"/>
              <w:textAlignment w:val="baseline"/>
              <w:rPr>
                <w:i/>
              </w:rPr>
            </w:pPr>
            <w:r w:rsidRPr="000403EE">
              <w:rPr>
                <w:i/>
              </w:rPr>
              <w:t>Ηλ. δ/νση</w:t>
            </w:r>
          </w:p>
        </w:tc>
        <w:tc>
          <w:tcPr>
            <w:tcW w:w="5670" w:type="dxa"/>
          </w:tcPr>
          <w:p w:rsidRPr="000403EE" w:rsidR="00826962" w:rsidP="00643D0B" w:rsidRDefault="00913BEC" w14:paraId="2A7B7513" w14:textId="77777777">
            <w:pPr>
              <w:overflowPunct w:val="0"/>
              <w:autoSpaceDE w:val="0"/>
              <w:autoSpaceDN w:val="0"/>
              <w:adjustRightInd w:val="0"/>
              <w:spacing w:line="240" w:lineRule="auto"/>
              <w:ind w:left="709" w:hanging="393"/>
              <w:textAlignment w:val="baseline"/>
              <w:rPr>
                <w:i/>
                <w:iCs/>
                <w:color w:val="0000FF"/>
                <w:u w:val="single"/>
              </w:rPr>
            </w:pPr>
            <w:hyperlink w:history="1" r:id="rId44">
              <w:r w:rsidRPr="000403EE" w:rsidR="00826962">
                <w:rPr>
                  <w:i/>
                  <w:color w:val="0000FF"/>
                  <w:u w:val="single"/>
                </w:rPr>
                <w:t>Nicolas.Stenger@eesc.europa.eu</w:t>
              </w:r>
            </w:hyperlink>
          </w:p>
        </w:tc>
      </w:tr>
    </w:tbl>
    <w:p w:rsidRPr="000403EE" w:rsidR="00C70B4C" w:rsidRDefault="00C70B4C" w14:paraId="2B905F39" w14:textId="58595445">
      <w:pPr>
        <w:spacing w:after="160" w:line="259" w:lineRule="auto"/>
        <w:jc w:val="left"/>
      </w:pPr>
      <w:r w:rsidRPr="000403EE">
        <w:br w:type="page"/>
      </w:r>
    </w:p>
    <w:p w:rsidRPr="000403EE" w:rsidR="007F5784" w:rsidP="006D6D4E" w:rsidRDefault="007F5784" w14:paraId="14026A78" w14:textId="4FAE1588">
      <w:pPr>
        <w:pStyle w:val="Heading1"/>
        <w:keepNext/>
        <w:keepLines/>
        <w:rPr>
          <w:b/>
        </w:rPr>
      </w:pPr>
      <w:bookmarkStart w:name="_Toc178009608" w:id="12"/>
      <w:r w:rsidRPr="000403EE">
        <w:rPr>
          <w:b/>
        </w:rPr>
        <w:lastRenderedPageBreak/>
        <w:t>ΕΞΩΤΕΡΙΚΕΣ ΣΧΕΣΕΙΣ</w:t>
      </w:r>
      <w:bookmarkEnd w:id="12"/>
    </w:p>
    <w:p w:rsidRPr="000403EE" w:rsidR="007F5784" w:rsidP="006D6D4E" w:rsidRDefault="007F5784" w14:paraId="3BBB3E68" w14:textId="77777777">
      <w:pPr>
        <w:keepNext/>
        <w:keepLines/>
      </w:pPr>
    </w:p>
    <w:p w:rsidRPr="000403EE" w:rsidR="00B96875" w:rsidP="00B96875" w:rsidRDefault="00913BEC"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Pr="000403EE" w:rsidR="00064B8D">
          <w:rPr>
            <w:b/>
            <w:i/>
            <w:color w:val="0000FF"/>
            <w:sz w:val="28"/>
            <w:u w:val="single"/>
          </w:rPr>
          <w:t>Απόφαση για την ερμηνεία και την εφαρμογή της Συνθήκης για τον Χάρτη Ενέργειας</w:t>
        </w:r>
      </w:hyperlink>
    </w:p>
    <w:p w:rsidRPr="000403EE" w:rsidR="00B96875" w:rsidP="00B96875" w:rsidRDefault="00B96875" w14:paraId="5B43C9D5" w14:textId="77777777">
      <w:pPr>
        <w:tabs>
          <w:tab w:val="center" w:pos="284"/>
        </w:tabs>
        <w:overflowPunct w:val="0"/>
        <w:autoSpaceDE w:val="0"/>
        <w:autoSpaceDN w:val="0"/>
        <w:adjustRightInd w:val="0"/>
        <w:ind w:left="266" w:hanging="266"/>
        <w:textAlignment w:val="baseline"/>
        <w:rPr>
          <w: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0403EE" w:rsidR="00B96875" w:rsidTr="00863A8F" w14:paraId="0BEC8599" w14:textId="77777777">
        <w:tc>
          <w:tcPr>
            <w:tcW w:w="1560" w:type="dxa"/>
          </w:tcPr>
          <w:p w:rsidRPr="000403EE" w:rsidR="00B96875" w:rsidP="00B96875" w:rsidRDefault="00B96875" w14:paraId="52A2CDD0" w14:textId="77777777">
            <w:pPr>
              <w:tabs>
                <w:tab w:val="center" w:pos="29"/>
              </w:tabs>
              <w:overflowPunct w:val="0"/>
              <w:autoSpaceDE w:val="0"/>
              <w:autoSpaceDN w:val="0"/>
              <w:adjustRightInd w:val="0"/>
              <w:ind w:left="171" w:hanging="266"/>
              <w:textAlignment w:val="baseline"/>
              <w:rPr>
                <w:b/>
              </w:rPr>
            </w:pPr>
            <w:r w:rsidRPr="000403EE">
              <w:rPr>
                <w:b/>
              </w:rPr>
              <w:t>Εισηγητής</w:t>
            </w:r>
          </w:p>
        </w:tc>
        <w:tc>
          <w:tcPr>
            <w:tcW w:w="5387" w:type="dxa"/>
          </w:tcPr>
          <w:p w:rsidRPr="000403EE" w:rsidR="00B96875" w:rsidP="00B96875" w:rsidRDefault="00B96875" w14:paraId="4ABE91CF" w14:textId="4B9F4B54">
            <w:pPr>
              <w:tabs>
                <w:tab w:val="center" w:pos="284"/>
              </w:tabs>
              <w:overflowPunct w:val="0"/>
              <w:autoSpaceDE w:val="0"/>
              <w:autoSpaceDN w:val="0"/>
              <w:adjustRightInd w:val="0"/>
              <w:ind w:left="266" w:hanging="266"/>
              <w:textAlignment w:val="baseline"/>
            </w:pPr>
            <w:r w:rsidRPr="000403EE">
              <w:t>Christophe QUAREZ (Ομάδα των Εργαζομένων – FR)</w:t>
            </w:r>
          </w:p>
        </w:tc>
      </w:tr>
      <w:tr w:rsidRPr="000403EE" w:rsidR="00B96875" w:rsidTr="00863A8F" w14:paraId="77C05020" w14:textId="77777777">
        <w:tc>
          <w:tcPr>
            <w:tcW w:w="6945" w:type="dxa"/>
            <w:gridSpan w:val="2"/>
          </w:tcPr>
          <w:p w:rsidRPr="000403EE"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pPr>
          </w:p>
        </w:tc>
      </w:tr>
      <w:tr w:rsidRPr="000403EE" w:rsidR="00B96875" w:rsidTr="00863A8F" w14:paraId="04A8380E" w14:textId="77777777">
        <w:tc>
          <w:tcPr>
            <w:tcW w:w="1560" w:type="dxa"/>
            <w:vMerge w:val="restart"/>
          </w:tcPr>
          <w:p w:rsidRPr="000403EE" w:rsidR="00B96875" w:rsidP="00B96875" w:rsidRDefault="00B96875" w14:paraId="27CED65C" w14:textId="77777777">
            <w:pPr>
              <w:tabs>
                <w:tab w:val="center" w:pos="29"/>
              </w:tabs>
              <w:overflowPunct w:val="0"/>
              <w:autoSpaceDE w:val="0"/>
              <w:autoSpaceDN w:val="0"/>
              <w:adjustRightInd w:val="0"/>
              <w:ind w:left="171" w:hanging="266"/>
              <w:textAlignment w:val="baseline"/>
              <w:rPr>
                <w:b/>
              </w:rPr>
            </w:pPr>
            <w:r w:rsidRPr="000403EE">
              <w:rPr>
                <w:b/>
              </w:rPr>
              <w:t xml:space="preserve">Έγγραφα αναφοράς </w:t>
            </w:r>
          </w:p>
        </w:tc>
        <w:tc>
          <w:tcPr>
            <w:tcW w:w="5387" w:type="dxa"/>
          </w:tcPr>
          <w:p w:rsidRPr="000403EE" w:rsidR="00B96875" w:rsidP="00B96875" w:rsidRDefault="00B96875" w14:paraId="45024F47" w14:textId="77777777">
            <w:pPr>
              <w:tabs>
                <w:tab w:val="center" w:pos="284"/>
              </w:tabs>
              <w:overflowPunct w:val="0"/>
              <w:autoSpaceDE w:val="0"/>
              <w:autoSpaceDN w:val="0"/>
              <w:adjustRightInd w:val="0"/>
              <w:ind w:left="266" w:hanging="266"/>
              <w:textAlignment w:val="baseline"/>
            </w:pPr>
            <w:r w:rsidRPr="000403EE">
              <w:t>COM(2024) 257 final</w:t>
            </w:r>
          </w:p>
        </w:tc>
      </w:tr>
      <w:tr w:rsidRPr="000403EE" w:rsidR="00B96875" w:rsidTr="00863A8F" w14:paraId="477DC2D7" w14:textId="77777777">
        <w:tc>
          <w:tcPr>
            <w:tcW w:w="1560" w:type="dxa"/>
            <w:vMerge/>
          </w:tcPr>
          <w:p w:rsidRPr="000403EE" w:rsidR="00B96875" w:rsidP="00B96875" w:rsidRDefault="00B96875" w14:paraId="447B1BB8" w14:textId="77777777">
            <w:pPr>
              <w:tabs>
                <w:tab w:val="center" w:pos="284"/>
              </w:tabs>
              <w:overflowPunct w:val="0"/>
              <w:autoSpaceDE w:val="0"/>
              <w:autoSpaceDN w:val="0"/>
              <w:adjustRightInd w:val="0"/>
              <w:ind w:left="266" w:hanging="266"/>
              <w:textAlignment w:val="baseline"/>
              <w:rPr>
                <w:b/>
              </w:rPr>
            </w:pPr>
          </w:p>
        </w:tc>
        <w:tc>
          <w:tcPr>
            <w:tcW w:w="5387" w:type="dxa"/>
          </w:tcPr>
          <w:p w:rsidRPr="000403EE"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pPr>
            <w:r w:rsidRPr="000403EE">
              <w:t>EESC-2024-03646-00-00-AC</w:t>
            </w:r>
          </w:p>
        </w:tc>
      </w:tr>
    </w:tbl>
    <w:p w:rsidRPr="000403EE"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rPr>
      </w:pPr>
    </w:p>
    <w:p w:rsidRPr="000403EE" w:rsidR="00B96875" w:rsidP="00B96875" w:rsidRDefault="00B96875" w14:paraId="3CF3B75C" w14:textId="77777777">
      <w:pPr>
        <w:overflowPunct w:val="0"/>
        <w:autoSpaceDE w:val="0"/>
        <w:autoSpaceDN w:val="0"/>
        <w:adjustRightInd w:val="0"/>
        <w:textAlignment w:val="baseline"/>
        <w:rPr>
          <w:bCs/>
          <w:iCs/>
        </w:rPr>
      </w:pPr>
      <w:r w:rsidRPr="000403EE">
        <w:t>Η ΕΟΚΕ:</w:t>
      </w:r>
    </w:p>
    <w:p w:rsidRPr="000403EE" w:rsidR="00B96875" w:rsidP="00B96875" w:rsidRDefault="00B96875" w14:paraId="6CCE0814" w14:textId="77777777">
      <w:pPr>
        <w:overflowPunct w:val="0"/>
        <w:autoSpaceDE w:val="0"/>
        <w:autoSpaceDN w:val="0"/>
        <w:adjustRightInd w:val="0"/>
        <w:textAlignment w:val="baseline"/>
        <w:rPr>
          <w:bCs/>
          <w:iCs/>
        </w:rPr>
      </w:pPr>
    </w:p>
    <w:p w:rsidRPr="000403EE" w:rsidR="00B96875" w:rsidP="00643D0B" w:rsidRDefault="00B96875" w14:paraId="3718E84B" w14:textId="77777777">
      <w:pPr>
        <w:widowControl w:val="0"/>
        <w:numPr>
          <w:ilvl w:val="0"/>
          <w:numId w:val="36"/>
        </w:numPr>
        <w:overflowPunct w:val="0"/>
        <w:autoSpaceDE w:val="0"/>
        <w:autoSpaceDN w:val="0"/>
        <w:adjustRightInd w:val="0"/>
        <w:ind w:left="284" w:hanging="284"/>
        <w:textAlignment w:val="baseline"/>
      </w:pPr>
      <w:r w:rsidRPr="000403EE">
        <w:rPr>
          <w:b/>
        </w:rPr>
        <w:t>εγκρίνει τη συμφωνία για την ερμηνεία και την εφαρμογή της Συνθήκης για τον Χάρτη Ενέργειας (ΣΧΕ)</w:t>
      </w:r>
      <w:r w:rsidRPr="000403EE">
        <w:t xml:space="preserve"> μεταξύ της ΕΕ, της Ευρατόμ και των κρατών μελών τους και σημειώνει την επίσημη αποχώρηση της ΕΕ από τη ΣΧΕ στις 27 Ιουνίου 2024·</w:t>
      </w:r>
    </w:p>
    <w:p w:rsidRPr="000403EE" w:rsidR="00B96875" w:rsidP="00643D0B" w:rsidRDefault="00B96875" w14:paraId="519456FE" w14:textId="77777777">
      <w:pPr>
        <w:widowControl w:val="0"/>
        <w:numPr>
          <w:ilvl w:val="0"/>
          <w:numId w:val="36"/>
        </w:numPr>
        <w:overflowPunct w:val="0"/>
        <w:autoSpaceDE w:val="0"/>
        <w:autoSpaceDN w:val="0"/>
        <w:adjustRightInd w:val="0"/>
        <w:ind w:left="284" w:hanging="284"/>
        <w:textAlignment w:val="baseline"/>
      </w:pPr>
      <w:r w:rsidRPr="000403EE">
        <w:t xml:space="preserve">συμφωνεί με το Δικαστήριο της Ευρωπαϊκής Ένωσης (ΔΕΕ) ότι το </w:t>
      </w:r>
      <w:r w:rsidRPr="000403EE">
        <w:rPr>
          <w:b/>
        </w:rPr>
        <w:t>άρθρο 26 παράγραφος 2 της ΣΧΕ δεν συνάδει με το δίκαιο της ΕΕ</w:t>
      </w:r>
      <w:r w:rsidRPr="000403EE">
        <w:t xml:space="preserve"> και τονίζει ότι η ΣΧΕ δεν προοριζόταν ποτέ για εφαρμογή στις ενδοενωσιακές σχέσεις·</w:t>
      </w:r>
    </w:p>
    <w:p w:rsidRPr="000403EE" w:rsidR="00B96875" w:rsidP="00643D0B" w:rsidRDefault="00B96875" w14:paraId="42DA2EA2" w14:textId="77777777">
      <w:pPr>
        <w:widowControl w:val="0"/>
        <w:numPr>
          <w:ilvl w:val="0"/>
          <w:numId w:val="36"/>
        </w:numPr>
        <w:overflowPunct w:val="0"/>
        <w:autoSpaceDE w:val="0"/>
        <w:autoSpaceDN w:val="0"/>
        <w:adjustRightInd w:val="0"/>
        <w:ind w:left="284" w:hanging="284"/>
        <w:textAlignment w:val="baseline"/>
      </w:pPr>
      <w:r w:rsidRPr="000403EE">
        <w:t xml:space="preserve">τονίζει ότι ο μηχανισμός επίλυσης διαφορών μεταξύ επενδυτών και κρατών της ΣΧΕ μπορεί να </w:t>
      </w:r>
      <w:r w:rsidRPr="000403EE">
        <w:rPr>
          <w:b/>
        </w:rPr>
        <w:t>υπονομεύσει το κράτος δικαίου, τη δημοκρατία, τη διαφάνεια και τη συνοχή</w:t>
      </w:r>
      <w:r w:rsidRPr="000403EE">
        <w:t>, επιτρέποντας στους επενδυτές να παρακάμπτουν τα εθνικά δικαστήρια και να προσβάλλουν την εθνική νομοθεσία που επηρεάζει τα αναμενόμενα κέρδη·</w:t>
      </w:r>
    </w:p>
    <w:p w:rsidRPr="000403EE" w:rsidR="00B96875" w:rsidP="00643D0B" w:rsidRDefault="00B96875" w14:paraId="473BC6F5" w14:textId="77777777">
      <w:pPr>
        <w:widowControl w:val="0"/>
        <w:numPr>
          <w:ilvl w:val="0"/>
          <w:numId w:val="36"/>
        </w:numPr>
        <w:overflowPunct w:val="0"/>
        <w:autoSpaceDE w:val="0"/>
        <w:autoSpaceDN w:val="0"/>
        <w:adjustRightInd w:val="0"/>
        <w:ind w:left="284" w:hanging="284"/>
        <w:textAlignment w:val="baseline"/>
      </w:pPr>
      <w:r w:rsidRPr="000403EE">
        <w:t xml:space="preserve">επισημαίνει ότι η </w:t>
      </w:r>
      <w:r w:rsidRPr="000403EE">
        <w:rPr>
          <w:b/>
        </w:rPr>
        <w:t>προστασία των επενδύσεων σε ορυκτά καύσιμα από τη ΣΧΕ έρχεται σε σύγκρουση με τους στόχους για το κλίμα</w:t>
      </w:r>
      <w:r w:rsidRPr="000403EE">
        <w:t>, όπως η Ευρωπαϊκή Πράσινη Συμφωνία και η συμφωνία του Παρισιού·</w:t>
      </w:r>
    </w:p>
    <w:p w:rsidRPr="000403EE" w:rsidR="00B96875" w:rsidP="00643D0B" w:rsidRDefault="00B96875" w14:paraId="5B4C7121" w14:textId="77777777">
      <w:pPr>
        <w:widowControl w:val="0"/>
        <w:numPr>
          <w:ilvl w:val="0"/>
          <w:numId w:val="36"/>
        </w:numPr>
        <w:overflowPunct w:val="0"/>
        <w:autoSpaceDE w:val="0"/>
        <w:autoSpaceDN w:val="0"/>
        <w:adjustRightInd w:val="0"/>
        <w:ind w:left="284" w:hanging="284"/>
        <w:textAlignment w:val="baseline"/>
      </w:pPr>
      <w:r w:rsidRPr="000403EE">
        <w:t xml:space="preserve">ενθαρρύνει </w:t>
      </w:r>
      <w:r w:rsidRPr="000403EE">
        <w:rPr>
          <w:b/>
        </w:rPr>
        <w:t>συμφωνίες με τρίτες χώρες</w:t>
      </w:r>
      <w:r w:rsidRPr="000403EE">
        <w:t xml:space="preserve">, όπως το Ηνωμένο Βασίλειο, για την εξάλειψη των κινδύνων διαιτησίας λόγω της εικοσαετούς ρήτρας λήξης ισχύος της ΣΧΕ· </w:t>
      </w:r>
    </w:p>
    <w:p w:rsidRPr="000403EE" w:rsidR="00B96875" w:rsidP="00643D0B" w:rsidRDefault="00B96875" w14:paraId="1E9CEDCF" w14:textId="77777777">
      <w:pPr>
        <w:widowControl w:val="0"/>
        <w:numPr>
          <w:ilvl w:val="0"/>
          <w:numId w:val="36"/>
        </w:numPr>
        <w:overflowPunct w:val="0"/>
        <w:autoSpaceDE w:val="0"/>
        <w:autoSpaceDN w:val="0"/>
        <w:adjustRightInd w:val="0"/>
        <w:ind w:left="284" w:hanging="284"/>
        <w:textAlignment w:val="baseline"/>
      </w:pPr>
      <w:r w:rsidRPr="000403EE">
        <w:t xml:space="preserve">ζητεί να διερευνηθούν νομικοί μηχανισμοί για την ακύρωση των επιπτώσεων της ρήτρας λήξης ισχύος, ώστε να αποτραπούν οι κίνδυνοι παρατεταμένης διαιτησίας που </w:t>
      </w:r>
      <w:r w:rsidRPr="000403EE">
        <w:rPr>
          <w:b/>
        </w:rPr>
        <w:t>θα μπορούσαν να παρεμποδίσουν τους στόχους της ΕΕ για το κλίμα και την ενεργειακή μετάβαση</w:t>
      </w:r>
      <w:r w:rsidRPr="000403EE">
        <w:t>·</w:t>
      </w:r>
    </w:p>
    <w:p w:rsidRPr="000403EE" w:rsidR="00B96875" w:rsidP="00643D0B" w:rsidRDefault="00B96875" w14:paraId="055BEA7B" w14:textId="77777777">
      <w:pPr>
        <w:widowControl w:val="0"/>
        <w:numPr>
          <w:ilvl w:val="0"/>
          <w:numId w:val="36"/>
        </w:numPr>
        <w:overflowPunct w:val="0"/>
        <w:autoSpaceDE w:val="0"/>
        <w:autoSpaceDN w:val="0"/>
        <w:adjustRightInd w:val="0"/>
        <w:ind w:left="284" w:hanging="284"/>
        <w:textAlignment w:val="baseline"/>
      </w:pPr>
      <w:r w:rsidRPr="000403EE">
        <w:t xml:space="preserve">παροτρύνει τα υπόλοιπα κράτη μέλη να εξετάσουν το ενδεχόμενο αποχώρησης από τη ΣΧΕ λόγω των διαχρονικών ζητημάτων της και </w:t>
      </w:r>
      <w:r w:rsidRPr="000403EE">
        <w:rPr>
          <w:b/>
        </w:rPr>
        <w:t>τάσσεται υπέρ της ανάπτυξης ενός νέου πολυμερούς πλαισίου συνεργασίας στον τομέα της ενέργειας</w:t>
      </w:r>
      <w:r w:rsidRPr="000403EE">
        <w:t xml:space="preserve"> το οποίο:</w:t>
      </w:r>
    </w:p>
    <w:p w:rsidRPr="000403EE" w:rsidR="00B96875" w:rsidP="00643D0B" w:rsidRDefault="00B96875" w14:paraId="323F20B7" w14:textId="77777777">
      <w:pPr>
        <w:widowControl w:val="0"/>
        <w:numPr>
          <w:ilvl w:val="0"/>
          <w:numId w:val="37"/>
        </w:numPr>
        <w:overflowPunct w:val="0"/>
        <w:autoSpaceDE w:val="0"/>
        <w:autoSpaceDN w:val="0"/>
        <w:adjustRightInd w:val="0"/>
        <w:textAlignment w:val="baseline"/>
      </w:pPr>
      <w:r w:rsidRPr="000403EE">
        <w:t>δίνει προτεραιότητα στις βιώσιμες και ανανεώσιμες πηγές ενέργειας·</w:t>
      </w:r>
    </w:p>
    <w:p w:rsidRPr="000403EE" w:rsidR="00B96875" w:rsidP="00643D0B" w:rsidRDefault="00B96875" w14:paraId="3AD6D084" w14:textId="77777777">
      <w:pPr>
        <w:widowControl w:val="0"/>
        <w:numPr>
          <w:ilvl w:val="0"/>
          <w:numId w:val="37"/>
        </w:numPr>
        <w:overflowPunct w:val="0"/>
        <w:autoSpaceDE w:val="0"/>
        <w:autoSpaceDN w:val="0"/>
        <w:adjustRightInd w:val="0"/>
        <w:textAlignment w:val="baseline"/>
      </w:pPr>
      <w:r w:rsidRPr="000403EE">
        <w:t xml:space="preserve">ευθυγραμμίζεται πλήρως με την </w:t>
      </w:r>
      <w:r w:rsidRPr="000403EE">
        <w:rPr>
          <w:b/>
        </w:rPr>
        <w:t>Ευρωπαϊκή Πράσινη Συμφωνία</w:t>
      </w:r>
      <w:r w:rsidRPr="000403EE">
        <w:t>·</w:t>
      </w:r>
    </w:p>
    <w:p w:rsidRPr="000403EE" w:rsidR="00B96875" w:rsidP="00643D0B" w:rsidRDefault="00B96875" w14:paraId="5E0A2F18" w14:textId="77777777">
      <w:pPr>
        <w:widowControl w:val="0"/>
        <w:numPr>
          <w:ilvl w:val="0"/>
          <w:numId w:val="37"/>
        </w:numPr>
        <w:overflowPunct w:val="0"/>
        <w:autoSpaceDE w:val="0"/>
        <w:autoSpaceDN w:val="0"/>
        <w:adjustRightInd w:val="0"/>
        <w:textAlignment w:val="baseline"/>
      </w:pPr>
      <w:r w:rsidRPr="000403EE">
        <w:t xml:space="preserve">λαμβάνει υπόψη τη </w:t>
      </w:r>
      <w:r w:rsidRPr="000403EE">
        <w:rPr>
          <w:b/>
        </w:rPr>
        <w:t>δίκαιη μετάβαση</w:t>
      </w:r>
      <w:r w:rsidRPr="000403EE">
        <w:t>·</w:t>
      </w:r>
    </w:p>
    <w:p w:rsidRPr="000403EE" w:rsidR="00B96875" w:rsidP="00643D0B" w:rsidRDefault="00B96875" w14:paraId="47BD8F13" w14:textId="77777777">
      <w:pPr>
        <w:widowControl w:val="0"/>
        <w:numPr>
          <w:ilvl w:val="0"/>
          <w:numId w:val="37"/>
        </w:numPr>
        <w:overflowPunct w:val="0"/>
        <w:autoSpaceDE w:val="0"/>
        <w:autoSpaceDN w:val="0"/>
        <w:adjustRightInd w:val="0"/>
        <w:textAlignment w:val="baseline"/>
        <w:rPr>
          <w:bCs/>
          <w:iCs/>
        </w:rPr>
      </w:pPr>
      <w:r w:rsidRPr="000403EE">
        <w:t>σέβεται τη διαφάνεια, τη δημοκρατία και το κράτος δικαίου.</w:t>
      </w:r>
    </w:p>
    <w:p w:rsidRPr="000403EE"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rPr>
      </w:pPr>
    </w:p>
    <w:p w:rsidRPr="000403EE" w:rsidR="00B96875" w:rsidP="00B96875" w:rsidRDefault="00B96875" w14:paraId="3ADC8544" w14:textId="77777777">
      <w:pPr>
        <w:widowControl w:val="0"/>
        <w:overflowPunct w:val="0"/>
        <w:autoSpaceDE w:val="0"/>
        <w:autoSpaceDN w:val="0"/>
        <w:adjustRightInd w:val="0"/>
        <w:ind w:left="709"/>
        <w:textAlignment w:val="baseline"/>
        <w:rPr>
          <w:szCs w:val="20"/>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B96875" w:rsidTr="00863A8F" w14:paraId="76D2CF82" w14:textId="77777777">
        <w:tc>
          <w:tcPr>
            <w:tcW w:w="1418" w:type="dxa"/>
          </w:tcPr>
          <w:p w:rsidRPr="000403EE" w:rsidR="00B96875" w:rsidP="00B96875" w:rsidRDefault="00B96875" w14:paraId="38F15925" w14:textId="77777777">
            <w:pPr>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B96875" w:rsidP="00B96875" w:rsidRDefault="00B96875" w14:paraId="1DF5B94F" w14:textId="77777777">
            <w:pPr>
              <w:overflowPunct w:val="0"/>
              <w:autoSpaceDE w:val="0"/>
              <w:autoSpaceDN w:val="0"/>
              <w:adjustRightInd w:val="0"/>
              <w:spacing w:line="240" w:lineRule="auto"/>
              <w:textAlignment w:val="baseline"/>
              <w:rPr>
                <w:i/>
              </w:rPr>
            </w:pPr>
            <w:r w:rsidRPr="000403EE">
              <w:rPr>
                <w:i/>
              </w:rPr>
              <w:t>Marco Ristori</w:t>
            </w:r>
          </w:p>
        </w:tc>
      </w:tr>
      <w:tr w:rsidRPr="000403EE" w:rsidR="00B96875" w:rsidTr="00863A8F" w14:paraId="4AB96BAF" w14:textId="77777777">
        <w:tc>
          <w:tcPr>
            <w:tcW w:w="1418" w:type="dxa"/>
          </w:tcPr>
          <w:p w:rsidRPr="000403EE" w:rsidR="00B96875" w:rsidP="00B96875" w:rsidRDefault="00B96875" w14:paraId="106F96D4" w14:textId="77777777">
            <w:pPr>
              <w:overflowPunct w:val="0"/>
              <w:autoSpaceDE w:val="0"/>
              <w:autoSpaceDN w:val="0"/>
              <w:adjustRightInd w:val="0"/>
              <w:spacing w:line="240" w:lineRule="auto"/>
              <w:textAlignment w:val="baseline"/>
              <w:rPr>
                <w:i/>
              </w:rPr>
            </w:pPr>
            <w:r w:rsidRPr="000403EE">
              <w:rPr>
                <w:i/>
              </w:rPr>
              <w:t>Τηλ.</w:t>
            </w:r>
          </w:p>
        </w:tc>
        <w:tc>
          <w:tcPr>
            <w:tcW w:w="5670" w:type="dxa"/>
          </w:tcPr>
          <w:p w:rsidRPr="000403EE" w:rsidR="00B96875" w:rsidP="00B96875" w:rsidRDefault="00B96875" w14:paraId="23FA0C5F" w14:textId="77777777">
            <w:pPr>
              <w:overflowPunct w:val="0"/>
              <w:autoSpaceDE w:val="0"/>
              <w:autoSpaceDN w:val="0"/>
              <w:adjustRightInd w:val="0"/>
              <w:spacing w:line="240" w:lineRule="auto"/>
              <w:textAlignment w:val="baseline"/>
              <w:rPr>
                <w:i/>
              </w:rPr>
            </w:pPr>
            <w:r w:rsidRPr="000403EE">
              <w:rPr>
                <w:i/>
              </w:rPr>
              <w:t>+ 32 25469969</w:t>
            </w:r>
          </w:p>
        </w:tc>
      </w:tr>
      <w:tr w:rsidRPr="000403EE" w:rsidR="00B96875" w:rsidTr="00863A8F" w14:paraId="7FC8E54F" w14:textId="77777777">
        <w:tc>
          <w:tcPr>
            <w:tcW w:w="1418" w:type="dxa"/>
          </w:tcPr>
          <w:p w:rsidRPr="000403EE" w:rsidR="00B96875" w:rsidP="00B96875" w:rsidRDefault="00761851" w14:paraId="4664E3E1" w14:textId="29FE8102">
            <w:pPr>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B96875" w:rsidP="00B96875" w:rsidRDefault="00913BEC" w14:paraId="2786F745" w14:textId="77777777">
            <w:pPr>
              <w:overflowPunct w:val="0"/>
              <w:autoSpaceDE w:val="0"/>
              <w:autoSpaceDN w:val="0"/>
              <w:adjustRightInd w:val="0"/>
              <w:spacing w:line="240" w:lineRule="auto"/>
              <w:textAlignment w:val="baseline"/>
              <w:rPr>
                <w:i/>
                <w:iCs/>
              </w:rPr>
            </w:pPr>
            <w:hyperlink w:history="1" r:id="rId46">
              <w:r w:rsidRPr="000403EE" w:rsidR="00064B8D">
                <w:rPr>
                  <w:i/>
                  <w:color w:val="0000FF"/>
                  <w:u w:val="single"/>
                </w:rPr>
                <w:t>Marco.Ristori@eesc.europa.eu</w:t>
              </w:r>
            </w:hyperlink>
            <w:r w:rsidRPr="000403EE" w:rsidR="00064B8D">
              <w:rPr>
                <w:i/>
              </w:rPr>
              <w:t xml:space="preserve"> </w:t>
            </w:r>
          </w:p>
        </w:tc>
      </w:tr>
    </w:tbl>
    <w:p w:rsidRPr="000403EE" w:rsidR="00B96875" w:rsidRDefault="00B96875" w14:paraId="48402832" w14:textId="77777777">
      <w:pPr>
        <w:spacing w:after="160" w:line="259" w:lineRule="auto"/>
        <w:jc w:val="left"/>
      </w:pPr>
    </w:p>
    <w:p w:rsidRPr="000403EE" w:rsidR="00B96875" w:rsidRDefault="00B96875" w14:paraId="64E1699F" w14:textId="77777777">
      <w:pPr>
        <w:spacing w:after="160" w:line="259" w:lineRule="auto"/>
        <w:jc w:val="left"/>
      </w:pPr>
      <w:r w:rsidRPr="000403EE">
        <w:br w:type="page"/>
      </w:r>
    </w:p>
    <w:p w:rsidRPr="000403EE"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0403EE">
        <w:rPr>
          <w:b/>
          <w:i/>
          <w:sz w:val="28"/>
        </w:rPr>
        <w:lastRenderedPageBreak/>
        <w:fldChar w:fldCharType="begin"/>
      </w:r>
      <w:r w:rsidRPr="000403EE">
        <w:rPr>
          <w:b/>
          <w:i/>
          <w:sz w:val="28"/>
        </w:rPr>
        <w:instrText xml:space="preserve"> HYPERLINK "https://www.eesc.europa.eu/el/our-work/opinions-information-reports/opinions/water-politics-empowering-youth-women-and-indigenous-and-local-communities" </w:instrText>
      </w:r>
      <w:r w:rsidRPr="000403EE">
        <w:rPr>
          <w:b/>
          <w:i/>
          <w:sz w:val="28"/>
        </w:rPr>
        <w:fldChar w:fldCharType="separate"/>
      </w:r>
      <w:r w:rsidRPr="000403EE">
        <w:rPr>
          <w:b/>
          <w:i/>
          <w:color w:val="0000FF"/>
          <w:sz w:val="28"/>
          <w:u w:val="single"/>
        </w:rPr>
        <w:t>Πολιτική υδάτων: Ενδυνάμωση των νέων, των γυναικών, και των αυτοχθόνων και των τοπικών κοινοτήτων</w:t>
      </w:r>
    </w:p>
    <w:p w:rsidRPr="000403EE"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0403EE">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0403EE" w:rsidR="00412085" w:rsidTr="00863A8F" w14:paraId="5B43C61E" w14:textId="77777777">
        <w:tc>
          <w:tcPr>
            <w:tcW w:w="1111" w:type="pct"/>
          </w:tcPr>
          <w:p w:rsidRPr="000403EE" w:rsidR="00412085" w:rsidP="00412085" w:rsidRDefault="00412085" w14:paraId="309E79AB" w14:textId="77777777">
            <w:pPr>
              <w:tabs>
                <w:tab w:val="center" w:pos="284"/>
              </w:tabs>
              <w:overflowPunct w:val="0"/>
              <w:autoSpaceDE w:val="0"/>
              <w:autoSpaceDN w:val="0"/>
              <w:adjustRightInd w:val="0"/>
              <w:ind w:left="266" w:hanging="266"/>
              <w:textAlignment w:val="baseline"/>
              <w:rPr>
                <w:b/>
              </w:rPr>
            </w:pPr>
            <w:r w:rsidRPr="000403EE">
              <w:rPr>
                <w:b/>
              </w:rPr>
              <w:t>Εισηγήτρια</w:t>
            </w:r>
          </w:p>
          <w:p w:rsidRPr="000403EE" w:rsidR="00412085" w:rsidP="00412085" w:rsidRDefault="00412085" w14:paraId="4AAE5B2E" w14:textId="77777777">
            <w:pPr>
              <w:tabs>
                <w:tab w:val="center" w:pos="284"/>
              </w:tabs>
              <w:overflowPunct w:val="0"/>
              <w:autoSpaceDE w:val="0"/>
              <w:autoSpaceDN w:val="0"/>
              <w:adjustRightInd w:val="0"/>
              <w:ind w:left="266" w:hanging="266"/>
              <w:textAlignment w:val="baseline"/>
              <w:rPr>
                <w:b/>
              </w:rPr>
            </w:pPr>
            <w:r w:rsidRPr="000403EE">
              <w:rPr>
                <w:b/>
              </w:rPr>
              <w:t>Συνεισηγητής</w:t>
            </w:r>
          </w:p>
          <w:p w:rsidRPr="000403EE" w:rsidR="00412085" w:rsidP="00412085" w:rsidRDefault="00412085" w14:paraId="1DECC72F" w14:textId="77777777">
            <w:pPr>
              <w:tabs>
                <w:tab w:val="center" w:pos="284"/>
              </w:tabs>
              <w:overflowPunct w:val="0"/>
              <w:autoSpaceDE w:val="0"/>
              <w:autoSpaceDN w:val="0"/>
              <w:adjustRightInd w:val="0"/>
              <w:ind w:left="266" w:hanging="266"/>
              <w:textAlignment w:val="baseline"/>
              <w:rPr>
                <w:b/>
              </w:rPr>
            </w:pPr>
          </w:p>
        </w:tc>
        <w:tc>
          <w:tcPr>
            <w:tcW w:w="3889" w:type="pct"/>
          </w:tcPr>
          <w:p w:rsidRPr="000403EE" w:rsidR="00412085" w:rsidP="00412085" w:rsidRDefault="00412085" w14:paraId="1FA216E4" w14:textId="6F365C32">
            <w:pPr>
              <w:tabs>
                <w:tab w:val="center" w:pos="284"/>
              </w:tabs>
              <w:overflowPunct w:val="0"/>
              <w:autoSpaceDE w:val="0"/>
              <w:autoSpaceDN w:val="0"/>
              <w:adjustRightInd w:val="0"/>
              <w:ind w:left="266" w:hanging="266"/>
              <w:textAlignment w:val="baseline"/>
            </w:pPr>
            <w:r w:rsidRPr="000403EE">
              <w:t>Milena ANGELOVA (Ομάδα των Εργοδοτών – BG)</w:t>
            </w:r>
          </w:p>
          <w:p w:rsidRPr="000403EE" w:rsidR="00412085" w:rsidP="00412085" w:rsidRDefault="00412085" w14:paraId="2854E0E0" w14:textId="137BEF77">
            <w:pPr>
              <w:tabs>
                <w:tab w:val="center" w:pos="284"/>
              </w:tabs>
              <w:overflowPunct w:val="0"/>
              <w:autoSpaceDE w:val="0"/>
              <w:autoSpaceDN w:val="0"/>
              <w:adjustRightInd w:val="0"/>
              <w:ind w:left="266" w:hanging="266"/>
              <w:textAlignment w:val="baseline"/>
            </w:pPr>
            <w:r w:rsidRPr="000403EE">
              <w:t>Ιωάννης ΒΑΡΔΑΚΑΣΤΑΝΗΣ (Ομάδα των Οργανώσεων της Κοινωνίας των Πολιτών – EL)</w:t>
            </w:r>
          </w:p>
        </w:tc>
      </w:tr>
      <w:tr w:rsidRPr="000403EE" w:rsidR="00412085" w:rsidTr="00863A8F" w14:paraId="716B957D" w14:textId="77777777">
        <w:tc>
          <w:tcPr>
            <w:tcW w:w="5000" w:type="pct"/>
            <w:gridSpan w:val="2"/>
          </w:tcPr>
          <w:p w:rsidRPr="000403EE"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pPr>
          </w:p>
        </w:tc>
      </w:tr>
      <w:tr w:rsidRPr="000403EE" w:rsidR="00412085" w:rsidTr="00863A8F" w14:paraId="7F93B548" w14:textId="77777777">
        <w:tc>
          <w:tcPr>
            <w:tcW w:w="1111" w:type="pct"/>
            <w:vMerge w:val="restart"/>
          </w:tcPr>
          <w:p w:rsidRPr="000403EE" w:rsidR="00412085" w:rsidP="00412085" w:rsidRDefault="00412085" w14:paraId="4752DDE3"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3889" w:type="pct"/>
          </w:tcPr>
          <w:p w:rsidRPr="000403EE" w:rsidR="00114003" w:rsidP="00412085" w:rsidRDefault="00114003" w14:paraId="49B51E12" w14:textId="4A2C07A8">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412085" w:rsidP="00412085" w:rsidRDefault="00412085" w14:paraId="51172282" w14:textId="622893A5">
            <w:pPr>
              <w:tabs>
                <w:tab w:val="center" w:pos="284"/>
              </w:tabs>
              <w:overflowPunct w:val="0"/>
              <w:autoSpaceDE w:val="0"/>
              <w:autoSpaceDN w:val="0"/>
              <w:adjustRightInd w:val="0"/>
              <w:ind w:left="266" w:hanging="266"/>
              <w:textAlignment w:val="baseline"/>
            </w:pPr>
            <w:r w:rsidRPr="000403EE">
              <w:t>EESC-2024-00874-00-00-AC</w:t>
            </w:r>
          </w:p>
        </w:tc>
      </w:tr>
      <w:tr w:rsidRPr="000403EE" w:rsidR="00412085" w:rsidTr="00863A8F" w14:paraId="5D98CFA2" w14:textId="77777777">
        <w:tc>
          <w:tcPr>
            <w:tcW w:w="1111" w:type="pct"/>
            <w:vMerge/>
          </w:tcPr>
          <w:p w:rsidRPr="000403EE" w:rsidR="00412085" w:rsidP="00412085" w:rsidRDefault="00412085" w14:paraId="609E861D" w14:textId="77777777">
            <w:pPr>
              <w:tabs>
                <w:tab w:val="center" w:pos="284"/>
              </w:tabs>
              <w:overflowPunct w:val="0"/>
              <w:autoSpaceDE w:val="0"/>
              <w:autoSpaceDN w:val="0"/>
              <w:adjustRightInd w:val="0"/>
              <w:ind w:left="266" w:hanging="266"/>
              <w:textAlignment w:val="baseline"/>
              <w:rPr>
                <w:b/>
              </w:rPr>
            </w:pPr>
          </w:p>
        </w:tc>
        <w:tc>
          <w:tcPr>
            <w:tcW w:w="3889" w:type="pct"/>
          </w:tcPr>
          <w:p w:rsidRPr="000403EE" w:rsidR="00412085" w:rsidP="00412085" w:rsidRDefault="00412085" w14:paraId="3C8BE339" w14:textId="77777777">
            <w:pPr>
              <w:tabs>
                <w:tab w:val="center" w:pos="284"/>
              </w:tabs>
              <w:overflowPunct w:val="0"/>
              <w:autoSpaceDE w:val="0"/>
              <w:autoSpaceDN w:val="0"/>
              <w:adjustRightInd w:val="0"/>
              <w:ind w:left="266" w:hanging="266"/>
              <w:textAlignment w:val="baseline"/>
            </w:pPr>
          </w:p>
        </w:tc>
      </w:tr>
    </w:tbl>
    <w:p w:rsidRPr="000403EE" w:rsidR="00412085" w:rsidP="00412085" w:rsidRDefault="00412085" w14:paraId="4A625018" w14:textId="77777777">
      <w:pPr>
        <w:tabs>
          <w:tab w:val="center" w:pos="284"/>
        </w:tabs>
        <w:overflowPunct w:val="0"/>
        <w:autoSpaceDE w:val="0"/>
        <w:autoSpaceDN w:val="0"/>
        <w:adjustRightInd w:val="0"/>
        <w:ind w:left="266" w:hanging="266"/>
        <w:textAlignment w:val="baseline"/>
      </w:pPr>
    </w:p>
    <w:p w:rsidRPr="000403EE"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rPr>
      </w:pPr>
    </w:p>
    <w:p w:rsidRPr="000403EE" w:rsidR="00412085" w:rsidP="00412085" w:rsidRDefault="00412085" w14:paraId="440F1C53" w14:textId="77777777">
      <w:pPr>
        <w:overflowPunct w:val="0"/>
        <w:autoSpaceDE w:val="0"/>
        <w:autoSpaceDN w:val="0"/>
        <w:adjustRightInd w:val="0"/>
        <w:textAlignment w:val="baseline"/>
        <w:rPr>
          <w:bCs/>
          <w:iCs/>
        </w:rPr>
      </w:pPr>
      <w:r w:rsidRPr="000403EE">
        <w:t>Η ΕΟΚΕ:</w:t>
      </w:r>
    </w:p>
    <w:p w:rsidRPr="000403EE" w:rsidR="00412085" w:rsidP="00412085" w:rsidRDefault="00412085" w14:paraId="12BE777E" w14:textId="77777777">
      <w:pPr>
        <w:overflowPunct w:val="0"/>
        <w:autoSpaceDE w:val="0"/>
        <w:autoSpaceDN w:val="0"/>
        <w:adjustRightInd w:val="0"/>
        <w:textAlignment w:val="baseline"/>
        <w:rPr>
          <w:bCs/>
          <w:iCs/>
        </w:rPr>
      </w:pPr>
    </w:p>
    <w:p w:rsidRPr="000403EE" w:rsidR="00412085" w:rsidP="00643D0B" w:rsidRDefault="00412085" w14:paraId="2FFAE05C"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Υπενθυμίζει ότι </w:t>
      </w:r>
      <w:r w:rsidRPr="000403EE">
        <w:rPr>
          <w:b/>
        </w:rPr>
        <w:t>το νερό είναι κρίσιμης σημασίας για την ανθρώπινη ζωή και αξιοπρέπεια</w:t>
      </w:r>
      <w:r w:rsidRPr="000403EE">
        <w:t xml:space="preserve"> και ότι, όπως αναγνωρίζει και η ΕΕ, </w:t>
      </w:r>
      <w:r w:rsidRPr="000403EE">
        <w:rPr>
          <w:b/>
        </w:rPr>
        <w:t>η ύδρευση και η αποχέτευση αποτελούν θεμελιώδες ανθρώπινο δικαίωμα</w:t>
      </w:r>
      <w:r w:rsidRPr="000403EE">
        <w:t xml:space="preserve">. </w:t>
      </w:r>
    </w:p>
    <w:p w:rsidRPr="000403EE" w:rsidR="00412085" w:rsidP="00643D0B" w:rsidRDefault="00412085" w14:paraId="467DFD1E"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Τονίζει ότι </w:t>
      </w:r>
      <w:r w:rsidRPr="000403EE">
        <w:rPr>
          <w:b/>
        </w:rPr>
        <w:t>οι νέοι, οι γυναίκες και οι αυτόχθονες και τοπικές κοινότητες (συμπεριλαμβανομένων των μεταναστών και των ατόμων με αναπηρία) συγκαταλέγονται στους πλέον ευάλωτους στην καταπόνηση των υδάτινων πόρων</w:t>
      </w:r>
      <w:r w:rsidRPr="000403EE">
        <w:t>. Μάλιστα, οι ομάδες αυτές διαθέτουν μεγάλες και αναξιοποίητες δυνατότητες να συμβάλλουν στη βιώσιμη διαχείριση των υδάτων, στη μετατροπή του νερού σε μέσο ειρήνης και σταθερότητας και, ως εκ τούτου, να συμμετάσχουν στην άσκηση της γαλάζιας διπλωματίας.</w:t>
      </w:r>
    </w:p>
    <w:p w:rsidRPr="000403EE" w:rsidR="00412085" w:rsidP="00643D0B" w:rsidRDefault="00412085" w14:paraId="6A643D9D"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Προτρέπει την ΕΕ να δώσει τη δέουσα </w:t>
      </w:r>
      <w:r w:rsidRPr="000403EE">
        <w:rPr>
          <w:b/>
        </w:rPr>
        <w:t>προσοχή στις ομάδες αυτές στις εξωτερικές σχέσεις και στη διεθνή συνεργασία της</w:t>
      </w:r>
      <w:r w:rsidRPr="000403EE">
        <w:t xml:space="preserve">. Επίσης, προτείνει συνιστά τη δημιουργία </w:t>
      </w:r>
      <w:r w:rsidRPr="000403EE">
        <w:rPr>
          <w:b/>
        </w:rPr>
        <w:t>εμβληματικού προγράμματος εταιρικής σχέσης σχετικού με την καταπόνηση των υδάτινων πόρων και με σκοπό την ενδυνάμωση των εν λόγω ομάδων</w:t>
      </w:r>
      <w:r w:rsidRPr="000403EE">
        <w:t xml:space="preserve"> με ολοκληρωμένο τρόπο.</w:t>
      </w:r>
    </w:p>
    <w:p w:rsidRPr="000403EE" w:rsidR="00412085" w:rsidP="00643D0B" w:rsidRDefault="00412085" w14:paraId="229CA872"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Επισημαίνει ότι </w:t>
      </w:r>
      <w:r w:rsidRPr="000403EE">
        <w:rPr>
          <w:b/>
        </w:rPr>
        <w:t>η πρόσβαση σε καθαρό νερό, η εκπαίδευση, η απασχόληση και η συμμετοχή στη χάραξη πολιτικής αποτελούν βασικά στοιχεία ενδυνάμωσης</w:t>
      </w:r>
      <w:r w:rsidRPr="000403EE">
        <w:t>. Η ευκολότερη πρόσβαση σε υπηρεσίες ύδρευσης, αποχέτευσης και υγιεινής είναι κρίσιμης σημασίας, καθότι έτσι εξοικονομείται χρόνος για την ενασχόληση με την εκπαίδευση και την επαγγελματική κατάρτιση και δημιουργούνται ποικίλες επιλογές για την απασχόληση και την ικανότητα συμβολής στη διαχείριση των υδάτων και στην άσκηση των συναφών πολιτικών.</w:t>
      </w:r>
    </w:p>
    <w:p w:rsidRPr="000403EE" w:rsidR="00412085" w:rsidP="00643D0B" w:rsidRDefault="00412085" w14:paraId="6EF6F348"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Κρίνει ότι </w:t>
      </w:r>
      <w:r w:rsidRPr="000403EE">
        <w:rPr>
          <w:b/>
        </w:rPr>
        <w:t>πρέπει να παρασχεθούν στους νέους γενικές δεξιότητες που συνδέονται με την ιδιότητα του πολίτη και την επιχειρηματικότητα</w:t>
      </w:r>
      <w:r w:rsidRPr="000403EE">
        <w:t xml:space="preserve">, ώστε να μπορούν να συμβάλλουν </w:t>
      </w:r>
      <w:r w:rsidRPr="000403EE">
        <w:rPr>
          <w:b/>
        </w:rPr>
        <w:t>στη διαχείριση των υδάτων, την απασχόληση και τη χάραξη πολιτικής</w:t>
      </w:r>
      <w:r w:rsidRPr="000403EE">
        <w:t>, ως σημερινοί παράγοντες αλλαγής και μελλοντικοί υπεύθυνοι λήψης αποφάσεων.</w:t>
      </w:r>
    </w:p>
    <w:p w:rsidRPr="000403EE" w:rsidR="00412085" w:rsidP="00643D0B" w:rsidRDefault="00412085" w14:paraId="12DFF124"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Πιστεύει ότι η </w:t>
      </w:r>
      <w:r w:rsidRPr="000403EE">
        <w:rPr>
          <w:b/>
        </w:rPr>
        <w:t>πλήρης ισότητα των φύλων στην εκπαίδευση, την εργασία, στη διοίκηση και την επιχειρηματικότητα αποτελεί έναν ακόμη παράγοντα ζωτικής σημασίας</w:t>
      </w:r>
      <w:r w:rsidRPr="000403EE">
        <w:t>. Πρέπει να δοθεί η δέουσα προσοχή στις αξιοπρεπείς συνθήκες εργασίας, συμπεριλαμβανομένης της πρόληψης των διακρίσεων και της παρενόχλησης.</w:t>
      </w:r>
    </w:p>
    <w:p w:rsidRPr="000403EE" w:rsidR="00412085" w:rsidP="00643D0B" w:rsidRDefault="00412085" w14:paraId="3432BFC8" w14:textId="77777777">
      <w:pPr>
        <w:widowControl w:val="0"/>
        <w:numPr>
          <w:ilvl w:val="0"/>
          <w:numId w:val="38"/>
        </w:numPr>
        <w:overflowPunct w:val="0"/>
        <w:autoSpaceDE w:val="0"/>
        <w:autoSpaceDN w:val="0"/>
        <w:adjustRightInd w:val="0"/>
        <w:ind w:left="284" w:hanging="284"/>
        <w:textAlignment w:val="baseline"/>
        <w:rPr>
          <w:bCs/>
          <w:iCs/>
        </w:rPr>
      </w:pPr>
      <w:r w:rsidRPr="000403EE">
        <w:t xml:space="preserve">Επισημαίνει ότι </w:t>
      </w:r>
      <w:r w:rsidRPr="000403EE">
        <w:rPr>
          <w:b/>
        </w:rPr>
        <w:t>οι τοπικές κοινότητες πρέπει να έχουν πρόσβαση σε υποδομές, πληροφορίες και εκπαίδευση</w:t>
      </w:r>
      <w:r w:rsidRPr="000403EE">
        <w:t>, οι δε τοπικές οργανώσεις της κοινωνίας των πολιτών θα πρέπει να συμμετέχουν ενεργά στις τοπικές διαδικασίες χάραξης πολιτικής, με τη συμμετοχή και την ενδυνάμωση των αυτοχθόνων ομάδων.</w:t>
      </w:r>
    </w:p>
    <w:p w:rsidRPr="000403EE" w:rsidR="00412085" w:rsidP="00133B03" w:rsidRDefault="00412085" w14:paraId="19F41CFF" w14:textId="149E611B">
      <w:pPr>
        <w:widowControl w:val="0"/>
        <w:numPr>
          <w:ilvl w:val="0"/>
          <w:numId w:val="38"/>
        </w:numPr>
        <w:overflowPunct w:val="0"/>
        <w:autoSpaceDE w:val="0"/>
        <w:autoSpaceDN w:val="0"/>
        <w:adjustRightInd w:val="0"/>
        <w:ind w:left="284" w:hanging="284"/>
        <w:jc w:val="left"/>
        <w:textAlignment w:val="baseline"/>
        <w:rPr>
          <w:bCs/>
          <w:iCs/>
        </w:rPr>
      </w:pPr>
      <w:r w:rsidRPr="000403EE">
        <w:lastRenderedPageBreak/>
        <w:t xml:space="preserve">Επαναλαμβάνει ότι </w:t>
      </w:r>
      <w:r w:rsidRPr="000403EE">
        <w:rPr>
          <w:b/>
        </w:rPr>
        <w:t>οι γαλάζιες και οι ψηφιακές τεχνολογίες έχουν καθοριστική σημασία για τη βελτίωση της διαχείρισης των υδάτων και της πρόσβασης σε καθαρό νερό και αποχέτευση</w:t>
      </w:r>
      <w:r w:rsidRPr="000403EE">
        <w:t>.</w:t>
      </w:r>
    </w:p>
    <w:p w:rsidRPr="000403EE" w:rsidR="00412085" w:rsidP="00133B03" w:rsidRDefault="00412085" w14:paraId="0AE10E58" w14:textId="77777777">
      <w:pPr>
        <w:widowControl w:val="0"/>
        <w:numPr>
          <w:ilvl w:val="0"/>
          <w:numId w:val="38"/>
        </w:numPr>
        <w:overflowPunct w:val="0"/>
        <w:autoSpaceDE w:val="0"/>
        <w:autoSpaceDN w:val="0"/>
        <w:adjustRightInd w:val="0"/>
        <w:ind w:left="284" w:hanging="284"/>
        <w:textAlignment w:val="baseline"/>
        <w:rPr>
          <w:bCs/>
          <w:szCs w:val="20"/>
        </w:rPr>
      </w:pPr>
      <w:r w:rsidRPr="000403EE">
        <w:t xml:space="preserve">Υπογραμμίζει ότι </w:t>
      </w:r>
      <w:r w:rsidRPr="000403EE">
        <w:rPr>
          <w:b/>
        </w:rPr>
        <w:t>οι ουσιώδεις συμπράξεις και η χρηματοδότηση είναι κρίσιμης σημασίας για την ανάπτυξη των υποδομών, την εκπαίδευση και την ανάπτυξη γενικών ικανοτήτων</w:t>
      </w:r>
      <w:r w:rsidRPr="000403EE">
        <w:t>. Τόσο τα ενωσιακά ταμεία όσο και τα εθνικά προγράμματα δωρητών έχουν εν προκειμένω μεγάλη βαρύτητα και ο συντονισμός τους είναι ζωτικής σημασίας για τη δημιουργία συνεργειών και τη βέλτιστη αξιοποίηση των διατιθέμενων πόρων.</w:t>
      </w:r>
    </w:p>
    <w:p w:rsidRPr="000403EE" w:rsidR="00412085" w:rsidP="00133B03" w:rsidRDefault="00412085" w14:paraId="76F00CC6" w14:textId="77777777">
      <w:pPr>
        <w:widowControl w:val="0"/>
        <w:overflowPunct w:val="0"/>
        <w:autoSpaceDE w:val="0"/>
        <w:autoSpaceDN w:val="0"/>
        <w:adjustRightInd w:val="0"/>
        <w:ind w:left="709"/>
        <w:textAlignment w:val="baseline"/>
        <w:rPr>
          <w:szCs w:val="20"/>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412085" w:rsidTr="00863A8F" w14:paraId="679CFF37" w14:textId="77777777">
        <w:tc>
          <w:tcPr>
            <w:tcW w:w="1556" w:type="pct"/>
          </w:tcPr>
          <w:p w:rsidRPr="000403EE" w:rsidR="00412085" w:rsidP="00412085" w:rsidRDefault="00412085" w14:paraId="7226FAB8" w14:textId="77777777">
            <w:pPr>
              <w:overflowPunct w:val="0"/>
              <w:autoSpaceDE w:val="0"/>
              <w:autoSpaceDN w:val="0"/>
              <w:adjustRightInd w:val="0"/>
              <w:spacing w:line="240" w:lineRule="auto"/>
              <w:textAlignment w:val="baseline"/>
              <w:rPr>
                <w:i/>
              </w:rPr>
            </w:pPr>
            <w:r w:rsidRPr="000403EE">
              <w:rPr>
                <w:b/>
                <w:i/>
              </w:rPr>
              <w:t>Επικοινωνία</w:t>
            </w:r>
          </w:p>
        </w:tc>
        <w:tc>
          <w:tcPr>
            <w:tcW w:w="3444" w:type="pct"/>
          </w:tcPr>
          <w:p w:rsidRPr="000403EE" w:rsidR="00412085" w:rsidP="00412085" w:rsidRDefault="00412085" w14:paraId="5C6D492C" w14:textId="77777777">
            <w:pPr>
              <w:overflowPunct w:val="0"/>
              <w:autoSpaceDE w:val="0"/>
              <w:autoSpaceDN w:val="0"/>
              <w:adjustRightInd w:val="0"/>
              <w:spacing w:line="240" w:lineRule="auto"/>
              <w:textAlignment w:val="baseline"/>
              <w:rPr>
                <w:i/>
              </w:rPr>
            </w:pPr>
            <w:r w:rsidRPr="000403EE">
              <w:rPr>
                <w:i/>
              </w:rPr>
              <w:t>Tzonka Iotzova</w:t>
            </w:r>
          </w:p>
        </w:tc>
      </w:tr>
      <w:tr w:rsidRPr="000403EE" w:rsidR="00412085" w:rsidTr="00863A8F" w14:paraId="425EFC6E" w14:textId="77777777">
        <w:tc>
          <w:tcPr>
            <w:tcW w:w="1556" w:type="pct"/>
          </w:tcPr>
          <w:p w:rsidRPr="000403EE" w:rsidR="00412085" w:rsidP="00412085" w:rsidRDefault="00412085" w14:paraId="0CF7BFD8"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412085" w:rsidP="00412085" w:rsidRDefault="00412085" w14:paraId="1787734D" w14:textId="1AFFF71E">
            <w:pPr>
              <w:overflowPunct w:val="0"/>
              <w:autoSpaceDE w:val="0"/>
              <w:autoSpaceDN w:val="0"/>
              <w:adjustRightInd w:val="0"/>
              <w:spacing w:line="240" w:lineRule="auto"/>
              <w:textAlignment w:val="baseline"/>
              <w:rPr>
                <w:i/>
              </w:rPr>
            </w:pPr>
            <w:r w:rsidRPr="000403EE">
              <w:rPr>
                <w:i/>
              </w:rPr>
              <w:t>+32 25468978</w:t>
            </w:r>
          </w:p>
        </w:tc>
      </w:tr>
      <w:tr w:rsidRPr="000403EE" w:rsidR="00412085" w:rsidTr="00863A8F" w14:paraId="0B65A427" w14:textId="77777777">
        <w:tc>
          <w:tcPr>
            <w:tcW w:w="1556" w:type="pct"/>
          </w:tcPr>
          <w:p w:rsidRPr="000403EE" w:rsidR="00412085" w:rsidP="00412085" w:rsidRDefault="00412085" w14:paraId="5106EF49" w14:textId="7777777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412085" w:rsidP="00412085" w:rsidRDefault="00913BEC" w14:paraId="1216AFDE" w14:textId="77777777">
            <w:pPr>
              <w:overflowPunct w:val="0"/>
              <w:autoSpaceDE w:val="0"/>
              <w:autoSpaceDN w:val="0"/>
              <w:adjustRightInd w:val="0"/>
              <w:spacing w:line="240" w:lineRule="auto"/>
              <w:textAlignment w:val="baseline"/>
              <w:rPr>
                <w:i/>
              </w:rPr>
            </w:pPr>
            <w:hyperlink w:history="1" r:id="rId47">
              <w:r w:rsidRPr="000403EE" w:rsidR="00064B8D">
                <w:rPr>
                  <w:i/>
                  <w:color w:val="0000FF"/>
                  <w:u w:val="single"/>
                </w:rPr>
                <w:t>Tzonka.Iotzova@eesc.europa.eu</w:t>
              </w:r>
            </w:hyperlink>
          </w:p>
        </w:tc>
      </w:tr>
    </w:tbl>
    <w:p w:rsidRPr="000403EE" w:rsidR="00902A1F" w:rsidRDefault="00902A1F" w14:paraId="672A3999" w14:textId="77777777">
      <w:pPr>
        <w:spacing w:after="160" w:line="259" w:lineRule="auto"/>
        <w:jc w:val="left"/>
      </w:pPr>
      <w:r w:rsidRPr="000403EE">
        <w:br w:type="page"/>
      </w:r>
    </w:p>
    <w:p w:rsidRPr="000403EE" w:rsidR="00395260" w:rsidP="00643D0B" w:rsidRDefault="00395260" w14:paraId="2EEEDA1F" w14:textId="748FFCBB">
      <w:pPr>
        <w:pStyle w:val="ListParagraph"/>
        <w:numPr>
          <w:ilvl w:val="0"/>
          <w:numId w:val="42"/>
        </w:numPr>
        <w:ind w:left="426" w:hanging="426"/>
        <w:rPr>
          <w:color w:val="0000FF"/>
          <w:sz w:val="20"/>
          <w:szCs w:val="20"/>
          <w:u w:val="single"/>
        </w:rPr>
      </w:pPr>
      <w:r w:rsidRPr="000403EE">
        <w:rPr>
          <w:b/>
          <w:i/>
          <w:sz w:val="28"/>
        </w:rPr>
        <w:lastRenderedPageBreak/>
        <w:fldChar w:fldCharType="begin"/>
      </w:r>
      <w:r w:rsidRPr="000403EE">
        <w:rPr>
          <w:b/>
          <w:i/>
          <w:sz w:val="28"/>
        </w:rPr>
        <w:instrText>HYPERLINK "https://www.eesc.europa.eu/el/our-work/opinions-information-reports/opinions/democracy-africa-current-situation-and-future-perspectives-what-role-eesc"</w:instrText>
      </w:r>
      <w:r w:rsidRPr="000403EE">
        <w:rPr>
          <w:b/>
          <w:i/>
          <w:sz w:val="28"/>
        </w:rPr>
        <w:fldChar w:fldCharType="separate"/>
      </w:r>
      <w:r w:rsidRPr="000403EE">
        <w:rPr>
          <w:b/>
          <w:i/>
          <w:color w:val="0000FF"/>
          <w:sz w:val="28"/>
          <w:u w:val="single"/>
        </w:rPr>
        <w:t>Δημοκρατία στην Αφρική: τρέχουσα κατάσταση και μελλοντικές προοπτικές — Ο ρόλος που μπορεί να διαδραματίσει η ΕΟΚΕ</w:t>
      </w:r>
    </w:p>
    <w:p w:rsidRPr="000403EE"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0403EE">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0403EE" w:rsidR="00395260" w:rsidTr="00863A8F" w14:paraId="322608AD" w14:textId="77777777">
        <w:tc>
          <w:tcPr>
            <w:tcW w:w="1591" w:type="pct"/>
          </w:tcPr>
          <w:p w:rsidRPr="000403EE" w:rsidR="00395260" w:rsidP="00643D0B" w:rsidRDefault="00395260" w14:paraId="5CF26472" w14:textId="77777777">
            <w:pPr>
              <w:tabs>
                <w:tab w:val="center" w:pos="284"/>
              </w:tabs>
              <w:overflowPunct w:val="0"/>
              <w:autoSpaceDE w:val="0"/>
              <w:autoSpaceDN w:val="0"/>
              <w:adjustRightInd w:val="0"/>
              <w:spacing w:line="240" w:lineRule="auto"/>
              <w:ind w:left="266" w:hanging="266"/>
              <w:textAlignment w:val="baseline"/>
              <w:rPr>
                <w:b/>
              </w:rPr>
            </w:pPr>
            <w:r w:rsidRPr="000403EE">
              <w:rPr>
                <w:b/>
              </w:rPr>
              <w:t>Εισηγητής</w:t>
            </w:r>
          </w:p>
          <w:p w:rsidRPr="000403EE"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rPr>
            </w:pPr>
          </w:p>
        </w:tc>
        <w:tc>
          <w:tcPr>
            <w:tcW w:w="3409" w:type="pct"/>
          </w:tcPr>
          <w:p w:rsidRPr="000403EE" w:rsidR="00395260" w:rsidP="00643D0B" w:rsidRDefault="00395260" w14:paraId="756EAE6A" w14:textId="52DF9309">
            <w:pPr>
              <w:tabs>
                <w:tab w:val="center" w:pos="284"/>
              </w:tabs>
              <w:overflowPunct w:val="0"/>
              <w:autoSpaceDE w:val="0"/>
              <w:autoSpaceDN w:val="0"/>
              <w:adjustRightInd w:val="0"/>
              <w:spacing w:line="240" w:lineRule="auto"/>
              <w:ind w:left="266" w:hanging="266"/>
              <w:textAlignment w:val="baseline"/>
            </w:pPr>
            <w:r w:rsidRPr="000403EE">
              <w:t>Carlos TRINDADE (Ομάδα των Εργαζομένων – PT)</w:t>
            </w:r>
          </w:p>
        </w:tc>
      </w:tr>
      <w:tr w:rsidRPr="000403EE" w:rsidR="00395260" w:rsidTr="00863A8F" w14:paraId="24ECAD0B" w14:textId="77777777">
        <w:tc>
          <w:tcPr>
            <w:tcW w:w="5000" w:type="pct"/>
            <w:gridSpan w:val="2"/>
          </w:tcPr>
          <w:p w:rsidRPr="000403EE"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pPr>
          </w:p>
        </w:tc>
      </w:tr>
      <w:tr w:rsidRPr="000403EE" w:rsidR="00395260" w:rsidTr="00863A8F" w14:paraId="479F66E3" w14:textId="77777777">
        <w:tc>
          <w:tcPr>
            <w:tcW w:w="1591" w:type="pct"/>
            <w:vMerge w:val="restart"/>
          </w:tcPr>
          <w:p w:rsidRPr="000403EE" w:rsidR="00395260" w:rsidP="00643D0B" w:rsidRDefault="00395260" w14:paraId="26B745A8" w14:textId="77777777">
            <w:pPr>
              <w:tabs>
                <w:tab w:val="center" w:pos="284"/>
              </w:tabs>
              <w:overflowPunct w:val="0"/>
              <w:autoSpaceDE w:val="0"/>
              <w:autoSpaceDN w:val="0"/>
              <w:adjustRightInd w:val="0"/>
              <w:spacing w:line="240" w:lineRule="auto"/>
              <w:ind w:left="266" w:hanging="266"/>
              <w:textAlignment w:val="baseline"/>
              <w:rPr>
                <w:b/>
              </w:rPr>
            </w:pPr>
            <w:r w:rsidRPr="000403EE">
              <w:rPr>
                <w:b/>
              </w:rPr>
              <w:t>Έγγραφα αναφοράς</w:t>
            </w:r>
          </w:p>
        </w:tc>
        <w:tc>
          <w:tcPr>
            <w:tcW w:w="3409" w:type="pct"/>
          </w:tcPr>
          <w:p w:rsidRPr="000403EE" w:rsidR="006C1C6C" w:rsidP="00643D0B" w:rsidRDefault="006C1C6C" w14:paraId="45C32250" w14:textId="69B9E8B2">
            <w:pPr>
              <w:tabs>
                <w:tab w:val="center" w:pos="284"/>
              </w:tabs>
              <w:overflowPunct w:val="0"/>
              <w:autoSpaceDE w:val="0"/>
              <w:autoSpaceDN w:val="0"/>
              <w:adjustRightInd w:val="0"/>
              <w:spacing w:line="240" w:lineRule="auto"/>
              <w:ind w:left="266" w:hanging="266"/>
              <w:textAlignment w:val="baseline"/>
            </w:pPr>
            <w:r w:rsidRPr="000403EE">
              <w:t>Γνωμοδότηση πρωτοβουλίας</w:t>
            </w:r>
          </w:p>
          <w:p w:rsidRPr="000403EE"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pPr>
            <w:r w:rsidRPr="000403EE">
              <w:t>EESC-2024-01631-00-00-AC</w:t>
            </w:r>
          </w:p>
        </w:tc>
      </w:tr>
      <w:tr w:rsidRPr="000403EE" w:rsidR="00395260" w:rsidTr="00863A8F" w14:paraId="2B877313" w14:textId="77777777">
        <w:tc>
          <w:tcPr>
            <w:tcW w:w="1591" w:type="pct"/>
            <w:vMerge/>
          </w:tcPr>
          <w:p w:rsidRPr="000403EE" w:rsidR="00395260" w:rsidP="00395260" w:rsidRDefault="00395260" w14:paraId="493AF3DF" w14:textId="77777777">
            <w:pPr>
              <w:tabs>
                <w:tab w:val="center" w:pos="284"/>
              </w:tabs>
              <w:overflowPunct w:val="0"/>
              <w:autoSpaceDE w:val="0"/>
              <w:autoSpaceDN w:val="0"/>
              <w:adjustRightInd w:val="0"/>
              <w:ind w:left="266" w:hanging="266"/>
              <w:textAlignment w:val="baseline"/>
              <w:rPr>
                <w:b/>
              </w:rPr>
            </w:pPr>
          </w:p>
        </w:tc>
        <w:tc>
          <w:tcPr>
            <w:tcW w:w="3409" w:type="pct"/>
          </w:tcPr>
          <w:p w:rsidRPr="000403EE" w:rsidR="00395260" w:rsidP="00395260" w:rsidRDefault="00395260" w14:paraId="75AA90F1" w14:textId="77777777">
            <w:pPr>
              <w:tabs>
                <w:tab w:val="center" w:pos="284"/>
              </w:tabs>
              <w:overflowPunct w:val="0"/>
              <w:autoSpaceDE w:val="0"/>
              <w:autoSpaceDN w:val="0"/>
              <w:adjustRightInd w:val="0"/>
              <w:ind w:left="266" w:hanging="266"/>
              <w:textAlignment w:val="baseline"/>
            </w:pPr>
          </w:p>
        </w:tc>
      </w:tr>
    </w:tbl>
    <w:p w:rsidRPr="000403EE"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rPr>
      </w:pPr>
    </w:p>
    <w:p w:rsidRPr="000403EE" w:rsidR="00395260" w:rsidP="00395260" w:rsidRDefault="00395260" w14:paraId="34E1EBDF" w14:textId="77777777">
      <w:pPr>
        <w:overflowPunct w:val="0"/>
        <w:autoSpaceDE w:val="0"/>
        <w:autoSpaceDN w:val="0"/>
        <w:adjustRightInd w:val="0"/>
        <w:textAlignment w:val="baseline"/>
        <w:rPr>
          <w:bCs/>
          <w:iCs/>
        </w:rPr>
      </w:pPr>
      <w:r w:rsidRPr="000403EE">
        <w:t>Η ΕΟΚΕ:</w:t>
      </w:r>
    </w:p>
    <w:p w:rsidRPr="000403EE" w:rsidR="00395260" w:rsidP="00643D0B" w:rsidRDefault="00395260" w14:paraId="7A0C60DF"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Πιστεύει ότι η </w:t>
      </w:r>
      <w:r w:rsidRPr="000403EE">
        <w:rPr>
          <w:b/>
        </w:rPr>
        <w:t>δημοκρατία</w:t>
      </w:r>
      <w:r w:rsidRPr="000403EE">
        <w:t xml:space="preserve"> απαιτεί </w:t>
      </w:r>
      <w:r w:rsidRPr="000403EE">
        <w:rPr>
          <w:b/>
        </w:rPr>
        <w:t>σεβασμό των ανθρωπίνων δικαιωμάτων</w:t>
      </w:r>
      <w:r w:rsidRPr="000403EE">
        <w:t>,</w:t>
      </w:r>
      <w:r w:rsidRPr="000403EE">
        <w:rPr>
          <w:b/>
        </w:rPr>
        <w:t xml:space="preserve"> ισχυρούς θεσμούς</w:t>
      </w:r>
      <w:r w:rsidRPr="000403EE">
        <w:t>,</w:t>
      </w:r>
      <w:r w:rsidRPr="000403EE">
        <w:rPr>
          <w:b/>
        </w:rPr>
        <w:t xml:space="preserve"> διαχωρισμό των εξουσιών</w:t>
      </w:r>
      <w:r w:rsidRPr="000403EE">
        <w:t xml:space="preserve"> -διασφάλιση του κράτους δικαίου και της ανεξαρτησίας της δικαιοσύνης-, </w:t>
      </w:r>
      <w:r w:rsidRPr="000403EE">
        <w:rPr>
          <w:b/>
        </w:rPr>
        <w:t>ελεύθερες και δίκαιες εκλογές</w:t>
      </w:r>
      <w:r w:rsidRPr="000403EE">
        <w:t>,</w:t>
      </w:r>
      <w:r w:rsidRPr="000403EE">
        <w:rPr>
          <w:b/>
        </w:rPr>
        <w:t xml:space="preserve"> λογοδοσία προς τον λαό</w:t>
      </w:r>
      <w:r w:rsidRPr="000403EE">
        <w:t>,</w:t>
      </w:r>
      <w:r w:rsidRPr="000403EE">
        <w:rPr>
          <w:b/>
        </w:rPr>
        <w:t xml:space="preserve"> δικαίωμα πλήρους συμμετοχής</w:t>
      </w:r>
      <w:r w:rsidRPr="000403EE">
        <w:t xml:space="preserve"> και </w:t>
      </w:r>
      <w:r w:rsidRPr="000403EE">
        <w:rPr>
          <w:b/>
        </w:rPr>
        <w:t>μέτρα για την αντιμετώπιση των διακρίσεων</w:t>
      </w:r>
      <w:r w:rsidRPr="000403EE">
        <w:t>.</w:t>
      </w:r>
    </w:p>
    <w:p w:rsidRPr="000403EE" w:rsidR="00395260" w:rsidP="00643D0B" w:rsidRDefault="00395260" w14:paraId="47ED3316"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Επικροτεί την </w:t>
      </w:r>
      <w:r w:rsidRPr="000403EE">
        <w:rPr>
          <w:b/>
        </w:rPr>
        <w:t>προσήλωση της Αφρικανικής Ένωσης (ΑΕ) στις δημοκρατικές αξίες και στην προαγωγή της δημοκρατίας</w:t>
      </w:r>
      <w:r w:rsidRPr="000403EE">
        <w:t>, όπως τονίζεται στις προσδοκίες που ορίζονται στο Θεματολόγιο της ΑΕ για το 2063.</w:t>
      </w:r>
    </w:p>
    <w:p w:rsidRPr="000403EE" w:rsidR="00395260" w:rsidP="00643D0B" w:rsidRDefault="00395260" w14:paraId="71CDB85E"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Εκφράζει την ικανοποίησή της για την </w:t>
      </w:r>
      <w:r w:rsidRPr="000403EE">
        <w:rPr>
          <w:b/>
        </w:rPr>
        <w:t>ανάπτυξη της δημοκρατίας στην Αφρική</w:t>
      </w:r>
      <w:r w:rsidRPr="000403EE">
        <w:t xml:space="preserve"> και την </w:t>
      </w:r>
      <w:r w:rsidRPr="000403EE">
        <w:rPr>
          <w:b/>
        </w:rPr>
        <w:t>προσήλωση των αφρικανών πολιτών στην ανάπτυξη αυτή</w:t>
      </w:r>
      <w:r w:rsidRPr="000403EE">
        <w:t>, καθώς και για τη λαϊκή στήριξη της δημοκρατίας, παρά την τρόπον τινα υποχώρησή της κατά την τελευταία δεκαετία.</w:t>
      </w:r>
    </w:p>
    <w:p w:rsidRPr="000403EE" w:rsidR="00395260" w:rsidP="00643D0B" w:rsidRDefault="00395260" w14:paraId="7C26E522"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Καλεί τα ευρωπαϊκά θεσμικά όργανα να </w:t>
      </w:r>
      <w:r w:rsidRPr="000403EE">
        <w:rPr>
          <w:b/>
        </w:rPr>
        <w:t>ενισχύσουν τη συνεργασία για την ανάπτυξη της δημοκρατίας και την αύξηση της εμπιστοσύνης και της συμμετοχής των πολιτών στις δημοκρατικές διαδικασίες</w:t>
      </w:r>
      <w:r w:rsidRPr="000403EE">
        <w:t xml:space="preserve"> και για τη </w:t>
      </w:r>
      <w:r w:rsidRPr="000403EE">
        <w:rPr>
          <w:b/>
        </w:rPr>
        <w:t>στήριξη της κοινωνίας των πολιτών</w:t>
      </w:r>
      <w:r w:rsidRPr="000403EE">
        <w:t>.</w:t>
      </w:r>
    </w:p>
    <w:p w:rsidRPr="000403EE" w:rsidR="00395260" w:rsidP="00643D0B" w:rsidRDefault="00395260" w14:paraId="7B313445"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Θεωρεί ότι η ευρωπαϊκή προσέγγιση θα πρέπει να βασίζεται σε μια </w:t>
      </w:r>
      <w:r w:rsidRPr="000403EE">
        <w:rPr>
          <w:b/>
        </w:rPr>
        <w:t>σχέση μεταξύ ίσων και να λαμβάνει υπόψη την πολυπλοκότητα της ηπείρου</w:t>
      </w:r>
      <w:r w:rsidRPr="000403EE">
        <w:t xml:space="preserve"> όσον αφορά την οικονομική ανάπτυξη, την κοινωνική πρόοδο, την παροχή υποδομών ζωτικής σημασίας, την πολυμορφία και τα γεωπολιτικά και στρατηγικά συμφέροντα.</w:t>
      </w:r>
    </w:p>
    <w:p w:rsidRPr="000403EE" w:rsidR="00395260" w:rsidP="00643D0B" w:rsidRDefault="00395260" w14:paraId="29AF4310"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Πιστεύει ότι η </w:t>
      </w:r>
      <w:r w:rsidRPr="000403EE">
        <w:rPr>
          <w:b/>
        </w:rPr>
        <w:t>στρατηγική «Παγκόσμια Πύλη» (Global Gateway) είναι υψίστης σημασίας για τις σχέσεις ΕΕ-Αφρικής</w:t>
      </w:r>
      <w:r w:rsidRPr="000403EE">
        <w:t xml:space="preserve"> και επιβεβαιώνει ότι θα ενισχύσει τους οικονομικούς και πολιτικούς δεσμούς, διασφαλίζοντας τον σεβασμό των δημοκρατικών και κοινωνικών αρχών.</w:t>
      </w:r>
    </w:p>
    <w:p w:rsidRPr="000403EE" w:rsidR="00395260" w:rsidP="00643D0B" w:rsidRDefault="00395260" w14:paraId="43AC8A5D"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Πιστεύει ακράδαντα ότι, με βάση την εμπειρία της και από κοινού με αναγνωρισμένους εκπροσώπους της αφρικανικής κοινωνίας των πολιτών, συμπεριλαμβανομένων των κοινωνικών εταίρων, μπορεί να συμβάλει στην </w:t>
      </w:r>
      <w:r w:rsidRPr="000403EE">
        <w:rPr>
          <w:b/>
        </w:rPr>
        <w:t>προώθηση των δημοκρατικών αξιών, στην προάσπιση των ανθρωπίνων δικαιωμάτων και στην ενίσχυση του διαλόγου με τους πολίτες και του κοινωνικού και πολιτικού διαλόγου</w:t>
      </w:r>
      <w:r w:rsidRPr="000403EE">
        <w:t>, ιδίως στο πλαίσιο των θεσμικών μηχανισμών για τη συμμετοχή της κοινωνίας των πολιτών που θα δημιουργηθούν στο πλαίσιο της συμφωνίας της Σαμόας.</w:t>
      </w:r>
    </w:p>
    <w:p w:rsidRPr="000403EE" w:rsidR="00395260" w:rsidP="00643D0B" w:rsidRDefault="00395260" w14:paraId="4D44EB8C"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Δεσμεύεται ότι θα συνεχίσει και θα βελτιώσει τη δράση της για την </w:t>
      </w:r>
      <w:r w:rsidRPr="000403EE">
        <w:rPr>
          <w:b/>
        </w:rPr>
        <w:t>προώθηση και τη στήριξη των οργανώσεων της αφρικανικής κοινωνίας των πολιτών και των κοινωνικών εταίρων, διευκολύνοντας τη σύσταση, την οργάνωση και τη δράση τους, και συμμετέχοντας στην ενίσχυση της θεσμικής τους ικανότητας</w:t>
      </w:r>
      <w:r w:rsidRPr="000403EE">
        <w:t>, ως συμβολή στην επίτευξη του στόχου της ΕΕ να καταστεί ανθεκτική η δημοκρατία στην Αφρική.</w:t>
      </w:r>
    </w:p>
    <w:p w:rsidRPr="000403EE" w:rsidR="00395260" w:rsidP="00643D0B" w:rsidRDefault="00395260" w14:paraId="680D4AED" w14:textId="77777777">
      <w:pPr>
        <w:widowControl w:val="0"/>
        <w:numPr>
          <w:ilvl w:val="0"/>
          <w:numId w:val="41"/>
        </w:numPr>
        <w:overflowPunct w:val="0"/>
        <w:autoSpaceDE w:val="0"/>
        <w:autoSpaceDN w:val="0"/>
        <w:adjustRightInd w:val="0"/>
        <w:ind w:left="284" w:hanging="284"/>
        <w:textAlignment w:val="baseline"/>
        <w:rPr>
          <w:bCs/>
          <w:iCs/>
        </w:rPr>
      </w:pPr>
      <w:r w:rsidRPr="000403EE">
        <w:t xml:space="preserve">Τονίζει ότι η δράση της θα καθοδηγείται από τον </w:t>
      </w:r>
      <w:r w:rsidRPr="000403EE">
        <w:rPr>
          <w:b/>
        </w:rPr>
        <w:t>άρρηκτο δεσμό μεταξύ της προαγωγής των ατομικών, πολιτικών, κοινωνικών, οικονομικών και πολιτιστικών δικαιωμάτων και της οικονομικής ανάπτυξης και της κοινωνικής προόδου</w:t>
      </w:r>
      <w:r w:rsidRPr="000403EE">
        <w:t>.</w:t>
      </w:r>
    </w:p>
    <w:p w:rsidRPr="000403EE" w:rsidR="00395260" w:rsidP="00643D0B" w:rsidRDefault="00395260" w14:paraId="6100439B" w14:textId="77777777">
      <w:pPr>
        <w:widowControl w:val="0"/>
        <w:numPr>
          <w:ilvl w:val="0"/>
          <w:numId w:val="41"/>
        </w:numPr>
        <w:overflowPunct w:val="0"/>
        <w:autoSpaceDE w:val="0"/>
        <w:autoSpaceDN w:val="0"/>
        <w:adjustRightInd w:val="0"/>
        <w:ind w:left="284" w:hanging="284"/>
        <w:textAlignment w:val="baseline"/>
        <w:rPr>
          <w:bCs/>
          <w:iCs/>
        </w:rPr>
      </w:pPr>
      <w:r w:rsidRPr="000403EE">
        <w:lastRenderedPageBreak/>
        <w:t xml:space="preserve">Εκφράζει την ικανοποίησή της για το γεγονός ότι υπεγράφη </w:t>
      </w:r>
      <w:r w:rsidRPr="000403EE">
        <w:rPr>
          <w:b/>
        </w:rPr>
        <w:t>μνημόνιο συνεννόησης</w:t>
      </w:r>
      <w:r w:rsidRPr="000403EE">
        <w:t xml:space="preserve"> μεταξύ της ίδιας και του </w:t>
      </w:r>
      <w:r w:rsidRPr="000403EE">
        <w:rPr>
          <w:b/>
        </w:rPr>
        <w:t>ECOSOCC της Αφρικανικής Ένωσης</w:t>
      </w:r>
      <w:r w:rsidRPr="000403EE">
        <w:t xml:space="preserve">· ένα εξαιρετικά σημαντικό βήμα για την </w:t>
      </w:r>
      <w:r w:rsidRPr="000403EE">
        <w:rPr>
          <w:b/>
        </w:rPr>
        <w:t>εδραίωση της συμβολής της κοινωνίας των πολιτών στην εταιρική σχέση μεταξύ Ευρώπης και Αφρικής</w:t>
      </w:r>
      <w:r w:rsidRPr="000403EE">
        <w:t>.</w:t>
      </w:r>
    </w:p>
    <w:p w:rsidRPr="000403EE" w:rsidR="00395260" w:rsidP="00395260" w:rsidRDefault="00395260" w14:paraId="622E8585" w14:textId="77777777">
      <w:pPr>
        <w:widowControl w:val="0"/>
        <w:overflowPunct w:val="0"/>
        <w:autoSpaceDE w:val="0"/>
        <w:autoSpaceDN w:val="0"/>
        <w:adjustRightInd w:val="0"/>
        <w:ind w:left="709"/>
        <w:textAlignment w:val="baseline"/>
        <w:rPr>
          <w:szCs w:val="20"/>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395260" w:rsidTr="00863A8F" w14:paraId="260B4AB8" w14:textId="77777777">
        <w:tc>
          <w:tcPr>
            <w:tcW w:w="1556" w:type="pct"/>
          </w:tcPr>
          <w:p w:rsidRPr="000403EE" w:rsidR="00395260" w:rsidP="00395260" w:rsidRDefault="00395260" w14:paraId="2DC534F5" w14:textId="77777777">
            <w:pPr>
              <w:overflowPunct w:val="0"/>
              <w:autoSpaceDE w:val="0"/>
              <w:autoSpaceDN w:val="0"/>
              <w:adjustRightInd w:val="0"/>
              <w:spacing w:line="240" w:lineRule="auto"/>
              <w:textAlignment w:val="baseline"/>
              <w:rPr>
                <w:i/>
              </w:rPr>
            </w:pPr>
            <w:r w:rsidRPr="000403EE">
              <w:rPr>
                <w:b/>
                <w:i/>
              </w:rPr>
              <w:t>Επικοινωνία</w:t>
            </w:r>
          </w:p>
        </w:tc>
        <w:tc>
          <w:tcPr>
            <w:tcW w:w="3444" w:type="pct"/>
          </w:tcPr>
          <w:p w:rsidRPr="000403EE" w:rsidR="00395260" w:rsidP="00395260" w:rsidRDefault="00395260" w14:paraId="018D553A" w14:textId="77777777">
            <w:pPr>
              <w:overflowPunct w:val="0"/>
              <w:autoSpaceDE w:val="0"/>
              <w:autoSpaceDN w:val="0"/>
              <w:adjustRightInd w:val="0"/>
              <w:spacing w:line="240" w:lineRule="auto"/>
              <w:textAlignment w:val="baseline"/>
              <w:rPr>
                <w:i/>
              </w:rPr>
            </w:pPr>
            <w:r w:rsidRPr="000403EE">
              <w:rPr>
                <w:i/>
              </w:rPr>
              <w:t>Charlotte Rive</w:t>
            </w:r>
          </w:p>
        </w:tc>
      </w:tr>
      <w:tr w:rsidRPr="000403EE" w:rsidR="00395260" w:rsidTr="00863A8F" w14:paraId="2A69D17A" w14:textId="77777777">
        <w:tc>
          <w:tcPr>
            <w:tcW w:w="1556" w:type="pct"/>
          </w:tcPr>
          <w:p w:rsidRPr="000403EE" w:rsidR="00395260" w:rsidP="00395260" w:rsidRDefault="00395260" w14:paraId="1A3E349D"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395260" w:rsidP="00395260" w:rsidRDefault="00395260" w14:paraId="5F7519C0" w14:textId="4B699A9B">
            <w:pPr>
              <w:overflowPunct w:val="0"/>
              <w:autoSpaceDE w:val="0"/>
              <w:autoSpaceDN w:val="0"/>
              <w:adjustRightInd w:val="0"/>
              <w:spacing w:line="240" w:lineRule="auto"/>
              <w:textAlignment w:val="baseline"/>
              <w:rPr>
                <w:i/>
              </w:rPr>
            </w:pPr>
            <w:r w:rsidRPr="000403EE">
              <w:rPr>
                <w:i/>
              </w:rPr>
              <w:t>+32 25469388</w:t>
            </w:r>
          </w:p>
        </w:tc>
      </w:tr>
      <w:tr w:rsidRPr="000403EE" w:rsidR="00395260" w:rsidTr="00863A8F" w14:paraId="1A56B5AA" w14:textId="77777777">
        <w:tc>
          <w:tcPr>
            <w:tcW w:w="1556" w:type="pct"/>
          </w:tcPr>
          <w:p w:rsidRPr="000403EE" w:rsidR="00395260" w:rsidP="00395260" w:rsidRDefault="00697BE1" w14:paraId="3895F4B6" w14:textId="2D5D1AE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395260" w:rsidP="00395260" w:rsidRDefault="00913BEC" w14:paraId="6BD9B737" w14:textId="77777777">
            <w:pPr>
              <w:overflowPunct w:val="0"/>
              <w:autoSpaceDE w:val="0"/>
              <w:autoSpaceDN w:val="0"/>
              <w:adjustRightInd w:val="0"/>
              <w:spacing w:line="240" w:lineRule="auto"/>
              <w:textAlignment w:val="baseline"/>
              <w:rPr>
                <w:i/>
              </w:rPr>
            </w:pPr>
            <w:hyperlink w:history="1" r:id="rId48">
              <w:r w:rsidRPr="000403EE" w:rsidR="00064B8D">
                <w:rPr>
                  <w:i/>
                  <w:color w:val="0000FF"/>
                  <w:u w:val="single"/>
                </w:rPr>
                <w:t>Charlotte.Rive@eesc.europa.eu</w:t>
              </w:r>
            </w:hyperlink>
          </w:p>
        </w:tc>
      </w:tr>
    </w:tbl>
    <w:p w:rsidRPr="000403EE" w:rsidR="00902A1F" w:rsidRDefault="00902A1F" w14:paraId="1239F9AF" w14:textId="77777777">
      <w:pPr>
        <w:spacing w:after="160" w:line="259" w:lineRule="auto"/>
        <w:jc w:val="left"/>
      </w:pPr>
      <w:r w:rsidRPr="000403EE">
        <w:br w:type="page"/>
      </w:r>
    </w:p>
    <w:p w:rsidRPr="000403EE" w:rsidR="00BA5B45" w:rsidRDefault="00BA5B45" w14:paraId="4464305F" w14:textId="67DDEDA7">
      <w:pPr>
        <w:spacing w:after="160" w:line="259" w:lineRule="auto"/>
        <w:jc w:val="left"/>
      </w:pPr>
    </w:p>
    <w:p w:rsidRPr="000403EE" w:rsidR="006D2C8A" w:rsidP="006D6D4E" w:rsidRDefault="006D2C8A" w14:paraId="528C73AA" w14:textId="46DE726B">
      <w:pPr>
        <w:pStyle w:val="Heading1"/>
        <w:keepNext/>
        <w:keepLines/>
        <w:rPr>
          <w:b/>
        </w:rPr>
      </w:pPr>
      <w:bookmarkStart w:name="_Toc178009618" w:id="13"/>
      <w:r w:rsidRPr="000403EE">
        <w:rPr>
          <w:b/>
          <w:color w:val="222A35" w:themeColor="text2" w:themeShade="80"/>
        </w:rPr>
        <w:t>ΣΥΜΒΟΥΛΕΥΤΙΚΗ ΕΠΙΤΡΟΠΗ ΒΙΟΜΗΧΑΝΙΚΩΝ ΜΕΤΑΛΛΑΓΩΝ</w:t>
      </w:r>
      <w:bookmarkEnd w:id="13"/>
    </w:p>
    <w:p w:rsidRPr="000403EE" w:rsidR="006D2C8A" w:rsidP="006D6D4E" w:rsidRDefault="006D2C8A" w14:paraId="713E272F" w14:textId="77777777">
      <w:pPr>
        <w:keepNext/>
        <w:keepLines/>
        <w:rPr>
          <w:sz w:val="24"/>
          <w:szCs w:val="24"/>
        </w:rPr>
      </w:pPr>
    </w:p>
    <w:p w:rsidRPr="000403EE" w:rsidR="001C59D9" w:rsidP="00B61E90" w:rsidRDefault="00913BEC"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Pr="000403EE" w:rsidR="00064B8D">
          <w:rPr>
            <w:b/>
            <w:i/>
            <w:color w:val="0000FF"/>
            <w:sz w:val="28"/>
            <w:u w:val="single"/>
            <w:shd w:val="clear" w:color="auto" w:fill="FEFEFE"/>
          </w:rPr>
          <w:t>Οι τομεακές βιομηχανικές πολιτικές που υποστηρίζουν μεγαλύτερη στρατηγική αυτονομία</w:t>
        </w:r>
      </w:hyperlink>
    </w:p>
    <w:p w:rsidRPr="000403EE" w:rsidR="001C59D9" w:rsidP="001C59D9" w:rsidRDefault="001C59D9" w14:paraId="1F1FDD5C" w14:textId="77777777">
      <w:pPr>
        <w:widowControl w:val="0"/>
        <w:overflowPunct w:val="0"/>
        <w:autoSpaceDE w:val="0"/>
        <w:autoSpaceDN w:val="0"/>
        <w:adjustRightInd w:val="0"/>
        <w:ind w:left="266"/>
        <w:textAlignment w:val="baseline"/>
        <w:rPr>
          <w: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403EE" w:rsidR="001C59D9" w:rsidTr="00863A8F" w14:paraId="0DE8DBCE" w14:textId="77777777">
        <w:tc>
          <w:tcPr>
            <w:tcW w:w="1701" w:type="dxa"/>
          </w:tcPr>
          <w:p w:rsidRPr="000403EE" w:rsidR="001C59D9" w:rsidP="001C59D9" w:rsidRDefault="001C59D9" w14:paraId="247BDDA7"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7479" w:type="dxa"/>
          </w:tcPr>
          <w:p w:rsidRPr="000403EE" w:rsidR="001C59D9" w:rsidP="001C59D9" w:rsidRDefault="001C59D9" w14:paraId="3EF3113B" w14:textId="2A88A6EF">
            <w:pPr>
              <w:tabs>
                <w:tab w:val="center" w:pos="284"/>
              </w:tabs>
              <w:overflowPunct w:val="0"/>
              <w:autoSpaceDE w:val="0"/>
              <w:autoSpaceDN w:val="0"/>
              <w:adjustRightInd w:val="0"/>
              <w:ind w:left="266" w:hanging="266"/>
              <w:textAlignment w:val="baseline"/>
            </w:pPr>
            <w:r w:rsidRPr="000403EE">
              <w:t>Alain COHEUR (Ομάδα των Οργανώσεων της Κοινωνίας των Πολιτών – BE)</w:t>
            </w:r>
          </w:p>
        </w:tc>
      </w:tr>
      <w:tr w:rsidRPr="000403EE" w:rsidR="001C59D9" w:rsidTr="00863A8F" w14:paraId="183BEC47" w14:textId="77777777">
        <w:tc>
          <w:tcPr>
            <w:tcW w:w="1701" w:type="dxa"/>
          </w:tcPr>
          <w:p w:rsidRPr="000403EE" w:rsidR="001C59D9" w:rsidP="001C59D9" w:rsidRDefault="001C59D9" w14:paraId="3945195F" w14:textId="77777777">
            <w:pPr>
              <w:tabs>
                <w:tab w:val="center" w:pos="284"/>
              </w:tabs>
              <w:overflowPunct w:val="0"/>
              <w:autoSpaceDE w:val="0"/>
              <w:autoSpaceDN w:val="0"/>
              <w:adjustRightInd w:val="0"/>
              <w:ind w:left="266" w:hanging="266"/>
              <w:textAlignment w:val="baseline"/>
              <w:rPr>
                <w:b/>
              </w:rPr>
            </w:pPr>
            <w:r w:rsidRPr="000403EE">
              <w:rPr>
                <w:b/>
              </w:rPr>
              <w:t>Συνεισηγητής</w:t>
            </w:r>
          </w:p>
        </w:tc>
        <w:tc>
          <w:tcPr>
            <w:tcW w:w="7479" w:type="dxa"/>
          </w:tcPr>
          <w:p w:rsidRPr="000403EE" w:rsidR="001C59D9" w:rsidP="001C59D9" w:rsidRDefault="001C59D9" w14:paraId="2AEB1972" w14:textId="0C765853">
            <w:pPr>
              <w:tabs>
                <w:tab w:val="center" w:pos="284"/>
              </w:tabs>
              <w:overflowPunct w:val="0"/>
              <w:autoSpaceDE w:val="0"/>
              <w:autoSpaceDN w:val="0"/>
              <w:adjustRightInd w:val="0"/>
              <w:ind w:left="266" w:hanging="266"/>
              <w:textAlignment w:val="baseline"/>
            </w:pPr>
            <w:r w:rsidRPr="000403EE">
              <w:t>Antonello PEZZINI (Κατηγορία 1 - IT)</w:t>
            </w:r>
          </w:p>
        </w:tc>
      </w:tr>
      <w:tr w:rsidRPr="000403EE" w:rsidR="001C59D9" w:rsidTr="00863A8F" w14:paraId="459283E6" w14:textId="77777777">
        <w:tc>
          <w:tcPr>
            <w:tcW w:w="9180" w:type="dxa"/>
            <w:gridSpan w:val="2"/>
          </w:tcPr>
          <w:p w:rsidRPr="000403EE"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0403EE" w:rsidR="001C59D9" w:rsidTr="00863A8F" w14:paraId="4565FF1F" w14:textId="77777777">
        <w:tc>
          <w:tcPr>
            <w:tcW w:w="1701" w:type="dxa"/>
            <w:vMerge w:val="restart"/>
          </w:tcPr>
          <w:p w:rsidRPr="000403EE" w:rsidR="001C59D9" w:rsidP="001C59D9" w:rsidRDefault="001C59D9" w14:paraId="20DAD7FD"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7479" w:type="dxa"/>
          </w:tcPr>
          <w:p w:rsidRPr="000403EE" w:rsidR="00B61E90" w:rsidP="001C59D9" w:rsidRDefault="00B61E90" w14:paraId="2736C770" w14:textId="4E254416">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1C59D9" w:rsidP="001C59D9" w:rsidRDefault="001C59D9" w14:paraId="069CB8B0" w14:textId="332724EC">
            <w:pPr>
              <w:tabs>
                <w:tab w:val="center" w:pos="284"/>
              </w:tabs>
              <w:overflowPunct w:val="0"/>
              <w:autoSpaceDE w:val="0"/>
              <w:autoSpaceDN w:val="0"/>
              <w:adjustRightInd w:val="0"/>
              <w:ind w:left="266" w:hanging="266"/>
              <w:textAlignment w:val="baseline"/>
            </w:pPr>
            <w:r w:rsidRPr="000403EE">
              <w:t>EESC-2024-02005-00-00-AC</w:t>
            </w:r>
          </w:p>
        </w:tc>
      </w:tr>
      <w:tr w:rsidRPr="000403EE" w:rsidR="001C59D9" w:rsidTr="00863A8F" w14:paraId="34DA0A00" w14:textId="77777777">
        <w:tc>
          <w:tcPr>
            <w:tcW w:w="1701" w:type="dxa"/>
            <w:vMerge/>
          </w:tcPr>
          <w:p w:rsidRPr="000403EE"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479" w:type="dxa"/>
          </w:tcPr>
          <w:p w:rsidRPr="000403EE"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0403EE"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sz w:val="24"/>
          <w:szCs w:val="24"/>
        </w:rPr>
      </w:pPr>
    </w:p>
    <w:p w:rsidRPr="000403EE" w:rsidR="001C59D9" w:rsidP="001C59D9" w:rsidRDefault="001C59D9" w14:paraId="7A708E37" w14:textId="77777777">
      <w:pPr>
        <w:overflowPunct w:val="0"/>
        <w:autoSpaceDE w:val="0"/>
        <w:autoSpaceDN w:val="0"/>
        <w:adjustRightInd w:val="0"/>
        <w:textAlignment w:val="baseline"/>
        <w:rPr>
          <w:szCs w:val="20"/>
        </w:rPr>
      </w:pPr>
      <w:r w:rsidRPr="000403EE">
        <w:t>Η ΕΟΚΕ:</w:t>
      </w:r>
    </w:p>
    <w:p w:rsidRPr="000403EE" w:rsidR="001C59D9" w:rsidP="001C59D9" w:rsidRDefault="001C59D9" w14:paraId="4B0CD9E1" w14:textId="77777777">
      <w:pPr>
        <w:overflowPunct w:val="0"/>
        <w:autoSpaceDE w:val="0"/>
        <w:autoSpaceDN w:val="0"/>
        <w:adjustRightInd w:val="0"/>
        <w:textAlignment w:val="baseline"/>
        <w:rPr>
          <w:sz w:val="24"/>
        </w:rPr>
      </w:pPr>
    </w:p>
    <w:p w:rsidRPr="000403EE" w:rsidR="001C59D9" w:rsidP="00643D0B" w:rsidRDefault="001C59D9" w14:paraId="470F56FE" w14:textId="7FC0311F">
      <w:pPr>
        <w:numPr>
          <w:ilvl w:val="0"/>
          <w:numId w:val="43"/>
        </w:numPr>
        <w:overflowPunct w:val="0"/>
        <w:autoSpaceDE w:val="0"/>
        <w:autoSpaceDN w:val="0"/>
        <w:adjustRightInd w:val="0"/>
        <w:spacing w:after="200" w:line="276" w:lineRule="auto"/>
        <w:ind w:left="284" w:hanging="284"/>
        <w:contextualSpacing/>
        <w:textAlignment w:val="baseline"/>
        <w:rPr>
          <w:bCs/>
          <w:iCs/>
        </w:rPr>
      </w:pPr>
      <w:r w:rsidRPr="000403EE">
        <w:t xml:space="preserve">εκτιμά πως η </w:t>
      </w:r>
      <w:r w:rsidRPr="000403EE">
        <w:rPr>
          <w:b/>
        </w:rPr>
        <w:t>περαιτέρω εξασθένηση της μεταλλουργικής βιομηχανίας θα είναι απαράδεκτη</w:t>
      </w:r>
      <w:r w:rsidRPr="000403EE">
        <w:t xml:space="preserve">, καθώς απειλεί να </w:t>
      </w:r>
      <w:r w:rsidRPr="000403EE">
        <w:rPr>
          <w:b/>
        </w:rPr>
        <w:t>υπονομεύσει σοβαρά τη στρατηγική αυτονομία μας</w:t>
      </w:r>
      <w:r w:rsidRPr="000403EE">
        <w:t xml:space="preserve">, το σύνολο των τομέων της βιομηχανίας μας (σιδηροδρομική, πυρηνική, ναυτική, διαστημική, αυτοκινητοβιομηχανία, άμυνα κλπ.) και, κατά συνέπεια, το βιομηχανικό μας μέλλον. Περισσότερο από ποτέ, </w:t>
      </w:r>
      <w:r w:rsidRPr="000403EE">
        <w:rPr>
          <w:b/>
        </w:rPr>
        <w:t>η Ευρώπη πρέπει να θεσπίσει βιομηχανική συμφωνία</w:t>
      </w:r>
      <w:r w:rsidRPr="000403EE">
        <w:t xml:space="preserve"> για την ενίσχυση τόσο της Πράσινης Συμφωνίας όσο και του σχεδίου δράσης της για την κυκλική οικονομία, να </w:t>
      </w:r>
      <w:r w:rsidRPr="000403EE">
        <w:rPr>
          <w:b/>
        </w:rPr>
        <w:t>ενισχύσει τις βιομηχανικές της συμμαχίες στη μεταλλουργία</w:t>
      </w:r>
      <w:r w:rsidRPr="000403EE">
        <w:t xml:space="preserve"> μέσω σημαντικών έργων κοινού ενδιαφέροντος και να </w:t>
      </w:r>
      <w:r w:rsidRPr="000403EE">
        <w:rPr>
          <w:b/>
        </w:rPr>
        <w:t>εκβιομηχανίσει εκ νέου πολυάριθμες εγκαταλελειμμένες περιοχές με σκοπό την αναδημιουργία ποιοτικών θέσεων εργασίας κατά τόπους</w:t>
      </w:r>
      <w:r w:rsidRPr="000403EE">
        <w:t>.</w:t>
      </w:r>
    </w:p>
    <w:p w:rsidRPr="000403EE" w:rsidR="001C59D9" w:rsidP="00643D0B" w:rsidRDefault="001C59D9" w14:paraId="52DD51D1" w14:textId="0B2965BB">
      <w:pPr>
        <w:numPr>
          <w:ilvl w:val="0"/>
          <w:numId w:val="43"/>
        </w:numPr>
        <w:overflowPunct w:val="0"/>
        <w:autoSpaceDE w:val="0"/>
        <w:autoSpaceDN w:val="0"/>
        <w:adjustRightInd w:val="0"/>
        <w:ind w:left="284" w:hanging="284"/>
        <w:contextualSpacing/>
        <w:textAlignment w:val="baseline"/>
      </w:pPr>
      <w:r w:rsidRPr="000403EE">
        <w:t xml:space="preserve">καλεί την Ευρωπαϊκή Επιτροπή να </w:t>
      </w:r>
      <w:r w:rsidRPr="000403EE">
        <w:rPr>
          <w:b/>
        </w:rPr>
        <w:t xml:space="preserve">επανεξετάσει επειγόντως τις αναλύσεις και προοπτικές της βιομηχανικής πολιτικής </w:t>
      </w:r>
      <w:r w:rsidRPr="000403EE">
        <w:t>μέσω</w:t>
      </w:r>
      <w:r w:rsidRPr="000403EE">
        <w:rPr>
          <w:b/>
        </w:rPr>
        <w:t xml:space="preserve"> αναλύσεων προοπτικών</w:t>
      </w:r>
      <w:r w:rsidRPr="000403EE">
        <w:t xml:space="preserve"> με στόχο την </w:t>
      </w:r>
      <w:r w:rsidRPr="000403EE">
        <w:rPr>
          <w:b/>
        </w:rPr>
        <w:t>ανάκτηση της ανταγωνιστικής θέσης παγκοσμίως</w:t>
      </w:r>
      <w:r w:rsidRPr="000403EE">
        <w:t>.</w:t>
      </w:r>
    </w:p>
    <w:p w:rsidRPr="000403EE" w:rsidR="001C59D9" w:rsidP="00643D0B" w:rsidRDefault="001C59D9" w14:paraId="6FFD9CC6" w14:textId="77777777">
      <w:pPr>
        <w:numPr>
          <w:ilvl w:val="0"/>
          <w:numId w:val="43"/>
        </w:numPr>
        <w:overflowPunct w:val="0"/>
        <w:autoSpaceDE w:val="0"/>
        <w:autoSpaceDN w:val="0"/>
        <w:adjustRightInd w:val="0"/>
        <w:ind w:left="284" w:hanging="284"/>
        <w:contextualSpacing/>
        <w:textAlignment w:val="baseline"/>
      </w:pPr>
      <w:r w:rsidRPr="000403EE">
        <w:t xml:space="preserve">εισηγείται στην Ευρωπαϊκή Επιτροπή να </w:t>
      </w:r>
      <w:r w:rsidRPr="000403EE">
        <w:rPr>
          <w:b/>
        </w:rPr>
        <w:t>εφαρμόσει ταχέως μέτρα ειδικού σκοπού για να παράσχει υποστήριξη στους διάφορους στρατηγικούς τομείς, όπως η χημεία, η μεταλλουργία και η κυβερνοασφάλεια</w:t>
      </w:r>
      <w:r w:rsidRPr="000403EE">
        <w:t>.</w:t>
      </w:r>
    </w:p>
    <w:p w:rsidRPr="000403EE" w:rsidR="001C59D9" w:rsidP="00643D0B" w:rsidRDefault="001C59D9" w14:paraId="59B42CB8" w14:textId="4E3066F6">
      <w:pPr>
        <w:numPr>
          <w:ilvl w:val="0"/>
          <w:numId w:val="43"/>
        </w:numPr>
        <w:overflowPunct w:val="0"/>
        <w:autoSpaceDE w:val="0"/>
        <w:autoSpaceDN w:val="0"/>
        <w:adjustRightInd w:val="0"/>
        <w:ind w:left="284" w:hanging="284"/>
        <w:contextualSpacing/>
        <w:textAlignment w:val="baseline"/>
      </w:pPr>
      <w:r w:rsidRPr="000403EE">
        <w:t xml:space="preserve">θεωρεί ότι οι επιχειρήσεις είναι απαραίτητο να </w:t>
      </w:r>
      <w:r w:rsidRPr="000403EE">
        <w:rPr>
          <w:b/>
        </w:rPr>
        <w:t>έχουν πρόσβαση σε τραπεζικά ιδρύματα που υποστηρίζουν τη βιομηχανική πολιτική που εδράζεται στην περιοχή μας</w:t>
      </w:r>
      <w:r w:rsidRPr="000403EE">
        <w:t xml:space="preserve">, σε </w:t>
      </w:r>
      <w:r w:rsidRPr="000403EE">
        <w:rPr>
          <w:b/>
        </w:rPr>
        <w:t xml:space="preserve">ολοένα και πιο ειδικευμένους εργαζομένους </w:t>
      </w:r>
      <w:r w:rsidRPr="000403EE">
        <w:t>και σε</w:t>
      </w:r>
      <w:r w:rsidRPr="000403EE">
        <w:rPr>
          <w:b/>
        </w:rPr>
        <w:t xml:space="preserve"> πανεπιστημιακά κέντρα που προωθούν την καινοτομία και την έρευνα</w:t>
      </w:r>
      <w:r w:rsidRPr="000403EE">
        <w:t xml:space="preserve"> για τη δημιουργία των θέσεων εργασίας του μέλλοντος.</w:t>
      </w:r>
    </w:p>
    <w:p w:rsidRPr="000403EE" w:rsidR="001C59D9" w:rsidP="00643D0B" w:rsidRDefault="001C59D9" w14:paraId="43D02535" w14:textId="77777777">
      <w:pPr>
        <w:numPr>
          <w:ilvl w:val="0"/>
          <w:numId w:val="43"/>
        </w:numPr>
        <w:overflowPunct w:val="0"/>
        <w:autoSpaceDE w:val="0"/>
        <w:autoSpaceDN w:val="0"/>
        <w:adjustRightInd w:val="0"/>
        <w:ind w:left="284" w:hanging="284"/>
        <w:contextualSpacing/>
        <w:textAlignment w:val="baseline"/>
      </w:pPr>
      <w:r w:rsidRPr="000403EE">
        <w:t xml:space="preserve">τονίζει την </w:t>
      </w:r>
      <w:r w:rsidRPr="000403EE">
        <w:rPr>
          <w:b/>
        </w:rPr>
        <w:t>ανάγκη να αυξηθούν οι εταιρικές σχέσεις για την τόνωση της καινοτομίας και των επενδύσεων, να επιστρέψει η χημική βιομηχανία και να δημιουργηθούν κέντρα λήψης αποφάσεων σε ευρωπαϊκό έδαφος, να τυποποιηθούν τα πρότυπα ποιότητας για τα πλαστικά απόβλητα που έχουν υποβληθεί σε διαλογή/προεπεξεργασία</w:t>
      </w:r>
      <w:r w:rsidRPr="000403EE">
        <w:t xml:space="preserve">, καθώς και να δημιουργηθεί μια </w:t>
      </w:r>
      <w:r w:rsidRPr="000403EE">
        <w:rPr>
          <w:b/>
        </w:rPr>
        <w:t>ενιαία και ανοιχτή δευτερογενής αγορά</w:t>
      </w:r>
      <w:r w:rsidRPr="000403EE">
        <w:t xml:space="preserve"> για τη διασφάλιση της συνεχούς προμήθειας πλαστικών αποβλήτων για τη λειτουργία μονάδων χημικής ανακύκλωσης.</w:t>
      </w:r>
    </w:p>
    <w:p w:rsidRPr="000403EE" w:rsidR="001C59D9" w:rsidP="00322FF0" w:rsidRDefault="001C59D9" w14:paraId="0B0E46F3" w14:textId="77777777">
      <w:pPr>
        <w:keepNext/>
        <w:keepLines/>
        <w:numPr>
          <w:ilvl w:val="0"/>
          <w:numId w:val="43"/>
        </w:numPr>
        <w:overflowPunct w:val="0"/>
        <w:autoSpaceDE w:val="0"/>
        <w:autoSpaceDN w:val="0"/>
        <w:adjustRightInd w:val="0"/>
        <w:ind w:left="284" w:hanging="284"/>
        <w:contextualSpacing/>
        <w:textAlignment w:val="baseline"/>
      </w:pPr>
      <w:r w:rsidRPr="000403EE">
        <w:lastRenderedPageBreak/>
        <w:t xml:space="preserve">συνιστά να θεσπιστεί </w:t>
      </w:r>
      <w:r w:rsidRPr="000403EE">
        <w:rPr>
          <w:b/>
        </w:rPr>
        <w:t>ενισχυμένο και διαρκούς ισχύος πλαίσιο</w:t>
      </w:r>
      <w:r w:rsidRPr="000403EE">
        <w:t xml:space="preserve">, καθώς και να </w:t>
      </w:r>
      <w:r w:rsidRPr="000403EE">
        <w:rPr>
          <w:b/>
        </w:rPr>
        <w:t>αναπτυχθούν προγράμματα προληπτικής τεχνικής βοήθειας</w:t>
      </w:r>
      <w:r w:rsidRPr="000403EE">
        <w:t xml:space="preserve"> στα οποία θα μπορούν να συμμετέχουν όλες οι επιχειρήσεις.</w:t>
      </w:r>
    </w:p>
    <w:p w:rsidRPr="000403EE" w:rsidR="001C59D9" w:rsidP="00322FF0" w:rsidRDefault="001C59D9" w14:paraId="3DC481B7" w14:textId="77777777">
      <w:pPr>
        <w:keepNext/>
        <w:keepLines/>
        <w:overflowPunct w:val="0"/>
        <w:autoSpaceDE w:val="0"/>
        <w:autoSpaceDN w:val="0"/>
        <w:adjustRightInd w:val="0"/>
        <w:ind w:left="567"/>
        <w:textAlignment w:val="baseline"/>
        <w:rPr>
          <w:szCs w:val="20"/>
        </w:rPr>
      </w:pPr>
    </w:p>
    <w:p w:rsidRPr="000403EE" w:rsidR="001C59D9" w:rsidP="00322FF0" w:rsidRDefault="001C59D9" w14:paraId="4177570F" w14:textId="77777777">
      <w:pPr>
        <w:keepNext/>
        <w:keepLines/>
        <w:overflowPunct w:val="0"/>
        <w:autoSpaceDE w:val="0"/>
        <w:autoSpaceDN w:val="0"/>
        <w:adjustRightInd w:val="0"/>
        <w:textAlignment w:val="baseline"/>
        <w:rPr>
          <w:szCs w:val="20"/>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403EE" w:rsidR="001C59D9" w:rsidTr="00863A8F" w14:paraId="7B9A0D37" w14:textId="77777777">
        <w:tc>
          <w:tcPr>
            <w:tcW w:w="1418" w:type="dxa"/>
          </w:tcPr>
          <w:p w:rsidRPr="000403EE" w:rsidR="001C59D9" w:rsidP="00322FF0" w:rsidRDefault="001C59D9" w14:paraId="1A53C334" w14:textId="77777777">
            <w:pPr>
              <w:keepNext/>
              <w:keepLines/>
              <w:overflowPunct w:val="0"/>
              <w:autoSpaceDE w:val="0"/>
              <w:autoSpaceDN w:val="0"/>
              <w:adjustRightInd w:val="0"/>
              <w:spacing w:line="240" w:lineRule="auto"/>
              <w:textAlignment w:val="baseline"/>
              <w:rPr>
                <w:i/>
              </w:rPr>
            </w:pPr>
            <w:r w:rsidRPr="000403EE">
              <w:rPr>
                <w:b/>
                <w:i/>
              </w:rPr>
              <w:t>Επικοινωνία</w:t>
            </w:r>
          </w:p>
        </w:tc>
        <w:tc>
          <w:tcPr>
            <w:tcW w:w="5670" w:type="dxa"/>
          </w:tcPr>
          <w:p w:rsidRPr="000403EE" w:rsidR="001C59D9" w:rsidP="00322FF0" w:rsidRDefault="001C59D9" w14:paraId="1A7452D2" w14:textId="77777777">
            <w:pPr>
              <w:keepNext/>
              <w:keepLines/>
              <w:overflowPunct w:val="0"/>
              <w:autoSpaceDE w:val="0"/>
              <w:autoSpaceDN w:val="0"/>
              <w:adjustRightInd w:val="0"/>
              <w:spacing w:line="240" w:lineRule="auto"/>
              <w:textAlignment w:val="baseline"/>
              <w:rPr>
                <w:i/>
              </w:rPr>
            </w:pPr>
            <w:r w:rsidRPr="000403EE">
              <w:rPr>
                <w:i/>
              </w:rPr>
              <w:t>Marie-Laurence Drillon</w:t>
            </w:r>
          </w:p>
        </w:tc>
      </w:tr>
      <w:tr w:rsidRPr="000403EE" w:rsidR="001C59D9" w:rsidTr="00863A8F" w14:paraId="510D17C4" w14:textId="77777777">
        <w:tc>
          <w:tcPr>
            <w:tcW w:w="1418" w:type="dxa"/>
          </w:tcPr>
          <w:p w:rsidRPr="000403EE" w:rsidR="001C59D9" w:rsidP="00322FF0" w:rsidRDefault="001C59D9" w14:paraId="5FF9E965" w14:textId="77777777">
            <w:pPr>
              <w:keepNext/>
              <w:keepLines/>
              <w:overflowPunct w:val="0"/>
              <w:autoSpaceDE w:val="0"/>
              <w:autoSpaceDN w:val="0"/>
              <w:adjustRightInd w:val="0"/>
              <w:spacing w:line="240" w:lineRule="auto"/>
              <w:textAlignment w:val="baseline"/>
              <w:rPr>
                <w:i/>
              </w:rPr>
            </w:pPr>
            <w:r w:rsidRPr="000403EE">
              <w:rPr>
                <w:i/>
              </w:rPr>
              <w:t>Τηλ.</w:t>
            </w:r>
          </w:p>
        </w:tc>
        <w:tc>
          <w:tcPr>
            <w:tcW w:w="5670" w:type="dxa"/>
          </w:tcPr>
          <w:p w:rsidRPr="000403EE" w:rsidR="001C59D9" w:rsidP="00322FF0" w:rsidRDefault="001C59D9" w14:paraId="117BAF9F" w14:textId="19179759">
            <w:pPr>
              <w:keepNext/>
              <w:keepLines/>
              <w:overflowPunct w:val="0"/>
              <w:autoSpaceDE w:val="0"/>
              <w:autoSpaceDN w:val="0"/>
              <w:adjustRightInd w:val="0"/>
              <w:spacing w:line="240" w:lineRule="auto"/>
              <w:textAlignment w:val="baseline"/>
              <w:rPr>
                <w:i/>
              </w:rPr>
            </w:pPr>
            <w:r w:rsidRPr="000403EE">
              <w:rPr>
                <w:i/>
              </w:rPr>
              <w:t>+32 25468320</w:t>
            </w:r>
          </w:p>
        </w:tc>
      </w:tr>
      <w:tr w:rsidRPr="000403EE" w:rsidR="001C59D9" w:rsidTr="00863A8F" w14:paraId="375F101A" w14:textId="77777777">
        <w:tc>
          <w:tcPr>
            <w:tcW w:w="1418" w:type="dxa"/>
          </w:tcPr>
          <w:p w:rsidRPr="000403EE" w:rsidR="001C59D9" w:rsidP="00322FF0" w:rsidRDefault="0052039C" w14:paraId="7E558C19" w14:textId="3915EE53">
            <w:pPr>
              <w:keepNext/>
              <w:keepLines/>
              <w:overflowPunct w:val="0"/>
              <w:autoSpaceDE w:val="0"/>
              <w:autoSpaceDN w:val="0"/>
              <w:adjustRightInd w:val="0"/>
              <w:spacing w:line="240" w:lineRule="auto"/>
              <w:textAlignment w:val="baseline"/>
              <w:rPr>
                <w:i/>
              </w:rPr>
            </w:pPr>
            <w:r w:rsidRPr="000403EE">
              <w:rPr>
                <w:i/>
              </w:rPr>
              <w:t>Ηλ. δ/νση</w:t>
            </w:r>
          </w:p>
        </w:tc>
        <w:tc>
          <w:tcPr>
            <w:tcW w:w="5670" w:type="dxa"/>
          </w:tcPr>
          <w:p w:rsidRPr="000403EE" w:rsidR="001C59D9" w:rsidP="00322FF0" w:rsidRDefault="001C59D9" w14:paraId="32EC8961" w14:textId="77777777">
            <w:pPr>
              <w:keepNext/>
              <w:keepLines/>
              <w:overflowPunct w:val="0"/>
              <w:autoSpaceDE w:val="0"/>
              <w:autoSpaceDN w:val="0"/>
              <w:adjustRightInd w:val="0"/>
              <w:spacing w:line="240" w:lineRule="auto"/>
              <w:textAlignment w:val="baseline"/>
              <w:rPr>
                <w:i/>
              </w:rPr>
            </w:pPr>
            <w:r w:rsidRPr="000403EE">
              <w:rPr>
                <w:i/>
              </w:rPr>
              <w:t>Marie-Laurence.Drillon@eesc.europa.eu</w:t>
            </w:r>
          </w:p>
        </w:tc>
      </w:tr>
    </w:tbl>
    <w:p w:rsidRPr="000403EE" w:rsidR="00B61E90" w:rsidP="00322FF0" w:rsidRDefault="00B61E90" w14:paraId="45DC78CE" w14:textId="320217D2">
      <w:pPr>
        <w:keepNext/>
        <w:keepLines/>
      </w:pPr>
    </w:p>
    <w:p w:rsidRPr="000403EE" w:rsidR="00395260" w:rsidP="00126C49" w:rsidRDefault="00B61E90" w14:paraId="2D41024D" w14:textId="3A917D53">
      <w:pPr>
        <w:keepNext/>
        <w:keepLines/>
        <w:spacing w:after="160" w:line="259" w:lineRule="auto"/>
        <w:jc w:val="left"/>
      </w:pPr>
      <w:r w:rsidRPr="000403EE">
        <w:br w:type="page"/>
      </w:r>
    </w:p>
    <w:p w:rsidRPr="000403EE" w:rsidR="004135C1" w:rsidP="004135C1" w:rsidRDefault="00913BEC" w14:paraId="4C6E69A7" w14:textId="1964BA73">
      <w:pPr>
        <w:widowControl w:val="0"/>
        <w:numPr>
          <w:ilvl w:val="0"/>
          <w:numId w:val="6"/>
        </w:numPr>
        <w:overflowPunct w:val="0"/>
        <w:autoSpaceDE w:val="0"/>
        <w:autoSpaceDN w:val="0"/>
        <w:adjustRightInd w:val="0"/>
        <w:ind w:hanging="567"/>
        <w:textAlignment w:val="baseline"/>
        <w:rPr>
          <w:sz w:val="20"/>
          <w:szCs w:val="20"/>
        </w:rPr>
      </w:pPr>
      <w:hyperlink w:history="1" r:id="rId50">
        <w:r w:rsidRPr="000403EE" w:rsidR="00064B8D">
          <w:rPr>
            <w:b/>
            <w:i/>
            <w:color w:val="0000FF"/>
            <w:sz w:val="28"/>
            <w:u w:val="single"/>
          </w:rPr>
          <w:t>Βιομηχανικές αλλαγές στον τομέα της υγείας ενόψει πολλαπλασιαζόμενων κρίσεων</w:t>
        </w:r>
      </w:hyperlink>
    </w:p>
    <w:p w:rsidRPr="000403EE" w:rsidR="004135C1" w:rsidP="004135C1" w:rsidRDefault="004135C1" w14:paraId="42D81671" w14:textId="77777777">
      <w:pPr>
        <w:tabs>
          <w:tab w:val="center" w:pos="284"/>
        </w:tabs>
        <w:overflowPunct w:val="0"/>
        <w:autoSpaceDE w:val="0"/>
        <w:autoSpaceDN w:val="0"/>
        <w:adjustRightInd w:val="0"/>
        <w:ind w:left="266" w:hanging="266"/>
        <w:textAlignment w:val="baseline"/>
        <w:rPr>
          <w:b/>
          <w:sz w:val="20"/>
          <w:szCs w:val="20"/>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0403EE" w:rsidR="004135C1" w:rsidTr="00863A8F" w14:paraId="7437B509" w14:textId="77777777">
        <w:tc>
          <w:tcPr>
            <w:tcW w:w="1591" w:type="pct"/>
          </w:tcPr>
          <w:p w:rsidRPr="000403EE" w:rsidR="004135C1" w:rsidP="004135C1" w:rsidRDefault="004135C1" w14:paraId="76E1C0AB" w14:textId="77777777">
            <w:pPr>
              <w:tabs>
                <w:tab w:val="center" w:pos="284"/>
              </w:tabs>
              <w:overflowPunct w:val="0"/>
              <w:autoSpaceDE w:val="0"/>
              <w:autoSpaceDN w:val="0"/>
              <w:adjustRightInd w:val="0"/>
              <w:ind w:left="266" w:hanging="266"/>
              <w:textAlignment w:val="baseline"/>
              <w:rPr>
                <w:b/>
              </w:rPr>
            </w:pPr>
            <w:r w:rsidRPr="000403EE">
              <w:rPr>
                <w:b/>
              </w:rPr>
              <w:t>Εισηγητής</w:t>
            </w:r>
          </w:p>
        </w:tc>
        <w:tc>
          <w:tcPr>
            <w:tcW w:w="3409" w:type="pct"/>
          </w:tcPr>
          <w:p w:rsidRPr="000403EE" w:rsidR="004135C1" w:rsidP="004135C1" w:rsidRDefault="004135C1" w14:paraId="4DA9553C" w14:textId="48518E84">
            <w:pPr>
              <w:tabs>
                <w:tab w:val="center" w:pos="284"/>
              </w:tabs>
              <w:overflowPunct w:val="0"/>
              <w:autoSpaceDE w:val="0"/>
              <w:autoSpaceDN w:val="0"/>
              <w:adjustRightInd w:val="0"/>
              <w:ind w:left="266" w:hanging="266"/>
              <w:textAlignment w:val="baseline"/>
            </w:pPr>
            <w:r w:rsidRPr="000403EE">
              <w:t>Florian MARIN (Ομάδα των Εργαζομένων – RO)</w:t>
            </w:r>
          </w:p>
        </w:tc>
      </w:tr>
      <w:tr w:rsidRPr="000403EE" w:rsidR="004135C1" w:rsidTr="00863A8F" w14:paraId="5792E4CB" w14:textId="77777777">
        <w:tc>
          <w:tcPr>
            <w:tcW w:w="1591" w:type="pct"/>
          </w:tcPr>
          <w:p w:rsidRPr="000403EE" w:rsidR="004135C1" w:rsidP="004135C1" w:rsidRDefault="004135C1" w14:paraId="18291D19" w14:textId="77777777">
            <w:pPr>
              <w:tabs>
                <w:tab w:val="center" w:pos="284"/>
              </w:tabs>
              <w:overflowPunct w:val="0"/>
              <w:autoSpaceDE w:val="0"/>
              <w:autoSpaceDN w:val="0"/>
              <w:adjustRightInd w:val="0"/>
              <w:ind w:left="266" w:hanging="266"/>
              <w:textAlignment w:val="baseline"/>
              <w:rPr>
                <w:b/>
              </w:rPr>
            </w:pPr>
            <w:r w:rsidRPr="000403EE">
              <w:rPr>
                <w:b/>
              </w:rPr>
              <w:t>Συνεισηγητής</w:t>
            </w:r>
          </w:p>
        </w:tc>
        <w:tc>
          <w:tcPr>
            <w:tcW w:w="3409" w:type="pct"/>
          </w:tcPr>
          <w:p w:rsidRPr="000403EE" w:rsidR="004135C1" w:rsidP="004135C1" w:rsidRDefault="004135C1" w14:paraId="7C4E0140" w14:textId="3D6E3C8F">
            <w:pPr>
              <w:tabs>
                <w:tab w:val="center" w:pos="284"/>
              </w:tabs>
              <w:overflowPunct w:val="0"/>
              <w:autoSpaceDE w:val="0"/>
              <w:autoSpaceDN w:val="0"/>
              <w:adjustRightInd w:val="0"/>
              <w:ind w:left="266" w:hanging="266"/>
              <w:textAlignment w:val="baseline"/>
            </w:pPr>
            <w:r w:rsidRPr="000403EE">
              <w:t>Antonello PEZZINI (Κατηγορία 1 - IT)</w:t>
            </w:r>
          </w:p>
        </w:tc>
      </w:tr>
      <w:tr w:rsidRPr="000403EE" w:rsidR="004135C1" w:rsidTr="00863A8F" w14:paraId="35C56C8C" w14:textId="77777777">
        <w:tc>
          <w:tcPr>
            <w:tcW w:w="5000" w:type="pct"/>
            <w:gridSpan w:val="2"/>
          </w:tcPr>
          <w:p w:rsidRPr="000403EE"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pPr>
          </w:p>
        </w:tc>
      </w:tr>
      <w:tr w:rsidRPr="000403EE" w:rsidR="004135C1" w:rsidTr="00863A8F" w14:paraId="688A83AF" w14:textId="77777777">
        <w:tc>
          <w:tcPr>
            <w:tcW w:w="1591" w:type="pct"/>
            <w:vMerge w:val="restart"/>
          </w:tcPr>
          <w:p w:rsidRPr="000403EE" w:rsidR="004135C1" w:rsidP="004135C1" w:rsidRDefault="004135C1" w14:paraId="71E1FB44" w14:textId="77777777">
            <w:pPr>
              <w:tabs>
                <w:tab w:val="center" w:pos="284"/>
              </w:tabs>
              <w:overflowPunct w:val="0"/>
              <w:autoSpaceDE w:val="0"/>
              <w:autoSpaceDN w:val="0"/>
              <w:adjustRightInd w:val="0"/>
              <w:ind w:left="266" w:hanging="266"/>
              <w:textAlignment w:val="baseline"/>
              <w:rPr>
                <w:b/>
              </w:rPr>
            </w:pPr>
            <w:r w:rsidRPr="000403EE">
              <w:rPr>
                <w:b/>
              </w:rPr>
              <w:t>Έγγραφα αναφοράς</w:t>
            </w:r>
          </w:p>
        </w:tc>
        <w:tc>
          <w:tcPr>
            <w:tcW w:w="3409" w:type="pct"/>
          </w:tcPr>
          <w:p w:rsidRPr="000403EE" w:rsidR="00A7132A" w:rsidP="004135C1" w:rsidRDefault="00A7132A" w14:paraId="70BFA311" w14:textId="4D7B97E1">
            <w:pPr>
              <w:tabs>
                <w:tab w:val="center" w:pos="284"/>
              </w:tabs>
              <w:overflowPunct w:val="0"/>
              <w:autoSpaceDE w:val="0"/>
              <w:autoSpaceDN w:val="0"/>
              <w:adjustRightInd w:val="0"/>
              <w:ind w:left="266" w:hanging="266"/>
              <w:textAlignment w:val="baseline"/>
            </w:pPr>
            <w:r w:rsidRPr="000403EE">
              <w:t>Γνωμοδότηση πρωτοβουλίας</w:t>
            </w:r>
          </w:p>
          <w:p w:rsidRPr="000403EE" w:rsidR="004135C1" w:rsidP="004135C1" w:rsidRDefault="004135C1" w14:paraId="057159B1" w14:textId="4915FDE9">
            <w:pPr>
              <w:tabs>
                <w:tab w:val="center" w:pos="284"/>
              </w:tabs>
              <w:overflowPunct w:val="0"/>
              <w:autoSpaceDE w:val="0"/>
              <w:autoSpaceDN w:val="0"/>
              <w:adjustRightInd w:val="0"/>
              <w:ind w:left="266" w:hanging="266"/>
              <w:textAlignment w:val="baseline"/>
            </w:pPr>
            <w:r w:rsidRPr="000403EE">
              <w:t>EESC-2024-02033-00-00-AC</w:t>
            </w:r>
          </w:p>
        </w:tc>
      </w:tr>
      <w:tr w:rsidRPr="000403EE" w:rsidR="004135C1" w:rsidTr="00863A8F" w14:paraId="3A541F7A" w14:textId="77777777">
        <w:tc>
          <w:tcPr>
            <w:tcW w:w="1591" w:type="pct"/>
            <w:vMerge/>
          </w:tcPr>
          <w:p w:rsidRPr="000403EE" w:rsidR="004135C1" w:rsidP="004135C1" w:rsidRDefault="004135C1" w14:paraId="24EACD1B" w14:textId="77777777">
            <w:pPr>
              <w:tabs>
                <w:tab w:val="center" w:pos="284"/>
              </w:tabs>
              <w:overflowPunct w:val="0"/>
              <w:autoSpaceDE w:val="0"/>
              <w:autoSpaceDN w:val="0"/>
              <w:adjustRightInd w:val="0"/>
              <w:ind w:left="266" w:hanging="266"/>
              <w:textAlignment w:val="baseline"/>
              <w:rPr>
                <w:b/>
              </w:rPr>
            </w:pPr>
          </w:p>
        </w:tc>
        <w:tc>
          <w:tcPr>
            <w:tcW w:w="3409" w:type="pct"/>
          </w:tcPr>
          <w:p w:rsidRPr="000403EE" w:rsidR="004135C1" w:rsidP="004135C1" w:rsidRDefault="004135C1" w14:paraId="5ECB5A4D" w14:textId="77777777">
            <w:pPr>
              <w:tabs>
                <w:tab w:val="center" w:pos="284"/>
              </w:tabs>
              <w:overflowPunct w:val="0"/>
              <w:autoSpaceDE w:val="0"/>
              <w:autoSpaceDN w:val="0"/>
              <w:adjustRightInd w:val="0"/>
              <w:ind w:left="266" w:hanging="266"/>
              <w:textAlignment w:val="baseline"/>
            </w:pPr>
          </w:p>
        </w:tc>
      </w:tr>
    </w:tbl>
    <w:p w:rsidRPr="000403EE" w:rsidR="004135C1" w:rsidP="004135C1" w:rsidRDefault="004135C1" w14:paraId="48486D8D" w14:textId="77777777">
      <w:pPr>
        <w:tabs>
          <w:tab w:val="center" w:pos="284"/>
        </w:tabs>
        <w:overflowPunct w:val="0"/>
        <w:autoSpaceDE w:val="0"/>
        <w:autoSpaceDN w:val="0"/>
        <w:adjustRightInd w:val="0"/>
        <w:ind w:left="266" w:hanging="266"/>
        <w:textAlignment w:val="baseline"/>
        <w:rPr>
          <w:sz w:val="20"/>
          <w:szCs w:val="20"/>
        </w:rPr>
      </w:pPr>
    </w:p>
    <w:p w:rsidRPr="000403EE" w:rsidR="004135C1" w:rsidP="004135C1" w:rsidRDefault="004135C1" w14:paraId="1D9F9916" w14:textId="77777777">
      <w:pPr>
        <w:keepNext/>
        <w:keepLines/>
        <w:tabs>
          <w:tab w:val="center" w:pos="284"/>
        </w:tabs>
        <w:overflowPunct w:val="0"/>
        <w:autoSpaceDE w:val="0"/>
        <w:autoSpaceDN w:val="0"/>
        <w:adjustRightInd w:val="0"/>
        <w:ind w:left="266" w:hanging="266"/>
        <w:textAlignment w:val="baseline"/>
        <w:rPr>
          <w:b/>
        </w:rPr>
      </w:pPr>
      <w:r w:rsidRPr="000403EE">
        <w:rPr>
          <w:b/>
        </w:rPr>
        <w:t>Κύρια σημεία</w:t>
      </w:r>
    </w:p>
    <w:p w:rsidRPr="000403EE"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sz w:val="20"/>
          <w:szCs w:val="20"/>
        </w:rPr>
      </w:pPr>
    </w:p>
    <w:p w:rsidRPr="000403EE" w:rsidR="004135C1" w:rsidP="004135C1" w:rsidRDefault="004135C1" w14:paraId="0CCD541D" w14:textId="77777777">
      <w:pPr>
        <w:overflowPunct w:val="0"/>
        <w:autoSpaceDE w:val="0"/>
        <w:autoSpaceDN w:val="0"/>
        <w:adjustRightInd w:val="0"/>
        <w:textAlignment w:val="baseline"/>
        <w:rPr>
          <w:bCs/>
          <w:iCs/>
        </w:rPr>
      </w:pPr>
      <w:r w:rsidRPr="000403EE">
        <w:t>Η ΕΟΚΕ:</w:t>
      </w:r>
    </w:p>
    <w:p w:rsidRPr="000403EE" w:rsidR="009C4B7B" w:rsidP="004135C1" w:rsidRDefault="009C4B7B" w14:paraId="2F9A5642" w14:textId="77777777">
      <w:pPr>
        <w:overflowPunct w:val="0"/>
        <w:autoSpaceDE w:val="0"/>
        <w:autoSpaceDN w:val="0"/>
        <w:adjustRightInd w:val="0"/>
        <w:textAlignment w:val="baseline"/>
        <w:rPr>
          <w:bCs/>
          <w:iCs/>
          <w:sz w:val="20"/>
          <w:szCs w:val="20"/>
        </w:rPr>
      </w:pPr>
    </w:p>
    <w:p w:rsidRPr="000403EE" w:rsidR="004135C1" w:rsidP="00643D0B" w:rsidRDefault="004135C1" w14:paraId="4A46FD7C" w14:textId="77777777">
      <w:pPr>
        <w:widowControl w:val="0"/>
        <w:numPr>
          <w:ilvl w:val="0"/>
          <w:numId w:val="44"/>
        </w:numPr>
        <w:overflowPunct w:val="0"/>
        <w:autoSpaceDE w:val="0"/>
        <w:autoSpaceDN w:val="0"/>
        <w:adjustRightInd w:val="0"/>
        <w:ind w:left="284" w:hanging="284"/>
        <w:textAlignment w:val="baseline"/>
        <w:rPr>
          <w:bCs/>
          <w:iCs/>
        </w:rPr>
      </w:pPr>
      <w:r w:rsidRPr="000403EE">
        <w:t>φρονεί ότι τα συστήματα υγείας της ΕΕ θα πρέπει να είναι ανθεκτικά, να ανταποκρίνονται στους κλυδωνισμούς, να προστατεύουν τη ζωή, να είναι χωρίς αποκλεισμούς και δίκαια, ανθρωποκεντρικά και προσβάσιμα, να βασίζονται στην έρευνα και την καινοτομία, καθώς και να συντονίζονται μεταξύ των κρατών μελών·</w:t>
      </w:r>
    </w:p>
    <w:p w:rsidRPr="000403EE" w:rsidR="004135C1" w:rsidP="00643D0B"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rPr>
      </w:pPr>
      <w:r w:rsidRPr="000403EE">
        <w:t>καλεί την Ευρωπαϊκή Επιτροπή να αναγνωρίσει την υγεία και την παροχή στήριξης για την περαιτέρω ενσωμάτωση των εθνικών συστημάτων υγείας ως προτεραιότητες για τη θητεία 2024-2029, και να στηρίξει αυτές τις προτεραιότητες με φιλόδοξη θεσμική στήριξη και αυξημένες επενδύσεις·</w:t>
      </w:r>
    </w:p>
    <w:p w:rsidRPr="000403EE" w:rsidR="004135C1" w:rsidP="00643D0B"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rPr>
      </w:pPr>
      <w:r w:rsidRPr="000403EE">
        <w:t>επικροτεί την πράξη για τα φάρμακα κρίσιμης σημασίας που ανακοινώθηκε στις πολιτικές κατευθύνσεις για την νέα Ευρωπαϊκή Επιτροπή και ζητεί εν προκειμένω ενισχυμένη συνεργασία με τα κράτη μέλη, τα δημόσια και τα ιδιωτικά ενδιαφερόμενα μέρη, την ακαδημαϊκή κοινότητα και την κοινωνία των πολιτών·</w:t>
      </w:r>
    </w:p>
    <w:p w:rsidRPr="000403EE" w:rsidR="004135C1" w:rsidP="00643D0B"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rPr>
      </w:pPr>
      <w:r w:rsidRPr="000403EE">
        <w:t>ζητεί μια ολοκληρωμένη, πολύπλευρη και επικεντρωμένη στον ασθενή προσέγγιση που θα διασφαλίζει την πρόσβαση σε ασφαλή, αποτελεσματικά και ποιοτικά φάρμακα, σε διάγνωση και σε θεραπείες·</w:t>
      </w:r>
    </w:p>
    <w:p w:rsidRPr="000403EE" w:rsidR="004135C1" w:rsidP="00643D0B"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rsidRPr="000403EE">
        <w:t>προτείνει μια σειρά συγκεκριμένων μέτρων που αποσκοπούν στην ενίσχυση της ανταγωνιστικότητας και της ανθεκτικότητας του τομέα, στη βελτίωση των συνθηκών εργασίας στον τομέα, μειώνοντας παράλληλα τις εξαρτήσεις από τρίτες χώρες και αποφεύγοντας τις ελλείψεις. Ειδικότερα, συνιστά την επικαιροποίηση του καταλόγου των δράσεων που καλύπτονται από την «πορεία μετάβασης στον τομέα της υγείας», ώστε να συνεχιστεί η ενίσχυση της ενιαίας αγοράς στον τομέα της υγείας·</w:t>
      </w:r>
    </w:p>
    <w:p w:rsidRPr="000403EE" w:rsidR="004135C1" w:rsidP="00643D0B"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rsidRPr="000403EE">
        <w:t>αναγνωρίζει τον ψηφιακό μετασχηματισμό του τομέα της υγείας και ζητεί ανθρωποκεντρική χρήση της τεχνητής νοημοσύνης, αυξημένη λειτουργικότητα των δεδομένων, κοινούς και ασφαλείς ψηφιακούς χώρους και ενισχυμένη προστασία έναντι των κινδύνων στον κυβερνοχώρο·</w:t>
      </w:r>
    </w:p>
    <w:p w:rsidRPr="000403EE" w:rsidR="004135C1" w:rsidP="00643D0B"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rsidRPr="000403EE">
        <w:t>υποστηρίζει την καινοτομία ως κινητήρια δύναμη για την ανταγωνιστικότητα και ζητεί τη δημιουργία υπερεθνικής δημόσιας ερευνητικής υποδομής για την ιατρική·</w:t>
      </w:r>
    </w:p>
    <w:p w:rsidRPr="000403EE" w:rsidR="004135C1" w:rsidP="00643D0B"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rsidRPr="000403EE">
        <w:t>επισημαίνει τις δυνατότητες των προληπτικών και εξατομικευμένων φαρμάκων και την ανάγκη αύξησης των επενδύσεων στον τομέα των σπάνιων νόσων·</w:t>
      </w:r>
    </w:p>
    <w:p w:rsidRPr="000403EE" w:rsidR="004135C1" w:rsidP="00643D0B" w:rsidRDefault="004135C1" w14:paraId="61B99D9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rsidRPr="000403EE">
        <w:t xml:space="preserve">τονίζει ότι είναι σημαντικό να διασφαλιστεί ισότιμη πρόσβαση στην ιατροφαρμακευτική περίθαλψη και στα φάρμακα σε ολόκληρη την ΕΕ. Τούτο προϋποθέτει προσιτές τιμές με βάση το «μοντέλο δίκαιης τιμολόγησης». </w:t>
      </w:r>
    </w:p>
    <w:p w:rsidRPr="000403EE"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4135C1" w:rsidTr="00863A8F" w14:paraId="0D9DE5D8" w14:textId="77777777">
        <w:tc>
          <w:tcPr>
            <w:tcW w:w="1556" w:type="pct"/>
          </w:tcPr>
          <w:p w:rsidRPr="000403EE" w:rsidR="004135C1" w:rsidP="004135C1" w:rsidRDefault="004135C1" w14:paraId="3860B143" w14:textId="77777777">
            <w:pPr>
              <w:overflowPunct w:val="0"/>
              <w:autoSpaceDE w:val="0"/>
              <w:autoSpaceDN w:val="0"/>
              <w:adjustRightInd w:val="0"/>
              <w:spacing w:line="240" w:lineRule="auto"/>
              <w:textAlignment w:val="baseline"/>
              <w:rPr>
                <w:i/>
              </w:rPr>
            </w:pPr>
            <w:r w:rsidRPr="000403EE">
              <w:rPr>
                <w:b/>
                <w:i/>
              </w:rPr>
              <w:t>Επικοινωνία</w:t>
            </w:r>
          </w:p>
        </w:tc>
        <w:tc>
          <w:tcPr>
            <w:tcW w:w="3444" w:type="pct"/>
          </w:tcPr>
          <w:p w:rsidRPr="000403EE" w:rsidR="004135C1" w:rsidP="004135C1" w:rsidRDefault="004135C1" w14:paraId="707D2FC1" w14:textId="37692FEF">
            <w:pPr>
              <w:overflowPunct w:val="0"/>
              <w:autoSpaceDE w:val="0"/>
              <w:autoSpaceDN w:val="0"/>
              <w:adjustRightInd w:val="0"/>
              <w:spacing w:line="240" w:lineRule="auto"/>
              <w:textAlignment w:val="baseline"/>
              <w:rPr>
                <w:i/>
              </w:rPr>
            </w:pPr>
            <w:r w:rsidRPr="000403EE">
              <w:rPr>
                <w:i/>
              </w:rPr>
              <w:t>Laia Tomàs Vinardell</w:t>
            </w:r>
          </w:p>
        </w:tc>
      </w:tr>
      <w:tr w:rsidRPr="000403EE" w:rsidR="004135C1" w:rsidTr="00863A8F" w14:paraId="52696548" w14:textId="77777777">
        <w:tc>
          <w:tcPr>
            <w:tcW w:w="1556" w:type="pct"/>
          </w:tcPr>
          <w:p w:rsidRPr="000403EE" w:rsidR="004135C1" w:rsidP="004135C1" w:rsidRDefault="004135C1" w14:paraId="7D874424" w14:textId="77777777">
            <w:pPr>
              <w:overflowPunct w:val="0"/>
              <w:autoSpaceDE w:val="0"/>
              <w:autoSpaceDN w:val="0"/>
              <w:adjustRightInd w:val="0"/>
              <w:spacing w:line="240" w:lineRule="auto"/>
              <w:textAlignment w:val="baseline"/>
              <w:rPr>
                <w:i/>
              </w:rPr>
            </w:pPr>
            <w:r w:rsidRPr="000403EE">
              <w:rPr>
                <w:i/>
              </w:rPr>
              <w:t>Τηλ.</w:t>
            </w:r>
          </w:p>
        </w:tc>
        <w:tc>
          <w:tcPr>
            <w:tcW w:w="3444" w:type="pct"/>
          </w:tcPr>
          <w:p w:rsidRPr="000403EE" w:rsidR="004135C1" w:rsidP="004135C1" w:rsidRDefault="004135C1" w14:paraId="494E0D84" w14:textId="77777777">
            <w:pPr>
              <w:overflowPunct w:val="0"/>
              <w:autoSpaceDE w:val="0"/>
              <w:autoSpaceDN w:val="0"/>
              <w:adjustRightInd w:val="0"/>
              <w:spacing w:line="240" w:lineRule="auto"/>
              <w:textAlignment w:val="baseline"/>
              <w:rPr>
                <w:i/>
              </w:rPr>
            </w:pPr>
            <w:r w:rsidRPr="000403EE">
              <w:rPr>
                <w:i/>
              </w:rPr>
              <w:t>+32 25469149</w:t>
            </w:r>
          </w:p>
        </w:tc>
      </w:tr>
      <w:tr w:rsidRPr="000403EE" w:rsidR="004135C1" w:rsidTr="00863A8F" w14:paraId="683775F3" w14:textId="77777777">
        <w:tc>
          <w:tcPr>
            <w:tcW w:w="1556" w:type="pct"/>
          </w:tcPr>
          <w:p w:rsidRPr="000403EE" w:rsidR="004135C1" w:rsidP="004135C1" w:rsidRDefault="004135C1" w14:paraId="305F5D50" w14:textId="77777777">
            <w:pPr>
              <w:overflowPunct w:val="0"/>
              <w:autoSpaceDE w:val="0"/>
              <w:autoSpaceDN w:val="0"/>
              <w:adjustRightInd w:val="0"/>
              <w:spacing w:line="240" w:lineRule="auto"/>
              <w:textAlignment w:val="baseline"/>
              <w:rPr>
                <w:i/>
              </w:rPr>
            </w:pPr>
            <w:r w:rsidRPr="000403EE">
              <w:rPr>
                <w:i/>
              </w:rPr>
              <w:t>Ηλ. δ/νση</w:t>
            </w:r>
          </w:p>
        </w:tc>
        <w:tc>
          <w:tcPr>
            <w:tcW w:w="3444" w:type="pct"/>
          </w:tcPr>
          <w:p w:rsidRPr="000403EE" w:rsidR="0052039C" w:rsidP="004135C1" w:rsidRDefault="00913BEC" w14:paraId="558B9DF4" w14:textId="53E70D00">
            <w:pPr>
              <w:overflowPunct w:val="0"/>
              <w:autoSpaceDE w:val="0"/>
              <w:autoSpaceDN w:val="0"/>
              <w:adjustRightInd w:val="0"/>
              <w:spacing w:line="240" w:lineRule="auto"/>
              <w:textAlignment w:val="baseline"/>
              <w:rPr>
                <w:i/>
              </w:rPr>
            </w:pPr>
            <w:hyperlink w:history="1" r:id="rId51">
              <w:r w:rsidRPr="000403EE" w:rsidR="00064B8D">
                <w:rPr>
                  <w:i/>
                  <w:color w:val="0000FF"/>
                  <w:u w:val="single"/>
                </w:rPr>
                <w:t>Laia.TomasVinardell@eesc.europa.eu</w:t>
              </w:r>
            </w:hyperlink>
          </w:p>
        </w:tc>
      </w:tr>
    </w:tbl>
    <w:p w:rsidRPr="000403EE" w:rsidR="004135C1" w:rsidP="00643D0B" w:rsidRDefault="00913BEC"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Pr="000403EE" w:rsidR="004135C1">
          <w:rPr>
            <w:b/>
            <w:i/>
            <w:color w:val="0000FF"/>
            <w:sz w:val="28"/>
            <w:u w:val="single"/>
          </w:rPr>
          <w:t>Επαγγελματικές υπηρεσίες στην πράσινη μετάβαση</w:t>
        </w:r>
      </w:hyperlink>
    </w:p>
    <w:p w:rsidRPr="000403EE"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0403EE" w:rsidR="004135C1" w:rsidTr="00863A8F" w14:paraId="140B809D" w14:textId="77777777">
        <w:tc>
          <w:tcPr>
            <w:tcW w:w="1148" w:type="pct"/>
          </w:tcPr>
          <w:p w:rsidRPr="000403EE" w:rsidR="004135C1" w:rsidP="00643D0B"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sidRPr="000403EE">
              <w:rPr>
                <w:b/>
              </w:rPr>
              <w:t>Εισηγήτρια</w:t>
            </w:r>
          </w:p>
        </w:tc>
        <w:tc>
          <w:tcPr>
            <w:tcW w:w="3852" w:type="pct"/>
          </w:tcPr>
          <w:p w:rsidRPr="000403EE" w:rsidR="004135C1" w:rsidP="00643D0B" w:rsidRDefault="004135C1" w14:paraId="288511E0" w14:textId="00FD0DFA">
            <w:pPr>
              <w:tabs>
                <w:tab w:val="center" w:pos="284"/>
              </w:tabs>
              <w:overflowPunct w:val="0"/>
              <w:autoSpaceDE w:val="0"/>
              <w:autoSpaceDN w:val="0"/>
              <w:adjustRightInd w:val="0"/>
              <w:spacing w:line="276" w:lineRule="auto"/>
              <w:ind w:left="266" w:hanging="266"/>
              <w:textAlignment w:val="baseline"/>
            </w:pPr>
            <w:r w:rsidRPr="000403EE">
              <w:t>Violeta JELIĆ (Ομάδα των Εργοδοτών – HR)</w:t>
            </w:r>
          </w:p>
        </w:tc>
      </w:tr>
      <w:tr w:rsidRPr="000403EE" w:rsidR="004135C1" w:rsidTr="00863A8F" w14:paraId="43C07CCE" w14:textId="77777777">
        <w:tc>
          <w:tcPr>
            <w:tcW w:w="1148" w:type="pct"/>
          </w:tcPr>
          <w:p w:rsidRPr="000403EE" w:rsidR="004135C1" w:rsidP="00643D0B"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sidRPr="000403EE">
              <w:rPr>
                <w:b/>
              </w:rPr>
              <w:t>Συνεισηγητής</w:t>
            </w:r>
          </w:p>
        </w:tc>
        <w:tc>
          <w:tcPr>
            <w:tcW w:w="3852" w:type="pct"/>
          </w:tcPr>
          <w:p w:rsidRPr="000403EE" w:rsidR="004135C1" w:rsidP="00643D0B" w:rsidRDefault="004135C1" w14:paraId="15B45F80" w14:textId="070DDFA1">
            <w:pPr>
              <w:tabs>
                <w:tab w:val="center" w:pos="284"/>
              </w:tabs>
              <w:overflowPunct w:val="0"/>
              <w:autoSpaceDE w:val="0"/>
              <w:autoSpaceDN w:val="0"/>
              <w:adjustRightInd w:val="0"/>
              <w:spacing w:line="276" w:lineRule="auto"/>
              <w:ind w:left="266" w:hanging="266"/>
              <w:textAlignment w:val="baseline"/>
            </w:pPr>
            <w:r w:rsidRPr="000403EE">
              <w:t>Gaetano STELLA (Κατηγορία 3 – IT)</w:t>
            </w:r>
          </w:p>
        </w:tc>
      </w:tr>
      <w:tr w:rsidRPr="000403EE" w:rsidR="004135C1" w:rsidTr="00863A8F" w14:paraId="466DF065" w14:textId="77777777">
        <w:tc>
          <w:tcPr>
            <w:tcW w:w="5000" w:type="pct"/>
            <w:gridSpan w:val="2"/>
          </w:tcPr>
          <w:p w:rsidRPr="000403EE"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pPr>
          </w:p>
        </w:tc>
      </w:tr>
      <w:tr w:rsidRPr="000403EE" w:rsidR="004135C1" w:rsidTr="00863A8F" w14:paraId="6B9424B3" w14:textId="77777777">
        <w:tc>
          <w:tcPr>
            <w:tcW w:w="1148" w:type="pct"/>
            <w:vMerge w:val="restart"/>
          </w:tcPr>
          <w:p w:rsidRPr="000403EE" w:rsidR="004135C1" w:rsidP="00643D0B" w:rsidRDefault="004135C1" w14:paraId="02AC24F7" w14:textId="77777777">
            <w:pPr>
              <w:tabs>
                <w:tab w:val="center" w:pos="284"/>
              </w:tabs>
              <w:overflowPunct w:val="0"/>
              <w:autoSpaceDE w:val="0"/>
              <w:autoSpaceDN w:val="0"/>
              <w:adjustRightInd w:val="0"/>
              <w:spacing w:line="276" w:lineRule="auto"/>
              <w:ind w:left="266" w:hanging="266"/>
              <w:textAlignment w:val="baseline"/>
              <w:rPr>
                <w:b/>
              </w:rPr>
            </w:pPr>
            <w:r w:rsidRPr="000403EE">
              <w:rPr>
                <w:b/>
              </w:rPr>
              <w:t>Έγγραφα αναφοράς</w:t>
            </w:r>
          </w:p>
        </w:tc>
        <w:tc>
          <w:tcPr>
            <w:tcW w:w="3852" w:type="pct"/>
          </w:tcPr>
          <w:p w:rsidRPr="000403EE"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pPr>
            <w:r w:rsidRPr="000403EE">
              <w:t>Γνωμοδότηση πρωτοβουλίας</w:t>
            </w:r>
          </w:p>
          <w:p w:rsidRPr="000403EE"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pPr>
            <w:r w:rsidRPr="000403EE">
              <w:rPr>
                <w:sz w:val="22"/>
              </w:rPr>
              <w:t>EESC-2024-01953-00-00-</w:t>
            </w:r>
            <w:r w:rsidRPr="000403EE">
              <w:t>AC</w:t>
            </w:r>
          </w:p>
        </w:tc>
      </w:tr>
      <w:tr w:rsidRPr="000403EE" w:rsidR="004135C1" w:rsidTr="00863A8F" w14:paraId="42036589" w14:textId="77777777">
        <w:tc>
          <w:tcPr>
            <w:tcW w:w="1148" w:type="pct"/>
            <w:vMerge/>
          </w:tcPr>
          <w:p w:rsidRPr="000403EE"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0403EE"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pPr>
          </w:p>
        </w:tc>
      </w:tr>
    </w:tbl>
    <w:p w:rsidRPr="000403EE"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0403EE" w:rsidR="004135C1" w:rsidP="00643D0B"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rPr>
      </w:pPr>
      <w:r w:rsidRPr="000403EE">
        <w:rPr>
          <w:b/>
        </w:rPr>
        <w:t>Κύρια σημεία</w:t>
      </w:r>
    </w:p>
    <w:p w:rsidRPr="000403EE"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0403EE" w:rsidR="004135C1" w:rsidP="000016DA" w:rsidRDefault="004135C1" w14:paraId="186AC765" w14:textId="77777777">
      <w:pPr>
        <w:overflowPunct w:val="0"/>
        <w:autoSpaceDE w:val="0"/>
        <w:autoSpaceDN w:val="0"/>
        <w:adjustRightInd w:val="0"/>
        <w:spacing w:line="276" w:lineRule="auto"/>
        <w:textAlignment w:val="baseline"/>
        <w:rPr>
          <w:bCs/>
          <w:iCs/>
        </w:rPr>
      </w:pPr>
      <w:r w:rsidRPr="000403EE">
        <w:t>Η ΕΟΚΕ:</w:t>
      </w:r>
    </w:p>
    <w:p w:rsidRPr="000403EE" w:rsidR="00E937A4" w:rsidP="000016DA" w:rsidRDefault="00E937A4" w14:paraId="1630A997" w14:textId="77777777">
      <w:pPr>
        <w:overflowPunct w:val="0"/>
        <w:autoSpaceDE w:val="0"/>
        <w:autoSpaceDN w:val="0"/>
        <w:adjustRightInd w:val="0"/>
        <w:spacing w:line="276" w:lineRule="auto"/>
        <w:textAlignment w:val="baseline"/>
        <w:rPr>
          <w:bCs/>
          <w:iCs/>
        </w:rPr>
      </w:pPr>
    </w:p>
    <w:p w:rsidRPr="000403EE" w:rsidR="004135C1" w:rsidP="00643D0B"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συμβάλλει με την παρούσα γνωμοδότηση στην κοινή προσπάθεια αποκατάστασης της ανταγωνιστικότητας της Ευρώπης και ενδυνάμωσης της βιομηχανικής της θέσης, με παράλληλη ενίσχυση των επιδόσεων των ευρωπαϊκών επιχειρήσεων στην πράσινη μετάβαση·</w:t>
      </w:r>
    </w:p>
    <w:p w:rsidRPr="000403EE" w:rsidR="004135C1" w:rsidP="00643D0B"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αναγνωρίζει τον θεμελιώδη ρόλο που διαδραματίζουν οι επαγγελματικές υπηρεσίες στην πράσινη μετάβαση·</w:t>
      </w:r>
    </w:p>
    <w:p w:rsidRPr="000403EE" w:rsidR="004135C1" w:rsidP="00643D0B"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εκφράζει την ανησυχία της για το γεγονός ότι η διαδικασία του οικολογικού προσανατολισμού ενδέχεται να μείνει στάσιμη λόγω των ελλείψεων σε εργατικό δυναμικό και σε δεξιότητες, των αναντιστοιχιών δεξιοτήτων και των αυξανόμενων ρυθμιστικών, διοικητικών και οικονομικών επιβαρύνσεων, καθώς και λόγω των νέων προκλήσεων που προκύπτουν από τις ραγδαίες αλλαγές στις αλυσίδες εφοδιασμού·</w:t>
      </w:r>
    </w:p>
    <w:p w:rsidRPr="000403EE" w:rsidR="004135C1" w:rsidP="00643D0B"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αναμένει ότι οι αλλαγές στη δυναμική των αλυσίδων εφοδιασμού της μεταποίησης θα συμβάλουν στην αναδιάταξη των αξιακών αλυσίδων και θα ενθαρρύνουν την επανεγκατάσταση, με πολλές εταιρείες να εξετάζουν το ενδεχόμενο επαναφοράς της παραγωγής και των υπηρεσιών που προηγουμένως είχαν μεταφερθεί σε τρίτες χώρες·</w:t>
      </w:r>
    </w:p>
    <w:p w:rsidRPr="000403EE" w:rsidR="004135C1" w:rsidP="00643D0B"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πιστεύει ότι πρέπει να υλοποιηθεί το νέο όραμα για την Ένωση Δεξιοτήτων. Πρέπει να πραγματοποιηθούν συνεπείς μεταρρυθμίσεις στα εκπαιδευτικά συστήματα για την προσαρμογή των προγραμμάτων σπουδών στις αλλαγές στον κόσμο της εργασίας, για τη στήριξη όλων των σχετικών εκπαιδευτικών προγραμμάτων [συμπεριλαμβανομένων των τομέων STEM (θετικές επιστήμες, τεχνολογία, μηχανική και μαθηματικά)], την εφαρμογή μιας νέας στρατηγικής για την επαγγελματική εκπαίδευση και κατάρτιση (ΕΕΚ), τη στήριξη των εκπαιδευτικών και τη βελτίωση του συντονισμού σε επίπεδο ΕΕ·</w:t>
      </w:r>
    </w:p>
    <w:p w:rsidRPr="000403EE" w:rsidR="004135C1" w:rsidP="00643D0B"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αναγνωρίζει επίσης την ανάγκη ενθάρρυνσης εκπαιδευτικών πρωτοβουλιών, τόσο σε επίπεδο ΕΕ όσο και σε επίπεδο κρατών μελών. Τούτο θα μπορούσε να περιλαμβάνει ειδικά οικονομικά κίνητρα για μαθήματα επαγγελματικής εκπαίδευσης και κατάρτισης (ΕΕΚ) που αποβλέπουν στον οικολογικό προσανατολισμό των επαγγελματικών υπηρεσιών. Θα μπορούσε επίσης να περιλαμβάνει την καθιέρωση ακαδημαϊκών μαθημάτων σε επίπεδο ΕΕ για την προσέλκυση νέων επαγγελματιών ή την κατάρτιση υφιστάμενων επαγγελματιών σε στόχους βιωσιμότητας, καθώς και για την προώθηση τόσο της προσαρμογής στις υφιστάμενες δεξιότητες και θέσεις εργασίας όσο και της βελτίωσης αυτών (προγράμματα αναβάθμισης των δεξιοτήτων και επανειδίκευσης). Οι πρωτοβουλίες αυτές θα μπορούσαν επίσης να δημιουργήσουν νέες δεξιότητες για την πράσινη και την ψηφιακή μετάβαση, οι οποίες μπορούν να θεωρηθούν «διττή μετάβαση», υπό την έννοια ότι συμβαδίζουν και μπορούν να αλληλοενισχύονται·</w:t>
      </w:r>
    </w:p>
    <w:p w:rsidRPr="000403EE" w:rsidR="004135C1" w:rsidP="00643D0B"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 xml:space="preserve">προτείνει τη στόχευση σε πολιτικές για τη στήριξη της δικτύωσης των επαγγελματικών υπηρεσιών, προκειμένου να βελτιωθεί η λειτουργική κλίμακα των σχετικών δραστηριοτήτων, με δέοντα </w:t>
      </w:r>
      <w:r w:rsidRPr="000403EE">
        <w:lastRenderedPageBreak/>
        <w:t>συνυπολογισμό των ιδιαίτερων χαρακτηριστικών κάθε κράτους μέλους·</w:t>
      </w:r>
    </w:p>
    <w:p w:rsidRPr="000403EE" w:rsidR="001D7E3C" w:rsidP="00643D0B"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θεωρεί ότι η έλλειψη δεξιοτήτων θα μπορούσε να αντιμετωπιστεί με την εφαρμογή των ανωτέρω προτάσεων και την κατάρτιση ειδικευμένων επαγγελματιών εντός της Ευρώπης ή με την προσέλκυση επαγγελματιών από χώρες εκτός της ΕΕ μέσω πολιτικών και πρωτοβουλιών·</w:t>
      </w:r>
    </w:p>
    <w:p w:rsidRPr="000403EE" w:rsidR="00E937A4" w:rsidP="00B23417" w:rsidRDefault="004135C1" w14:paraId="7C1FEE16" w14:textId="307C7DF3">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τονίζει τον σημαντικό ρόλο που διαδραματίζουν οι κοινωνικοί εταίροι, οι οργανώσεις επαγγελματικών υπηρεσιών και άλλες σχετικές οργανώσεις της κοινωνίας των πολιτών για επιτυχείς και δίκαιες διαδικασίες πράσινης μετάβασης·</w:t>
      </w:r>
    </w:p>
    <w:p w:rsidRPr="000403EE" w:rsidR="004135C1" w:rsidP="00643D0B"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rsidRPr="000403EE">
        <w:t>επισημαίνει επίσης και άλλες προκλήσεις στο ευρύ πλαίσιο της παροχής επαγγελματικών υπηρεσιών, συμπεριλαμβανομένων των φραγμών στην αναγνώριση των προσόντων, οι οποίοι θα πρέπει να αρθούν για τη μόχλευση της επαγγελματικής κινητικότητας και την αντιμετώπιση των ελλείψεων δεξιοτήτων. Η ΕΟΚΕ συνιστά να καταβληθούν συνεχείς προσπάθειες σε αυτόν τον τομέα, μεταξύ άλλων μέσω γνωμοδοτήσεων παρακολούθησης των εν λόγω ζητημάτων.</w:t>
      </w:r>
    </w:p>
    <w:p w:rsidRPr="000403EE" w:rsidR="000016DA" w:rsidP="00643D0B" w:rsidRDefault="000016DA" w14:paraId="1AB122AC" w14:textId="77777777">
      <w:pPr>
        <w:widowControl w:val="0"/>
        <w:overflowPunct w:val="0"/>
        <w:autoSpaceDE w:val="0"/>
        <w:autoSpaceDN w:val="0"/>
        <w:adjustRightInd w:val="0"/>
        <w:spacing w:line="276" w:lineRule="auto"/>
        <w:ind w:left="284"/>
        <w:textAlignment w:val="baseline"/>
        <w:rPr>
          <w:bCs/>
          <w:iCs/>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0403EE" w:rsidR="004135C1" w:rsidTr="00863A8F" w14:paraId="4C9E1B01" w14:textId="77777777">
        <w:tc>
          <w:tcPr>
            <w:tcW w:w="1556" w:type="pct"/>
          </w:tcPr>
          <w:p w:rsidRPr="000403EE" w:rsidR="004135C1" w:rsidP="00643D0B" w:rsidRDefault="004135C1" w14:paraId="45233C97" w14:textId="77777777">
            <w:pPr>
              <w:overflowPunct w:val="0"/>
              <w:autoSpaceDE w:val="0"/>
              <w:autoSpaceDN w:val="0"/>
              <w:adjustRightInd w:val="0"/>
              <w:spacing w:line="276" w:lineRule="auto"/>
              <w:textAlignment w:val="baseline"/>
              <w:rPr>
                <w:i/>
              </w:rPr>
            </w:pPr>
            <w:r w:rsidRPr="000403EE">
              <w:rPr>
                <w:b/>
                <w:i/>
              </w:rPr>
              <w:t>Επικοινωνία</w:t>
            </w:r>
          </w:p>
        </w:tc>
        <w:tc>
          <w:tcPr>
            <w:tcW w:w="3444" w:type="pct"/>
          </w:tcPr>
          <w:p w:rsidRPr="000403EE" w:rsidR="004135C1" w:rsidP="00643D0B" w:rsidRDefault="004135C1" w14:paraId="73D850BB" w14:textId="77777777">
            <w:pPr>
              <w:overflowPunct w:val="0"/>
              <w:autoSpaceDE w:val="0"/>
              <w:autoSpaceDN w:val="0"/>
              <w:adjustRightInd w:val="0"/>
              <w:spacing w:line="276" w:lineRule="auto"/>
              <w:textAlignment w:val="baseline"/>
              <w:rPr>
                <w:b/>
                <w:bCs/>
                <w:i/>
              </w:rPr>
            </w:pPr>
            <w:r w:rsidRPr="000403EE">
              <w:rPr>
                <w:b/>
                <w:i/>
              </w:rPr>
              <w:t>Ιωάννης ΔΙΑΜΑΝΤΟΠΟΥΛΟΣ</w:t>
            </w:r>
          </w:p>
        </w:tc>
      </w:tr>
      <w:tr w:rsidRPr="000403EE" w:rsidR="004135C1" w:rsidTr="00863A8F" w14:paraId="0FC85F78" w14:textId="77777777">
        <w:tc>
          <w:tcPr>
            <w:tcW w:w="1556" w:type="pct"/>
          </w:tcPr>
          <w:p w:rsidRPr="000403EE" w:rsidR="004135C1" w:rsidP="00643D0B" w:rsidRDefault="004135C1" w14:paraId="687EE5FA" w14:textId="77777777">
            <w:pPr>
              <w:overflowPunct w:val="0"/>
              <w:autoSpaceDE w:val="0"/>
              <w:autoSpaceDN w:val="0"/>
              <w:adjustRightInd w:val="0"/>
              <w:spacing w:line="276" w:lineRule="auto"/>
              <w:textAlignment w:val="baseline"/>
              <w:rPr>
                <w:i/>
              </w:rPr>
            </w:pPr>
            <w:r w:rsidRPr="000403EE">
              <w:rPr>
                <w:i/>
              </w:rPr>
              <w:t>Τηλ.</w:t>
            </w:r>
          </w:p>
        </w:tc>
        <w:tc>
          <w:tcPr>
            <w:tcW w:w="3444" w:type="pct"/>
          </w:tcPr>
          <w:p w:rsidRPr="000403EE" w:rsidR="004135C1" w:rsidP="00643D0B" w:rsidRDefault="004135C1" w14:paraId="6749A83F" w14:textId="77777777">
            <w:pPr>
              <w:overflowPunct w:val="0"/>
              <w:autoSpaceDE w:val="0"/>
              <w:autoSpaceDN w:val="0"/>
              <w:adjustRightInd w:val="0"/>
              <w:spacing w:line="276" w:lineRule="auto"/>
              <w:textAlignment w:val="baseline"/>
              <w:rPr>
                <w:i/>
              </w:rPr>
            </w:pPr>
            <w:r w:rsidRPr="000403EE">
              <w:rPr>
                <w:i/>
              </w:rPr>
              <w:t>+32 25469170</w:t>
            </w:r>
          </w:p>
        </w:tc>
      </w:tr>
      <w:tr w:rsidRPr="000403EE" w:rsidR="004135C1" w:rsidTr="00863A8F" w14:paraId="3DB36BB4" w14:textId="77777777">
        <w:tc>
          <w:tcPr>
            <w:tcW w:w="1556" w:type="pct"/>
          </w:tcPr>
          <w:p w:rsidRPr="000403EE" w:rsidR="004135C1" w:rsidP="00643D0B" w:rsidRDefault="004135C1" w14:paraId="15032542" w14:textId="77777777">
            <w:pPr>
              <w:overflowPunct w:val="0"/>
              <w:autoSpaceDE w:val="0"/>
              <w:autoSpaceDN w:val="0"/>
              <w:adjustRightInd w:val="0"/>
              <w:spacing w:line="276" w:lineRule="auto"/>
              <w:textAlignment w:val="baseline"/>
              <w:rPr>
                <w:iCs/>
              </w:rPr>
            </w:pPr>
            <w:r w:rsidRPr="000403EE">
              <w:t>Ηλ. δ/νση</w:t>
            </w:r>
          </w:p>
        </w:tc>
        <w:tc>
          <w:tcPr>
            <w:tcW w:w="3444" w:type="pct"/>
          </w:tcPr>
          <w:p w:rsidRPr="000403EE" w:rsidR="004135C1" w:rsidP="00643D0B" w:rsidRDefault="00913BEC" w14:paraId="34B92454" w14:textId="77777777">
            <w:pPr>
              <w:overflowPunct w:val="0"/>
              <w:autoSpaceDE w:val="0"/>
              <w:autoSpaceDN w:val="0"/>
              <w:adjustRightInd w:val="0"/>
              <w:spacing w:line="276" w:lineRule="auto"/>
              <w:textAlignment w:val="baseline"/>
              <w:rPr>
                <w:i/>
              </w:rPr>
            </w:pPr>
            <w:hyperlink w:history="1" r:id="rId53">
              <w:r w:rsidRPr="000403EE" w:rsidR="004135C1">
                <w:rPr>
                  <w:i/>
                  <w:color w:val="0000FF"/>
                  <w:u w:val="single"/>
                </w:rPr>
                <w:t>Ioannis.Diamantopoulos@eesc.europa.eu</w:t>
              </w:r>
            </w:hyperlink>
          </w:p>
        </w:tc>
      </w:tr>
    </w:tbl>
    <w:p w:rsidRPr="000403EE" w:rsidR="004135C1" w:rsidP="006D6D4E" w:rsidRDefault="004135C1" w14:paraId="6CFA8AD0" w14:textId="77777777">
      <w:pPr>
        <w:keepNext/>
        <w:keepLines/>
      </w:pPr>
    </w:p>
    <w:p w:rsidRPr="000403EE" w:rsidR="00395260" w:rsidP="006D6D4E" w:rsidRDefault="00395260" w14:paraId="3A6F59B7" w14:textId="77777777">
      <w:pPr>
        <w:keepNext/>
        <w:keepLines/>
      </w:pPr>
    </w:p>
    <w:p w:rsidRPr="000403EE" w:rsidR="000D394D" w:rsidP="006D6D4E" w:rsidRDefault="000127B6" w14:paraId="2E28EF19" w14:textId="0CD21960">
      <w:pPr>
        <w:spacing w:after="160" w:line="259" w:lineRule="auto"/>
        <w:jc w:val="center"/>
      </w:pPr>
      <w:r w:rsidRPr="000403EE">
        <w:t>_____________</w:t>
      </w:r>
    </w:p>
    <w:sectPr w:rsidRPr="000403EE" w:rsidR="000D394D" w:rsidSect="000403EE">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AA4A" w14:textId="77777777" w:rsidR="000403EE" w:rsidRPr="000403EE" w:rsidRDefault="000403EE" w:rsidP="0004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7F6D59D" w:rsidR="00B518C9" w:rsidRPr="000403EE" w:rsidRDefault="000403EE" w:rsidP="000403EE">
    <w:pPr>
      <w:pStyle w:val="Footer"/>
    </w:pPr>
    <w:r>
      <w:t xml:space="preserve">EESC-2024-04018-00-00-TCD-TRA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DA37F7">
        <w:rPr>
          <w:noProof/>
        </w:rPr>
        <w:instrText>3</w:instrText>
      </w:r>
    </w:fldSimple>
    <w:r>
      <w:instrText xml:space="preserve"> -0 </w:instrText>
    </w:r>
    <w:r>
      <w:fldChar w:fldCharType="separate"/>
    </w:r>
    <w:r w:rsidR="00DA37F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6000" w14:textId="77777777" w:rsidR="000403EE" w:rsidRPr="000403EE" w:rsidRDefault="000403EE" w:rsidP="00040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0403EE" w:rsidRDefault="00F32856" w:rsidP="000403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2B381C4E" w:rsidR="00F32856" w:rsidRPr="000403EE" w:rsidRDefault="000403EE" w:rsidP="000403EE">
    <w:pPr>
      <w:pStyle w:val="Footer"/>
    </w:pPr>
    <w:r>
      <w:t xml:space="preserve">EESC-2024-04018-00-00-TCD-TRA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DA37F7">
        <w:rPr>
          <w:noProof/>
        </w:rPr>
        <w:instrText>30</w:instrText>
      </w:r>
    </w:fldSimple>
    <w:r>
      <w:instrText xml:space="preserve"> -0 </w:instrText>
    </w:r>
    <w:r>
      <w:fldChar w:fldCharType="separate"/>
    </w:r>
    <w:r w:rsidR="00DA37F7">
      <w:rPr>
        <w:noProof/>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0403EE" w:rsidRDefault="00F32856" w:rsidP="0004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4922" w14:textId="77777777" w:rsidR="000403EE" w:rsidRPr="000403EE" w:rsidRDefault="000403EE" w:rsidP="0004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D892" w14:textId="77777777" w:rsidR="000403EE" w:rsidRPr="000403EE" w:rsidRDefault="000403EE" w:rsidP="00040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9E85" w14:textId="77777777" w:rsidR="000403EE" w:rsidRPr="000403EE" w:rsidRDefault="000403EE" w:rsidP="000403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0403EE" w:rsidRDefault="00F32856" w:rsidP="000403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0403EE" w:rsidRDefault="00F32856" w:rsidP="000403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0403EE" w:rsidRDefault="00F32856" w:rsidP="0004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6302"/>
    <w:rsid w:val="00010755"/>
    <w:rsid w:val="00010A4D"/>
    <w:rsid w:val="000127B6"/>
    <w:rsid w:val="00013507"/>
    <w:rsid w:val="000139C0"/>
    <w:rsid w:val="0002198C"/>
    <w:rsid w:val="000311D9"/>
    <w:rsid w:val="000403EE"/>
    <w:rsid w:val="0005550D"/>
    <w:rsid w:val="00060058"/>
    <w:rsid w:val="00061C9F"/>
    <w:rsid w:val="00063699"/>
    <w:rsid w:val="00063DFF"/>
    <w:rsid w:val="00064723"/>
    <w:rsid w:val="00064B8D"/>
    <w:rsid w:val="00065A12"/>
    <w:rsid w:val="00072A85"/>
    <w:rsid w:val="00075DDE"/>
    <w:rsid w:val="00076FEA"/>
    <w:rsid w:val="000835E1"/>
    <w:rsid w:val="000842A7"/>
    <w:rsid w:val="00087714"/>
    <w:rsid w:val="00093D60"/>
    <w:rsid w:val="00097638"/>
    <w:rsid w:val="000C3C0E"/>
    <w:rsid w:val="000C4EA7"/>
    <w:rsid w:val="000C5A8B"/>
    <w:rsid w:val="000C68EA"/>
    <w:rsid w:val="000D394D"/>
    <w:rsid w:val="000D430F"/>
    <w:rsid w:val="000D634C"/>
    <w:rsid w:val="000D71EF"/>
    <w:rsid w:val="000E1E59"/>
    <w:rsid w:val="000F0F74"/>
    <w:rsid w:val="00105088"/>
    <w:rsid w:val="00114003"/>
    <w:rsid w:val="00126C49"/>
    <w:rsid w:val="00132926"/>
    <w:rsid w:val="00133070"/>
    <w:rsid w:val="00133B03"/>
    <w:rsid w:val="00147198"/>
    <w:rsid w:val="00151032"/>
    <w:rsid w:val="00154A7F"/>
    <w:rsid w:val="0017133A"/>
    <w:rsid w:val="001A2F56"/>
    <w:rsid w:val="001A5412"/>
    <w:rsid w:val="001A6359"/>
    <w:rsid w:val="001B1F1D"/>
    <w:rsid w:val="001B2FD0"/>
    <w:rsid w:val="001C322E"/>
    <w:rsid w:val="001C59D9"/>
    <w:rsid w:val="001D054F"/>
    <w:rsid w:val="001D7E3C"/>
    <w:rsid w:val="001E391D"/>
    <w:rsid w:val="0020051E"/>
    <w:rsid w:val="00206313"/>
    <w:rsid w:val="0021254C"/>
    <w:rsid w:val="00216C2C"/>
    <w:rsid w:val="00233106"/>
    <w:rsid w:val="00235EB1"/>
    <w:rsid w:val="00236879"/>
    <w:rsid w:val="0023768A"/>
    <w:rsid w:val="002428CF"/>
    <w:rsid w:val="00244BDD"/>
    <w:rsid w:val="002608BA"/>
    <w:rsid w:val="002673F7"/>
    <w:rsid w:val="00270BD5"/>
    <w:rsid w:val="00270C6A"/>
    <w:rsid w:val="002A13FC"/>
    <w:rsid w:val="002A5636"/>
    <w:rsid w:val="002A60CB"/>
    <w:rsid w:val="002B1BC5"/>
    <w:rsid w:val="002B7981"/>
    <w:rsid w:val="002D1891"/>
    <w:rsid w:val="002D6198"/>
    <w:rsid w:val="002E4460"/>
    <w:rsid w:val="00301F08"/>
    <w:rsid w:val="003066BE"/>
    <w:rsid w:val="00310D3C"/>
    <w:rsid w:val="0031123C"/>
    <w:rsid w:val="003227CC"/>
    <w:rsid w:val="00322FF0"/>
    <w:rsid w:val="0032562B"/>
    <w:rsid w:val="00327E1C"/>
    <w:rsid w:val="00330CFA"/>
    <w:rsid w:val="003321DA"/>
    <w:rsid w:val="003331D9"/>
    <w:rsid w:val="003337BA"/>
    <w:rsid w:val="00374AB5"/>
    <w:rsid w:val="00387C8C"/>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3C69"/>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86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52D1"/>
    <w:rsid w:val="008F334C"/>
    <w:rsid w:val="008F3650"/>
    <w:rsid w:val="008F6F62"/>
    <w:rsid w:val="008F781E"/>
    <w:rsid w:val="00902A1F"/>
    <w:rsid w:val="0091249B"/>
    <w:rsid w:val="009266F3"/>
    <w:rsid w:val="009416E3"/>
    <w:rsid w:val="00945EE2"/>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77113"/>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23417"/>
    <w:rsid w:val="00B34664"/>
    <w:rsid w:val="00B42E98"/>
    <w:rsid w:val="00B46B45"/>
    <w:rsid w:val="00B518C9"/>
    <w:rsid w:val="00B520E8"/>
    <w:rsid w:val="00B52CE3"/>
    <w:rsid w:val="00B61E90"/>
    <w:rsid w:val="00B70A01"/>
    <w:rsid w:val="00B72415"/>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68AC"/>
    <w:rsid w:val="00C77948"/>
    <w:rsid w:val="00C821A5"/>
    <w:rsid w:val="00C8618E"/>
    <w:rsid w:val="00CA021F"/>
    <w:rsid w:val="00CB3320"/>
    <w:rsid w:val="00CB57CE"/>
    <w:rsid w:val="00CD7734"/>
    <w:rsid w:val="00CE31B7"/>
    <w:rsid w:val="00CE749A"/>
    <w:rsid w:val="00CF7F32"/>
    <w:rsid w:val="00D0533C"/>
    <w:rsid w:val="00D10240"/>
    <w:rsid w:val="00D14F30"/>
    <w:rsid w:val="00D16683"/>
    <w:rsid w:val="00D341C1"/>
    <w:rsid w:val="00D34924"/>
    <w:rsid w:val="00D43613"/>
    <w:rsid w:val="00D50E90"/>
    <w:rsid w:val="00D6623C"/>
    <w:rsid w:val="00D7076A"/>
    <w:rsid w:val="00D73678"/>
    <w:rsid w:val="00D75E64"/>
    <w:rsid w:val="00D81F5E"/>
    <w:rsid w:val="00D92269"/>
    <w:rsid w:val="00DA37F7"/>
    <w:rsid w:val="00DA5185"/>
    <w:rsid w:val="00DC1286"/>
    <w:rsid w:val="00DD1395"/>
    <w:rsid w:val="00DD2B4D"/>
    <w:rsid w:val="00DD77BE"/>
    <w:rsid w:val="00DE176A"/>
    <w:rsid w:val="00DE2877"/>
    <w:rsid w:val="00DE423D"/>
    <w:rsid w:val="00DE5580"/>
    <w:rsid w:val="00DF08D9"/>
    <w:rsid w:val="00E00A6B"/>
    <w:rsid w:val="00E07297"/>
    <w:rsid w:val="00E13A99"/>
    <w:rsid w:val="00E24154"/>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37E9"/>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el/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el/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l/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el/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el/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el/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el/our-work/opinions-information-reports/opinions/potential-challenges-european-single-market-arising-future-enlargement-union" TargetMode="External"/><Relationship Id="rId43" Type="http://schemas.openxmlformats.org/officeDocument/2006/relationships/hyperlink" Target="https://www.eesc.europa.eu/el/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e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l/our-work/opinions-information-reports/opinions/review-legal-framework-securitisation-eu" TargetMode="External"/><Relationship Id="rId33" Type="http://schemas.openxmlformats.org/officeDocument/2006/relationships/hyperlink" Target="https://www.eesc.europa.eu/el/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el/documents/resolution/european-economic-and-social-committee-contribution-2025-european-commission-work-programme" TargetMode="External"/><Relationship Id="rId41" Type="http://schemas.openxmlformats.org/officeDocument/2006/relationships/hyperlink" Target="https://www.eesc.europa.eu/el/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el/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l/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el/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el/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F7M6YNZUATRX-1659962339-2919</_dlc_DocId>
    <_dlc_DocIdUrl xmlns="59ace41b-6786-4ce3-be71-52c27066c6ef">
      <Url>http://dm/eesc/2024/_layouts/15/DocIdRedir.aspx?ID=F7M6YNZUATRX-1659962339-2919</Url>
      <Description>F7M6YNZUATRX-1659962339-2919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2024-12-17T12:00:00+00:00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Poulou Nikoletta</DisplayName>
        <AccountId>2040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97DF3-518B-4FD8-B6F7-AE673370B7A2}"/>
</file>

<file path=customXml/itemProps2.xml><?xml version="1.0" encoding="utf-8"?>
<ds:datastoreItem xmlns:ds="http://schemas.openxmlformats.org/officeDocument/2006/customXml" ds:itemID="{0AFF4E5C-6F75-4F16-B3DD-861A62E1A701}"/>
</file>

<file path=customXml/itemProps3.xml><?xml version="1.0" encoding="utf-8"?>
<ds:datastoreItem xmlns:ds="http://schemas.openxmlformats.org/officeDocument/2006/customXml" ds:itemID="{B1759310-79B9-43E6-9E28-F9752FCB3B52}"/>
</file>

<file path=customXml/itemProps4.xml><?xml version="1.0" encoding="utf-8"?>
<ds:datastoreItem xmlns:ds="http://schemas.openxmlformats.org/officeDocument/2006/customXml" ds:itemID="{64C5E1D5-31D7-429D-9956-B6E4B558B9DE}"/>
</file>

<file path=docProps/app.xml><?xml version="1.0" encoding="utf-8"?>
<Properties xmlns="http://schemas.openxmlformats.org/officeDocument/2006/extended-properties" xmlns:vt="http://schemas.openxmlformats.org/officeDocument/2006/docPropsVTypes">
  <Template>Normal.dotm</Template>
  <TotalTime>0</TotalTime>
  <Pages>30</Pages>
  <Words>8580</Words>
  <Characters>48911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των γνωμοδοτήσεων - 592η σύνοδος ολομέλειας - Δεκέμβριος 2024</dc:title>
  <dc:subject>TCD</dc:subject>
  <dc:creator>Nieddu Emma</dc:creator>
  <cp:keywords>EESC-2024-04018-00-00-TCD-TRA-EN</cp:keywords>
  <dc:description>Rapporteur:  - Original language: EN - Date of document: 17/12/2024 - Date of meeting: 30/22/2025 14:30 - External documents:  - Administrator: MME TAMASAUSKIENE Julija</dc:description>
  <cp:lastModifiedBy>Poulou Nikoletta</cp:lastModifiedBy>
  <cp:revision>31</cp:revision>
  <dcterms:created xsi:type="dcterms:W3CDTF">2024-12-09T15:44:00Z</dcterms:created>
  <dcterms:modified xsi:type="dcterms:W3CDTF">2024-12-17T12:43:00Z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b954ba2b-22df-466c-a92e-2acb03dbae31</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BG|1a1b3951-7821-4e6a-85f5-5673fc08bd2c;RO|feb747a2-64cd-4299-af12-4833ddc30497;HR|2f555653-ed1a-4fe6-8362-9082d95989e5;DE|f6b31e5a-26fa-4935-b661-318e46daf27e;PL|1e03da61-4678-4e07-b136-b5024ca9197b;LV|46f7e311-5d9f-4663-b433-18aeccb7ace7;SV|c2ed69e7-a339-43d7-8f22-d93680a92aa0;ES|e7a6b05b-ae16-40c8-add9-68b64b03aeba;FI|87606a43-d45f-42d6-b8c9-e1a3457db5b7;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32;#HU|6b229040-c589-4408-b4c1-4285663d20a8;#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29;#EL|6d4f4d51-af9b-4650-94b4-4276bee85c91</vt:lpwstr>
  </property>
</Properties>
</file>