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9B458F" w14:paraId="4982DD4D" w14:textId="06DCE9A3">
      <w:pPr>
        <w:jc w:val="center"/>
      </w:pPr>
      <w:r>
        <w:rPr>
          <w:noProof/>
        </w:rPr>
        <w:drawing>
          <wp:inline distT="0" distB="0" distL="0" distR="0" wp14:anchorId="6E2B1338" wp14:editId="61E0C470">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63FBC9BC"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A2FDAEC">
      <w:pPr>
        <w:jc w:val="right"/>
      </w:pPr>
      <w:r>
        <w:t>Brüssel, den 17. Dezember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863A8F" w14:paraId="4982DD59" w14:textId="77777777">
        <w:tc>
          <w:tcPr>
            <w:tcW w:w="9289" w:type="dxa"/>
            <w:tcBorders>
              <w:bottom w:val="double" w:color="auto" w:sz="4" w:space="0"/>
            </w:tcBorders>
          </w:tcPr>
          <w:p w:rsidR="003066BE" w:rsidP="00863A8F" w:rsidRDefault="008C47BA" w14:paraId="4982DD53" w14:textId="29474CC3">
            <w:pPr>
              <w:snapToGrid w:val="0"/>
              <w:jc w:val="center"/>
              <w:rPr>
                <w:b/>
                <w:sz w:val="32"/>
                <w:szCs w:val="32"/>
              </w:rPr>
            </w:pPr>
            <w:r>
              <w:rPr>
                <w:b/>
                <w:sz w:val="32"/>
              </w:rPr>
              <w:t>592. PLENARTAGUNG</w:t>
            </w:r>
          </w:p>
          <w:p w:rsidR="003066BE" w:rsidP="00863A8F" w:rsidRDefault="003066BE" w14:paraId="4982DD54" w14:textId="77777777">
            <w:pPr>
              <w:snapToGrid w:val="0"/>
              <w:jc w:val="center"/>
              <w:rPr>
                <w:b/>
                <w:sz w:val="32"/>
                <w:szCs w:val="32"/>
              </w:rPr>
            </w:pPr>
          </w:p>
          <w:p w:rsidR="003066BE" w:rsidP="00863A8F" w:rsidRDefault="009E3EE2" w14:paraId="4982DD55" w14:textId="24514D05">
            <w:pPr>
              <w:snapToGrid w:val="0"/>
              <w:jc w:val="center"/>
              <w:rPr>
                <w:b/>
                <w:sz w:val="32"/>
                <w:szCs w:val="32"/>
              </w:rPr>
            </w:pPr>
            <w:r>
              <w:rPr>
                <w:b/>
                <w:sz w:val="32"/>
              </w:rPr>
              <w:t>4./5. Dezember 2024</w:t>
            </w:r>
          </w:p>
          <w:p w:rsidR="003066BE" w:rsidP="00863A8F" w:rsidRDefault="003066BE" w14:paraId="4982DD56" w14:textId="77777777">
            <w:pPr>
              <w:snapToGrid w:val="0"/>
              <w:jc w:val="center"/>
              <w:rPr>
                <w:b/>
                <w:sz w:val="32"/>
                <w:szCs w:val="32"/>
              </w:rPr>
            </w:pPr>
          </w:p>
          <w:p w:rsidRPr="0081153B" w:rsidR="004D7AC0" w:rsidP="00863A8F" w:rsidRDefault="00754027" w14:paraId="4982DD57" w14:textId="5A35E792">
            <w:pPr>
              <w:snapToGrid w:val="0"/>
              <w:jc w:val="center"/>
              <w:rPr>
                <w:rFonts w:eastAsia="MS Mincho"/>
                <w:b/>
                <w:sz w:val="32"/>
                <w:szCs w:val="32"/>
              </w:rPr>
            </w:pPr>
            <w:r>
              <w:rPr>
                <w:b/>
                <w:sz w:val="32"/>
              </w:rPr>
              <w:t>ZUSAMMENFASSUNG DER VERABSCHIEDETEN STELLUNGNAHMEN, ENTSCHLIEẞUNGEN UND INFORMATIONS-/BEWERTUNGSBERICHTE</w:t>
            </w:r>
          </w:p>
          <w:p w:rsidR="004D7AC0" w:rsidP="00863A8F" w:rsidRDefault="004D7AC0" w14:paraId="4982DD58" w14:textId="77777777">
            <w:pPr>
              <w:snapToGrid w:val="0"/>
            </w:pPr>
          </w:p>
        </w:tc>
      </w:tr>
      <w:tr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863A8F" w:rsidRDefault="004D7AC0" w14:paraId="4982DD5A" w14:textId="0C0FF99D">
            <w:pPr>
              <w:snapToGrid w:val="0"/>
              <w:jc w:val="center"/>
            </w:pPr>
            <w:r>
              <w:t>Dieses Dokument kann in allen Amtssprachen der Europäischen Union auf dem EWSA-Internetportal abgerufen werden:</w:t>
            </w:r>
            <w:r>
              <w:br/>
            </w:r>
            <w:r>
              <w:br/>
            </w:r>
            <w:hyperlink w:history="1" r:id="rId12">
              <w:r>
                <w:rPr>
                  <w:rStyle w:val="Hyperlink"/>
                </w:rPr>
                <w:t>https://www.eesc.europa.eu/de/our-work/opinions-information-reports/plenary-session-summaries</w:t>
              </w:r>
            </w:hyperlink>
          </w:p>
          <w:p w:rsidRPr="0081153B" w:rsidR="004D7AC0" w:rsidP="00863A8F" w:rsidRDefault="004D7AC0" w14:paraId="4982DD5C" w14:textId="77777777">
            <w:pPr>
              <w:snapToGrid w:val="0"/>
              <w:jc w:val="center"/>
              <w:rPr>
                <w:rFonts w:eastAsia="SimSun"/>
              </w:rPr>
            </w:pPr>
          </w:p>
          <w:p w:rsidRPr="00044561" w:rsidR="004D7AC0" w:rsidP="00863A8F" w:rsidRDefault="004D7AC0" w14:paraId="4982DD5D" w14:textId="77777777">
            <w:pPr>
              <w:snapToGrid w:val="0"/>
              <w:jc w:val="center"/>
            </w:pPr>
            <w:r>
              <w:t>Die aufgeführten Stellungnahmen können online über die Suchmaschine des EWSA abgerufen werden:</w:t>
            </w:r>
            <w:r>
              <w:br/>
            </w:r>
            <w:r>
              <w:br/>
            </w:r>
            <w:hyperlink w:history="1" r:id="rId13">
              <w:r>
                <w:rPr>
                  <w:rStyle w:val="Hyperlink"/>
                </w:rPr>
                <w:t>https://dmsearch.eesc.europa.eu/search/opinion</w:t>
              </w:r>
            </w:hyperlink>
          </w:p>
          <w:p w:rsidRPr="00044561" w:rsidR="004D7AC0" w:rsidP="00863A8F"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2DC7F56">
      <w:pPr>
        <w:sectPr w:rsidR="004D7AC0" w:rsidSect="00902A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Inhalt</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BF52DC" w:rsidP="00BF52DC" w:rsidRDefault="004D7AC0" w14:paraId="261E680E" w14:textId="320E16D1">
          <w:pPr>
            <w:pStyle w:val="TOC1"/>
            <w:rPr>
              <w:rFonts w:asciiTheme="minorHAnsi" w:hAnsiTheme="minorHAnsi" w:eastAsiaTheme="minorEastAsia" w:cstheme="minorBidi"/>
              <w:noProof/>
              <w:lang w:val="fr-BE" w:eastAsia="fr-BE"/>
            </w:rPr>
          </w:pPr>
          <w:r>
            <w:fldChar w:fldCharType="begin"/>
          </w:r>
          <w:r>
            <w:instrText xml:space="preserve"> TOC \o "1-3" \h \z \u </w:instrText>
          </w:r>
          <w:r>
            <w:fldChar w:fldCharType="separate"/>
          </w:r>
          <w:hyperlink w:history="1" w:anchor="_Toc184973433">
            <w:r w:rsidRPr="002A1DEA" w:rsidR="00BF52DC">
              <w:rPr>
                <w:rStyle w:val="Hyperlink"/>
                <w:b/>
                <w:noProof/>
              </w:rPr>
              <w:t>1.</w:t>
            </w:r>
            <w:r w:rsidR="00BF52DC">
              <w:rPr>
                <w:rFonts w:asciiTheme="minorHAnsi" w:hAnsiTheme="minorHAnsi" w:eastAsiaTheme="minorEastAsia" w:cstheme="minorBidi"/>
                <w:noProof/>
                <w:lang w:val="fr-BE" w:eastAsia="fr-BE"/>
              </w:rPr>
              <w:tab/>
            </w:r>
            <w:r w:rsidRPr="002A1DEA" w:rsidR="00BF52DC">
              <w:rPr>
                <w:rStyle w:val="Hyperlink"/>
                <w:b/>
                <w:noProof/>
              </w:rPr>
              <w:t>ENTSCHLIEẞUNG</w:t>
            </w:r>
            <w:r w:rsidR="00BF52DC">
              <w:rPr>
                <w:noProof/>
                <w:webHidden/>
              </w:rPr>
              <w:tab/>
            </w:r>
            <w:r w:rsidR="00BF52DC">
              <w:rPr>
                <w:noProof/>
                <w:webHidden/>
              </w:rPr>
              <w:fldChar w:fldCharType="begin"/>
            </w:r>
            <w:r w:rsidR="00BF52DC">
              <w:rPr>
                <w:noProof/>
                <w:webHidden/>
              </w:rPr>
              <w:instrText xml:space="preserve"> PAGEREF _Toc184973433 \h </w:instrText>
            </w:r>
            <w:r w:rsidR="00BF52DC">
              <w:rPr>
                <w:noProof/>
                <w:webHidden/>
              </w:rPr>
            </w:r>
            <w:r w:rsidR="00BF52DC">
              <w:rPr>
                <w:noProof/>
                <w:webHidden/>
              </w:rPr>
              <w:fldChar w:fldCharType="separate"/>
            </w:r>
            <w:r w:rsidR="00111DFA">
              <w:rPr>
                <w:noProof/>
                <w:webHidden/>
              </w:rPr>
              <w:t>3</w:t>
            </w:r>
            <w:r w:rsidR="00BF52DC">
              <w:rPr>
                <w:noProof/>
                <w:webHidden/>
              </w:rPr>
              <w:fldChar w:fldCharType="end"/>
            </w:r>
          </w:hyperlink>
        </w:p>
        <w:p w:rsidR="00BF52DC" w:rsidP="00BF52DC" w:rsidRDefault="005204CC" w14:paraId="69273725" w14:textId="230536FC">
          <w:pPr>
            <w:pStyle w:val="TOC1"/>
            <w:rPr>
              <w:rFonts w:asciiTheme="minorHAnsi" w:hAnsiTheme="minorHAnsi" w:eastAsiaTheme="minorEastAsia" w:cstheme="minorBidi"/>
              <w:noProof/>
              <w:lang w:val="fr-BE" w:eastAsia="fr-BE"/>
            </w:rPr>
          </w:pPr>
          <w:hyperlink w:history="1" w:anchor="_Toc184973434">
            <w:r w:rsidRPr="002A1DEA" w:rsidR="00BF52DC">
              <w:rPr>
                <w:rStyle w:val="Hyperlink"/>
                <w:b/>
                <w:noProof/>
              </w:rPr>
              <w:t>2.</w:t>
            </w:r>
            <w:r w:rsidR="00BF52DC">
              <w:rPr>
                <w:rFonts w:asciiTheme="minorHAnsi" w:hAnsiTheme="minorHAnsi" w:eastAsiaTheme="minorEastAsia" w:cstheme="minorBidi"/>
                <w:noProof/>
                <w:lang w:val="fr-BE" w:eastAsia="fr-BE"/>
              </w:rPr>
              <w:tab/>
            </w:r>
            <w:r w:rsidRPr="002A1DEA" w:rsidR="00BF52DC">
              <w:rPr>
                <w:rStyle w:val="Hyperlink"/>
                <w:b/>
                <w:noProof/>
              </w:rPr>
              <w:t>WIRTSCHAFTS- UND WÄHRUNGSUNION, WIRTSCHAFTLICHER UND SOZIALER ZUSAMMENHALT</w:t>
            </w:r>
            <w:r w:rsidR="00BF52DC">
              <w:rPr>
                <w:noProof/>
                <w:webHidden/>
              </w:rPr>
              <w:tab/>
            </w:r>
            <w:r w:rsidR="00BF52DC">
              <w:rPr>
                <w:noProof/>
                <w:webHidden/>
              </w:rPr>
              <w:fldChar w:fldCharType="begin"/>
            </w:r>
            <w:r w:rsidR="00BF52DC">
              <w:rPr>
                <w:noProof/>
                <w:webHidden/>
              </w:rPr>
              <w:instrText xml:space="preserve"> PAGEREF _Toc184973434 \h </w:instrText>
            </w:r>
            <w:r w:rsidR="00BF52DC">
              <w:rPr>
                <w:noProof/>
                <w:webHidden/>
              </w:rPr>
            </w:r>
            <w:r w:rsidR="00BF52DC">
              <w:rPr>
                <w:noProof/>
                <w:webHidden/>
              </w:rPr>
              <w:fldChar w:fldCharType="separate"/>
            </w:r>
            <w:r w:rsidR="00111DFA">
              <w:rPr>
                <w:noProof/>
                <w:webHidden/>
              </w:rPr>
              <w:t>5</w:t>
            </w:r>
            <w:r w:rsidR="00BF52DC">
              <w:rPr>
                <w:noProof/>
                <w:webHidden/>
              </w:rPr>
              <w:fldChar w:fldCharType="end"/>
            </w:r>
          </w:hyperlink>
        </w:p>
        <w:p w:rsidR="00BF52DC" w:rsidP="00BF52DC" w:rsidRDefault="005204CC" w14:paraId="207B8872" w14:textId="1ED0F886">
          <w:pPr>
            <w:pStyle w:val="TOC1"/>
            <w:rPr>
              <w:rFonts w:asciiTheme="minorHAnsi" w:hAnsiTheme="minorHAnsi" w:eastAsiaTheme="minorEastAsia" w:cstheme="minorBidi"/>
              <w:noProof/>
              <w:lang w:val="fr-BE" w:eastAsia="fr-BE"/>
            </w:rPr>
          </w:pPr>
          <w:hyperlink w:history="1" w:anchor="_Toc184973446">
            <w:r w:rsidRPr="002A1DEA" w:rsidR="00BF52DC">
              <w:rPr>
                <w:rStyle w:val="Hyperlink"/>
                <w:b/>
                <w:noProof/>
              </w:rPr>
              <w:t>3.</w:t>
            </w:r>
            <w:r w:rsidR="00BF52DC">
              <w:rPr>
                <w:rFonts w:asciiTheme="minorHAnsi" w:hAnsiTheme="minorHAnsi" w:eastAsiaTheme="minorEastAsia" w:cstheme="minorBidi"/>
                <w:noProof/>
                <w:lang w:val="fr-BE" w:eastAsia="fr-BE"/>
              </w:rPr>
              <w:tab/>
            </w:r>
            <w:r w:rsidRPr="002A1DEA" w:rsidR="00BF52DC">
              <w:rPr>
                <w:rStyle w:val="Hyperlink"/>
                <w:b/>
                <w:noProof/>
              </w:rPr>
              <w:t>BESCHÄFTIGUNG, SOZIALFRAGEN, UNIONSBÜRGERSCHAFT</w:t>
            </w:r>
            <w:r w:rsidR="00BF52DC">
              <w:rPr>
                <w:noProof/>
                <w:webHidden/>
              </w:rPr>
              <w:tab/>
            </w:r>
            <w:r w:rsidR="00BF52DC">
              <w:rPr>
                <w:noProof/>
                <w:webHidden/>
              </w:rPr>
              <w:fldChar w:fldCharType="begin"/>
            </w:r>
            <w:r w:rsidR="00BF52DC">
              <w:rPr>
                <w:noProof/>
                <w:webHidden/>
              </w:rPr>
              <w:instrText xml:space="preserve"> PAGEREF _Toc184973446 \h </w:instrText>
            </w:r>
            <w:r w:rsidR="00BF52DC">
              <w:rPr>
                <w:noProof/>
                <w:webHidden/>
              </w:rPr>
            </w:r>
            <w:r w:rsidR="00BF52DC">
              <w:rPr>
                <w:noProof/>
                <w:webHidden/>
              </w:rPr>
              <w:fldChar w:fldCharType="separate"/>
            </w:r>
            <w:r w:rsidR="00111DFA">
              <w:rPr>
                <w:noProof/>
                <w:webHidden/>
              </w:rPr>
              <w:t>10</w:t>
            </w:r>
            <w:r w:rsidR="00BF52DC">
              <w:rPr>
                <w:noProof/>
                <w:webHidden/>
              </w:rPr>
              <w:fldChar w:fldCharType="end"/>
            </w:r>
          </w:hyperlink>
        </w:p>
        <w:p w:rsidR="00BF52DC" w:rsidP="00BF52DC" w:rsidRDefault="005204CC" w14:paraId="3E2E3683" w14:textId="5599A768">
          <w:pPr>
            <w:pStyle w:val="TOC1"/>
            <w:rPr>
              <w:rFonts w:asciiTheme="minorHAnsi" w:hAnsiTheme="minorHAnsi" w:eastAsiaTheme="minorEastAsia" w:cstheme="minorBidi"/>
              <w:noProof/>
              <w:lang w:val="fr-BE" w:eastAsia="fr-BE"/>
            </w:rPr>
          </w:pPr>
          <w:hyperlink w:history="1" w:anchor="_Toc184973447">
            <w:r w:rsidRPr="002A1DEA" w:rsidR="00BF52DC">
              <w:rPr>
                <w:rStyle w:val="Hyperlink"/>
                <w:b/>
                <w:noProof/>
              </w:rPr>
              <w:t>4.</w:t>
            </w:r>
            <w:r w:rsidR="00BF52DC">
              <w:rPr>
                <w:rFonts w:asciiTheme="minorHAnsi" w:hAnsiTheme="minorHAnsi" w:eastAsiaTheme="minorEastAsia" w:cstheme="minorBidi"/>
                <w:noProof/>
                <w:lang w:val="fr-BE" w:eastAsia="fr-BE"/>
              </w:rPr>
              <w:tab/>
            </w:r>
            <w:r w:rsidRPr="002A1DEA" w:rsidR="00BF52DC">
              <w:rPr>
                <w:rStyle w:val="Hyperlink"/>
                <w:b/>
                <w:noProof/>
              </w:rPr>
              <w:t>VERKEHR, ENERGIE, INFRASTRUKTUREN, INFORMATIONSGESELLSCHAFT</w:t>
            </w:r>
            <w:r w:rsidR="00BF52DC">
              <w:rPr>
                <w:noProof/>
                <w:webHidden/>
              </w:rPr>
              <w:tab/>
            </w:r>
            <w:r w:rsidR="00BF52DC">
              <w:rPr>
                <w:noProof/>
                <w:webHidden/>
              </w:rPr>
              <w:fldChar w:fldCharType="begin"/>
            </w:r>
            <w:r w:rsidR="00BF52DC">
              <w:rPr>
                <w:noProof/>
                <w:webHidden/>
              </w:rPr>
              <w:instrText xml:space="preserve"> PAGEREF _Toc184973447 \h </w:instrText>
            </w:r>
            <w:r w:rsidR="00BF52DC">
              <w:rPr>
                <w:noProof/>
                <w:webHidden/>
              </w:rPr>
            </w:r>
            <w:r w:rsidR="00BF52DC">
              <w:rPr>
                <w:noProof/>
                <w:webHidden/>
              </w:rPr>
              <w:fldChar w:fldCharType="separate"/>
            </w:r>
            <w:r w:rsidR="00111DFA">
              <w:rPr>
                <w:noProof/>
                <w:webHidden/>
              </w:rPr>
              <w:t>11</w:t>
            </w:r>
            <w:r w:rsidR="00BF52DC">
              <w:rPr>
                <w:noProof/>
                <w:webHidden/>
              </w:rPr>
              <w:fldChar w:fldCharType="end"/>
            </w:r>
          </w:hyperlink>
        </w:p>
        <w:p w:rsidR="00BF52DC" w:rsidP="00BF52DC" w:rsidRDefault="005204CC" w14:paraId="0DEE02CE" w14:textId="6FD02A2B">
          <w:pPr>
            <w:pStyle w:val="TOC1"/>
            <w:rPr>
              <w:rFonts w:asciiTheme="minorHAnsi" w:hAnsiTheme="minorHAnsi" w:eastAsiaTheme="minorEastAsia" w:cstheme="minorBidi"/>
              <w:noProof/>
              <w:lang w:val="fr-BE" w:eastAsia="fr-BE"/>
            </w:rPr>
          </w:pPr>
          <w:hyperlink w:history="1" w:anchor="_Toc184973448">
            <w:r w:rsidRPr="002A1DEA" w:rsidR="00BF52DC">
              <w:rPr>
                <w:rStyle w:val="Hyperlink"/>
                <w:b/>
                <w:noProof/>
              </w:rPr>
              <w:t>5.</w:t>
            </w:r>
            <w:r w:rsidR="00BF52DC">
              <w:rPr>
                <w:rFonts w:asciiTheme="minorHAnsi" w:hAnsiTheme="minorHAnsi" w:eastAsiaTheme="minorEastAsia" w:cstheme="minorBidi"/>
                <w:noProof/>
                <w:lang w:val="fr-BE" w:eastAsia="fr-BE"/>
              </w:rPr>
              <w:tab/>
            </w:r>
            <w:r w:rsidRPr="002A1DEA" w:rsidR="00BF52DC">
              <w:rPr>
                <w:rStyle w:val="Hyperlink"/>
                <w:b/>
                <w:noProof/>
              </w:rPr>
              <w:t>BINNENMARKT, PRODUKTION, VERBRAUCH</w:t>
            </w:r>
            <w:r w:rsidR="00BF52DC">
              <w:rPr>
                <w:noProof/>
                <w:webHidden/>
              </w:rPr>
              <w:tab/>
            </w:r>
            <w:r w:rsidR="00BF52DC">
              <w:rPr>
                <w:noProof/>
                <w:webHidden/>
              </w:rPr>
              <w:fldChar w:fldCharType="begin"/>
            </w:r>
            <w:r w:rsidR="00BF52DC">
              <w:rPr>
                <w:noProof/>
                <w:webHidden/>
              </w:rPr>
              <w:instrText xml:space="preserve"> PAGEREF _Toc184973448 \h </w:instrText>
            </w:r>
            <w:r w:rsidR="00BF52DC">
              <w:rPr>
                <w:noProof/>
                <w:webHidden/>
              </w:rPr>
            </w:r>
            <w:r w:rsidR="00BF52DC">
              <w:rPr>
                <w:noProof/>
                <w:webHidden/>
              </w:rPr>
              <w:fldChar w:fldCharType="separate"/>
            </w:r>
            <w:r w:rsidR="00111DFA">
              <w:rPr>
                <w:noProof/>
                <w:webHidden/>
              </w:rPr>
              <w:t>14</w:t>
            </w:r>
            <w:r w:rsidR="00BF52DC">
              <w:rPr>
                <w:noProof/>
                <w:webHidden/>
              </w:rPr>
              <w:fldChar w:fldCharType="end"/>
            </w:r>
          </w:hyperlink>
        </w:p>
        <w:p w:rsidR="00BF52DC" w:rsidP="00BF52DC" w:rsidRDefault="005204CC" w14:paraId="47740E05" w14:textId="1FF4B6AE">
          <w:pPr>
            <w:pStyle w:val="TOC1"/>
            <w:rPr>
              <w:rFonts w:asciiTheme="minorHAnsi" w:hAnsiTheme="minorHAnsi" w:eastAsiaTheme="minorEastAsia" w:cstheme="minorBidi"/>
              <w:noProof/>
              <w:lang w:val="fr-BE" w:eastAsia="fr-BE"/>
            </w:rPr>
          </w:pPr>
          <w:hyperlink w:history="1" w:anchor="_Toc184973449">
            <w:r w:rsidRPr="002A1DEA" w:rsidR="00BF52DC">
              <w:rPr>
                <w:rStyle w:val="Hyperlink"/>
                <w:b/>
                <w:noProof/>
              </w:rPr>
              <w:t>6.</w:t>
            </w:r>
            <w:r w:rsidR="00BF52DC">
              <w:rPr>
                <w:rFonts w:asciiTheme="minorHAnsi" w:hAnsiTheme="minorHAnsi" w:eastAsiaTheme="minorEastAsia" w:cstheme="minorBidi"/>
                <w:noProof/>
                <w:lang w:val="fr-BE" w:eastAsia="fr-BE"/>
              </w:rPr>
              <w:tab/>
            </w:r>
            <w:r w:rsidRPr="002A1DEA" w:rsidR="00BF52DC">
              <w:rPr>
                <w:rStyle w:val="Hyperlink"/>
                <w:b/>
                <w:noProof/>
              </w:rPr>
              <w:t>LANDWIRTSCHAFT, LÄNDLICHE ENTWICKLUNG, UMWELT</w:t>
            </w:r>
            <w:r w:rsidR="00BF52DC">
              <w:rPr>
                <w:noProof/>
                <w:webHidden/>
              </w:rPr>
              <w:tab/>
            </w:r>
            <w:r w:rsidR="00BF52DC">
              <w:rPr>
                <w:noProof/>
                <w:webHidden/>
              </w:rPr>
              <w:fldChar w:fldCharType="begin"/>
            </w:r>
            <w:r w:rsidR="00BF52DC">
              <w:rPr>
                <w:noProof/>
                <w:webHidden/>
              </w:rPr>
              <w:instrText xml:space="preserve"> PAGEREF _Toc184973449 \h </w:instrText>
            </w:r>
            <w:r w:rsidR="00BF52DC">
              <w:rPr>
                <w:noProof/>
                <w:webHidden/>
              </w:rPr>
            </w:r>
            <w:r w:rsidR="00BF52DC">
              <w:rPr>
                <w:noProof/>
                <w:webHidden/>
              </w:rPr>
              <w:fldChar w:fldCharType="separate"/>
            </w:r>
            <w:r w:rsidR="00111DFA">
              <w:rPr>
                <w:noProof/>
                <w:webHidden/>
              </w:rPr>
              <w:t>18</w:t>
            </w:r>
            <w:r w:rsidR="00BF52DC">
              <w:rPr>
                <w:noProof/>
                <w:webHidden/>
              </w:rPr>
              <w:fldChar w:fldCharType="end"/>
            </w:r>
          </w:hyperlink>
        </w:p>
        <w:p w:rsidR="00BF52DC" w:rsidP="00BF52DC" w:rsidRDefault="005204CC" w14:paraId="4A4ABE91" w14:textId="46ABD3E4">
          <w:pPr>
            <w:pStyle w:val="TOC1"/>
            <w:rPr>
              <w:rFonts w:asciiTheme="minorHAnsi" w:hAnsiTheme="minorHAnsi" w:eastAsiaTheme="minorEastAsia" w:cstheme="minorBidi"/>
              <w:noProof/>
              <w:lang w:val="fr-BE" w:eastAsia="fr-BE"/>
            </w:rPr>
          </w:pPr>
          <w:hyperlink w:history="1" w:anchor="_Toc184973456">
            <w:r w:rsidRPr="002A1DEA" w:rsidR="00BF52DC">
              <w:rPr>
                <w:rStyle w:val="Hyperlink"/>
                <w:b/>
                <w:noProof/>
              </w:rPr>
              <w:t>7.</w:t>
            </w:r>
            <w:r w:rsidR="00BF52DC">
              <w:rPr>
                <w:rFonts w:asciiTheme="minorHAnsi" w:hAnsiTheme="minorHAnsi" w:eastAsiaTheme="minorEastAsia" w:cstheme="minorBidi"/>
                <w:noProof/>
                <w:lang w:val="fr-BE" w:eastAsia="fr-BE"/>
              </w:rPr>
              <w:tab/>
            </w:r>
            <w:r w:rsidRPr="002A1DEA" w:rsidR="00BF52DC">
              <w:rPr>
                <w:rStyle w:val="Hyperlink"/>
                <w:b/>
                <w:noProof/>
              </w:rPr>
              <w:t>AUẞENBEZIEHUNGEN</w:t>
            </w:r>
            <w:r w:rsidR="00BF52DC">
              <w:rPr>
                <w:noProof/>
                <w:webHidden/>
              </w:rPr>
              <w:tab/>
            </w:r>
            <w:r w:rsidR="00BF52DC">
              <w:rPr>
                <w:noProof/>
                <w:webHidden/>
              </w:rPr>
              <w:fldChar w:fldCharType="begin"/>
            </w:r>
            <w:r w:rsidR="00BF52DC">
              <w:rPr>
                <w:noProof/>
                <w:webHidden/>
              </w:rPr>
              <w:instrText xml:space="preserve"> PAGEREF _Toc184973456 \h </w:instrText>
            </w:r>
            <w:r w:rsidR="00BF52DC">
              <w:rPr>
                <w:noProof/>
                <w:webHidden/>
              </w:rPr>
            </w:r>
            <w:r w:rsidR="00BF52DC">
              <w:rPr>
                <w:noProof/>
                <w:webHidden/>
              </w:rPr>
              <w:fldChar w:fldCharType="separate"/>
            </w:r>
            <w:r w:rsidR="00111DFA">
              <w:rPr>
                <w:noProof/>
                <w:webHidden/>
              </w:rPr>
              <w:t>22</w:t>
            </w:r>
            <w:r w:rsidR="00BF52DC">
              <w:rPr>
                <w:noProof/>
                <w:webHidden/>
              </w:rPr>
              <w:fldChar w:fldCharType="end"/>
            </w:r>
          </w:hyperlink>
        </w:p>
        <w:p w:rsidR="00BF52DC" w:rsidP="00BF52DC" w:rsidRDefault="005204CC" w14:paraId="307D97F8" w14:textId="3C121ED1">
          <w:pPr>
            <w:pStyle w:val="TOC1"/>
            <w:rPr>
              <w:rFonts w:asciiTheme="minorHAnsi" w:hAnsiTheme="minorHAnsi" w:eastAsiaTheme="minorEastAsia" w:cstheme="minorBidi"/>
              <w:noProof/>
              <w:lang w:val="fr-BE" w:eastAsia="fr-BE"/>
            </w:rPr>
          </w:pPr>
          <w:hyperlink w:history="1" w:anchor="_Toc184973457">
            <w:r w:rsidRPr="002A1DEA" w:rsidR="00BF52DC">
              <w:rPr>
                <w:rStyle w:val="Hyperlink"/>
                <w:b/>
                <w:noProof/>
              </w:rPr>
              <w:t>8.</w:t>
            </w:r>
            <w:r w:rsidR="00BF52DC">
              <w:rPr>
                <w:rFonts w:asciiTheme="minorHAnsi" w:hAnsiTheme="minorHAnsi" w:eastAsiaTheme="minorEastAsia" w:cstheme="minorBidi"/>
                <w:noProof/>
                <w:lang w:val="fr-BE" w:eastAsia="fr-BE"/>
              </w:rPr>
              <w:tab/>
            </w:r>
            <w:r w:rsidRPr="002A1DEA" w:rsidR="00BF52DC">
              <w:rPr>
                <w:rStyle w:val="Hyperlink"/>
                <w:b/>
                <w:noProof/>
              </w:rPr>
              <w:t>BERATENDE KOMMISSION FÜR DEN INDUSTRIELLEN WANDEL</w:t>
            </w:r>
            <w:r w:rsidR="00BF52DC">
              <w:rPr>
                <w:noProof/>
                <w:webHidden/>
              </w:rPr>
              <w:tab/>
            </w:r>
            <w:r w:rsidR="00BF52DC">
              <w:rPr>
                <w:noProof/>
                <w:webHidden/>
              </w:rPr>
              <w:fldChar w:fldCharType="begin"/>
            </w:r>
            <w:r w:rsidR="00BF52DC">
              <w:rPr>
                <w:noProof/>
                <w:webHidden/>
              </w:rPr>
              <w:instrText xml:space="preserve"> PAGEREF _Toc184973457 \h </w:instrText>
            </w:r>
            <w:r w:rsidR="00BF52DC">
              <w:rPr>
                <w:noProof/>
                <w:webHidden/>
              </w:rPr>
            </w:r>
            <w:r w:rsidR="00BF52DC">
              <w:rPr>
                <w:noProof/>
                <w:webHidden/>
              </w:rPr>
              <w:fldChar w:fldCharType="separate"/>
            </w:r>
            <w:r w:rsidR="00111DFA">
              <w:rPr>
                <w:noProof/>
                <w:webHidden/>
              </w:rPr>
              <w:t>27</w:t>
            </w:r>
            <w:r w:rsidR="00BF52DC">
              <w:rPr>
                <w:noProof/>
                <w:webHidden/>
              </w:rPr>
              <w:fldChar w:fldCharType="end"/>
            </w:r>
          </w:hyperlink>
        </w:p>
        <w:p w:rsidR="004D7AC0" w:rsidP="004D7AC0" w:rsidRDefault="004D7AC0" w14:paraId="4982DD6A" w14:textId="5D3BD005">
          <w:r>
            <w:rPr>
              <w:b/>
            </w:rPr>
            <w:fldChar w:fldCharType="end"/>
          </w:r>
        </w:p>
      </w:sdtContent>
    </w:sdt>
    <w:p w:rsidR="004D7AC0" w:rsidP="004D7AC0" w:rsidRDefault="004D7AC0" w14:paraId="4982DD6B" w14:textId="77777777"/>
    <w:p w:rsidR="004D7AC0" w:rsidP="004D7AC0" w:rsidRDefault="004D7AC0" w14:paraId="4982DD6C" w14:textId="320B0F01">
      <w:pPr>
        <w:spacing w:after="160" w:line="259" w:lineRule="auto"/>
        <w:jc w:val="left"/>
      </w:pPr>
      <w:r>
        <w:br w:type="page"/>
      </w:r>
    </w:p>
    <w:p w:rsidR="002673F7" w:rsidP="004D7AC0" w:rsidRDefault="002673F7" w14:paraId="2C14AA4D" w14:textId="2AF2A0E3">
      <w:pPr>
        <w:pStyle w:val="Heading1"/>
        <w:rPr>
          <w:b/>
        </w:rPr>
      </w:pPr>
      <w:bookmarkStart w:name="_Toc184973433" w:id="0"/>
      <w:r>
        <w:rPr>
          <w:b/>
        </w:rPr>
        <w:lastRenderedPageBreak/>
        <w:t>ENTSCHLIEẞUNG</w:t>
      </w:r>
      <w:bookmarkEnd w:id="0"/>
    </w:p>
    <w:p w:rsidR="002673F7" w:rsidP="002673F7" w:rsidRDefault="002673F7" w14:paraId="3912EA4C" w14:textId="5657EB09"/>
    <w:p w:rsidRPr="007224BE" w:rsidR="00E85F55" w:rsidP="007224BE" w:rsidRDefault="005204CC" w14:paraId="5E0BF013" w14:textId="5EA1F7D0">
      <w:pPr>
        <w:widowControl w:val="0"/>
        <w:numPr>
          <w:ilvl w:val="0"/>
          <w:numId w:val="2"/>
        </w:numPr>
        <w:overflowPunct w:val="0"/>
        <w:autoSpaceDE w:val="0"/>
        <w:autoSpaceDN w:val="0"/>
        <w:adjustRightInd w:val="0"/>
        <w:ind w:left="567" w:hanging="567"/>
        <w:textAlignment w:val="baseline"/>
        <w:rPr>
          <w:b/>
          <w:bCs/>
          <w:i/>
          <w:iCs/>
          <w:sz w:val="28"/>
          <w:szCs w:val="28"/>
        </w:rPr>
      </w:pPr>
      <w:hyperlink w:history="1" r:id="rId20">
        <w:r w:rsidR="00E85F55">
          <w:rPr>
            <w:b/>
            <w:i/>
            <w:color w:val="0000FF"/>
            <w:sz w:val="28"/>
            <w:u w:val="single"/>
          </w:rPr>
          <w:t>Entschließung „Beitrag des Europäischen Wirtschafts- und Sozialausschusses zum Arbeitsprogramm 2025 der Europäischen Kommission“</w:t>
        </w:r>
      </w:hyperlink>
    </w:p>
    <w:p w:rsidRPr="00E85F55" w:rsidR="00E85F55" w:rsidP="00E85F55" w:rsidRDefault="00E85F55" w14:paraId="0B05F8EC" w14:textId="77777777">
      <w:pPr>
        <w:widowControl w:val="0"/>
        <w:overflowPunct w:val="0"/>
        <w:autoSpaceDE w:val="0"/>
        <w:autoSpaceDN w:val="0"/>
        <w:adjustRightInd w:val="0"/>
        <w:ind w:left="266"/>
        <w:textAlignment w:val="baseline"/>
        <w:rPr>
          <w:lang w:val="en-GB"/>
        </w:rPr>
      </w:pPr>
    </w:p>
    <w:p w:rsidRPr="00E85F55" w:rsidR="00E85F55" w:rsidP="00E85F55" w:rsidRDefault="00E85F55" w14:paraId="7F2B3E69"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2"/>
        <w:gridCol w:w="7479"/>
      </w:tblGrid>
      <w:tr w:rsidRPr="00E85F55" w:rsidR="00E85F55" w:rsidTr="00863A8F" w14:paraId="2F18C2E9" w14:textId="77777777">
        <w:tc>
          <w:tcPr>
            <w:tcW w:w="1093" w:type="pct"/>
          </w:tcPr>
          <w:p w:rsidRPr="00E85F55" w:rsidR="00E85F55" w:rsidP="00E85F55" w:rsidRDefault="00E85F55" w14:paraId="390649B1" w14:textId="77777777">
            <w:pPr>
              <w:tabs>
                <w:tab w:val="center" w:pos="284"/>
              </w:tabs>
              <w:overflowPunct w:val="0"/>
              <w:autoSpaceDE w:val="0"/>
              <w:autoSpaceDN w:val="0"/>
              <w:adjustRightInd w:val="0"/>
              <w:ind w:left="266" w:hanging="266"/>
              <w:textAlignment w:val="baseline"/>
              <w:rPr>
                <w:b/>
              </w:rPr>
            </w:pPr>
            <w:r>
              <w:rPr>
                <w:b/>
              </w:rPr>
              <w:t>Berichterstatter</w:t>
            </w:r>
          </w:p>
        </w:tc>
        <w:tc>
          <w:tcPr>
            <w:tcW w:w="3907" w:type="pct"/>
          </w:tcPr>
          <w:p w:rsidRPr="00E85F55" w:rsidR="00E85F55" w:rsidP="00E85F55" w:rsidRDefault="00E85F55" w14:paraId="4145D568" w14:textId="77777777">
            <w:pPr>
              <w:tabs>
                <w:tab w:val="center" w:pos="284"/>
              </w:tabs>
              <w:overflowPunct w:val="0"/>
              <w:autoSpaceDE w:val="0"/>
              <w:autoSpaceDN w:val="0"/>
              <w:adjustRightInd w:val="0"/>
              <w:ind w:left="266" w:hanging="266"/>
              <w:textAlignment w:val="baseline"/>
            </w:pPr>
            <w:r>
              <w:t>Cinzia DEL RIO (Gruppe Arbeitnehmer – IT)</w:t>
            </w:r>
          </w:p>
        </w:tc>
      </w:tr>
      <w:tr w:rsidRPr="00E85F55" w:rsidR="00E85F55" w:rsidTr="00863A8F" w14:paraId="3025319A" w14:textId="77777777">
        <w:tc>
          <w:tcPr>
            <w:tcW w:w="1093" w:type="pct"/>
          </w:tcPr>
          <w:p w:rsidRPr="00E85F55" w:rsidR="00E85F55" w:rsidP="00E85F55" w:rsidRDefault="00E85F55" w14:paraId="63FA2D19"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0FA10ABA" w14:textId="77777777">
            <w:pPr>
              <w:tabs>
                <w:tab w:val="center" w:pos="284"/>
              </w:tabs>
              <w:overflowPunct w:val="0"/>
              <w:autoSpaceDE w:val="0"/>
              <w:autoSpaceDN w:val="0"/>
              <w:adjustRightInd w:val="0"/>
              <w:ind w:left="266" w:hanging="266"/>
              <w:textAlignment w:val="baseline"/>
            </w:pPr>
            <w:r>
              <w:t>Christa SCHWENG (Gruppe Arbeitgeber – AT)</w:t>
            </w:r>
          </w:p>
        </w:tc>
      </w:tr>
      <w:tr w:rsidRPr="00E85F55" w:rsidR="00E85F55" w:rsidTr="00863A8F" w14:paraId="09863B83" w14:textId="77777777">
        <w:tc>
          <w:tcPr>
            <w:tcW w:w="1093" w:type="pct"/>
          </w:tcPr>
          <w:p w:rsidRPr="00E85F55" w:rsidR="00E85F55" w:rsidP="00E85F55" w:rsidRDefault="00E85F55" w14:paraId="1DECA4FC"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1A820854" w14:textId="77777777">
            <w:pPr>
              <w:tabs>
                <w:tab w:val="center" w:pos="284"/>
              </w:tabs>
              <w:overflowPunct w:val="0"/>
              <w:autoSpaceDE w:val="0"/>
              <w:autoSpaceDN w:val="0"/>
              <w:adjustRightInd w:val="0"/>
              <w:ind w:left="266" w:hanging="266"/>
              <w:textAlignment w:val="baseline"/>
            </w:pPr>
            <w:r>
              <w:t>Ioannis VARDAKASTANIS (Gruppe Organisationen der Zivilgesellschaft – EL)</w:t>
            </w:r>
          </w:p>
        </w:tc>
      </w:tr>
      <w:tr w:rsidRPr="00E85F55" w:rsidR="00E85F55" w:rsidTr="00863A8F" w14:paraId="5A8ADB6B" w14:textId="77777777">
        <w:tc>
          <w:tcPr>
            <w:tcW w:w="5000" w:type="pct"/>
            <w:gridSpan w:val="2"/>
          </w:tcPr>
          <w:p w:rsidRPr="00E85F55" w:rsidR="00E85F55" w:rsidP="00E85F55" w:rsidRDefault="00E85F55" w14:paraId="7DA5BE84" w14:textId="77777777">
            <w:pPr>
              <w:tabs>
                <w:tab w:val="center" w:pos="284"/>
              </w:tabs>
              <w:overflowPunct w:val="0"/>
              <w:autoSpaceDE w:val="0"/>
              <w:autoSpaceDN w:val="0"/>
              <w:adjustRightInd w:val="0"/>
              <w:spacing w:line="160" w:lineRule="exact"/>
              <w:ind w:left="266" w:hanging="266"/>
              <w:textAlignment w:val="baseline"/>
            </w:pPr>
          </w:p>
        </w:tc>
      </w:tr>
      <w:tr w:rsidRPr="00E85F55" w:rsidR="00E85F55" w:rsidTr="00863A8F" w14:paraId="1EADF646" w14:textId="77777777">
        <w:tc>
          <w:tcPr>
            <w:tcW w:w="1093" w:type="pct"/>
            <w:vMerge w:val="restart"/>
          </w:tcPr>
          <w:p w:rsidRPr="00E85F55" w:rsidR="00E85F55" w:rsidP="00E85F55" w:rsidRDefault="00E85F55" w14:paraId="1C106F51" w14:textId="77777777">
            <w:pPr>
              <w:tabs>
                <w:tab w:val="center" w:pos="284"/>
              </w:tabs>
              <w:overflowPunct w:val="0"/>
              <w:autoSpaceDE w:val="0"/>
              <w:autoSpaceDN w:val="0"/>
              <w:adjustRightInd w:val="0"/>
              <w:ind w:left="266" w:hanging="266"/>
              <w:textAlignment w:val="baseline"/>
              <w:rPr>
                <w:b/>
              </w:rPr>
            </w:pPr>
            <w:r>
              <w:rPr>
                <w:b/>
              </w:rPr>
              <w:t>Referenzdokument</w:t>
            </w:r>
          </w:p>
        </w:tc>
        <w:tc>
          <w:tcPr>
            <w:tcW w:w="3907" w:type="pct"/>
          </w:tcPr>
          <w:p w:rsidRPr="00E85F55" w:rsidR="00E85F55" w:rsidP="00E85F55" w:rsidRDefault="00E85F55" w14:paraId="3D8B28EE" w14:textId="77777777">
            <w:pPr>
              <w:tabs>
                <w:tab w:val="center" w:pos="284"/>
              </w:tabs>
              <w:overflowPunct w:val="0"/>
              <w:autoSpaceDE w:val="0"/>
              <w:autoSpaceDN w:val="0"/>
              <w:adjustRightInd w:val="0"/>
              <w:ind w:left="266" w:hanging="266"/>
              <w:textAlignment w:val="baseline"/>
            </w:pPr>
            <w:r>
              <w:t>EESC-2024-03700-00-00-RES</w:t>
            </w:r>
          </w:p>
        </w:tc>
      </w:tr>
      <w:tr w:rsidRPr="00E85F55" w:rsidR="00E85F55" w:rsidTr="00863A8F" w14:paraId="5F02857D" w14:textId="77777777">
        <w:tc>
          <w:tcPr>
            <w:tcW w:w="1093" w:type="pct"/>
            <w:vMerge/>
          </w:tcPr>
          <w:p w:rsidRPr="00E85F55" w:rsidR="00E85F55" w:rsidP="00E85F55" w:rsidRDefault="00E85F55" w14:paraId="12CD9DAB"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75267279" w14:textId="77777777">
            <w:pPr>
              <w:tabs>
                <w:tab w:val="center" w:pos="284"/>
              </w:tabs>
              <w:overflowPunct w:val="0"/>
              <w:autoSpaceDE w:val="0"/>
              <w:autoSpaceDN w:val="0"/>
              <w:adjustRightInd w:val="0"/>
              <w:ind w:left="266" w:hanging="266"/>
              <w:textAlignment w:val="baseline"/>
            </w:pPr>
          </w:p>
        </w:tc>
      </w:tr>
    </w:tbl>
    <w:p w:rsidRPr="00E85F55" w:rsidR="00E85F55" w:rsidP="00E85F55" w:rsidRDefault="00E85F55" w14:paraId="7EC7FE39"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E85F55" w:rsidR="00E85F55" w:rsidP="00E85F55" w:rsidRDefault="00E85F55" w14:paraId="5970CD89" w14:textId="77777777">
      <w:pPr>
        <w:keepNext/>
        <w:keepLines/>
        <w:tabs>
          <w:tab w:val="center" w:pos="284"/>
        </w:tabs>
        <w:overflowPunct w:val="0"/>
        <w:autoSpaceDE w:val="0"/>
        <w:autoSpaceDN w:val="0"/>
        <w:adjustRightInd w:val="0"/>
        <w:ind w:left="266" w:hanging="266"/>
        <w:textAlignment w:val="baseline"/>
        <w:rPr>
          <w:b/>
          <w:lang w:val="en-GB"/>
        </w:rPr>
      </w:pPr>
    </w:p>
    <w:p w:rsidR="00E85F55" w:rsidP="00E85F55" w:rsidRDefault="00E85F55" w14:paraId="5789F249" w14:textId="77777777">
      <w:pPr>
        <w:overflowPunct w:val="0"/>
        <w:autoSpaceDE w:val="0"/>
        <w:autoSpaceDN w:val="0"/>
        <w:adjustRightInd w:val="0"/>
        <w:textAlignment w:val="baseline"/>
        <w:rPr>
          <w:bCs/>
          <w:iCs/>
        </w:rPr>
      </w:pPr>
      <w:r>
        <w:t>Der EWSA</w:t>
      </w:r>
    </w:p>
    <w:p w:rsidRPr="00E85F55" w:rsidR="007224BE" w:rsidP="00111DFA" w:rsidRDefault="007224BE" w14:paraId="312AE980" w14:textId="77777777">
      <w:pPr>
        <w:overflowPunct w:val="0"/>
        <w:autoSpaceDE w:val="0"/>
        <w:autoSpaceDN w:val="0"/>
        <w:adjustRightInd w:val="0"/>
        <w:ind w:right="283"/>
        <w:textAlignment w:val="baseline"/>
        <w:rPr>
          <w:bCs/>
          <w:iCs/>
          <w:lang w:val="en-GB"/>
        </w:rPr>
      </w:pPr>
    </w:p>
    <w:p w:rsidRPr="00E85F55" w:rsidR="00E85F55" w:rsidP="00111DFA" w:rsidRDefault="00E85F55" w14:paraId="1CC512CF" w14:textId="5C8F8F43">
      <w:pPr>
        <w:widowControl w:val="0"/>
        <w:numPr>
          <w:ilvl w:val="0"/>
          <w:numId w:val="15"/>
        </w:numPr>
        <w:overflowPunct w:val="0"/>
        <w:autoSpaceDE w:val="0"/>
        <w:autoSpaceDN w:val="0"/>
        <w:adjustRightInd w:val="0"/>
        <w:ind w:left="709" w:right="283" w:hanging="425"/>
        <w:textAlignment w:val="baseline"/>
        <w:rPr>
          <w:bCs/>
          <w:iCs/>
        </w:rPr>
      </w:pPr>
      <w:r>
        <w:t>ruft angesichts neuer geopolitischer und zunehmend komplexer Herausforderungen die EU</w:t>
      </w:r>
      <w:r w:rsidR="00111DFA">
        <w:noBreakHyphen/>
      </w:r>
      <w:r>
        <w:t>Organe auf, im Sinne des Draghi-Berichts entschieden zu handeln, um die langfristige und nachhaltige Wettbewerbsfähigkeit, den Wohlstand für alle und die Führungsrolle der EU auf der Weltbühne sicherzustellen. Deshalb ist es unerlässlich, alle Strategien auszubauen, die der Steigerung der Produktivität und Wettbewerbsfähigkeit der EU förderlich sind. Dabei müssen die zwingend notwendigen wirtschaftlichen Investitionen mit den gemeinsamen sozialen und ökologischen Zielen in Einklang gebracht und die soziale Marktwirtschaft und das Wohlergehen der künftigen Generation gefördert werden. Außerdem muss eine solide EU</w:t>
      </w:r>
      <w:r w:rsidR="00111DFA">
        <w:noBreakHyphen/>
      </w:r>
      <w:r>
        <w:t>Industriestrategie (Clean Deal für die Industrie) umgesetzt und massiv investiert werden, um die Wirtschaft so umzugestalten, dass die Integrität des Binnenmarkts gewahrt bleibt und Wachstums-, Produktivitäts- und Innovationslücken zwischen der EU und ihren internationalen Partnern und den wichtigsten Wettbewerbern geschlossen werden;</w:t>
      </w:r>
    </w:p>
    <w:p w:rsidRPr="00E85F55" w:rsidR="00E85F55" w:rsidP="00111DFA" w:rsidRDefault="00E85F55" w14:paraId="4F6F60B8" w14:textId="38C60121">
      <w:pPr>
        <w:widowControl w:val="0"/>
        <w:numPr>
          <w:ilvl w:val="0"/>
          <w:numId w:val="15"/>
        </w:numPr>
        <w:overflowPunct w:val="0"/>
        <w:autoSpaceDE w:val="0"/>
        <w:autoSpaceDN w:val="0"/>
        <w:adjustRightInd w:val="0"/>
        <w:ind w:left="709" w:right="283" w:hanging="425"/>
        <w:textAlignment w:val="baseline"/>
        <w:rPr>
          <w:bCs/>
          <w:iCs/>
        </w:rPr>
      </w:pPr>
      <w:r>
        <w:t>stellt fest, dass Verwaltungsaufwand und Befolgungskosten gesenkt werden müssen, was jedoch auf transparente und inklusive Weise, ohne Beeinträchtigung der Ziele der Legislativmaßnahmen und unter Wahrung der geltenden hohen Standards, vor allem im Bereich gesellschaftliches Wohlergehen und Umweltschutz, erfolgen sollte. In Bezug auf KMU gilt es, den Grundsatz „Vorfahrt für KMU“ zu verwirklichen und dazu einen stabilen Rechtsrahmen zu schaffen, die Verwaltungsverfahren zu straffen und zu verschlanken, gleiche Wettbewerbsbedingungen im Binnenmarkt zu gewährleisten und KMU Zugang zu erneuerbaren Energien zu erschwinglichen Preisen zu gewähren;</w:t>
      </w:r>
    </w:p>
    <w:p w:rsidRPr="00E85F55" w:rsidR="00E85F55" w:rsidP="00111DFA" w:rsidRDefault="00E85F55" w14:paraId="7EDE64A8" w14:textId="1F262169">
      <w:pPr>
        <w:widowControl w:val="0"/>
        <w:numPr>
          <w:ilvl w:val="0"/>
          <w:numId w:val="15"/>
        </w:numPr>
        <w:overflowPunct w:val="0"/>
        <w:autoSpaceDE w:val="0"/>
        <w:autoSpaceDN w:val="0"/>
        <w:adjustRightInd w:val="0"/>
        <w:ind w:left="709" w:right="283" w:hanging="425"/>
        <w:textAlignment w:val="baseline"/>
        <w:rPr>
          <w:bCs/>
          <w:iCs/>
        </w:rPr>
      </w:pPr>
      <w:r>
        <w:t xml:space="preserve">begrüßt den Vorschlag, den neuen Aktionsplan zur Umsetzung der europäischen Säule sozialer Rechte umzusetzen. Es bedarf eines pluralistischen Ansatzes, um bestehende beschäftigungs- und sozialpolitische Initiativen zusammen mit ihrer finanziellen Unterstützung umzusetzen, durchzusetzen und zu überwachen und die beschäftigungs- und sozialpolitischen Herausforderungen mit neuen legislativen und nichtlegislativen Maßnahmen anzugehen. Außerdem muss eine starke Kohäsionspolitik unterstützt werden, um Ungleichheiten zu nivellieren; </w:t>
      </w:r>
    </w:p>
    <w:p w:rsidRPr="00E85F55" w:rsidR="00E85F55" w:rsidP="00111DFA" w:rsidRDefault="00E85F55" w14:paraId="34C87DDD" w14:textId="77777777">
      <w:pPr>
        <w:widowControl w:val="0"/>
        <w:numPr>
          <w:ilvl w:val="0"/>
          <w:numId w:val="15"/>
        </w:numPr>
        <w:overflowPunct w:val="0"/>
        <w:autoSpaceDE w:val="0"/>
        <w:autoSpaceDN w:val="0"/>
        <w:adjustRightInd w:val="0"/>
        <w:ind w:left="709" w:right="283" w:hanging="425"/>
        <w:textAlignment w:val="baseline"/>
        <w:rPr>
          <w:bCs/>
          <w:iCs/>
        </w:rPr>
      </w:pPr>
      <w:r>
        <w:t>ruft dazu auf, soziale Investitionen im Rahmen des Europäischen Semesters gemäß dem neuen Rahmen für soziale Konvergenz zu überwachen, der als Instrument vereinbart wurde, um Fortschritte zu verfolgen und sicherzustellen, dass die Sozialpolitik im Rahmen der europäischen Säule sozialer Rechte angemessen umgesetzt und finanziert wird;</w:t>
      </w:r>
    </w:p>
    <w:p w:rsidRPr="00E85F55" w:rsidR="00E85F55" w:rsidP="00111DFA" w:rsidRDefault="00E85F55" w14:paraId="0A915271" w14:textId="14DC8B7E">
      <w:pPr>
        <w:widowControl w:val="0"/>
        <w:numPr>
          <w:ilvl w:val="0"/>
          <w:numId w:val="15"/>
        </w:numPr>
        <w:overflowPunct w:val="0"/>
        <w:autoSpaceDE w:val="0"/>
        <w:autoSpaceDN w:val="0"/>
        <w:adjustRightInd w:val="0"/>
        <w:ind w:left="709" w:right="283" w:hanging="425"/>
        <w:textAlignment w:val="baseline"/>
        <w:rPr>
          <w:bCs/>
          <w:iCs/>
        </w:rPr>
      </w:pPr>
      <w:r>
        <w:t>betont, dass der soziale Dialog auf allen Ebenen eine Schlüsselrolle bei der Steigerung von Wachstum, Produktivität, Beschäftigung und Wettbewerbsfähigkeit europäischer Unternehmen auf dem Weltmarkt spielen kann;</w:t>
      </w:r>
    </w:p>
    <w:p w:rsidRPr="00E85F55" w:rsidR="00E85F55" w:rsidP="00111DFA" w:rsidRDefault="00E85F55" w14:paraId="041473A6" w14:textId="28443C1C">
      <w:pPr>
        <w:widowControl w:val="0"/>
        <w:numPr>
          <w:ilvl w:val="0"/>
          <w:numId w:val="15"/>
        </w:numPr>
        <w:overflowPunct w:val="0"/>
        <w:autoSpaceDE w:val="0"/>
        <w:autoSpaceDN w:val="0"/>
        <w:adjustRightInd w:val="0"/>
        <w:ind w:left="709" w:right="283" w:hanging="425"/>
        <w:textAlignment w:val="baseline"/>
        <w:rPr>
          <w:bCs/>
          <w:iCs/>
        </w:rPr>
      </w:pPr>
      <w:r>
        <w:t>fordert die Organe der EU auf, die Bedeutung der Zivilgesellschaft als wichtiger Akteur bei der Gestaltung und Umsetzung von EU-Strategien für nachhaltiges Wachstum, die Verteidigung der Demokratie und soziale Gerechtigkeit, einschließlich des gerechten Übergangs, anzuerkennen; fordert die Organe der EU ferner auf, eine Strategie für die Zivilgesellschaft mit einem klaren Aktionsplan zu entwickeln;</w:t>
      </w:r>
    </w:p>
    <w:p w:rsidRPr="00E85F55" w:rsidR="00E85F55" w:rsidP="00111DFA" w:rsidRDefault="00E85F55" w14:paraId="1FA55C6E" w14:textId="77777777">
      <w:pPr>
        <w:widowControl w:val="0"/>
        <w:numPr>
          <w:ilvl w:val="0"/>
          <w:numId w:val="15"/>
        </w:numPr>
        <w:overflowPunct w:val="0"/>
        <w:autoSpaceDE w:val="0"/>
        <w:autoSpaceDN w:val="0"/>
        <w:adjustRightInd w:val="0"/>
        <w:ind w:left="709" w:right="283" w:hanging="425"/>
        <w:textAlignment w:val="baseline"/>
        <w:rPr>
          <w:bCs/>
          <w:iCs/>
        </w:rPr>
      </w:pPr>
      <w:r>
        <w:t>betont, dass der Kohäsionsfonds nach wie vor von entscheidender Bedeutung für die wirtschaftliche und soziale Aufwärtskonvergenz ist und daher ein ganzheitlicher, koordinierter und integrierter politischer Ansatz auf EU-Ebene von entscheidender Bedeutung ist. Die Kohäsionspolitik sollte durch eine eigene Generaldirektion Kohäsion unterstützt werden und ihren durch eine Multi-Level-Governance geprägten Charakter wahren.</w:t>
      </w:r>
    </w:p>
    <w:p w:rsidRPr="00E85F55" w:rsidR="00E85F55" w:rsidP="00E85F55" w:rsidRDefault="00E85F55" w14:paraId="25D7B97C" w14:textId="77777777">
      <w:pPr>
        <w:widowControl w:val="0"/>
        <w:overflowPunct w:val="0"/>
        <w:autoSpaceDE w:val="0"/>
        <w:autoSpaceDN w:val="0"/>
        <w:adjustRightInd w:val="0"/>
        <w:ind w:left="709"/>
        <w:textAlignment w:val="baseline"/>
        <w:rPr>
          <w:szCs w:val="20"/>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E85F55" w:rsidR="00E85F55" w:rsidTr="00863A8F" w14:paraId="0CAC661A" w14:textId="77777777">
        <w:tc>
          <w:tcPr>
            <w:tcW w:w="1556" w:type="pct"/>
          </w:tcPr>
          <w:p w:rsidRPr="00E85F55" w:rsidR="00E85F55" w:rsidP="00E85F55" w:rsidRDefault="00E85F55" w14:paraId="5FF3957F" w14:textId="6BE02C26">
            <w:pPr>
              <w:overflowPunct w:val="0"/>
              <w:autoSpaceDE w:val="0"/>
              <w:autoSpaceDN w:val="0"/>
              <w:adjustRightInd w:val="0"/>
              <w:spacing w:line="240" w:lineRule="auto"/>
              <w:textAlignment w:val="baseline"/>
              <w:rPr>
                <w:i/>
              </w:rPr>
            </w:pPr>
            <w:r>
              <w:rPr>
                <w:b/>
                <w:i/>
              </w:rPr>
              <w:t xml:space="preserve">Kontakte </w:t>
            </w:r>
          </w:p>
        </w:tc>
        <w:tc>
          <w:tcPr>
            <w:tcW w:w="3444" w:type="pct"/>
          </w:tcPr>
          <w:p w:rsidRPr="00E85F55" w:rsidR="00E85F55" w:rsidP="00E85F55" w:rsidRDefault="00E85F55" w14:paraId="1EBB25F8" w14:textId="2B4ECE49">
            <w:pPr>
              <w:overflowPunct w:val="0"/>
              <w:autoSpaceDE w:val="0"/>
              <w:autoSpaceDN w:val="0"/>
              <w:adjustRightInd w:val="0"/>
              <w:spacing w:line="240" w:lineRule="auto"/>
              <w:textAlignment w:val="baseline"/>
              <w:rPr>
                <w:i/>
              </w:rPr>
            </w:pPr>
            <w:r>
              <w:rPr>
                <w:i/>
              </w:rPr>
              <w:t>Anna Hakami</w:t>
            </w:r>
          </w:p>
        </w:tc>
      </w:tr>
      <w:tr w:rsidRPr="00E85F55" w:rsidR="00E85F55" w:rsidTr="00863A8F" w14:paraId="58DD341F" w14:textId="77777777">
        <w:tc>
          <w:tcPr>
            <w:tcW w:w="1556" w:type="pct"/>
          </w:tcPr>
          <w:p w:rsidRPr="00E85F55" w:rsidR="00E85F55" w:rsidP="00E85F55" w:rsidRDefault="00E85F55" w14:paraId="4CD5A01A" w14:textId="77777777">
            <w:pPr>
              <w:overflowPunct w:val="0"/>
              <w:autoSpaceDE w:val="0"/>
              <w:autoSpaceDN w:val="0"/>
              <w:adjustRightInd w:val="0"/>
              <w:spacing w:line="240" w:lineRule="auto"/>
              <w:textAlignment w:val="baseline"/>
              <w:rPr>
                <w:i/>
              </w:rPr>
            </w:pPr>
            <w:r>
              <w:rPr>
                <w:i/>
              </w:rPr>
              <w:t>Tel.</w:t>
            </w:r>
          </w:p>
        </w:tc>
        <w:tc>
          <w:tcPr>
            <w:tcW w:w="3444" w:type="pct"/>
          </w:tcPr>
          <w:p w:rsidRPr="00E85F55" w:rsidR="00E85F55" w:rsidP="00E85F55" w:rsidRDefault="00E85F55" w14:paraId="3A6BE92D" w14:textId="77777777">
            <w:pPr>
              <w:overflowPunct w:val="0"/>
              <w:autoSpaceDE w:val="0"/>
              <w:autoSpaceDN w:val="0"/>
              <w:adjustRightInd w:val="0"/>
              <w:spacing w:line="240" w:lineRule="auto"/>
              <w:textAlignment w:val="baseline"/>
              <w:rPr>
                <w:i/>
              </w:rPr>
            </w:pPr>
            <w:r>
              <w:rPr>
                <w:i/>
              </w:rPr>
              <w:t>+32 25468674</w:t>
            </w:r>
          </w:p>
        </w:tc>
      </w:tr>
      <w:tr w:rsidRPr="00E85F55" w:rsidR="00E85F55" w:rsidTr="00863A8F" w14:paraId="09CB0502" w14:textId="77777777">
        <w:tc>
          <w:tcPr>
            <w:tcW w:w="1556" w:type="pct"/>
          </w:tcPr>
          <w:p w:rsidRPr="00E85F55" w:rsidR="00E85F55" w:rsidP="00E85F55" w:rsidRDefault="00E85F55" w14:paraId="39255BC2" w14:textId="77777777">
            <w:pPr>
              <w:overflowPunct w:val="0"/>
              <w:autoSpaceDE w:val="0"/>
              <w:autoSpaceDN w:val="0"/>
              <w:adjustRightInd w:val="0"/>
              <w:spacing w:line="240" w:lineRule="auto"/>
              <w:textAlignment w:val="baseline"/>
              <w:rPr>
                <w:i/>
              </w:rPr>
            </w:pPr>
            <w:r>
              <w:rPr>
                <w:i/>
              </w:rPr>
              <w:t>E-Mail</w:t>
            </w:r>
          </w:p>
        </w:tc>
        <w:tc>
          <w:tcPr>
            <w:tcW w:w="3444" w:type="pct"/>
          </w:tcPr>
          <w:p w:rsidR="00E85F55" w:rsidP="00E85F55" w:rsidRDefault="005204CC" w14:paraId="3F9F1C28" w14:textId="77777777">
            <w:pPr>
              <w:overflowPunct w:val="0"/>
              <w:autoSpaceDE w:val="0"/>
              <w:autoSpaceDN w:val="0"/>
              <w:adjustRightInd w:val="0"/>
              <w:spacing w:line="240" w:lineRule="auto"/>
              <w:textAlignment w:val="baseline"/>
              <w:rPr>
                <w:i/>
              </w:rPr>
            </w:pPr>
            <w:hyperlink w:history="1" r:id="rId21">
              <w:r w:rsidR="009B458F">
                <w:rPr>
                  <w:i/>
                  <w:color w:val="0000FF"/>
                  <w:u w:val="single"/>
                </w:rPr>
                <w:t>Anna.Hakami@eesc.europa.eu</w:t>
              </w:r>
            </w:hyperlink>
            <w:r w:rsidR="009B458F">
              <w:rPr>
                <w:i/>
              </w:rPr>
              <w:t xml:space="preserve"> </w:t>
            </w:r>
          </w:p>
          <w:p w:rsidRPr="00E85F55" w:rsidR="007224BE" w:rsidP="00E85F55" w:rsidRDefault="007224BE" w14:paraId="693DFACA" w14:textId="77777777">
            <w:pPr>
              <w:overflowPunct w:val="0"/>
              <w:autoSpaceDE w:val="0"/>
              <w:autoSpaceDN w:val="0"/>
              <w:adjustRightInd w:val="0"/>
              <w:spacing w:line="240" w:lineRule="auto"/>
              <w:textAlignment w:val="baseline"/>
              <w:rPr>
                <w:i/>
              </w:rPr>
            </w:pPr>
          </w:p>
        </w:tc>
      </w:tr>
      <w:tr w:rsidRPr="00E85F55" w:rsidR="00E85F55" w:rsidTr="00863A8F" w14:paraId="78462F3E" w14:textId="77777777">
        <w:tc>
          <w:tcPr>
            <w:tcW w:w="1556" w:type="pct"/>
          </w:tcPr>
          <w:p w:rsidRPr="00E85F55" w:rsidR="00E85F55" w:rsidP="00E85F55" w:rsidRDefault="00E85F55" w14:paraId="4C8BC73D" w14:textId="120AA3AC">
            <w:pPr>
              <w:overflowPunct w:val="0"/>
              <w:autoSpaceDE w:val="0"/>
              <w:autoSpaceDN w:val="0"/>
              <w:adjustRightInd w:val="0"/>
              <w:spacing w:line="240" w:lineRule="auto"/>
              <w:textAlignment w:val="baseline"/>
              <w:rPr>
                <w:i/>
              </w:rPr>
            </w:pPr>
          </w:p>
        </w:tc>
        <w:tc>
          <w:tcPr>
            <w:tcW w:w="3444" w:type="pct"/>
          </w:tcPr>
          <w:p w:rsidRPr="00E85F55" w:rsidR="00E85F55" w:rsidP="00E85F55" w:rsidRDefault="00E85F55" w14:paraId="29673AC4" w14:textId="07E97004">
            <w:pPr>
              <w:overflowPunct w:val="0"/>
              <w:autoSpaceDE w:val="0"/>
              <w:autoSpaceDN w:val="0"/>
              <w:adjustRightInd w:val="0"/>
              <w:spacing w:line="240" w:lineRule="auto"/>
              <w:textAlignment w:val="baseline"/>
              <w:rPr>
                <w:i/>
              </w:rPr>
            </w:pPr>
            <w:r>
              <w:rPr>
                <w:i/>
              </w:rPr>
              <w:t>Eniko Greff</w:t>
            </w:r>
          </w:p>
        </w:tc>
      </w:tr>
      <w:tr w:rsidRPr="00E85F55" w:rsidR="00E85F55" w:rsidTr="00863A8F" w14:paraId="30A8EF76" w14:textId="77777777">
        <w:tc>
          <w:tcPr>
            <w:tcW w:w="1556" w:type="pct"/>
          </w:tcPr>
          <w:p w:rsidRPr="00E85F55" w:rsidR="00E85F55" w:rsidP="00E85F55" w:rsidRDefault="00E85F55" w14:paraId="378F46A6" w14:textId="77777777">
            <w:pPr>
              <w:overflowPunct w:val="0"/>
              <w:autoSpaceDE w:val="0"/>
              <w:autoSpaceDN w:val="0"/>
              <w:adjustRightInd w:val="0"/>
              <w:spacing w:line="240" w:lineRule="auto"/>
              <w:textAlignment w:val="baseline"/>
              <w:rPr>
                <w:i/>
              </w:rPr>
            </w:pPr>
            <w:r>
              <w:rPr>
                <w:i/>
              </w:rPr>
              <w:t>Tel.</w:t>
            </w:r>
          </w:p>
        </w:tc>
        <w:tc>
          <w:tcPr>
            <w:tcW w:w="3444" w:type="pct"/>
          </w:tcPr>
          <w:p w:rsidRPr="00E85F55" w:rsidR="00E85F55" w:rsidP="00E85F55" w:rsidRDefault="00E85F55" w14:paraId="0E962227" w14:textId="77777777">
            <w:pPr>
              <w:overflowPunct w:val="0"/>
              <w:autoSpaceDE w:val="0"/>
              <w:autoSpaceDN w:val="0"/>
              <w:adjustRightInd w:val="0"/>
              <w:spacing w:line="240" w:lineRule="auto"/>
              <w:textAlignment w:val="baseline"/>
              <w:rPr>
                <w:i/>
              </w:rPr>
            </w:pPr>
            <w:r>
              <w:rPr>
                <w:i/>
              </w:rPr>
              <w:t>+32 25468792</w:t>
            </w:r>
          </w:p>
        </w:tc>
      </w:tr>
      <w:tr w:rsidRPr="00E85F55" w:rsidR="00E85F55" w:rsidTr="00863A8F" w14:paraId="6FEEAA62" w14:textId="77777777">
        <w:tc>
          <w:tcPr>
            <w:tcW w:w="1556" w:type="pct"/>
          </w:tcPr>
          <w:p w:rsidRPr="00E85F55" w:rsidR="00E85F55" w:rsidP="00E85F55" w:rsidRDefault="00E85F55" w14:paraId="5BF74BAC" w14:textId="77777777">
            <w:pPr>
              <w:overflowPunct w:val="0"/>
              <w:autoSpaceDE w:val="0"/>
              <w:autoSpaceDN w:val="0"/>
              <w:adjustRightInd w:val="0"/>
              <w:spacing w:line="240" w:lineRule="auto"/>
              <w:textAlignment w:val="baseline"/>
              <w:rPr>
                <w:i/>
              </w:rPr>
            </w:pPr>
            <w:r>
              <w:rPr>
                <w:i/>
              </w:rPr>
              <w:t>E-Mail</w:t>
            </w:r>
          </w:p>
        </w:tc>
        <w:tc>
          <w:tcPr>
            <w:tcW w:w="3444" w:type="pct"/>
          </w:tcPr>
          <w:p w:rsidRPr="00E85F55" w:rsidR="00E85F55" w:rsidP="00E85F55" w:rsidRDefault="005204CC" w14:paraId="391EDC1A" w14:textId="77777777">
            <w:pPr>
              <w:overflowPunct w:val="0"/>
              <w:autoSpaceDE w:val="0"/>
              <w:autoSpaceDN w:val="0"/>
              <w:adjustRightInd w:val="0"/>
              <w:spacing w:line="240" w:lineRule="auto"/>
              <w:textAlignment w:val="baseline"/>
              <w:rPr>
                <w:i/>
              </w:rPr>
            </w:pPr>
            <w:hyperlink w:history="1" r:id="rId22">
              <w:r w:rsidR="009B458F">
                <w:rPr>
                  <w:i/>
                  <w:color w:val="0000FF"/>
                  <w:u w:val="single"/>
                </w:rPr>
                <w:t>Eniko.Greff@eesc.europa.eu</w:t>
              </w:r>
            </w:hyperlink>
            <w:r w:rsidR="009B458F">
              <w:rPr>
                <w:i/>
              </w:rPr>
              <w:t xml:space="preserve"> </w:t>
            </w:r>
          </w:p>
        </w:tc>
      </w:tr>
    </w:tbl>
    <w:p w:rsidR="002673F7" w:rsidRDefault="002673F7" w14:paraId="05E09868" w14:textId="51A666BF">
      <w:pPr>
        <w:spacing w:after="160" w:line="259" w:lineRule="auto"/>
        <w:jc w:val="left"/>
      </w:pPr>
      <w:r>
        <w:br w:type="page"/>
      </w:r>
    </w:p>
    <w:p w:rsidR="004D7AC0" w:rsidP="006D6D4E" w:rsidRDefault="004D7AC0" w14:paraId="4982DD6D" w14:textId="5F7524E1">
      <w:pPr>
        <w:pStyle w:val="Heading1"/>
        <w:keepNext/>
        <w:keepLines/>
        <w:rPr>
          <w:b/>
        </w:rPr>
      </w:pPr>
      <w:bookmarkStart w:name="_Toc184973434" w:id="1"/>
      <w:r>
        <w:rPr>
          <w:b/>
        </w:rPr>
        <w:t>WIRTSCHAFTS- UND WÄHRUNGSUNION, WIRTSCHAFTLICHER UND SOZIALER ZUSAMMENHALT</w:t>
      </w:r>
      <w:bookmarkEnd w:id="1"/>
    </w:p>
    <w:p w:rsidR="00F52D24" w:rsidP="006D6D4E" w:rsidRDefault="00F52D24" w14:paraId="1D43B004" w14:textId="77777777">
      <w:pPr>
        <w:keepNext/>
        <w:keepLines/>
      </w:pPr>
    </w:p>
    <w:p w:rsidRPr="00643D0B" w:rsidR="009C5B03" w:rsidP="009C5B03" w:rsidRDefault="005204CC" w14:paraId="01A0641A" w14:textId="331D5F8D">
      <w:pPr>
        <w:widowControl w:val="0"/>
        <w:numPr>
          <w:ilvl w:val="0"/>
          <w:numId w:val="5"/>
        </w:numPr>
        <w:overflowPunct w:val="0"/>
        <w:autoSpaceDE w:val="0"/>
        <w:autoSpaceDN w:val="0"/>
        <w:adjustRightInd w:val="0"/>
        <w:spacing w:after="200" w:line="240" w:lineRule="auto"/>
        <w:ind w:left="567" w:hanging="567"/>
        <w:contextualSpacing/>
        <w:jc w:val="left"/>
        <w:textAlignment w:val="baseline"/>
        <w:rPr>
          <w:rFonts w:ascii="Calibri" w:hAnsi="Calibri"/>
          <w:b/>
          <w:bCs/>
          <w:i/>
          <w:iCs/>
          <w:sz w:val="28"/>
          <w:szCs w:val="28"/>
        </w:rPr>
      </w:pPr>
      <w:hyperlink w:history="1" r:id="rId23">
        <w:r w:rsidR="009C5B03">
          <w:rPr>
            <w:b/>
            <w:i/>
            <w:color w:val="0000FF"/>
            <w:sz w:val="28"/>
            <w:u w:val="single"/>
          </w:rPr>
          <w:t>Regionale Soforthilfe – RESTORE</w:t>
        </w:r>
      </w:hyperlink>
    </w:p>
    <w:p w:rsidRPr="009C5B03" w:rsidR="00F50E3E" w:rsidP="00643D0B" w:rsidRDefault="00F50E3E" w14:paraId="7685E971" w14:textId="77777777">
      <w:pPr>
        <w:widowControl w:val="0"/>
        <w:overflowPunct w:val="0"/>
        <w:autoSpaceDE w:val="0"/>
        <w:autoSpaceDN w:val="0"/>
        <w:adjustRightInd w:val="0"/>
        <w:spacing w:after="200" w:line="240" w:lineRule="auto"/>
        <w:ind w:left="360"/>
        <w:contextualSpacing/>
        <w:jc w:val="left"/>
        <w:textAlignment w:val="baseline"/>
        <w:rPr>
          <w:rFonts w:ascii="Calibri" w:hAnsi="Calibri"/>
          <w:b/>
          <w:bCs/>
          <w:i/>
          <w:iCs/>
          <w:sz w:val="28"/>
          <w:szCs w:val="28"/>
          <w:lang w:val="en-GB" w:eastAsia="zh-CN"/>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9C5B03" w:rsidR="009C5B03" w:rsidTr="00863A8F" w14:paraId="50C784B1" w14:textId="77777777">
        <w:tc>
          <w:tcPr>
            <w:tcW w:w="2127" w:type="dxa"/>
          </w:tcPr>
          <w:p w:rsidRPr="009C5B03" w:rsidR="009C5B03" w:rsidP="009C5B03" w:rsidRDefault="009C5B03" w14:paraId="012CF731" w14:textId="78C3D6A4">
            <w:pPr>
              <w:overflowPunct w:val="0"/>
              <w:autoSpaceDE w:val="0"/>
              <w:autoSpaceDN w:val="0"/>
              <w:adjustRightInd w:val="0"/>
              <w:ind w:left="176" w:hanging="284"/>
              <w:textAlignment w:val="baseline"/>
              <w:rPr>
                <w:b/>
              </w:rPr>
            </w:pPr>
            <w:r>
              <w:rPr>
                <w:b/>
              </w:rPr>
              <w:t>Hauptberichterstatter</w:t>
            </w:r>
          </w:p>
        </w:tc>
        <w:tc>
          <w:tcPr>
            <w:tcW w:w="6662" w:type="dxa"/>
          </w:tcPr>
          <w:p w:rsidRPr="009C5B03" w:rsidR="009C5B03" w:rsidP="009C5B03" w:rsidRDefault="009C5B03" w14:paraId="3513B9B1" w14:textId="0C0E4E43">
            <w:pPr>
              <w:tabs>
                <w:tab w:val="center" w:pos="284"/>
              </w:tabs>
              <w:overflowPunct w:val="0"/>
              <w:autoSpaceDE w:val="0"/>
              <w:autoSpaceDN w:val="0"/>
              <w:adjustRightInd w:val="0"/>
              <w:textAlignment w:val="baseline"/>
            </w:pPr>
            <w:r>
              <w:t>Ioannis VARDAKASTANIS (Gruppe Organisationen der Zivilgesellschaft – EL)</w:t>
            </w:r>
          </w:p>
        </w:tc>
      </w:tr>
      <w:tr w:rsidRPr="009C5B03" w:rsidR="009C5B03" w:rsidTr="00863A8F" w14:paraId="04ADF6CF" w14:textId="77777777">
        <w:tc>
          <w:tcPr>
            <w:tcW w:w="8789" w:type="dxa"/>
            <w:gridSpan w:val="2"/>
          </w:tcPr>
          <w:p w:rsidRPr="009C5B03" w:rsidR="009C5B03" w:rsidP="009C5B03" w:rsidRDefault="009C5B03" w14:paraId="113A4D2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9C5B03" w:rsidR="009C5B03" w:rsidTr="00863A8F" w14:paraId="05F46EE6" w14:textId="77777777">
        <w:tc>
          <w:tcPr>
            <w:tcW w:w="2127" w:type="dxa"/>
          </w:tcPr>
          <w:p w:rsidRPr="009C5B03" w:rsidR="009C5B03" w:rsidP="009C5B03" w:rsidRDefault="009C5B03" w14:paraId="20E2146E" w14:textId="77777777">
            <w:pPr>
              <w:tabs>
                <w:tab w:val="center" w:pos="284"/>
              </w:tabs>
              <w:overflowPunct w:val="0"/>
              <w:autoSpaceDE w:val="0"/>
              <w:autoSpaceDN w:val="0"/>
              <w:adjustRightInd w:val="0"/>
              <w:ind w:left="266" w:hanging="374"/>
              <w:textAlignment w:val="baseline"/>
              <w:rPr>
                <w:b/>
              </w:rPr>
            </w:pPr>
            <w:r>
              <w:rPr>
                <w:b/>
              </w:rPr>
              <w:t>Referenzdokumente</w:t>
            </w:r>
          </w:p>
        </w:tc>
        <w:tc>
          <w:tcPr>
            <w:tcW w:w="6662" w:type="dxa"/>
          </w:tcPr>
          <w:p w:rsidRPr="009C5B03" w:rsidR="009C5B03" w:rsidP="009C5B03" w:rsidRDefault="009C5B03" w14:paraId="1C368067" w14:textId="77777777">
            <w:pPr>
              <w:tabs>
                <w:tab w:val="center" w:pos="284"/>
              </w:tabs>
              <w:overflowPunct w:val="0"/>
              <w:autoSpaceDE w:val="0"/>
              <w:autoSpaceDN w:val="0"/>
              <w:adjustRightInd w:val="0"/>
              <w:textAlignment w:val="baseline"/>
            </w:pPr>
            <w:r>
              <w:t>COM(2024) 496 final</w:t>
            </w:r>
          </w:p>
          <w:p w:rsidRPr="009C5B03" w:rsidR="009C5B03" w:rsidP="009C5B03" w:rsidRDefault="009C5B03" w14:paraId="71E8AAFC" w14:textId="77777777">
            <w:pPr>
              <w:tabs>
                <w:tab w:val="center" w:pos="284"/>
              </w:tabs>
              <w:overflowPunct w:val="0"/>
              <w:autoSpaceDE w:val="0"/>
              <w:autoSpaceDN w:val="0"/>
              <w:adjustRightInd w:val="0"/>
              <w:textAlignment w:val="baseline"/>
              <w:rPr>
                <w:highlight w:val="yellow"/>
              </w:rPr>
            </w:pPr>
            <w:r>
              <w:t>EESC-2024-03939-00-00-AC</w:t>
            </w:r>
          </w:p>
        </w:tc>
      </w:tr>
    </w:tbl>
    <w:p w:rsidR="009C5B03" w:rsidP="009C5B03" w:rsidRDefault="009C5B03" w14:paraId="0D4F300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C5B03" w:rsidR="00F50E3E" w:rsidP="009C5B03" w:rsidRDefault="00F50E3E" w14:paraId="45D003C6" w14:textId="77777777">
      <w:pPr>
        <w:keepNext/>
        <w:keepLines/>
        <w:tabs>
          <w:tab w:val="center" w:pos="284"/>
        </w:tabs>
        <w:overflowPunct w:val="0"/>
        <w:autoSpaceDE w:val="0"/>
        <w:autoSpaceDN w:val="0"/>
        <w:adjustRightInd w:val="0"/>
        <w:ind w:left="266" w:hanging="266"/>
        <w:textAlignment w:val="baseline"/>
        <w:rPr>
          <w:b/>
          <w:lang w:val="en-GB"/>
        </w:rPr>
      </w:pPr>
    </w:p>
    <w:p w:rsidR="009C5B03" w:rsidP="009C5B03" w:rsidRDefault="009C5B03" w14:paraId="31F1E7B7" w14:textId="76564FF0">
      <w:pPr>
        <w:overflowPunct w:val="0"/>
        <w:autoSpaceDE w:val="0"/>
        <w:autoSpaceDN w:val="0"/>
        <w:adjustRightInd w:val="0"/>
        <w:ind w:left="425" w:hanging="425"/>
        <w:textAlignment w:val="baseline"/>
      </w:pPr>
      <w:r>
        <w:t>Der EWSA</w:t>
      </w:r>
    </w:p>
    <w:p w:rsidR="00E21ECD" w:rsidP="009C5B03" w:rsidRDefault="00E21ECD" w14:paraId="68459662" w14:textId="77777777">
      <w:pPr>
        <w:overflowPunct w:val="0"/>
        <w:autoSpaceDE w:val="0"/>
        <w:autoSpaceDN w:val="0"/>
        <w:adjustRightInd w:val="0"/>
        <w:ind w:left="425" w:hanging="425"/>
        <w:textAlignment w:val="baseline"/>
        <w:rPr>
          <w:szCs w:val="20"/>
        </w:rPr>
      </w:pPr>
    </w:p>
    <w:p w:rsidRPr="009C5B03" w:rsidR="009C5B03" w:rsidP="00111DFA" w:rsidRDefault="009C5B03" w14:paraId="28531E4A" w14:textId="77777777">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35" w:id="2"/>
      <w:r>
        <w:t>bringt seine uneingeschränkte Solidarität und Unterstützung für die Menschen zum Ausdruck, die von den jüngsten Naturkatastrophen in Mittel-, Ost- und Südeuropa hart getroffen wurden. Werden die Regionen der EU von Klimakatastrophen heimgesucht, ist Europa stärker, wenn es zusammensteht und geeint ist;</w:t>
      </w:r>
      <w:bookmarkEnd w:id="2"/>
    </w:p>
    <w:p w:rsidRPr="009C5B03" w:rsidR="009C5B03" w:rsidP="00111DFA" w:rsidRDefault="009C5B03" w14:paraId="17BDC950" w14:textId="77777777">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36" w:id="3"/>
      <w:r>
        <w:t>räumt ein, dass die Folgen des Klimawandels und der Ressourcenknappheit bedauerlicherweise bereits spürbar sind. Zwar setzt sich die EU zu Recht dafür ein, eine Verschlechterung der Lage zu vermeiden, doch ist sie auf unvorhergesehene Klimanotstände, Energiekrisen und Naturkatastrophen nicht vorbereitet;</w:t>
      </w:r>
      <w:bookmarkEnd w:id="3"/>
    </w:p>
    <w:p w:rsidRPr="009C5B03" w:rsidR="009C5B03" w:rsidP="00111DFA" w:rsidRDefault="009C5B03" w14:paraId="66E0C007" w14:textId="77777777">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37" w:id="4"/>
      <w:r>
        <w:t>betont, dass ein Systemwandel der Funktionsweise unserer Wirtschaft notwendig ist und sich die Regierungen unbedingt zu systemischen Lösungen verpflichten müssen, statt lediglich die Symptome zu behandeln;</w:t>
      </w:r>
      <w:bookmarkEnd w:id="4"/>
    </w:p>
    <w:p w:rsidRPr="009C5B03" w:rsidR="009C5B03" w:rsidP="00111DFA" w:rsidRDefault="009C5B03" w14:paraId="5733AEB3" w14:textId="77777777">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38" w:id="5"/>
      <w:r>
        <w:t>ist der Auffassung, dass sofortige, einfache und wirksame Maßnahmen erforderlich sind, um die sozialen, territorialen und wirtschaftlichen Folgen derartiger Naturkatastrophen abzufedern. In den EU-Regionen müssen umfangreiche Wiederaufbauarbeiten geleistet werden, damit sie sich von diesen Katastrophen erholen;</w:t>
      </w:r>
      <w:bookmarkEnd w:id="5"/>
    </w:p>
    <w:p w:rsidRPr="009C5B03" w:rsidR="009C5B03" w:rsidP="00111DFA" w:rsidRDefault="009C5B03" w14:paraId="74C1E0EA" w14:textId="77777777">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39" w:id="6"/>
      <w:r>
        <w:t>begrüßt angesichts der schwerwiegenden und langanhaltenden Folgen von Naturkatastrophen für das soziale und wirtschaftliche Gefüge in den EU-Regionen die von der Kommission vorgeschlagene Flexibilität bei der Unterstützung der betroffenen Länder;</w:t>
      </w:r>
      <w:bookmarkEnd w:id="6"/>
    </w:p>
    <w:p w:rsidRPr="009C5B03" w:rsidR="009C5B03" w:rsidP="00111DFA" w:rsidRDefault="009C5B03" w14:paraId="4CDE73AF" w14:textId="77777777">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40" w:id="7"/>
      <w:r>
        <w:t>befürwortet die Kohäsionspolitik als langfristiges Investitionsinstrument der EU, räumt jedoch ein, dass extreme Naturkatastrophen die Entwicklung der Union auf lange Sicht gefährden können;</w:t>
      </w:r>
      <w:bookmarkEnd w:id="7"/>
    </w:p>
    <w:p w:rsidRPr="009C5B03" w:rsidR="009C5B03" w:rsidP="00111DFA" w:rsidRDefault="009C5B03" w14:paraId="0D08D206" w14:textId="77777777">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41" w:id="8"/>
      <w:r>
        <w:t>betont, dass das Grundprinzip der Kohäsionspolitik, keinen Menschen und keine Region zurückzulassen, nach wie vor uneingeschränkte Gültigkeit besitzt und dass die zivilgesellschaftlichen Partner bereit sind, sich durch eine starke Investitionspolitik der EU weiterhin für diesen Grundsatz einzusetzen;</w:t>
      </w:r>
      <w:bookmarkEnd w:id="8"/>
    </w:p>
    <w:p w:rsidRPr="009C5B03" w:rsidR="009C5B03" w:rsidP="00111DFA" w:rsidRDefault="009C5B03" w14:paraId="266DF4AB" w14:textId="77777777">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42" w:id="9"/>
      <w:r>
        <w:t>weist klar und deutlich darauf hin, dass die Kohäsionspolitik die wichtigste langfristige Investitionspolitik der EU zur Verringerung regionaler, wirtschaftlicher und territorialer Ungleichheiten ist;</w:t>
      </w:r>
      <w:bookmarkEnd w:id="9"/>
    </w:p>
    <w:p w:rsidRPr="009C5B03" w:rsidR="009C5B03" w:rsidP="00111DFA" w:rsidRDefault="009C5B03" w14:paraId="634FF858" w14:textId="1BDD1D69">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43" w:id="10"/>
      <w:r>
        <w:t>ist der Auffassung, dass die EU einen neuen, stabilen und soliden Finanzierungsmechanismus braucht, der anpassungsfähig und flexibel ist und mit dem in den kommenden Jahren und Jahrzehnten auf neue und sich abzeichnende Krisen reagiert werden kann. Die Funktionsweise dieses verstärkt auf rasche und dringende Reaktionen ausgerichteten Mechanismus muss unbedingt mit der übergeordneten Klima-, Umwelt- und Energiepolitik der EU in Einklang stehen;</w:t>
      </w:r>
      <w:bookmarkEnd w:id="10"/>
    </w:p>
    <w:p w:rsidRPr="009C5B03" w:rsidR="009C5B03" w:rsidP="00111DFA" w:rsidRDefault="009C5B03" w14:paraId="0DF738F7" w14:textId="0CBDFA0C">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44" w:id="11"/>
      <w:r>
        <w:t>fordert die Europäische Kommission auf, eng mit den Mitgliedstaaten, den lokalen Behörden und den Organisationen der Zivilgesellschaft zusammenzuarbeiten, um die Möglichkeiten zur Unterstützung der betroffenen Regionen möglichst wirksam und rasch zu nutzen. Zivilgesellschaftliche Organisationen, Arbeitnehmer, KMU und NRO haben durch die Naturkatastrophen schwere Schäden erlitten, und ein erheblicher Teil der Mittel muss ihnen zugutekommen;</w:t>
      </w:r>
      <w:bookmarkEnd w:id="11"/>
    </w:p>
    <w:p w:rsidRPr="00BF52DC" w:rsidR="009C5B03" w:rsidP="00111DFA" w:rsidRDefault="009C5B03" w14:paraId="60510BE8" w14:textId="4E69999B">
      <w:pPr>
        <w:numPr>
          <w:ilvl w:val="0"/>
          <w:numId w:val="16"/>
        </w:numPr>
        <w:tabs>
          <w:tab w:val="left" w:pos="9072"/>
        </w:tabs>
        <w:overflowPunct w:val="0"/>
        <w:autoSpaceDE w:val="0"/>
        <w:autoSpaceDN w:val="0"/>
        <w:adjustRightInd w:val="0"/>
        <w:ind w:left="709" w:right="283" w:hanging="425"/>
        <w:textAlignment w:val="baseline"/>
        <w:outlineLvl w:val="1"/>
        <w:rPr>
          <w:szCs w:val="20"/>
        </w:rPr>
      </w:pPr>
      <w:bookmarkStart w:name="_Toc184973445" w:id="12"/>
      <w:r>
        <w:t>fordert den Rat und das Europäische Parlament auf, die Verordnung rasch anzunehmen, damit sie so bald wie möglich in Kraft treten kann.</w:t>
      </w:r>
      <w:bookmarkEnd w:id="12"/>
    </w:p>
    <w:p w:rsidR="00BF52DC" w:rsidP="00111DFA" w:rsidRDefault="00BF52DC" w14:paraId="44369F8F" w14:textId="77777777">
      <w:pPr>
        <w:overflowPunct w:val="0"/>
        <w:autoSpaceDE w:val="0"/>
        <w:autoSpaceDN w:val="0"/>
        <w:adjustRightInd w:val="0"/>
        <w:ind w:left="360" w:right="283"/>
        <w:textAlignment w:val="baseline"/>
        <w:outlineLvl w:val="1"/>
        <w:rPr>
          <w:szCs w:val="20"/>
        </w:rPr>
      </w:pPr>
    </w:p>
    <w:tbl>
      <w:tblPr>
        <w:tblStyle w:val="TableGrid2"/>
        <w:tblW w:w="569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9C5B03" w:rsidR="00902A1F" w:rsidTr="00E21ECD" w14:paraId="06614FB7" w14:textId="77777777">
        <w:tc>
          <w:tcPr>
            <w:tcW w:w="1173" w:type="dxa"/>
          </w:tcPr>
          <w:p w:rsidRPr="009C5B03" w:rsidR="00902A1F" w:rsidP="00810BF5" w:rsidRDefault="00902A1F" w14:paraId="0619ADAD" w14:textId="77777777">
            <w:pPr>
              <w:overflowPunct w:val="0"/>
              <w:autoSpaceDE w:val="0"/>
              <w:autoSpaceDN w:val="0"/>
              <w:adjustRightInd w:val="0"/>
              <w:textAlignment w:val="baseline"/>
              <w:rPr>
                <w:bCs/>
                <w:i/>
              </w:rPr>
            </w:pPr>
            <w:r>
              <w:rPr>
                <w:i/>
              </w:rPr>
              <w:t>Kontakt</w:t>
            </w:r>
          </w:p>
        </w:tc>
        <w:tc>
          <w:tcPr>
            <w:tcW w:w="4518" w:type="dxa"/>
          </w:tcPr>
          <w:p w:rsidRPr="009C5B03" w:rsidR="00902A1F" w:rsidP="00810BF5" w:rsidRDefault="00902A1F" w14:paraId="22287D72" w14:textId="77777777">
            <w:pPr>
              <w:overflowPunct w:val="0"/>
              <w:autoSpaceDE w:val="0"/>
              <w:autoSpaceDN w:val="0"/>
              <w:adjustRightInd w:val="0"/>
              <w:textAlignment w:val="baseline"/>
              <w:rPr>
                <w:bCs/>
                <w:i/>
                <w:iCs/>
              </w:rPr>
            </w:pPr>
            <w:r>
              <w:rPr>
                <w:i/>
              </w:rPr>
              <w:t>Georgios Meleas</w:t>
            </w:r>
          </w:p>
        </w:tc>
      </w:tr>
      <w:tr w:rsidRPr="009C5B03" w:rsidR="00902A1F" w:rsidTr="00E21ECD" w14:paraId="549E05C1" w14:textId="77777777">
        <w:tc>
          <w:tcPr>
            <w:tcW w:w="1173" w:type="dxa"/>
          </w:tcPr>
          <w:p w:rsidRPr="009C5B03" w:rsidR="00902A1F" w:rsidP="00810BF5" w:rsidRDefault="00902A1F" w14:paraId="5E3BD607" w14:textId="77777777">
            <w:pPr>
              <w:overflowPunct w:val="0"/>
              <w:autoSpaceDE w:val="0"/>
              <w:autoSpaceDN w:val="0"/>
              <w:adjustRightInd w:val="0"/>
              <w:textAlignment w:val="baseline"/>
              <w:rPr>
                <w:i/>
              </w:rPr>
            </w:pPr>
            <w:r>
              <w:rPr>
                <w:i/>
              </w:rPr>
              <w:t>Tel.</w:t>
            </w:r>
          </w:p>
        </w:tc>
        <w:tc>
          <w:tcPr>
            <w:tcW w:w="4518" w:type="dxa"/>
          </w:tcPr>
          <w:p w:rsidRPr="009C5B03" w:rsidR="00902A1F" w:rsidP="00810BF5" w:rsidRDefault="00902A1F" w14:paraId="388EAD60" w14:textId="77777777">
            <w:pPr>
              <w:overflowPunct w:val="0"/>
              <w:autoSpaceDE w:val="0"/>
              <w:autoSpaceDN w:val="0"/>
              <w:adjustRightInd w:val="0"/>
              <w:textAlignment w:val="baseline"/>
              <w:rPr>
                <w:i/>
                <w:iCs/>
              </w:rPr>
            </w:pPr>
            <w:r>
              <w:rPr>
                <w:i/>
              </w:rPr>
              <w:t>+32 25469795</w:t>
            </w:r>
          </w:p>
        </w:tc>
      </w:tr>
      <w:tr w:rsidRPr="009C5B03" w:rsidR="00902A1F" w:rsidTr="00E21ECD" w14:paraId="3990E4FC" w14:textId="77777777">
        <w:tc>
          <w:tcPr>
            <w:tcW w:w="1173" w:type="dxa"/>
          </w:tcPr>
          <w:p w:rsidRPr="009C5B03" w:rsidR="00902A1F" w:rsidP="00810BF5" w:rsidRDefault="00902A1F" w14:paraId="4D4F9AB3" w14:textId="77777777">
            <w:pPr>
              <w:overflowPunct w:val="0"/>
              <w:autoSpaceDE w:val="0"/>
              <w:autoSpaceDN w:val="0"/>
              <w:adjustRightInd w:val="0"/>
              <w:textAlignment w:val="baseline"/>
              <w:rPr>
                <w:i/>
              </w:rPr>
            </w:pPr>
            <w:r>
              <w:rPr>
                <w:i/>
              </w:rPr>
              <w:t>E-Mail</w:t>
            </w:r>
          </w:p>
        </w:tc>
        <w:tc>
          <w:tcPr>
            <w:tcW w:w="4518" w:type="dxa"/>
          </w:tcPr>
          <w:p w:rsidRPr="009C5B03" w:rsidR="00902A1F" w:rsidP="00810BF5" w:rsidRDefault="005204CC" w14:paraId="01EE99DA" w14:textId="77777777">
            <w:pPr>
              <w:overflowPunct w:val="0"/>
              <w:autoSpaceDE w:val="0"/>
              <w:autoSpaceDN w:val="0"/>
              <w:adjustRightInd w:val="0"/>
              <w:textAlignment w:val="baseline"/>
              <w:rPr>
                <w:i/>
                <w:iCs/>
              </w:rPr>
            </w:pPr>
            <w:hyperlink w:history="1" r:id="rId24">
              <w:r w:rsidR="00902A1F">
                <w:rPr>
                  <w:color w:val="0000FF"/>
                  <w:u w:val="single"/>
                </w:rPr>
                <w:t>Georgios.Meleas@eesc.europa.eu</w:t>
              </w:r>
            </w:hyperlink>
          </w:p>
        </w:tc>
      </w:tr>
    </w:tbl>
    <w:p w:rsidRPr="00482C25" w:rsidR="00482C25" w:rsidP="00643D0B" w:rsidRDefault="005204CC" w14:paraId="22B8A203" w14:textId="6678DB6D">
      <w:pPr>
        <w:pageBreakBefore/>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5">
        <w:r w:rsidR="00902A1F">
          <w:rPr>
            <w:b/>
            <w:i/>
            <w:color w:val="0000FF"/>
            <w:sz w:val="28"/>
            <w:u w:val="single"/>
          </w:rPr>
          <w:t>Überprüfung des Rechtsrahmens für Verbriefungen in der EU</w:t>
        </w:r>
      </w:hyperlink>
      <w:r w:rsidR="00902A1F">
        <w:rPr>
          <w:b/>
          <w:i/>
          <w:sz w:val="28"/>
        </w:rPr>
        <w:t xml:space="preserve"> </w:t>
      </w:r>
    </w:p>
    <w:p w:rsidRPr="00482C25" w:rsidR="00482C25" w:rsidP="00482C25" w:rsidRDefault="00482C25" w14:paraId="202C21D6" w14:textId="77777777">
      <w:pPr>
        <w:widowControl w:val="0"/>
        <w:overflowPunct w:val="0"/>
        <w:autoSpaceDE w:val="0"/>
        <w:autoSpaceDN w:val="0"/>
        <w:adjustRightInd w:val="0"/>
        <w:ind w:left="284"/>
        <w:textAlignment w:val="baseline"/>
        <w:rPr>
          <w:b/>
          <w:i/>
          <w:iCs/>
          <w:sz w:val="20"/>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953"/>
        <w:gridCol w:w="466"/>
      </w:tblGrid>
      <w:tr w:rsidRPr="00BB600D" w:rsidR="00482C25" w:rsidTr="00BF52DC" w14:paraId="5FE72AFC" w14:textId="77777777">
        <w:tc>
          <w:tcPr>
            <w:tcW w:w="2235" w:type="dxa"/>
          </w:tcPr>
          <w:p w:rsidRPr="00482C25" w:rsidR="00482C25" w:rsidP="00482C25" w:rsidRDefault="00482C25" w14:paraId="581AD2ED" w14:textId="77777777">
            <w:pPr>
              <w:tabs>
                <w:tab w:val="center" w:pos="284"/>
              </w:tabs>
              <w:overflowPunct w:val="0"/>
              <w:autoSpaceDE w:val="0"/>
              <w:autoSpaceDN w:val="0"/>
              <w:adjustRightInd w:val="0"/>
              <w:ind w:left="266" w:hanging="266"/>
              <w:textAlignment w:val="baseline"/>
              <w:rPr>
                <w:b/>
              </w:rPr>
            </w:pPr>
            <w:r>
              <w:rPr>
                <w:b/>
              </w:rPr>
              <w:t>Berichterstatter</w:t>
            </w:r>
          </w:p>
          <w:p w:rsidRPr="00482C25" w:rsidR="00482C25" w:rsidP="00482C25" w:rsidRDefault="00482C25" w14:paraId="181AB32E" w14:textId="77777777">
            <w:pPr>
              <w:tabs>
                <w:tab w:val="center" w:pos="284"/>
              </w:tabs>
              <w:overflowPunct w:val="0"/>
              <w:autoSpaceDE w:val="0"/>
              <w:autoSpaceDN w:val="0"/>
              <w:adjustRightInd w:val="0"/>
              <w:ind w:left="266" w:hanging="266"/>
              <w:textAlignment w:val="baseline"/>
              <w:rPr>
                <w:b/>
              </w:rPr>
            </w:pPr>
            <w:r>
              <w:rPr>
                <w:b/>
              </w:rPr>
              <w:t>Ko-Berichterstatter</w:t>
            </w:r>
          </w:p>
        </w:tc>
        <w:tc>
          <w:tcPr>
            <w:tcW w:w="6419" w:type="dxa"/>
            <w:gridSpan w:val="2"/>
          </w:tcPr>
          <w:p w:rsidRPr="00482C25" w:rsidR="00482C25" w:rsidP="00482C25" w:rsidRDefault="00482C25" w14:paraId="5358A076" w14:textId="4586C2B5">
            <w:pPr>
              <w:tabs>
                <w:tab w:val="center" w:pos="284"/>
              </w:tabs>
              <w:overflowPunct w:val="0"/>
              <w:autoSpaceDE w:val="0"/>
              <w:autoSpaceDN w:val="0"/>
              <w:adjustRightInd w:val="0"/>
              <w:ind w:left="266" w:hanging="266"/>
              <w:textAlignment w:val="baseline"/>
              <w:rPr>
                <w:bCs/>
              </w:rPr>
            </w:pPr>
            <w:r>
              <w:t>Philip VON BROCKDORFF (Gruppe Arbeitnehmer – MT)</w:t>
            </w:r>
          </w:p>
          <w:p w:rsidRPr="00482C25" w:rsidR="00482C25" w:rsidP="00482C25" w:rsidRDefault="00482C25" w14:paraId="0A10A3EA" w14:textId="3A765694">
            <w:pPr>
              <w:tabs>
                <w:tab w:val="center" w:pos="284"/>
              </w:tabs>
              <w:overflowPunct w:val="0"/>
              <w:autoSpaceDE w:val="0"/>
              <w:autoSpaceDN w:val="0"/>
              <w:adjustRightInd w:val="0"/>
              <w:ind w:left="266" w:hanging="266"/>
              <w:textAlignment w:val="baseline"/>
              <w:rPr>
                <w:bCs/>
              </w:rPr>
            </w:pPr>
            <w:r>
              <w:t>Antonio GARCÍA DEL RIEGO (Gruppe Arbeitgeber – ES)</w:t>
            </w:r>
          </w:p>
          <w:p w:rsidRPr="00482C25" w:rsidR="00482C25" w:rsidP="00482C25" w:rsidRDefault="00482C25" w14:paraId="3B6D01B4" w14:textId="77777777">
            <w:pPr>
              <w:tabs>
                <w:tab w:val="center" w:pos="284"/>
              </w:tabs>
              <w:overflowPunct w:val="0"/>
              <w:autoSpaceDE w:val="0"/>
              <w:autoSpaceDN w:val="0"/>
              <w:adjustRightInd w:val="0"/>
              <w:ind w:left="266" w:hanging="266"/>
              <w:textAlignment w:val="baseline"/>
              <w:rPr>
                <w:bCs/>
                <w:lang w:val="es-ES_tradnl"/>
              </w:rPr>
            </w:pPr>
          </w:p>
        </w:tc>
      </w:tr>
      <w:tr w:rsidRPr="00BB600D" w:rsidR="00482C25" w:rsidTr="00BF52DC" w14:paraId="4CB905DA" w14:textId="77777777">
        <w:trPr>
          <w:gridAfter w:val="1"/>
          <w:wAfter w:w="466" w:type="dxa"/>
        </w:trPr>
        <w:tc>
          <w:tcPr>
            <w:tcW w:w="8188" w:type="dxa"/>
            <w:gridSpan w:val="2"/>
          </w:tcPr>
          <w:p w:rsidRPr="00482C25" w:rsidR="00482C25" w:rsidP="00482C25" w:rsidRDefault="00482C25" w14:paraId="4268E229" w14:textId="77777777">
            <w:pPr>
              <w:tabs>
                <w:tab w:val="center" w:pos="284"/>
              </w:tabs>
              <w:overflowPunct w:val="0"/>
              <w:autoSpaceDE w:val="0"/>
              <w:autoSpaceDN w:val="0"/>
              <w:adjustRightInd w:val="0"/>
              <w:spacing w:line="160" w:lineRule="exact"/>
              <w:ind w:left="266" w:hanging="266"/>
              <w:textAlignment w:val="baseline"/>
              <w:rPr>
                <w:lang w:val="es-ES_tradnl"/>
              </w:rPr>
            </w:pPr>
          </w:p>
        </w:tc>
      </w:tr>
      <w:tr w:rsidRPr="00482C25" w:rsidR="00482C25" w:rsidTr="00BF52DC" w14:paraId="4B940311" w14:textId="77777777">
        <w:trPr>
          <w:gridAfter w:val="1"/>
          <w:wAfter w:w="466" w:type="dxa"/>
        </w:trPr>
        <w:tc>
          <w:tcPr>
            <w:tcW w:w="2235" w:type="dxa"/>
          </w:tcPr>
          <w:p w:rsidRPr="00482C25" w:rsidR="00482C25" w:rsidP="00482C25" w:rsidRDefault="00482C25" w14:paraId="7122568E" w14:textId="77777777">
            <w:pPr>
              <w:tabs>
                <w:tab w:val="center" w:pos="284"/>
              </w:tabs>
              <w:overflowPunct w:val="0"/>
              <w:autoSpaceDE w:val="0"/>
              <w:autoSpaceDN w:val="0"/>
              <w:adjustRightInd w:val="0"/>
              <w:ind w:left="266" w:hanging="266"/>
              <w:textAlignment w:val="baseline"/>
              <w:rPr>
                <w:b/>
              </w:rPr>
            </w:pPr>
            <w:r>
              <w:rPr>
                <w:b/>
              </w:rPr>
              <w:t>Referenzdokument</w:t>
            </w:r>
          </w:p>
        </w:tc>
        <w:tc>
          <w:tcPr>
            <w:tcW w:w="5953" w:type="dxa"/>
          </w:tcPr>
          <w:p w:rsidRPr="00482C25" w:rsidR="00482C25" w:rsidP="00482C25" w:rsidRDefault="00482C25" w14:paraId="4D5F8809" w14:textId="77777777">
            <w:pPr>
              <w:tabs>
                <w:tab w:val="center" w:pos="284"/>
              </w:tabs>
              <w:overflowPunct w:val="0"/>
              <w:autoSpaceDE w:val="0"/>
              <w:autoSpaceDN w:val="0"/>
              <w:adjustRightInd w:val="0"/>
              <w:ind w:left="266" w:hanging="266"/>
              <w:textAlignment w:val="baseline"/>
            </w:pPr>
            <w:r>
              <w:t>Initiativstellungnahme</w:t>
            </w:r>
          </w:p>
          <w:p w:rsidRPr="00482C25" w:rsidR="00482C25" w:rsidP="00482C25" w:rsidRDefault="00482C25" w14:paraId="64F2A43F" w14:textId="68E44F58">
            <w:pPr>
              <w:tabs>
                <w:tab w:val="center" w:pos="284"/>
              </w:tabs>
              <w:overflowPunct w:val="0"/>
              <w:autoSpaceDE w:val="0"/>
              <w:autoSpaceDN w:val="0"/>
              <w:adjustRightInd w:val="0"/>
              <w:ind w:left="266" w:hanging="266"/>
              <w:textAlignment w:val="baseline"/>
            </w:pPr>
            <w:r>
              <w:t>EESC-2024-00531-00-00-AC</w:t>
            </w:r>
          </w:p>
        </w:tc>
      </w:tr>
    </w:tbl>
    <w:p w:rsidRPr="00482C25" w:rsidR="00482C25" w:rsidP="00482C25" w:rsidRDefault="00482C25" w14:paraId="08467886" w14:textId="77777777">
      <w:pPr>
        <w:keepNext/>
        <w:keepLines/>
        <w:tabs>
          <w:tab w:val="center" w:pos="284"/>
        </w:tabs>
        <w:overflowPunct w:val="0"/>
        <w:autoSpaceDE w:val="0"/>
        <w:autoSpaceDN w:val="0"/>
        <w:adjustRightInd w:val="0"/>
        <w:spacing w:before="120"/>
        <w:ind w:left="266" w:hanging="266"/>
        <w:textAlignment w:val="baseline"/>
        <w:rPr>
          <w:b/>
        </w:rPr>
      </w:pPr>
      <w:r>
        <w:rPr>
          <w:b/>
        </w:rPr>
        <w:t>Kernaussagen</w:t>
      </w:r>
    </w:p>
    <w:p w:rsidRPr="00482C25" w:rsidR="00482C25" w:rsidP="00482C25" w:rsidRDefault="00482C25" w14:paraId="128A5BE3" w14:textId="77777777">
      <w:pPr>
        <w:keepNext/>
        <w:keepLines/>
        <w:tabs>
          <w:tab w:val="center" w:pos="284"/>
        </w:tabs>
        <w:overflowPunct w:val="0"/>
        <w:autoSpaceDE w:val="0"/>
        <w:autoSpaceDN w:val="0"/>
        <w:adjustRightInd w:val="0"/>
        <w:spacing w:before="120"/>
        <w:ind w:left="266" w:hanging="266"/>
        <w:textAlignment w:val="baseline"/>
        <w:rPr>
          <w:b/>
          <w:lang w:val="en-GB"/>
        </w:rPr>
      </w:pPr>
    </w:p>
    <w:p w:rsidRPr="00482C25" w:rsidR="00482C25" w:rsidP="00482C25" w:rsidRDefault="00482C25" w14:paraId="60F3D793" w14:textId="77777777">
      <w:pPr>
        <w:overflowPunct w:val="0"/>
        <w:autoSpaceDE w:val="0"/>
        <w:autoSpaceDN w:val="0"/>
        <w:adjustRightInd w:val="0"/>
        <w:textAlignment w:val="baseline"/>
        <w:rPr>
          <w:bCs/>
          <w:iCs/>
        </w:rPr>
      </w:pPr>
      <w:r>
        <w:t>Der EWSA</w:t>
      </w:r>
    </w:p>
    <w:p w:rsidRPr="00482C25" w:rsidR="00482C25" w:rsidP="00482C25" w:rsidRDefault="00482C25" w14:paraId="05A20084" w14:textId="77777777">
      <w:pPr>
        <w:overflowPunct w:val="0"/>
        <w:autoSpaceDE w:val="0"/>
        <w:autoSpaceDN w:val="0"/>
        <w:adjustRightInd w:val="0"/>
        <w:textAlignment w:val="baseline"/>
        <w:rPr>
          <w:bCs/>
          <w:iCs/>
          <w:lang w:val="en-GB"/>
        </w:rPr>
      </w:pPr>
    </w:p>
    <w:p w:rsidRPr="00482C25" w:rsidR="00482C25" w:rsidP="00111DFA" w:rsidRDefault="00482C25" w14:paraId="32FA80D3"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ist der Ansicht, dass die Verbesserung des Verbriefungsmarkts die Anlagemöglichkeiten erweitern, den Zugang zu Krediten fördern und die Kapitalmarktunion voranbringen kann;</w:t>
      </w:r>
    </w:p>
    <w:p w:rsidRPr="00482C25" w:rsidR="00482C25" w:rsidP="00111DFA" w:rsidRDefault="00482C25" w14:paraId="4F2CF352"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hält es für angemessen, eine Bewertung der Wirksamkeit des Rechtsrahmens für Verbriefungen, einschließlich Marktinfrastruktur, Effizienz und Transparenz, durchzuführen und Anpassungen bei den Berichterstattungs- und Sorgfaltspflichten zu prüfen;</w:t>
      </w:r>
    </w:p>
    <w:p w:rsidRPr="00482C25" w:rsidR="00482C25" w:rsidP="00111DFA" w:rsidRDefault="00482C25" w14:paraId="0A7F745F"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empfiehlt, dass alle Bewertungen der Umsetzung des Rechtsrahmens auch eine Analyse der Auswirkungen von Verbriefungen auf die Finanzierung der Realwirtschaft umfassen;</w:t>
      </w:r>
    </w:p>
    <w:p w:rsidRPr="00482C25" w:rsidR="00482C25" w:rsidP="00111DFA" w:rsidRDefault="00482C25" w14:paraId="56A02359"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schlägt vor, die Förderung von Verbriefungen auf die Bereitstellung zusätzlicher Finanzmittel für die Realwirtschaft, vor allem für Privathaushalte und Unternehmen, zu konzentrieren;</w:t>
      </w:r>
    </w:p>
    <w:p w:rsidRPr="00482C25" w:rsidR="00482C25" w:rsidP="00111DFA" w:rsidRDefault="00482C25" w14:paraId="5878E812"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vertritt die Auffassung, dass Verbriefungen andere bestehende Kapitalinstrumente wie gedeckte Schuldverschreibungen ergänzen sollten, wobei jedoch zu berücksichtigen ist, dass Verbriefungen das einzige Instrument sind, das es ermöglicht, Kapital für Banken freizusetzen;</w:t>
      </w:r>
    </w:p>
    <w:p w:rsidRPr="00482C25" w:rsidR="00482C25" w:rsidP="00111DFA" w:rsidRDefault="00482C25" w14:paraId="316BD31B"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sieht in der Ausweitung der Offenlegungspflichten zur Nachhaltigkeit oder der Einführung eines Rahmens für „grüne Verbriefungen“ einen möglichen zusätzlichen Nutzen für Anleger, um ihren Anteil an Investitionen in den Bereichen Umwelt, Soziales und Governance (ESG) zu messen und ESG-bezogene Risiken zu bewerten. Außerdem könnte ein solcher Rahmen als Vergleichsinstrument dienen;</w:t>
      </w:r>
    </w:p>
    <w:p w:rsidRPr="00482C25" w:rsidR="00482C25" w:rsidP="00111DFA" w:rsidRDefault="00482C25" w14:paraId="108E811D"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schlägt vor, die Fristen zu verkürzen und die Anforderungen für die Anerkennung signifikanter Risikotransfers weiter zu standardisieren und zu harmonisieren;</w:t>
      </w:r>
    </w:p>
    <w:p w:rsidRPr="00482C25" w:rsidR="00482C25" w:rsidP="00111DFA" w:rsidRDefault="00482C25" w14:paraId="45FBE1E5"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hält Fortschritte bei der Harmonisierung, z. B. des Vertrags- und Insolvenzrechts und der Besteuerung für sinnvoll, um die Durchführbarkeit einer grenzübergreifenden Bündelung und Ausgabe zu verbessern;</w:t>
      </w:r>
    </w:p>
    <w:p w:rsidRPr="00482C25" w:rsidR="00482C25" w:rsidP="00111DFA" w:rsidRDefault="00482C25" w14:paraId="6B15D60C" w14:textId="77777777">
      <w:pPr>
        <w:numPr>
          <w:ilvl w:val="0"/>
          <w:numId w:val="18"/>
        </w:numPr>
        <w:tabs>
          <w:tab w:val="left" w:pos="9072"/>
        </w:tabs>
        <w:overflowPunct w:val="0"/>
        <w:autoSpaceDE w:val="0"/>
        <w:autoSpaceDN w:val="0"/>
        <w:adjustRightInd w:val="0"/>
        <w:spacing w:line="276" w:lineRule="auto"/>
        <w:ind w:left="709" w:right="283" w:hanging="425"/>
        <w:contextualSpacing/>
        <w:textAlignment w:val="baseline"/>
        <w:rPr>
          <w:bCs/>
          <w:iCs/>
        </w:rPr>
      </w:pPr>
      <w:r>
        <w:t>begrüßt den Konsultationsprozess der Europäischen Kommission und empfiehlt der EU, aktiv an der laufenden Konsultation durch den Rat für Finanzstabilität mitzuwirken.</w:t>
      </w:r>
    </w:p>
    <w:p w:rsidRPr="00482C25" w:rsidR="00482C25" w:rsidP="00482C25" w:rsidRDefault="00482C25" w14:paraId="3FC16B9E" w14:textId="77777777">
      <w:pPr>
        <w:overflowPunct w:val="0"/>
        <w:autoSpaceDE w:val="0"/>
        <w:autoSpaceDN w:val="0"/>
        <w:adjustRightInd w:val="0"/>
        <w:textAlignment w:val="baseline"/>
        <w:rPr>
          <w:bCs/>
          <w:iCs/>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82C25" w:rsidR="00482C25" w:rsidTr="00863A8F" w14:paraId="4854E09A" w14:textId="77777777">
        <w:tc>
          <w:tcPr>
            <w:tcW w:w="1418" w:type="dxa"/>
          </w:tcPr>
          <w:p w:rsidRPr="00482C25" w:rsidR="00482C25" w:rsidP="00482C25" w:rsidRDefault="00482C25" w14:paraId="7A4A5D8B" w14:textId="77777777">
            <w:pPr>
              <w:overflowPunct w:val="0"/>
              <w:autoSpaceDE w:val="0"/>
              <w:autoSpaceDN w:val="0"/>
              <w:adjustRightInd w:val="0"/>
              <w:spacing w:line="240" w:lineRule="auto"/>
              <w:textAlignment w:val="baseline"/>
              <w:rPr>
                <w:i/>
              </w:rPr>
            </w:pPr>
            <w:r>
              <w:rPr>
                <w:b/>
                <w:i/>
              </w:rPr>
              <w:t>Kontakt</w:t>
            </w:r>
          </w:p>
        </w:tc>
        <w:tc>
          <w:tcPr>
            <w:tcW w:w="5670" w:type="dxa"/>
          </w:tcPr>
          <w:p w:rsidRPr="00482C25" w:rsidR="00482C25" w:rsidP="00482C25" w:rsidRDefault="00482C25" w14:paraId="11F392D6" w14:textId="540E4AA0">
            <w:pPr>
              <w:overflowPunct w:val="0"/>
              <w:autoSpaceDE w:val="0"/>
              <w:autoSpaceDN w:val="0"/>
              <w:adjustRightInd w:val="0"/>
              <w:spacing w:line="240" w:lineRule="auto"/>
              <w:textAlignment w:val="baseline"/>
              <w:rPr>
                <w:i/>
              </w:rPr>
            </w:pPr>
            <w:r>
              <w:rPr>
                <w:i/>
              </w:rPr>
              <w:t>Sergio Lorencio Matallana</w:t>
            </w:r>
          </w:p>
        </w:tc>
      </w:tr>
      <w:tr w:rsidRPr="00482C25" w:rsidR="00482C25" w:rsidTr="00863A8F" w14:paraId="6A09B6CF" w14:textId="77777777">
        <w:tc>
          <w:tcPr>
            <w:tcW w:w="1418" w:type="dxa"/>
          </w:tcPr>
          <w:p w:rsidRPr="00482C25" w:rsidR="00482C25" w:rsidP="00482C25" w:rsidRDefault="00482C25" w14:paraId="7B394B02" w14:textId="77777777">
            <w:pPr>
              <w:overflowPunct w:val="0"/>
              <w:autoSpaceDE w:val="0"/>
              <w:autoSpaceDN w:val="0"/>
              <w:adjustRightInd w:val="0"/>
              <w:spacing w:line="240" w:lineRule="auto"/>
              <w:textAlignment w:val="baseline"/>
              <w:rPr>
                <w:i/>
              </w:rPr>
            </w:pPr>
            <w:r>
              <w:rPr>
                <w:i/>
              </w:rPr>
              <w:t>Tel.</w:t>
            </w:r>
          </w:p>
        </w:tc>
        <w:tc>
          <w:tcPr>
            <w:tcW w:w="5670" w:type="dxa"/>
          </w:tcPr>
          <w:p w:rsidRPr="00482C25" w:rsidR="00482C25" w:rsidP="00482C25" w:rsidRDefault="00482C25" w14:paraId="5FFF8E7A" w14:textId="77777777">
            <w:pPr>
              <w:overflowPunct w:val="0"/>
              <w:autoSpaceDE w:val="0"/>
              <w:autoSpaceDN w:val="0"/>
              <w:adjustRightInd w:val="0"/>
              <w:spacing w:line="240" w:lineRule="auto"/>
              <w:textAlignment w:val="baseline"/>
              <w:rPr>
                <w:i/>
              </w:rPr>
            </w:pPr>
            <w:r>
              <w:rPr>
                <w:i/>
              </w:rPr>
              <w:t>+32 25469240</w:t>
            </w:r>
          </w:p>
        </w:tc>
      </w:tr>
      <w:tr w:rsidRPr="00482C25" w:rsidR="00482C25" w:rsidTr="00863A8F" w14:paraId="7AAB38BF" w14:textId="77777777">
        <w:tc>
          <w:tcPr>
            <w:tcW w:w="1418" w:type="dxa"/>
          </w:tcPr>
          <w:p w:rsidRPr="00482C25" w:rsidR="00482C25" w:rsidP="00482C25" w:rsidRDefault="00F365AE" w14:paraId="11B710E6" w14:textId="19C4CC2C">
            <w:pPr>
              <w:overflowPunct w:val="0"/>
              <w:autoSpaceDE w:val="0"/>
              <w:autoSpaceDN w:val="0"/>
              <w:adjustRightInd w:val="0"/>
              <w:spacing w:line="240" w:lineRule="auto"/>
              <w:textAlignment w:val="baseline"/>
              <w:rPr>
                <w:i/>
              </w:rPr>
            </w:pPr>
            <w:r>
              <w:rPr>
                <w:i/>
              </w:rPr>
              <w:t>E-Mail</w:t>
            </w:r>
          </w:p>
        </w:tc>
        <w:tc>
          <w:tcPr>
            <w:tcW w:w="5670" w:type="dxa"/>
          </w:tcPr>
          <w:p w:rsidRPr="00482C25" w:rsidR="00482C25" w:rsidP="00482C25" w:rsidRDefault="005204CC" w14:paraId="370FF809" w14:textId="77777777">
            <w:pPr>
              <w:overflowPunct w:val="0"/>
              <w:autoSpaceDE w:val="0"/>
              <w:autoSpaceDN w:val="0"/>
              <w:adjustRightInd w:val="0"/>
              <w:spacing w:line="240" w:lineRule="auto"/>
              <w:textAlignment w:val="baseline"/>
              <w:rPr>
                <w:i/>
              </w:rPr>
            </w:pPr>
            <w:hyperlink w:history="1" r:id="rId26">
              <w:r w:rsidR="009B458F">
                <w:rPr>
                  <w:color w:val="0000FF"/>
                  <w:u w:val="single"/>
                </w:rPr>
                <w:t>Sergio.LorencioMatallana@eesc.europa.eu</w:t>
              </w:r>
            </w:hyperlink>
          </w:p>
        </w:tc>
      </w:tr>
    </w:tbl>
    <w:p w:rsidRPr="00482C25" w:rsidR="009C5B03" w:rsidRDefault="004D7AC0" w14:paraId="16078824" w14:textId="21FB3874">
      <w:pPr>
        <w:spacing w:after="160" w:line="259" w:lineRule="auto"/>
        <w:jc w:val="left"/>
      </w:pPr>
      <w:r>
        <w:br w:type="page"/>
      </w:r>
    </w:p>
    <w:p w:rsidRPr="00EB5CCE" w:rsidR="00EB5CCE" w:rsidP="004B5D3D" w:rsidRDefault="005204CC" w14:paraId="64C8007D" w14:textId="2DD9685C">
      <w:pPr>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7">
        <w:r w:rsidR="009B458F">
          <w:rPr>
            <w:b/>
            <w:i/>
            <w:color w:val="0000FF"/>
            <w:sz w:val="28"/>
            <w:u w:val="single"/>
          </w:rPr>
          <w:t>Überarbeitung der Territorialen Agenda 2030 im Hinblick auf einen stärker integrierten und bürgerschaftlichen Ansatz mit engerem Bezug zur Kohäsionspolitik</w:t>
        </w:r>
      </w:hyperlink>
    </w:p>
    <w:p w:rsidRPr="00EB5CCE" w:rsidR="00EB5CCE" w:rsidP="00EB5CCE" w:rsidRDefault="00EB5CCE" w14:paraId="67C7B085" w14:textId="77777777">
      <w:pPr>
        <w:widowControl w:val="0"/>
        <w:overflowPunct w:val="0"/>
        <w:autoSpaceDE w:val="0"/>
        <w:autoSpaceDN w:val="0"/>
        <w:adjustRightInd w:val="0"/>
        <w:spacing w:after="120"/>
        <w:ind w:left="266"/>
        <w:textAlignment w:val="baseline"/>
        <w:rPr>
          <w:bCs/>
          <w:lang w:val="en-GB"/>
        </w:rPr>
      </w:pPr>
    </w:p>
    <w:tbl>
      <w:tblPr>
        <w:tblStyle w:val="TableGrid3"/>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6670"/>
        <w:gridCol w:w="552"/>
      </w:tblGrid>
      <w:tr w:rsidRPr="00EB5CCE" w:rsidR="00EB5CCE" w:rsidTr="00863A8F" w14:paraId="7DEF2FBB" w14:textId="77777777">
        <w:trPr>
          <w:gridAfter w:val="1"/>
          <w:wAfter w:w="567" w:type="dxa"/>
        </w:trPr>
        <w:tc>
          <w:tcPr>
            <w:tcW w:w="1701" w:type="dxa"/>
          </w:tcPr>
          <w:p w:rsidRPr="00EB5CCE" w:rsidR="00EB5CCE" w:rsidP="00EB5CCE" w:rsidRDefault="00EB5CCE" w14:paraId="72CBDAD8" w14:textId="77777777">
            <w:pPr>
              <w:tabs>
                <w:tab w:val="center" w:pos="284"/>
              </w:tabs>
              <w:overflowPunct w:val="0"/>
              <w:autoSpaceDE w:val="0"/>
              <w:autoSpaceDN w:val="0"/>
              <w:adjustRightInd w:val="0"/>
              <w:ind w:left="266" w:hanging="266"/>
              <w:textAlignment w:val="baseline"/>
              <w:rPr>
                <w:b/>
              </w:rPr>
            </w:pPr>
            <w:r>
              <w:rPr>
                <w:b/>
              </w:rPr>
              <w:t>Berichterstatter</w:t>
            </w:r>
          </w:p>
        </w:tc>
        <w:tc>
          <w:tcPr>
            <w:tcW w:w="6804" w:type="dxa"/>
          </w:tcPr>
          <w:p w:rsidRPr="00EB5CCE" w:rsidR="00EB5CCE" w:rsidP="00EB5CCE" w:rsidRDefault="00EB5CCE" w14:paraId="11978C54" w14:textId="77777777">
            <w:pPr>
              <w:tabs>
                <w:tab w:val="center" w:pos="284"/>
              </w:tabs>
              <w:overflowPunct w:val="0"/>
              <w:autoSpaceDE w:val="0"/>
              <w:autoSpaceDN w:val="0"/>
              <w:adjustRightInd w:val="0"/>
              <w:ind w:left="266" w:hanging="266"/>
              <w:textAlignment w:val="baseline"/>
              <w:rPr>
                <w:bCs/>
              </w:rPr>
            </w:pPr>
            <w:r>
              <w:t>Stefano PALMIERI (Gruppe Arbeitnehmer – IT)</w:t>
            </w:r>
          </w:p>
        </w:tc>
      </w:tr>
      <w:tr w:rsidRPr="00EB5CCE" w:rsidR="00EB5CCE" w:rsidTr="00863A8F" w14:paraId="13E9AD18" w14:textId="77777777">
        <w:tc>
          <w:tcPr>
            <w:tcW w:w="9072" w:type="dxa"/>
            <w:gridSpan w:val="3"/>
          </w:tcPr>
          <w:p w:rsidRPr="00EB5CCE" w:rsidR="00EB5CCE" w:rsidP="00EB5CCE" w:rsidRDefault="00EB5CCE" w14:paraId="5C070222" w14:textId="77777777">
            <w:pPr>
              <w:tabs>
                <w:tab w:val="center" w:pos="284"/>
              </w:tabs>
              <w:overflowPunct w:val="0"/>
              <w:autoSpaceDE w:val="0"/>
              <w:autoSpaceDN w:val="0"/>
              <w:adjustRightInd w:val="0"/>
              <w:spacing w:line="160" w:lineRule="exact"/>
              <w:ind w:left="266" w:hanging="266"/>
              <w:textAlignment w:val="baseline"/>
            </w:pPr>
          </w:p>
        </w:tc>
      </w:tr>
      <w:tr w:rsidRPr="00EB5CCE" w:rsidR="00EB5CCE" w:rsidTr="00863A8F" w14:paraId="283AA2FE" w14:textId="77777777">
        <w:tc>
          <w:tcPr>
            <w:tcW w:w="1701" w:type="dxa"/>
          </w:tcPr>
          <w:p w:rsidRPr="00EB5CCE" w:rsidR="00EB5CCE" w:rsidP="00EB5CCE" w:rsidRDefault="00EB5CCE" w14:paraId="06A223ED" w14:textId="77777777">
            <w:pPr>
              <w:tabs>
                <w:tab w:val="center" w:pos="284"/>
              </w:tabs>
              <w:overflowPunct w:val="0"/>
              <w:autoSpaceDE w:val="0"/>
              <w:autoSpaceDN w:val="0"/>
              <w:adjustRightInd w:val="0"/>
              <w:ind w:left="266" w:hanging="266"/>
              <w:textAlignment w:val="baseline"/>
              <w:rPr>
                <w:b/>
              </w:rPr>
            </w:pPr>
            <w:r>
              <w:rPr>
                <w:b/>
              </w:rPr>
              <w:t>Referenzdokument</w:t>
            </w:r>
          </w:p>
        </w:tc>
        <w:tc>
          <w:tcPr>
            <w:tcW w:w="7371" w:type="dxa"/>
            <w:gridSpan w:val="2"/>
          </w:tcPr>
          <w:p w:rsidR="00FE0B51" w:rsidP="00EB5CCE" w:rsidRDefault="00EB5CCE" w14:paraId="55D27B75" w14:textId="77777777">
            <w:pPr>
              <w:tabs>
                <w:tab w:val="center" w:pos="284"/>
              </w:tabs>
              <w:overflowPunct w:val="0"/>
              <w:autoSpaceDE w:val="0"/>
              <w:autoSpaceDN w:val="0"/>
              <w:adjustRightInd w:val="0"/>
              <w:ind w:left="266" w:hanging="266"/>
              <w:textAlignment w:val="baseline"/>
            </w:pPr>
            <w:r>
              <w:t>Initiativstellungnahme</w:t>
            </w:r>
          </w:p>
          <w:p w:rsidRPr="00EB5CCE" w:rsidR="00EB5CCE" w:rsidP="00EB5CCE" w:rsidRDefault="00EB5CCE" w14:paraId="1548E30A" w14:textId="088569FE">
            <w:pPr>
              <w:tabs>
                <w:tab w:val="center" w:pos="284"/>
              </w:tabs>
              <w:overflowPunct w:val="0"/>
              <w:autoSpaceDE w:val="0"/>
              <w:autoSpaceDN w:val="0"/>
              <w:adjustRightInd w:val="0"/>
              <w:ind w:left="266" w:hanging="266"/>
              <w:textAlignment w:val="baseline"/>
            </w:pPr>
            <w:r>
              <w:t>EESC-2024-01368-00-00-AC</w:t>
            </w:r>
          </w:p>
        </w:tc>
      </w:tr>
    </w:tbl>
    <w:p w:rsidRPr="00EB5CCE" w:rsidR="00EB5CCE" w:rsidP="00EB5CCE" w:rsidRDefault="00EB5CCE" w14:paraId="6C8BB221" w14:textId="77777777">
      <w:pPr>
        <w:keepNext/>
        <w:keepLines/>
        <w:tabs>
          <w:tab w:val="center" w:pos="284"/>
        </w:tabs>
        <w:overflowPunct w:val="0"/>
        <w:autoSpaceDE w:val="0"/>
        <w:autoSpaceDN w:val="0"/>
        <w:adjustRightInd w:val="0"/>
        <w:spacing w:before="120"/>
        <w:ind w:left="266" w:hanging="266"/>
        <w:textAlignment w:val="baseline"/>
        <w:rPr>
          <w:b/>
        </w:rPr>
      </w:pPr>
      <w:r>
        <w:rPr>
          <w:b/>
        </w:rPr>
        <w:t>Kernaussagen</w:t>
      </w:r>
    </w:p>
    <w:p w:rsidRPr="00EB5CCE" w:rsidR="00EB5CCE" w:rsidP="00EB5CCE" w:rsidRDefault="00EB5CCE" w14:paraId="463D7D3F" w14:textId="77777777">
      <w:pPr>
        <w:overflowPunct w:val="0"/>
        <w:autoSpaceDE w:val="0"/>
        <w:autoSpaceDN w:val="0"/>
        <w:adjustRightInd w:val="0"/>
        <w:textAlignment w:val="baseline"/>
        <w:rPr>
          <w:bCs/>
          <w:iCs/>
          <w:lang w:val="en-GB"/>
        </w:rPr>
      </w:pPr>
    </w:p>
    <w:p w:rsidR="00EB5CCE" w:rsidP="00EB5CCE" w:rsidRDefault="00EB5CCE" w14:paraId="3FFAAB09" w14:textId="77777777">
      <w:pPr>
        <w:overflowPunct w:val="0"/>
        <w:autoSpaceDE w:val="0"/>
        <w:autoSpaceDN w:val="0"/>
        <w:adjustRightInd w:val="0"/>
        <w:textAlignment w:val="baseline"/>
        <w:rPr>
          <w:bCs/>
          <w:iCs/>
        </w:rPr>
      </w:pPr>
      <w:r>
        <w:t>Der EWSA</w:t>
      </w:r>
    </w:p>
    <w:p w:rsidRPr="00EB5CCE" w:rsidR="00FE0B51" w:rsidP="00EB5CCE" w:rsidRDefault="00FE0B51" w14:paraId="2C9C4BB6" w14:textId="77777777">
      <w:pPr>
        <w:overflowPunct w:val="0"/>
        <w:autoSpaceDE w:val="0"/>
        <w:autoSpaceDN w:val="0"/>
        <w:adjustRightInd w:val="0"/>
        <w:textAlignment w:val="baseline"/>
        <w:rPr>
          <w:bCs/>
          <w:iCs/>
          <w:lang w:val="en-GB"/>
        </w:rPr>
      </w:pPr>
    </w:p>
    <w:p w:rsidRPr="00EB5CCE" w:rsidR="00EB5CCE" w:rsidP="00111DFA" w:rsidRDefault="00EB5CCE" w14:paraId="0E80473F" w14:textId="77777777">
      <w:pPr>
        <w:numPr>
          <w:ilvl w:val="0"/>
          <w:numId w:val="19"/>
        </w:numPr>
        <w:overflowPunct w:val="0"/>
        <w:autoSpaceDE w:val="0"/>
        <w:autoSpaceDN w:val="0"/>
        <w:adjustRightInd w:val="0"/>
        <w:ind w:left="709" w:right="283" w:hanging="425"/>
        <w:textAlignment w:val="baseline"/>
        <w:rPr>
          <w:szCs w:val="20"/>
        </w:rPr>
      </w:pPr>
      <w:r>
        <w:t>ist der Auffassung, dass die Territoriale Agenda die im Bericht von Enrico Letta beschriebene fünfte Freiheit des Binnenmarkts, die „Freiheit zu bleiben“, und zwar dort, wo man seinen Lebensmittelpunkt gewählt hat, fördern und damit den vollen wirtschaftlichen, sozialen und territorialen Zusammenhalt gewährleisten sollte. Andererseits muss sie, wie im Bericht von Mario Draghi erläutert, auch sicherstellen, dass alle Regionen die Möglichkeiten der lokalen Entwicklung durch Maßnahmen zur Gewährleistung und Stärkung ihrer Wettbewerbsfähigkeit nutzen können;</w:t>
      </w:r>
    </w:p>
    <w:p w:rsidRPr="00EB5CCE" w:rsidR="00EB5CCE" w:rsidP="00111DFA" w:rsidRDefault="00EB5CCE" w14:paraId="6A3A0098" w14:textId="77777777">
      <w:pPr>
        <w:numPr>
          <w:ilvl w:val="0"/>
          <w:numId w:val="19"/>
        </w:numPr>
        <w:overflowPunct w:val="0"/>
        <w:autoSpaceDE w:val="0"/>
        <w:autoSpaceDN w:val="0"/>
        <w:adjustRightInd w:val="0"/>
        <w:ind w:left="709" w:right="283" w:hanging="425"/>
        <w:textAlignment w:val="baseline"/>
        <w:rPr>
          <w:szCs w:val="20"/>
        </w:rPr>
      </w:pPr>
      <w:r>
        <w:t>betont, dass die Territoriale Agenda 2030 (TA2030) mit ihrem Schwerpunkt auf einem gerechteren und grüneren Europa auf die langfristigen Ziele der EU abgestimmt ist und eine solide Grundlage für eine integrierte territoriale Planung bietet;</w:t>
      </w:r>
    </w:p>
    <w:p w:rsidRPr="00EB5CCE" w:rsidR="00EB5CCE" w:rsidP="00111DFA" w:rsidRDefault="00EB5CCE" w14:paraId="4E35B6B6" w14:textId="77777777">
      <w:pPr>
        <w:numPr>
          <w:ilvl w:val="0"/>
          <w:numId w:val="19"/>
        </w:numPr>
        <w:overflowPunct w:val="0"/>
        <w:autoSpaceDE w:val="0"/>
        <w:autoSpaceDN w:val="0"/>
        <w:adjustRightInd w:val="0"/>
        <w:ind w:left="709" w:right="283" w:hanging="425"/>
        <w:textAlignment w:val="baseline"/>
        <w:rPr>
          <w:szCs w:val="20"/>
        </w:rPr>
      </w:pPr>
      <w:r>
        <w:t>stellt fest, dass die Vorteile der TA2030 im Hinblick auf die Förderung des Zusammenhalts und einer gerechten Entwicklung trotz der EU-Maßnahmen zur Erprobung und Umsetzung der Agenda auf lokaler und territorialer Ebene noch nicht voll ausgeschöpft werden;</w:t>
      </w:r>
    </w:p>
    <w:p w:rsidRPr="00EB5CCE" w:rsidR="00EB5CCE" w:rsidP="00111DFA" w:rsidRDefault="00EB5CCE" w14:paraId="7DAF48BE" w14:textId="77777777">
      <w:pPr>
        <w:numPr>
          <w:ilvl w:val="0"/>
          <w:numId w:val="19"/>
        </w:numPr>
        <w:overflowPunct w:val="0"/>
        <w:autoSpaceDE w:val="0"/>
        <w:autoSpaceDN w:val="0"/>
        <w:adjustRightInd w:val="0"/>
        <w:ind w:left="709" w:right="283" w:hanging="425"/>
        <w:textAlignment w:val="baseline"/>
        <w:rPr>
          <w:szCs w:val="20"/>
        </w:rPr>
      </w:pPr>
      <w:r>
        <w:t>ist der Ansicht, dass die Verknüpfung zwischen der TA2030 und der Kohäsionspolitik verbessert werden muss. Die TA2030 ist ein strategisches Instrument zur Unterstützung der Regionen und Städte, indem Prioritäten zur Bewältigung ihrer Probleme festgelegt werden, wobei die Kohäsionspolitik ihre Umsetzung sicherstellt;</w:t>
      </w:r>
    </w:p>
    <w:p w:rsidRPr="00EB5CCE" w:rsidR="00EB5CCE" w:rsidP="00111DFA" w:rsidRDefault="00EB5CCE" w14:paraId="48869F0D" w14:textId="77777777">
      <w:pPr>
        <w:numPr>
          <w:ilvl w:val="0"/>
          <w:numId w:val="19"/>
        </w:numPr>
        <w:overflowPunct w:val="0"/>
        <w:autoSpaceDE w:val="0"/>
        <w:autoSpaceDN w:val="0"/>
        <w:adjustRightInd w:val="0"/>
        <w:ind w:left="709" w:right="283" w:hanging="425"/>
        <w:textAlignment w:val="baseline"/>
        <w:rPr>
          <w:szCs w:val="20"/>
        </w:rPr>
      </w:pPr>
      <w:r>
        <w:t>hält es für notwendig, die Zivilgesellschaft besser zu informieren und stärker in die Planung und Umsetzung der TA2030 einzubeziehen. Er verweist auf das Risiko von Initiativen und Projekten, die nicht vollständig mit den Bedürfnissen der Bürger und der sozialen und wirtschaftlichen Interessenträger in Einklang stehen, für die die Maßnahmen und Strategien der EU doch gedacht sind;</w:t>
      </w:r>
    </w:p>
    <w:p w:rsidRPr="00EB5CCE" w:rsidR="00EB5CCE" w:rsidP="00111DFA" w:rsidRDefault="00EB5CCE" w14:paraId="6F90A3A4" w14:textId="77777777">
      <w:pPr>
        <w:numPr>
          <w:ilvl w:val="0"/>
          <w:numId w:val="19"/>
        </w:numPr>
        <w:overflowPunct w:val="0"/>
        <w:autoSpaceDE w:val="0"/>
        <w:autoSpaceDN w:val="0"/>
        <w:adjustRightInd w:val="0"/>
        <w:ind w:left="709" w:right="283" w:hanging="425"/>
        <w:textAlignment w:val="baseline"/>
        <w:rPr>
          <w:szCs w:val="20"/>
        </w:rPr>
      </w:pPr>
      <w:r>
        <w:t>verweist auf die Krisen und systemischen Veränderungen in der EU sowie auf die daraus resultierende Zunahme der (sozialen, wirtschaftlichen, ökologischen usw.) Probleme und Risiken;</w:t>
      </w:r>
    </w:p>
    <w:p w:rsidRPr="00EB5CCE" w:rsidR="00EB5CCE" w:rsidP="00111DFA" w:rsidRDefault="00EB5CCE" w14:paraId="1AE2B654" w14:textId="77777777">
      <w:pPr>
        <w:numPr>
          <w:ilvl w:val="0"/>
          <w:numId w:val="19"/>
        </w:numPr>
        <w:overflowPunct w:val="0"/>
        <w:autoSpaceDE w:val="0"/>
        <w:autoSpaceDN w:val="0"/>
        <w:adjustRightInd w:val="0"/>
        <w:ind w:left="709" w:right="283" w:hanging="425"/>
        <w:textAlignment w:val="baseline"/>
        <w:rPr>
          <w:szCs w:val="20"/>
        </w:rPr>
      </w:pPr>
      <w:r>
        <w:t>begrüßt das Entwicklungs- und Erprobungsverfahren für die TA2030 mithilfe von Pilotaktionen, weist jedoch darauf hin, dass die Einführung integrierter (sozialer, wirtschaftlicher und ökologischer) Verfahren noch erheblich verbessert werden kann;</w:t>
      </w:r>
    </w:p>
    <w:p w:rsidRPr="00EB5CCE" w:rsidR="00EB5CCE" w:rsidP="00111DFA" w:rsidRDefault="00EB5CCE" w14:paraId="06796FCA" w14:textId="77777777">
      <w:pPr>
        <w:numPr>
          <w:ilvl w:val="0"/>
          <w:numId w:val="19"/>
        </w:numPr>
        <w:overflowPunct w:val="0"/>
        <w:autoSpaceDE w:val="0"/>
        <w:autoSpaceDN w:val="0"/>
        <w:adjustRightInd w:val="0"/>
        <w:ind w:left="709" w:right="283" w:hanging="425"/>
        <w:textAlignment w:val="baseline"/>
        <w:rPr>
          <w:szCs w:val="20"/>
        </w:rPr>
      </w:pPr>
      <w:r>
        <w:t>ist der Auffassung, dass der Zusammenhalt, die Nachhaltigkeit und die Resilienz der verschiedenen territorialen Realitäten der EU nicht getrennt voneinander und nicht mit herkömmlichen Instrumenten angegangen werden können. Er empfiehlt daher, die TA2030 gemäß den Leitlinien des Europäischen Beobachtungsnetz für Raumordnung (ESPON) in das Verfahren des Europäischen Semesters einzubeziehen;</w:t>
      </w:r>
    </w:p>
    <w:p w:rsidRPr="00EB5CCE" w:rsidR="00EB5CCE" w:rsidP="00111DFA" w:rsidRDefault="00EB5CCE" w14:paraId="7BC23F7E" w14:textId="77777777">
      <w:pPr>
        <w:numPr>
          <w:ilvl w:val="0"/>
          <w:numId w:val="19"/>
        </w:numPr>
        <w:overflowPunct w:val="0"/>
        <w:autoSpaceDE w:val="0"/>
        <w:autoSpaceDN w:val="0"/>
        <w:adjustRightInd w:val="0"/>
        <w:ind w:left="709" w:right="283" w:hanging="425"/>
        <w:textAlignment w:val="baseline"/>
        <w:rPr>
          <w:szCs w:val="20"/>
        </w:rPr>
      </w:pPr>
      <w:r>
        <w:t xml:space="preserve">empfiehlt, die TA2030 möglichst umfassend mit der Kohäsionspolitik abzustimmen; </w:t>
      </w:r>
    </w:p>
    <w:p w:rsidRPr="00EB5CCE" w:rsidR="00EB5CCE" w:rsidP="00111DFA" w:rsidRDefault="00EB5CCE" w14:paraId="660ABDEE" w14:textId="77777777">
      <w:pPr>
        <w:numPr>
          <w:ilvl w:val="0"/>
          <w:numId w:val="19"/>
        </w:numPr>
        <w:overflowPunct w:val="0"/>
        <w:autoSpaceDE w:val="0"/>
        <w:autoSpaceDN w:val="0"/>
        <w:adjustRightInd w:val="0"/>
        <w:ind w:left="709" w:right="283" w:hanging="425"/>
        <w:textAlignment w:val="baseline"/>
        <w:rPr>
          <w:szCs w:val="20"/>
        </w:rPr>
      </w:pPr>
      <w:r>
        <w:t xml:space="preserve">weist darauf hin, dass die Sozial- und Wirtschaftspartner gemäß dem Partnerschaftsprinzip stärker in die lokale und regionale territoriale Entwicklung einbezogen werden müssen; </w:t>
      </w:r>
    </w:p>
    <w:p w:rsidRPr="00EB5CCE" w:rsidR="00EB5CCE" w:rsidP="00111DFA" w:rsidRDefault="00EB5CCE" w14:paraId="452548B9" w14:textId="77777777">
      <w:pPr>
        <w:numPr>
          <w:ilvl w:val="0"/>
          <w:numId w:val="19"/>
        </w:numPr>
        <w:overflowPunct w:val="0"/>
        <w:autoSpaceDE w:val="0"/>
        <w:autoSpaceDN w:val="0"/>
        <w:adjustRightInd w:val="0"/>
        <w:ind w:left="709" w:right="283" w:hanging="425"/>
        <w:textAlignment w:val="baseline"/>
        <w:rPr>
          <w:szCs w:val="20"/>
        </w:rPr>
      </w:pPr>
      <w:r>
        <w:t>betont, dass Verfahren und Initiativen entwickelt werden müssen, um die Abstimmung der TA2030 auf den Bedarf und die Herausforderungen der EU sowie die Synergien mit der Leipzig-Charta und der EU-Städteagenda zu stärken;</w:t>
      </w:r>
    </w:p>
    <w:p w:rsidRPr="00EB5CCE" w:rsidR="00EB5CCE" w:rsidP="00111DFA" w:rsidRDefault="00EB5CCE" w14:paraId="4263C550" w14:textId="77777777">
      <w:pPr>
        <w:numPr>
          <w:ilvl w:val="0"/>
          <w:numId w:val="19"/>
        </w:numPr>
        <w:overflowPunct w:val="0"/>
        <w:autoSpaceDE w:val="0"/>
        <w:autoSpaceDN w:val="0"/>
        <w:adjustRightInd w:val="0"/>
        <w:ind w:left="709" w:right="283" w:hanging="425"/>
        <w:textAlignment w:val="baseline"/>
        <w:rPr>
          <w:szCs w:val="20"/>
        </w:rPr>
      </w:pPr>
      <w:r>
        <w:t>hält eine spezifische Ausrichtung der Maßnahmen der TA2030 gemäß Prioritäten wie Bekämpfung des Klimawandels, Anpassung an den demografischen Wandel und Stärkung des bürgerschaftlichen Ansatzes für wesentlich;</w:t>
      </w:r>
    </w:p>
    <w:p w:rsidRPr="00EB5CCE" w:rsidR="00EB5CCE" w:rsidP="00111DFA" w:rsidRDefault="00EB5CCE" w14:paraId="08955B51" w14:textId="77777777">
      <w:pPr>
        <w:numPr>
          <w:ilvl w:val="0"/>
          <w:numId w:val="19"/>
        </w:numPr>
        <w:overflowPunct w:val="0"/>
        <w:autoSpaceDE w:val="0"/>
        <w:autoSpaceDN w:val="0"/>
        <w:adjustRightInd w:val="0"/>
        <w:ind w:left="709" w:right="283" w:hanging="425"/>
        <w:textAlignment w:val="baseline"/>
        <w:rPr>
          <w:szCs w:val="20"/>
        </w:rPr>
      </w:pPr>
      <w:r>
        <w:t>hält es für vorrangig, eine ausgewogene und nachhaltige territoriale Entwicklung durch eine engere Zusammenarbeit aller Regierungs- und Verwaltungsebenen zu fördern und die Öffentlichkeit stärker zu konsultieren.</w:t>
      </w:r>
    </w:p>
    <w:p w:rsidRPr="00EB5CCE" w:rsidR="00EB5CCE" w:rsidP="00EB5CCE" w:rsidRDefault="00EB5CCE" w14:paraId="64DCF051" w14:textId="77777777">
      <w:pPr>
        <w:spacing w:after="200" w:line="276" w:lineRule="auto"/>
        <w:ind w:left="360"/>
        <w:contextualSpacing/>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B5CCE" w:rsidR="00EB5CCE" w:rsidTr="00863A8F" w14:paraId="7DEEBD4B" w14:textId="77777777">
        <w:tc>
          <w:tcPr>
            <w:tcW w:w="1418" w:type="dxa"/>
          </w:tcPr>
          <w:p w:rsidRPr="00EB5CCE" w:rsidR="00EB5CCE" w:rsidP="00EB5CCE" w:rsidRDefault="00EB5CCE" w14:paraId="0AFC2E9E" w14:textId="77777777">
            <w:pPr>
              <w:overflowPunct w:val="0"/>
              <w:autoSpaceDE w:val="0"/>
              <w:autoSpaceDN w:val="0"/>
              <w:adjustRightInd w:val="0"/>
              <w:spacing w:line="240" w:lineRule="auto"/>
              <w:textAlignment w:val="baseline"/>
              <w:rPr>
                <w:i/>
              </w:rPr>
            </w:pPr>
            <w:r>
              <w:rPr>
                <w:b/>
                <w:i/>
              </w:rPr>
              <w:t>Kontakt</w:t>
            </w:r>
          </w:p>
        </w:tc>
        <w:tc>
          <w:tcPr>
            <w:tcW w:w="5670" w:type="dxa"/>
          </w:tcPr>
          <w:p w:rsidRPr="00EB5CCE" w:rsidR="00EB5CCE" w:rsidP="00EB5CCE" w:rsidRDefault="00EB5CCE" w14:paraId="0795190D" w14:textId="77777777">
            <w:pPr>
              <w:overflowPunct w:val="0"/>
              <w:autoSpaceDE w:val="0"/>
              <w:autoSpaceDN w:val="0"/>
              <w:adjustRightInd w:val="0"/>
              <w:spacing w:line="240" w:lineRule="auto"/>
              <w:textAlignment w:val="baseline"/>
              <w:rPr>
                <w:b/>
                <w:bCs/>
                <w:i/>
              </w:rPr>
            </w:pPr>
            <w:r>
              <w:rPr>
                <w:b/>
                <w:i/>
              </w:rPr>
              <w:t>Georgios Meleas</w:t>
            </w:r>
          </w:p>
        </w:tc>
      </w:tr>
      <w:tr w:rsidRPr="00EB5CCE" w:rsidR="00EB5CCE" w:rsidTr="00863A8F" w14:paraId="597E4104" w14:textId="77777777">
        <w:tc>
          <w:tcPr>
            <w:tcW w:w="1418" w:type="dxa"/>
          </w:tcPr>
          <w:p w:rsidRPr="00EB5CCE" w:rsidR="00EB5CCE" w:rsidP="00EB5CCE" w:rsidRDefault="00EB5CCE" w14:paraId="4AE0E194" w14:textId="77777777">
            <w:pPr>
              <w:overflowPunct w:val="0"/>
              <w:autoSpaceDE w:val="0"/>
              <w:autoSpaceDN w:val="0"/>
              <w:adjustRightInd w:val="0"/>
              <w:spacing w:line="240" w:lineRule="auto"/>
              <w:textAlignment w:val="baseline"/>
              <w:rPr>
                <w:i/>
              </w:rPr>
            </w:pPr>
            <w:r>
              <w:rPr>
                <w:i/>
              </w:rPr>
              <w:t>Tel.</w:t>
            </w:r>
          </w:p>
        </w:tc>
        <w:tc>
          <w:tcPr>
            <w:tcW w:w="5670" w:type="dxa"/>
          </w:tcPr>
          <w:p w:rsidRPr="00EB5CCE" w:rsidR="00EB5CCE" w:rsidP="00EB5CCE" w:rsidRDefault="00EB5CCE" w14:paraId="303AC402" w14:textId="77777777">
            <w:pPr>
              <w:overflowPunct w:val="0"/>
              <w:autoSpaceDE w:val="0"/>
              <w:autoSpaceDN w:val="0"/>
              <w:adjustRightInd w:val="0"/>
              <w:spacing w:line="240" w:lineRule="auto"/>
              <w:textAlignment w:val="baseline"/>
              <w:rPr>
                <w:i/>
              </w:rPr>
            </w:pPr>
            <w:r>
              <w:rPr>
                <w:i/>
              </w:rPr>
              <w:t>+32 25469795</w:t>
            </w:r>
          </w:p>
        </w:tc>
      </w:tr>
      <w:tr w:rsidRPr="00EB5CCE" w:rsidR="00EB5CCE" w:rsidTr="00863A8F" w14:paraId="5942734A" w14:textId="77777777">
        <w:tc>
          <w:tcPr>
            <w:tcW w:w="1418" w:type="dxa"/>
          </w:tcPr>
          <w:p w:rsidRPr="00EB5CCE" w:rsidR="00EB5CCE" w:rsidP="00EB5CCE" w:rsidRDefault="00EB5CCE" w14:paraId="5B910A72" w14:textId="77777777">
            <w:pPr>
              <w:overflowPunct w:val="0"/>
              <w:autoSpaceDE w:val="0"/>
              <w:autoSpaceDN w:val="0"/>
              <w:adjustRightInd w:val="0"/>
              <w:spacing w:line="240" w:lineRule="auto"/>
              <w:textAlignment w:val="baseline"/>
              <w:rPr>
                <w:i/>
              </w:rPr>
            </w:pPr>
            <w:r>
              <w:rPr>
                <w:i/>
              </w:rPr>
              <w:t>E-Mail</w:t>
            </w:r>
          </w:p>
        </w:tc>
        <w:tc>
          <w:tcPr>
            <w:tcW w:w="5670" w:type="dxa"/>
          </w:tcPr>
          <w:p w:rsidRPr="00EB5CCE" w:rsidR="00EB5CCE" w:rsidP="00EB5CCE" w:rsidRDefault="005204CC" w14:paraId="664AA901" w14:textId="77777777">
            <w:pPr>
              <w:overflowPunct w:val="0"/>
              <w:autoSpaceDE w:val="0"/>
              <w:autoSpaceDN w:val="0"/>
              <w:adjustRightInd w:val="0"/>
              <w:spacing w:line="240" w:lineRule="auto"/>
              <w:textAlignment w:val="baseline"/>
              <w:rPr>
                <w:i/>
              </w:rPr>
            </w:pPr>
            <w:hyperlink w:history="1" r:id="rId28">
              <w:r w:rsidR="009B458F">
                <w:rPr>
                  <w:i/>
                  <w:color w:val="0000FF"/>
                  <w:u w:val="single"/>
                </w:rPr>
                <w:t>Georgios.Meleas@eesc.europa.eu</w:t>
              </w:r>
            </w:hyperlink>
            <w:r w:rsidR="009B458F">
              <w:rPr>
                <w:i/>
              </w:rPr>
              <w:t xml:space="preserve"> </w:t>
            </w:r>
          </w:p>
        </w:tc>
      </w:tr>
    </w:tbl>
    <w:p w:rsidRPr="00EB5CCE" w:rsidR="009C5B03" w:rsidRDefault="009C5B03" w14:paraId="2929773F" w14:textId="5B7797CD">
      <w:pPr>
        <w:spacing w:after="160" w:line="259" w:lineRule="auto"/>
        <w:jc w:val="left"/>
      </w:pPr>
      <w:r>
        <w:br w:type="page"/>
      </w:r>
    </w:p>
    <w:p w:rsidR="004D7AC0" w:rsidP="006D6D4E" w:rsidRDefault="004D7AC0" w14:paraId="4982DD99" w14:textId="77777777">
      <w:pPr>
        <w:pStyle w:val="Heading1"/>
        <w:keepNext/>
        <w:keepLines/>
        <w:rPr>
          <w:b/>
        </w:rPr>
      </w:pPr>
      <w:bookmarkStart w:name="_Toc75527081" w:id="13"/>
      <w:bookmarkStart w:name="_Toc184973446" w:id="14"/>
      <w:r>
        <w:rPr>
          <w:b/>
        </w:rPr>
        <w:t>BESCHÄFTIGUNG, SOZIALFRAGEN, UNIONSBÜRGERSCHAFT</w:t>
      </w:r>
      <w:bookmarkEnd w:id="13"/>
      <w:bookmarkEnd w:id="14"/>
    </w:p>
    <w:p w:rsidRPr="00AB6CDB" w:rsidR="006A1AC2" w:rsidP="004D7AC0" w:rsidRDefault="006A1AC2" w14:paraId="7B7E28B8" w14:textId="77777777">
      <w:pPr>
        <w:pStyle w:val="ListParagraph"/>
        <w:ind w:left="0"/>
      </w:pPr>
    </w:p>
    <w:p w:rsidRPr="00F8361B" w:rsidR="00F8361B" w:rsidP="00F8361B" w:rsidRDefault="005204CC" w14:paraId="54BC0BD2" w14:textId="2C12DB0F">
      <w:pPr>
        <w:widowControl w:val="0"/>
        <w:numPr>
          <w:ilvl w:val="0"/>
          <w:numId w:val="6"/>
        </w:numPr>
        <w:overflowPunct w:val="0"/>
        <w:autoSpaceDE w:val="0"/>
        <w:autoSpaceDN w:val="0"/>
        <w:adjustRightInd w:val="0"/>
        <w:ind w:hanging="567"/>
        <w:textAlignment w:val="baseline"/>
        <w:rPr>
          <w:b/>
          <w:bCs/>
          <w:i/>
          <w:iCs/>
          <w:sz w:val="28"/>
          <w:szCs w:val="28"/>
        </w:rPr>
      </w:pPr>
      <w:hyperlink w:history="1" r:id="rId29">
        <w:r w:rsidR="00F8361B">
          <w:rPr>
            <w:b/>
            <w:i/>
            <w:color w:val="0000FF"/>
            <w:sz w:val="28"/>
            <w:u w:val="single"/>
          </w:rPr>
          <w:t>Wirksame Integration von Drittstaatsangehörigen in den EU-Arbeitsmarkt – Sachstand und Rechtslage</w:t>
        </w:r>
      </w:hyperlink>
    </w:p>
    <w:p w:rsidRPr="00F8361B" w:rsidR="00F8361B" w:rsidP="00F8361B" w:rsidRDefault="00F8361B" w14:paraId="4D1E5E2A" w14:textId="77777777">
      <w:pPr>
        <w:widowControl w:val="0"/>
        <w:overflowPunct w:val="0"/>
        <w:autoSpaceDE w:val="0"/>
        <w:autoSpaceDN w:val="0"/>
        <w:adjustRightInd w:val="0"/>
        <w:ind w:left="567"/>
        <w:textAlignment w:val="baseline"/>
        <w:rPr>
          <w:b/>
          <w:bCs/>
          <w:i/>
          <w:iCs/>
          <w:sz w:val="28"/>
          <w:szCs w:val="28"/>
        </w:rPr>
      </w:pPr>
    </w:p>
    <w:tbl>
      <w:tblPr>
        <w:tblStyle w:val="TableGrid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4786"/>
        <w:gridCol w:w="1195"/>
      </w:tblGrid>
      <w:tr w:rsidRPr="00F8361B" w:rsidR="00F8361B" w:rsidTr="00863A8F" w14:paraId="16AB33D9" w14:textId="77777777">
        <w:tc>
          <w:tcPr>
            <w:tcW w:w="1297" w:type="pct"/>
          </w:tcPr>
          <w:p w:rsidRPr="00F8361B" w:rsidR="00F8361B" w:rsidP="00643D0B" w:rsidRDefault="00F8361B" w14:paraId="210F5A29" w14:textId="77777777">
            <w:pPr>
              <w:widowControl w:val="0"/>
              <w:overflowPunct w:val="0"/>
              <w:autoSpaceDE w:val="0"/>
              <w:autoSpaceDN w:val="0"/>
              <w:adjustRightInd w:val="0"/>
              <w:spacing w:line="240" w:lineRule="auto"/>
              <w:ind w:left="-113"/>
              <w:textAlignment w:val="baseline"/>
              <w:rPr>
                <w:b/>
              </w:rPr>
            </w:pPr>
            <w:r>
              <w:rPr>
                <w:b/>
              </w:rPr>
              <w:t>Berichterstatter</w:t>
            </w:r>
          </w:p>
          <w:p w:rsidRPr="00F8361B" w:rsidR="00F8361B" w:rsidP="00643D0B" w:rsidRDefault="00F8361B" w14:paraId="650295C2" w14:textId="77777777">
            <w:pPr>
              <w:widowControl w:val="0"/>
              <w:overflowPunct w:val="0"/>
              <w:autoSpaceDE w:val="0"/>
              <w:autoSpaceDN w:val="0"/>
              <w:adjustRightInd w:val="0"/>
              <w:spacing w:line="240" w:lineRule="auto"/>
              <w:ind w:left="-113"/>
              <w:textAlignment w:val="baseline"/>
              <w:rPr>
                <w:b/>
              </w:rPr>
            </w:pPr>
          </w:p>
        </w:tc>
        <w:tc>
          <w:tcPr>
            <w:tcW w:w="3703" w:type="pct"/>
            <w:gridSpan w:val="2"/>
          </w:tcPr>
          <w:p w:rsidRPr="00F8361B" w:rsidR="00F8361B" w:rsidP="00643D0B" w:rsidRDefault="00F8361B" w14:paraId="2F381C87" w14:textId="77777777">
            <w:pPr>
              <w:widowControl w:val="0"/>
              <w:tabs>
                <w:tab w:val="left" w:pos="4572"/>
              </w:tabs>
              <w:overflowPunct w:val="0"/>
              <w:autoSpaceDE w:val="0"/>
              <w:autoSpaceDN w:val="0"/>
              <w:adjustRightInd w:val="0"/>
              <w:spacing w:line="240" w:lineRule="auto"/>
              <w:ind w:left="-113" w:right="-823"/>
              <w:textAlignment w:val="baseline"/>
            </w:pPr>
            <w:r>
              <w:t>Panagiotis GKOFAS (Gruppe Organisationen der Zivilgesellschaft – EL)</w:t>
            </w:r>
          </w:p>
        </w:tc>
      </w:tr>
      <w:tr w:rsidRPr="000C4EA7" w:rsidR="00F8361B" w:rsidTr="00863A8F" w14:paraId="669D8CBB" w14:textId="77777777">
        <w:tc>
          <w:tcPr>
            <w:tcW w:w="1297" w:type="pct"/>
          </w:tcPr>
          <w:p w:rsidRPr="00F8361B" w:rsidR="00F8361B" w:rsidP="00643D0B" w:rsidRDefault="00F8361B" w14:paraId="40F0C647" w14:textId="77777777">
            <w:pPr>
              <w:widowControl w:val="0"/>
              <w:overflowPunct w:val="0"/>
              <w:autoSpaceDE w:val="0"/>
              <w:autoSpaceDN w:val="0"/>
              <w:adjustRightInd w:val="0"/>
              <w:spacing w:line="240" w:lineRule="auto"/>
              <w:ind w:left="-113"/>
              <w:textAlignment w:val="baseline"/>
              <w:rPr>
                <w:b/>
              </w:rPr>
            </w:pPr>
            <w:r>
              <w:rPr>
                <w:b/>
              </w:rPr>
              <w:t>Ko-Berichterstatter</w:t>
            </w:r>
          </w:p>
        </w:tc>
        <w:tc>
          <w:tcPr>
            <w:tcW w:w="3703" w:type="pct"/>
            <w:gridSpan w:val="2"/>
          </w:tcPr>
          <w:p w:rsidRPr="00F8361B" w:rsidR="00F8361B" w:rsidP="00643D0B" w:rsidRDefault="00F8361B" w14:paraId="6FF35F57" w14:textId="6A6AA37E">
            <w:pPr>
              <w:widowControl w:val="0"/>
              <w:tabs>
                <w:tab w:val="left" w:pos="4572"/>
              </w:tabs>
              <w:overflowPunct w:val="0"/>
              <w:autoSpaceDE w:val="0"/>
              <w:autoSpaceDN w:val="0"/>
              <w:adjustRightInd w:val="0"/>
              <w:spacing w:line="240" w:lineRule="auto"/>
              <w:ind w:left="-113" w:right="-823"/>
              <w:textAlignment w:val="baseline"/>
            </w:pPr>
            <w:r>
              <w:t>José Antonio MORENO DÍAZ (Gruppe Arbeitnehmer – ES)</w:t>
            </w:r>
          </w:p>
        </w:tc>
      </w:tr>
      <w:tr w:rsidRPr="000C4EA7" w:rsidR="00F8361B" w:rsidTr="00863A8F" w14:paraId="0920373A" w14:textId="77777777">
        <w:tc>
          <w:tcPr>
            <w:tcW w:w="1297" w:type="pct"/>
          </w:tcPr>
          <w:p w:rsidRPr="00F8361B" w:rsidR="00F8361B" w:rsidP="00643D0B" w:rsidRDefault="00F8361B" w14:paraId="452CD326" w14:textId="77777777">
            <w:pPr>
              <w:widowControl w:val="0"/>
              <w:overflowPunct w:val="0"/>
              <w:autoSpaceDE w:val="0"/>
              <w:autoSpaceDN w:val="0"/>
              <w:adjustRightInd w:val="0"/>
              <w:spacing w:line="240" w:lineRule="auto"/>
              <w:ind w:left="-113"/>
              <w:textAlignment w:val="baseline"/>
              <w:rPr>
                <w:b/>
                <w:lang w:val="es-ES_tradnl"/>
              </w:rPr>
            </w:pPr>
          </w:p>
        </w:tc>
        <w:tc>
          <w:tcPr>
            <w:tcW w:w="3703" w:type="pct"/>
            <w:gridSpan w:val="2"/>
          </w:tcPr>
          <w:p w:rsidRPr="00F8361B" w:rsidR="00F8361B" w:rsidP="00643D0B" w:rsidRDefault="00F8361B" w14:paraId="63AD4440" w14:textId="77777777">
            <w:pPr>
              <w:widowControl w:val="0"/>
              <w:tabs>
                <w:tab w:val="left" w:pos="4572"/>
              </w:tabs>
              <w:overflowPunct w:val="0"/>
              <w:autoSpaceDE w:val="0"/>
              <w:autoSpaceDN w:val="0"/>
              <w:adjustRightInd w:val="0"/>
              <w:spacing w:line="240" w:lineRule="auto"/>
              <w:ind w:left="-113" w:right="-823"/>
              <w:textAlignment w:val="baseline"/>
              <w:rPr>
                <w:lang w:val="es-ES_tradnl"/>
              </w:rPr>
            </w:pPr>
          </w:p>
        </w:tc>
      </w:tr>
      <w:tr w:rsidRPr="00F8361B" w:rsidR="00F8361B" w:rsidTr="00863A8F" w14:paraId="64E0BE1E" w14:textId="77777777">
        <w:trPr>
          <w:gridAfter w:val="1"/>
          <w:wAfter w:w="740" w:type="pct"/>
        </w:trPr>
        <w:tc>
          <w:tcPr>
            <w:tcW w:w="1297" w:type="pct"/>
            <w:vMerge w:val="restart"/>
          </w:tcPr>
          <w:p w:rsidRPr="00F8361B" w:rsidR="00F8361B" w:rsidP="00643D0B" w:rsidRDefault="00F8361B" w14:paraId="33F355BB" w14:textId="77777777">
            <w:pPr>
              <w:widowControl w:val="0"/>
              <w:overflowPunct w:val="0"/>
              <w:autoSpaceDE w:val="0"/>
              <w:autoSpaceDN w:val="0"/>
              <w:adjustRightInd w:val="0"/>
              <w:spacing w:line="240" w:lineRule="auto"/>
              <w:ind w:left="-113"/>
              <w:textAlignment w:val="baseline"/>
              <w:rPr>
                <w:b/>
              </w:rPr>
            </w:pPr>
            <w:r>
              <w:rPr>
                <w:b/>
              </w:rPr>
              <w:t>Referenzdokument</w:t>
            </w:r>
          </w:p>
        </w:tc>
        <w:tc>
          <w:tcPr>
            <w:tcW w:w="2963" w:type="pct"/>
          </w:tcPr>
          <w:p w:rsidR="00753C49" w:rsidP="00753C49" w:rsidRDefault="00753C49" w14:paraId="18283D1B" w14:textId="0F6A3197">
            <w:pPr>
              <w:widowControl w:val="0"/>
              <w:tabs>
                <w:tab w:val="left" w:pos="4430"/>
              </w:tabs>
              <w:overflowPunct w:val="0"/>
              <w:autoSpaceDE w:val="0"/>
              <w:autoSpaceDN w:val="0"/>
              <w:adjustRightInd w:val="0"/>
              <w:spacing w:line="240" w:lineRule="auto"/>
              <w:ind w:left="-113" w:right="-823"/>
              <w:textAlignment w:val="baseline"/>
            </w:pPr>
            <w:r>
              <w:t>Initiativstellungnahme</w:t>
            </w:r>
          </w:p>
          <w:p w:rsidRPr="00F8361B" w:rsidR="00F8361B" w:rsidP="00643D0B" w:rsidRDefault="00F8361B" w14:paraId="192CC07A" w14:textId="0511D515">
            <w:pPr>
              <w:widowControl w:val="0"/>
              <w:tabs>
                <w:tab w:val="left" w:pos="4430"/>
              </w:tabs>
              <w:overflowPunct w:val="0"/>
              <w:autoSpaceDE w:val="0"/>
              <w:autoSpaceDN w:val="0"/>
              <w:adjustRightInd w:val="0"/>
              <w:spacing w:line="240" w:lineRule="auto"/>
              <w:ind w:left="-113" w:right="-823"/>
              <w:textAlignment w:val="baseline"/>
            </w:pPr>
            <w:r>
              <w:t>EESC-2024-01017-00-00-AC</w:t>
            </w:r>
          </w:p>
        </w:tc>
      </w:tr>
      <w:tr w:rsidRPr="00F8361B" w:rsidR="00F8361B" w:rsidTr="00863A8F" w14:paraId="20A9FCDF" w14:textId="77777777">
        <w:trPr>
          <w:gridAfter w:val="1"/>
          <w:wAfter w:w="740" w:type="pct"/>
        </w:trPr>
        <w:tc>
          <w:tcPr>
            <w:tcW w:w="1297" w:type="pct"/>
            <w:vMerge/>
          </w:tcPr>
          <w:p w:rsidRPr="00F8361B" w:rsidR="00F8361B" w:rsidP="00643D0B" w:rsidRDefault="00F8361B" w14:paraId="1CEA6EC6" w14:textId="77777777">
            <w:pPr>
              <w:widowControl w:val="0"/>
              <w:tabs>
                <w:tab w:val="center" w:pos="284"/>
              </w:tabs>
              <w:overflowPunct w:val="0"/>
              <w:autoSpaceDE w:val="0"/>
              <w:autoSpaceDN w:val="0"/>
              <w:adjustRightInd w:val="0"/>
              <w:spacing w:line="240" w:lineRule="auto"/>
              <w:ind w:left="266" w:hanging="266"/>
              <w:textAlignment w:val="baseline"/>
              <w:rPr>
                <w:b/>
              </w:rPr>
            </w:pPr>
          </w:p>
        </w:tc>
        <w:tc>
          <w:tcPr>
            <w:tcW w:w="2963" w:type="pct"/>
          </w:tcPr>
          <w:p w:rsidRPr="00F8361B" w:rsidR="00F8361B" w:rsidP="00643D0B" w:rsidRDefault="00F8361B" w14:paraId="68A86EA7" w14:textId="77777777">
            <w:pPr>
              <w:widowControl w:val="0"/>
              <w:tabs>
                <w:tab w:val="center" w:pos="38"/>
                <w:tab w:val="left" w:pos="4430"/>
              </w:tabs>
              <w:overflowPunct w:val="0"/>
              <w:autoSpaceDE w:val="0"/>
              <w:autoSpaceDN w:val="0"/>
              <w:adjustRightInd w:val="0"/>
              <w:spacing w:line="240" w:lineRule="auto"/>
              <w:ind w:left="266" w:right="-823" w:hanging="370"/>
              <w:textAlignment w:val="baseline"/>
            </w:pPr>
          </w:p>
        </w:tc>
      </w:tr>
    </w:tbl>
    <w:p w:rsidRPr="00F8361B" w:rsidR="00F8361B" w:rsidP="00643D0B" w:rsidRDefault="00F8361B" w14:paraId="3456C8AF" w14:textId="77777777">
      <w:pPr>
        <w:widowControl w:val="0"/>
        <w:tabs>
          <w:tab w:val="center" w:pos="284"/>
        </w:tabs>
        <w:overflowPunct w:val="0"/>
        <w:autoSpaceDE w:val="0"/>
        <w:autoSpaceDN w:val="0"/>
        <w:adjustRightInd w:val="0"/>
        <w:spacing w:line="240" w:lineRule="auto"/>
        <w:ind w:left="266" w:hanging="266"/>
        <w:textAlignment w:val="baseline"/>
        <w:rPr>
          <w:b/>
        </w:rPr>
      </w:pPr>
      <w:r>
        <w:rPr>
          <w:b/>
        </w:rPr>
        <w:t>Kernaussagen</w:t>
      </w:r>
    </w:p>
    <w:p w:rsidRPr="00F8361B" w:rsidR="00F8361B" w:rsidP="00643D0B" w:rsidRDefault="00F8361B" w14:paraId="005DBAF8" w14:textId="77777777">
      <w:pPr>
        <w:widowControl w:val="0"/>
        <w:tabs>
          <w:tab w:val="center" w:pos="284"/>
        </w:tabs>
        <w:overflowPunct w:val="0"/>
        <w:autoSpaceDE w:val="0"/>
        <w:autoSpaceDN w:val="0"/>
        <w:adjustRightInd w:val="0"/>
        <w:spacing w:line="240" w:lineRule="auto"/>
        <w:ind w:left="266" w:hanging="266"/>
        <w:textAlignment w:val="baseline"/>
        <w:rPr>
          <w:b/>
          <w:lang w:val="en-GB"/>
        </w:rPr>
      </w:pPr>
    </w:p>
    <w:p w:rsidRPr="00F8361B" w:rsidR="00F8361B" w:rsidP="00643D0B" w:rsidRDefault="00F8361B" w14:paraId="26DA63F5" w14:textId="77777777">
      <w:pPr>
        <w:widowControl w:val="0"/>
        <w:tabs>
          <w:tab w:val="center" w:pos="284"/>
        </w:tabs>
        <w:overflowPunct w:val="0"/>
        <w:autoSpaceDE w:val="0"/>
        <w:autoSpaceDN w:val="0"/>
        <w:adjustRightInd w:val="0"/>
        <w:spacing w:line="240" w:lineRule="auto"/>
        <w:ind w:left="266" w:hanging="266"/>
        <w:textAlignment w:val="baseline"/>
        <w:rPr>
          <w:szCs w:val="20"/>
        </w:rPr>
      </w:pPr>
      <w:r>
        <w:t>Der EWSA</w:t>
      </w:r>
    </w:p>
    <w:p w:rsidRPr="00F8361B" w:rsidR="00F8361B" w:rsidP="00F8361B" w:rsidRDefault="00F8361B" w14:paraId="233979C3" w14:textId="77777777">
      <w:pPr>
        <w:widowControl w:val="0"/>
        <w:tabs>
          <w:tab w:val="center" w:pos="284"/>
        </w:tabs>
        <w:overflowPunct w:val="0"/>
        <w:autoSpaceDE w:val="0"/>
        <w:autoSpaceDN w:val="0"/>
        <w:adjustRightInd w:val="0"/>
        <w:ind w:left="266" w:hanging="266"/>
        <w:textAlignment w:val="baseline"/>
        <w:rPr>
          <w:szCs w:val="20"/>
          <w:lang w:val="en-GB"/>
        </w:rPr>
      </w:pPr>
    </w:p>
    <w:p w:rsidRPr="00F8361B" w:rsidR="00F8361B" w:rsidP="00E21ECD" w:rsidRDefault="00F8361B" w14:paraId="6F00E1D6" w14:textId="77777777">
      <w:pPr>
        <w:widowControl w:val="0"/>
        <w:numPr>
          <w:ilvl w:val="0"/>
          <w:numId w:val="20"/>
        </w:numPr>
        <w:tabs>
          <w:tab w:val="center" w:pos="709"/>
        </w:tabs>
        <w:overflowPunct w:val="0"/>
        <w:autoSpaceDE w:val="0"/>
        <w:autoSpaceDN w:val="0"/>
        <w:adjustRightInd w:val="0"/>
        <w:spacing w:after="200" w:line="276" w:lineRule="auto"/>
        <w:ind w:left="709" w:right="283" w:hanging="425"/>
        <w:contextualSpacing/>
        <w:textAlignment w:val="baseline"/>
      </w:pPr>
      <w:r>
        <w:t>weist darauf hin, dass der EU-Rahmen zur Regelung der organisierten Arbeitskräftemobilität stark fragmentiert und überaus komplex ist und aus mehreren EU-Richtlinien sowie parallelen nationalen Rechtsvorschriften besteht. Die verschiedenen Kategorien von Wanderarbeitnehmern werden durch eine Reihe von Richtlinien und Verordnungen erfasst, die jeweils unterschiedliche Aspekte und Phasen des Migrationsprozesses abdecken;</w:t>
      </w:r>
    </w:p>
    <w:p w:rsidRPr="00F8361B" w:rsidR="00F8361B" w:rsidP="00E21ECD" w:rsidRDefault="00F8361B" w14:paraId="583A27C8" w14:textId="77777777">
      <w:pPr>
        <w:widowControl w:val="0"/>
        <w:numPr>
          <w:ilvl w:val="0"/>
          <w:numId w:val="20"/>
        </w:numPr>
        <w:tabs>
          <w:tab w:val="center" w:pos="709"/>
        </w:tabs>
        <w:overflowPunct w:val="0"/>
        <w:autoSpaceDE w:val="0"/>
        <w:autoSpaceDN w:val="0"/>
        <w:adjustRightInd w:val="0"/>
        <w:spacing w:after="200" w:line="276" w:lineRule="auto"/>
        <w:ind w:left="709" w:right="283" w:hanging="425"/>
        <w:contextualSpacing/>
        <w:textAlignment w:val="baseline"/>
      </w:pPr>
      <w:r>
        <w:t>stellt fest, dass sich der Arbeitskräftemangel als gemeinsame europäische Herausforderung erwiesen hat, auf die auch eine gemeinsame Antwort gefunden werden muss. Gäbe es anstatt der 27 separaten Arbeitsmärkte einen einheitlichen EU-Arbeitsmarkt, so hätte die EU bessere Chancen, im globalen Wettlauf um Talente Wanderarbeitnehmer anziehen zu können;</w:t>
      </w:r>
    </w:p>
    <w:p w:rsidRPr="00F8361B" w:rsidR="00F8361B" w:rsidP="00E21ECD" w:rsidRDefault="00F8361B" w14:paraId="2200264D" w14:textId="77777777">
      <w:pPr>
        <w:widowControl w:val="0"/>
        <w:numPr>
          <w:ilvl w:val="0"/>
          <w:numId w:val="20"/>
        </w:numPr>
        <w:tabs>
          <w:tab w:val="center" w:pos="709"/>
        </w:tabs>
        <w:overflowPunct w:val="0"/>
        <w:autoSpaceDE w:val="0"/>
        <w:autoSpaceDN w:val="0"/>
        <w:adjustRightInd w:val="0"/>
        <w:spacing w:after="200" w:line="276" w:lineRule="auto"/>
        <w:ind w:left="709" w:right="283" w:hanging="425"/>
        <w:contextualSpacing/>
        <w:textAlignment w:val="baseline"/>
      </w:pPr>
      <w:r>
        <w:t xml:space="preserve">betont, dass die Vergabe von Arbeitsvisa und Arbeitsgenehmigungen an Migranten sowie die Anerkennung ihrer Diplome und Berufsabschlüsse klar geregelt werden muss; </w:t>
      </w:r>
    </w:p>
    <w:p w:rsidRPr="00F8361B" w:rsidR="00F8361B" w:rsidP="00E21ECD" w:rsidRDefault="00F8361B" w14:paraId="3941F19B" w14:textId="77777777">
      <w:pPr>
        <w:widowControl w:val="0"/>
        <w:numPr>
          <w:ilvl w:val="0"/>
          <w:numId w:val="20"/>
        </w:numPr>
        <w:tabs>
          <w:tab w:val="center" w:pos="709"/>
        </w:tabs>
        <w:overflowPunct w:val="0"/>
        <w:autoSpaceDE w:val="0"/>
        <w:autoSpaceDN w:val="0"/>
        <w:adjustRightInd w:val="0"/>
        <w:spacing w:after="200" w:line="276" w:lineRule="auto"/>
        <w:ind w:left="709" w:right="283" w:hanging="425"/>
        <w:contextualSpacing/>
        <w:textAlignment w:val="baseline"/>
      </w:pPr>
      <w:r>
        <w:t>weist insbesondere darauf hin, dass Migrantinnen und Migranten leichter auf dem Arbeitsmarkt Fuß fassen können müssen. Dazu sollten Strategien und Aktionspläne (mit besonderen Regelungen für Frauen) ausgearbeitet werden, die ihre Eingliederung in den Arbeitsmarkt fördern. So muss ihren jeweiligen Bedürfnissen Rechnung getragen und für eine wirksame Zusammenarbeit zwischen Regierungen, sozialen Einrichtungen und Unternehmen bei der Gestaltung und Finanzierung der Berufsausbildung für Migranten gesorgt werden, wobei es sicherzustellen gilt, dass auch Asylbewerbern und Flüchtlingen Sprach- und Staatsbürgerkurse angeboten werden.</w:t>
      </w:r>
    </w:p>
    <w:p w:rsidRPr="00E21ECD" w:rsidR="00F8361B" w:rsidP="00F8361B" w:rsidRDefault="00F8361B" w14:paraId="31DEA57F" w14:textId="77777777">
      <w:pPr>
        <w:widowControl w:val="0"/>
        <w:overflowPunct w:val="0"/>
        <w:autoSpaceDE w:val="0"/>
        <w:autoSpaceDN w:val="0"/>
        <w:adjustRightInd w:val="0"/>
        <w:ind w:left="709"/>
        <w:textAlignment w:val="baseline"/>
        <w:rPr>
          <w:lang w:val="en-GB"/>
        </w:rPr>
      </w:pPr>
    </w:p>
    <w:tbl>
      <w:tblPr>
        <w:tblStyle w:val="TableGrid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8361B" w:rsidR="00F8361B" w:rsidTr="00863A8F" w14:paraId="17083D1B" w14:textId="77777777">
        <w:tc>
          <w:tcPr>
            <w:tcW w:w="1556" w:type="pct"/>
          </w:tcPr>
          <w:p w:rsidRPr="00F8361B" w:rsidR="00F8361B" w:rsidP="00643D0B" w:rsidRDefault="00F8361B" w14:paraId="457FB8FA" w14:textId="77777777">
            <w:pPr>
              <w:widowControl w:val="0"/>
              <w:overflowPunct w:val="0"/>
              <w:autoSpaceDE w:val="0"/>
              <w:autoSpaceDN w:val="0"/>
              <w:adjustRightInd w:val="0"/>
              <w:spacing w:line="240" w:lineRule="auto"/>
              <w:textAlignment w:val="baseline"/>
              <w:rPr>
                <w:i/>
              </w:rPr>
            </w:pPr>
            <w:r>
              <w:rPr>
                <w:b/>
                <w:i/>
              </w:rPr>
              <w:t>Kontakt</w:t>
            </w:r>
          </w:p>
        </w:tc>
        <w:tc>
          <w:tcPr>
            <w:tcW w:w="3444" w:type="pct"/>
          </w:tcPr>
          <w:p w:rsidRPr="00F8361B" w:rsidR="00F8361B" w:rsidP="00643D0B" w:rsidRDefault="00F8361B" w14:paraId="4FE81F5E" w14:textId="5B251322">
            <w:pPr>
              <w:widowControl w:val="0"/>
              <w:overflowPunct w:val="0"/>
              <w:autoSpaceDE w:val="0"/>
              <w:autoSpaceDN w:val="0"/>
              <w:adjustRightInd w:val="0"/>
              <w:spacing w:line="240" w:lineRule="auto"/>
              <w:textAlignment w:val="baseline"/>
              <w:rPr>
                <w:i/>
              </w:rPr>
            </w:pPr>
            <w:r>
              <w:rPr>
                <w:i/>
              </w:rPr>
              <w:t>Gemma Amran</w:t>
            </w:r>
          </w:p>
        </w:tc>
      </w:tr>
      <w:tr w:rsidRPr="00F8361B" w:rsidR="00F8361B" w:rsidTr="00863A8F" w14:paraId="50F12DEA" w14:textId="77777777">
        <w:tc>
          <w:tcPr>
            <w:tcW w:w="1556" w:type="pct"/>
          </w:tcPr>
          <w:p w:rsidRPr="00F8361B" w:rsidR="00F8361B" w:rsidP="00643D0B" w:rsidRDefault="00F8361B" w14:paraId="321CF420" w14:textId="77777777">
            <w:pPr>
              <w:widowControl w:val="0"/>
              <w:overflowPunct w:val="0"/>
              <w:autoSpaceDE w:val="0"/>
              <w:autoSpaceDN w:val="0"/>
              <w:adjustRightInd w:val="0"/>
              <w:spacing w:line="240" w:lineRule="auto"/>
              <w:textAlignment w:val="baseline"/>
              <w:rPr>
                <w:i/>
              </w:rPr>
            </w:pPr>
            <w:r>
              <w:rPr>
                <w:i/>
              </w:rPr>
              <w:t>Tel.</w:t>
            </w:r>
          </w:p>
        </w:tc>
        <w:tc>
          <w:tcPr>
            <w:tcW w:w="3444" w:type="pct"/>
          </w:tcPr>
          <w:p w:rsidRPr="00F8361B" w:rsidR="00F8361B" w:rsidP="00643D0B" w:rsidRDefault="00F8361B" w14:paraId="1BCE35C3" w14:textId="77777777">
            <w:pPr>
              <w:widowControl w:val="0"/>
              <w:overflowPunct w:val="0"/>
              <w:autoSpaceDE w:val="0"/>
              <w:autoSpaceDN w:val="0"/>
              <w:adjustRightInd w:val="0"/>
              <w:spacing w:line="240" w:lineRule="auto"/>
              <w:textAlignment w:val="baseline"/>
              <w:rPr>
                <w:i/>
              </w:rPr>
            </w:pPr>
            <w:r>
              <w:rPr>
                <w:i/>
              </w:rPr>
              <w:t>+32 25469415</w:t>
            </w:r>
          </w:p>
        </w:tc>
      </w:tr>
      <w:tr w:rsidRPr="00F8361B" w:rsidR="00F8361B" w:rsidTr="00863A8F" w14:paraId="166FE7CF" w14:textId="77777777">
        <w:tc>
          <w:tcPr>
            <w:tcW w:w="1556" w:type="pct"/>
          </w:tcPr>
          <w:p w:rsidRPr="00F8361B" w:rsidR="00F8361B" w:rsidP="00643D0B" w:rsidRDefault="00F8361B" w14:paraId="4F7B4D10" w14:textId="77777777">
            <w:pPr>
              <w:widowControl w:val="0"/>
              <w:overflowPunct w:val="0"/>
              <w:autoSpaceDE w:val="0"/>
              <w:autoSpaceDN w:val="0"/>
              <w:adjustRightInd w:val="0"/>
              <w:spacing w:line="240" w:lineRule="auto"/>
              <w:textAlignment w:val="baseline"/>
              <w:rPr>
                <w:i/>
              </w:rPr>
            </w:pPr>
            <w:r>
              <w:rPr>
                <w:i/>
              </w:rPr>
              <w:t>E-Mail</w:t>
            </w:r>
          </w:p>
        </w:tc>
        <w:tc>
          <w:tcPr>
            <w:tcW w:w="3444" w:type="pct"/>
          </w:tcPr>
          <w:p w:rsidRPr="00F8361B" w:rsidR="00F8361B" w:rsidP="00643D0B" w:rsidRDefault="005204CC" w14:paraId="48483D99" w14:textId="77777777">
            <w:pPr>
              <w:widowControl w:val="0"/>
              <w:overflowPunct w:val="0"/>
              <w:autoSpaceDE w:val="0"/>
              <w:autoSpaceDN w:val="0"/>
              <w:adjustRightInd w:val="0"/>
              <w:spacing w:line="240" w:lineRule="auto"/>
              <w:textAlignment w:val="baseline"/>
              <w:rPr>
                <w:color w:val="0000FF"/>
                <w:u w:val="single"/>
              </w:rPr>
            </w:pPr>
            <w:hyperlink w:history="1" r:id="rId30">
              <w:r w:rsidR="00F8361B">
                <w:rPr>
                  <w:i/>
                  <w:color w:val="0000FF"/>
                  <w:u w:val="single"/>
                </w:rPr>
                <w:t>Gemma.Amran@eesc.europa.eu</w:t>
              </w:r>
            </w:hyperlink>
          </w:p>
        </w:tc>
      </w:tr>
    </w:tbl>
    <w:p w:rsidRPr="00F8361B" w:rsidR="00327E1C" w:rsidRDefault="00327E1C" w14:paraId="7912FB32" w14:textId="710E78D4">
      <w:pPr>
        <w:spacing w:after="160" w:line="259" w:lineRule="auto"/>
        <w:jc w:val="left"/>
        <w:rPr>
          <w:lang w:val="en-GB"/>
        </w:rPr>
      </w:pPr>
    </w:p>
    <w:p w:rsidR="00327E1C" w:rsidRDefault="00327E1C" w14:paraId="14354E90" w14:textId="77777777">
      <w:pPr>
        <w:spacing w:after="160" w:line="259" w:lineRule="auto"/>
        <w:jc w:val="left"/>
      </w:pPr>
      <w:r>
        <w:br w:type="page"/>
      </w:r>
    </w:p>
    <w:p w:rsidR="004D7AC0" w:rsidP="006D6D4E" w:rsidRDefault="004D7AC0" w14:paraId="4982DDC6" w14:textId="77777777">
      <w:pPr>
        <w:pStyle w:val="Heading1"/>
        <w:keepNext/>
        <w:keepLines/>
        <w:rPr>
          <w:b/>
        </w:rPr>
      </w:pPr>
      <w:bookmarkStart w:name="_Toc24617160" w:id="15"/>
      <w:bookmarkStart w:name="_Toc75527082" w:id="16"/>
      <w:bookmarkStart w:name="_Toc184973447" w:id="17"/>
      <w:r>
        <w:rPr>
          <w:b/>
        </w:rPr>
        <w:t>VERKEHR, ENERGIE, INFRASTRUKTUREN, INFORMATIONSGESELLSCHAFT</w:t>
      </w:r>
      <w:bookmarkEnd w:id="15"/>
      <w:bookmarkEnd w:id="16"/>
      <w:bookmarkEnd w:id="17"/>
    </w:p>
    <w:p w:rsidR="004D7AC0" w:rsidP="006D6D4E" w:rsidRDefault="004D7AC0" w14:paraId="4982DDC7" w14:textId="77777777">
      <w:pPr>
        <w:keepNext/>
        <w:keepLines/>
      </w:pPr>
    </w:p>
    <w:p w:rsidRPr="00B70A01" w:rsidR="00B70A01" w:rsidP="004B5D3D" w:rsidRDefault="005204CC" w14:paraId="2FBF511E" w14:textId="39B39666">
      <w:pPr>
        <w:widowControl w:val="0"/>
        <w:numPr>
          <w:ilvl w:val="0"/>
          <w:numId w:val="6"/>
        </w:numPr>
        <w:overflowPunct w:val="0"/>
        <w:autoSpaceDE w:val="0"/>
        <w:autoSpaceDN w:val="0"/>
        <w:adjustRightInd w:val="0"/>
        <w:ind w:left="709" w:hanging="709"/>
        <w:textAlignment w:val="baseline"/>
        <w:rPr>
          <w:b/>
        </w:rPr>
      </w:pPr>
      <w:hyperlink w:history="1" r:id="rId31">
        <w:r w:rsidR="009B458F">
          <w:rPr>
            <w:b/>
            <w:i/>
            <w:color w:val="0000FF"/>
            <w:sz w:val="28"/>
            <w:u w:val="single"/>
          </w:rPr>
          <w:t>Arbeits- und Fachkräftemangel im Bereich Transport, Energie und Infrastruktur sowie im digitalen Sektor</w:t>
        </w:r>
      </w:hyperlink>
    </w:p>
    <w:p w:rsidRPr="00B70A01" w:rsidR="00B70A01" w:rsidP="00B70A01" w:rsidRDefault="00B70A01" w14:paraId="5997B1F5" w14:textId="77777777">
      <w:pPr>
        <w:widowControl w:val="0"/>
        <w:overflowPunct w:val="0"/>
        <w:autoSpaceDE w:val="0"/>
        <w:autoSpaceDN w:val="0"/>
        <w:adjustRightInd w:val="0"/>
        <w:ind w:left="266"/>
        <w:textAlignment w:val="baseline"/>
        <w:rPr>
          <w:b/>
          <w:lang w:val="en-GB"/>
        </w:rPr>
      </w:pPr>
    </w:p>
    <w:tbl>
      <w:tblPr>
        <w:tblStyle w:val="TableGrid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B70A01" w:rsidR="00B70A01" w:rsidTr="00863A8F" w14:paraId="18B40AC4" w14:textId="77777777">
        <w:tc>
          <w:tcPr>
            <w:tcW w:w="1591" w:type="pct"/>
          </w:tcPr>
          <w:p w:rsidRPr="00B70A01" w:rsidR="00B70A01" w:rsidP="00B70A01" w:rsidRDefault="00B70A01" w14:paraId="2B92D77A" w14:textId="77777777">
            <w:pPr>
              <w:tabs>
                <w:tab w:val="center" w:pos="284"/>
              </w:tabs>
              <w:overflowPunct w:val="0"/>
              <w:autoSpaceDE w:val="0"/>
              <w:autoSpaceDN w:val="0"/>
              <w:adjustRightInd w:val="0"/>
              <w:ind w:left="266" w:hanging="266"/>
              <w:textAlignment w:val="baseline"/>
              <w:rPr>
                <w:b/>
              </w:rPr>
            </w:pPr>
            <w:r>
              <w:rPr>
                <w:b/>
              </w:rPr>
              <w:t>Berichterstatter</w:t>
            </w:r>
          </w:p>
        </w:tc>
        <w:tc>
          <w:tcPr>
            <w:tcW w:w="3409" w:type="pct"/>
          </w:tcPr>
          <w:p w:rsidRPr="00B70A01" w:rsidR="00B70A01" w:rsidP="00B70A01" w:rsidRDefault="00B70A01" w14:paraId="3B612422" w14:textId="77777777">
            <w:pPr>
              <w:tabs>
                <w:tab w:val="center" w:pos="284"/>
              </w:tabs>
              <w:overflowPunct w:val="0"/>
              <w:autoSpaceDE w:val="0"/>
              <w:autoSpaceDN w:val="0"/>
              <w:adjustRightInd w:val="0"/>
              <w:ind w:left="266" w:hanging="266"/>
              <w:textAlignment w:val="baseline"/>
            </w:pPr>
            <w:r>
              <w:t>Thomas KATTNIG (Gruppe Arbeitnehmer – AT)</w:t>
            </w:r>
          </w:p>
        </w:tc>
      </w:tr>
      <w:tr w:rsidRPr="00B70A01" w:rsidR="00B70A01" w:rsidTr="00863A8F" w14:paraId="7E15D1AC" w14:textId="77777777">
        <w:tc>
          <w:tcPr>
            <w:tcW w:w="5000" w:type="pct"/>
            <w:gridSpan w:val="2"/>
          </w:tcPr>
          <w:p w:rsidRPr="00B70A01" w:rsidR="00B70A01" w:rsidP="00B70A01" w:rsidRDefault="00B70A01" w14:paraId="4E0DAF95" w14:textId="77777777">
            <w:pPr>
              <w:tabs>
                <w:tab w:val="center" w:pos="284"/>
              </w:tabs>
              <w:overflowPunct w:val="0"/>
              <w:autoSpaceDE w:val="0"/>
              <w:autoSpaceDN w:val="0"/>
              <w:adjustRightInd w:val="0"/>
              <w:spacing w:line="160" w:lineRule="exact"/>
              <w:ind w:left="266" w:hanging="266"/>
              <w:textAlignment w:val="baseline"/>
            </w:pPr>
          </w:p>
        </w:tc>
      </w:tr>
      <w:tr w:rsidRPr="00B70A01" w:rsidR="00B70A01" w:rsidTr="00863A8F" w14:paraId="601CA657" w14:textId="77777777">
        <w:tc>
          <w:tcPr>
            <w:tcW w:w="1591" w:type="pct"/>
            <w:vMerge w:val="restart"/>
          </w:tcPr>
          <w:p w:rsidRPr="00B70A01" w:rsidR="00B70A01" w:rsidP="00B70A01" w:rsidRDefault="00B70A01" w14:paraId="2619BEEE" w14:textId="77777777">
            <w:pPr>
              <w:tabs>
                <w:tab w:val="center" w:pos="284"/>
              </w:tabs>
              <w:overflowPunct w:val="0"/>
              <w:autoSpaceDE w:val="0"/>
              <w:autoSpaceDN w:val="0"/>
              <w:adjustRightInd w:val="0"/>
              <w:ind w:left="266" w:hanging="266"/>
              <w:textAlignment w:val="baseline"/>
              <w:rPr>
                <w:b/>
              </w:rPr>
            </w:pPr>
            <w:r>
              <w:rPr>
                <w:b/>
              </w:rPr>
              <w:t>Referenzdokument</w:t>
            </w:r>
          </w:p>
        </w:tc>
        <w:tc>
          <w:tcPr>
            <w:tcW w:w="3409" w:type="pct"/>
          </w:tcPr>
          <w:p w:rsidRPr="00B70A01" w:rsidR="00B70A01" w:rsidP="00B70A01" w:rsidRDefault="00B70A01" w14:paraId="44BE6549" w14:textId="77777777">
            <w:pPr>
              <w:tabs>
                <w:tab w:val="center" w:pos="284"/>
              </w:tabs>
              <w:overflowPunct w:val="0"/>
              <w:autoSpaceDE w:val="0"/>
              <w:autoSpaceDN w:val="0"/>
              <w:adjustRightInd w:val="0"/>
              <w:ind w:left="266" w:hanging="266"/>
              <w:textAlignment w:val="baseline"/>
            </w:pPr>
            <w:r>
              <w:t>Initiativstellungnahme</w:t>
            </w:r>
          </w:p>
          <w:p w:rsidRPr="00B70A01" w:rsidR="00B70A01" w:rsidP="00B70A01" w:rsidRDefault="00B70A01" w14:paraId="57407D88" w14:textId="77777777">
            <w:pPr>
              <w:tabs>
                <w:tab w:val="center" w:pos="284"/>
              </w:tabs>
              <w:overflowPunct w:val="0"/>
              <w:autoSpaceDE w:val="0"/>
              <w:autoSpaceDN w:val="0"/>
              <w:adjustRightInd w:val="0"/>
              <w:ind w:left="266" w:hanging="266"/>
              <w:textAlignment w:val="baseline"/>
            </w:pPr>
            <w:r>
              <w:t>EESC-2024-01463-00-00-AC</w:t>
            </w:r>
          </w:p>
        </w:tc>
      </w:tr>
      <w:tr w:rsidRPr="00B70A01" w:rsidR="00B70A01" w:rsidTr="00863A8F" w14:paraId="47536E82" w14:textId="77777777">
        <w:tc>
          <w:tcPr>
            <w:tcW w:w="1591" w:type="pct"/>
            <w:vMerge/>
          </w:tcPr>
          <w:p w:rsidRPr="00B70A01" w:rsidR="00B70A01" w:rsidP="00B70A01" w:rsidRDefault="00B70A01" w14:paraId="462652F0" w14:textId="77777777">
            <w:pPr>
              <w:tabs>
                <w:tab w:val="center" w:pos="284"/>
              </w:tabs>
              <w:overflowPunct w:val="0"/>
              <w:autoSpaceDE w:val="0"/>
              <w:autoSpaceDN w:val="0"/>
              <w:adjustRightInd w:val="0"/>
              <w:ind w:left="266" w:hanging="266"/>
              <w:textAlignment w:val="baseline"/>
              <w:rPr>
                <w:b/>
              </w:rPr>
            </w:pPr>
          </w:p>
        </w:tc>
        <w:tc>
          <w:tcPr>
            <w:tcW w:w="3409" w:type="pct"/>
          </w:tcPr>
          <w:p w:rsidRPr="00B70A01" w:rsidR="00B70A01" w:rsidP="00B70A01" w:rsidRDefault="00B70A01" w14:paraId="47489A47" w14:textId="77777777">
            <w:pPr>
              <w:tabs>
                <w:tab w:val="center" w:pos="284"/>
              </w:tabs>
              <w:overflowPunct w:val="0"/>
              <w:autoSpaceDE w:val="0"/>
              <w:autoSpaceDN w:val="0"/>
              <w:adjustRightInd w:val="0"/>
              <w:ind w:left="266" w:hanging="266"/>
              <w:textAlignment w:val="baseline"/>
            </w:pPr>
          </w:p>
        </w:tc>
      </w:tr>
    </w:tbl>
    <w:p w:rsidRPr="00B70A01" w:rsidR="00B70A01" w:rsidP="00B70A01" w:rsidRDefault="00B70A01" w14:paraId="66C34D76" w14:textId="77777777">
      <w:pPr>
        <w:tabs>
          <w:tab w:val="center" w:pos="284"/>
        </w:tabs>
        <w:overflowPunct w:val="0"/>
        <w:autoSpaceDE w:val="0"/>
        <w:autoSpaceDN w:val="0"/>
        <w:adjustRightInd w:val="0"/>
        <w:ind w:left="266" w:hanging="266"/>
        <w:textAlignment w:val="baseline"/>
        <w:rPr>
          <w:lang w:val="en-GB"/>
        </w:rPr>
      </w:pPr>
    </w:p>
    <w:p w:rsidRPr="00B70A01" w:rsidR="00B70A01" w:rsidP="00B70A01" w:rsidRDefault="00B70A01" w14:paraId="6D7F98B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B70A01" w:rsidR="00B70A01" w:rsidP="00B70A01" w:rsidRDefault="00B70A01" w14:paraId="531246B9" w14:textId="77777777">
      <w:pPr>
        <w:keepNext/>
        <w:keepLines/>
        <w:tabs>
          <w:tab w:val="center" w:pos="284"/>
        </w:tabs>
        <w:overflowPunct w:val="0"/>
        <w:autoSpaceDE w:val="0"/>
        <w:autoSpaceDN w:val="0"/>
        <w:adjustRightInd w:val="0"/>
        <w:ind w:left="266" w:hanging="266"/>
        <w:textAlignment w:val="baseline"/>
        <w:rPr>
          <w:b/>
          <w:lang w:val="en-GB"/>
        </w:rPr>
      </w:pPr>
    </w:p>
    <w:p w:rsidRPr="00B70A01" w:rsidR="00B70A01" w:rsidP="00B70A01" w:rsidRDefault="00B70A01" w14:paraId="7F30017E" w14:textId="77777777">
      <w:pPr>
        <w:overflowPunct w:val="0"/>
        <w:autoSpaceDE w:val="0"/>
        <w:autoSpaceDN w:val="0"/>
        <w:adjustRightInd w:val="0"/>
        <w:textAlignment w:val="baseline"/>
        <w:rPr>
          <w:bCs/>
          <w:iCs/>
        </w:rPr>
      </w:pPr>
      <w:r>
        <w:t>Der EWSA</w:t>
      </w:r>
    </w:p>
    <w:p w:rsidRPr="00B70A01" w:rsidR="00B70A01" w:rsidP="00B70A01" w:rsidRDefault="00B70A01" w14:paraId="6FB63A41" w14:textId="77777777">
      <w:pPr>
        <w:overflowPunct w:val="0"/>
        <w:autoSpaceDE w:val="0"/>
        <w:autoSpaceDN w:val="0"/>
        <w:adjustRightInd w:val="0"/>
        <w:textAlignment w:val="baseline"/>
        <w:rPr>
          <w:bCs/>
          <w:iCs/>
          <w:lang w:val="en-GB"/>
        </w:rPr>
      </w:pPr>
    </w:p>
    <w:p w:rsidRPr="00B70A01" w:rsidR="00B70A01" w:rsidP="00E21ECD" w:rsidRDefault="00B70A01" w14:paraId="3CE5B6A4" w14:textId="77777777">
      <w:pPr>
        <w:widowControl w:val="0"/>
        <w:numPr>
          <w:ilvl w:val="0"/>
          <w:numId w:val="21"/>
        </w:numPr>
        <w:overflowPunct w:val="0"/>
        <w:autoSpaceDE w:val="0"/>
        <w:autoSpaceDN w:val="0"/>
        <w:adjustRightInd w:val="0"/>
        <w:ind w:left="709" w:right="283" w:hanging="425"/>
        <w:textAlignment w:val="baseline"/>
        <w:rPr>
          <w:bCs/>
          <w:iCs/>
        </w:rPr>
      </w:pPr>
      <w:r>
        <w:t xml:space="preserve">weist auf die </w:t>
      </w:r>
      <w:r>
        <w:rPr>
          <w:b/>
        </w:rPr>
        <w:t>zunehmenden Herausforderungen</w:t>
      </w:r>
      <w:r>
        <w:t xml:space="preserve"> hin, die der </w:t>
      </w:r>
      <w:r>
        <w:rPr>
          <w:b/>
        </w:rPr>
        <w:t>Arbeits- und Fachkräftemangel</w:t>
      </w:r>
      <w:r>
        <w:t xml:space="preserve"> in den Bereichen Verkehr, Energie, Infrastruktur und digitale Technologien mit sich bringt. Diese Branchen sind für den Wohlstand und die ökologische Nachhaltigkeit der EU sowie für den europäischen Grünen Deal und die künftige Wettbewerbsfähigkeit der EU von entscheidender Bedeutung;</w:t>
      </w:r>
    </w:p>
    <w:p w:rsidRPr="00B70A01" w:rsidR="00B70A01" w:rsidP="00E21ECD" w:rsidRDefault="00B70A01" w14:paraId="539C8220" w14:textId="77777777">
      <w:pPr>
        <w:widowControl w:val="0"/>
        <w:numPr>
          <w:ilvl w:val="0"/>
          <w:numId w:val="21"/>
        </w:numPr>
        <w:overflowPunct w:val="0"/>
        <w:autoSpaceDE w:val="0"/>
        <w:autoSpaceDN w:val="0"/>
        <w:adjustRightInd w:val="0"/>
        <w:ind w:left="709" w:right="283" w:hanging="425"/>
        <w:textAlignment w:val="baseline"/>
        <w:rPr>
          <w:bCs/>
          <w:iCs/>
        </w:rPr>
      </w:pPr>
      <w:r>
        <w:t xml:space="preserve">ist der Auffassung, dass </w:t>
      </w:r>
      <w:r>
        <w:rPr>
          <w:b/>
        </w:rPr>
        <w:t>weitergehende Maßnahmen erforderlich sind</w:t>
      </w:r>
      <w:r>
        <w:t>, um einen gerechten Übergang zu gewährleisten, wozu unter anderem hochwertige Arbeitsplätze gefördert, der Arbeitsmarkt ausgewogener gestaltet und die Arbeitsbedingungen verbessert werden müssen;</w:t>
      </w:r>
    </w:p>
    <w:p w:rsidRPr="00B70A01" w:rsidR="00B70A01" w:rsidP="00E21ECD" w:rsidRDefault="00B70A01" w14:paraId="3638E995" w14:textId="77777777">
      <w:pPr>
        <w:widowControl w:val="0"/>
        <w:numPr>
          <w:ilvl w:val="0"/>
          <w:numId w:val="21"/>
        </w:numPr>
        <w:overflowPunct w:val="0"/>
        <w:autoSpaceDE w:val="0"/>
        <w:autoSpaceDN w:val="0"/>
        <w:adjustRightInd w:val="0"/>
        <w:ind w:left="709" w:right="283" w:hanging="425"/>
        <w:textAlignment w:val="baseline"/>
        <w:rPr>
          <w:bCs/>
          <w:iCs/>
        </w:rPr>
      </w:pPr>
      <w:r>
        <w:t xml:space="preserve">betont die </w:t>
      </w:r>
      <w:r>
        <w:rPr>
          <w:b/>
        </w:rPr>
        <w:t>große Bedeutung der Sozialpartner</w:t>
      </w:r>
      <w:r>
        <w:t xml:space="preserve"> für die Entwicklung und Umsetzung von Maßnahmen zur Bewältigung des Arbeits- und Fachkräftemangels;</w:t>
      </w:r>
    </w:p>
    <w:p w:rsidRPr="00B70A01" w:rsidR="00B70A01" w:rsidP="00E21ECD" w:rsidRDefault="00B70A01" w14:paraId="4065B872" w14:textId="77777777">
      <w:pPr>
        <w:widowControl w:val="0"/>
        <w:numPr>
          <w:ilvl w:val="0"/>
          <w:numId w:val="21"/>
        </w:numPr>
        <w:overflowPunct w:val="0"/>
        <w:autoSpaceDE w:val="0"/>
        <w:autoSpaceDN w:val="0"/>
        <w:adjustRightInd w:val="0"/>
        <w:ind w:left="709" w:right="283" w:hanging="425"/>
        <w:textAlignment w:val="baseline"/>
        <w:rPr>
          <w:bCs/>
          <w:iCs/>
        </w:rPr>
      </w:pPr>
      <w:r>
        <w:t xml:space="preserve">schlägt vor, gezielte Programme sowie auf die Lernenden ausgerichtete Beratung und koordinierte Unterstützungsmaßnahmen für Lernende zu entwickeln und zu finanzieren, um </w:t>
      </w:r>
      <w:r>
        <w:rPr>
          <w:b/>
        </w:rPr>
        <w:t>unterrepräsentierten und benachteiligten Gruppen den Eintritt in den Arbeitsmarkt</w:t>
      </w:r>
      <w:r>
        <w:t xml:space="preserve"> zu </w:t>
      </w:r>
      <w:r>
        <w:rPr>
          <w:b/>
        </w:rPr>
        <w:t>erleichtern</w:t>
      </w:r>
      <w:r>
        <w:t>. Dazu gehören Frauen in MINT-Berufen (Mathematik, Informatik, Naturwissenschaften und Technik), Menschen mit Migrationshintergrund, Menschen mit Behinderungen und ältere Arbeitnehmer;</w:t>
      </w:r>
    </w:p>
    <w:p w:rsidRPr="00B70A01" w:rsidR="00B70A01" w:rsidP="00E21ECD" w:rsidRDefault="00B70A01" w14:paraId="1961B38D" w14:textId="77777777">
      <w:pPr>
        <w:widowControl w:val="0"/>
        <w:numPr>
          <w:ilvl w:val="0"/>
          <w:numId w:val="21"/>
        </w:numPr>
        <w:overflowPunct w:val="0"/>
        <w:autoSpaceDE w:val="0"/>
        <w:autoSpaceDN w:val="0"/>
        <w:adjustRightInd w:val="0"/>
        <w:ind w:left="709" w:right="283" w:hanging="425"/>
        <w:textAlignment w:val="baseline"/>
        <w:rPr>
          <w:bCs/>
          <w:iCs/>
        </w:rPr>
      </w:pPr>
      <w:r>
        <w:t xml:space="preserve">fordert die Mitgliedstaaten auf, </w:t>
      </w:r>
      <w:r>
        <w:rPr>
          <w:b/>
        </w:rPr>
        <w:t>dreigliedrig verwaltete Ausbildungsfonds</w:t>
      </w:r>
      <w:r>
        <w:t xml:space="preserve"> einsetzen, die den Eigenheiten der einzelnen nationalen Systeme Rechnung tragen, um Negativanreize zu beseitigen und Unternehmen dabei zu unterstützen, Ausbildung am Arbeitsplatz anzubieten.</w:t>
      </w:r>
    </w:p>
    <w:p w:rsidRPr="00B70A01" w:rsidR="00B70A01" w:rsidP="00B70A01" w:rsidRDefault="00B70A01" w14:paraId="5431DC4C" w14:textId="77777777">
      <w:pPr>
        <w:widowControl w:val="0"/>
        <w:overflowPunct w:val="0"/>
        <w:autoSpaceDE w:val="0"/>
        <w:autoSpaceDN w:val="0"/>
        <w:adjustRightInd w:val="0"/>
        <w:ind w:left="709"/>
        <w:textAlignment w:val="baseline"/>
        <w:rPr>
          <w:szCs w:val="20"/>
          <w:lang w:val="en-GB"/>
        </w:rPr>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B70A01" w:rsidR="00B70A01" w:rsidTr="00863A8F" w14:paraId="01B5DFB9" w14:textId="77777777">
        <w:tc>
          <w:tcPr>
            <w:tcW w:w="1556" w:type="pct"/>
          </w:tcPr>
          <w:p w:rsidRPr="00B70A01" w:rsidR="00B70A01" w:rsidP="00B70A01" w:rsidRDefault="00B70A01" w14:paraId="17DD32AB" w14:textId="77777777">
            <w:pPr>
              <w:overflowPunct w:val="0"/>
              <w:autoSpaceDE w:val="0"/>
              <w:autoSpaceDN w:val="0"/>
              <w:adjustRightInd w:val="0"/>
              <w:spacing w:line="240" w:lineRule="auto"/>
              <w:textAlignment w:val="baseline"/>
              <w:rPr>
                <w:i/>
              </w:rPr>
            </w:pPr>
            <w:r>
              <w:rPr>
                <w:b/>
                <w:i/>
              </w:rPr>
              <w:t xml:space="preserve">Kontakt </w:t>
            </w:r>
          </w:p>
        </w:tc>
        <w:tc>
          <w:tcPr>
            <w:tcW w:w="3444" w:type="pct"/>
          </w:tcPr>
          <w:p w:rsidRPr="00B70A01" w:rsidR="00B70A01" w:rsidP="00B70A01" w:rsidRDefault="00B70A01" w14:paraId="1BED828B" w14:textId="77777777">
            <w:pPr>
              <w:overflowPunct w:val="0"/>
              <w:autoSpaceDE w:val="0"/>
              <w:autoSpaceDN w:val="0"/>
              <w:adjustRightInd w:val="0"/>
              <w:spacing w:line="240" w:lineRule="auto"/>
              <w:textAlignment w:val="baseline"/>
              <w:rPr>
                <w:i/>
              </w:rPr>
            </w:pPr>
            <w:r>
              <w:rPr>
                <w:i/>
              </w:rPr>
              <w:t>Francesco Napolitano</w:t>
            </w:r>
          </w:p>
        </w:tc>
      </w:tr>
      <w:tr w:rsidRPr="00B70A01" w:rsidR="00B70A01" w:rsidTr="00863A8F" w14:paraId="07D804F8" w14:textId="77777777">
        <w:tc>
          <w:tcPr>
            <w:tcW w:w="1556" w:type="pct"/>
          </w:tcPr>
          <w:p w:rsidRPr="00B70A01" w:rsidR="00B70A01" w:rsidP="00B70A01" w:rsidRDefault="00B70A01" w14:paraId="39546BCA" w14:textId="77777777">
            <w:pPr>
              <w:overflowPunct w:val="0"/>
              <w:autoSpaceDE w:val="0"/>
              <w:autoSpaceDN w:val="0"/>
              <w:adjustRightInd w:val="0"/>
              <w:spacing w:line="240" w:lineRule="auto"/>
              <w:textAlignment w:val="baseline"/>
              <w:rPr>
                <w:i/>
              </w:rPr>
            </w:pPr>
            <w:r>
              <w:rPr>
                <w:i/>
              </w:rPr>
              <w:t>Tel.</w:t>
            </w:r>
          </w:p>
        </w:tc>
        <w:tc>
          <w:tcPr>
            <w:tcW w:w="3444" w:type="pct"/>
          </w:tcPr>
          <w:p w:rsidRPr="00B70A01" w:rsidR="00B70A01" w:rsidP="00B70A01" w:rsidRDefault="00B70A01" w14:paraId="76B7E4F8" w14:textId="77777777">
            <w:pPr>
              <w:overflowPunct w:val="0"/>
              <w:autoSpaceDE w:val="0"/>
              <w:autoSpaceDN w:val="0"/>
              <w:adjustRightInd w:val="0"/>
              <w:spacing w:line="240" w:lineRule="auto"/>
              <w:textAlignment w:val="baseline"/>
              <w:rPr>
                <w:i/>
              </w:rPr>
            </w:pPr>
            <w:r>
              <w:rPr>
                <w:i/>
              </w:rPr>
              <w:t>+32 25468921</w:t>
            </w:r>
          </w:p>
        </w:tc>
      </w:tr>
      <w:tr w:rsidRPr="00B70A01" w:rsidR="00B70A01" w:rsidTr="00863A8F" w14:paraId="0A3C7522" w14:textId="77777777">
        <w:tc>
          <w:tcPr>
            <w:tcW w:w="1556" w:type="pct"/>
          </w:tcPr>
          <w:p w:rsidRPr="00B70A01" w:rsidR="00B70A01" w:rsidP="00B70A01" w:rsidRDefault="00B70A01" w14:paraId="05434FC6" w14:textId="77777777">
            <w:pPr>
              <w:overflowPunct w:val="0"/>
              <w:autoSpaceDE w:val="0"/>
              <w:autoSpaceDN w:val="0"/>
              <w:adjustRightInd w:val="0"/>
              <w:spacing w:line="240" w:lineRule="auto"/>
              <w:textAlignment w:val="baseline"/>
              <w:rPr>
                <w:i/>
              </w:rPr>
            </w:pPr>
            <w:r>
              <w:rPr>
                <w:i/>
              </w:rPr>
              <w:t>E-Mail</w:t>
            </w:r>
          </w:p>
        </w:tc>
        <w:tc>
          <w:tcPr>
            <w:tcW w:w="3444" w:type="pct"/>
          </w:tcPr>
          <w:p w:rsidRPr="00B70A01" w:rsidR="00B70A01" w:rsidP="00B70A01" w:rsidRDefault="005204CC" w14:paraId="025822D2" w14:textId="5E8650F4">
            <w:pPr>
              <w:overflowPunct w:val="0"/>
              <w:autoSpaceDE w:val="0"/>
              <w:autoSpaceDN w:val="0"/>
              <w:adjustRightInd w:val="0"/>
              <w:spacing w:line="240" w:lineRule="auto"/>
              <w:textAlignment w:val="baseline"/>
              <w:rPr>
                <w:i/>
              </w:rPr>
            </w:pPr>
            <w:hyperlink w:history="1" r:id="rId32">
              <w:r w:rsidR="009B458F">
                <w:rPr>
                  <w:i/>
                  <w:color w:val="0000FF"/>
                  <w:u w:val="single"/>
                </w:rPr>
                <w:t>Francesco.Napolitano@eesc.europa.eu</w:t>
              </w:r>
            </w:hyperlink>
            <w:r w:rsidR="009B458F">
              <w:rPr>
                <w:i/>
              </w:rPr>
              <w:t xml:space="preserve"> </w:t>
            </w:r>
          </w:p>
        </w:tc>
      </w:tr>
    </w:tbl>
    <w:p w:rsidRPr="00B70A01" w:rsidR="00E57317" w:rsidRDefault="00E57317" w14:paraId="051DEBB3" w14:textId="607435FB">
      <w:pPr>
        <w:spacing w:after="160" w:line="259" w:lineRule="auto"/>
        <w:jc w:val="left"/>
        <w:rPr>
          <w:lang w:val="en-GB"/>
        </w:rPr>
      </w:pPr>
    </w:p>
    <w:p w:rsidR="000835E1" w:rsidRDefault="000835E1" w14:paraId="5ABE072C" w14:textId="77777777">
      <w:pPr>
        <w:spacing w:after="160" w:line="259" w:lineRule="auto"/>
        <w:jc w:val="left"/>
      </w:pPr>
      <w:r>
        <w:br w:type="page"/>
      </w:r>
    </w:p>
    <w:p w:rsidRPr="00450AE6" w:rsidR="00450AE6" w:rsidP="00450AE6" w:rsidRDefault="005204CC" w14:paraId="78455EEB" w14:textId="399D97E7">
      <w:pPr>
        <w:widowControl w:val="0"/>
        <w:numPr>
          <w:ilvl w:val="0"/>
          <w:numId w:val="6"/>
        </w:numPr>
        <w:overflowPunct w:val="0"/>
        <w:autoSpaceDE w:val="0"/>
        <w:autoSpaceDN w:val="0"/>
        <w:adjustRightInd w:val="0"/>
        <w:ind w:hanging="567"/>
        <w:textAlignment w:val="baseline"/>
        <w:rPr>
          <w:b/>
          <w:bCs/>
          <w:i/>
          <w:iCs/>
          <w:sz w:val="28"/>
          <w:szCs w:val="28"/>
        </w:rPr>
      </w:pPr>
      <w:hyperlink w:history="1" r:id="rId33">
        <w:r w:rsidR="00450AE6">
          <w:rPr>
            <w:b/>
            <w:i/>
            <w:color w:val="0000FF"/>
            <w:sz w:val="28"/>
            <w:u w:val="single"/>
          </w:rPr>
          <w:t>Sozialer Wohnungsbau in der EU – menschenwürdiger, nachhaltiger und erschwinglicher Wohnraum</w:t>
        </w:r>
      </w:hyperlink>
    </w:p>
    <w:p w:rsidRPr="00450AE6" w:rsidR="00450AE6" w:rsidP="00450AE6" w:rsidRDefault="00450AE6" w14:paraId="18574719" w14:textId="77777777">
      <w:pPr>
        <w:tabs>
          <w:tab w:val="center" w:pos="284"/>
        </w:tabs>
        <w:overflowPunct w:val="0"/>
        <w:autoSpaceDE w:val="0"/>
        <w:autoSpaceDN w:val="0"/>
        <w:adjustRightInd w:val="0"/>
        <w:ind w:left="266" w:hanging="266"/>
        <w:textAlignment w:val="baseline"/>
        <w:rPr>
          <w:b/>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6338"/>
      </w:tblGrid>
      <w:tr w:rsidRPr="00450AE6" w:rsidR="00450AE6" w:rsidTr="00BF52DC" w14:paraId="28FDC637" w14:textId="77777777">
        <w:tc>
          <w:tcPr>
            <w:tcW w:w="1850" w:type="dxa"/>
          </w:tcPr>
          <w:p w:rsidRPr="00450AE6" w:rsidR="00450AE6" w:rsidP="00450AE6" w:rsidRDefault="00450AE6" w14:paraId="674F48F2" w14:textId="77777777">
            <w:pPr>
              <w:tabs>
                <w:tab w:val="center" w:pos="284"/>
              </w:tabs>
              <w:overflowPunct w:val="0"/>
              <w:autoSpaceDE w:val="0"/>
              <w:autoSpaceDN w:val="0"/>
              <w:adjustRightInd w:val="0"/>
              <w:ind w:left="266" w:hanging="266"/>
              <w:textAlignment w:val="baseline"/>
              <w:rPr>
                <w:b/>
              </w:rPr>
            </w:pPr>
            <w:r>
              <w:rPr>
                <w:b/>
              </w:rPr>
              <w:t>Berichterstatter</w:t>
            </w:r>
          </w:p>
        </w:tc>
        <w:tc>
          <w:tcPr>
            <w:tcW w:w="6338" w:type="dxa"/>
          </w:tcPr>
          <w:p w:rsidRPr="00450AE6" w:rsidR="00450AE6" w:rsidP="00450AE6" w:rsidRDefault="00450AE6" w14:paraId="67AE54F6" w14:textId="453A4ECC">
            <w:pPr>
              <w:tabs>
                <w:tab w:val="center" w:pos="284"/>
              </w:tabs>
              <w:overflowPunct w:val="0"/>
              <w:autoSpaceDE w:val="0"/>
              <w:autoSpaceDN w:val="0"/>
              <w:adjustRightInd w:val="0"/>
              <w:ind w:left="266" w:hanging="266"/>
              <w:textAlignment w:val="baseline"/>
            </w:pPr>
            <w:r>
              <w:t>Thomas KATTNIG (Gruppe Arbeitnehmer – AT)</w:t>
            </w:r>
          </w:p>
          <w:p w:rsidRPr="00450AE6" w:rsidR="00450AE6" w:rsidP="00450AE6" w:rsidRDefault="00450AE6" w14:paraId="25FE5489" w14:textId="756F2220">
            <w:pPr>
              <w:tabs>
                <w:tab w:val="center" w:pos="284"/>
              </w:tabs>
              <w:overflowPunct w:val="0"/>
              <w:autoSpaceDE w:val="0"/>
              <w:autoSpaceDN w:val="0"/>
              <w:adjustRightInd w:val="0"/>
              <w:ind w:left="266" w:hanging="266"/>
              <w:textAlignment w:val="baseline"/>
            </w:pPr>
            <w:r>
              <w:t>Rudolf KOLBE (Gruppe Organisationen der Zivilgesellschaft – AT)</w:t>
            </w:r>
          </w:p>
        </w:tc>
      </w:tr>
      <w:tr w:rsidRPr="00450AE6" w:rsidR="00450AE6" w:rsidTr="00BF52DC" w14:paraId="55D6B02B" w14:textId="77777777">
        <w:tc>
          <w:tcPr>
            <w:tcW w:w="8188" w:type="dxa"/>
            <w:gridSpan w:val="2"/>
          </w:tcPr>
          <w:p w:rsidRPr="00450AE6" w:rsidR="00450AE6" w:rsidP="00450AE6" w:rsidRDefault="00450AE6" w14:paraId="2AA9F988" w14:textId="77777777">
            <w:pPr>
              <w:tabs>
                <w:tab w:val="center" w:pos="284"/>
              </w:tabs>
              <w:overflowPunct w:val="0"/>
              <w:autoSpaceDE w:val="0"/>
              <w:autoSpaceDN w:val="0"/>
              <w:adjustRightInd w:val="0"/>
              <w:spacing w:line="160" w:lineRule="exact"/>
              <w:ind w:left="266" w:hanging="266"/>
              <w:textAlignment w:val="baseline"/>
              <w:rPr>
                <w:sz w:val="16"/>
                <w:szCs w:val="16"/>
              </w:rPr>
            </w:pPr>
          </w:p>
        </w:tc>
      </w:tr>
      <w:tr w:rsidRPr="00450AE6" w:rsidR="00450AE6" w:rsidTr="00BF52DC" w14:paraId="1E42B3C4" w14:textId="77777777">
        <w:tc>
          <w:tcPr>
            <w:tcW w:w="1850" w:type="dxa"/>
          </w:tcPr>
          <w:p w:rsidRPr="00450AE6" w:rsidR="00450AE6" w:rsidP="00450AE6" w:rsidRDefault="00450AE6" w14:paraId="283152B1" w14:textId="77777777">
            <w:pPr>
              <w:tabs>
                <w:tab w:val="center" w:pos="284"/>
              </w:tabs>
              <w:overflowPunct w:val="0"/>
              <w:autoSpaceDE w:val="0"/>
              <w:autoSpaceDN w:val="0"/>
              <w:adjustRightInd w:val="0"/>
              <w:ind w:left="266" w:hanging="266"/>
              <w:textAlignment w:val="baseline"/>
              <w:rPr>
                <w:b/>
              </w:rPr>
            </w:pPr>
            <w:r>
              <w:rPr>
                <w:b/>
              </w:rPr>
              <w:t>Referenzdokument</w:t>
            </w:r>
          </w:p>
        </w:tc>
        <w:tc>
          <w:tcPr>
            <w:tcW w:w="6338" w:type="dxa"/>
          </w:tcPr>
          <w:p w:rsidRPr="00450AE6" w:rsidR="00450AE6" w:rsidP="00450AE6" w:rsidRDefault="00450AE6" w14:paraId="073E0774" w14:textId="77777777">
            <w:pPr>
              <w:tabs>
                <w:tab w:val="center" w:pos="284"/>
              </w:tabs>
              <w:overflowPunct w:val="0"/>
              <w:autoSpaceDE w:val="0"/>
              <w:autoSpaceDN w:val="0"/>
              <w:adjustRightInd w:val="0"/>
              <w:ind w:left="266" w:hanging="266"/>
              <w:textAlignment w:val="baseline"/>
            </w:pPr>
            <w:r>
              <w:t>Initiativstellungnahme</w:t>
            </w:r>
          </w:p>
          <w:p w:rsidRPr="00450AE6" w:rsidR="00450AE6" w:rsidP="00450AE6" w:rsidRDefault="00450AE6" w14:paraId="71B094A0" w14:textId="77777777">
            <w:pPr>
              <w:tabs>
                <w:tab w:val="center" w:pos="284"/>
              </w:tabs>
              <w:overflowPunct w:val="0"/>
              <w:autoSpaceDE w:val="0"/>
              <w:autoSpaceDN w:val="0"/>
              <w:adjustRightInd w:val="0"/>
              <w:ind w:left="266" w:hanging="266"/>
              <w:textAlignment w:val="baseline"/>
            </w:pPr>
            <w:r>
              <w:t>EESC-2024-01187-00-00-AC</w:t>
            </w:r>
          </w:p>
        </w:tc>
      </w:tr>
    </w:tbl>
    <w:p w:rsidRPr="00E21ECD" w:rsidR="00450AE6" w:rsidP="00450AE6" w:rsidRDefault="00450AE6" w14:paraId="7FF72092" w14:textId="77777777">
      <w:pPr>
        <w:tabs>
          <w:tab w:val="center" w:pos="284"/>
        </w:tabs>
        <w:overflowPunct w:val="0"/>
        <w:autoSpaceDE w:val="0"/>
        <w:autoSpaceDN w:val="0"/>
        <w:adjustRightInd w:val="0"/>
        <w:ind w:left="266" w:hanging="266"/>
        <w:textAlignment w:val="baseline"/>
        <w:rPr>
          <w:lang w:val="en-GB"/>
        </w:rPr>
      </w:pPr>
    </w:p>
    <w:p w:rsidRPr="00E21ECD" w:rsidR="00450AE6" w:rsidP="00450AE6" w:rsidRDefault="00450AE6" w14:paraId="46A96DFC" w14:textId="77777777">
      <w:pPr>
        <w:keepNext/>
        <w:keepLines/>
        <w:tabs>
          <w:tab w:val="center" w:pos="284"/>
        </w:tabs>
        <w:overflowPunct w:val="0"/>
        <w:autoSpaceDE w:val="0"/>
        <w:autoSpaceDN w:val="0"/>
        <w:adjustRightInd w:val="0"/>
        <w:ind w:left="266" w:hanging="266"/>
        <w:textAlignment w:val="baseline"/>
        <w:rPr>
          <w:b/>
        </w:rPr>
      </w:pPr>
      <w:r w:rsidRPr="00E21ECD">
        <w:rPr>
          <w:b/>
        </w:rPr>
        <w:t>Kernaussagen</w:t>
      </w:r>
    </w:p>
    <w:p w:rsidRPr="00E21ECD" w:rsidR="00450AE6" w:rsidP="00450AE6" w:rsidRDefault="00450AE6" w14:paraId="6CED3A94" w14:textId="77777777">
      <w:pPr>
        <w:keepNext/>
        <w:keepLines/>
        <w:tabs>
          <w:tab w:val="center" w:pos="284"/>
        </w:tabs>
        <w:overflowPunct w:val="0"/>
        <w:autoSpaceDE w:val="0"/>
        <w:autoSpaceDN w:val="0"/>
        <w:adjustRightInd w:val="0"/>
        <w:ind w:left="266" w:hanging="266"/>
        <w:textAlignment w:val="baseline"/>
        <w:rPr>
          <w:b/>
          <w:lang w:val="en-GB"/>
        </w:rPr>
      </w:pPr>
    </w:p>
    <w:p w:rsidRPr="00E21ECD" w:rsidR="00450AE6" w:rsidP="00450AE6" w:rsidRDefault="00450AE6" w14:paraId="63ED3E65" w14:textId="011D5C4C">
      <w:pPr>
        <w:overflowPunct w:val="0"/>
        <w:autoSpaceDE w:val="0"/>
        <w:autoSpaceDN w:val="0"/>
        <w:adjustRightInd w:val="0"/>
        <w:textAlignment w:val="baseline"/>
        <w:rPr>
          <w:bCs/>
          <w:iCs/>
        </w:rPr>
      </w:pPr>
      <w:r w:rsidRPr="00E21ECD">
        <w:t>Der EWSA</w:t>
      </w:r>
    </w:p>
    <w:p w:rsidRPr="00E21ECD" w:rsidR="00450AE6" w:rsidP="00450AE6" w:rsidRDefault="00450AE6" w14:paraId="55F08739" w14:textId="77777777">
      <w:pPr>
        <w:overflowPunct w:val="0"/>
        <w:autoSpaceDE w:val="0"/>
        <w:autoSpaceDN w:val="0"/>
        <w:adjustRightInd w:val="0"/>
        <w:textAlignment w:val="baseline"/>
        <w:rPr>
          <w:bCs/>
          <w:iCs/>
          <w:lang w:val="en-GB"/>
        </w:rPr>
      </w:pPr>
    </w:p>
    <w:p w:rsidRPr="00E21ECD" w:rsidR="00450AE6" w:rsidP="00E21ECD" w:rsidRDefault="00450AE6" w14:paraId="1F7F81A2" w14:textId="77777777">
      <w:pPr>
        <w:widowControl w:val="0"/>
        <w:numPr>
          <w:ilvl w:val="0"/>
          <w:numId w:val="21"/>
        </w:numPr>
        <w:overflowPunct w:val="0"/>
        <w:autoSpaceDE w:val="0"/>
        <w:autoSpaceDN w:val="0"/>
        <w:adjustRightInd w:val="0"/>
        <w:ind w:left="709" w:right="283" w:hanging="425"/>
        <w:textAlignment w:val="baseline"/>
      </w:pPr>
      <w:r w:rsidRPr="00E21ECD">
        <w:t>ist der</w:t>
      </w:r>
      <w:r>
        <w:t xml:space="preserve"> Ansicht, dass von einem Marktversagen bei der Wohnversorgung gesprochen werden muss. Dagegen muss durch eine Verbesserung der Rahmenbedingungen wie der Datenlage, der Koordination, der Genehmigungsverfahren und der Vorschriften für die Flächennutzungsplanung sowie durch die Einführung eines Grundrechts auf Wohnen, eine ausreichende Finanzierung, die Umsetzung des Leitprinzips „Housing First“ für Obdachlose sowie einen stärkeren Fokus auf die Bedürfnisse junger Menschen und die Nachhaltigkeit vorgegangen werden;</w:t>
      </w:r>
    </w:p>
    <w:p w:rsidRPr="00E21ECD" w:rsidR="00450AE6" w:rsidP="00E21ECD" w:rsidRDefault="00450AE6" w14:paraId="799CEEA0" w14:textId="77777777">
      <w:pPr>
        <w:widowControl w:val="0"/>
        <w:numPr>
          <w:ilvl w:val="0"/>
          <w:numId w:val="21"/>
        </w:numPr>
        <w:overflowPunct w:val="0"/>
        <w:autoSpaceDE w:val="0"/>
        <w:autoSpaceDN w:val="0"/>
        <w:adjustRightInd w:val="0"/>
        <w:ind w:left="709" w:right="283" w:hanging="425"/>
        <w:textAlignment w:val="baseline"/>
      </w:pPr>
      <w:r>
        <w:t>begrüßt die Ernennung eines EU-Kommissars mit dem neuen Portfolio „Wohnungswesen“, der von einer Expertengruppe unterstützt werden sollte, welcher auch Vertreter des EWSA und des Europäischen Ausschusses der Regionen (AdR) angehören. Darüber hinaus fordert der EWSA, ihn als Beobachter oder Berater an der Arbeit des Ausschusses für Wohnungswesen zu beteiligen, der im Europäischen Parlament eingerichtet werden soll;</w:t>
      </w:r>
    </w:p>
    <w:p w:rsidRPr="00450AE6" w:rsidR="00450AE6" w:rsidP="00E21ECD" w:rsidRDefault="00450AE6" w14:paraId="147B7AF8" w14:textId="77777777">
      <w:pPr>
        <w:widowControl w:val="0"/>
        <w:numPr>
          <w:ilvl w:val="0"/>
          <w:numId w:val="21"/>
        </w:numPr>
        <w:overflowPunct w:val="0"/>
        <w:autoSpaceDE w:val="0"/>
        <w:autoSpaceDN w:val="0"/>
        <w:adjustRightInd w:val="0"/>
        <w:ind w:left="709" w:right="283" w:hanging="425"/>
        <w:textAlignment w:val="baseline"/>
      </w:pPr>
      <w:r>
        <w:t>fordert die Kommission auf, sozial gebundene Mietwohnungen als wesentliches und erfolgversprechendes Instrument einer aktiven Wohnpolitik anzuerkennen. Mittelfristig soll die Verankerung des Grundrechts auf erschwinglichen, barrierefreien und angemessenen Wohnraum für alle im EU-Primärrecht erfolgen. Der bisherige Ansatz, dass Wohnpolitik nur ein residuales Programm für die Haushalte mit den niedrigsten Einkommen darstellen soll, ist zu verwerfen und das Beihilferecht im Einklang mit den Bestimmungen über Dienste von allgemeinem wirtschaftlichem Interesse (DAWI) entsprechend anzupassen. Außerdem hinaus sollten Wohnungsindikatoren in die nationalen Reformprogramme und die Stabilitäts-/Konvergenzprogramme aufgenommen werden;</w:t>
      </w:r>
    </w:p>
    <w:p w:rsidRPr="00E21ECD" w:rsidR="00450AE6" w:rsidP="00E21ECD" w:rsidRDefault="00450AE6" w14:paraId="602945E5" w14:textId="77777777">
      <w:pPr>
        <w:widowControl w:val="0"/>
        <w:numPr>
          <w:ilvl w:val="0"/>
          <w:numId w:val="21"/>
        </w:numPr>
        <w:overflowPunct w:val="0"/>
        <w:autoSpaceDE w:val="0"/>
        <w:autoSpaceDN w:val="0"/>
        <w:adjustRightInd w:val="0"/>
        <w:ind w:left="709" w:right="283" w:hanging="425"/>
        <w:textAlignment w:val="baseline"/>
      </w:pPr>
      <w:r>
        <w:t>begrüßt die geplante gesamteuropäische Investitionsplattform für erschwinglichen und nachhaltigen Wohnraum. Zudem sollen gemeinnützige Bauträger und Genossenschaften sowie lokale Gebietskörperschaften über diese Plattform oder direkt von der Europäischen Investitionsbank langfristige Darlehen mit 0 % Zinsen beziehen können;</w:t>
      </w:r>
    </w:p>
    <w:p w:rsidRPr="00E21ECD" w:rsidR="00450AE6" w:rsidP="00E21ECD" w:rsidRDefault="00450AE6" w14:paraId="2A6B5F2C" w14:textId="77777777">
      <w:pPr>
        <w:widowControl w:val="0"/>
        <w:numPr>
          <w:ilvl w:val="0"/>
          <w:numId w:val="21"/>
        </w:numPr>
        <w:overflowPunct w:val="0"/>
        <w:autoSpaceDE w:val="0"/>
        <w:autoSpaceDN w:val="0"/>
        <w:adjustRightInd w:val="0"/>
        <w:ind w:left="709" w:right="283" w:hanging="425"/>
        <w:textAlignment w:val="baseline"/>
      </w:pPr>
      <w:r>
        <w:t>Der EWSA fordert die Kommission auf, die Mitgliedstaaten gegebenenfalls durch an sie gerichtete Empfehlungen bei der Bereitstellung eines Instrumentariums zur Eindämmung der außer Kontrolle geratenen Mietentwicklungen zu unterstützen, einschließlich beispielsweise gesetzlicher Mietobergrenzen, einer Leerstandsabgabe für Wohnimmobilien, steuerlicher Anreize für die Renovierung leer stehender Wohnungen im Hinblick auf ihre Vermietung, mehr Sozialwohnungen, Einschränkungen bei Genehmigungen für Kurzzeitvermietung.</w:t>
      </w:r>
    </w:p>
    <w:p w:rsidRPr="00E21ECD" w:rsidR="00450AE6" w:rsidP="00E21ECD" w:rsidRDefault="00450AE6" w14:paraId="742EF3EC" w14:textId="77777777">
      <w:pPr>
        <w:widowControl w:val="0"/>
        <w:numPr>
          <w:ilvl w:val="0"/>
          <w:numId w:val="21"/>
        </w:numPr>
        <w:overflowPunct w:val="0"/>
        <w:autoSpaceDE w:val="0"/>
        <w:autoSpaceDN w:val="0"/>
        <w:adjustRightInd w:val="0"/>
        <w:ind w:left="709" w:right="283" w:hanging="425"/>
        <w:textAlignment w:val="baseline"/>
      </w:pPr>
      <w:r>
        <w:t>fordert einen Aktionsplan, der sich speziell auf den verbesserten Zugang zu leistbarem Wohnraum für junge Menschen konzentriert.</w:t>
      </w:r>
    </w:p>
    <w:p w:rsidRPr="00E21ECD" w:rsidR="00450AE6" w:rsidP="00E21ECD" w:rsidRDefault="00450AE6" w14:paraId="485095E0" w14:textId="72D3B261">
      <w:pPr>
        <w:widowControl w:val="0"/>
        <w:overflowPunct w:val="0"/>
        <w:autoSpaceDE w:val="0"/>
        <w:autoSpaceDN w:val="0"/>
        <w:adjustRightInd w:val="0"/>
        <w:ind w:left="709" w:right="283"/>
        <w:textAlignment w:val="baseline"/>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50AE6" w:rsidR="00450AE6" w:rsidTr="00863A8F" w14:paraId="380DCF50" w14:textId="77777777">
        <w:tc>
          <w:tcPr>
            <w:tcW w:w="1418" w:type="dxa"/>
          </w:tcPr>
          <w:p w:rsidRPr="00450AE6" w:rsidR="00450AE6" w:rsidP="00BF52DC" w:rsidRDefault="00450AE6" w14:paraId="56929701" w14:textId="77777777">
            <w:pPr>
              <w:keepNext/>
              <w:keepLines/>
              <w:overflowPunct w:val="0"/>
              <w:autoSpaceDE w:val="0"/>
              <w:autoSpaceDN w:val="0"/>
              <w:adjustRightInd w:val="0"/>
              <w:spacing w:line="240" w:lineRule="auto"/>
              <w:textAlignment w:val="baseline"/>
              <w:rPr>
                <w:i/>
              </w:rPr>
            </w:pPr>
            <w:r>
              <w:rPr>
                <w:b/>
                <w:i/>
              </w:rPr>
              <w:t>Kontakt</w:t>
            </w:r>
          </w:p>
        </w:tc>
        <w:tc>
          <w:tcPr>
            <w:tcW w:w="5670" w:type="dxa"/>
          </w:tcPr>
          <w:p w:rsidRPr="00450AE6" w:rsidR="00450AE6" w:rsidP="00BF52DC" w:rsidRDefault="00450AE6" w14:paraId="50B7D907" w14:textId="3FA448E5">
            <w:pPr>
              <w:keepNext/>
              <w:keepLines/>
              <w:overflowPunct w:val="0"/>
              <w:autoSpaceDE w:val="0"/>
              <w:autoSpaceDN w:val="0"/>
              <w:adjustRightInd w:val="0"/>
              <w:spacing w:line="240" w:lineRule="auto"/>
              <w:textAlignment w:val="baseline"/>
              <w:rPr>
                <w:i/>
              </w:rPr>
            </w:pPr>
            <w:r>
              <w:rPr>
                <w:i/>
              </w:rPr>
              <w:t>Agota Bazsik</w:t>
            </w:r>
          </w:p>
        </w:tc>
      </w:tr>
      <w:tr w:rsidRPr="00450AE6" w:rsidR="00450AE6" w:rsidTr="00863A8F" w14:paraId="1FE7CA74" w14:textId="77777777">
        <w:tc>
          <w:tcPr>
            <w:tcW w:w="1418" w:type="dxa"/>
          </w:tcPr>
          <w:p w:rsidRPr="00450AE6" w:rsidR="00450AE6" w:rsidP="00BF52DC" w:rsidRDefault="00450AE6" w14:paraId="04D70DE0"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450AE6" w:rsidR="00450AE6" w:rsidP="00BF52DC" w:rsidRDefault="00450AE6" w14:paraId="493C0DBC" w14:textId="77777777">
            <w:pPr>
              <w:keepNext/>
              <w:keepLines/>
              <w:overflowPunct w:val="0"/>
              <w:autoSpaceDE w:val="0"/>
              <w:autoSpaceDN w:val="0"/>
              <w:adjustRightInd w:val="0"/>
              <w:spacing w:line="240" w:lineRule="auto"/>
              <w:textAlignment w:val="baseline"/>
              <w:rPr>
                <w:i/>
              </w:rPr>
            </w:pPr>
            <w:r>
              <w:rPr>
                <w:i/>
              </w:rPr>
              <w:t>+32 254 68658</w:t>
            </w:r>
          </w:p>
        </w:tc>
      </w:tr>
      <w:tr w:rsidRPr="00450AE6" w:rsidR="00450AE6" w:rsidTr="00863A8F" w14:paraId="22E39DE7" w14:textId="77777777">
        <w:tc>
          <w:tcPr>
            <w:tcW w:w="1418" w:type="dxa"/>
          </w:tcPr>
          <w:p w:rsidRPr="00450AE6" w:rsidR="00450AE6" w:rsidP="00BF52DC" w:rsidRDefault="00450AE6" w14:paraId="1A4E7FDC" w14:textId="437D0C47">
            <w:pPr>
              <w:keepNext/>
              <w:keepLines/>
              <w:overflowPunct w:val="0"/>
              <w:autoSpaceDE w:val="0"/>
              <w:autoSpaceDN w:val="0"/>
              <w:adjustRightInd w:val="0"/>
              <w:spacing w:line="240" w:lineRule="auto"/>
              <w:textAlignment w:val="baseline"/>
              <w:rPr>
                <w:i/>
              </w:rPr>
            </w:pPr>
            <w:r>
              <w:rPr>
                <w:i/>
              </w:rPr>
              <w:t>E-Mail</w:t>
            </w:r>
          </w:p>
        </w:tc>
        <w:tc>
          <w:tcPr>
            <w:tcW w:w="5670" w:type="dxa"/>
          </w:tcPr>
          <w:p w:rsidRPr="00450AE6" w:rsidR="00450AE6" w:rsidP="00BF52DC" w:rsidRDefault="005204CC" w14:paraId="508BEBD8" w14:textId="77777777">
            <w:pPr>
              <w:keepNext/>
              <w:keepLines/>
              <w:overflowPunct w:val="0"/>
              <w:autoSpaceDE w:val="0"/>
              <w:autoSpaceDN w:val="0"/>
              <w:adjustRightInd w:val="0"/>
              <w:spacing w:line="240" w:lineRule="auto"/>
              <w:textAlignment w:val="baseline"/>
              <w:rPr>
                <w:i/>
              </w:rPr>
            </w:pPr>
            <w:hyperlink w:history="1" r:id="rId34">
              <w:r w:rsidR="009B458F">
                <w:rPr>
                  <w:i/>
                  <w:color w:val="0000FF"/>
                  <w:u w:val="single"/>
                </w:rPr>
                <w:t>Agota.Bazsik@eesc.europa.eu</w:t>
              </w:r>
            </w:hyperlink>
          </w:p>
        </w:tc>
      </w:tr>
    </w:tbl>
    <w:p w:rsidR="00B70A01" w:rsidRDefault="00B70A01" w14:paraId="3B5E845F" w14:textId="16E7EEBA">
      <w:pPr>
        <w:spacing w:after="160" w:line="259" w:lineRule="auto"/>
        <w:jc w:val="left"/>
      </w:pPr>
      <w:r>
        <w:br w:type="page"/>
      </w:r>
    </w:p>
    <w:p w:rsidR="004D7AC0" w:rsidP="006D6D4E" w:rsidRDefault="004D7AC0" w14:paraId="4982DDF3" w14:textId="77777777">
      <w:pPr>
        <w:pStyle w:val="Heading1"/>
        <w:keepNext/>
        <w:keepLines/>
        <w:rPr>
          <w:b/>
        </w:rPr>
      </w:pPr>
      <w:bookmarkStart w:name="_Toc75527083" w:id="18"/>
      <w:bookmarkStart w:name="_Toc184973448" w:id="19"/>
      <w:r>
        <w:rPr>
          <w:b/>
        </w:rPr>
        <w:t>BINNENMARKT, PRODUKTION, VERBRAUCH</w:t>
      </w:r>
      <w:bookmarkEnd w:id="18"/>
      <w:bookmarkEnd w:id="19"/>
    </w:p>
    <w:p w:rsidRPr="006D6D4E" w:rsidR="004D7AC0" w:rsidP="004D7AC0" w:rsidRDefault="004D7AC0" w14:paraId="4982DE1D" w14:textId="77777777">
      <w:pPr>
        <w:pStyle w:val="ListParagraph"/>
        <w:ind w:left="0"/>
        <w:rPr>
          <w:sz w:val="20"/>
          <w:szCs w:val="20"/>
        </w:rPr>
      </w:pPr>
    </w:p>
    <w:p w:rsidRPr="00F6465A" w:rsidR="00F6465A" w:rsidP="00F6465A" w:rsidRDefault="005204CC" w14:paraId="4C5E9265" w14:textId="332063B2">
      <w:pPr>
        <w:widowControl w:val="0"/>
        <w:numPr>
          <w:ilvl w:val="0"/>
          <w:numId w:val="6"/>
        </w:numPr>
        <w:overflowPunct w:val="0"/>
        <w:autoSpaceDE w:val="0"/>
        <w:autoSpaceDN w:val="0"/>
        <w:adjustRightInd w:val="0"/>
        <w:ind w:hanging="567"/>
        <w:textAlignment w:val="baseline"/>
        <w:rPr>
          <w:sz w:val="20"/>
          <w:szCs w:val="20"/>
        </w:rPr>
      </w:pPr>
      <w:hyperlink w:history="1" r:id="rId35">
        <w:r w:rsidR="00F6465A">
          <w:rPr>
            <w:b/>
            <w:i/>
            <w:color w:val="0000FF"/>
            <w:sz w:val="28"/>
            <w:u w:val="single"/>
          </w:rPr>
          <w:t>Binnenmarkt und künftige Erweiterung der Union</w:t>
        </w:r>
      </w:hyperlink>
    </w:p>
    <w:p w:rsidRPr="00F6465A" w:rsidR="00F6465A" w:rsidP="00F6465A" w:rsidRDefault="00F6465A" w14:paraId="63231238" w14:textId="77777777">
      <w:pPr>
        <w:tabs>
          <w:tab w:val="center" w:pos="284"/>
        </w:tabs>
        <w:overflowPunct w:val="0"/>
        <w:autoSpaceDE w:val="0"/>
        <w:autoSpaceDN w:val="0"/>
        <w:adjustRightInd w:val="0"/>
        <w:ind w:left="266" w:hanging="266"/>
        <w:textAlignment w:val="baseline"/>
        <w:rPr>
          <w:b/>
          <w:lang w:val="en-GB"/>
        </w:rPr>
      </w:pPr>
    </w:p>
    <w:tbl>
      <w:tblPr>
        <w:tblStyle w:val="TableGrid7"/>
        <w:tblW w:w="464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6803"/>
      </w:tblGrid>
      <w:tr w:rsidRPr="00F6465A" w:rsidR="00F6465A" w:rsidTr="00BF52DC" w14:paraId="678F7BE3" w14:textId="77777777">
        <w:trPr>
          <w:trHeight w:val="590"/>
        </w:trPr>
        <w:tc>
          <w:tcPr>
            <w:tcW w:w="1177" w:type="pct"/>
          </w:tcPr>
          <w:p w:rsidRPr="00F6465A" w:rsidR="00F6465A" w:rsidP="00F6465A" w:rsidRDefault="00F6465A" w14:paraId="537ECCE7" w14:textId="77777777">
            <w:pPr>
              <w:tabs>
                <w:tab w:val="center" w:pos="284"/>
              </w:tabs>
              <w:overflowPunct w:val="0"/>
              <w:autoSpaceDE w:val="0"/>
              <w:autoSpaceDN w:val="0"/>
              <w:adjustRightInd w:val="0"/>
              <w:ind w:left="266" w:hanging="266"/>
              <w:textAlignment w:val="baseline"/>
              <w:rPr>
                <w:b/>
              </w:rPr>
            </w:pPr>
            <w:r>
              <w:rPr>
                <w:b/>
              </w:rPr>
              <w:t>Berichterstatter</w:t>
            </w:r>
          </w:p>
        </w:tc>
        <w:tc>
          <w:tcPr>
            <w:tcW w:w="3823" w:type="pct"/>
          </w:tcPr>
          <w:p w:rsidRPr="00F6465A" w:rsidR="00F6465A" w:rsidP="00F6465A" w:rsidRDefault="00F6465A" w14:paraId="42879C99" w14:textId="77777777">
            <w:pPr>
              <w:tabs>
                <w:tab w:val="center" w:pos="284"/>
              </w:tabs>
              <w:overflowPunct w:val="0"/>
              <w:autoSpaceDE w:val="0"/>
              <w:autoSpaceDN w:val="0"/>
              <w:adjustRightInd w:val="0"/>
              <w:ind w:left="266" w:hanging="266"/>
              <w:jc w:val="left"/>
              <w:textAlignment w:val="baseline"/>
            </w:pPr>
            <w:r>
              <w:t>Stoyan TCHOUKANOV (Gruppe Organisationen der Zivilgesellschaft – BG)</w:t>
            </w:r>
          </w:p>
        </w:tc>
      </w:tr>
      <w:tr w:rsidRPr="00F6465A" w:rsidR="00F6465A" w:rsidTr="00BF52DC" w14:paraId="7455A650" w14:textId="77777777">
        <w:trPr>
          <w:trHeight w:val="159"/>
        </w:trPr>
        <w:tc>
          <w:tcPr>
            <w:tcW w:w="5000" w:type="pct"/>
            <w:gridSpan w:val="2"/>
          </w:tcPr>
          <w:p w:rsidRPr="00F6465A" w:rsidR="00F6465A" w:rsidP="00F6465A" w:rsidRDefault="00F6465A" w14:paraId="0690994C" w14:textId="77777777">
            <w:pPr>
              <w:tabs>
                <w:tab w:val="center" w:pos="284"/>
              </w:tabs>
              <w:overflowPunct w:val="0"/>
              <w:autoSpaceDE w:val="0"/>
              <w:autoSpaceDN w:val="0"/>
              <w:adjustRightInd w:val="0"/>
              <w:spacing w:line="160" w:lineRule="exact"/>
              <w:ind w:left="266" w:hanging="266"/>
              <w:textAlignment w:val="baseline"/>
            </w:pPr>
          </w:p>
        </w:tc>
      </w:tr>
      <w:tr w:rsidRPr="00F6465A" w:rsidR="00F6465A" w:rsidTr="00BF52DC" w14:paraId="6A7B8849" w14:textId="77777777">
        <w:trPr>
          <w:trHeight w:val="306"/>
        </w:trPr>
        <w:tc>
          <w:tcPr>
            <w:tcW w:w="1177" w:type="pct"/>
            <w:vMerge w:val="restart"/>
          </w:tcPr>
          <w:p w:rsidRPr="00F6465A" w:rsidR="00F6465A" w:rsidP="00F6465A" w:rsidRDefault="00F6465A" w14:paraId="14DA43A0" w14:textId="77777777">
            <w:pPr>
              <w:tabs>
                <w:tab w:val="center" w:pos="284"/>
              </w:tabs>
              <w:overflowPunct w:val="0"/>
              <w:autoSpaceDE w:val="0"/>
              <w:autoSpaceDN w:val="0"/>
              <w:adjustRightInd w:val="0"/>
              <w:ind w:left="266" w:hanging="266"/>
              <w:textAlignment w:val="baseline"/>
              <w:rPr>
                <w:b/>
              </w:rPr>
            </w:pPr>
            <w:r>
              <w:rPr>
                <w:b/>
              </w:rPr>
              <w:t>Referenzdokument</w:t>
            </w:r>
          </w:p>
        </w:tc>
        <w:tc>
          <w:tcPr>
            <w:tcW w:w="3823" w:type="pct"/>
          </w:tcPr>
          <w:p w:rsidRPr="00F6465A" w:rsidR="00F6465A" w:rsidP="00F6465A" w:rsidRDefault="00F6465A" w14:paraId="14610EA5" w14:textId="77777777">
            <w:pPr>
              <w:tabs>
                <w:tab w:val="center" w:pos="284"/>
              </w:tabs>
              <w:overflowPunct w:val="0"/>
              <w:autoSpaceDE w:val="0"/>
              <w:autoSpaceDN w:val="0"/>
              <w:adjustRightInd w:val="0"/>
              <w:ind w:left="266" w:hanging="266"/>
              <w:textAlignment w:val="baseline"/>
            </w:pPr>
            <w:r>
              <w:t>Initiativstellungnahme</w:t>
            </w:r>
          </w:p>
        </w:tc>
      </w:tr>
      <w:tr w:rsidRPr="00F6465A" w:rsidR="00F6465A" w:rsidTr="00BF52DC" w14:paraId="14D3C1DF" w14:textId="77777777">
        <w:trPr>
          <w:trHeight w:val="306"/>
        </w:trPr>
        <w:tc>
          <w:tcPr>
            <w:tcW w:w="1177" w:type="pct"/>
            <w:vMerge/>
          </w:tcPr>
          <w:p w:rsidRPr="00F6465A" w:rsidR="00F6465A" w:rsidP="00F6465A" w:rsidRDefault="00F6465A" w14:paraId="20284924" w14:textId="77777777">
            <w:pPr>
              <w:tabs>
                <w:tab w:val="center" w:pos="284"/>
              </w:tabs>
              <w:overflowPunct w:val="0"/>
              <w:autoSpaceDE w:val="0"/>
              <w:autoSpaceDN w:val="0"/>
              <w:adjustRightInd w:val="0"/>
              <w:ind w:left="266" w:hanging="266"/>
              <w:textAlignment w:val="baseline"/>
              <w:rPr>
                <w:b/>
              </w:rPr>
            </w:pPr>
          </w:p>
        </w:tc>
        <w:tc>
          <w:tcPr>
            <w:tcW w:w="3823" w:type="pct"/>
          </w:tcPr>
          <w:p w:rsidRPr="00F6465A" w:rsidR="00F6465A" w:rsidP="00F6465A" w:rsidRDefault="00F6465A" w14:paraId="448A9DC7" w14:textId="77777777">
            <w:pPr>
              <w:tabs>
                <w:tab w:val="center" w:pos="284"/>
              </w:tabs>
              <w:overflowPunct w:val="0"/>
              <w:autoSpaceDE w:val="0"/>
              <w:autoSpaceDN w:val="0"/>
              <w:adjustRightInd w:val="0"/>
              <w:ind w:left="266" w:hanging="266"/>
              <w:textAlignment w:val="baseline"/>
            </w:pPr>
            <w:r>
              <w:t>EESC-2024-02187-00-00-AC</w:t>
            </w:r>
          </w:p>
        </w:tc>
      </w:tr>
      <w:tr w:rsidRPr="00F6465A" w:rsidR="00F6465A" w:rsidTr="00BF52DC" w14:paraId="378597BC" w14:textId="77777777">
        <w:trPr>
          <w:trHeight w:val="295"/>
        </w:trPr>
        <w:tc>
          <w:tcPr>
            <w:tcW w:w="1177" w:type="pct"/>
            <w:vMerge/>
          </w:tcPr>
          <w:p w:rsidRPr="00F6465A" w:rsidR="00F6465A" w:rsidP="00F6465A" w:rsidRDefault="00F6465A" w14:paraId="1AC1550A" w14:textId="77777777">
            <w:pPr>
              <w:tabs>
                <w:tab w:val="center" w:pos="284"/>
              </w:tabs>
              <w:overflowPunct w:val="0"/>
              <w:autoSpaceDE w:val="0"/>
              <w:autoSpaceDN w:val="0"/>
              <w:adjustRightInd w:val="0"/>
              <w:ind w:left="266" w:hanging="266"/>
              <w:textAlignment w:val="baseline"/>
              <w:rPr>
                <w:b/>
              </w:rPr>
            </w:pPr>
          </w:p>
        </w:tc>
        <w:tc>
          <w:tcPr>
            <w:tcW w:w="3823" w:type="pct"/>
          </w:tcPr>
          <w:p w:rsidRPr="00F6465A" w:rsidR="00F6465A" w:rsidP="00F6465A" w:rsidRDefault="00F6465A" w14:paraId="05E82FFC" w14:textId="77777777">
            <w:pPr>
              <w:tabs>
                <w:tab w:val="center" w:pos="284"/>
              </w:tabs>
              <w:overflowPunct w:val="0"/>
              <w:autoSpaceDE w:val="0"/>
              <w:autoSpaceDN w:val="0"/>
              <w:adjustRightInd w:val="0"/>
              <w:ind w:left="266" w:hanging="266"/>
              <w:textAlignment w:val="baseline"/>
            </w:pPr>
          </w:p>
        </w:tc>
      </w:tr>
    </w:tbl>
    <w:p w:rsidRPr="00F6465A" w:rsidR="00F6465A" w:rsidP="00F6465A" w:rsidRDefault="00F6465A" w14:paraId="1B1AE230"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F6465A" w:rsidR="00F6465A" w:rsidP="00F6465A" w:rsidRDefault="00F6465A" w14:paraId="71640B93" w14:textId="77777777">
      <w:pPr>
        <w:keepNext/>
        <w:keepLines/>
        <w:tabs>
          <w:tab w:val="center" w:pos="284"/>
        </w:tabs>
        <w:overflowPunct w:val="0"/>
        <w:autoSpaceDE w:val="0"/>
        <w:autoSpaceDN w:val="0"/>
        <w:adjustRightInd w:val="0"/>
        <w:ind w:left="266" w:hanging="266"/>
        <w:textAlignment w:val="baseline"/>
        <w:rPr>
          <w:b/>
          <w:lang w:val="en-GB"/>
        </w:rPr>
      </w:pPr>
    </w:p>
    <w:p w:rsidRPr="00F6465A" w:rsidR="00F6465A" w:rsidP="00F6465A" w:rsidRDefault="00F6465A" w14:paraId="261CF2D3" w14:textId="77777777">
      <w:pPr>
        <w:overflowPunct w:val="0"/>
        <w:autoSpaceDE w:val="0"/>
        <w:autoSpaceDN w:val="0"/>
        <w:adjustRightInd w:val="0"/>
        <w:textAlignment w:val="baseline"/>
        <w:rPr>
          <w:bCs/>
          <w:iCs/>
        </w:rPr>
      </w:pPr>
      <w:r>
        <w:t>Der EWSA</w:t>
      </w:r>
    </w:p>
    <w:p w:rsidRPr="00F6465A" w:rsidR="00F6465A" w:rsidP="00F6465A" w:rsidRDefault="00F6465A" w14:paraId="3F9C5C33" w14:textId="77777777">
      <w:pPr>
        <w:overflowPunct w:val="0"/>
        <w:autoSpaceDE w:val="0"/>
        <w:autoSpaceDN w:val="0"/>
        <w:adjustRightInd w:val="0"/>
        <w:textAlignment w:val="baseline"/>
        <w:rPr>
          <w:bCs/>
          <w:iCs/>
          <w:lang w:val="en-GB"/>
        </w:rPr>
      </w:pPr>
    </w:p>
    <w:p w:rsidRPr="00E21ECD" w:rsidR="00F6465A" w:rsidP="00E21ECD" w:rsidRDefault="00F6465A" w14:paraId="6C89D84E" w14:textId="77777777">
      <w:pPr>
        <w:widowControl w:val="0"/>
        <w:numPr>
          <w:ilvl w:val="0"/>
          <w:numId w:val="21"/>
        </w:numPr>
        <w:tabs>
          <w:tab w:val="left" w:pos="9072"/>
        </w:tabs>
        <w:overflowPunct w:val="0"/>
        <w:autoSpaceDE w:val="0"/>
        <w:autoSpaceDN w:val="0"/>
        <w:adjustRightInd w:val="0"/>
        <w:ind w:left="709" w:right="283" w:hanging="425"/>
        <w:textAlignment w:val="baseline"/>
      </w:pPr>
      <w:r>
        <w:t>betrachtet die Erweiterung der EU als Erfolgsgeschichte und begrüßt ausdrücklich die anhaltende Dynamik nach der Erklärung des Rates von Granada. Nicht nur die Bewerberländer müssen sich vorbereiten, auch die EU muss vor deren Beitritt die notwendigen rechtlichen Änderungen vornehmen;</w:t>
      </w:r>
    </w:p>
    <w:p w:rsidRPr="00E21ECD" w:rsidR="00F6465A" w:rsidP="00E21ECD" w:rsidRDefault="00F6465A" w14:paraId="7F3C28FC" w14:textId="77777777">
      <w:pPr>
        <w:widowControl w:val="0"/>
        <w:numPr>
          <w:ilvl w:val="0"/>
          <w:numId w:val="21"/>
        </w:numPr>
        <w:tabs>
          <w:tab w:val="left" w:pos="9072"/>
        </w:tabs>
        <w:overflowPunct w:val="0"/>
        <w:autoSpaceDE w:val="0"/>
        <w:autoSpaceDN w:val="0"/>
        <w:adjustRightInd w:val="0"/>
        <w:ind w:left="709" w:right="283" w:hanging="425"/>
        <w:textAlignment w:val="baseline"/>
      </w:pPr>
      <w:r>
        <w:t>bedauert, dass die derzeitige Fragmentierung des europäischen Finanzmarkts dazu führt, dass Kapital abfließt, und damit eine Gefahr für die globale Wettbewerbsfähigkeit Europas und im Hinblick auf die künftige Erweiterung ein großes Finanzierungsproblem darstellt. Mit den Bewerberländern ist in Bezug auf Investitionen, Geschäftsmöglichkeiten und Beschäftigung ein erhebliches Potenzial verbunden. Im Rahmen der vorgeschlagenen Spar- und Investitionsunion könnte privates Kapital mobilisiert, die Wettbewerbsfähigkeit Europas gestärkt, das Wachstum angekurbelt und die Ausschöpfungsquote erhöht werden. Erweiterung bedeutet auch, dass sich der Zugang zu kritischen Rohstoffen verbessert, das heißt Europa widerstandsfähiger und unabhängiger wird;</w:t>
      </w:r>
    </w:p>
    <w:p w:rsidRPr="00E21ECD" w:rsidR="00F6465A" w:rsidP="00E21ECD" w:rsidRDefault="00F6465A" w14:paraId="41FD471B" w14:textId="77777777">
      <w:pPr>
        <w:widowControl w:val="0"/>
        <w:numPr>
          <w:ilvl w:val="0"/>
          <w:numId w:val="21"/>
        </w:numPr>
        <w:tabs>
          <w:tab w:val="left" w:pos="9072"/>
        </w:tabs>
        <w:overflowPunct w:val="0"/>
        <w:autoSpaceDE w:val="0"/>
        <w:autoSpaceDN w:val="0"/>
        <w:adjustRightInd w:val="0"/>
        <w:ind w:left="709" w:right="283" w:hanging="425"/>
        <w:textAlignment w:val="baseline"/>
      </w:pPr>
      <w:r>
        <w:t xml:space="preserve">weist darauf hin, dass die letzte Erweiterung aufgrund der unausgewogenen Geschäftsmöglichkeiten zu einer Situation geführt hat, in der es Gewinner und Verlierer gab. Damit sich diese Entwicklung nicht wiederholt, fordert der EWSA die Europäische Kommission und die Bewerberländer auf, die Auswirkungen der Erweiterung zu beachten und zu steuern und gerade KMU, sowohl in der EU als auch in den Bewerberländern, besondere Aufmerksamkeit zu widmen, um die Vorteile angemessen zu verteilen; </w:t>
      </w:r>
    </w:p>
    <w:p w:rsidRPr="00E21ECD" w:rsidR="00F6465A" w:rsidP="00E21ECD" w:rsidRDefault="00F6465A" w14:paraId="2C9D9E84" w14:textId="77777777">
      <w:pPr>
        <w:widowControl w:val="0"/>
        <w:numPr>
          <w:ilvl w:val="0"/>
          <w:numId w:val="21"/>
        </w:numPr>
        <w:tabs>
          <w:tab w:val="left" w:pos="9072"/>
        </w:tabs>
        <w:overflowPunct w:val="0"/>
        <w:autoSpaceDE w:val="0"/>
        <w:autoSpaceDN w:val="0"/>
        <w:adjustRightInd w:val="0"/>
        <w:ind w:left="709" w:right="283" w:hanging="425"/>
        <w:textAlignment w:val="baseline"/>
      </w:pPr>
      <w:r>
        <w:t>fordert, dass eventuell entstehende soziale Kosten im Wege eines inklusiven Konsultationsprozesses ausgeglichen werden, da es bei der Erweiterung nicht allein um die Angleichung politischer Strategien geht;</w:t>
      </w:r>
    </w:p>
    <w:p w:rsidRPr="00E21ECD" w:rsidR="00F6465A" w:rsidP="00E21ECD" w:rsidRDefault="00F6465A" w14:paraId="35D70146" w14:textId="77777777">
      <w:pPr>
        <w:widowControl w:val="0"/>
        <w:numPr>
          <w:ilvl w:val="0"/>
          <w:numId w:val="21"/>
        </w:numPr>
        <w:tabs>
          <w:tab w:val="left" w:pos="9072"/>
        </w:tabs>
        <w:overflowPunct w:val="0"/>
        <w:autoSpaceDE w:val="0"/>
        <w:autoSpaceDN w:val="0"/>
        <w:adjustRightInd w:val="0"/>
        <w:ind w:left="709" w:right="283" w:hanging="425"/>
        <w:textAlignment w:val="baseline"/>
      </w:pPr>
      <w:r>
        <w:t>betont, dass die EU rasch gezielte Maßnahmen treffen muss, um größere Hürden zu beseitigen und dafür zu sorgen, dass die Finanz-, Telekommunikations- und Energiewirtschaft ihr Potenzial ausschöpfen kann, und empfiehlt den Erweiterungsländern eine Angleichung an den EU-Rahmen für die Überprüfung ausländischer Direktinvestitionen;</w:t>
      </w:r>
    </w:p>
    <w:p w:rsidRPr="00F6465A" w:rsidR="00F6465A" w:rsidP="00E21ECD" w:rsidRDefault="00F6465A" w14:paraId="1458B3AC" w14:textId="77777777">
      <w:pPr>
        <w:widowControl w:val="0"/>
        <w:numPr>
          <w:ilvl w:val="0"/>
          <w:numId w:val="21"/>
        </w:numPr>
        <w:tabs>
          <w:tab w:val="left" w:pos="9072"/>
        </w:tabs>
        <w:overflowPunct w:val="0"/>
        <w:autoSpaceDE w:val="0"/>
        <w:autoSpaceDN w:val="0"/>
        <w:adjustRightInd w:val="0"/>
        <w:ind w:left="709" w:right="283" w:hanging="425"/>
        <w:textAlignment w:val="baseline"/>
      </w:pPr>
      <w:r>
        <w:t>ist der Ansicht, dass die Erweiterung im Mittelpunkt der Diskussionen über den nächsten mehrjährigen Finanzrahmen (MFR) stehen sollte;</w:t>
      </w:r>
    </w:p>
    <w:p w:rsidRPr="00E21ECD" w:rsidR="00F6465A" w:rsidP="00E21ECD" w:rsidRDefault="00F6465A" w14:paraId="29F18DC6" w14:textId="77777777">
      <w:pPr>
        <w:widowControl w:val="0"/>
        <w:numPr>
          <w:ilvl w:val="0"/>
          <w:numId w:val="21"/>
        </w:numPr>
        <w:tabs>
          <w:tab w:val="left" w:pos="9072"/>
        </w:tabs>
        <w:overflowPunct w:val="0"/>
        <w:autoSpaceDE w:val="0"/>
        <w:autoSpaceDN w:val="0"/>
        <w:adjustRightInd w:val="0"/>
        <w:ind w:left="709" w:right="283" w:hanging="425"/>
        <w:textAlignment w:val="baseline"/>
      </w:pPr>
      <w:r>
        <w:t>vertritt angesichts der besonderen geopolitischen Lage und der wachsenden Herausforderungen, die beispielsweise mit dem Klimawandel, der Energiewende und dem ökologischen Wandel verbunden sind, den Standpunkt, dass eine neue Dynamik für diesen Prozess entwickelt werden muss;</w:t>
      </w:r>
    </w:p>
    <w:p w:rsidRPr="00E21ECD" w:rsidR="00F6465A" w:rsidP="00E21ECD" w:rsidRDefault="00F6465A" w14:paraId="32D8B8ED" w14:textId="77777777">
      <w:pPr>
        <w:widowControl w:val="0"/>
        <w:numPr>
          <w:ilvl w:val="0"/>
          <w:numId w:val="21"/>
        </w:numPr>
        <w:tabs>
          <w:tab w:val="left" w:pos="9072"/>
        </w:tabs>
        <w:overflowPunct w:val="0"/>
        <w:autoSpaceDE w:val="0"/>
        <w:autoSpaceDN w:val="0"/>
        <w:adjustRightInd w:val="0"/>
        <w:ind w:left="709" w:right="283" w:hanging="425"/>
        <w:textAlignment w:val="baseline"/>
      </w:pPr>
      <w:r>
        <w:t>empfiehlt die Einbeziehung der Zivilgesellschaft in den Erweiterungsprozess und ist der Auffassung, dass die Erweiterung fester Bestandteil einer europäischen Reaktion auf die globalen Herausforderungen sein sollte.</w:t>
      </w:r>
    </w:p>
    <w:p w:rsidRPr="00F6465A" w:rsidR="00F6465A" w:rsidP="00F6465A" w:rsidRDefault="00F6465A" w14:paraId="3F3B2753" w14:textId="77777777">
      <w:pPr>
        <w:widowControl w:val="0"/>
        <w:overflowPunct w:val="0"/>
        <w:autoSpaceDE w:val="0"/>
        <w:autoSpaceDN w:val="0"/>
        <w:adjustRightInd w:val="0"/>
        <w:ind w:left="709"/>
        <w:textAlignment w:val="baseline"/>
        <w:rPr>
          <w:szCs w:val="20"/>
          <w:lang w:val="en-GB"/>
        </w:rPr>
      </w:pPr>
    </w:p>
    <w:tbl>
      <w:tblPr>
        <w:tblStyle w:val="TableGrid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6465A" w:rsidR="00F6465A" w:rsidTr="00863A8F" w14:paraId="0627B1C1" w14:textId="77777777">
        <w:tc>
          <w:tcPr>
            <w:tcW w:w="1556" w:type="pct"/>
          </w:tcPr>
          <w:p w:rsidRPr="00F6465A" w:rsidR="00F6465A" w:rsidP="00F6465A" w:rsidRDefault="00F6465A" w14:paraId="5B608314" w14:textId="77777777">
            <w:pPr>
              <w:overflowPunct w:val="0"/>
              <w:autoSpaceDE w:val="0"/>
              <w:autoSpaceDN w:val="0"/>
              <w:adjustRightInd w:val="0"/>
              <w:spacing w:line="240" w:lineRule="auto"/>
              <w:textAlignment w:val="baseline"/>
              <w:rPr>
                <w:i/>
              </w:rPr>
            </w:pPr>
            <w:r>
              <w:rPr>
                <w:b/>
                <w:i/>
              </w:rPr>
              <w:t>Kontakt</w:t>
            </w:r>
          </w:p>
        </w:tc>
        <w:tc>
          <w:tcPr>
            <w:tcW w:w="3444" w:type="pct"/>
          </w:tcPr>
          <w:p w:rsidRPr="00F6465A" w:rsidR="00F6465A" w:rsidP="00F6465A" w:rsidRDefault="00F6465A" w14:paraId="20916DA2" w14:textId="5D42882D">
            <w:pPr>
              <w:overflowPunct w:val="0"/>
              <w:autoSpaceDE w:val="0"/>
              <w:autoSpaceDN w:val="0"/>
              <w:adjustRightInd w:val="0"/>
              <w:spacing w:line="240" w:lineRule="auto"/>
              <w:textAlignment w:val="baseline"/>
              <w:rPr>
                <w:i/>
              </w:rPr>
            </w:pPr>
            <w:r>
              <w:rPr>
                <w:i/>
              </w:rPr>
              <w:t xml:space="preserve">Annalisa Tessarolo </w:t>
            </w:r>
          </w:p>
        </w:tc>
      </w:tr>
      <w:tr w:rsidRPr="00F6465A" w:rsidR="00F6465A" w:rsidTr="00863A8F" w14:paraId="794FEE90" w14:textId="77777777">
        <w:tc>
          <w:tcPr>
            <w:tcW w:w="1556" w:type="pct"/>
          </w:tcPr>
          <w:p w:rsidRPr="00F6465A" w:rsidR="00F6465A" w:rsidP="00F6465A" w:rsidRDefault="00F6465A" w14:paraId="3BDADAAF" w14:textId="77777777">
            <w:pPr>
              <w:overflowPunct w:val="0"/>
              <w:autoSpaceDE w:val="0"/>
              <w:autoSpaceDN w:val="0"/>
              <w:adjustRightInd w:val="0"/>
              <w:spacing w:line="240" w:lineRule="auto"/>
              <w:textAlignment w:val="baseline"/>
              <w:rPr>
                <w:i/>
              </w:rPr>
            </w:pPr>
            <w:r>
              <w:rPr>
                <w:i/>
              </w:rPr>
              <w:t>Tel.</w:t>
            </w:r>
          </w:p>
        </w:tc>
        <w:tc>
          <w:tcPr>
            <w:tcW w:w="3444" w:type="pct"/>
          </w:tcPr>
          <w:p w:rsidRPr="00F6465A" w:rsidR="00F6465A" w:rsidP="00F6465A" w:rsidRDefault="00F6465A" w14:paraId="56042D6F" w14:textId="77777777">
            <w:pPr>
              <w:overflowPunct w:val="0"/>
              <w:autoSpaceDE w:val="0"/>
              <w:autoSpaceDN w:val="0"/>
              <w:adjustRightInd w:val="0"/>
              <w:spacing w:line="240" w:lineRule="auto"/>
              <w:textAlignment w:val="baseline"/>
              <w:rPr>
                <w:i/>
              </w:rPr>
            </w:pPr>
            <w:r>
              <w:rPr>
                <w:i/>
              </w:rPr>
              <w:t>+32 25469732</w:t>
            </w:r>
          </w:p>
        </w:tc>
      </w:tr>
      <w:tr w:rsidRPr="00F6465A" w:rsidR="00F6465A" w:rsidTr="00863A8F" w14:paraId="1AF44A08" w14:textId="77777777">
        <w:tc>
          <w:tcPr>
            <w:tcW w:w="1556" w:type="pct"/>
          </w:tcPr>
          <w:p w:rsidRPr="00F6465A" w:rsidR="00F6465A" w:rsidP="00F6465A" w:rsidRDefault="00B2002E" w14:paraId="0A7FF217" w14:textId="7C9D76C2">
            <w:pPr>
              <w:overflowPunct w:val="0"/>
              <w:autoSpaceDE w:val="0"/>
              <w:autoSpaceDN w:val="0"/>
              <w:adjustRightInd w:val="0"/>
              <w:spacing w:line="240" w:lineRule="auto"/>
              <w:textAlignment w:val="baseline"/>
              <w:rPr>
                <w:i/>
              </w:rPr>
            </w:pPr>
            <w:r>
              <w:rPr>
                <w:i/>
              </w:rPr>
              <w:t>E-Mail</w:t>
            </w:r>
          </w:p>
        </w:tc>
        <w:tc>
          <w:tcPr>
            <w:tcW w:w="3444" w:type="pct"/>
          </w:tcPr>
          <w:p w:rsidRPr="00F6465A" w:rsidR="00F6465A" w:rsidP="00F6465A" w:rsidRDefault="005204CC" w14:paraId="697725DC" w14:textId="77777777">
            <w:pPr>
              <w:overflowPunct w:val="0"/>
              <w:autoSpaceDE w:val="0"/>
              <w:autoSpaceDN w:val="0"/>
              <w:adjustRightInd w:val="0"/>
              <w:spacing w:line="240" w:lineRule="auto"/>
              <w:textAlignment w:val="baseline"/>
              <w:rPr>
                <w:i/>
              </w:rPr>
            </w:pPr>
            <w:hyperlink w:history="1" r:id="rId36">
              <w:r w:rsidR="009B458F">
                <w:rPr>
                  <w:i/>
                  <w:color w:val="0000FF"/>
                  <w:u w:val="single"/>
                </w:rPr>
                <w:t>Annalisa.Tessarolo@eesc.europa.eu</w:t>
              </w:r>
            </w:hyperlink>
            <w:r w:rsidR="009B458F">
              <w:rPr>
                <w:i/>
              </w:rPr>
              <w:t xml:space="preserve"> </w:t>
            </w:r>
          </w:p>
        </w:tc>
      </w:tr>
    </w:tbl>
    <w:p w:rsidRPr="001A6359" w:rsidR="001A6359" w:rsidP="00643D0B" w:rsidRDefault="005204CC" w14:paraId="4B1A00B9" w14:textId="6E7AF4CD">
      <w:pPr>
        <w:pageBreakBefore/>
        <w:widowControl w:val="0"/>
        <w:numPr>
          <w:ilvl w:val="0"/>
          <w:numId w:val="6"/>
        </w:numPr>
        <w:overflowPunct w:val="0"/>
        <w:autoSpaceDE w:val="0"/>
        <w:autoSpaceDN w:val="0"/>
        <w:adjustRightInd w:val="0"/>
        <w:ind w:left="709" w:hanging="709"/>
        <w:textAlignment w:val="baseline"/>
        <w:rPr>
          <w:b/>
          <w:bCs/>
          <w:i/>
          <w:iCs/>
          <w:sz w:val="28"/>
          <w:szCs w:val="28"/>
        </w:rPr>
      </w:pPr>
      <w:hyperlink w:history="1" r:id="rId37">
        <w:r w:rsidR="006766F1">
          <w:rPr>
            <w:b/>
            <w:i/>
            <w:color w:val="0000FF"/>
            <w:sz w:val="28"/>
            <w:u w:val="single"/>
          </w:rPr>
          <w:t>Kosten der Nichtanwendung des Schengen-Besitzstands für den Binnenmarkt – Bulgarien und Rumänien</w:t>
        </w:r>
      </w:hyperlink>
    </w:p>
    <w:p w:rsidRPr="001A6359" w:rsidR="001A6359" w:rsidP="001A6359" w:rsidRDefault="001A6359" w14:paraId="3F9A8350"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5387"/>
      </w:tblGrid>
      <w:tr w:rsidRPr="001A6359" w:rsidR="001A6359" w:rsidTr="00863A8F" w14:paraId="563F8401" w14:textId="77777777">
        <w:tc>
          <w:tcPr>
            <w:tcW w:w="1701" w:type="dxa"/>
          </w:tcPr>
          <w:p w:rsidRPr="001A6359" w:rsidR="001A6359" w:rsidP="001A6359" w:rsidRDefault="001A6359" w14:paraId="60F30041" w14:textId="77777777">
            <w:pPr>
              <w:tabs>
                <w:tab w:val="center" w:pos="284"/>
              </w:tabs>
              <w:overflowPunct w:val="0"/>
              <w:autoSpaceDE w:val="0"/>
              <w:autoSpaceDN w:val="0"/>
              <w:adjustRightInd w:val="0"/>
              <w:ind w:left="266" w:hanging="266"/>
              <w:textAlignment w:val="baseline"/>
              <w:rPr>
                <w:b/>
              </w:rPr>
            </w:pPr>
            <w:r>
              <w:rPr>
                <w:b/>
              </w:rPr>
              <w:t>Berichterstatterin</w:t>
            </w:r>
          </w:p>
        </w:tc>
        <w:tc>
          <w:tcPr>
            <w:tcW w:w="5387" w:type="dxa"/>
          </w:tcPr>
          <w:p w:rsidRPr="001A6359" w:rsidR="001A6359" w:rsidP="001A6359" w:rsidRDefault="001A6359" w14:paraId="655DB040" w14:textId="7E0E5BD9">
            <w:pPr>
              <w:tabs>
                <w:tab w:val="center" w:pos="284"/>
              </w:tabs>
              <w:overflowPunct w:val="0"/>
              <w:autoSpaceDE w:val="0"/>
              <w:autoSpaceDN w:val="0"/>
              <w:adjustRightInd w:val="0"/>
              <w:ind w:left="266" w:hanging="266"/>
              <w:textAlignment w:val="baseline"/>
            </w:pPr>
            <w:r>
              <w:t>Mariya MINCHEVA (Gruppe Arbeitgeber – BG)</w:t>
            </w:r>
          </w:p>
        </w:tc>
      </w:tr>
      <w:tr w:rsidRPr="001A6359" w:rsidR="001A6359" w:rsidTr="00863A8F" w14:paraId="779B83FA" w14:textId="77777777">
        <w:tc>
          <w:tcPr>
            <w:tcW w:w="7088" w:type="dxa"/>
            <w:gridSpan w:val="2"/>
          </w:tcPr>
          <w:p w:rsidRPr="001A6359" w:rsidR="001A6359" w:rsidP="001A6359" w:rsidRDefault="001A6359" w14:paraId="5DB804C3" w14:textId="77777777">
            <w:pPr>
              <w:tabs>
                <w:tab w:val="center" w:pos="284"/>
              </w:tabs>
              <w:overflowPunct w:val="0"/>
              <w:autoSpaceDE w:val="0"/>
              <w:autoSpaceDN w:val="0"/>
              <w:adjustRightInd w:val="0"/>
              <w:spacing w:line="160" w:lineRule="exact"/>
              <w:ind w:left="266" w:hanging="266"/>
              <w:textAlignment w:val="baseline"/>
            </w:pPr>
          </w:p>
        </w:tc>
      </w:tr>
      <w:tr w:rsidRPr="001A6359" w:rsidR="001A6359" w:rsidTr="00863A8F" w14:paraId="442BCF66" w14:textId="77777777">
        <w:tc>
          <w:tcPr>
            <w:tcW w:w="1701" w:type="dxa"/>
            <w:vMerge w:val="restart"/>
          </w:tcPr>
          <w:p w:rsidRPr="001A6359" w:rsidR="001A6359" w:rsidP="001A6359" w:rsidRDefault="001A6359" w14:paraId="2423178A" w14:textId="77777777">
            <w:pPr>
              <w:tabs>
                <w:tab w:val="center" w:pos="284"/>
              </w:tabs>
              <w:overflowPunct w:val="0"/>
              <w:autoSpaceDE w:val="0"/>
              <w:autoSpaceDN w:val="0"/>
              <w:adjustRightInd w:val="0"/>
              <w:ind w:left="266" w:hanging="266"/>
              <w:textAlignment w:val="baseline"/>
              <w:rPr>
                <w:b/>
              </w:rPr>
            </w:pPr>
            <w:r>
              <w:rPr>
                <w:b/>
              </w:rPr>
              <w:t>Referenzdokument</w:t>
            </w:r>
          </w:p>
        </w:tc>
        <w:tc>
          <w:tcPr>
            <w:tcW w:w="5387" w:type="dxa"/>
          </w:tcPr>
          <w:p w:rsidRPr="001A6359" w:rsidR="001A6359" w:rsidP="001A6359" w:rsidRDefault="001A6359" w14:paraId="714ADD93" w14:textId="77777777">
            <w:pPr>
              <w:tabs>
                <w:tab w:val="center" w:pos="284"/>
              </w:tabs>
              <w:overflowPunct w:val="0"/>
              <w:autoSpaceDE w:val="0"/>
              <w:autoSpaceDN w:val="0"/>
              <w:adjustRightInd w:val="0"/>
              <w:ind w:left="266" w:hanging="266"/>
              <w:textAlignment w:val="baseline"/>
            </w:pPr>
            <w:r>
              <w:t>Initiativstellungnahme</w:t>
            </w:r>
          </w:p>
          <w:p w:rsidRPr="001A6359" w:rsidR="001A6359" w:rsidP="001A6359" w:rsidRDefault="001A6359" w14:paraId="60234570" w14:textId="07E68BF2">
            <w:pPr>
              <w:tabs>
                <w:tab w:val="center" w:pos="284"/>
              </w:tabs>
              <w:overflowPunct w:val="0"/>
              <w:autoSpaceDE w:val="0"/>
              <w:autoSpaceDN w:val="0"/>
              <w:adjustRightInd w:val="0"/>
              <w:ind w:left="266" w:hanging="266"/>
              <w:textAlignment w:val="baseline"/>
            </w:pPr>
            <w:r>
              <w:t>EESC-2024-01449-00-00-AC</w:t>
            </w:r>
          </w:p>
        </w:tc>
      </w:tr>
      <w:tr w:rsidRPr="001A6359" w:rsidR="001A6359" w:rsidTr="00863A8F" w14:paraId="6672C0AA" w14:textId="77777777">
        <w:tc>
          <w:tcPr>
            <w:tcW w:w="1701" w:type="dxa"/>
            <w:vMerge/>
          </w:tcPr>
          <w:p w:rsidRPr="001A6359" w:rsidR="001A6359" w:rsidP="001A6359" w:rsidRDefault="001A6359" w14:paraId="5FC0639B" w14:textId="77777777">
            <w:pPr>
              <w:tabs>
                <w:tab w:val="center" w:pos="284"/>
              </w:tabs>
              <w:overflowPunct w:val="0"/>
              <w:autoSpaceDE w:val="0"/>
              <w:autoSpaceDN w:val="0"/>
              <w:adjustRightInd w:val="0"/>
              <w:ind w:left="266" w:hanging="266"/>
              <w:textAlignment w:val="baseline"/>
              <w:rPr>
                <w:b/>
              </w:rPr>
            </w:pPr>
          </w:p>
        </w:tc>
        <w:tc>
          <w:tcPr>
            <w:tcW w:w="5387" w:type="dxa"/>
          </w:tcPr>
          <w:p w:rsidRPr="001A6359" w:rsidR="001A6359" w:rsidP="001A6359" w:rsidRDefault="001A6359" w14:paraId="72BA0C32" w14:textId="77777777">
            <w:pPr>
              <w:tabs>
                <w:tab w:val="center" w:pos="284"/>
              </w:tabs>
              <w:overflowPunct w:val="0"/>
              <w:autoSpaceDE w:val="0"/>
              <w:autoSpaceDN w:val="0"/>
              <w:adjustRightInd w:val="0"/>
              <w:ind w:left="266" w:hanging="266"/>
              <w:textAlignment w:val="baseline"/>
            </w:pPr>
          </w:p>
        </w:tc>
      </w:tr>
    </w:tbl>
    <w:p w:rsidRPr="001A6359" w:rsidR="001A6359" w:rsidP="001A6359" w:rsidRDefault="001A6359" w14:paraId="5B56262D"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093F79E4"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1A6359" w:rsidR="001A6359" w:rsidP="001A6359" w:rsidRDefault="001A6359" w14:paraId="6333D7DF"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56ED811E" w14:textId="77777777">
      <w:pPr>
        <w:overflowPunct w:val="0"/>
        <w:autoSpaceDE w:val="0"/>
        <w:autoSpaceDN w:val="0"/>
        <w:adjustRightInd w:val="0"/>
        <w:textAlignment w:val="baseline"/>
        <w:rPr>
          <w:bCs/>
          <w:iCs/>
        </w:rPr>
      </w:pPr>
      <w:r>
        <w:t>Der EWSA</w:t>
      </w:r>
    </w:p>
    <w:p w:rsidRPr="001A6359" w:rsidR="001A6359" w:rsidP="001A6359" w:rsidRDefault="001A6359" w14:paraId="707F4672" w14:textId="77777777">
      <w:pPr>
        <w:overflowPunct w:val="0"/>
        <w:autoSpaceDE w:val="0"/>
        <w:autoSpaceDN w:val="0"/>
        <w:adjustRightInd w:val="0"/>
        <w:textAlignment w:val="baseline"/>
        <w:rPr>
          <w:bCs/>
          <w:iCs/>
          <w:lang w:val="en-GB"/>
        </w:rPr>
      </w:pPr>
    </w:p>
    <w:p w:rsidRPr="00E21ECD" w:rsidR="001A6359" w:rsidP="00E21ECD" w:rsidRDefault="001A6359" w14:paraId="5DBE687E" w14:textId="77777777">
      <w:pPr>
        <w:widowControl w:val="0"/>
        <w:numPr>
          <w:ilvl w:val="0"/>
          <w:numId w:val="21"/>
        </w:numPr>
        <w:tabs>
          <w:tab w:val="left" w:pos="9072"/>
        </w:tabs>
        <w:overflowPunct w:val="0"/>
        <w:autoSpaceDE w:val="0"/>
        <w:autoSpaceDN w:val="0"/>
        <w:adjustRightInd w:val="0"/>
        <w:ind w:left="709" w:right="283" w:hanging="425"/>
        <w:textAlignment w:val="baseline"/>
      </w:pPr>
      <w:r>
        <w:t>fordert den Rat auf, bereits 2024 einen Termin für die Aufhebung der Kontrollen an den Landgrenzen zwischen Bulgarien und Rumänien sowie den anderen Schengen-Mitgliedstaaten festzulegen; fordert alle Interessenträger auf, gemeinsam auf dieses Ziel hinzuarbeiten und dafür zu sorgen, dass die Vorteile der Mitgliedschaft im Schengen-Raum allen EU-Bürgern gleichermaßen zugutekommen;</w:t>
      </w:r>
    </w:p>
    <w:p w:rsidRPr="00E21ECD" w:rsidR="001A6359" w:rsidP="00E21ECD" w:rsidRDefault="001A6359" w14:paraId="6CBB84F5" w14:textId="77777777">
      <w:pPr>
        <w:widowControl w:val="0"/>
        <w:numPr>
          <w:ilvl w:val="0"/>
          <w:numId w:val="21"/>
        </w:numPr>
        <w:tabs>
          <w:tab w:val="left" w:pos="9072"/>
        </w:tabs>
        <w:overflowPunct w:val="0"/>
        <w:autoSpaceDE w:val="0"/>
        <w:autoSpaceDN w:val="0"/>
        <w:adjustRightInd w:val="0"/>
        <w:ind w:left="709" w:right="283" w:hanging="425"/>
        <w:textAlignment w:val="baseline"/>
      </w:pPr>
      <w:r>
        <w:t>betont, dass das Schengener Übereinkommen für den freien Personen-, Waren-, Dienstleistungs- und Kapitalverkehr innerhalb der EU von wesentlicher Bedeutung ist und dass die Wettbewerbsfähigkeit der EU zu einer dringenden politischen Priorität geworden ist, wie in den jüngsten Berichten von Enrico Letta und Mario Draghi festgestellt wird;</w:t>
      </w:r>
    </w:p>
    <w:p w:rsidRPr="00E21ECD" w:rsidR="001A6359" w:rsidP="00E21ECD" w:rsidRDefault="001A6359" w14:paraId="70E8AD60" w14:textId="77777777">
      <w:pPr>
        <w:widowControl w:val="0"/>
        <w:numPr>
          <w:ilvl w:val="0"/>
          <w:numId w:val="21"/>
        </w:numPr>
        <w:tabs>
          <w:tab w:val="left" w:pos="9072"/>
        </w:tabs>
        <w:overflowPunct w:val="0"/>
        <w:autoSpaceDE w:val="0"/>
        <w:autoSpaceDN w:val="0"/>
        <w:adjustRightInd w:val="0"/>
        <w:ind w:left="709" w:right="283" w:hanging="425"/>
        <w:textAlignment w:val="baseline"/>
      </w:pPr>
      <w:r>
        <w:t>ist der Auffassung, dass der europäische Binnenmarkt trotz seiner bedeutenden Erfolge nach wie vor noch nicht vollendet ist. Jede Einschränkung der Freizügigkeit wirkt sich negativ auf die Wettbewerbsfähigkeit und das Wirtschaftswachstum der EU aus und behindert die uneingeschränkte Umsetzung der sozialen Marktwirtschaft, wie sie in den Verträgen vorgesehen ist;</w:t>
      </w:r>
    </w:p>
    <w:p w:rsidRPr="00E21ECD" w:rsidR="001A6359" w:rsidP="00E21ECD" w:rsidRDefault="001A6359" w14:paraId="29503E2D" w14:textId="77777777">
      <w:pPr>
        <w:widowControl w:val="0"/>
        <w:numPr>
          <w:ilvl w:val="0"/>
          <w:numId w:val="21"/>
        </w:numPr>
        <w:tabs>
          <w:tab w:val="left" w:pos="9072"/>
        </w:tabs>
        <w:overflowPunct w:val="0"/>
        <w:autoSpaceDE w:val="0"/>
        <w:autoSpaceDN w:val="0"/>
        <w:adjustRightInd w:val="0"/>
        <w:ind w:left="709" w:right="283" w:hanging="425"/>
        <w:textAlignment w:val="baseline"/>
      </w:pPr>
      <w:r>
        <w:t>ist der Auffassung, dass die Europäische Kommission regelmäßig zuverlässige Daten über die unmittelbaren wirtschaftlichen und sozialen Auswirkungen der Einführung von Grenzkontrollen im Schengen-Raum vorlegen sollte, auch in Bezug auf die Wettbewerbsfähigkeit;</w:t>
      </w:r>
    </w:p>
    <w:p w:rsidRPr="00E21ECD" w:rsidR="001A6359" w:rsidP="00E21ECD" w:rsidRDefault="001A6359" w14:paraId="066E1965" w14:textId="77777777">
      <w:pPr>
        <w:widowControl w:val="0"/>
        <w:numPr>
          <w:ilvl w:val="0"/>
          <w:numId w:val="21"/>
        </w:numPr>
        <w:tabs>
          <w:tab w:val="left" w:pos="9072"/>
        </w:tabs>
        <w:overflowPunct w:val="0"/>
        <w:autoSpaceDE w:val="0"/>
        <w:autoSpaceDN w:val="0"/>
        <w:adjustRightInd w:val="0"/>
        <w:ind w:left="709" w:right="283" w:hanging="425"/>
        <w:textAlignment w:val="baseline"/>
      </w:pPr>
      <w:r>
        <w:t>weist darauf hin, dass Unternehmen, die in Bulgarien und Rumänien tätig sind, unterschiedlichen Schätzungen zufolge jährlich Milliarden Euro zahlen, die auf höhere Kosten und Verzögerungen zurückzuführen sind. All diese direkten Kosten werden unweigerlich an die Verbraucher weitergegeben und haben zudem Auswirkungen auf die physische und mentale Gesundheit der Arbeitnehmer;</w:t>
      </w:r>
    </w:p>
    <w:p w:rsidRPr="00E21ECD" w:rsidR="001A6359" w:rsidP="00E21ECD" w:rsidRDefault="001A6359" w14:paraId="12C93790" w14:textId="5F2EA09E">
      <w:pPr>
        <w:widowControl w:val="0"/>
        <w:numPr>
          <w:ilvl w:val="0"/>
          <w:numId w:val="21"/>
        </w:numPr>
        <w:tabs>
          <w:tab w:val="left" w:pos="9072"/>
        </w:tabs>
        <w:overflowPunct w:val="0"/>
        <w:autoSpaceDE w:val="0"/>
        <w:autoSpaceDN w:val="0"/>
        <w:adjustRightInd w:val="0"/>
        <w:ind w:left="709" w:right="283" w:hanging="425"/>
        <w:textAlignment w:val="baseline"/>
      </w:pPr>
      <w:r>
        <w:t>betont, dass Kontrollen an den Landgrenzen aufgrund der CO</w:t>
      </w:r>
      <w:r w:rsidRPr="00E21ECD">
        <w:t>2</w:t>
      </w:r>
      <w:r>
        <w:t>-Emissionen der Fahrzeuge, die auf den Grenzübertritt warten, eindeutig Auswirkungen auf die Umwelt haben. Sie behindern den Tourismus und die Freizügigkeit der Arbeitnehmer. Unsicherheit und Ineffizienz im Zusammenhang mit Kontrollen an den Landgrenzen halten ausländische Direktinvestitionen ab und schaden dem Investitionsklima;</w:t>
      </w:r>
    </w:p>
    <w:p w:rsidRPr="00E21ECD" w:rsidR="001A6359" w:rsidP="00E21ECD" w:rsidRDefault="001A6359" w14:paraId="642A6C45" w14:textId="77777777">
      <w:pPr>
        <w:widowControl w:val="0"/>
        <w:numPr>
          <w:ilvl w:val="0"/>
          <w:numId w:val="21"/>
        </w:numPr>
        <w:tabs>
          <w:tab w:val="left" w:pos="9072"/>
        </w:tabs>
        <w:overflowPunct w:val="0"/>
        <w:autoSpaceDE w:val="0"/>
        <w:autoSpaceDN w:val="0"/>
        <w:adjustRightInd w:val="0"/>
        <w:ind w:left="709" w:right="283" w:hanging="425"/>
        <w:textAlignment w:val="baseline"/>
      </w:pPr>
      <w:r>
        <w:t>unterstreicht, dass die Nichtanwendung des Schengen-Besitzstands im Falle Bulgariens und Rumäniens ihren politischen Preis hat. Der Beitritt zum Schengen-Raum sollte nicht als eine Art inoffizielle Auflage für die Zeit nach dem EU-Beitritt genutzt werden. Dies schafft Misstrauen gegenüber den EU-Institutionen und schürt euroskeptische Stimmungen.</w:t>
      </w:r>
    </w:p>
    <w:p w:rsidRPr="001A6359" w:rsidR="001A6359" w:rsidP="001A6359" w:rsidRDefault="001A6359" w14:paraId="4A886D6E" w14:textId="77777777">
      <w:pPr>
        <w:widowControl w:val="0"/>
        <w:overflowPunct w:val="0"/>
        <w:autoSpaceDE w:val="0"/>
        <w:autoSpaceDN w:val="0"/>
        <w:adjustRightInd w:val="0"/>
        <w:ind w:left="709"/>
        <w:textAlignment w:val="baseline"/>
        <w:rPr>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A6359" w:rsidR="001A6359" w:rsidTr="00863A8F" w14:paraId="1A3ACD8E" w14:textId="77777777">
        <w:tc>
          <w:tcPr>
            <w:tcW w:w="1418" w:type="dxa"/>
          </w:tcPr>
          <w:p w:rsidRPr="001A6359" w:rsidR="001A6359" w:rsidP="001A6359" w:rsidRDefault="001A6359" w14:paraId="6EDAF10C" w14:textId="77777777">
            <w:pPr>
              <w:overflowPunct w:val="0"/>
              <w:autoSpaceDE w:val="0"/>
              <w:autoSpaceDN w:val="0"/>
              <w:adjustRightInd w:val="0"/>
              <w:spacing w:line="240" w:lineRule="auto"/>
              <w:textAlignment w:val="baseline"/>
              <w:rPr>
                <w:i/>
              </w:rPr>
            </w:pPr>
            <w:r>
              <w:rPr>
                <w:b/>
                <w:i/>
              </w:rPr>
              <w:t>Kontakt</w:t>
            </w:r>
          </w:p>
        </w:tc>
        <w:tc>
          <w:tcPr>
            <w:tcW w:w="5670" w:type="dxa"/>
          </w:tcPr>
          <w:p w:rsidRPr="001A6359" w:rsidR="001A6359" w:rsidP="001A6359" w:rsidRDefault="001A6359" w14:paraId="605E3C43" w14:textId="77777777">
            <w:pPr>
              <w:overflowPunct w:val="0"/>
              <w:autoSpaceDE w:val="0"/>
              <w:autoSpaceDN w:val="0"/>
              <w:adjustRightInd w:val="0"/>
              <w:spacing w:line="240" w:lineRule="auto"/>
              <w:textAlignment w:val="baseline"/>
              <w:rPr>
                <w:i/>
              </w:rPr>
            </w:pPr>
            <w:r>
              <w:rPr>
                <w:i/>
              </w:rPr>
              <w:t>Annalisa Tessarolo</w:t>
            </w:r>
          </w:p>
        </w:tc>
      </w:tr>
      <w:tr w:rsidRPr="001A6359" w:rsidR="001A6359" w:rsidTr="00863A8F" w14:paraId="1DBB6BFC" w14:textId="77777777">
        <w:tc>
          <w:tcPr>
            <w:tcW w:w="1418" w:type="dxa"/>
          </w:tcPr>
          <w:p w:rsidRPr="001A6359" w:rsidR="001A6359" w:rsidP="001A6359" w:rsidRDefault="001A6359" w14:paraId="5CEC73B0" w14:textId="77777777">
            <w:pPr>
              <w:overflowPunct w:val="0"/>
              <w:autoSpaceDE w:val="0"/>
              <w:autoSpaceDN w:val="0"/>
              <w:adjustRightInd w:val="0"/>
              <w:spacing w:line="240" w:lineRule="auto"/>
              <w:textAlignment w:val="baseline"/>
              <w:rPr>
                <w:i/>
              </w:rPr>
            </w:pPr>
            <w:r>
              <w:rPr>
                <w:i/>
              </w:rPr>
              <w:t>Tel.</w:t>
            </w:r>
          </w:p>
        </w:tc>
        <w:tc>
          <w:tcPr>
            <w:tcW w:w="5670" w:type="dxa"/>
          </w:tcPr>
          <w:p w:rsidRPr="001A6359" w:rsidR="001A6359" w:rsidP="001A6359" w:rsidRDefault="001A6359" w14:paraId="761EFC21" w14:textId="77777777">
            <w:pPr>
              <w:overflowPunct w:val="0"/>
              <w:autoSpaceDE w:val="0"/>
              <w:autoSpaceDN w:val="0"/>
              <w:adjustRightInd w:val="0"/>
              <w:spacing w:line="240" w:lineRule="auto"/>
              <w:textAlignment w:val="baseline"/>
              <w:rPr>
                <w:i/>
              </w:rPr>
            </w:pPr>
            <w:r>
              <w:rPr>
                <w:i/>
              </w:rPr>
              <w:t>+32 25469732</w:t>
            </w:r>
          </w:p>
        </w:tc>
      </w:tr>
      <w:tr w:rsidRPr="001A6359" w:rsidR="001A6359" w:rsidTr="00863A8F" w14:paraId="021F9D0A" w14:textId="77777777">
        <w:tc>
          <w:tcPr>
            <w:tcW w:w="1418" w:type="dxa"/>
          </w:tcPr>
          <w:p w:rsidRPr="001A6359" w:rsidR="001A6359" w:rsidP="001A6359" w:rsidRDefault="00063699" w14:paraId="3A2A6EE6" w14:textId="1AD4BBC5">
            <w:pPr>
              <w:overflowPunct w:val="0"/>
              <w:autoSpaceDE w:val="0"/>
              <w:autoSpaceDN w:val="0"/>
              <w:adjustRightInd w:val="0"/>
              <w:spacing w:line="240" w:lineRule="auto"/>
              <w:textAlignment w:val="baseline"/>
              <w:rPr>
                <w:i/>
              </w:rPr>
            </w:pPr>
            <w:r>
              <w:rPr>
                <w:i/>
              </w:rPr>
              <w:t>E-Mail</w:t>
            </w:r>
          </w:p>
        </w:tc>
        <w:tc>
          <w:tcPr>
            <w:tcW w:w="5670" w:type="dxa"/>
          </w:tcPr>
          <w:p w:rsidRPr="001A6359" w:rsidR="001A6359" w:rsidP="001A6359" w:rsidRDefault="005204CC" w14:paraId="08ED4AEB" w14:textId="77777777">
            <w:pPr>
              <w:overflowPunct w:val="0"/>
              <w:autoSpaceDE w:val="0"/>
              <w:autoSpaceDN w:val="0"/>
              <w:adjustRightInd w:val="0"/>
              <w:spacing w:line="240" w:lineRule="auto"/>
              <w:textAlignment w:val="baseline"/>
              <w:rPr>
                <w:i/>
              </w:rPr>
            </w:pPr>
            <w:hyperlink w:history="1" r:id="rId38">
              <w:r w:rsidR="009B458F">
                <w:rPr>
                  <w:i/>
                  <w:color w:val="0000FF"/>
                  <w:u w:val="single"/>
                </w:rPr>
                <w:t>Annalisa.Tessarolo@eesc.europa.eu</w:t>
              </w:r>
            </w:hyperlink>
          </w:p>
          <w:p w:rsidRPr="001A6359" w:rsidR="001A6359" w:rsidP="001A6359" w:rsidRDefault="001A6359" w14:paraId="125FD94A" w14:textId="77777777">
            <w:pPr>
              <w:overflowPunct w:val="0"/>
              <w:autoSpaceDE w:val="0"/>
              <w:autoSpaceDN w:val="0"/>
              <w:adjustRightInd w:val="0"/>
              <w:spacing w:line="240" w:lineRule="auto"/>
              <w:textAlignment w:val="baseline"/>
              <w:rPr>
                <w:i/>
              </w:rPr>
            </w:pPr>
          </w:p>
        </w:tc>
      </w:tr>
    </w:tbl>
    <w:p w:rsidR="003E4C29" w:rsidRDefault="003E4C29" w14:paraId="39B04A94" w14:textId="77777777">
      <w:pPr>
        <w:spacing w:after="160" w:line="259" w:lineRule="auto"/>
        <w:jc w:val="left"/>
      </w:pPr>
      <w:r>
        <w:br w:type="page"/>
      </w:r>
    </w:p>
    <w:p w:rsidR="004D7AC0" w:rsidP="004D7AC0" w:rsidRDefault="004D7AC0" w14:paraId="4982DE1F" w14:textId="77777777">
      <w:pPr>
        <w:pStyle w:val="Heading1"/>
        <w:rPr>
          <w:b/>
        </w:rPr>
      </w:pPr>
      <w:bookmarkStart w:name="_Toc70322234" w:id="20"/>
      <w:bookmarkStart w:name="_Toc75527084" w:id="21"/>
      <w:bookmarkStart w:name="_Toc184973449" w:id="22"/>
      <w:r>
        <w:rPr>
          <w:b/>
        </w:rPr>
        <w:t>LANDWIRTSCHAFT, LÄNDLICHE ENTWICKLUNG, UMWELT</w:t>
      </w:r>
      <w:bookmarkEnd w:id="20"/>
      <w:bookmarkEnd w:id="21"/>
      <w:bookmarkEnd w:id="22"/>
    </w:p>
    <w:p w:rsidR="00F03EB0" w:rsidRDefault="00F03EB0" w14:paraId="76EDAB9B" w14:textId="6E6576A7">
      <w:pPr>
        <w:spacing w:after="160" w:line="259" w:lineRule="auto"/>
        <w:jc w:val="left"/>
      </w:pPr>
    </w:p>
    <w:p w:rsidRPr="002A13FC" w:rsidR="002A13FC" w:rsidP="0021254C" w:rsidRDefault="005204CC" w14:paraId="3F90E886" w14:textId="6DE884A7">
      <w:pPr>
        <w:widowControl w:val="0"/>
        <w:numPr>
          <w:ilvl w:val="0"/>
          <w:numId w:val="6"/>
        </w:numPr>
        <w:overflowPunct w:val="0"/>
        <w:autoSpaceDE w:val="0"/>
        <w:autoSpaceDN w:val="0"/>
        <w:adjustRightInd w:val="0"/>
        <w:ind w:left="426" w:hanging="426"/>
        <w:textAlignment w:val="baseline"/>
        <w:rPr>
          <w:b/>
          <w:color w:val="0000FF"/>
          <w:u w:val="single"/>
        </w:rPr>
      </w:pPr>
      <w:hyperlink w:history="1" r:id="rId39">
        <w:r w:rsidR="009B458F">
          <w:rPr>
            <w:b/>
            <w:i/>
            <w:color w:val="0000FF"/>
            <w:sz w:val="28"/>
            <w:u w:val="single"/>
          </w:rPr>
          <w:t>Geänderter Vorschlag – Forstliches Vermehrungsgut der Kategorie „geprüft“, dessen Etikettierung und die Namen der für Zulassung und Kontrolle der Erzeugung zuständigen Behörden</w:t>
        </w:r>
      </w:hyperlink>
    </w:p>
    <w:p w:rsidRPr="002A13FC" w:rsidR="002A13FC" w:rsidP="002A13FC" w:rsidRDefault="002A13FC" w14:paraId="353526EF" w14:textId="77777777">
      <w:pPr>
        <w:widowControl w:val="0"/>
        <w:overflowPunct w:val="0"/>
        <w:autoSpaceDE w:val="0"/>
        <w:autoSpaceDN w:val="0"/>
        <w:adjustRightInd w:val="0"/>
        <w:ind w:left="266"/>
        <w:textAlignment w:val="baseline"/>
        <w:rPr>
          <w:b/>
          <w:lang w:val="en-GB"/>
        </w:rPr>
      </w:pPr>
    </w:p>
    <w:tbl>
      <w:tblPr>
        <w:tblStyle w:val="TableGrid9"/>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4643"/>
      </w:tblGrid>
      <w:tr w:rsidRPr="00CE31B7" w:rsidR="002A13FC" w:rsidTr="00863A8F" w14:paraId="706D0A05" w14:textId="77777777">
        <w:tc>
          <w:tcPr>
            <w:tcW w:w="1195" w:type="pct"/>
            <w:vMerge w:val="restart"/>
          </w:tcPr>
          <w:p w:rsidRPr="002A13FC" w:rsidR="002A13FC" w:rsidP="002A13FC" w:rsidRDefault="002A13FC" w14:paraId="532378E3" w14:textId="77777777">
            <w:pPr>
              <w:tabs>
                <w:tab w:val="center" w:pos="284"/>
              </w:tabs>
              <w:overflowPunct w:val="0"/>
              <w:autoSpaceDE w:val="0"/>
              <w:autoSpaceDN w:val="0"/>
              <w:adjustRightInd w:val="0"/>
              <w:ind w:left="266" w:hanging="266"/>
              <w:textAlignment w:val="baseline"/>
              <w:rPr>
                <w:b/>
              </w:rPr>
            </w:pPr>
            <w:r>
              <w:rPr>
                <w:b/>
              </w:rPr>
              <w:t>Referenzdokumente</w:t>
            </w:r>
          </w:p>
        </w:tc>
        <w:tc>
          <w:tcPr>
            <w:tcW w:w="3805" w:type="pct"/>
          </w:tcPr>
          <w:p w:rsidRPr="00643D0B" w:rsidR="00CE31B7" w:rsidP="002A13FC" w:rsidRDefault="00CE31B7" w14:paraId="7B23CF57" w14:textId="68FE005D">
            <w:pPr>
              <w:tabs>
                <w:tab w:val="center" w:pos="284"/>
              </w:tabs>
              <w:overflowPunct w:val="0"/>
              <w:autoSpaceDE w:val="0"/>
              <w:autoSpaceDN w:val="0"/>
              <w:adjustRightInd w:val="0"/>
              <w:ind w:left="266" w:hanging="266"/>
              <w:textAlignment w:val="baseline"/>
            </w:pPr>
            <w:r>
              <w:t>Stellungnahme der Kategorie C</w:t>
            </w:r>
          </w:p>
          <w:p w:rsidRPr="00643D0B" w:rsidR="002A13FC" w:rsidP="002A13FC" w:rsidRDefault="002A13FC" w14:paraId="12E1830B" w14:textId="6DC35F16">
            <w:pPr>
              <w:tabs>
                <w:tab w:val="center" w:pos="284"/>
              </w:tabs>
              <w:overflowPunct w:val="0"/>
              <w:autoSpaceDE w:val="0"/>
              <w:autoSpaceDN w:val="0"/>
              <w:adjustRightInd w:val="0"/>
              <w:ind w:left="266" w:hanging="266"/>
              <w:textAlignment w:val="baseline"/>
            </w:pPr>
            <w:r>
              <w:t>COM(2024) 517 final</w:t>
            </w:r>
          </w:p>
        </w:tc>
      </w:tr>
      <w:tr w:rsidRPr="002A13FC" w:rsidR="002A13FC" w:rsidTr="00863A8F" w14:paraId="68912AFA" w14:textId="77777777">
        <w:tc>
          <w:tcPr>
            <w:tcW w:w="1195" w:type="pct"/>
            <w:vMerge/>
          </w:tcPr>
          <w:p w:rsidRPr="00643D0B" w:rsidR="002A13FC" w:rsidP="002A13FC" w:rsidRDefault="002A13FC" w14:paraId="22265788" w14:textId="77777777">
            <w:pPr>
              <w:tabs>
                <w:tab w:val="center" w:pos="284"/>
              </w:tabs>
              <w:overflowPunct w:val="0"/>
              <w:autoSpaceDE w:val="0"/>
              <w:autoSpaceDN w:val="0"/>
              <w:adjustRightInd w:val="0"/>
              <w:ind w:left="266" w:hanging="266"/>
              <w:textAlignment w:val="baseline"/>
              <w:rPr>
                <w:b/>
                <w:lang w:val="pt-PT"/>
              </w:rPr>
            </w:pPr>
          </w:p>
        </w:tc>
        <w:tc>
          <w:tcPr>
            <w:tcW w:w="3805" w:type="pct"/>
          </w:tcPr>
          <w:p w:rsidRPr="002A13FC" w:rsidR="002A13FC" w:rsidP="002A13FC" w:rsidRDefault="002A13FC" w14:paraId="33F8BDAB" w14:textId="77777777">
            <w:pPr>
              <w:tabs>
                <w:tab w:val="center" w:pos="284"/>
              </w:tabs>
              <w:overflowPunct w:val="0"/>
              <w:autoSpaceDE w:val="0"/>
              <w:autoSpaceDN w:val="0"/>
              <w:adjustRightInd w:val="0"/>
              <w:ind w:left="266" w:hanging="266"/>
              <w:textAlignment w:val="baseline"/>
            </w:pPr>
            <w:r>
              <w:t>EESC-2024-04230-00-00-AC</w:t>
            </w:r>
          </w:p>
        </w:tc>
      </w:tr>
    </w:tbl>
    <w:p w:rsidRPr="002A13FC" w:rsidR="002A13FC" w:rsidP="002A13FC" w:rsidRDefault="002A13FC" w14:paraId="7DFAA019" w14:textId="77777777">
      <w:pPr>
        <w:keepNext/>
        <w:keepLines/>
        <w:tabs>
          <w:tab w:val="center" w:pos="284"/>
        </w:tabs>
        <w:overflowPunct w:val="0"/>
        <w:autoSpaceDE w:val="0"/>
        <w:autoSpaceDN w:val="0"/>
        <w:adjustRightInd w:val="0"/>
        <w:ind w:left="266" w:hanging="266"/>
        <w:textAlignment w:val="baseline"/>
        <w:rPr>
          <w:b/>
          <w:lang w:val="en-GB"/>
        </w:rPr>
      </w:pPr>
    </w:p>
    <w:p w:rsidRPr="002A13FC" w:rsidR="002A13FC" w:rsidP="00111DFA" w:rsidRDefault="002A13FC" w14:paraId="3D57F1E3" w14:textId="69C4E208">
      <w:pPr>
        <w:widowControl w:val="0"/>
        <w:overflowPunct w:val="0"/>
        <w:autoSpaceDE w:val="0"/>
        <w:autoSpaceDN w:val="0"/>
        <w:adjustRightInd w:val="0"/>
        <w:ind w:right="283"/>
        <w:textAlignment w:val="baseline"/>
        <w:rPr>
          <w:bCs/>
          <w:iCs/>
        </w:rPr>
      </w:pPr>
      <w:r>
        <w:t>Der EWSA stimmt dem Inhalt des Vorschlags vorbehaltlos zu und hat keine Bemerkungen dazu vorzubringen.</w:t>
      </w:r>
    </w:p>
    <w:p w:rsidRPr="002A13FC" w:rsidR="002A13FC" w:rsidP="002A13FC" w:rsidRDefault="002A13FC" w14:paraId="71E76289" w14:textId="77777777">
      <w:pPr>
        <w:widowControl w:val="0"/>
        <w:overflowPunct w:val="0"/>
        <w:autoSpaceDE w:val="0"/>
        <w:autoSpaceDN w:val="0"/>
        <w:adjustRightInd w:val="0"/>
        <w:ind w:left="709"/>
        <w:textAlignment w:val="baseline"/>
        <w:rPr>
          <w:szCs w:val="20"/>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5158"/>
      </w:tblGrid>
      <w:tr w:rsidRPr="002A13FC" w:rsidR="002A13FC" w:rsidTr="00863A8F" w14:paraId="72F37C45" w14:textId="77777777">
        <w:tc>
          <w:tcPr>
            <w:tcW w:w="1168" w:type="pct"/>
          </w:tcPr>
          <w:p w:rsidRPr="002A13FC" w:rsidR="002A13FC" w:rsidP="00643D0B" w:rsidRDefault="002A13FC" w14:paraId="54BC1023" w14:textId="77777777">
            <w:pPr>
              <w:overflowPunct w:val="0"/>
              <w:autoSpaceDE w:val="0"/>
              <w:autoSpaceDN w:val="0"/>
              <w:adjustRightInd w:val="0"/>
              <w:spacing w:line="240" w:lineRule="auto"/>
              <w:ind w:hanging="110"/>
              <w:textAlignment w:val="baseline"/>
              <w:rPr>
                <w:i/>
              </w:rPr>
            </w:pPr>
            <w:r>
              <w:rPr>
                <w:b/>
                <w:i/>
              </w:rPr>
              <w:t>Kontakt</w:t>
            </w:r>
          </w:p>
        </w:tc>
        <w:tc>
          <w:tcPr>
            <w:tcW w:w="3832" w:type="pct"/>
          </w:tcPr>
          <w:p w:rsidRPr="002A13FC" w:rsidR="002A13FC" w:rsidP="00643D0B" w:rsidRDefault="002A13FC" w14:paraId="4DC3FDFC" w14:textId="77777777">
            <w:pPr>
              <w:overflowPunct w:val="0"/>
              <w:autoSpaceDE w:val="0"/>
              <w:autoSpaceDN w:val="0"/>
              <w:adjustRightInd w:val="0"/>
              <w:spacing w:line="240" w:lineRule="auto"/>
              <w:ind w:hanging="110"/>
              <w:textAlignment w:val="baseline"/>
              <w:rPr>
                <w:i/>
              </w:rPr>
            </w:pPr>
            <w:r>
              <w:rPr>
                <w:i/>
              </w:rPr>
              <w:t>Nicolas Stenger</w:t>
            </w:r>
          </w:p>
        </w:tc>
      </w:tr>
      <w:tr w:rsidRPr="002A13FC" w:rsidR="002A13FC" w:rsidTr="00863A8F" w14:paraId="0049C80A" w14:textId="77777777">
        <w:tc>
          <w:tcPr>
            <w:tcW w:w="1168" w:type="pct"/>
          </w:tcPr>
          <w:p w:rsidRPr="002A13FC" w:rsidR="002A13FC" w:rsidP="00643D0B" w:rsidRDefault="002A13FC" w14:paraId="01F3471A" w14:textId="77777777">
            <w:pPr>
              <w:overflowPunct w:val="0"/>
              <w:autoSpaceDE w:val="0"/>
              <w:autoSpaceDN w:val="0"/>
              <w:adjustRightInd w:val="0"/>
              <w:spacing w:line="240" w:lineRule="auto"/>
              <w:ind w:hanging="110"/>
              <w:textAlignment w:val="baseline"/>
              <w:rPr>
                <w:i/>
              </w:rPr>
            </w:pPr>
            <w:r>
              <w:rPr>
                <w:i/>
              </w:rPr>
              <w:t>Tel.</w:t>
            </w:r>
          </w:p>
        </w:tc>
        <w:tc>
          <w:tcPr>
            <w:tcW w:w="3832" w:type="pct"/>
          </w:tcPr>
          <w:p w:rsidRPr="002A13FC" w:rsidR="002A13FC" w:rsidP="00643D0B" w:rsidRDefault="002A13FC" w14:paraId="6CFB5070" w14:textId="77777777">
            <w:pPr>
              <w:overflowPunct w:val="0"/>
              <w:autoSpaceDE w:val="0"/>
              <w:autoSpaceDN w:val="0"/>
              <w:adjustRightInd w:val="0"/>
              <w:spacing w:line="240" w:lineRule="auto"/>
              <w:ind w:hanging="110"/>
              <w:textAlignment w:val="baseline"/>
              <w:rPr>
                <w:i/>
              </w:rPr>
            </w:pPr>
            <w:r>
              <w:rPr>
                <w:i/>
              </w:rPr>
              <w:t>+32 25468152</w:t>
            </w:r>
          </w:p>
        </w:tc>
      </w:tr>
      <w:tr w:rsidRPr="002A13FC" w:rsidR="002A13FC" w:rsidTr="00863A8F" w14:paraId="43A18F24" w14:textId="77777777">
        <w:tc>
          <w:tcPr>
            <w:tcW w:w="1168" w:type="pct"/>
          </w:tcPr>
          <w:p w:rsidRPr="002A13FC" w:rsidR="002A13FC" w:rsidP="00643D0B" w:rsidRDefault="002A13FC" w14:paraId="298BC8AE" w14:textId="77777777">
            <w:pPr>
              <w:overflowPunct w:val="0"/>
              <w:autoSpaceDE w:val="0"/>
              <w:autoSpaceDN w:val="0"/>
              <w:adjustRightInd w:val="0"/>
              <w:spacing w:line="240" w:lineRule="auto"/>
              <w:ind w:hanging="110"/>
              <w:textAlignment w:val="baseline"/>
              <w:rPr>
                <w:i/>
              </w:rPr>
            </w:pPr>
            <w:r>
              <w:rPr>
                <w:i/>
              </w:rPr>
              <w:t>E-Mail</w:t>
            </w:r>
          </w:p>
        </w:tc>
        <w:tc>
          <w:tcPr>
            <w:tcW w:w="3832" w:type="pct"/>
          </w:tcPr>
          <w:p w:rsidRPr="002A13FC" w:rsidR="002A13FC" w:rsidP="00643D0B" w:rsidRDefault="005204CC" w14:paraId="729E72A8" w14:textId="77777777">
            <w:pPr>
              <w:overflowPunct w:val="0"/>
              <w:autoSpaceDE w:val="0"/>
              <w:autoSpaceDN w:val="0"/>
              <w:adjustRightInd w:val="0"/>
              <w:spacing w:line="240" w:lineRule="auto"/>
              <w:ind w:hanging="110"/>
              <w:textAlignment w:val="baseline"/>
              <w:rPr>
                <w:i/>
              </w:rPr>
            </w:pPr>
            <w:hyperlink w:history="1" r:id="rId40">
              <w:r w:rsidR="002A13FC">
                <w:rPr>
                  <w:i/>
                  <w:color w:val="0000FF"/>
                  <w:u w:val="single"/>
                </w:rPr>
                <w:t>Nicolas.Stenger@eesc.europa.eu</w:t>
              </w:r>
            </w:hyperlink>
          </w:p>
        </w:tc>
      </w:tr>
    </w:tbl>
    <w:p w:rsidR="00061C9F" w:rsidRDefault="00061C9F" w14:paraId="4F6C2D4F" w14:textId="77777777">
      <w:pPr>
        <w:spacing w:after="160" w:line="259" w:lineRule="auto"/>
        <w:jc w:val="left"/>
      </w:pPr>
    </w:p>
    <w:p w:rsidR="00061C9F" w:rsidRDefault="00061C9F" w14:paraId="6C8F4034" w14:textId="77777777">
      <w:pPr>
        <w:spacing w:after="160" w:line="259" w:lineRule="auto"/>
        <w:jc w:val="left"/>
      </w:pPr>
      <w:r>
        <w:br w:type="page"/>
      </w:r>
    </w:p>
    <w:p w:rsidRPr="00643D0B" w:rsidR="00395E32" w:rsidP="004B5D3D" w:rsidRDefault="005204CC" w14:paraId="62C3FE5B" w14:textId="41203F2C">
      <w:pPr>
        <w:widowControl w:val="0"/>
        <w:numPr>
          <w:ilvl w:val="0"/>
          <w:numId w:val="2"/>
        </w:numPr>
        <w:ind w:hanging="851"/>
        <w:rPr>
          <w:b/>
          <w:bCs/>
          <w:i/>
          <w:iCs/>
          <w:sz w:val="28"/>
          <w:szCs w:val="28"/>
        </w:rPr>
      </w:pPr>
      <w:hyperlink w:history="1" r:id="rId41">
        <w:r w:rsidR="009B458F">
          <w:rPr>
            <w:b/>
            <w:i/>
            <w:color w:val="0000FF"/>
            <w:sz w:val="28"/>
            <w:u w:val="single"/>
          </w:rPr>
          <w:t>Änderung des ELER für die Bereitstellung zusätzlicher Unterstützung für von Naturkatastrophen betroffene Mitgliedstaaten</w:t>
        </w:r>
      </w:hyperlink>
    </w:p>
    <w:p w:rsidRPr="00E21ECD" w:rsidR="00395E32" w:rsidP="00395E32" w:rsidRDefault="00395E32" w14:paraId="1401CD51" w14:textId="77777777">
      <w:pPr>
        <w:tabs>
          <w:tab w:val="center" w:pos="284"/>
        </w:tabs>
        <w:ind w:left="266" w:hanging="266"/>
        <w:rPr>
          <w:b/>
        </w:rPr>
      </w:pPr>
    </w:p>
    <w:tbl>
      <w:tblPr>
        <w:tblStyle w:val="TableGrid10"/>
        <w:tblW w:w="43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6178"/>
      </w:tblGrid>
      <w:tr w:rsidRPr="00395E32" w:rsidR="00395E32" w:rsidTr="00643D0B" w14:paraId="507B4647" w14:textId="77777777">
        <w:trPr>
          <w:trHeight w:val="543"/>
        </w:trPr>
        <w:tc>
          <w:tcPr>
            <w:tcW w:w="1266" w:type="pct"/>
          </w:tcPr>
          <w:p w:rsidRPr="00395E32" w:rsidR="00395E32" w:rsidP="00FE31E1" w:rsidRDefault="00395E32" w14:paraId="242E5141" w14:textId="77777777">
            <w:pPr>
              <w:tabs>
                <w:tab w:val="center" w:pos="284"/>
              </w:tabs>
              <w:ind w:left="266" w:right="-958" w:hanging="266"/>
              <w:rPr>
                <w:b/>
              </w:rPr>
            </w:pPr>
            <w:r>
              <w:rPr>
                <w:b/>
              </w:rPr>
              <w:t>Hauptberichterstatter</w:t>
            </w:r>
          </w:p>
        </w:tc>
        <w:tc>
          <w:tcPr>
            <w:tcW w:w="3734" w:type="pct"/>
          </w:tcPr>
          <w:p w:rsidRPr="00395E32" w:rsidR="00395E32" w:rsidP="00395E32" w:rsidRDefault="00395E32" w14:paraId="1FEFE044" w14:textId="77777777">
            <w:pPr>
              <w:tabs>
                <w:tab w:val="center" w:pos="284"/>
              </w:tabs>
              <w:ind w:left="266" w:hanging="266"/>
            </w:pPr>
            <w:r>
              <w:t>Peter SCHMIDT (Gruppe Arbeitnehmer – DE)</w:t>
            </w:r>
          </w:p>
        </w:tc>
      </w:tr>
      <w:tr w:rsidRPr="00395E32" w:rsidR="00395E32" w:rsidTr="00643D0B" w14:paraId="6C1C462C" w14:textId="77777777">
        <w:trPr>
          <w:trHeight w:val="275"/>
        </w:trPr>
        <w:tc>
          <w:tcPr>
            <w:tcW w:w="1266" w:type="pct"/>
          </w:tcPr>
          <w:p w:rsidRPr="00395E32" w:rsidR="00395E32" w:rsidP="008E08F5" w:rsidRDefault="00395E32" w14:paraId="2443E6C3" w14:textId="77777777">
            <w:pPr>
              <w:tabs>
                <w:tab w:val="center" w:pos="457"/>
              </w:tabs>
              <w:ind w:left="266" w:hanging="266"/>
              <w:rPr>
                <w:b/>
              </w:rPr>
            </w:pPr>
            <w:r>
              <w:rPr>
                <w:b/>
              </w:rPr>
              <w:t>Referenzdokumente</w:t>
            </w:r>
          </w:p>
        </w:tc>
        <w:tc>
          <w:tcPr>
            <w:tcW w:w="3734" w:type="pct"/>
          </w:tcPr>
          <w:p w:rsidR="00FE31E1" w:rsidP="00395E32" w:rsidRDefault="00FE31E1" w14:paraId="1D9397FC" w14:textId="226D9C40">
            <w:pPr>
              <w:tabs>
                <w:tab w:val="center" w:pos="284"/>
              </w:tabs>
              <w:ind w:left="266" w:hanging="266"/>
            </w:pPr>
            <w:r>
              <w:t xml:space="preserve">COM(2024) 495 final </w:t>
            </w:r>
          </w:p>
          <w:p w:rsidRPr="00395E32" w:rsidR="00395E32" w:rsidP="00395E32" w:rsidRDefault="00395E32" w14:paraId="5BF89FEE" w14:textId="4A14DDF3">
            <w:pPr>
              <w:tabs>
                <w:tab w:val="center" w:pos="284"/>
              </w:tabs>
              <w:ind w:left="266" w:hanging="266"/>
            </w:pPr>
            <w:r>
              <w:t>EESC-2024-04085-00-00-AC</w:t>
            </w:r>
          </w:p>
        </w:tc>
      </w:tr>
    </w:tbl>
    <w:p w:rsidRPr="00395E32" w:rsidR="00395E32" w:rsidP="00395E32" w:rsidRDefault="00395E32" w14:paraId="13BD0896" w14:textId="77777777">
      <w:pPr>
        <w:ind w:left="266" w:hanging="266"/>
        <w:rPr>
          <w:b/>
        </w:rPr>
      </w:pPr>
    </w:p>
    <w:p w:rsidRPr="00395E32" w:rsidR="00395E32" w:rsidP="00395E32" w:rsidRDefault="00395E32" w14:paraId="55FF2D0B" w14:textId="77777777">
      <w:pPr>
        <w:ind w:left="266" w:hanging="266"/>
        <w:rPr>
          <w:b/>
        </w:rPr>
      </w:pPr>
      <w:r>
        <w:rPr>
          <w:b/>
        </w:rPr>
        <w:t>Kernaussagen</w:t>
      </w:r>
    </w:p>
    <w:p w:rsidRPr="00395E32" w:rsidR="00395E32" w:rsidP="00395E32" w:rsidRDefault="00395E32" w14:paraId="396FF4EF" w14:textId="77777777">
      <w:pPr>
        <w:tabs>
          <w:tab w:val="center" w:pos="284"/>
        </w:tabs>
        <w:ind w:left="266" w:hanging="266"/>
        <w:rPr>
          <w:b/>
          <w:sz w:val="16"/>
          <w:szCs w:val="16"/>
        </w:rPr>
      </w:pPr>
    </w:p>
    <w:p w:rsidR="00395E32" w:rsidP="00395E32" w:rsidRDefault="00395E32" w14:paraId="17144AEB" w14:textId="77777777">
      <w:pPr>
        <w:rPr>
          <w:bCs/>
          <w:iCs/>
        </w:rPr>
      </w:pPr>
      <w:r>
        <w:t>Der EWSA</w:t>
      </w:r>
    </w:p>
    <w:p w:rsidRPr="00395E32" w:rsidR="008E08F5" w:rsidP="00395E32" w:rsidRDefault="008E08F5" w14:paraId="35B79CF5" w14:textId="77777777">
      <w:pPr>
        <w:rPr>
          <w:bCs/>
          <w:iCs/>
        </w:rPr>
      </w:pPr>
    </w:p>
    <w:p w:rsidRPr="00395E32" w:rsidR="00395E32" w:rsidP="00111DFA" w:rsidRDefault="00395E32" w14:paraId="008AE7E6" w14:textId="77777777">
      <w:pPr>
        <w:numPr>
          <w:ilvl w:val="0"/>
          <w:numId w:val="29"/>
        </w:numPr>
        <w:ind w:left="709" w:right="283" w:hanging="425"/>
      </w:pPr>
      <w:r>
        <w:rPr>
          <w:b/>
        </w:rPr>
        <w:t>unterstützt den Grundsatz einer Soforthilfe</w:t>
      </w:r>
      <w:r>
        <w:t xml:space="preserve"> und hält es für erforderlich, dass von den jüngsten Klimakatastrophen betroffene Gemeinschaften dringend rasch Hilfe erhalten;</w:t>
      </w:r>
    </w:p>
    <w:p w:rsidRPr="00395E32" w:rsidR="00395E32" w:rsidP="00111DFA" w:rsidRDefault="00395E32" w14:paraId="6BEF23D1" w14:textId="77777777">
      <w:pPr>
        <w:numPr>
          <w:ilvl w:val="0"/>
          <w:numId w:val="29"/>
        </w:numPr>
        <w:ind w:left="709" w:right="283" w:hanging="425"/>
        <w:rPr>
          <w:b/>
          <w:bCs/>
        </w:rPr>
      </w:pPr>
      <w:r>
        <w:t xml:space="preserve">betont, dass Häufigkeit und Schwere klimabedingter Ereignisse zunehmen wird, und weist darauf hin, dass sie sich unverhältnismäßig stark auf ländliche Gebiete auswirken, </w:t>
      </w:r>
      <w:r>
        <w:rPr>
          <w:b/>
        </w:rPr>
        <w:t>deren Resilienz Vorrang eingeräumt werden muss</w:t>
      </w:r>
      <w:r>
        <w:t>;</w:t>
      </w:r>
    </w:p>
    <w:p w:rsidRPr="00395E32" w:rsidR="00395E32" w:rsidP="00111DFA" w:rsidRDefault="00395E32" w14:paraId="503DEAC8" w14:textId="77777777">
      <w:pPr>
        <w:numPr>
          <w:ilvl w:val="0"/>
          <w:numId w:val="29"/>
        </w:numPr>
        <w:ind w:left="709" w:right="283" w:hanging="425"/>
      </w:pPr>
      <w:r>
        <w:t xml:space="preserve">hebt hervor, dass die </w:t>
      </w:r>
      <w:r>
        <w:rPr>
          <w:b/>
        </w:rPr>
        <w:t>Haushaltsmittel für die Entwicklung des ländlichen Raums beibehalten</w:t>
      </w:r>
      <w:r>
        <w:t xml:space="preserve"> werden müssen, und warnt vor wiederholten Umschichtungen, die dessen langfristiges Wachstum und Stabilität untergraben könnten;</w:t>
      </w:r>
    </w:p>
    <w:p w:rsidRPr="00395E32" w:rsidR="00395E32" w:rsidP="00111DFA" w:rsidRDefault="00395E32" w14:paraId="7264E893" w14:textId="77777777">
      <w:pPr>
        <w:numPr>
          <w:ilvl w:val="0"/>
          <w:numId w:val="29"/>
        </w:numPr>
        <w:ind w:left="709" w:right="283" w:hanging="425"/>
      </w:pPr>
      <w:r>
        <w:rPr>
          <w:b/>
        </w:rPr>
        <w:t>empfiehlt, einen speziellen EU-Fonds für Klimakatastrophen</w:t>
      </w:r>
      <w:r>
        <w:t xml:space="preserve"> nach dem Vorbild des auf der COP 28 ins Leben gerufenen Fonds für Klimaschäden und -verluste einzurichten, um auf klimabedingte Katastrophen innerhalb der EU reagieren zu können, ohne dass dies zulasten internationaler Verpflichtungen oder bestehender EU-Finanzierungsmechanismen geht;</w:t>
      </w:r>
    </w:p>
    <w:p w:rsidRPr="00395E32" w:rsidR="00395E32" w:rsidP="00111DFA" w:rsidRDefault="00395E32" w14:paraId="243B3B27" w14:textId="77777777">
      <w:pPr>
        <w:numPr>
          <w:ilvl w:val="0"/>
          <w:numId w:val="29"/>
        </w:numPr>
        <w:ind w:left="709" w:right="283" w:hanging="425"/>
      </w:pPr>
      <w:r>
        <w:t xml:space="preserve">fordert </w:t>
      </w:r>
      <w:r>
        <w:rPr>
          <w:b/>
        </w:rPr>
        <w:t>mehr Investitionen in Präventionsmaßnahmen, insbesondere naturbasierte Lösungen</w:t>
      </w:r>
      <w:r>
        <w:t>, die kosteneffizient sind, zur Stärkung der Resilienz beitragen und die finanzielle und gesellschaftliche Belastung der Krisenreaktionsmechanismen verringern;</w:t>
      </w:r>
    </w:p>
    <w:p w:rsidRPr="00395E32" w:rsidR="00395E32" w:rsidP="00111DFA" w:rsidRDefault="00395E32" w14:paraId="0F590271" w14:textId="77777777">
      <w:pPr>
        <w:numPr>
          <w:ilvl w:val="0"/>
          <w:numId w:val="29"/>
        </w:numPr>
        <w:ind w:left="709" w:right="283" w:hanging="425"/>
      </w:pPr>
      <w:r>
        <w:t xml:space="preserve">begrüßt die im Vorschlag vorgesehenen </w:t>
      </w:r>
      <w:r>
        <w:rPr>
          <w:b/>
        </w:rPr>
        <w:t>vereinfachten Verfahren für die Katastrophenhilfe</w:t>
      </w:r>
      <w:r>
        <w:t xml:space="preserve"> und fordert, sie in künftige politische Maßnahmen einzubeziehen, um eine wirksamere Reaktion auf Krisen zu gewährleisten;</w:t>
      </w:r>
    </w:p>
    <w:p w:rsidRPr="00395E32" w:rsidR="00395E32" w:rsidP="00111DFA" w:rsidRDefault="00395E32" w14:paraId="64BF5029" w14:textId="77777777">
      <w:pPr>
        <w:numPr>
          <w:ilvl w:val="0"/>
          <w:numId w:val="29"/>
        </w:numPr>
        <w:ind w:left="709" w:right="283" w:hanging="425"/>
      </w:pPr>
      <w:r>
        <w:t xml:space="preserve">fordert nachdrücklich, </w:t>
      </w:r>
      <w:r>
        <w:rPr>
          <w:b/>
        </w:rPr>
        <w:t xml:space="preserve">einen proaktiven, koordinierten EU-Rahmen für die Katastrophenvorsorge </w:t>
      </w:r>
      <w:r>
        <w:t xml:space="preserve">mit Präventivmaßnahmen, einer besseren Mittelausstattung und einer langfristigen Planung </w:t>
      </w:r>
      <w:r>
        <w:rPr>
          <w:b/>
        </w:rPr>
        <w:t>zu entwickeln, um Anfälligkeiten wirksam angehen zu können</w:t>
      </w:r>
      <w:r>
        <w:t>;</w:t>
      </w:r>
    </w:p>
    <w:p w:rsidRPr="00395E32" w:rsidR="00395E32" w:rsidP="00111DFA" w:rsidRDefault="00395E32" w14:paraId="1A732E0E" w14:textId="77777777">
      <w:pPr>
        <w:numPr>
          <w:ilvl w:val="0"/>
          <w:numId w:val="29"/>
        </w:numPr>
        <w:ind w:left="709" w:right="283" w:hanging="425"/>
      </w:pPr>
      <w:r>
        <w:t xml:space="preserve">betont, </w:t>
      </w:r>
      <w:r>
        <w:rPr>
          <w:b/>
        </w:rPr>
        <w:t>wie wichtig eine langfristige Resilienzplanung ist</w:t>
      </w:r>
      <w:r>
        <w:t>, die mit der langfristigen Vision der EU für den ländlichen Raum in Einklang steht und eine ausgewogene Herangehensweise im Hinblick auf proaktive und reaktive Maßnahmen sicherstellt.</w:t>
      </w:r>
    </w:p>
    <w:p w:rsidRPr="00E21ECD" w:rsidR="006F2520" w:rsidP="00395E32" w:rsidRDefault="006F2520" w14:paraId="7AE5FF32" w14:textId="77777777">
      <w:pPr>
        <w:widowControl w:val="0"/>
        <w:ind w:left="284" w:hanging="284"/>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395E32" w:rsidR="00395E32" w:rsidTr="00863A8F" w14:paraId="2B50A26D" w14:textId="77777777">
        <w:tc>
          <w:tcPr>
            <w:tcW w:w="1556" w:type="pct"/>
          </w:tcPr>
          <w:p w:rsidRPr="00395E32" w:rsidR="00395E32" w:rsidP="00395E32" w:rsidRDefault="00395E32" w14:paraId="4548D0C8" w14:textId="77777777">
            <w:pPr>
              <w:spacing w:line="240" w:lineRule="auto"/>
              <w:rPr>
                <w:i/>
              </w:rPr>
            </w:pPr>
            <w:r>
              <w:rPr>
                <w:b/>
                <w:i/>
              </w:rPr>
              <w:t>Kontakt</w:t>
            </w:r>
          </w:p>
        </w:tc>
        <w:tc>
          <w:tcPr>
            <w:tcW w:w="3444" w:type="pct"/>
          </w:tcPr>
          <w:p w:rsidRPr="00395E32" w:rsidR="00395E32" w:rsidP="00395E32" w:rsidRDefault="00395E32" w14:paraId="157E5A08" w14:textId="22562244">
            <w:pPr>
              <w:spacing w:line="240" w:lineRule="auto"/>
              <w:rPr>
                <w:i/>
              </w:rPr>
            </w:pPr>
            <w:r>
              <w:rPr>
                <w:i/>
              </w:rPr>
              <w:t>Nicolas Stenger</w:t>
            </w:r>
          </w:p>
        </w:tc>
      </w:tr>
      <w:tr w:rsidRPr="00395E32" w:rsidR="00395E32" w:rsidTr="00863A8F" w14:paraId="1084C0B0" w14:textId="77777777">
        <w:tc>
          <w:tcPr>
            <w:tcW w:w="1556" w:type="pct"/>
          </w:tcPr>
          <w:p w:rsidRPr="00395E32" w:rsidR="00395E32" w:rsidP="00395E32" w:rsidRDefault="00395E32" w14:paraId="4F73E7F1" w14:textId="77777777">
            <w:pPr>
              <w:spacing w:line="240" w:lineRule="auto"/>
              <w:rPr>
                <w:i/>
              </w:rPr>
            </w:pPr>
            <w:r>
              <w:rPr>
                <w:i/>
              </w:rPr>
              <w:t>Tel.</w:t>
            </w:r>
          </w:p>
        </w:tc>
        <w:tc>
          <w:tcPr>
            <w:tcW w:w="3444" w:type="pct"/>
          </w:tcPr>
          <w:p w:rsidRPr="00395E32" w:rsidR="00395E32" w:rsidP="00395E32" w:rsidRDefault="00395E32" w14:paraId="2C95F92B" w14:textId="77777777">
            <w:pPr>
              <w:spacing w:line="240" w:lineRule="auto"/>
              <w:rPr>
                <w:i/>
              </w:rPr>
            </w:pPr>
            <w:r>
              <w:rPr>
                <w:i/>
              </w:rPr>
              <w:t>+32 25468152</w:t>
            </w:r>
          </w:p>
        </w:tc>
      </w:tr>
      <w:tr w:rsidRPr="00395E32" w:rsidR="00395E32" w:rsidTr="00863A8F" w14:paraId="12481E84" w14:textId="77777777">
        <w:tc>
          <w:tcPr>
            <w:tcW w:w="1556" w:type="pct"/>
          </w:tcPr>
          <w:p w:rsidRPr="00395E32" w:rsidR="00395E32" w:rsidP="00395E32" w:rsidRDefault="00395E32" w14:paraId="4FE0E027" w14:textId="77777777">
            <w:pPr>
              <w:spacing w:line="240" w:lineRule="auto"/>
              <w:rPr>
                <w:i/>
              </w:rPr>
            </w:pPr>
            <w:r>
              <w:rPr>
                <w:i/>
              </w:rPr>
              <w:t>E-Mail</w:t>
            </w:r>
          </w:p>
        </w:tc>
        <w:tc>
          <w:tcPr>
            <w:tcW w:w="3444" w:type="pct"/>
          </w:tcPr>
          <w:p w:rsidRPr="00395E32" w:rsidR="00395E32" w:rsidP="00395E32" w:rsidRDefault="005204CC" w14:paraId="01040533" w14:textId="77777777">
            <w:pPr>
              <w:spacing w:line="240" w:lineRule="auto"/>
              <w:rPr>
                <w:i/>
              </w:rPr>
            </w:pPr>
            <w:hyperlink w:history="1" r:id="rId42">
              <w:r w:rsidR="009B458F">
                <w:rPr>
                  <w:i/>
                  <w:color w:val="0000FF"/>
                  <w:u w:val="single"/>
                </w:rPr>
                <w:t>Nicolas.Stenger@eesc.europa.eu</w:t>
              </w:r>
            </w:hyperlink>
          </w:p>
        </w:tc>
      </w:tr>
    </w:tbl>
    <w:p w:rsidR="00395E32" w:rsidRDefault="00395E32" w14:paraId="668D5DEE" w14:textId="77777777">
      <w:pPr>
        <w:spacing w:after="160" w:line="259" w:lineRule="auto"/>
        <w:jc w:val="left"/>
      </w:pPr>
    </w:p>
    <w:p w:rsidR="00395E32" w:rsidRDefault="00395E32" w14:paraId="7602B700" w14:textId="77777777">
      <w:pPr>
        <w:spacing w:after="160" w:line="259" w:lineRule="auto"/>
        <w:jc w:val="left"/>
      </w:pPr>
      <w:r>
        <w:br w:type="page"/>
      </w:r>
    </w:p>
    <w:p w:rsidRPr="00643D0B" w:rsidR="00826962" w:rsidP="004B5D3D" w:rsidRDefault="005204CC" w14:paraId="6580F677" w14:textId="0D2454E7">
      <w:pPr>
        <w:numPr>
          <w:ilvl w:val="0"/>
          <w:numId w:val="11"/>
        </w:numPr>
        <w:overflowPunct w:val="0"/>
        <w:autoSpaceDE w:val="0"/>
        <w:autoSpaceDN w:val="0"/>
        <w:adjustRightInd w:val="0"/>
        <w:spacing w:line="276" w:lineRule="auto"/>
        <w:ind w:left="567" w:hanging="567"/>
        <w:contextualSpacing/>
        <w:jc w:val="left"/>
        <w:textAlignment w:val="baseline"/>
        <w:rPr>
          <w:i/>
          <w:iCs/>
        </w:rPr>
      </w:pPr>
      <w:hyperlink w:history="1" r:id="rId43">
        <w:r w:rsidR="009B458F">
          <w:rPr>
            <w:b/>
            <w:i/>
            <w:color w:val="0000FF"/>
            <w:sz w:val="28"/>
            <w:u w:val="single"/>
          </w:rPr>
          <w:t>Vorlage eines Legislativvorschlags für einen gerechteren Übergang und EU-Instrumente für einen sozialeren europäischen Grünen Deal</w:t>
        </w:r>
      </w:hyperlink>
    </w:p>
    <w:p w:rsidRPr="00E21ECD" w:rsidR="004B5D3D" w:rsidP="00643D0B" w:rsidRDefault="004B5D3D" w14:paraId="3D84FFFB" w14:textId="77777777">
      <w:pPr>
        <w:overflowPunct w:val="0"/>
        <w:autoSpaceDE w:val="0"/>
        <w:autoSpaceDN w:val="0"/>
        <w:adjustRightInd w:val="0"/>
        <w:spacing w:line="276" w:lineRule="auto"/>
        <w:contextualSpacing/>
        <w:jc w:val="left"/>
        <w:textAlignment w:val="baseline"/>
        <w:rPr>
          <w:i/>
          <w:iCs/>
          <w:lang w:val="en-GB" w:eastAsia="zh-CN"/>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6096"/>
      </w:tblGrid>
      <w:tr w:rsidRPr="00826962" w:rsidR="00826962" w:rsidTr="00E21ECD" w14:paraId="5EE0B9C4" w14:textId="77777777">
        <w:tc>
          <w:tcPr>
            <w:tcW w:w="1850" w:type="dxa"/>
          </w:tcPr>
          <w:p w:rsidRPr="00826962" w:rsidR="00826962" w:rsidP="00826962" w:rsidRDefault="00826962" w14:paraId="7A2FE21B" w14:textId="77777777">
            <w:pPr>
              <w:tabs>
                <w:tab w:val="center" w:pos="284"/>
              </w:tabs>
              <w:overflowPunct w:val="0"/>
              <w:autoSpaceDE w:val="0"/>
              <w:autoSpaceDN w:val="0"/>
              <w:adjustRightInd w:val="0"/>
              <w:ind w:left="266" w:hanging="266"/>
              <w:textAlignment w:val="baseline"/>
              <w:rPr>
                <w:b/>
              </w:rPr>
            </w:pPr>
            <w:r>
              <w:rPr>
                <w:b/>
              </w:rPr>
              <w:t>Berichterstatter</w:t>
            </w:r>
          </w:p>
        </w:tc>
        <w:tc>
          <w:tcPr>
            <w:tcW w:w="6096" w:type="dxa"/>
          </w:tcPr>
          <w:p w:rsidRPr="00826962" w:rsidR="00826962" w:rsidP="00826962" w:rsidRDefault="00826962" w14:paraId="1A02220B" w14:textId="77777777">
            <w:pPr>
              <w:tabs>
                <w:tab w:val="center" w:pos="284"/>
              </w:tabs>
              <w:overflowPunct w:val="0"/>
              <w:autoSpaceDE w:val="0"/>
              <w:autoSpaceDN w:val="0"/>
              <w:adjustRightInd w:val="0"/>
              <w:ind w:left="266" w:hanging="266"/>
              <w:textAlignment w:val="baseline"/>
              <w:rPr>
                <w:b/>
                <w:bCs/>
              </w:rPr>
            </w:pPr>
            <w:r>
              <w:rPr>
                <w:b/>
              </w:rPr>
              <w:t>Dirk BERGRATH</w:t>
            </w:r>
            <w:r>
              <w:t xml:space="preserve"> (Gruppe Arbeitnehmer – DE)</w:t>
            </w:r>
          </w:p>
        </w:tc>
      </w:tr>
      <w:tr w:rsidRPr="00826962" w:rsidR="00826962" w:rsidTr="00E21ECD" w14:paraId="2C238AB2" w14:textId="77777777">
        <w:tc>
          <w:tcPr>
            <w:tcW w:w="7946" w:type="dxa"/>
            <w:gridSpan w:val="2"/>
          </w:tcPr>
          <w:p w:rsidRPr="00826962" w:rsidR="00826962" w:rsidP="00826962" w:rsidRDefault="00826962" w14:paraId="6E436FC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826962" w:rsidR="00826962" w:rsidTr="00E21ECD" w14:paraId="1C41560F" w14:textId="77777777">
        <w:tc>
          <w:tcPr>
            <w:tcW w:w="1850" w:type="dxa"/>
          </w:tcPr>
          <w:p w:rsidRPr="00826962" w:rsidR="00826962" w:rsidP="00826962" w:rsidRDefault="00826962" w14:paraId="6A8C9612" w14:textId="77777777">
            <w:pPr>
              <w:tabs>
                <w:tab w:val="center" w:pos="284"/>
              </w:tabs>
              <w:overflowPunct w:val="0"/>
              <w:autoSpaceDE w:val="0"/>
              <w:autoSpaceDN w:val="0"/>
              <w:adjustRightInd w:val="0"/>
              <w:ind w:left="266" w:hanging="266"/>
              <w:textAlignment w:val="baseline"/>
              <w:rPr>
                <w:b/>
              </w:rPr>
            </w:pPr>
            <w:r>
              <w:rPr>
                <w:b/>
              </w:rPr>
              <w:t>Referenzdokument</w:t>
            </w:r>
          </w:p>
        </w:tc>
        <w:tc>
          <w:tcPr>
            <w:tcW w:w="6096" w:type="dxa"/>
          </w:tcPr>
          <w:p w:rsidR="006F2520" w:rsidP="00826962" w:rsidRDefault="006F2520" w14:paraId="3B7EBB53" w14:textId="043B8B38">
            <w:pPr>
              <w:tabs>
                <w:tab w:val="center" w:pos="284"/>
              </w:tabs>
              <w:overflowPunct w:val="0"/>
              <w:autoSpaceDE w:val="0"/>
              <w:autoSpaceDN w:val="0"/>
              <w:adjustRightInd w:val="0"/>
              <w:ind w:left="266" w:hanging="266"/>
              <w:textAlignment w:val="baseline"/>
            </w:pPr>
            <w:r>
              <w:t>Initiativstellungnahme</w:t>
            </w:r>
          </w:p>
          <w:p w:rsidRPr="00826962" w:rsidR="00826962" w:rsidP="00826962" w:rsidRDefault="00826962" w14:paraId="2E660E5A" w14:textId="45D9D432">
            <w:pPr>
              <w:tabs>
                <w:tab w:val="center" w:pos="284"/>
              </w:tabs>
              <w:overflowPunct w:val="0"/>
              <w:autoSpaceDE w:val="0"/>
              <w:autoSpaceDN w:val="0"/>
              <w:adjustRightInd w:val="0"/>
              <w:ind w:left="266" w:hanging="266"/>
              <w:textAlignment w:val="baseline"/>
            </w:pPr>
            <w:r>
              <w:t>EESC-2024-01077-00-00-AC</w:t>
            </w:r>
          </w:p>
        </w:tc>
      </w:tr>
    </w:tbl>
    <w:p w:rsidRPr="00E21ECD" w:rsidR="00826962" w:rsidP="00826962" w:rsidRDefault="00826962" w14:paraId="118F3C3E" w14:textId="77777777">
      <w:pPr>
        <w:keepNext/>
        <w:keepLines/>
        <w:tabs>
          <w:tab w:val="center" w:pos="284"/>
        </w:tabs>
        <w:overflowPunct w:val="0"/>
        <w:autoSpaceDE w:val="0"/>
        <w:autoSpaceDN w:val="0"/>
        <w:adjustRightInd w:val="0"/>
        <w:ind w:left="266" w:hanging="266"/>
        <w:textAlignment w:val="baseline"/>
        <w:rPr>
          <w:bCs/>
          <w:lang w:val="en-GB"/>
        </w:rPr>
      </w:pPr>
    </w:p>
    <w:p w:rsidRPr="00E21ECD" w:rsidR="00826962" w:rsidP="00826962" w:rsidRDefault="00826962" w14:paraId="3F06D23E" w14:textId="77777777">
      <w:pPr>
        <w:keepNext/>
        <w:keepLines/>
        <w:tabs>
          <w:tab w:val="center" w:pos="284"/>
        </w:tabs>
        <w:overflowPunct w:val="0"/>
        <w:autoSpaceDE w:val="0"/>
        <w:autoSpaceDN w:val="0"/>
        <w:adjustRightInd w:val="0"/>
        <w:spacing w:line="276" w:lineRule="auto"/>
        <w:ind w:left="266" w:hanging="266"/>
        <w:textAlignment w:val="baseline"/>
        <w:rPr>
          <w:b/>
        </w:rPr>
      </w:pPr>
      <w:r w:rsidRPr="00E21ECD">
        <w:rPr>
          <w:b/>
        </w:rPr>
        <w:t>Kernaussagen</w:t>
      </w:r>
    </w:p>
    <w:p w:rsidRPr="00E21ECD" w:rsidR="00826962" w:rsidP="00826962" w:rsidRDefault="00826962" w14:paraId="03BC6573"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00826962" w:rsidP="00826962" w:rsidRDefault="00826962" w14:paraId="6D8CA6D8" w14:textId="77777777">
      <w:pPr>
        <w:overflowPunct w:val="0"/>
        <w:autoSpaceDE w:val="0"/>
        <w:autoSpaceDN w:val="0"/>
        <w:adjustRightInd w:val="0"/>
        <w:spacing w:line="240" w:lineRule="auto"/>
        <w:textAlignment w:val="baseline"/>
        <w:rPr>
          <w:bCs/>
          <w:iCs/>
        </w:rPr>
      </w:pPr>
      <w:r w:rsidRPr="00E21ECD">
        <w:t>Der EWSA</w:t>
      </w:r>
    </w:p>
    <w:p w:rsidRPr="00826962" w:rsidR="00F34F7E" w:rsidP="00826962" w:rsidRDefault="00F34F7E" w14:paraId="01806982" w14:textId="77777777">
      <w:pPr>
        <w:overflowPunct w:val="0"/>
        <w:autoSpaceDE w:val="0"/>
        <w:autoSpaceDN w:val="0"/>
        <w:adjustRightInd w:val="0"/>
        <w:spacing w:line="240" w:lineRule="auto"/>
        <w:textAlignment w:val="baseline"/>
        <w:rPr>
          <w:bCs/>
          <w:iCs/>
          <w:lang w:val="en-GB"/>
        </w:rPr>
      </w:pPr>
    </w:p>
    <w:p w:rsidRPr="00643D0B" w:rsidR="00826962" w:rsidP="00111DFA" w:rsidRDefault="00826962" w14:paraId="47E9A3E8" w14:textId="4C47D79D">
      <w:pPr>
        <w:numPr>
          <w:ilvl w:val="0"/>
          <w:numId w:val="29"/>
        </w:numPr>
        <w:ind w:left="709" w:right="283" w:hanging="425"/>
        <w:rPr>
          <w:spacing w:val="-4"/>
          <w:szCs w:val="20"/>
        </w:rPr>
      </w:pPr>
      <w:bookmarkStart w:name="_Toc184973450" w:id="23"/>
      <w:r>
        <w:t>unterstreicht die Bedeutung eines gerechten Übergangs in der EU im Einklang mit den strategischen Prioritäten und politischen Leitlinien der Europäischen Kommission für 2024</w:t>
      </w:r>
      <w:r w:rsidR="00111DFA">
        <w:noBreakHyphen/>
      </w:r>
      <w:r>
        <w:t xml:space="preserve">2029. </w:t>
      </w:r>
      <w:r>
        <w:rPr>
          <w:b/>
        </w:rPr>
        <w:t>Der gerechte Übergang wird insbesondere Auswirkungen auf die Arbeitswelt haben</w:t>
      </w:r>
      <w:r>
        <w:t xml:space="preserve"> und Branchen, Regionen, Arbeitsplätze und Kompetenzen (auch bezüglich geschlechtsspezifischer Aspekte, intergenerationaler Fragen und schutzbedürftiger Gruppen), die Sozialsysteme, die Zusammenarbeit zwischen den Mitgliedstaaten, die Steuerung, Unternehmen und Betriebe (insbesondere KMU) sowie Finanzierung und Investitionen betreffen;</w:t>
      </w:r>
      <w:bookmarkEnd w:id="23"/>
    </w:p>
    <w:p w:rsidRPr="00F34F7E" w:rsidR="00826962" w:rsidP="00111DFA" w:rsidRDefault="00826962" w14:paraId="6941C36F" w14:textId="77777777">
      <w:pPr>
        <w:numPr>
          <w:ilvl w:val="0"/>
          <w:numId w:val="29"/>
        </w:numPr>
        <w:ind w:left="709" w:right="283" w:hanging="425"/>
        <w:rPr>
          <w:szCs w:val="20"/>
        </w:rPr>
      </w:pPr>
      <w:bookmarkStart w:name="_Toc184973451" w:id="24"/>
      <w:r>
        <w:t xml:space="preserve">betont, dass ein </w:t>
      </w:r>
      <w:r>
        <w:rPr>
          <w:b/>
        </w:rPr>
        <w:t>umfassendes Maßnahmenpaket</w:t>
      </w:r>
      <w:r>
        <w:t xml:space="preserve"> für die Arbeitswelt erforderlich ist, das bestehende Instrumente auf EU-Ebene umfasst und den Mitgliedstaaten ausreichend Spielraum für die Annahme geeigneter Lösungen auf nationaler und regionaler Ebene lässt;</w:t>
      </w:r>
      <w:bookmarkEnd w:id="24"/>
    </w:p>
    <w:p w:rsidRPr="00F34F7E" w:rsidR="00826962" w:rsidP="00111DFA" w:rsidRDefault="00826962" w14:paraId="1AF37675" w14:textId="77777777">
      <w:pPr>
        <w:numPr>
          <w:ilvl w:val="0"/>
          <w:numId w:val="29"/>
        </w:numPr>
        <w:ind w:left="709" w:right="283" w:hanging="425"/>
        <w:rPr>
          <w:szCs w:val="20"/>
        </w:rPr>
      </w:pPr>
      <w:bookmarkStart w:name="_Toc184973452" w:id="25"/>
      <w:r>
        <w:t xml:space="preserve">fordert ein </w:t>
      </w:r>
      <w:r>
        <w:rPr>
          <w:b/>
        </w:rPr>
        <w:t>Maßnahmenpaket für einen gerechten Übergang</w:t>
      </w:r>
      <w:r>
        <w:t xml:space="preserve"> in der Arbeitswelt durch Antizipation und Bewältigung des Wandels mit dem sozialen Dialog und Tarifverhandlungen als Leitprinzipien.</w:t>
      </w:r>
      <w:bookmarkEnd w:id="25"/>
    </w:p>
    <w:p w:rsidRPr="00F34F7E" w:rsidR="00826962" w:rsidP="00111DFA" w:rsidRDefault="00826962" w14:paraId="09142705" w14:textId="77777777">
      <w:pPr>
        <w:numPr>
          <w:ilvl w:val="0"/>
          <w:numId w:val="29"/>
        </w:numPr>
        <w:ind w:left="709" w:right="283" w:hanging="425"/>
        <w:rPr>
          <w:szCs w:val="20"/>
        </w:rPr>
      </w:pPr>
      <w:r>
        <w:t>Dieses Maßnahmenpaket sollte u. a. folgende Maßnahmen umfassen:</w:t>
      </w:r>
    </w:p>
    <w:p w:rsidRPr="00826962" w:rsidR="00826962" w:rsidP="00111DFA" w:rsidRDefault="00826962" w14:paraId="6529AD5A" w14:textId="77777777">
      <w:pPr>
        <w:numPr>
          <w:ilvl w:val="0"/>
          <w:numId w:val="12"/>
        </w:numPr>
        <w:overflowPunct w:val="0"/>
        <w:autoSpaceDE w:val="0"/>
        <w:autoSpaceDN w:val="0"/>
        <w:adjustRightInd w:val="0"/>
        <w:ind w:left="1276" w:right="283" w:hanging="425"/>
        <w:contextualSpacing/>
        <w:textAlignment w:val="baseline"/>
      </w:pPr>
      <w:r>
        <w:t>Erfassung des Kompetenzbedarfs und der entsprechenden Strategien;</w:t>
      </w:r>
    </w:p>
    <w:p w:rsidRPr="00826962" w:rsidR="00826962" w:rsidP="00111DFA" w:rsidRDefault="00826962" w14:paraId="0AEC3AED" w14:textId="77777777">
      <w:pPr>
        <w:numPr>
          <w:ilvl w:val="0"/>
          <w:numId w:val="12"/>
        </w:numPr>
        <w:overflowPunct w:val="0"/>
        <w:autoSpaceDE w:val="0"/>
        <w:autoSpaceDN w:val="0"/>
        <w:adjustRightInd w:val="0"/>
        <w:ind w:left="1276" w:right="283" w:hanging="425"/>
        <w:contextualSpacing/>
        <w:textAlignment w:val="baseline"/>
      </w:pPr>
      <w:r>
        <w:t>Einrichtung und Durchführung geeigneter Kompetenzentwicklungsprogramme;</w:t>
      </w:r>
    </w:p>
    <w:p w:rsidRPr="00826962" w:rsidR="00826962" w:rsidP="00111DFA" w:rsidRDefault="00826962" w14:paraId="239D58C9" w14:textId="77777777">
      <w:pPr>
        <w:numPr>
          <w:ilvl w:val="0"/>
          <w:numId w:val="12"/>
        </w:numPr>
        <w:overflowPunct w:val="0"/>
        <w:autoSpaceDE w:val="0"/>
        <w:autoSpaceDN w:val="0"/>
        <w:adjustRightInd w:val="0"/>
        <w:ind w:left="1276" w:right="283" w:hanging="425"/>
        <w:contextualSpacing/>
        <w:textAlignment w:val="baseline"/>
        <w:rPr>
          <w:spacing w:val="-4"/>
        </w:rPr>
      </w:pPr>
      <w:r>
        <w:t>Einführung eines sinnvollen und durchsetzbaren Zugangs auf voll vergütete Fortbildungszeiten für alle Arbeitnehmer;</w:t>
      </w:r>
    </w:p>
    <w:p w:rsidRPr="00826962" w:rsidR="00826962" w:rsidP="00111DFA" w:rsidRDefault="00826962" w14:paraId="6663E3D2" w14:textId="77777777">
      <w:pPr>
        <w:numPr>
          <w:ilvl w:val="0"/>
          <w:numId w:val="12"/>
        </w:numPr>
        <w:overflowPunct w:val="0"/>
        <w:autoSpaceDE w:val="0"/>
        <w:autoSpaceDN w:val="0"/>
        <w:adjustRightInd w:val="0"/>
        <w:ind w:left="1276" w:right="283" w:hanging="425"/>
        <w:contextualSpacing/>
        <w:textAlignment w:val="baseline"/>
      </w:pPr>
      <w:r>
        <w:t>Sicherstellen, dass wirksame Systeme für die Beteiligung und effektive Unterrichtung und Anhörung der Arbeitnehmer auf Unternehmensebene im Einklang mit den geltenden Vorschriften eingerichtet werden;</w:t>
      </w:r>
    </w:p>
    <w:p w:rsidRPr="00826962" w:rsidR="00826962" w:rsidP="00111DFA" w:rsidRDefault="00826962" w14:paraId="2127D019" w14:textId="77777777">
      <w:pPr>
        <w:numPr>
          <w:ilvl w:val="0"/>
          <w:numId w:val="12"/>
        </w:numPr>
        <w:overflowPunct w:val="0"/>
        <w:autoSpaceDE w:val="0"/>
        <w:autoSpaceDN w:val="0"/>
        <w:adjustRightInd w:val="0"/>
        <w:ind w:left="1276" w:right="283" w:hanging="425"/>
        <w:contextualSpacing/>
        <w:textAlignment w:val="baseline"/>
      </w:pPr>
      <w:r>
        <w:t>Einbeziehung von Initiativen für einen gerechten Übergang in die Umsetzung der europäischen Säule sozialer Rechte und des Europäischen Semesters;</w:t>
      </w:r>
    </w:p>
    <w:p w:rsidRPr="00826962" w:rsidR="00826962" w:rsidP="00111DFA" w:rsidRDefault="00826962" w14:paraId="0F671CA3" w14:textId="77777777">
      <w:pPr>
        <w:numPr>
          <w:ilvl w:val="0"/>
          <w:numId w:val="12"/>
        </w:numPr>
        <w:overflowPunct w:val="0"/>
        <w:autoSpaceDE w:val="0"/>
        <w:autoSpaceDN w:val="0"/>
        <w:adjustRightInd w:val="0"/>
        <w:ind w:left="1276" w:right="283" w:hanging="425"/>
        <w:contextualSpacing/>
        <w:textAlignment w:val="baseline"/>
      </w:pPr>
      <w:r>
        <w:t xml:space="preserve">Schaffung starker Anreize für Unternehmen, </w:t>
      </w:r>
    </w:p>
    <w:p w:rsidRPr="00F34F7E" w:rsidR="00826962" w:rsidP="00111DFA" w:rsidRDefault="00826962" w14:paraId="01C24C9F" w14:textId="77777777">
      <w:pPr>
        <w:pStyle w:val="ListParagraph"/>
        <w:numPr>
          <w:ilvl w:val="0"/>
          <w:numId w:val="33"/>
        </w:numPr>
        <w:overflowPunct w:val="0"/>
        <w:autoSpaceDE w:val="0"/>
        <w:autoSpaceDN w:val="0"/>
        <w:adjustRightInd w:val="0"/>
        <w:ind w:left="1701" w:right="283" w:hanging="425"/>
        <w:textAlignment w:val="baseline"/>
        <w:outlineLvl w:val="1"/>
        <w:rPr>
          <w:szCs w:val="20"/>
        </w:rPr>
      </w:pPr>
      <w:bookmarkStart w:name="_Toc184973453" w:id="26"/>
      <w:r>
        <w:t xml:space="preserve">Qualifikationslücken </w:t>
      </w:r>
      <w:r>
        <w:rPr>
          <w:b/>
        </w:rPr>
        <w:t>in erster Linie durch die Weiterqualifizierung</w:t>
      </w:r>
      <w:r>
        <w:t xml:space="preserve"> aktueller Beschäftigter zu schließen;</w:t>
      </w:r>
      <w:bookmarkEnd w:id="26"/>
    </w:p>
    <w:p w:rsidRPr="00F34F7E" w:rsidR="00826962" w:rsidP="00111DFA" w:rsidRDefault="00826962" w14:paraId="1602141B" w14:textId="77777777">
      <w:pPr>
        <w:pStyle w:val="ListParagraph"/>
        <w:numPr>
          <w:ilvl w:val="0"/>
          <w:numId w:val="33"/>
        </w:numPr>
        <w:overflowPunct w:val="0"/>
        <w:autoSpaceDE w:val="0"/>
        <w:autoSpaceDN w:val="0"/>
        <w:adjustRightInd w:val="0"/>
        <w:ind w:left="1701" w:right="283" w:hanging="425"/>
        <w:textAlignment w:val="baseline"/>
        <w:outlineLvl w:val="1"/>
        <w:rPr>
          <w:szCs w:val="20"/>
        </w:rPr>
      </w:pPr>
      <w:bookmarkStart w:name="_Toc184973454" w:id="27"/>
      <w:r>
        <w:rPr>
          <w:b/>
        </w:rPr>
        <w:t>Pläne für den Übergang des Unternehmens</w:t>
      </w:r>
      <w:r>
        <w:t xml:space="preserve"> aufzustellen, zu veröffentlichen und regelmäßig zu aktualisieren;</w:t>
      </w:r>
      <w:bookmarkEnd w:id="27"/>
    </w:p>
    <w:p w:rsidRPr="00F34F7E" w:rsidR="00826962" w:rsidP="00111DFA" w:rsidRDefault="00826962" w14:paraId="68CA06F5" w14:textId="77777777">
      <w:pPr>
        <w:pStyle w:val="ListParagraph"/>
        <w:numPr>
          <w:ilvl w:val="0"/>
          <w:numId w:val="33"/>
        </w:numPr>
        <w:overflowPunct w:val="0"/>
        <w:autoSpaceDE w:val="0"/>
        <w:autoSpaceDN w:val="0"/>
        <w:adjustRightInd w:val="0"/>
        <w:ind w:left="1701" w:right="283" w:hanging="425"/>
        <w:textAlignment w:val="baseline"/>
        <w:outlineLvl w:val="1"/>
        <w:rPr>
          <w:szCs w:val="20"/>
        </w:rPr>
      </w:pPr>
      <w:bookmarkStart w:name="_Toc184973455" w:id="28"/>
      <w:r>
        <w:t>sowie Aufforderung zur Erhöhung der Beiträge zu Ausbildungsplatzabgaben und Ausbildungsabgaben entsprechend den nationalen Modellen, um die Weiterbildung von Arbeitnehmern auf regionaler Ebene zum Teil zu finanzieren;</w:t>
      </w:r>
      <w:bookmarkEnd w:id="28"/>
    </w:p>
    <w:p w:rsidRPr="00826962" w:rsidR="00826962" w:rsidP="00111DFA" w:rsidRDefault="00826962" w14:paraId="2979C9DC" w14:textId="77777777">
      <w:pPr>
        <w:numPr>
          <w:ilvl w:val="0"/>
          <w:numId w:val="29"/>
        </w:numPr>
        <w:ind w:left="709" w:right="283" w:hanging="425"/>
        <w:rPr>
          <w:szCs w:val="20"/>
        </w:rPr>
      </w:pPr>
      <w:r>
        <w:t xml:space="preserve">empfiehlt, </w:t>
      </w:r>
      <w:r>
        <w:rPr>
          <w:b/>
        </w:rPr>
        <w:t xml:space="preserve">detaillierte Bestandsaufnahmen durchzuführen, um sicherzustellen, dass die mit </w:t>
      </w:r>
      <w:r w:rsidRPr="00111DFA">
        <w:rPr>
          <w:b/>
        </w:rPr>
        <w:t>dem Übergang verbundenen</w:t>
      </w:r>
      <w:r>
        <w:rPr>
          <w:b/>
        </w:rPr>
        <w:t xml:space="preserve"> Herausforderungen und Chancen bekannt sind</w:t>
      </w:r>
      <w:r>
        <w:t>. Die Beobachtungsstelle für einen gerechten Übergang kann die Erfassung der politischen Maßnahmen und bewährten Verfahren leiten und die Mitgliedstaaten mit Daten und beim Monitoring unterstützen;</w:t>
      </w:r>
    </w:p>
    <w:p w:rsidRPr="00826962" w:rsidR="00826962" w:rsidP="00111DFA" w:rsidRDefault="00826962" w14:paraId="4041C321" w14:textId="77777777">
      <w:pPr>
        <w:numPr>
          <w:ilvl w:val="0"/>
          <w:numId w:val="29"/>
        </w:numPr>
        <w:ind w:left="709" w:right="283" w:hanging="425"/>
        <w:rPr>
          <w:szCs w:val="20"/>
        </w:rPr>
      </w:pPr>
      <w:r>
        <w:t xml:space="preserve">fordert die Kommission und die Mitgliedstaaten auf, durch eine Aufstockung des Fonds für einen gerechten Übergang und des Klima-Sozialfonds </w:t>
      </w:r>
      <w:r>
        <w:rPr>
          <w:b/>
        </w:rPr>
        <w:t>für eine angemessene Finanzierung zu sorgen</w:t>
      </w:r>
      <w:r>
        <w:t xml:space="preserve"> und </w:t>
      </w:r>
      <w:r>
        <w:rPr>
          <w:b/>
        </w:rPr>
        <w:t>andere Finanzierungsmethoden</w:t>
      </w:r>
      <w:r>
        <w:t xml:space="preserve"> wie die Anpassung der nationalen Steuersysteme und die Mobilisierung privater Finanzmittel für den Übergang </w:t>
      </w:r>
      <w:r>
        <w:rPr>
          <w:b/>
        </w:rPr>
        <w:t>stärker zu berücksichtigen und zu verknüpfen</w:t>
      </w:r>
      <w:r>
        <w:t>.</w:t>
      </w:r>
    </w:p>
    <w:p w:rsidRPr="00E21ECD" w:rsidR="00C34B13" w:rsidP="00826962" w:rsidRDefault="00C34B13" w14:paraId="198C6038" w14:textId="77777777">
      <w:pPr>
        <w:overflowPunct w:val="0"/>
        <w:autoSpaceDE w:val="0"/>
        <w:autoSpaceDN w:val="0"/>
        <w:adjustRightInd w:val="0"/>
        <w:spacing w:line="240" w:lineRule="auto"/>
        <w:textAlignment w:val="baseline"/>
        <w:rPr>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826962" w:rsidR="00826962" w:rsidTr="00863A8F" w14:paraId="4CC0AE38" w14:textId="77777777">
        <w:tc>
          <w:tcPr>
            <w:tcW w:w="1634" w:type="dxa"/>
          </w:tcPr>
          <w:p w:rsidRPr="00826962" w:rsidR="00826962" w:rsidP="00643D0B" w:rsidRDefault="00826962" w14:paraId="1380C3A1" w14:textId="77777777">
            <w:pPr>
              <w:overflowPunct w:val="0"/>
              <w:autoSpaceDE w:val="0"/>
              <w:autoSpaceDN w:val="0"/>
              <w:adjustRightInd w:val="0"/>
              <w:spacing w:line="240" w:lineRule="auto"/>
              <w:ind w:left="709" w:hanging="393"/>
              <w:textAlignment w:val="baseline"/>
              <w:rPr>
                <w:i/>
              </w:rPr>
            </w:pPr>
            <w:r>
              <w:rPr>
                <w:b/>
                <w:i/>
              </w:rPr>
              <w:t>Kontakt</w:t>
            </w:r>
          </w:p>
        </w:tc>
        <w:tc>
          <w:tcPr>
            <w:tcW w:w="5670" w:type="dxa"/>
          </w:tcPr>
          <w:p w:rsidRPr="00826962" w:rsidR="00826962" w:rsidP="00643D0B" w:rsidRDefault="00826962" w14:paraId="4DDDB049" w14:textId="709CFDFF">
            <w:pPr>
              <w:overflowPunct w:val="0"/>
              <w:autoSpaceDE w:val="0"/>
              <w:autoSpaceDN w:val="0"/>
              <w:adjustRightInd w:val="0"/>
              <w:spacing w:line="240" w:lineRule="auto"/>
              <w:ind w:left="709" w:hanging="393"/>
              <w:textAlignment w:val="baseline"/>
              <w:rPr>
                <w:i/>
              </w:rPr>
            </w:pPr>
            <w:r>
              <w:t>Nicolas Stenger</w:t>
            </w:r>
          </w:p>
        </w:tc>
      </w:tr>
      <w:tr w:rsidRPr="00826962" w:rsidR="00826962" w:rsidTr="00863A8F" w14:paraId="3B11FE8D" w14:textId="77777777">
        <w:tc>
          <w:tcPr>
            <w:tcW w:w="1634" w:type="dxa"/>
          </w:tcPr>
          <w:p w:rsidRPr="00826962" w:rsidR="00826962" w:rsidP="00643D0B" w:rsidRDefault="00826962" w14:paraId="16E8820C" w14:textId="77777777">
            <w:pPr>
              <w:overflowPunct w:val="0"/>
              <w:autoSpaceDE w:val="0"/>
              <w:autoSpaceDN w:val="0"/>
              <w:adjustRightInd w:val="0"/>
              <w:spacing w:line="240" w:lineRule="auto"/>
              <w:ind w:left="709" w:hanging="393"/>
              <w:textAlignment w:val="baseline"/>
              <w:rPr>
                <w:i/>
              </w:rPr>
            </w:pPr>
            <w:r>
              <w:rPr>
                <w:i/>
              </w:rPr>
              <w:t>Tel.</w:t>
            </w:r>
          </w:p>
        </w:tc>
        <w:tc>
          <w:tcPr>
            <w:tcW w:w="5670" w:type="dxa"/>
          </w:tcPr>
          <w:p w:rsidRPr="00826962" w:rsidR="00826962" w:rsidP="00643D0B" w:rsidRDefault="00826962" w14:paraId="70D1C8D1" w14:textId="77777777">
            <w:pPr>
              <w:overflowPunct w:val="0"/>
              <w:autoSpaceDE w:val="0"/>
              <w:autoSpaceDN w:val="0"/>
              <w:adjustRightInd w:val="0"/>
              <w:spacing w:line="240" w:lineRule="auto"/>
              <w:ind w:left="709" w:hanging="393"/>
              <w:textAlignment w:val="baseline"/>
              <w:rPr>
                <w:i/>
                <w:iCs/>
              </w:rPr>
            </w:pPr>
            <w:r>
              <w:rPr>
                <w:i/>
              </w:rPr>
              <w:t>+32 25468152</w:t>
            </w:r>
          </w:p>
        </w:tc>
      </w:tr>
      <w:tr w:rsidRPr="00826962" w:rsidR="00826962" w:rsidTr="00863A8F" w14:paraId="5D4735FD" w14:textId="77777777">
        <w:tc>
          <w:tcPr>
            <w:tcW w:w="1634" w:type="dxa"/>
          </w:tcPr>
          <w:p w:rsidRPr="00826962" w:rsidR="00826962" w:rsidP="00643D0B" w:rsidRDefault="005A452F" w14:paraId="3C5F2E2E" w14:textId="50AE576F">
            <w:pPr>
              <w:overflowPunct w:val="0"/>
              <w:autoSpaceDE w:val="0"/>
              <w:autoSpaceDN w:val="0"/>
              <w:adjustRightInd w:val="0"/>
              <w:spacing w:line="240" w:lineRule="auto"/>
              <w:ind w:left="709" w:hanging="393"/>
              <w:textAlignment w:val="baseline"/>
              <w:rPr>
                <w:i/>
              </w:rPr>
            </w:pPr>
            <w:r>
              <w:rPr>
                <w:i/>
              </w:rPr>
              <w:t>E-Mail</w:t>
            </w:r>
          </w:p>
        </w:tc>
        <w:tc>
          <w:tcPr>
            <w:tcW w:w="5670" w:type="dxa"/>
          </w:tcPr>
          <w:p w:rsidRPr="00826962" w:rsidR="00826962" w:rsidP="00643D0B" w:rsidRDefault="005204CC" w14:paraId="2A7B7513" w14:textId="77777777">
            <w:pPr>
              <w:overflowPunct w:val="0"/>
              <w:autoSpaceDE w:val="0"/>
              <w:autoSpaceDN w:val="0"/>
              <w:adjustRightInd w:val="0"/>
              <w:spacing w:line="240" w:lineRule="auto"/>
              <w:ind w:left="709" w:hanging="393"/>
              <w:textAlignment w:val="baseline"/>
              <w:rPr>
                <w:i/>
                <w:iCs/>
                <w:color w:val="0000FF"/>
                <w:u w:val="single"/>
              </w:rPr>
            </w:pPr>
            <w:hyperlink w:history="1" r:id="rId44">
              <w:r w:rsidR="00826962">
                <w:rPr>
                  <w:i/>
                  <w:color w:val="0000FF"/>
                  <w:u w:val="single"/>
                </w:rPr>
                <w:t>Nicolas.Stenger@eesc.europa.eu</w:t>
              </w:r>
            </w:hyperlink>
          </w:p>
        </w:tc>
      </w:tr>
    </w:tbl>
    <w:p w:rsidR="00C70B4C" w:rsidRDefault="00C70B4C" w14:paraId="2B905F39" w14:textId="58595445">
      <w:pPr>
        <w:spacing w:after="160" w:line="259" w:lineRule="auto"/>
        <w:jc w:val="left"/>
      </w:pPr>
      <w:r>
        <w:br w:type="page"/>
      </w:r>
    </w:p>
    <w:p w:rsidR="007F5784" w:rsidP="006D6D4E" w:rsidRDefault="007F5784" w14:paraId="14026A78" w14:textId="4FAE1588">
      <w:pPr>
        <w:pStyle w:val="Heading1"/>
        <w:keepNext/>
        <w:keepLines/>
        <w:rPr>
          <w:b/>
        </w:rPr>
      </w:pPr>
      <w:bookmarkStart w:name="_Toc184973456" w:id="29"/>
      <w:r>
        <w:rPr>
          <w:b/>
        </w:rPr>
        <w:t>AUẞENBEZIEHUNGEN</w:t>
      </w:r>
      <w:bookmarkEnd w:id="29"/>
    </w:p>
    <w:p w:rsidR="007F5784" w:rsidP="006D6D4E" w:rsidRDefault="007F5784" w14:paraId="3BBB3E68" w14:textId="77777777">
      <w:pPr>
        <w:keepNext/>
        <w:keepLines/>
      </w:pPr>
    </w:p>
    <w:p w:rsidRPr="00B96875" w:rsidR="00B96875" w:rsidP="00B96875" w:rsidRDefault="005204CC" w14:paraId="7464D4C7" w14:textId="4B5D0BEC">
      <w:pPr>
        <w:widowControl w:val="0"/>
        <w:numPr>
          <w:ilvl w:val="0"/>
          <w:numId w:val="6"/>
        </w:numPr>
        <w:overflowPunct w:val="0"/>
        <w:autoSpaceDE w:val="0"/>
        <w:autoSpaceDN w:val="0"/>
        <w:adjustRightInd w:val="0"/>
        <w:ind w:hanging="567"/>
        <w:textAlignment w:val="baseline"/>
        <w:rPr>
          <w:sz w:val="24"/>
          <w:szCs w:val="24"/>
        </w:rPr>
      </w:pPr>
      <w:hyperlink w:history="1" r:id="rId45">
        <w:r w:rsidR="009B458F">
          <w:rPr>
            <w:b/>
            <w:i/>
            <w:color w:val="0000FF"/>
            <w:sz w:val="28"/>
            <w:u w:val="single"/>
          </w:rPr>
          <w:t>Beschluss über die Auslegung und Anwendung des Vertrags über die Energiecharta</w:t>
        </w:r>
      </w:hyperlink>
    </w:p>
    <w:p w:rsidRPr="00B96875" w:rsidR="00B96875" w:rsidP="00B96875" w:rsidRDefault="00B96875" w14:paraId="5B43C9D5" w14:textId="77777777">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B96875" w:rsidR="00B96875" w:rsidTr="00863A8F" w14:paraId="0BEC8599" w14:textId="77777777">
        <w:tc>
          <w:tcPr>
            <w:tcW w:w="1560" w:type="dxa"/>
          </w:tcPr>
          <w:p w:rsidRPr="00B96875" w:rsidR="00B96875" w:rsidP="00B96875" w:rsidRDefault="00B96875" w14:paraId="52A2CDD0" w14:textId="77777777">
            <w:pPr>
              <w:tabs>
                <w:tab w:val="center" w:pos="29"/>
              </w:tabs>
              <w:overflowPunct w:val="0"/>
              <w:autoSpaceDE w:val="0"/>
              <w:autoSpaceDN w:val="0"/>
              <w:adjustRightInd w:val="0"/>
              <w:ind w:left="171" w:hanging="266"/>
              <w:textAlignment w:val="baseline"/>
              <w:rPr>
                <w:b/>
              </w:rPr>
            </w:pPr>
            <w:r>
              <w:rPr>
                <w:b/>
              </w:rPr>
              <w:t>Berichterstatter</w:t>
            </w:r>
          </w:p>
        </w:tc>
        <w:tc>
          <w:tcPr>
            <w:tcW w:w="5387" w:type="dxa"/>
          </w:tcPr>
          <w:p w:rsidRPr="00B96875" w:rsidR="00B96875" w:rsidP="00B96875" w:rsidRDefault="00B96875" w14:paraId="4ABE91CF" w14:textId="4B9F4B54">
            <w:pPr>
              <w:tabs>
                <w:tab w:val="center" w:pos="284"/>
              </w:tabs>
              <w:overflowPunct w:val="0"/>
              <w:autoSpaceDE w:val="0"/>
              <w:autoSpaceDN w:val="0"/>
              <w:adjustRightInd w:val="0"/>
              <w:ind w:left="266" w:hanging="266"/>
              <w:textAlignment w:val="baseline"/>
            </w:pPr>
            <w:r>
              <w:t>Christophe QUAREZ (Gruppe Arbeitnehmer – FR)</w:t>
            </w:r>
          </w:p>
        </w:tc>
      </w:tr>
      <w:tr w:rsidRPr="00B96875" w:rsidR="00B96875" w:rsidTr="00863A8F" w14:paraId="77C05020" w14:textId="77777777">
        <w:tc>
          <w:tcPr>
            <w:tcW w:w="6945" w:type="dxa"/>
            <w:gridSpan w:val="2"/>
          </w:tcPr>
          <w:p w:rsidRPr="00B96875" w:rsidR="00B96875" w:rsidP="00B96875" w:rsidRDefault="00B96875" w14:paraId="0BCDF86E" w14:textId="77777777">
            <w:pPr>
              <w:tabs>
                <w:tab w:val="center" w:pos="29"/>
              </w:tabs>
              <w:overflowPunct w:val="0"/>
              <w:autoSpaceDE w:val="0"/>
              <w:autoSpaceDN w:val="0"/>
              <w:adjustRightInd w:val="0"/>
              <w:spacing w:line="160" w:lineRule="exact"/>
              <w:ind w:left="171" w:hanging="266"/>
              <w:textAlignment w:val="baseline"/>
            </w:pPr>
          </w:p>
        </w:tc>
      </w:tr>
      <w:tr w:rsidRPr="00B96875" w:rsidR="00B96875" w:rsidTr="00863A8F" w14:paraId="04A8380E" w14:textId="77777777">
        <w:tc>
          <w:tcPr>
            <w:tcW w:w="1560" w:type="dxa"/>
            <w:vMerge w:val="restart"/>
          </w:tcPr>
          <w:p w:rsidRPr="00B96875" w:rsidR="00B96875" w:rsidP="00B96875" w:rsidRDefault="00B96875" w14:paraId="27CED65C" w14:textId="77777777">
            <w:pPr>
              <w:tabs>
                <w:tab w:val="center" w:pos="29"/>
              </w:tabs>
              <w:overflowPunct w:val="0"/>
              <w:autoSpaceDE w:val="0"/>
              <w:autoSpaceDN w:val="0"/>
              <w:adjustRightInd w:val="0"/>
              <w:ind w:left="171" w:hanging="266"/>
              <w:textAlignment w:val="baseline"/>
              <w:rPr>
                <w:b/>
              </w:rPr>
            </w:pPr>
            <w:r>
              <w:rPr>
                <w:b/>
              </w:rPr>
              <w:t xml:space="preserve">Referenzdokumente </w:t>
            </w:r>
          </w:p>
        </w:tc>
        <w:tc>
          <w:tcPr>
            <w:tcW w:w="5387" w:type="dxa"/>
          </w:tcPr>
          <w:p w:rsidRPr="00B96875" w:rsidR="00B96875" w:rsidP="00B96875" w:rsidRDefault="00B96875" w14:paraId="45024F47" w14:textId="77777777">
            <w:pPr>
              <w:tabs>
                <w:tab w:val="center" w:pos="284"/>
              </w:tabs>
              <w:overflowPunct w:val="0"/>
              <w:autoSpaceDE w:val="0"/>
              <w:autoSpaceDN w:val="0"/>
              <w:adjustRightInd w:val="0"/>
              <w:ind w:left="266" w:hanging="266"/>
              <w:textAlignment w:val="baseline"/>
            </w:pPr>
            <w:r>
              <w:t>COM(2024) 257 final</w:t>
            </w:r>
          </w:p>
        </w:tc>
      </w:tr>
      <w:tr w:rsidRPr="00B96875" w:rsidR="00B96875" w:rsidTr="00863A8F" w14:paraId="477DC2D7" w14:textId="77777777">
        <w:tc>
          <w:tcPr>
            <w:tcW w:w="1560" w:type="dxa"/>
            <w:vMerge/>
          </w:tcPr>
          <w:p w:rsidRPr="00B96875" w:rsidR="00B96875" w:rsidP="00B96875" w:rsidRDefault="00B96875" w14:paraId="447B1BB8" w14:textId="77777777">
            <w:pPr>
              <w:tabs>
                <w:tab w:val="center" w:pos="284"/>
              </w:tabs>
              <w:overflowPunct w:val="0"/>
              <w:autoSpaceDE w:val="0"/>
              <w:autoSpaceDN w:val="0"/>
              <w:adjustRightInd w:val="0"/>
              <w:ind w:left="266" w:hanging="266"/>
              <w:textAlignment w:val="baseline"/>
              <w:rPr>
                <w:b/>
              </w:rPr>
            </w:pPr>
          </w:p>
        </w:tc>
        <w:tc>
          <w:tcPr>
            <w:tcW w:w="5387" w:type="dxa"/>
          </w:tcPr>
          <w:p w:rsidRPr="00B96875" w:rsidR="00B96875" w:rsidP="00B96875" w:rsidRDefault="00B96875" w14:paraId="41E3493F" w14:textId="3919B340">
            <w:pPr>
              <w:tabs>
                <w:tab w:val="center" w:pos="284"/>
              </w:tabs>
              <w:overflowPunct w:val="0"/>
              <w:autoSpaceDE w:val="0"/>
              <w:autoSpaceDN w:val="0"/>
              <w:adjustRightInd w:val="0"/>
              <w:spacing w:after="240"/>
              <w:ind w:left="266" w:hanging="266"/>
              <w:textAlignment w:val="baseline"/>
            </w:pPr>
            <w:r>
              <w:t>EESC-2024-03646-00-00-AC</w:t>
            </w:r>
          </w:p>
        </w:tc>
      </w:tr>
    </w:tbl>
    <w:p w:rsidRPr="00B96875" w:rsidR="00B96875" w:rsidP="00B96875" w:rsidRDefault="00B96875" w14:paraId="3EA87A7D"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E21ECD" w:rsidR="00B96875" w:rsidP="00B96875" w:rsidRDefault="00B96875" w14:paraId="606FD2B8" w14:textId="77777777">
      <w:pPr>
        <w:keepNext/>
        <w:keepLines/>
        <w:tabs>
          <w:tab w:val="center" w:pos="284"/>
        </w:tabs>
        <w:overflowPunct w:val="0"/>
        <w:autoSpaceDE w:val="0"/>
        <w:autoSpaceDN w:val="0"/>
        <w:adjustRightInd w:val="0"/>
        <w:ind w:left="266" w:hanging="266"/>
        <w:textAlignment w:val="baseline"/>
        <w:rPr>
          <w:b/>
          <w:lang w:val="en-GB"/>
        </w:rPr>
      </w:pPr>
    </w:p>
    <w:p w:rsidRPr="00E21ECD" w:rsidR="00B96875" w:rsidP="00B96875" w:rsidRDefault="00B96875" w14:paraId="3CF3B75C" w14:textId="77777777">
      <w:pPr>
        <w:overflowPunct w:val="0"/>
        <w:autoSpaceDE w:val="0"/>
        <w:autoSpaceDN w:val="0"/>
        <w:adjustRightInd w:val="0"/>
        <w:textAlignment w:val="baseline"/>
        <w:rPr>
          <w:bCs/>
          <w:iCs/>
        </w:rPr>
      </w:pPr>
      <w:r w:rsidRPr="00E21ECD">
        <w:t>Der EWSA</w:t>
      </w:r>
    </w:p>
    <w:p w:rsidRPr="00E21ECD" w:rsidR="00B96875" w:rsidP="00B96875" w:rsidRDefault="00B96875" w14:paraId="6CCE0814" w14:textId="77777777">
      <w:pPr>
        <w:overflowPunct w:val="0"/>
        <w:autoSpaceDE w:val="0"/>
        <w:autoSpaceDN w:val="0"/>
        <w:adjustRightInd w:val="0"/>
        <w:textAlignment w:val="baseline"/>
        <w:rPr>
          <w:bCs/>
          <w:iCs/>
          <w:lang w:val="en-GB"/>
        </w:rPr>
      </w:pPr>
    </w:p>
    <w:p w:rsidRPr="00B96875" w:rsidR="00B96875" w:rsidP="00111DFA" w:rsidRDefault="00B96875" w14:paraId="3718E84B" w14:textId="77777777">
      <w:pPr>
        <w:numPr>
          <w:ilvl w:val="0"/>
          <w:numId w:val="29"/>
        </w:numPr>
        <w:ind w:left="709" w:right="283" w:hanging="425"/>
      </w:pPr>
      <w:r>
        <w:rPr>
          <w:b/>
        </w:rPr>
        <w:t>begrüßt die Übereinkunft über die Auslegung und Anwendung des Vertrags über die Energiecharta (ECV)</w:t>
      </w:r>
      <w:r>
        <w:t xml:space="preserve"> zwischen der EU, Euratom und ihren Mitgliedstaaten und nimmt zur Kenntnis, dass die EU am 27. Juni 2024 offiziell vom ECV zurückgetreten ist;</w:t>
      </w:r>
    </w:p>
    <w:p w:rsidRPr="00B96875" w:rsidR="00B96875" w:rsidP="00111DFA" w:rsidRDefault="00B96875" w14:paraId="519456FE" w14:textId="77777777">
      <w:pPr>
        <w:numPr>
          <w:ilvl w:val="0"/>
          <w:numId w:val="29"/>
        </w:numPr>
        <w:ind w:left="709" w:right="283" w:hanging="425"/>
      </w:pPr>
      <w:r>
        <w:t xml:space="preserve">teilt die Auffassung des Gerichtshofs der Europäischen Union (EuGH), dass </w:t>
      </w:r>
      <w:r>
        <w:rPr>
          <w:b/>
        </w:rPr>
        <w:t>Artikel 26 Absatz 2 des ECV nicht mit dem EU-Recht vereinbar ist</w:t>
      </w:r>
      <w:r>
        <w:t>, und betont, dass der ECV nie dafür gedacht war, auf EU-interne Beziehungen angewendet zu werden;</w:t>
      </w:r>
    </w:p>
    <w:p w:rsidRPr="00B96875" w:rsidR="00B96875" w:rsidP="00111DFA" w:rsidRDefault="00B96875" w14:paraId="42DA2EA2" w14:textId="77777777">
      <w:pPr>
        <w:numPr>
          <w:ilvl w:val="0"/>
          <w:numId w:val="29"/>
        </w:numPr>
        <w:ind w:left="709" w:right="283" w:hanging="425"/>
      </w:pPr>
      <w:r>
        <w:t xml:space="preserve">betont, dass der Mechanismus zur Beilegung von Investor-Staat-Streitigkeiten (ISDS) des ECV </w:t>
      </w:r>
      <w:r>
        <w:rPr>
          <w:b/>
        </w:rPr>
        <w:t>Rechtsstaatlichkeit, Demokratie, Transparenz und Kohärenz untergraben kann</w:t>
      </w:r>
      <w:r>
        <w:t>, indem es Investoren ermöglicht wird, nationale Gerichte zu umgehen und nationale Gesetze anzufechten, die ihre Gewinnerwartungen beeinträchtigen;</w:t>
      </w:r>
    </w:p>
    <w:p w:rsidRPr="00B96875" w:rsidR="00B96875" w:rsidP="00111DFA" w:rsidRDefault="00B96875" w14:paraId="473BC6F5" w14:textId="77777777">
      <w:pPr>
        <w:numPr>
          <w:ilvl w:val="0"/>
          <w:numId w:val="29"/>
        </w:numPr>
        <w:ind w:left="709" w:right="283" w:hanging="425"/>
      </w:pPr>
      <w:r>
        <w:t xml:space="preserve">betont, dass der </w:t>
      </w:r>
      <w:r>
        <w:rPr>
          <w:b/>
        </w:rPr>
        <w:t>Schutz von Investitionen in fossile Brennstoffe durch den ECV im Widerspruch zu Klimazielen</w:t>
      </w:r>
      <w:r>
        <w:t xml:space="preserve"> wie dem europäischen Grünen Deal und dem Übereinkommen von Paris </w:t>
      </w:r>
      <w:r>
        <w:rPr>
          <w:b/>
        </w:rPr>
        <w:t>steht</w:t>
      </w:r>
      <w:r>
        <w:t>;</w:t>
      </w:r>
    </w:p>
    <w:p w:rsidRPr="00B96875" w:rsidR="00B96875" w:rsidP="00111DFA" w:rsidRDefault="00B96875" w14:paraId="5B4C7121" w14:textId="77777777">
      <w:pPr>
        <w:numPr>
          <w:ilvl w:val="0"/>
          <w:numId w:val="29"/>
        </w:numPr>
        <w:ind w:left="709" w:right="283" w:hanging="425"/>
      </w:pPr>
      <w:r>
        <w:t xml:space="preserve">plädiert für </w:t>
      </w:r>
      <w:r>
        <w:rPr>
          <w:b/>
        </w:rPr>
        <w:t>Abkommen mit Drittländern</w:t>
      </w:r>
      <w:r>
        <w:t xml:space="preserve"> wie dem Vereinigten Königreich, um das Risiko von Schiedsverfahren aufgrund der 20-jährigen Verfallsklausel des ECV auszuschließen; </w:t>
      </w:r>
    </w:p>
    <w:p w:rsidRPr="00B96875" w:rsidR="00B96875" w:rsidP="00111DFA" w:rsidRDefault="00B96875" w14:paraId="1E9CEDCF" w14:textId="77777777">
      <w:pPr>
        <w:numPr>
          <w:ilvl w:val="0"/>
          <w:numId w:val="29"/>
        </w:numPr>
        <w:ind w:left="709" w:right="283" w:hanging="425"/>
      </w:pPr>
      <w:r>
        <w:t xml:space="preserve">fordert, rechtliche Mechanismen zu prüfen, mit denen die Auswirkungen der Verfallsklausel neutralisiert werden können, um jahrelange Arbitragerisiken zu verhindern, die </w:t>
      </w:r>
      <w:r>
        <w:rPr>
          <w:b/>
        </w:rPr>
        <w:t>die Ziele der EU in den Bereichen Klima und Energiewende behindern könnten</w:t>
      </w:r>
      <w:r>
        <w:t>;</w:t>
      </w:r>
    </w:p>
    <w:p w:rsidRPr="00B96875" w:rsidR="00B96875" w:rsidP="00111DFA" w:rsidRDefault="00B96875" w14:paraId="055BEA7B" w14:textId="77777777">
      <w:pPr>
        <w:numPr>
          <w:ilvl w:val="0"/>
          <w:numId w:val="29"/>
        </w:numPr>
        <w:ind w:left="709" w:right="283" w:hanging="425"/>
      </w:pPr>
      <w:r>
        <w:t xml:space="preserve">fordert die verbleibenden Mitgliedstaaten nachdrücklich auf, angesichts der anhaltenden Probleme ihren Rücktritt vom ECV zu erwägen, und </w:t>
      </w:r>
      <w:r>
        <w:rPr>
          <w:b/>
        </w:rPr>
        <w:t>spricht sich für die Entwicklung eines neuen multilateralen Rahmens für die Zusammenarbeit Energiebereich aus</w:t>
      </w:r>
      <w:r>
        <w:t>, der</w:t>
      </w:r>
    </w:p>
    <w:p w:rsidRPr="00B96875" w:rsidR="00B96875" w:rsidP="00111DFA" w:rsidRDefault="00B96875" w14:paraId="323F20B7" w14:textId="77777777">
      <w:pPr>
        <w:widowControl w:val="0"/>
        <w:numPr>
          <w:ilvl w:val="0"/>
          <w:numId w:val="37"/>
        </w:numPr>
        <w:overflowPunct w:val="0"/>
        <w:autoSpaceDE w:val="0"/>
        <w:autoSpaceDN w:val="0"/>
        <w:adjustRightInd w:val="0"/>
        <w:ind w:left="1134"/>
        <w:textAlignment w:val="baseline"/>
      </w:pPr>
      <w:r>
        <w:t>nachhaltigen und erneuerbaren Energiequellen Vorrang einräumt,</w:t>
      </w:r>
    </w:p>
    <w:p w:rsidRPr="00B96875" w:rsidR="00B96875" w:rsidP="00111DFA" w:rsidRDefault="00B96875" w14:paraId="3AD6D084" w14:textId="77777777">
      <w:pPr>
        <w:widowControl w:val="0"/>
        <w:numPr>
          <w:ilvl w:val="0"/>
          <w:numId w:val="37"/>
        </w:numPr>
        <w:overflowPunct w:val="0"/>
        <w:autoSpaceDE w:val="0"/>
        <w:autoSpaceDN w:val="0"/>
        <w:adjustRightInd w:val="0"/>
        <w:ind w:left="1134"/>
        <w:textAlignment w:val="baseline"/>
      </w:pPr>
      <w:r>
        <w:t xml:space="preserve">vollständig mit den Zielen des </w:t>
      </w:r>
      <w:r>
        <w:rPr>
          <w:b/>
        </w:rPr>
        <w:t>europäischen Grünen Deals</w:t>
      </w:r>
      <w:r>
        <w:t xml:space="preserve"> in Einklang steht,</w:t>
      </w:r>
    </w:p>
    <w:p w:rsidRPr="00B96875" w:rsidR="00B96875" w:rsidP="00111DFA" w:rsidRDefault="00B96875" w14:paraId="5E0A2F18" w14:textId="77777777">
      <w:pPr>
        <w:widowControl w:val="0"/>
        <w:numPr>
          <w:ilvl w:val="0"/>
          <w:numId w:val="37"/>
        </w:numPr>
        <w:overflowPunct w:val="0"/>
        <w:autoSpaceDE w:val="0"/>
        <w:autoSpaceDN w:val="0"/>
        <w:adjustRightInd w:val="0"/>
        <w:ind w:left="1134"/>
        <w:textAlignment w:val="baseline"/>
      </w:pPr>
      <w:r>
        <w:t>dem gerechten Übergang Rechnung trägt,</w:t>
      </w:r>
    </w:p>
    <w:p w:rsidRPr="00B96875" w:rsidR="00B96875" w:rsidP="00111DFA" w:rsidRDefault="00B96875" w14:paraId="47BD8F13" w14:textId="77777777">
      <w:pPr>
        <w:widowControl w:val="0"/>
        <w:numPr>
          <w:ilvl w:val="0"/>
          <w:numId w:val="37"/>
        </w:numPr>
        <w:overflowPunct w:val="0"/>
        <w:autoSpaceDE w:val="0"/>
        <w:autoSpaceDN w:val="0"/>
        <w:adjustRightInd w:val="0"/>
        <w:ind w:left="1134"/>
        <w:textAlignment w:val="baseline"/>
        <w:rPr>
          <w:bCs/>
          <w:iCs/>
        </w:rPr>
      </w:pPr>
      <w:r>
        <w:t>die Grundsätze der Transparenz, der Demokratie und der Rechtsstaatlichkeit achtet.</w:t>
      </w:r>
    </w:p>
    <w:p w:rsidRPr="00B96875" w:rsidR="00B96875" w:rsidP="00B96875" w:rsidRDefault="00B96875" w14:paraId="4E26A032" w14:textId="77777777">
      <w:pPr>
        <w:widowControl w:val="0"/>
        <w:overflowPunct w:val="0"/>
        <w:autoSpaceDE w:val="0"/>
        <w:autoSpaceDN w:val="0"/>
        <w:adjustRightInd w:val="0"/>
        <w:ind w:left="709"/>
        <w:textAlignment w:val="baseline"/>
        <w:rPr>
          <w:rFonts w:asciiTheme="minorHAnsi" w:hAnsiTheme="minorHAnsi"/>
          <w:szCs w:val="20"/>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96875" w:rsidR="00B96875" w:rsidTr="00863A8F" w14:paraId="76D2CF82" w14:textId="77777777">
        <w:tc>
          <w:tcPr>
            <w:tcW w:w="1418" w:type="dxa"/>
          </w:tcPr>
          <w:p w:rsidRPr="00B96875" w:rsidR="00B96875" w:rsidP="00B96875" w:rsidRDefault="00B96875" w14:paraId="38F15925" w14:textId="77777777">
            <w:pPr>
              <w:overflowPunct w:val="0"/>
              <w:autoSpaceDE w:val="0"/>
              <w:autoSpaceDN w:val="0"/>
              <w:adjustRightInd w:val="0"/>
              <w:spacing w:line="240" w:lineRule="auto"/>
              <w:textAlignment w:val="baseline"/>
              <w:rPr>
                <w:i/>
              </w:rPr>
            </w:pPr>
            <w:r>
              <w:rPr>
                <w:b/>
                <w:i/>
              </w:rPr>
              <w:t>Kontakt</w:t>
            </w:r>
          </w:p>
        </w:tc>
        <w:tc>
          <w:tcPr>
            <w:tcW w:w="5670" w:type="dxa"/>
          </w:tcPr>
          <w:p w:rsidRPr="00B96875" w:rsidR="00B96875" w:rsidP="00B96875" w:rsidRDefault="00B96875" w14:paraId="1DF5B94F" w14:textId="77777777">
            <w:pPr>
              <w:overflowPunct w:val="0"/>
              <w:autoSpaceDE w:val="0"/>
              <w:autoSpaceDN w:val="0"/>
              <w:adjustRightInd w:val="0"/>
              <w:spacing w:line="240" w:lineRule="auto"/>
              <w:textAlignment w:val="baseline"/>
              <w:rPr>
                <w:i/>
              </w:rPr>
            </w:pPr>
            <w:r>
              <w:rPr>
                <w:i/>
              </w:rPr>
              <w:t>Marco Ristori</w:t>
            </w:r>
          </w:p>
        </w:tc>
      </w:tr>
      <w:tr w:rsidRPr="00B96875" w:rsidR="00B96875" w:rsidTr="00863A8F" w14:paraId="4AB96BAF" w14:textId="77777777">
        <w:tc>
          <w:tcPr>
            <w:tcW w:w="1418" w:type="dxa"/>
          </w:tcPr>
          <w:p w:rsidRPr="00B96875" w:rsidR="00B96875" w:rsidP="00B96875" w:rsidRDefault="00B96875" w14:paraId="106F96D4" w14:textId="77777777">
            <w:pPr>
              <w:overflowPunct w:val="0"/>
              <w:autoSpaceDE w:val="0"/>
              <w:autoSpaceDN w:val="0"/>
              <w:adjustRightInd w:val="0"/>
              <w:spacing w:line="240" w:lineRule="auto"/>
              <w:textAlignment w:val="baseline"/>
              <w:rPr>
                <w:i/>
              </w:rPr>
            </w:pPr>
            <w:r>
              <w:rPr>
                <w:i/>
              </w:rPr>
              <w:t>Tel.</w:t>
            </w:r>
          </w:p>
        </w:tc>
        <w:tc>
          <w:tcPr>
            <w:tcW w:w="5670" w:type="dxa"/>
          </w:tcPr>
          <w:p w:rsidRPr="00B96875" w:rsidR="00B96875" w:rsidP="00B96875" w:rsidRDefault="00B96875" w14:paraId="23FA0C5F" w14:textId="77777777">
            <w:pPr>
              <w:overflowPunct w:val="0"/>
              <w:autoSpaceDE w:val="0"/>
              <w:autoSpaceDN w:val="0"/>
              <w:adjustRightInd w:val="0"/>
              <w:spacing w:line="240" w:lineRule="auto"/>
              <w:textAlignment w:val="baseline"/>
              <w:rPr>
                <w:i/>
              </w:rPr>
            </w:pPr>
            <w:r>
              <w:rPr>
                <w:i/>
              </w:rPr>
              <w:t>+ 32 25469969</w:t>
            </w:r>
          </w:p>
        </w:tc>
      </w:tr>
      <w:tr w:rsidRPr="00B96875" w:rsidR="00B96875" w:rsidTr="00863A8F" w14:paraId="7FC8E54F" w14:textId="77777777">
        <w:tc>
          <w:tcPr>
            <w:tcW w:w="1418" w:type="dxa"/>
          </w:tcPr>
          <w:p w:rsidRPr="00B96875" w:rsidR="00B96875" w:rsidP="00B96875" w:rsidRDefault="00761851" w14:paraId="4664E3E1" w14:textId="29FE8102">
            <w:pPr>
              <w:overflowPunct w:val="0"/>
              <w:autoSpaceDE w:val="0"/>
              <w:autoSpaceDN w:val="0"/>
              <w:adjustRightInd w:val="0"/>
              <w:spacing w:line="240" w:lineRule="auto"/>
              <w:textAlignment w:val="baseline"/>
              <w:rPr>
                <w:i/>
              </w:rPr>
            </w:pPr>
            <w:r>
              <w:rPr>
                <w:i/>
              </w:rPr>
              <w:t>E-Mail</w:t>
            </w:r>
          </w:p>
        </w:tc>
        <w:tc>
          <w:tcPr>
            <w:tcW w:w="5670" w:type="dxa"/>
          </w:tcPr>
          <w:p w:rsidRPr="00B96875" w:rsidR="00B96875" w:rsidP="00B96875" w:rsidRDefault="005204CC" w14:paraId="2786F745" w14:textId="77777777">
            <w:pPr>
              <w:overflowPunct w:val="0"/>
              <w:autoSpaceDE w:val="0"/>
              <w:autoSpaceDN w:val="0"/>
              <w:adjustRightInd w:val="0"/>
              <w:spacing w:line="240" w:lineRule="auto"/>
              <w:textAlignment w:val="baseline"/>
              <w:rPr>
                <w:i/>
                <w:iCs/>
              </w:rPr>
            </w:pPr>
            <w:hyperlink w:history="1" r:id="rId46">
              <w:r w:rsidR="009B458F">
                <w:rPr>
                  <w:i/>
                  <w:color w:val="0000FF"/>
                  <w:u w:val="single"/>
                </w:rPr>
                <w:t>Marco.Ristori@eesc.europa.eu</w:t>
              </w:r>
            </w:hyperlink>
            <w:r w:rsidR="009B458F">
              <w:rPr>
                <w:i/>
              </w:rPr>
              <w:t xml:space="preserve"> </w:t>
            </w:r>
          </w:p>
        </w:tc>
      </w:tr>
    </w:tbl>
    <w:p w:rsidR="00B96875" w:rsidRDefault="00B96875" w14:paraId="48402832" w14:textId="77777777">
      <w:pPr>
        <w:spacing w:after="160" w:line="259" w:lineRule="auto"/>
        <w:jc w:val="left"/>
      </w:pPr>
    </w:p>
    <w:p w:rsidR="00B96875" w:rsidRDefault="00B96875" w14:paraId="64E1699F" w14:textId="77777777">
      <w:pPr>
        <w:spacing w:after="160" w:line="259" w:lineRule="auto"/>
        <w:jc w:val="left"/>
      </w:pPr>
      <w:r>
        <w:br w:type="page"/>
      </w:r>
    </w:p>
    <w:p w:rsidRPr="00412085" w:rsidR="00412085" w:rsidP="00412085" w:rsidRDefault="00412085" w14:paraId="562FB9AE" w14:textId="74F4D257">
      <w:pPr>
        <w:widowControl w:val="0"/>
        <w:numPr>
          <w:ilvl w:val="0"/>
          <w:numId w:val="6"/>
        </w:numPr>
        <w:overflowPunct w:val="0"/>
        <w:autoSpaceDE w:val="0"/>
        <w:autoSpaceDN w:val="0"/>
        <w:adjustRightInd w:val="0"/>
        <w:ind w:hanging="567"/>
        <w:textAlignment w:val="baseline"/>
        <w:rPr>
          <w:color w:val="0000FF"/>
          <w:sz w:val="20"/>
          <w:szCs w:val="20"/>
          <w:u w:val="single"/>
        </w:rPr>
      </w:pPr>
      <w:r w:rsidRPr="00412085">
        <w:rPr>
          <w:b/>
          <w:i/>
          <w:sz w:val="28"/>
        </w:rPr>
        <w:fldChar w:fldCharType="begin"/>
      </w:r>
      <w:r w:rsidRPr="00412085">
        <w:rPr>
          <w:b/>
          <w:i/>
          <w:sz w:val="28"/>
        </w:rPr>
        <w:instrText xml:space="preserve"> HYPERLINK "https://www.eesc.europa.eu/de/our-work/opinions-information-reports/opinions/water-politics-empowering-youth-women-and-indigenous-and-local-communities" </w:instrText>
      </w:r>
      <w:r w:rsidRPr="00412085">
        <w:rPr>
          <w:b/>
          <w:i/>
          <w:sz w:val="28"/>
        </w:rPr>
        <w:fldChar w:fldCharType="separate"/>
      </w:r>
      <w:r>
        <w:rPr>
          <w:b/>
          <w:i/>
          <w:color w:val="0000FF"/>
          <w:sz w:val="28"/>
          <w:u w:val="single"/>
        </w:rPr>
        <w:t>Wasserpolitik – Stärkung der Handlungskompetenz von jungen Menschen, Frauen sowie indigenen und lokalen Gemeinschaften</w:t>
      </w:r>
    </w:p>
    <w:p w:rsidRPr="00412085" w:rsidR="00412085" w:rsidP="00412085" w:rsidRDefault="00412085" w14:paraId="7FF33753" w14:textId="77777777">
      <w:pPr>
        <w:tabs>
          <w:tab w:val="center" w:pos="284"/>
        </w:tabs>
        <w:overflowPunct w:val="0"/>
        <w:autoSpaceDE w:val="0"/>
        <w:autoSpaceDN w:val="0"/>
        <w:adjustRightInd w:val="0"/>
        <w:ind w:left="266" w:hanging="266"/>
        <w:textAlignment w:val="baseline"/>
        <w:rPr>
          <w:b/>
        </w:rPr>
      </w:pPr>
      <w:r w:rsidRPr="00412085">
        <w:rPr>
          <w:b/>
          <w:i/>
          <w:sz w:val="28"/>
        </w:rPr>
        <w:fldChar w:fldCharType="end"/>
      </w:r>
    </w:p>
    <w:tbl>
      <w:tblPr>
        <w:tblStyle w:val="TableGrid13"/>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328"/>
      </w:tblGrid>
      <w:tr w:rsidRPr="00412085" w:rsidR="00412085" w:rsidTr="00863A8F" w14:paraId="5B43C61E" w14:textId="77777777">
        <w:tc>
          <w:tcPr>
            <w:tcW w:w="1111" w:type="pct"/>
          </w:tcPr>
          <w:p w:rsidRPr="00412085" w:rsidR="00412085" w:rsidP="00412085" w:rsidRDefault="00412085" w14:paraId="309E79AB" w14:textId="77777777">
            <w:pPr>
              <w:tabs>
                <w:tab w:val="center" w:pos="284"/>
              </w:tabs>
              <w:overflowPunct w:val="0"/>
              <w:autoSpaceDE w:val="0"/>
              <w:autoSpaceDN w:val="0"/>
              <w:adjustRightInd w:val="0"/>
              <w:ind w:left="266" w:hanging="266"/>
              <w:textAlignment w:val="baseline"/>
              <w:rPr>
                <w:b/>
              </w:rPr>
            </w:pPr>
            <w:r>
              <w:rPr>
                <w:b/>
              </w:rPr>
              <w:t>Berichterstatter</w:t>
            </w:r>
          </w:p>
          <w:p w:rsidRPr="00412085" w:rsidR="00412085" w:rsidP="00412085" w:rsidRDefault="00412085" w14:paraId="4AAE5B2E" w14:textId="77777777">
            <w:pPr>
              <w:tabs>
                <w:tab w:val="center" w:pos="284"/>
              </w:tabs>
              <w:overflowPunct w:val="0"/>
              <w:autoSpaceDE w:val="0"/>
              <w:autoSpaceDN w:val="0"/>
              <w:adjustRightInd w:val="0"/>
              <w:ind w:left="266" w:hanging="266"/>
              <w:textAlignment w:val="baseline"/>
              <w:rPr>
                <w:b/>
              </w:rPr>
            </w:pPr>
            <w:r>
              <w:rPr>
                <w:b/>
              </w:rPr>
              <w:t>Ko-Berichterstatter</w:t>
            </w:r>
          </w:p>
          <w:p w:rsidRPr="00412085" w:rsidR="00412085" w:rsidP="00412085" w:rsidRDefault="00412085" w14:paraId="1DECC72F" w14:textId="77777777">
            <w:pPr>
              <w:tabs>
                <w:tab w:val="center" w:pos="284"/>
              </w:tabs>
              <w:overflowPunct w:val="0"/>
              <w:autoSpaceDE w:val="0"/>
              <w:autoSpaceDN w:val="0"/>
              <w:adjustRightInd w:val="0"/>
              <w:ind w:left="266" w:hanging="266"/>
              <w:textAlignment w:val="baseline"/>
              <w:rPr>
                <w:b/>
              </w:rPr>
            </w:pPr>
          </w:p>
        </w:tc>
        <w:tc>
          <w:tcPr>
            <w:tcW w:w="3889" w:type="pct"/>
          </w:tcPr>
          <w:p w:rsidRPr="00412085" w:rsidR="00412085" w:rsidP="00412085" w:rsidRDefault="00412085" w14:paraId="1FA216E4" w14:textId="6F365C32">
            <w:pPr>
              <w:tabs>
                <w:tab w:val="center" w:pos="284"/>
              </w:tabs>
              <w:overflowPunct w:val="0"/>
              <w:autoSpaceDE w:val="0"/>
              <w:autoSpaceDN w:val="0"/>
              <w:adjustRightInd w:val="0"/>
              <w:ind w:left="266" w:hanging="266"/>
              <w:textAlignment w:val="baseline"/>
            </w:pPr>
            <w:r>
              <w:t>Milena ANGELOVA (Gruppe Arbeitgeber – BG)</w:t>
            </w:r>
          </w:p>
          <w:p w:rsidRPr="00412085" w:rsidR="00412085" w:rsidP="00412085" w:rsidRDefault="00412085" w14:paraId="2854E0E0" w14:textId="137BEF77">
            <w:pPr>
              <w:tabs>
                <w:tab w:val="center" w:pos="284"/>
              </w:tabs>
              <w:overflowPunct w:val="0"/>
              <w:autoSpaceDE w:val="0"/>
              <w:autoSpaceDN w:val="0"/>
              <w:adjustRightInd w:val="0"/>
              <w:ind w:left="266" w:hanging="266"/>
              <w:textAlignment w:val="baseline"/>
            </w:pPr>
            <w:r>
              <w:t>Ioannis VARDAKASTANIS (Gruppe Organisationen der Zivilgesellschaft – EL)</w:t>
            </w:r>
          </w:p>
        </w:tc>
      </w:tr>
      <w:tr w:rsidRPr="00412085" w:rsidR="00412085" w:rsidTr="00863A8F" w14:paraId="716B957D" w14:textId="77777777">
        <w:tc>
          <w:tcPr>
            <w:tcW w:w="5000" w:type="pct"/>
            <w:gridSpan w:val="2"/>
          </w:tcPr>
          <w:p w:rsidRPr="00412085" w:rsidR="00412085" w:rsidP="00412085" w:rsidRDefault="00412085" w14:paraId="52145772" w14:textId="77777777">
            <w:pPr>
              <w:tabs>
                <w:tab w:val="center" w:pos="284"/>
              </w:tabs>
              <w:overflowPunct w:val="0"/>
              <w:autoSpaceDE w:val="0"/>
              <w:autoSpaceDN w:val="0"/>
              <w:adjustRightInd w:val="0"/>
              <w:spacing w:line="160" w:lineRule="exact"/>
              <w:ind w:left="266" w:hanging="266"/>
              <w:textAlignment w:val="baseline"/>
            </w:pPr>
          </w:p>
        </w:tc>
      </w:tr>
      <w:tr w:rsidRPr="00412085" w:rsidR="00412085" w:rsidTr="00863A8F" w14:paraId="7F93B548" w14:textId="77777777">
        <w:tc>
          <w:tcPr>
            <w:tcW w:w="1111" w:type="pct"/>
            <w:vMerge w:val="restart"/>
          </w:tcPr>
          <w:p w:rsidRPr="00412085" w:rsidR="00412085" w:rsidP="00412085" w:rsidRDefault="00412085" w14:paraId="4752DDE3" w14:textId="77777777">
            <w:pPr>
              <w:tabs>
                <w:tab w:val="center" w:pos="284"/>
              </w:tabs>
              <w:overflowPunct w:val="0"/>
              <w:autoSpaceDE w:val="0"/>
              <w:autoSpaceDN w:val="0"/>
              <w:adjustRightInd w:val="0"/>
              <w:ind w:left="266" w:hanging="266"/>
              <w:textAlignment w:val="baseline"/>
              <w:rPr>
                <w:b/>
              </w:rPr>
            </w:pPr>
            <w:r>
              <w:rPr>
                <w:b/>
              </w:rPr>
              <w:t>Referenzdokument</w:t>
            </w:r>
          </w:p>
        </w:tc>
        <w:tc>
          <w:tcPr>
            <w:tcW w:w="3889" w:type="pct"/>
          </w:tcPr>
          <w:p w:rsidR="00114003" w:rsidP="00412085" w:rsidRDefault="00114003" w14:paraId="49B51E12" w14:textId="4A2C07A8">
            <w:pPr>
              <w:tabs>
                <w:tab w:val="center" w:pos="284"/>
              </w:tabs>
              <w:overflowPunct w:val="0"/>
              <w:autoSpaceDE w:val="0"/>
              <w:autoSpaceDN w:val="0"/>
              <w:adjustRightInd w:val="0"/>
              <w:ind w:left="266" w:hanging="266"/>
              <w:textAlignment w:val="baseline"/>
            </w:pPr>
            <w:r>
              <w:t>Initiativstellungnahme</w:t>
            </w:r>
          </w:p>
          <w:p w:rsidRPr="00412085" w:rsidR="00412085" w:rsidP="00412085" w:rsidRDefault="00412085" w14:paraId="51172282" w14:textId="622893A5">
            <w:pPr>
              <w:tabs>
                <w:tab w:val="center" w:pos="284"/>
              </w:tabs>
              <w:overflowPunct w:val="0"/>
              <w:autoSpaceDE w:val="0"/>
              <w:autoSpaceDN w:val="0"/>
              <w:adjustRightInd w:val="0"/>
              <w:ind w:left="266" w:hanging="266"/>
              <w:textAlignment w:val="baseline"/>
            </w:pPr>
            <w:r>
              <w:t>EESC-2024-00874-00-00-AC</w:t>
            </w:r>
          </w:p>
        </w:tc>
      </w:tr>
      <w:tr w:rsidRPr="00412085" w:rsidR="00412085" w:rsidTr="00863A8F" w14:paraId="5D98CFA2" w14:textId="77777777">
        <w:tc>
          <w:tcPr>
            <w:tcW w:w="1111" w:type="pct"/>
            <w:vMerge/>
          </w:tcPr>
          <w:p w:rsidRPr="00412085" w:rsidR="00412085" w:rsidP="00412085" w:rsidRDefault="00412085" w14:paraId="609E861D" w14:textId="77777777">
            <w:pPr>
              <w:tabs>
                <w:tab w:val="center" w:pos="284"/>
              </w:tabs>
              <w:overflowPunct w:val="0"/>
              <w:autoSpaceDE w:val="0"/>
              <w:autoSpaceDN w:val="0"/>
              <w:adjustRightInd w:val="0"/>
              <w:ind w:left="266" w:hanging="266"/>
              <w:textAlignment w:val="baseline"/>
              <w:rPr>
                <w:b/>
              </w:rPr>
            </w:pPr>
          </w:p>
        </w:tc>
        <w:tc>
          <w:tcPr>
            <w:tcW w:w="3889" w:type="pct"/>
          </w:tcPr>
          <w:p w:rsidRPr="00412085" w:rsidR="00412085" w:rsidP="00412085" w:rsidRDefault="00412085" w14:paraId="3C8BE339" w14:textId="77777777">
            <w:pPr>
              <w:tabs>
                <w:tab w:val="center" w:pos="284"/>
              </w:tabs>
              <w:overflowPunct w:val="0"/>
              <w:autoSpaceDE w:val="0"/>
              <w:autoSpaceDN w:val="0"/>
              <w:adjustRightInd w:val="0"/>
              <w:ind w:left="266" w:hanging="266"/>
              <w:textAlignment w:val="baseline"/>
            </w:pPr>
          </w:p>
        </w:tc>
      </w:tr>
    </w:tbl>
    <w:p w:rsidRPr="00412085" w:rsidR="00412085" w:rsidP="00412085" w:rsidRDefault="00412085" w14:paraId="4A625018" w14:textId="77777777">
      <w:pPr>
        <w:tabs>
          <w:tab w:val="center" w:pos="284"/>
        </w:tabs>
        <w:overflowPunct w:val="0"/>
        <w:autoSpaceDE w:val="0"/>
        <w:autoSpaceDN w:val="0"/>
        <w:adjustRightInd w:val="0"/>
        <w:ind w:left="266" w:hanging="266"/>
        <w:textAlignment w:val="baseline"/>
        <w:rPr>
          <w:lang w:val="en-GB"/>
        </w:rPr>
      </w:pPr>
    </w:p>
    <w:p w:rsidRPr="00412085" w:rsidR="00412085" w:rsidP="00412085" w:rsidRDefault="00412085" w14:paraId="38A7852E"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412085" w:rsidR="00412085" w:rsidP="00412085" w:rsidRDefault="00412085" w14:paraId="0DAD1519" w14:textId="77777777">
      <w:pPr>
        <w:keepNext/>
        <w:keepLines/>
        <w:tabs>
          <w:tab w:val="center" w:pos="284"/>
        </w:tabs>
        <w:overflowPunct w:val="0"/>
        <w:autoSpaceDE w:val="0"/>
        <w:autoSpaceDN w:val="0"/>
        <w:adjustRightInd w:val="0"/>
        <w:ind w:left="266" w:hanging="266"/>
        <w:textAlignment w:val="baseline"/>
        <w:rPr>
          <w:b/>
          <w:lang w:val="en-GB"/>
        </w:rPr>
      </w:pPr>
    </w:p>
    <w:p w:rsidRPr="00412085" w:rsidR="00412085" w:rsidP="00412085" w:rsidRDefault="00412085" w14:paraId="440F1C53" w14:textId="77777777">
      <w:pPr>
        <w:overflowPunct w:val="0"/>
        <w:autoSpaceDE w:val="0"/>
        <w:autoSpaceDN w:val="0"/>
        <w:adjustRightInd w:val="0"/>
        <w:textAlignment w:val="baseline"/>
        <w:rPr>
          <w:bCs/>
          <w:iCs/>
        </w:rPr>
      </w:pPr>
      <w:r>
        <w:t>Der EWSA</w:t>
      </w:r>
    </w:p>
    <w:p w:rsidRPr="00412085" w:rsidR="00412085" w:rsidP="00412085" w:rsidRDefault="00412085" w14:paraId="12BE777E" w14:textId="77777777">
      <w:pPr>
        <w:overflowPunct w:val="0"/>
        <w:autoSpaceDE w:val="0"/>
        <w:autoSpaceDN w:val="0"/>
        <w:adjustRightInd w:val="0"/>
        <w:textAlignment w:val="baseline"/>
        <w:rPr>
          <w:bCs/>
          <w:iCs/>
          <w:lang w:val="en-GB"/>
        </w:rPr>
      </w:pPr>
    </w:p>
    <w:p w:rsidRPr="00412085" w:rsidR="00412085" w:rsidP="00E21ECD" w:rsidRDefault="00412085" w14:paraId="2FFAE05C" w14:textId="77777777">
      <w:pPr>
        <w:widowControl w:val="0"/>
        <w:numPr>
          <w:ilvl w:val="0"/>
          <w:numId w:val="38"/>
        </w:numPr>
        <w:overflowPunct w:val="0"/>
        <w:autoSpaceDE w:val="0"/>
        <w:autoSpaceDN w:val="0"/>
        <w:adjustRightInd w:val="0"/>
        <w:ind w:left="709" w:right="284" w:hanging="425"/>
        <w:textAlignment w:val="baseline"/>
        <w:rPr>
          <w:bCs/>
          <w:iCs/>
        </w:rPr>
      </w:pPr>
      <w:r>
        <w:t xml:space="preserve">weist darauf hin, dass </w:t>
      </w:r>
      <w:r>
        <w:rPr>
          <w:b/>
        </w:rPr>
        <w:t>Wasser für das Leben und die Würde des Menschen von entscheidender Bedeutung</w:t>
      </w:r>
      <w:r>
        <w:t xml:space="preserve"> ist und dass der </w:t>
      </w:r>
      <w:r>
        <w:rPr>
          <w:b/>
        </w:rPr>
        <w:t>Zugang zu Wasser und Sanitärversorgung</w:t>
      </w:r>
      <w:r>
        <w:t xml:space="preserve">, wie von der EU anerkannt, </w:t>
      </w:r>
      <w:r>
        <w:rPr>
          <w:b/>
        </w:rPr>
        <w:t>ein grundlegendes Menschenrecht</w:t>
      </w:r>
      <w:r>
        <w:t xml:space="preserve"> ist; </w:t>
      </w:r>
    </w:p>
    <w:p w:rsidRPr="00412085" w:rsidR="00412085" w:rsidP="00E21ECD" w:rsidRDefault="00412085" w14:paraId="467DFD1E" w14:textId="77777777">
      <w:pPr>
        <w:widowControl w:val="0"/>
        <w:numPr>
          <w:ilvl w:val="0"/>
          <w:numId w:val="38"/>
        </w:numPr>
        <w:overflowPunct w:val="0"/>
        <w:autoSpaceDE w:val="0"/>
        <w:autoSpaceDN w:val="0"/>
        <w:adjustRightInd w:val="0"/>
        <w:ind w:left="709" w:right="284" w:hanging="425"/>
        <w:textAlignment w:val="baseline"/>
        <w:rPr>
          <w:bCs/>
          <w:iCs/>
        </w:rPr>
      </w:pPr>
      <w:r>
        <w:t xml:space="preserve">betont, dass </w:t>
      </w:r>
      <w:r>
        <w:rPr>
          <w:b/>
        </w:rPr>
        <w:t>junge Menschen, Frauen sowie indigene und lokale Gruppen (einschließlich Migranten und Menschen mit Behinderungen)</w:t>
      </w:r>
      <w:r>
        <w:t xml:space="preserve"> besonders </w:t>
      </w:r>
      <w:r>
        <w:rPr>
          <w:b/>
        </w:rPr>
        <w:t>anfällig für Wasserstress</w:t>
      </w:r>
      <w:r>
        <w:t xml:space="preserve"> sind und über ein enormes ungenutztes Potenzial verfügen, wenn es darum geht, zu einer nachhaltigen Wasserbewirtschaftung beizutragen, Wasser zu einem Instrument des Friedens und der Stabilität zu machen und somit einen Beitrag zur blauen Diplomatie zu leisten;</w:t>
      </w:r>
    </w:p>
    <w:p w:rsidRPr="00412085" w:rsidR="00412085" w:rsidP="00E21ECD" w:rsidRDefault="00412085" w14:paraId="6A643D9D" w14:textId="77777777">
      <w:pPr>
        <w:widowControl w:val="0"/>
        <w:numPr>
          <w:ilvl w:val="0"/>
          <w:numId w:val="38"/>
        </w:numPr>
        <w:overflowPunct w:val="0"/>
        <w:autoSpaceDE w:val="0"/>
        <w:autoSpaceDN w:val="0"/>
        <w:adjustRightInd w:val="0"/>
        <w:ind w:left="709" w:right="284" w:hanging="425"/>
        <w:textAlignment w:val="baseline"/>
        <w:rPr>
          <w:bCs/>
          <w:iCs/>
        </w:rPr>
      </w:pPr>
      <w:r>
        <w:t xml:space="preserve">fordert die EU auf, </w:t>
      </w:r>
      <w:r>
        <w:rPr>
          <w:b/>
        </w:rPr>
        <w:t>diesen Bevölkerungsgruppen im Rahmen ihrer Außenbeziehungen und internationalen Zusammenarbeit gebührende Aufmerksamkeit zu widmen</w:t>
      </w:r>
      <w:r>
        <w:t xml:space="preserve">, und </w:t>
      </w:r>
      <w:r>
        <w:rPr>
          <w:b/>
        </w:rPr>
        <w:t>schlägt zudem ein Leuchtturm-Partnerschaftsprogramm vor, um diese Gruppen</w:t>
      </w:r>
      <w:r>
        <w:t xml:space="preserve"> auf integrierte Weise </w:t>
      </w:r>
      <w:r>
        <w:rPr>
          <w:b/>
        </w:rPr>
        <w:t>zum Handeln zu befähigen</w:t>
      </w:r>
      <w:r>
        <w:t>;</w:t>
      </w:r>
    </w:p>
    <w:p w:rsidRPr="00412085" w:rsidR="00412085" w:rsidP="00E21ECD" w:rsidRDefault="00412085" w14:paraId="229CA872" w14:textId="77777777">
      <w:pPr>
        <w:widowControl w:val="0"/>
        <w:numPr>
          <w:ilvl w:val="0"/>
          <w:numId w:val="38"/>
        </w:numPr>
        <w:overflowPunct w:val="0"/>
        <w:autoSpaceDE w:val="0"/>
        <w:autoSpaceDN w:val="0"/>
        <w:adjustRightInd w:val="0"/>
        <w:ind w:left="709" w:right="284" w:hanging="425"/>
        <w:textAlignment w:val="baseline"/>
        <w:rPr>
          <w:bCs/>
          <w:iCs/>
        </w:rPr>
      </w:pPr>
      <w:r>
        <w:t xml:space="preserve">weist darauf hin, dass </w:t>
      </w:r>
      <w:r>
        <w:rPr>
          <w:b/>
        </w:rPr>
        <w:t>der Zugang zu sauberem Wasser, Bildung, Beschäftigung und die Beteiligung an der Politikgestaltung Schlüsselelemente für die Stärkung der Handlungskompetenz sind</w:t>
      </w:r>
      <w:r>
        <w:t>. Ein besserer Zugang zu Wasser-, Sanitär- und Hygieneversorgung (Water, Sanitation and Hygiene (WASH)) ist besonders wichtig, da hierdurch Zeit für die allgemeine und berufliche Bildung gewonnen wird, was vielfältigere Beschäftigungsmöglichkeiten und die Fähigkeit eröffnet, einen Beitrag zur Wasserbewirtschaftung und zur Wasserpolitik zu leisten;</w:t>
      </w:r>
    </w:p>
    <w:p w:rsidRPr="00412085" w:rsidR="00412085" w:rsidP="00E21ECD" w:rsidRDefault="00412085" w14:paraId="6EF6F348" w14:textId="77777777">
      <w:pPr>
        <w:widowControl w:val="0"/>
        <w:numPr>
          <w:ilvl w:val="0"/>
          <w:numId w:val="38"/>
        </w:numPr>
        <w:overflowPunct w:val="0"/>
        <w:autoSpaceDE w:val="0"/>
        <w:autoSpaceDN w:val="0"/>
        <w:adjustRightInd w:val="0"/>
        <w:ind w:left="709" w:right="284" w:hanging="425"/>
        <w:textAlignment w:val="baseline"/>
        <w:rPr>
          <w:bCs/>
          <w:iCs/>
        </w:rPr>
      </w:pPr>
      <w:r>
        <w:t xml:space="preserve">ist der Ansicht, dass </w:t>
      </w:r>
      <w:r>
        <w:rPr>
          <w:b/>
        </w:rPr>
        <w:t>jungen Menschen allgemeine politische, staatsbürgerliche und unternehmerische Kompetenzen vermittelt werden sollten</w:t>
      </w:r>
      <w:r>
        <w:t xml:space="preserve">, damit sie – die heutigen Triebkräfte des Wandels und künftigen Entscheidungsträger – einen Beitrag zur </w:t>
      </w:r>
      <w:r>
        <w:rPr>
          <w:b/>
        </w:rPr>
        <w:t>Wasserbewirtschaftung, Beschäftigung und Politikgestaltung</w:t>
      </w:r>
      <w:r>
        <w:t xml:space="preserve"> leisten können;</w:t>
      </w:r>
    </w:p>
    <w:p w:rsidRPr="00412085" w:rsidR="00412085" w:rsidP="00E21ECD" w:rsidRDefault="00412085" w14:paraId="12DFF124" w14:textId="77777777">
      <w:pPr>
        <w:widowControl w:val="0"/>
        <w:numPr>
          <w:ilvl w:val="0"/>
          <w:numId w:val="38"/>
        </w:numPr>
        <w:overflowPunct w:val="0"/>
        <w:autoSpaceDE w:val="0"/>
        <w:autoSpaceDN w:val="0"/>
        <w:adjustRightInd w:val="0"/>
        <w:ind w:left="709" w:right="284" w:hanging="425"/>
        <w:textAlignment w:val="baseline"/>
        <w:rPr>
          <w:bCs/>
          <w:iCs/>
        </w:rPr>
      </w:pPr>
      <w:r>
        <w:t xml:space="preserve">sieht in der </w:t>
      </w:r>
      <w:r>
        <w:rPr>
          <w:b/>
        </w:rPr>
        <w:t>umfassenden Gleichstellung der Geschlechter in den Bereichen Bildung, Arbeit, politischen und anderen Entscheidungsgremien und Unternehmertum einen weiteren entscheidenden Faktor</w:t>
      </w:r>
      <w:r>
        <w:t>. Angemessene Arbeitsbedingungen, darunter Schutz vor Diskriminierung und Belästigung, müssen gebührend berücksichtigt werden;</w:t>
      </w:r>
    </w:p>
    <w:p w:rsidRPr="00412085" w:rsidR="00412085" w:rsidP="00E21ECD" w:rsidRDefault="00412085" w14:paraId="3432BFC8" w14:textId="77777777">
      <w:pPr>
        <w:widowControl w:val="0"/>
        <w:numPr>
          <w:ilvl w:val="0"/>
          <w:numId w:val="38"/>
        </w:numPr>
        <w:overflowPunct w:val="0"/>
        <w:autoSpaceDE w:val="0"/>
        <w:autoSpaceDN w:val="0"/>
        <w:adjustRightInd w:val="0"/>
        <w:ind w:left="709" w:right="284" w:hanging="425"/>
        <w:textAlignment w:val="baseline"/>
        <w:rPr>
          <w:bCs/>
          <w:iCs/>
        </w:rPr>
      </w:pPr>
      <w:r>
        <w:t xml:space="preserve">betont, dass </w:t>
      </w:r>
      <w:r>
        <w:rPr>
          <w:b/>
        </w:rPr>
        <w:t>lokale Gemeinschaften Zugang zu Infrastruktur, Informationen sowie allgemeiner und beruflicher Bildung erhalten müssen</w:t>
      </w:r>
      <w:r>
        <w:t>, auf lokaler Ebene tätige zivilgesellschaftliche Organisationen sollten in die politischen Entscheidungsprozesse vor Ort einbezogen werden, um so die indigenen Gruppen einzubinden und zu stärken;</w:t>
      </w:r>
    </w:p>
    <w:p w:rsidRPr="00412085" w:rsidR="00412085" w:rsidP="00E21ECD" w:rsidRDefault="00412085" w14:paraId="19F41CFF" w14:textId="149E611B">
      <w:pPr>
        <w:widowControl w:val="0"/>
        <w:numPr>
          <w:ilvl w:val="0"/>
          <w:numId w:val="38"/>
        </w:numPr>
        <w:overflowPunct w:val="0"/>
        <w:autoSpaceDE w:val="0"/>
        <w:autoSpaceDN w:val="0"/>
        <w:adjustRightInd w:val="0"/>
        <w:ind w:left="709" w:right="284" w:hanging="425"/>
        <w:jc w:val="left"/>
        <w:textAlignment w:val="baseline"/>
        <w:rPr>
          <w:bCs/>
          <w:iCs/>
        </w:rPr>
      </w:pPr>
      <w:r>
        <w:t xml:space="preserve">bekräftigt, dass </w:t>
      </w:r>
      <w:r>
        <w:rPr>
          <w:b/>
        </w:rPr>
        <w:t>blaue und digitale Technologien für die Verbesserung der Wasserbewirtschaftung und des Zugangs zu sauberem Wasser und Sanitärversorgung unerlässlich</w:t>
      </w:r>
      <w:r>
        <w:t xml:space="preserve"> sind;</w:t>
      </w:r>
    </w:p>
    <w:p w:rsidRPr="00412085" w:rsidR="00412085" w:rsidP="00E21ECD" w:rsidRDefault="00412085" w14:paraId="0AE10E58" w14:textId="77777777">
      <w:pPr>
        <w:widowControl w:val="0"/>
        <w:numPr>
          <w:ilvl w:val="0"/>
          <w:numId w:val="38"/>
        </w:numPr>
        <w:overflowPunct w:val="0"/>
        <w:autoSpaceDE w:val="0"/>
        <w:autoSpaceDN w:val="0"/>
        <w:adjustRightInd w:val="0"/>
        <w:ind w:left="709" w:right="284" w:hanging="425"/>
        <w:textAlignment w:val="baseline"/>
        <w:rPr>
          <w:bCs/>
          <w:szCs w:val="20"/>
        </w:rPr>
      </w:pPr>
      <w:r>
        <w:t xml:space="preserve">unterstreicht, dass </w:t>
      </w:r>
      <w:r>
        <w:rPr>
          <w:b/>
        </w:rPr>
        <w:t>eine wirkungsvolle Partnerschaft und Finanzierung für die Entwicklung der Infrastruktur, für Bildung und für den allgemeinen Kapazitätsaufbau große Bedeutung</w:t>
      </w:r>
      <w:r>
        <w:t xml:space="preserve"> haben. Sowohl EU-Mittel als auch die nationalen Geberprogramme spielen dabei eine entscheidende Rolle. Zudem ist eine Abstimmung wichtig, um Synergien zu schaffen und die zugewiesenen Mittel optimal zu nutzen.</w:t>
      </w:r>
    </w:p>
    <w:p w:rsidRPr="00412085" w:rsidR="00412085" w:rsidP="00412085" w:rsidRDefault="00412085" w14:paraId="76F00CC6" w14:textId="77777777">
      <w:pPr>
        <w:widowControl w:val="0"/>
        <w:overflowPunct w:val="0"/>
        <w:autoSpaceDE w:val="0"/>
        <w:autoSpaceDN w:val="0"/>
        <w:adjustRightInd w:val="0"/>
        <w:ind w:left="709"/>
        <w:textAlignment w:val="baseline"/>
        <w:rPr>
          <w:szCs w:val="20"/>
          <w:lang w:val="en-GB"/>
        </w:rPr>
      </w:pPr>
    </w:p>
    <w:tbl>
      <w:tblPr>
        <w:tblStyle w:val="TableGrid1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2085" w:rsidR="00412085" w:rsidTr="00863A8F" w14:paraId="679CFF37" w14:textId="77777777">
        <w:tc>
          <w:tcPr>
            <w:tcW w:w="1556" w:type="pct"/>
          </w:tcPr>
          <w:p w:rsidRPr="00412085" w:rsidR="00412085" w:rsidP="00412085" w:rsidRDefault="00412085" w14:paraId="7226FAB8" w14:textId="77777777">
            <w:pPr>
              <w:overflowPunct w:val="0"/>
              <w:autoSpaceDE w:val="0"/>
              <w:autoSpaceDN w:val="0"/>
              <w:adjustRightInd w:val="0"/>
              <w:spacing w:line="240" w:lineRule="auto"/>
              <w:textAlignment w:val="baseline"/>
              <w:rPr>
                <w:i/>
              </w:rPr>
            </w:pPr>
            <w:r>
              <w:rPr>
                <w:b/>
                <w:i/>
              </w:rPr>
              <w:t>Kontakt</w:t>
            </w:r>
          </w:p>
        </w:tc>
        <w:tc>
          <w:tcPr>
            <w:tcW w:w="3444" w:type="pct"/>
          </w:tcPr>
          <w:p w:rsidRPr="00412085" w:rsidR="00412085" w:rsidP="00412085" w:rsidRDefault="00412085" w14:paraId="5C6D492C" w14:textId="77777777">
            <w:pPr>
              <w:overflowPunct w:val="0"/>
              <w:autoSpaceDE w:val="0"/>
              <w:autoSpaceDN w:val="0"/>
              <w:adjustRightInd w:val="0"/>
              <w:spacing w:line="240" w:lineRule="auto"/>
              <w:textAlignment w:val="baseline"/>
              <w:rPr>
                <w:i/>
              </w:rPr>
            </w:pPr>
            <w:r>
              <w:rPr>
                <w:i/>
              </w:rPr>
              <w:t>Tzonka Iotzova</w:t>
            </w:r>
          </w:p>
        </w:tc>
      </w:tr>
      <w:tr w:rsidRPr="00412085" w:rsidR="00412085" w:rsidTr="00863A8F" w14:paraId="425EFC6E" w14:textId="77777777">
        <w:tc>
          <w:tcPr>
            <w:tcW w:w="1556" w:type="pct"/>
          </w:tcPr>
          <w:p w:rsidRPr="00412085" w:rsidR="00412085" w:rsidP="00412085" w:rsidRDefault="00412085" w14:paraId="0CF7BFD8" w14:textId="77777777">
            <w:pPr>
              <w:overflowPunct w:val="0"/>
              <w:autoSpaceDE w:val="0"/>
              <w:autoSpaceDN w:val="0"/>
              <w:adjustRightInd w:val="0"/>
              <w:spacing w:line="240" w:lineRule="auto"/>
              <w:textAlignment w:val="baseline"/>
              <w:rPr>
                <w:i/>
              </w:rPr>
            </w:pPr>
            <w:r>
              <w:rPr>
                <w:i/>
              </w:rPr>
              <w:t>Tel.</w:t>
            </w:r>
          </w:p>
        </w:tc>
        <w:tc>
          <w:tcPr>
            <w:tcW w:w="3444" w:type="pct"/>
          </w:tcPr>
          <w:p w:rsidRPr="00412085" w:rsidR="00412085" w:rsidP="00412085" w:rsidRDefault="00412085" w14:paraId="1787734D" w14:textId="1AFFF71E">
            <w:pPr>
              <w:overflowPunct w:val="0"/>
              <w:autoSpaceDE w:val="0"/>
              <w:autoSpaceDN w:val="0"/>
              <w:adjustRightInd w:val="0"/>
              <w:spacing w:line="240" w:lineRule="auto"/>
              <w:textAlignment w:val="baseline"/>
              <w:rPr>
                <w:i/>
              </w:rPr>
            </w:pPr>
            <w:r>
              <w:rPr>
                <w:i/>
              </w:rPr>
              <w:t>+32 25468978</w:t>
            </w:r>
          </w:p>
        </w:tc>
      </w:tr>
      <w:tr w:rsidRPr="00412085" w:rsidR="00412085" w:rsidTr="00863A8F" w14:paraId="0B65A427" w14:textId="77777777">
        <w:tc>
          <w:tcPr>
            <w:tcW w:w="1556" w:type="pct"/>
          </w:tcPr>
          <w:p w:rsidRPr="00412085" w:rsidR="00412085" w:rsidP="00412085" w:rsidRDefault="00412085" w14:paraId="5106EF49" w14:textId="77777777">
            <w:pPr>
              <w:overflowPunct w:val="0"/>
              <w:autoSpaceDE w:val="0"/>
              <w:autoSpaceDN w:val="0"/>
              <w:adjustRightInd w:val="0"/>
              <w:spacing w:line="240" w:lineRule="auto"/>
              <w:textAlignment w:val="baseline"/>
              <w:rPr>
                <w:i/>
              </w:rPr>
            </w:pPr>
            <w:r>
              <w:rPr>
                <w:i/>
              </w:rPr>
              <w:t>E-Mail</w:t>
            </w:r>
          </w:p>
        </w:tc>
        <w:tc>
          <w:tcPr>
            <w:tcW w:w="3444" w:type="pct"/>
          </w:tcPr>
          <w:p w:rsidRPr="00412085" w:rsidR="00412085" w:rsidP="00412085" w:rsidRDefault="005204CC" w14:paraId="1216AFDE" w14:textId="77777777">
            <w:pPr>
              <w:overflowPunct w:val="0"/>
              <w:autoSpaceDE w:val="0"/>
              <w:autoSpaceDN w:val="0"/>
              <w:adjustRightInd w:val="0"/>
              <w:spacing w:line="240" w:lineRule="auto"/>
              <w:textAlignment w:val="baseline"/>
              <w:rPr>
                <w:i/>
              </w:rPr>
            </w:pPr>
            <w:hyperlink w:history="1" r:id="rId47">
              <w:r w:rsidR="009B458F">
                <w:rPr>
                  <w:i/>
                  <w:color w:val="0000FF"/>
                  <w:u w:val="single"/>
                </w:rPr>
                <w:t>Tzonka.Iotzova@eesc.europa.eu</w:t>
              </w:r>
            </w:hyperlink>
          </w:p>
        </w:tc>
      </w:tr>
    </w:tbl>
    <w:p w:rsidR="00902A1F" w:rsidRDefault="00902A1F" w14:paraId="672A3999" w14:textId="77777777">
      <w:pPr>
        <w:spacing w:after="160" w:line="259" w:lineRule="auto"/>
        <w:jc w:val="left"/>
      </w:pPr>
      <w:r>
        <w:br w:type="page"/>
      </w:r>
    </w:p>
    <w:p w:rsidRPr="00395260" w:rsidR="00395260" w:rsidP="00643D0B" w:rsidRDefault="00395260" w14:paraId="2EEEDA1F" w14:textId="748FFCBB">
      <w:pPr>
        <w:pStyle w:val="ListParagraph"/>
        <w:numPr>
          <w:ilvl w:val="0"/>
          <w:numId w:val="42"/>
        </w:numPr>
        <w:ind w:left="426" w:hanging="426"/>
        <w:rPr>
          <w:color w:val="0000FF"/>
          <w:sz w:val="20"/>
          <w:szCs w:val="20"/>
          <w:u w:val="single"/>
        </w:rPr>
      </w:pPr>
      <w:r w:rsidRPr="00395260">
        <w:rPr>
          <w:b/>
          <w:i/>
          <w:sz w:val="28"/>
        </w:rPr>
        <w:fldChar w:fldCharType="begin"/>
      </w:r>
      <w:r w:rsidRPr="00395260">
        <w:rPr>
          <w:b/>
          <w:i/>
          <w:sz w:val="28"/>
        </w:rPr>
        <w:instrText>HYPERLINK "https://www.eesc.europa.eu/de/our-work/opinions-information-reports/opinions/democracy-africa-current-situation-and-future-perspectives-what-role-eesc"</w:instrText>
      </w:r>
      <w:r w:rsidRPr="00395260">
        <w:rPr>
          <w:b/>
          <w:i/>
          <w:sz w:val="28"/>
        </w:rPr>
        <w:fldChar w:fldCharType="separate"/>
      </w:r>
      <w:r>
        <w:rPr>
          <w:b/>
          <w:i/>
          <w:color w:val="0000FF"/>
          <w:sz w:val="28"/>
          <w:u w:val="single"/>
        </w:rPr>
        <w:t>Demokratie in Afrika – aktuelle Lage und Aussichten für die Zukunft: möglicher Beitrag des EWSA</w:t>
      </w:r>
    </w:p>
    <w:p w:rsidRPr="00395260" w:rsidR="00395260" w:rsidP="00896D61" w:rsidRDefault="00395260" w14:paraId="1C329E5F" w14:textId="77777777">
      <w:pPr>
        <w:tabs>
          <w:tab w:val="center" w:pos="284"/>
        </w:tabs>
        <w:overflowPunct w:val="0"/>
        <w:autoSpaceDE w:val="0"/>
        <w:autoSpaceDN w:val="0"/>
        <w:adjustRightInd w:val="0"/>
        <w:ind w:left="426" w:hanging="426"/>
        <w:textAlignment w:val="baseline"/>
        <w:rPr>
          <w:b/>
        </w:rPr>
      </w:pPr>
      <w:r w:rsidRPr="00395260">
        <w:rPr>
          <w:b/>
          <w:i/>
          <w:sz w:val="28"/>
        </w:rPr>
        <w:fldChar w:fldCharType="end"/>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395260" w:rsidR="00395260" w:rsidTr="00863A8F" w14:paraId="322608AD" w14:textId="77777777">
        <w:tc>
          <w:tcPr>
            <w:tcW w:w="1591" w:type="pct"/>
          </w:tcPr>
          <w:p w:rsidRPr="00395260" w:rsidR="00395260" w:rsidP="00643D0B" w:rsidRDefault="00395260" w14:paraId="5CF26472" w14:textId="77777777">
            <w:pPr>
              <w:tabs>
                <w:tab w:val="center" w:pos="284"/>
              </w:tabs>
              <w:overflowPunct w:val="0"/>
              <w:autoSpaceDE w:val="0"/>
              <w:autoSpaceDN w:val="0"/>
              <w:adjustRightInd w:val="0"/>
              <w:spacing w:line="240" w:lineRule="auto"/>
              <w:ind w:left="266" w:hanging="266"/>
              <w:textAlignment w:val="baseline"/>
              <w:rPr>
                <w:b/>
              </w:rPr>
            </w:pPr>
            <w:r>
              <w:rPr>
                <w:b/>
              </w:rPr>
              <w:t>Berichterstatter</w:t>
            </w:r>
          </w:p>
          <w:p w:rsidRPr="00395260" w:rsidR="00395260" w:rsidP="00643D0B" w:rsidRDefault="00395260" w14:paraId="5A04639F" w14:textId="77777777">
            <w:pPr>
              <w:tabs>
                <w:tab w:val="center" w:pos="284"/>
              </w:tabs>
              <w:overflowPunct w:val="0"/>
              <w:autoSpaceDE w:val="0"/>
              <w:autoSpaceDN w:val="0"/>
              <w:adjustRightInd w:val="0"/>
              <w:spacing w:line="240" w:lineRule="auto"/>
              <w:ind w:left="266" w:hanging="266"/>
              <w:textAlignment w:val="baseline"/>
              <w:rPr>
                <w:b/>
              </w:rPr>
            </w:pPr>
          </w:p>
        </w:tc>
        <w:tc>
          <w:tcPr>
            <w:tcW w:w="3409" w:type="pct"/>
          </w:tcPr>
          <w:p w:rsidRPr="00395260" w:rsidR="00395260" w:rsidP="00643D0B" w:rsidRDefault="00395260" w14:paraId="756EAE6A" w14:textId="52DF9309">
            <w:pPr>
              <w:tabs>
                <w:tab w:val="center" w:pos="284"/>
              </w:tabs>
              <w:overflowPunct w:val="0"/>
              <w:autoSpaceDE w:val="0"/>
              <w:autoSpaceDN w:val="0"/>
              <w:adjustRightInd w:val="0"/>
              <w:spacing w:line="240" w:lineRule="auto"/>
              <w:ind w:left="266" w:hanging="266"/>
              <w:textAlignment w:val="baseline"/>
            </w:pPr>
            <w:r>
              <w:t>Carlos TRINDADE (Gruppe Arbeitnehmer – PT)</w:t>
            </w:r>
          </w:p>
        </w:tc>
      </w:tr>
      <w:tr w:rsidRPr="00395260" w:rsidR="00395260" w:rsidTr="00863A8F" w14:paraId="24ECAD0B" w14:textId="77777777">
        <w:tc>
          <w:tcPr>
            <w:tcW w:w="5000" w:type="pct"/>
            <w:gridSpan w:val="2"/>
          </w:tcPr>
          <w:p w:rsidRPr="00395260" w:rsidR="00395260" w:rsidP="00643D0B" w:rsidRDefault="00395260" w14:paraId="7827AB89" w14:textId="77777777">
            <w:pPr>
              <w:tabs>
                <w:tab w:val="center" w:pos="284"/>
              </w:tabs>
              <w:overflowPunct w:val="0"/>
              <w:autoSpaceDE w:val="0"/>
              <w:autoSpaceDN w:val="0"/>
              <w:adjustRightInd w:val="0"/>
              <w:spacing w:line="240" w:lineRule="auto"/>
              <w:ind w:left="266" w:hanging="266"/>
              <w:textAlignment w:val="baseline"/>
            </w:pPr>
          </w:p>
        </w:tc>
      </w:tr>
      <w:tr w:rsidRPr="00395260" w:rsidR="00395260" w:rsidTr="00863A8F" w14:paraId="479F66E3" w14:textId="77777777">
        <w:tc>
          <w:tcPr>
            <w:tcW w:w="1591" w:type="pct"/>
            <w:vMerge w:val="restart"/>
          </w:tcPr>
          <w:p w:rsidRPr="00395260" w:rsidR="00395260" w:rsidP="00643D0B" w:rsidRDefault="00395260" w14:paraId="26B745A8" w14:textId="77777777">
            <w:pPr>
              <w:tabs>
                <w:tab w:val="center" w:pos="284"/>
              </w:tabs>
              <w:overflowPunct w:val="0"/>
              <w:autoSpaceDE w:val="0"/>
              <w:autoSpaceDN w:val="0"/>
              <w:adjustRightInd w:val="0"/>
              <w:spacing w:line="240" w:lineRule="auto"/>
              <w:ind w:left="266" w:hanging="266"/>
              <w:textAlignment w:val="baseline"/>
              <w:rPr>
                <w:b/>
              </w:rPr>
            </w:pPr>
            <w:r>
              <w:rPr>
                <w:b/>
              </w:rPr>
              <w:t>Referenzdokument</w:t>
            </w:r>
          </w:p>
        </w:tc>
        <w:tc>
          <w:tcPr>
            <w:tcW w:w="3409" w:type="pct"/>
          </w:tcPr>
          <w:p w:rsidR="006C1C6C" w:rsidP="00643D0B" w:rsidRDefault="006C1C6C" w14:paraId="45C32250" w14:textId="69B9E8B2">
            <w:pPr>
              <w:tabs>
                <w:tab w:val="center" w:pos="284"/>
              </w:tabs>
              <w:overflowPunct w:val="0"/>
              <w:autoSpaceDE w:val="0"/>
              <w:autoSpaceDN w:val="0"/>
              <w:adjustRightInd w:val="0"/>
              <w:spacing w:line="240" w:lineRule="auto"/>
              <w:ind w:left="266" w:hanging="266"/>
              <w:textAlignment w:val="baseline"/>
            </w:pPr>
            <w:r>
              <w:t>Initiativstellungnahme</w:t>
            </w:r>
          </w:p>
          <w:p w:rsidRPr="00395260" w:rsidR="00395260" w:rsidP="00643D0B" w:rsidRDefault="00395260" w14:paraId="5FF7FC85" w14:textId="58AEF7E9">
            <w:pPr>
              <w:tabs>
                <w:tab w:val="center" w:pos="284"/>
              </w:tabs>
              <w:overflowPunct w:val="0"/>
              <w:autoSpaceDE w:val="0"/>
              <w:autoSpaceDN w:val="0"/>
              <w:adjustRightInd w:val="0"/>
              <w:spacing w:line="240" w:lineRule="auto"/>
              <w:ind w:left="266" w:hanging="266"/>
              <w:textAlignment w:val="baseline"/>
            </w:pPr>
            <w:r>
              <w:t>EESC-2024-01631-00-00-AC</w:t>
            </w:r>
          </w:p>
        </w:tc>
      </w:tr>
      <w:tr w:rsidRPr="00395260" w:rsidR="00395260" w:rsidTr="00863A8F" w14:paraId="2B877313" w14:textId="77777777">
        <w:tc>
          <w:tcPr>
            <w:tcW w:w="1591" w:type="pct"/>
            <w:vMerge/>
          </w:tcPr>
          <w:p w:rsidRPr="00395260" w:rsidR="00395260" w:rsidP="00395260" w:rsidRDefault="00395260" w14:paraId="493AF3DF" w14:textId="77777777">
            <w:pPr>
              <w:tabs>
                <w:tab w:val="center" w:pos="284"/>
              </w:tabs>
              <w:overflowPunct w:val="0"/>
              <w:autoSpaceDE w:val="0"/>
              <w:autoSpaceDN w:val="0"/>
              <w:adjustRightInd w:val="0"/>
              <w:ind w:left="266" w:hanging="266"/>
              <w:textAlignment w:val="baseline"/>
              <w:rPr>
                <w:b/>
              </w:rPr>
            </w:pPr>
          </w:p>
        </w:tc>
        <w:tc>
          <w:tcPr>
            <w:tcW w:w="3409" w:type="pct"/>
          </w:tcPr>
          <w:p w:rsidRPr="00395260" w:rsidR="00395260" w:rsidP="00395260" w:rsidRDefault="00395260" w14:paraId="75AA90F1" w14:textId="77777777">
            <w:pPr>
              <w:tabs>
                <w:tab w:val="center" w:pos="284"/>
              </w:tabs>
              <w:overflowPunct w:val="0"/>
              <w:autoSpaceDE w:val="0"/>
              <w:autoSpaceDN w:val="0"/>
              <w:adjustRightInd w:val="0"/>
              <w:ind w:left="266" w:hanging="266"/>
              <w:textAlignment w:val="baseline"/>
            </w:pPr>
          </w:p>
        </w:tc>
      </w:tr>
    </w:tbl>
    <w:p w:rsidRPr="00395260" w:rsidR="00395260" w:rsidP="00395260" w:rsidRDefault="00395260" w14:paraId="3CBD5463"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395260" w:rsidR="00395260" w:rsidP="00395260" w:rsidRDefault="00395260" w14:paraId="465B3A8C" w14:textId="77777777">
      <w:pPr>
        <w:keepNext/>
        <w:keepLines/>
        <w:tabs>
          <w:tab w:val="center" w:pos="284"/>
        </w:tabs>
        <w:overflowPunct w:val="0"/>
        <w:autoSpaceDE w:val="0"/>
        <w:autoSpaceDN w:val="0"/>
        <w:adjustRightInd w:val="0"/>
        <w:ind w:left="266" w:hanging="266"/>
        <w:textAlignment w:val="baseline"/>
        <w:rPr>
          <w:b/>
          <w:lang w:val="en-GB"/>
        </w:rPr>
      </w:pPr>
    </w:p>
    <w:p w:rsidRPr="00395260" w:rsidR="00395260" w:rsidP="00395260" w:rsidRDefault="00395260" w14:paraId="34E1EBDF" w14:textId="77777777">
      <w:pPr>
        <w:overflowPunct w:val="0"/>
        <w:autoSpaceDE w:val="0"/>
        <w:autoSpaceDN w:val="0"/>
        <w:adjustRightInd w:val="0"/>
        <w:textAlignment w:val="baseline"/>
        <w:rPr>
          <w:bCs/>
          <w:iCs/>
        </w:rPr>
      </w:pPr>
      <w:r>
        <w:t>Der EWSA</w:t>
      </w:r>
    </w:p>
    <w:p w:rsidRPr="00395260" w:rsidR="00395260" w:rsidP="00E21ECD" w:rsidRDefault="00395260" w14:paraId="7A0C60DF" w14:textId="77777777">
      <w:pPr>
        <w:widowControl w:val="0"/>
        <w:numPr>
          <w:ilvl w:val="0"/>
          <w:numId w:val="41"/>
        </w:numPr>
        <w:overflowPunct w:val="0"/>
        <w:autoSpaceDE w:val="0"/>
        <w:autoSpaceDN w:val="0"/>
        <w:adjustRightInd w:val="0"/>
        <w:ind w:left="709" w:right="283" w:hanging="425"/>
        <w:textAlignment w:val="baseline"/>
        <w:rPr>
          <w:bCs/>
          <w:iCs/>
        </w:rPr>
      </w:pPr>
      <w:r>
        <w:t xml:space="preserve">ist der Ansicht, dass </w:t>
      </w:r>
      <w:r>
        <w:rPr>
          <w:b/>
          <w:bCs/>
        </w:rPr>
        <w:t>Demokratie</w:t>
      </w:r>
      <w:r>
        <w:t xml:space="preserve"> Folgendes erfordert: die </w:t>
      </w:r>
      <w:r>
        <w:rPr>
          <w:b/>
          <w:bCs/>
        </w:rPr>
        <w:t>Achtung der Menschenrechte</w:t>
      </w:r>
      <w:r>
        <w:t xml:space="preserve">, </w:t>
      </w:r>
      <w:r>
        <w:rPr>
          <w:b/>
          <w:bCs/>
        </w:rPr>
        <w:t>starke Institutionen</w:t>
      </w:r>
      <w:r>
        <w:t xml:space="preserve">, </w:t>
      </w:r>
      <w:r>
        <w:rPr>
          <w:b/>
          <w:bCs/>
        </w:rPr>
        <w:t>Gewaltenteilung</w:t>
      </w:r>
      <w:r>
        <w:t xml:space="preserve">, Rechtsstaatlichkeit und eine unabhängige Justiz, </w:t>
      </w:r>
      <w:r>
        <w:rPr>
          <w:b/>
          <w:bCs/>
        </w:rPr>
        <w:t>freie und faire Wahlen</w:t>
      </w:r>
      <w:r>
        <w:t xml:space="preserve">, </w:t>
      </w:r>
      <w:r>
        <w:rPr>
          <w:b/>
          <w:bCs/>
        </w:rPr>
        <w:t>Rechenschaftspflicht gegenüber den Bürgerinnen und Bürgern</w:t>
      </w:r>
      <w:r>
        <w:t xml:space="preserve">, das </w:t>
      </w:r>
      <w:r>
        <w:rPr>
          <w:b/>
          <w:bCs/>
        </w:rPr>
        <w:t>Recht auf uneingeschränkte Teilhabe</w:t>
      </w:r>
      <w:r>
        <w:t xml:space="preserve"> sowie die </w:t>
      </w:r>
      <w:r>
        <w:rPr>
          <w:b/>
          <w:bCs/>
        </w:rPr>
        <w:t>Bekämpfung von Diskriminierung</w:t>
      </w:r>
      <w:r>
        <w:t>;</w:t>
      </w:r>
    </w:p>
    <w:p w:rsidRPr="00395260" w:rsidR="00395260" w:rsidP="00E21ECD" w:rsidRDefault="00395260" w14:paraId="47ED3316" w14:textId="77777777">
      <w:pPr>
        <w:widowControl w:val="0"/>
        <w:numPr>
          <w:ilvl w:val="0"/>
          <w:numId w:val="41"/>
        </w:numPr>
        <w:overflowPunct w:val="0"/>
        <w:autoSpaceDE w:val="0"/>
        <w:autoSpaceDN w:val="0"/>
        <w:adjustRightInd w:val="0"/>
        <w:ind w:left="709" w:right="283" w:hanging="425"/>
        <w:textAlignment w:val="baseline"/>
        <w:rPr>
          <w:bCs/>
          <w:iCs/>
        </w:rPr>
      </w:pPr>
      <w:r>
        <w:t xml:space="preserve">begrüßt, dass </w:t>
      </w:r>
      <w:r>
        <w:rPr>
          <w:b/>
        </w:rPr>
        <w:t>sich die Afrikanische Union</w:t>
      </w:r>
      <w:r>
        <w:t xml:space="preserve"> im Rahmen ihrer Agenda 2063 </w:t>
      </w:r>
      <w:r>
        <w:rPr>
          <w:b/>
          <w:bCs/>
        </w:rPr>
        <w:t>zu den demokratischen Werte und zur Förderung der Demokratie bekennt</w:t>
      </w:r>
      <w:r>
        <w:t>;</w:t>
      </w:r>
    </w:p>
    <w:p w:rsidRPr="00395260" w:rsidR="00395260" w:rsidP="00E21ECD" w:rsidRDefault="00395260" w14:paraId="71CDB85E" w14:textId="77777777">
      <w:pPr>
        <w:widowControl w:val="0"/>
        <w:numPr>
          <w:ilvl w:val="0"/>
          <w:numId w:val="41"/>
        </w:numPr>
        <w:overflowPunct w:val="0"/>
        <w:autoSpaceDE w:val="0"/>
        <w:autoSpaceDN w:val="0"/>
        <w:adjustRightInd w:val="0"/>
        <w:ind w:left="709" w:right="283" w:hanging="425"/>
        <w:textAlignment w:val="baseline"/>
        <w:rPr>
          <w:bCs/>
          <w:iCs/>
        </w:rPr>
      </w:pPr>
      <w:r>
        <w:t xml:space="preserve">begrüßt die </w:t>
      </w:r>
      <w:r>
        <w:rPr>
          <w:b/>
          <w:bCs/>
        </w:rPr>
        <w:t>Demokratiebestrebungen in Afrika</w:t>
      </w:r>
      <w:r>
        <w:t xml:space="preserve"> und das </w:t>
      </w:r>
      <w:r>
        <w:rPr>
          <w:b/>
          <w:bCs/>
        </w:rPr>
        <w:t>Engagement der afrikanischen Bürgerinnen und Bürger für diesen Kurs</w:t>
      </w:r>
      <w:r>
        <w:t xml:space="preserve"> sowie die Unterstützung der Bevölkerung für die Demokratie, auch wenn diese in den letzten zehn Jahren gelitten hat;</w:t>
      </w:r>
    </w:p>
    <w:p w:rsidRPr="00395260" w:rsidR="00395260" w:rsidP="00E21ECD" w:rsidRDefault="00395260" w14:paraId="7C26E522" w14:textId="77777777">
      <w:pPr>
        <w:widowControl w:val="0"/>
        <w:numPr>
          <w:ilvl w:val="0"/>
          <w:numId w:val="41"/>
        </w:numPr>
        <w:overflowPunct w:val="0"/>
        <w:autoSpaceDE w:val="0"/>
        <w:autoSpaceDN w:val="0"/>
        <w:adjustRightInd w:val="0"/>
        <w:ind w:left="709" w:right="283" w:hanging="425"/>
        <w:textAlignment w:val="baseline"/>
        <w:rPr>
          <w:bCs/>
          <w:iCs/>
        </w:rPr>
      </w:pPr>
      <w:r>
        <w:t xml:space="preserve">fordert die EU-Institutionen auf, ihre </w:t>
      </w:r>
      <w:r>
        <w:rPr>
          <w:b/>
        </w:rPr>
        <w:t>Zusammenarbeit zur Förderung der Demokratie und zur Stärkung des Vertrauens und der Beteiligung der Menschen an der Ausgestaltung der Demokratie</w:t>
      </w:r>
      <w:r>
        <w:t xml:space="preserve"> sowie zur </w:t>
      </w:r>
      <w:r>
        <w:rPr>
          <w:b/>
          <w:bCs/>
        </w:rPr>
        <w:t>Unterstützung der Zivilgesellschaft</w:t>
      </w:r>
      <w:r>
        <w:t xml:space="preserve"> auszubauen;</w:t>
      </w:r>
    </w:p>
    <w:p w:rsidRPr="00395260" w:rsidR="00395260" w:rsidP="00E21ECD" w:rsidRDefault="00395260" w14:paraId="7B313445" w14:textId="77777777">
      <w:pPr>
        <w:widowControl w:val="0"/>
        <w:numPr>
          <w:ilvl w:val="0"/>
          <w:numId w:val="41"/>
        </w:numPr>
        <w:overflowPunct w:val="0"/>
        <w:autoSpaceDE w:val="0"/>
        <w:autoSpaceDN w:val="0"/>
        <w:adjustRightInd w:val="0"/>
        <w:ind w:left="709" w:right="283" w:hanging="425"/>
        <w:textAlignment w:val="baseline"/>
        <w:rPr>
          <w:bCs/>
          <w:iCs/>
        </w:rPr>
      </w:pPr>
      <w:r>
        <w:t xml:space="preserve">ist der Ansicht, dass der von der EU verfolgte Ansatz auf einer </w:t>
      </w:r>
      <w:r>
        <w:rPr>
          <w:b/>
          <w:bCs/>
        </w:rPr>
        <w:t>gleichberechtigten Partnerschaft</w:t>
      </w:r>
      <w:r>
        <w:t xml:space="preserve"> basieren und der </w:t>
      </w:r>
      <w:r>
        <w:rPr>
          <w:b/>
          <w:bCs/>
        </w:rPr>
        <w:t>Komplexität des Kontinents</w:t>
      </w:r>
      <w:r>
        <w:t xml:space="preserve"> in puncto wirtschaftliche Entwicklung, sozialer Fortschritt, Stand der kritischen Infrastrukturen, Vielfalt sowie geopolitische und strategische Interessen Rechnung tragen muss;</w:t>
      </w:r>
    </w:p>
    <w:p w:rsidRPr="00395260" w:rsidR="00395260" w:rsidP="00E21ECD" w:rsidRDefault="00395260" w14:paraId="29AF4310" w14:textId="77777777">
      <w:pPr>
        <w:widowControl w:val="0"/>
        <w:numPr>
          <w:ilvl w:val="0"/>
          <w:numId w:val="41"/>
        </w:numPr>
        <w:overflowPunct w:val="0"/>
        <w:autoSpaceDE w:val="0"/>
        <w:autoSpaceDN w:val="0"/>
        <w:adjustRightInd w:val="0"/>
        <w:ind w:left="709" w:right="283" w:hanging="425"/>
        <w:textAlignment w:val="baseline"/>
        <w:rPr>
          <w:bCs/>
          <w:iCs/>
        </w:rPr>
      </w:pPr>
      <w:r>
        <w:t xml:space="preserve">ist der Ansicht, dass die </w:t>
      </w:r>
      <w:r>
        <w:rPr>
          <w:b/>
          <w:bCs/>
        </w:rPr>
        <w:t>Global-Gateway-Strategie von großer Bedeutung für die Beziehungen zwischen der EU und Afrika</w:t>
      </w:r>
      <w:r>
        <w:t xml:space="preserve"> ist, und bekräftigt seine Absicht, die wirtschaftlichen und politischen Beziehungen unter Achtung der demokratischen und sozialen Grundsätze zu stärken;</w:t>
      </w:r>
    </w:p>
    <w:p w:rsidRPr="00395260" w:rsidR="00395260" w:rsidP="00E21ECD" w:rsidRDefault="00395260" w14:paraId="43AC8A5D" w14:textId="77777777">
      <w:pPr>
        <w:widowControl w:val="0"/>
        <w:numPr>
          <w:ilvl w:val="0"/>
          <w:numId w:val="41"/>
        </w:numPr>
        <w:overflowPunct w:val="0"/>
        <w:autoSpaceDE w:val="0"/>
        <w:autoSpaceDN w:val="0"/>
        <w:adjustRightInd w:val="0"/>
        <w:ind w:left="709" w:right="283" w:hanging="425"/>
        <w:textAlignment w:val="baseline"/>
        <w:rPr>
          <w:bCs/>
          <w:iCs/>
        </w:rPr>
      </w:pPr>
      <w:r>
        <w:t xml:space="preserve">ist fest davon überzeugt, dass er mit seiner Erfahrung und in Zusammenarbeit mit anerkannten Vertretern der afrikanischen Zivilgesellschaft, einschließlich der Sozialpartner, dazu beitragen kann, </w:t>
      </w:r>
      <w:r>
        <w:rPr>
          <w:b/>
        </w:rPr>
        <w:t>die demokratischen Werte, die Menschenrechte und den zivilen, sozialen und politischen Dialog zu fördern</w:t>
      </w:r>
      <w:r>
        <w:t xml:space="preserve"> und diese insbesondere im Rahmen der im Samoa-Abkommen vorgesehenen institutionellen Mechanismen für die Beteiligung der Zivilgesellschaft zu stärken;</w:t>
      </w:r>
    </w:p>
    <w:p w:rsidRPr="00395260" w:rsidR="00395260" w:rsidP="00E21ECD" w:rsidRDefault="00395260" w14:paraId="4D44EB8C" w14:textId="77777777">
      <w:pPr>
        <w:widowControl w:val="0"/>
        <w:numPr>
          <w:ilvl w:val="0"/>
          <w:numId w:val="41"/>
        </w:numPr>
        <w:overflowPunct w:val="0"/>
        <w:autoSpaceDE w:val="0"/>
        <w:autoSpaceDN w:val="0"/>
        <w:adjustRightInd w:val="0"/>
        <w:ind w:left="709" w:right="283" w:hanging="425"/>
        <w:textAlignment w:val="baseline"/>
        <w:rPr>
          <w:bCs/>
          <w:iCs/>
        </w:rPr>
      </w:pPr>
      <w:r>
        <w:t xml:space="preserve">wird seine Maßnahmen zur </w:t>
      </w:r>
      <w:r>
        <w:rPr>
          <w:b/>
          <w:bCs/>
        </w:rPr>
        <w:t>Förderung und Unterstützung afrikanischer Organisationen der Zivilgesellschaft und der Sozialpartner fortsetzen und verbessern. Er wird sie dabei unterstützen, sich zu etablieren und zu organisieren sowie zu agieren, indem er an der Stärkung ihrer institutionellen Kapazitäten mitwirkt,</w:t>
      </w:r>
      <w:r>
        <w:t xml:space="preserve"> um so zur Verwirklichung des Ziels der EU einer widerstandsfähigen Demokratie in Afrika beizutragen;</w:t>
      </w:r>
    </w:p>
    <w:p w:rsidRPr="00395260" w:rsidR="00395260" w:rsidP="00E21ECD" w:rsidRDefault="00395260" w14:paraId="680D4AED" w14:textId="77777777">
      <w:pPr>
        <w:widowControl w:val="0"/>
        <w:numPr>
          <w:ilvl w:val="0"/>
          <w:numId w:val="41"/>
        </w:numPr>
        <w:overflowPunct w:val="0"/>
        <w:autoSpaceDE w:val="0"/>
        <w:autoSpaceDN w:val="0"/>
        <w:adjustRightInd w:val="0"/>
        <w:ind w:left="709" w:right="283" w:hanging="425"/>
        <w:textAlignment w:val="baseline"/>
        <w:rPr>
          <w:bCs/>
          <w:iCs/>
        </w:rPr>
      </w:pPr>
      <w:r>
        <w:t xml:space="preserve">wird sich bei seinem Handeln davon leiten lassen, dass </w:t>
      </w:r>
      <w:r>
        <w:rPr>
          <w:b/>
          <w:bCs/>
        </w:rPr>
        <w:t>die Förderung der bürgerlichen, politischen, sozialen, wirtschaftlichen und kulturellen Rechte sowie Wirtschaftswachstum und sozialer Fortschritt untrennbar miteinander verbunden sind</w:t>
      </w:r>
      <w:r>
        <w:t>;</w:t>
      </w:r>
    </w:p>
    <w:p w:rsidRPr="00395260" w:rsidR="00395260" w:rsidP="00E21ECD" w:rsidRDefault="00395260" w14:paraId="6100439B" w14:textId="77777777">
      <w:pPr>
        <w:widowControl w:val="0"/>
        <w:numPr>
          <w:ilvl w:val="0"/>
          <w:numId w:val="41"/>
        </w:numPr>
        <w:overflowPunct w:val="0"/>
        <w:autoSpaceDE w:val="0"/>
        <w:autoSpaceDN w:val="0"/>
        <w:adjustRightInd w:val="0"/>
        <w:ind w:left="709" w:right="283" w:hanging="425"/>
        <w:textAlignment w:val="baseline"/>
        <w:rPr>
          <w:bCs/>
          <w:iCs/>
        </w:rPr>
      </w:pPr>
      <w:r>
        <w:t xml:space="preserve">begrüßt außerordentlich die Unterzeichnung der </w:t>
      </w:r>
      <w:r>
        <w:rPr>
          <w:b/>
        </w:rPr>
        <w:t>Vereinbarung zwischen dem EWSA und dem Wirtschafts-, Sozial- und Kulturrat der Afrikanischen Union</w:t>
      </w:r>
      <w:r>
        <w:t xml:space="preserve"> und betrachtet diese als sehr wichtigen Schritt für einen</w:t>
      </w:r>
      <w:r>
        <w:rPr>
          <w:b/>
          <w:bCs/>
        </w:rPr>
        <w:t xml:space="preserve"> stärkeren Beitrag der Zivilgesellschaft zur Partnerschaft EU-Afrika</w:t>
      </w:r>
      <w:r>
        <w:t>.</w:t>
      </w:r>
    </w:p>
    <w:p w:rsidRPr="00395260" w:rsidR="00395260" w:rsidP="00E21ECD" w:rsidRDefault="00395260" w14:paraId="622E8585" w14:textId="77777777">
      <w:pPr>
        <w:widowControl w:val="0"/>
        <w:overflowPunct w:val="0"/>
        <w:autoSpaceDE w:val="0"/>
        <w:autoSpaceDN w:val="0"/>
        <w:adjustRightInd w:val="0"/>
        <w:ind w:left="709" w:right="283" w:hanging="425"/>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395260" w:rsidR="00395260" w:rsidTr="00863A8F" w14:paraId="260B4AB8" w14:textId="77777777">
        <w:tc>
          <w:tcPr>
            <w:tcW w:w="1556" w:type="pct"/>
          </w:tcPr>
          <w:p w:rsidRPr="00395260" w:rsidR="00395260" w:rsidP="00395260" w:rsidRDefault="00395260" w14:paraId="2DC534F5" w14:textId="77777777">
            <w:pPr>
              <w:overflowPunct w:val="0"/>
              <w:autoSpaceDE w:val="0"/>
              <w:autoSpaceDN w:val="0"/>
              <w:adjustRightInd w:val="0"/>
              <w:spacing w:line="240" w:lineRule="auto"/>
              <w:textAlignment w:val="baseline"/>
              <w:rPr>
                <w:i/>
              </w:rPr>
            </w:pPr>
            <w:r>
              <w:rPr>
                <w:b/>
                <w:i/>
              </w:rPr>
              <w:t>Kontakt</w:t>
            </w:r>
          </w:p>
        </w:tc>
        <w:tc>
          <w:tcPr>
            <w:tcW w:w="3444" w:type="pct"/>
          </w:tcPr>
          <w:p w:rsidRPr="00395260" w:rsidR="00395260" w:rsidP="00395260" w:rsidRDefault="00395260" w14:paraId="018D553A" w14:textId="77777777">
            <w:pPr>
              <w:overflowPunct w:val="0"/>
              <w:autoSpaceDE w:val="0"/>
              <w:autoSpaceDN w:val="0"/>
              <w:adjustRightInd w:val="0"/>
              <w:spacing w:line="240" w:lineRule="auto"/>
              <w:textAlignment w:val="baseline"/>
              <w:rPr>
                <w:i/>
              </w:rPr>
            </w:pPr>
            <w:r>
              <w:rPr>
                <w:i/>
              </w:rPr>
              <w:t>Charlotte Rive</w:t>
            </w:r>
          </w:p>
        </w:tc>
      </w:tr>
      <w:tr w:rsidRPr="00395260" w:rsidR="00395260" w:rsidTr="00863A8F" w14:paraId="2A69D17A" w14:textId="77777777">
        <w:tc>
          <w:tcPr>
            <w:tcW w:w="1556" w:type="pct"/>
          </w:tcPr>
          <w:p w:rsidRPr="00395260" w:rsidR="00395260" w:rsidP="00395260" w:rsidRDefault="00395260" w14:paraId="1A3E349D" w14:textId="77777777">
            <w:pPr>
              <w:overflowPunct w:val="0"/>
              <w:autoSpaceDE w:val="0"/>
              <w:autoSpaceDN w:val="0"/>
              <w:adjustRightInd w:val="0"/>
              <w:spacing w:line="240" w:lineRule="auto"/>
              <w:textAlignment w:val="baseline"/>
              <w:rPr>
                <w:i/>
              </w:rPr>
            </w:pPr>
            <w:r>
              <w:rPr>
                <w:i/>
              </w:rPr>
              <w:t>Tel.</w:t>
            </w:r>
          </w:p>
        </w:tc>
        <w:tc>
          <w:tcPr>
            <w:tcW w:w="3444" w:type="pct"/>
          </w:tcPr>
          <w:p w:rsidRPr="00395260" w:rsidR="00395260" w:rsidP="00395260" w:rsidRDefault="00395260" w14:paraId="5F7519C0" w14:textId="4B699A9B">
            <w:pPr>
              <w:overflowPunct w:val="0"/>
              <w:autoSpaceDE w:val="0"/>
              <w:autoSpaceDN w:val="0"/>
              <w:adjustRightInd w:val="0"/>
              <w:spacing w:line="240" w:lineRule="auto"/>
              <w:textAlignment w:val="baseline"/>
              <w:rPr>
                <w:i/>
              </w:rPr>
            </w:pPr>
            <w:r>
              <w:rPr>
                <w:i/>
              </w:rPr>
              <w:t>+32 25469388</w:t>
            </w:r>
          </w:p>
        </w:tc>
      </w:tr>
      <w:tr w:rsidRPr="00395260" w:rsidR="00395260" w:rsidTr="00863A8F" w14:paraId="1A56B5AA" w14:textId="77777777">
        <w:tc>
          <w:tcPr>
            <w:tcW w:w="1556" w:type="pct"/>
          </w:tcPr>
          <w:p w:rsidRPr="00395260" w:rsidR="00395260" w:rsidP="00395260" w:rsidRDefault="00697BE1" w14:paraId="3895F4B6" w14:textId="2D5D1AE7">
            <w:pPr>
              <w:overflowPunct w:val="0"/>
              <w:autoSpaceDE w:val="0"/>
              <w:autoSpaceDN w:val="0"/>
              <w:adjustRightInd w:val="0"/>
              <w:spacing w:line="240" w:lineRule="auto"/>
              <w:textAlignment w:val="baseline"/>
              <w:rPr>
                <w:i/>
              </w:rPr>
            </w:pPr>
            <w:r>
              <w:rPr>
                <w:i/>
              </w:rPr>
              <w:t>E-Mail</w:t>
            </w:r>
          </w:p>
        </w:tc>
        <w:tc>
          <w:tcPr>
            <w:tcW w:w="3444" w:type="pct"/>
          </w:tcPr>
          <w:p w:rsidRPr="00395260" w:rsidR="00395260" w:rsidP="00395260" w:rsidRDefault="005204CC" w14:paraId="6BD9B737" w14:textId="77777777">
            <w:pPr>
              <w:overflowPunct w:val="0"/>
              <w:autoSpaceDE w:val="0"/>
              <w:autoSpaceDN w:val="0"/>
              <w:adjustRightInd w:val="0"/>
              <w:spacing w:line="240" w:lineRule="auto"/>
              <w:textAlignment w:val="baseline"/>
              <w:rPr>
                <w:i/>
              </w:rPr>
            </w:pPr>
            <w:hyperlink w:history="1" r:id="rId48">
              <w:r w:rsidR="009B458F">
                <w:rPr>
                  <w:i/>
                  <w:color w:val="0000FF"/>
                  <w:u w:val="single"/>
                </w:rPr>
                <w:t>Charlotte.Rive@eesc.europa.eu</w:t>
              </w:r>
            </w:hyperlink>
          </w:p>
        </w:tc>
      </w:tr>
    </w:tbl>
    <w:p w:rsidR="00902A1F" w:rsidRDefault="00902A1F" w14:paraId="1239F9AF" w14:textId="77777777">
      <w:pPr>
        <w:spacing w:after="160" w:line="259" w:lineRule="auto"/>
        <w:jc w:val="left"/>
      </w:pPr>
      <w:r>
        <w:br w:type="page"/>
      </w:r>
    </w:p>
    <w:p w:rsidRPr="006D2C8A" w:rsidR="006D2C8A" w:rsidP="006D6D4E" w:rsidRDefault="006D2C8A" w14:paraId="528C73AA" w14:textId="46DE726B">
      <w:pPr>
        <w:pStyle w:val="Heading1"/>
        <w:keepNext/>
        <w:keepLines/>
        <w:rPr>
          <w:b/>
        </w:rPr>
      </w:pPr>
      <w:bookmarkStart w:name="_Toc184973457" w:id="30"/>
      <w:r>
        <w:rPr>
          <w:b/>
          <w:color w:val="222A35" w:themeColor="text2" w:themeShade="80"/>
        </w:rPr>
        <w:t>BERATENDE KOMMISSION FÜR DEN INDUSTRIELLEN WANDEL</w:t>
      </w:r>
      <w:bookmarkEnd w:id="30"/>
    </w:p>
    <w:p w:rsidR="006D2C8A" w:rsidP="006D6D4E" w:rsidRDefault="006D2C8A" w14:paraId="713E272F" w14:textId="77777777">
      <w:pPr>
        <w:keepNext/>
        <w:keepLines/>
      </w:pPr>
    </w:p>
    <w:p w:rsidRPr="001C59D9" w:rsidR="001C59D9" w:rsidP="00B61E90" w:rsidRDefault="005204CC" w14:paraId="370A3F01" w14:textId="50B0D282">
      <w:pPr>
        <w:widowControl w:val="0"/>
        <w:numPr>
          <w:ilvl w:val="0"/>
          <w:numId w:val="6"/>
        </w:numPr>
        <w:overflowPunct w:val="0"/>
        <w:autoSpaceDE w:val="0"/>
        <w:autoSpaceDN w:val="0"/>
        <w:adjustRightInd w:val="0"/>
        <w:ind w:left="709" w:hanging="709"/>
        <w:textAlignment w:val="baseline"/>
        <w:rPr>
          <w:b/>
        </w:rPr>
      </w:pPr>
      <w:hyperlink w:history="1" r:id="rId49">
        <w:r w:rsidR="009B458F">
          <w:rPr>
            <w:b/>
            <w:i/>
            <w:color w:val="0000FF"/>
            <w:sz w:val="28"/>
            <w:u w:val="single"/>
            <w:shd w:val="clear" w:color="auto" w:fill="FEFEFE"/>
          </w:rPr>
          <w:t>Branchenspezifische Industriepolitik für mehr strategische Autonomie</w:t>
        </w:r>
      </w:hyperlink>
    </w:p>
    <w:p w:rsidRPr="001C59D9" w:rsidR="001C59D9" w:rsidP="001C59D9" w:rsidRDefault="001C59D9" w14:paraId="1F1FDD5C" w14:textId="77777777">
      <w:pPr>
        <w:widowControl w:val="0"/>
        <w:overflowPunct w:val="0"/>
        <w:autoSpaceDE w:val="0"/>
        <w:autoSpaceDN w:val="0"/>
        <w:adjustRightInd w:val="0"/>
        <w:ind w:left="266"/>
        <w:textAlignment w:val="baseline"/>
        <w:rPr>
          <w:b/>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236"/>
      </w:tblGrid>
      <w:tr w:rsidRPr="001C59D9" w:rsidR="001C59D9" w:rsidTr="00111DFA" w14:paraId="0DE8DBCE" w14:textId="77777777">
        <w:tc>
          <w:tcPr>
            <w:tcW w:w="2093" w:type="dxa"/>
          </w:tcPr>
          <w:p w:rsidRPr="001C59D9" w:rsidR="001C59D9" w:rsidP="001C59D9" w:rsidRDefault="001C59D9" w14:paraId="247BDDA7" w14:textId="77777777">
            <w:pPr>
              <w:tabs>
                <w:tab w:val="center" w:pos="284"/>
              </w:tabs>
              <w:overflowPunct w:val="0"/>
              <w:autoSpaceDE w:val="0"/>
              <w:autoSpaceDN w:val="0"/>
              <w:adjustRightInd w:val="0"/>
              <w:ind w:left="266" w:hanging="266"/>
              <w:textAlignment w:val="baseline"/>
              <w:rPr>
                <w:b/>
              </w:rPr>
            </w:pPr>
            <w:r>
              <w:rPr>
                <w:b/>
              </w:rPr>
              <w:t>Berichterstatter</w:t>
            </w:r>
          </w:p>
        </w:tc>
        <w:tc>
          <w:tcPr>
            <w:tcW w:w="7236" w:type="dxa"/>
          </w:tcPr>
          <w:p w:rsidRPr="001C59D9" w:rsidR="001C59D9" w:rsidP="001C59D9" w:rsidRDefault="001C59D9" w14:paraId="3EF3113B" w14:textId="2A88A6EF">
            <w:pPr>
              <w:tabs>
                <w:tab w:val="center" w:pos="284"/>
              </w:tabs>
              <w:overflowPunct w:val="0"/>
              <w:autoSpaceDE w:val="0"/>
              <w:autoSpaceDN w:val="0"/>
              <w:adjustRightInd w:val="0"/>
              <w:ind w:left="266" w:hanging="266"/>
              <w:textAlignment w:val="baseline"/>
            </w:pPr>
            <w:r>
              <w:t>Alain COHEUR (Gruppe Organisationen der Zivilgesellschaft – BE)</w:t>
            </w:r>
          </w:p>
        </w:tc>
      </w:tr>
      <w:tr w:rsidRPr="001C59D9" w:rsidR="001C59D9" w:rsidTr="00111DFA" w14:paraId="183BEC47" w14:textId="77777777">
        <w:tc>
          <w:tcPr>
            <w:tcW w:w="2093" w:type="dxa"/>
          </w:tcPr>
          <w:p w:rsidRPr="001C59D9" w:rsidR="001C59D9" w:rsidP="001C59D9" w:rsidRDefault="001C59D9" w14:paraId="3945195F" w14:textId="77777777">
            <w:pPr>
              <w:tabs>
                <w:tab w:val="center" w:pos="284"/>
              </w:tabs>
              <w:overflowPunct w:val="0"/>
              <w:autoSpaceDE w:val="0"/>
              <w:autoSpaceDN w:val="0"/>
              <w:adjustRightInd w:val="0"/>
              <w:ind w:left="266" w:hanging="266"/>
              <w:textAlignment w:val="baseline"/>
              <w:rPr>
                <w:b/>
              </w:rPr>
            </w:pPr>
            <w:r>
              <w:rPr>
                <w:b/>
              </w:rPr>
              <w:t>Ko-Berichterstatter</w:t>
            </w:r>
          </w:p>
        </w:tc>
        <w:tc>
          <w:tcPr>
            <w:tcW w:w="7236" w:type="dxa"/>
          </w:tcPr>
          <w:p w:rsidRPr="001C59D9" w:rsidR="001C59D9" w:rsidP="001C59D9" w:rsidRDefault="001C59D9" w14:paraId="2AEB1972" w14:textId="0C765853">
            <w:pPr>
              <w:tabs>
                <w:tab w:val="center" w:pos="284"/>
              </w:tabs>
              <w:overflowPunct w:val="0"/>
              <w:autoSpaceDE w:val="0"/>
              <w:autoSpaceDN w:val="0"/>
              <w:adjustRightInd w:val="0"/>
              <w:ind w:left="266" w:hanging="266"/>
              <w:textAlignment w:val="baseline"/>
            </w:pPr>
            <w:r>
              <w:t>Antonello PEZZINI (Kat. 1 – IT)</w:t>
            </w:r>
          </w:p>
        </w:tc>
      </w:tr>
      <w:tr w:rsidRPr="001C59D9" w:rsidR="001C59D9" w:rsidTr="00111DFA" w14:paraId="459283E6" w14:textId="77777777">
        <w:tc>
          <w:tcPr>
            <w:tcW w:w="9329" w:type="dxa"/>
            <w:gridSpan w:val="2"/>
          </w:tcPr>
          <w:p w:rsidRPr="001C59D9" w:rsidR="001C59D9" w:rsidP="001C59D9" w:rsidRDefault="001C59D9" w14:paraId="4DE42CAB" w14:textId="77777777">
            <w:pPr>
              <w:tabs>
                <w:tab w:val="center" w:pos="284"/>
              </w:tabs>
              <w:overflowPunct w:val="0"/>
              <w:autoSpaceDE w:val="0"/>
              <w:autoSpaceDN w:val="0"/>
              <w:adjustRightInd w:val="0"/>
              <w:spacing w:line="160" w:lineRule="exact"/>
              <w:ind w:left="266" w:hanging="266"/>
              <w:textAlignment w:val="baseline"/>
            </w:pPr>
          </w:p>
        </w:tc>
      </w:tr>
      <w:tr w:rsidRPr="001C59D9" w:rsidR="001C59D9" w:rsidTr="00111DFA" w14:paraId="4565FF1F" w14:textId="77777777">
        <w:tc>
          <w:tcPr>
            <w:tcW w:w="2093" w:type="dxa"/>
            <w:vMerge w:val="restart"/>
          </w:tcPr>
          <w:p w:rsidRPr="001C59D9" w:rsidR="001C59D9" w:rsidP="001C59D9" w:rsidRDefault="001C59D9" w14:paraId="20DAD7FD" w14:textId="77777777">
            <w:pPr>
              <w:tabs>
                <w:tab w:val="center" w:pos="284"/>
              </w:tabs>
              <w:overflowPunct w:val="0"/>
              <w:autoSpaceDE w:val="0"/>
              <w:autoSpaceDN w:val="0"/>
              <w:adjustRightInd w:val="0"/>
              <w:ind w:left="266" w:hanging="266"/>
              <w:textAlignment w:val="baseline"/>
              <w:rPr>
                <w:b/>
              </w:rPr>
            </w:pPr>
            <w:r>
              <w:rPr>
                <w:b/>
              </w:rPr>
              <w:t>Referenzdokument</w:t>
            </w:r>
          </w:p>
        </w:tc>
        <w:tc>
          <w:tcPr>
            <w:tcW w:w="7236" w:type="dxa"/>
          </w:tcPr>
          <w:p w:rsidR="00B61E90" w:rsidP="001C59D9" w:rsidRDefault="00B61E90" w14:paraId="2736C770" w14:textId="4E254416">
            <w:pPr>
              <w:tabs>
                <w:tab w:val="center" w:pos="284"/>
              </w:tabs>
              <w:overflowPunct w:val="0"/>
              <w:autoSpaceDE w:val="0"/>
              <w:autoSpaceDN w:val="0"/>
              <w:adjustRightInd w:val="0"/>
              <w:ind w:left="266" w:hanging="266"/>
              <w:textAlignment w:val="baseline"/>
            </w:pPr>
            <w:r>
              <w:t>Initiativstellungnahme</w:t>
            </w:r>
          </w:p>
          <w:p w:rsidRPr="001C59D9" w:rsidR="001C59D9" w:rsidP="001C59D9" w:rsidRDefault="001C59D9" w14:paraId="069CB8B0" w14:textId="332724EC">
            <w:pPr>
              <w:tabs>
                <w:tab w:val="center" w:pos="284"/>
              </w:tabs>
              <w:overflowPunct w:val="0"/>
              <w:autoSpaceDE w:val="0"/>
              <w:autoSpaceDN w:val="0"/>
              <w:adjustRightInd w:val="0"/>
              <w:ind w:left="266" w:hanging="266"/>
              <w:textAlignment w:val="baseline"/>
            </w:pPr>
            <w:r>
              <w:t>EESC-2024-02005-00-00-AC</w:t>
            </w:r>
          </w:p>
        </w:tc>
      </w:tr>
      <w:tr w:rsidRPr="001C59D9" w:rsidR="001C59D9" w:rsidTr="00111DFA" w14:paraId="34DA0A00" w14:textId="77777777">
        <w:tc>
          <w:tcPr>
            <w:tcW w:w="2093" w:type="dxa"/>
            <w:vMerge/>
          </w:tcPr>
          <w:p w:rsidRPr="001C59D9" w:rsidR="001C59D9" w:rsidP="001C59D9" w:rsidRDefault="001C59D9" w14:paraId="74F9112A" w14:textId="77777777">
            <w:pPr>
              <w:tabs>
                <w:tab w:val="center" w:pos="284"/>
              </w:tabs>
              <w:overflowPunct w:val="0"/>
              <w:autoSpaceDE w:val="0"/>
              <w:autoSpaceDN w:val="0"/>
              <w:adjustRightInd w:val="0"/>
              <w:ind w:left="266" w:hanging="266"/>
              <w:textAlignment w:val="baseline"/>
              <w:rPr>
                <w:b/>
              </w:rPr>
            </w:pPr>
          </w:p>
        </w:tc>
        <w:tc>
          <w:tcPr>
            <w:tcW w:w="7236" w:type="dxa"/>
          </w:tcPr>
          <w:p w:rsidRPr="001C59D9" w:rsidR="001C59D9" w:rsidP="001C59D9" w:rsidRDefault="001C59D9" w14:paraId="12146E59" w14:textId="77777777">
            <w:pPr>
              <w:tabs>
                <w:tab w:val="center" w:pos="284"/>
              </w:tabs>
              <w:overflowPunct w:val="0"/>
              <w:autoSpaceDE w:val="0"/>
              <w:autoSpaceDN w:val="0"/>
              <w:adjustRightInd w:val="0"/>
              <w:ind w:left="266" w:hanging="266"/>
              <w:textAlignment w:val="baseline"/>
            </w:pPr>
          </w:p>
        </w:tc>
      </w:tr>
    </w:tbl>
    <w:p w:rsidRPr="001C59D9" w:rsidR="001C59D9" w:rsidP="001C59D9" w:rsidRDefault="001C59D9" w14:paraId="2BBE6849"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1C59D9" w:rsidR="001C59D9" w:rsidP="001C59D9" w:rsidRDefault="001C59D9" w14:paraId="42B37A88" w14:textId="77777777">
      <w:pPr>
        <w:keepNext/>
        <w:keepLines/>
        <w:tabs>
          <w:tab w:val="center" w:pos="284"/>
        </w:tabs>
        <w:overflowPunct w:val="0"/>
        <w:autoSpaceDE w:val="0"/>
        <w:autoSpaceDN w:val="0"/>
        <w:adjustRightInd w:val="0"/>
        <w:ind w:left="266" w:hanging="266"/>
        <w:textAlignment w:val="baseline"/>
        <w:rPr>
          <w:b/>
          <w:lang w:val="en-GB"/>
        </w:rPr>
      </w:pPr>
    </w:p>
    <w:p w:rsidRPr="001C59D9" w:rsidR="001C59D9" w:rsidP="001C59D9" w:rsidRDefault="001C59D9" w14:paraId="7A708E37" w14:textId="77777777">
      <w:pPr>
        <w:overflowPunct w:val="0"/>
        <w:autoSpaceDE w:val="0"/>
        <w:autoSpaceDN w:val="0"/>
        <w:adjustRightInd w:val="0"/>
        <w:textAlignment w:val="baseline"/>
        <w:rPr>
          <w:szCs w:val="20"/>
        </w:rPr>
      </w:pPr>
      <w:r>
        <w:t>Der EWSA</w:t>
      </w:r>
    </w:p>
    <w:p w:rsidRPr="001C59D9" w:rsidR="001C59D9" w:rsidP="001C59D9" w:rsidRDefault="001C59D9" w14:paraId="4B0CD9E1" w14:textId="77777777">
      <w:pPr>
        <w:overflowPunct w:val="0"/>
        <w:autoSpaceDE w:val="0"/>
        <w:autoSpaceDN w:val="0"/>
        <w:adjustRightInd w:val="0"/>
        <w:textAlignment w:val="baseline"/>
        <w:rPr>
          <w:szCs w:val="20"/>
          <w:lang w:val="en-GB"/>
        </w:rPr>
      </w:pPr>
    </w:p>
    <w:p w:rsidRPr="001C59D9" w:rsidR="001C59D9" w:rsidP="00E21ECD" w:rsidRDefault="001C59D9" w14:paraId="470F56FE" w14:textId="7FC0311F">
      <w:pPr>
        <w:numPr>
          <w:ilvl w:val="0"/>
          <w:numId w:val="43"/>
        </w:numPr>
        <w:overflowPunct w:val="0"/>
        <w:autoSpaceDE w:val="0"/>
        <w:autoSpaceDN w:val="0"/>
        <w:adjustRightInd w:val="0"/>
        <w:spacing w:after="200" w:line="276" w:lineRule="auto"/>
        <w:ind w:left="709" w:hanging="425"/>
        <w:contextualSpacing/>
        <w:textAlignment w:val="baseline"/>
        <w:rPr>
          <w:bCs/>
          <w:iCs/>
        </w:rPr>
      </w:pPr>
      <w:r>
        <w:t xml:space="preserve">ist der Ansicht, dass ein </w:t>
      </w:r>
      <w:r>
        <w:rPr>
          <w:b/>
          <w:bCs/>
        </w:rPr>
        <w:t>erneuter Niedergang der Metallindustrie nicht hingenommen werden kann</w:t>
      </w:r>
      <w:r>
        <w:t xml:space="preserve">, da er </w:t>
      </w:r>
      <w:r>
        <w:rPr>
          <w:b/>
          <w:bCs/>
        </w:rPr>
        <w:t>die strategische Autonomie der EU</w:t>
      </w:r>
      <w:r>
        <w:t xml:space="preserve"> mit all ihren Industriezweigen (Eisenbahn-, Kern-, See-, Raumfahrt-, Automobil-, Verteidigungsindustrie usw.) und damit die Zukunft der europäischen Industrie </w:t>
      </w:r>
      <w:r>
        <w:rPr>
          <w:b/>
          <w:bCs/>
        </w:rPr>
        <w:t>ernsthaft in Gefahr bringen könnte</w:t>
      </w:r>
      <w:r>
        <w:t xml:space="preserve">. Mehr denn je braucht </w:t>
      </w:r>
      <w:r>
        <w:rPr>
          <w:b/>
          <w:bCs/>
        </w:rPr>
        <w:t>die EU einen Industrial Deal</w:t>
      </w:r>
      <w:r>
        <w:t xml:space="preserve">, um ihren Grünen Deal und ihren Aktionsplan für die Kreislaufwirtschaft zu stärken, </w:t>
      </w:r>
      <w:r>
        <w:rPr>
          <w:b/>
          <w:bCs/>
        </w:rPr>
        <w:t>Industrieallianzen in der Metallindustrie</w:t>
      </w:r>
      <w:r>
        <w:t xml:space="preserve"> durch wichtige Vorhaben von gemeinsamem Interesse </w:t>
      </w:r>
      <w:r>
        <w:rPr>
          <w:b/>
          <w:bCs/>
        </w:rPr>
        <w:t>auszubauen</w:t>
      </w:r>
      <w:r>
        <w:t xml:space="preserve"> und </w:t>
      </w:r>
      <w:r>
        <w:rPr>
          <w:b/>
          <w:bCs/>
        </w:rPr>
        <w:t>viele aufgegebene Regionen zu reindustrialisieren, um gute und wohnortnahe Arbeitsplätze zu schaffen</w:t>
      </w:r>
      <w:r>
        <w:t>;</w:t>
      </w:r>
    </w:p>
    <w:p w:rsidRPr="001C59D9" w:rsidR="001C59D9" w:rsidP="00E21ECD" w:rsidRDefault="001C59D9" w14:paraId="52DD51D1" w14:textId="0B2965BB">
      <w:pPr>
        <w:numPr>
          <w:ilvl w:val="0"/>
          <w:numId w:val="43"/>
        </w:numPr>
        <w:overflowPunct w:val="0"/>
        <w:autoSpaceDE w:val="0"/>
        <w:autoSpaceDN w:val="0"/>
        <w:adjustRightInd w:val="0"/>
        <w:ind w:left="709" w:hanging="425"/>
        <w:contextualSpacing/>
        <w:textAlignment w:val="baseline"/>
      </w:pPr>
      <w:r>
        <w:t xml:space="preserve">ersucht die Europäische Kommission dringend, die </w:t>
      </w:r>
      <w:r>
        <w:rPr>
          <w:b/>
          <w:bCs/>
        </w:rPr>
        <w:t>branchenspezifischen Analysen und die Bewertung der Perspektiven der Industriepolitik</w:t>
      </w:r>
      <w:r>
        <w:t xml:space="preserve"> durch </w:t>
      </w:r>
      <w:r>
        <w:rPr>
          <w:b/>
          <w:bCs/>
        </w:rPr>
        <w:t>Vorausschauen wiederaufzunehmen</w:t>
      </w:r>
      <w:r>
        <w:t xml:space="preserve">, um </w:t>
      </w:r>
      <w:r>
        <w:rPr>
          <w:b/>
          <w:bCs/>
        </w:rPr>
        <w:t>globale Wettbewerbspositionen zurückzugewinnen</w:t>
      </w:r>
      <w:r>
        <w:t>;</w:t>
      </w:r>
    </w:p>
    <w:p w:rsidRPr="001C59D9" w:rsidR="001C59D9" w:rsidP="00E21ECD" w:rsidRDefault="001C59D9" w14:paraId="6FFD9CC6" w14:textId="77777777">
      <w:pPr>
        <w:numPr>
          <w:ilvl w:val="0"/>
          <w:numId w:val="43"/>
        </w:numPr>
        <w:overflowPunct w:val="0"/>
        <w:autoSpaceDE w:val="0"/>
        <w:autoSpaceDN w:val="0"/>
        <w:adjustRightInd w:val="0"/>
        <w:ind w:left="709" w:hanging="425"/>
        <w:contextualSpacing/>
        <w:textAlignment w:val="baseline"/>
      </w:pPr>
      <w:r>
        <w:t xml:space="preserve">fordert die Europäische Kommission auf, </w:t>
      </w:r>
      <w:r>
        <w:rPr>
          <w:b/>
          <w:bCs/>
        </w:rPr>
        <w:t>rasch gezielte Maßnahmen zu ergreifen</w:t>
      </w:r>
      <w:r>
        <w:t xml:space="preserve">, um </w:t>
      </w:r>
      <w:r>
        <w:rPr>
          <w:b/>
          <w:bCs/>
        </w:rPr>
        <w:t>die verschiedenen strategischen Zweige wie die chemische Industrie und die damit zusammenhängenden Branchen, die Metallindustrie und die Cybersicherheit zu unterstützen</w:t>
      </w:r>
      <w:r>
        <w:t>;</w:t>
      </w:r>
    </w:p>
    <w:p w:rsidRPr="001C59D9" w:rsidR="001C59D9" w:rsidP="00E21ECD" w:rsidRDefault="001C59D9" w14:paraId="59B42CB8" w14:textId="4E3066F6">
      <w:pPr>
        <w:numPr>
          <w:ilvl w:val="0"/>
          <w:numId w:val="43"/>
        </w:numPr>
        <w:overflowPunct w:val="0"/>
        <w:autoSpaceDE w:val="0"/>
        <w:autoSpaceDN w:val="0"/>
        <w:adjustRightInd w:val="0"/>
        <w:ind w:left="709" w:hanging="425"/>
        <w:contextualSpacing/>
        <w:textAlignment w:val="baseline"/>
      </w:pPr>
      <w:r>
        <w:t xml:space="preserve">erachtet es als notwendig, dass die Unternehmen </w:t>
      </w:r>
      <w:r>
        <w:rPr>
          <w:b/>
          <w:bCs/>
        </w:rPr>
        <w:t>Zugang zu Banken, welche die in den Regionen verankerte europäische Industriepolitik unterstützen</w:t>
      </w:r>
      <w:r>
        <w:t xml:space="preserve">, zu </w:t>
      </w:r>
      <w:r>
        <w:rPr>
          <w:b/>
          <w:bCs/>
        </w:rPr>
        <w:t>immer besser qualifizierten Arbeitnehmern und zu Hochschulzentren haben, die Innovation und Forschung</w:t>
      </w:r>
      <w:r>
        <w:t xml:space="preserve"> für die Arbeitsplätze der Zukunft fördern;</w:t>
      </w:r>
    </w:p>
    <w:p w:rsidRPr="001C59D9" w:rsidR="001C59D9" w:rsidP="00E21ECD" w:rsidRDefault="001C59D9" w14:paraId="43D02535" w14:textId="77777777">
      <w:pPr>
        <w:numPr>
          <w:ilvl w:val="0"/>
          <w:numId w:val="43"/>
        </w:numPr>
        <w:overflowPunct w:val="0"/>
        <w:autoSpaceDE w:val="0"/>
        <w:autoSpaceDN w:val="0"/>
        <w:adjustRightInd w:val="0"/>
        <w:ind w:left="709" w:hanging="425"/>
        <w:contextualSpacing/>
        <w:textAlignment w:val="baseline"/>
      </w:pPr>
      <w:r>
        <w:t xml:space="preserve">fordert folgende Maßnahmen: </w:t>
      </w:r>
      <w:r>
        <w:rPr>
          <w:b/>
          <w:bCs/>
        </w:rPr>
        <w:t>Stärkung der Partnerschaften zur Förderung von Innovation und Investitionen, Rückverlagerung der chemischen Industrie</w:t>
      </w:r>
      <w:r>
        <w:t xml:space="preserve"> und </w:t>
      </w:r>
      <w:r>
        <w:rPr>
          <w:b/>
          <w:bCs/>
        </w:rPr>
        <w:t>Einrichtung von Entscheidungszentren in der EU, Vereinheitlichung der Qualitätsstandards für sortierte/vorbehandelte Kunststoffabfälle</w:t>
      </w:r>
      <w:r>
        <w:t xml:space="preserve"> sowie die Schaffung eines </w:t>
      </w:r>
      <w:r>
        <w:rPr>
          <w:b/>
          <w:bCs/>
        </w:rPr>
        <w:t>einheitlichen und offenen Sekundärmarkts</w:t>
      </w:r>
      <w:r>
        <w:t>, um eine kontinuierliche Versorgung mit Kunststoffabfällen für den Betrieb chemischer Recyclinganlagen sicherzustellen;</w:t>
      </w:r>
    </w:p>
    <w:p w:rsidRPr="001C59D9" w:rsidR="001C59D9" w:rsidP="00E21ECD" w:rsidRDefault="001C59D9" w14:paraId="0B0E46F3" w14:textId="77777777">
      <w:pPr>
        <w:numPr>
          <w:ilvl w:val="0"/>
          <w:numId w:val="43"/>
        </w:numPr>
        <w:overflowPunct w:val="0"/>
        <w:autoSpaceDE w:val="0"/>
        <w:autoSpaceDN w:val="0"/>
        <w:adjustRightInd w:val="0"/>
        <w:ind w:left="709" w:hanging="425"/>
        <w:contextualSpacing/>
        <w:textAlignment w:val="baseline"/>
      </w:pPr>
      <w:r>
        <w:t xml:space="preserve">empfiehlt, für eine </w:t>
      </w:r>
      <w:r>
        <w:rPr>
          <w:b/>
          <w:bCs/>
        </w:rPr>
        <w:t>verstärkte und kontinuierliche Aufsicht</w:t>
      </w:r>
      <w:r>
        <w:t xml:space="preserve"> zu sorgen sowie </w:t>
      </w:r>
      <w:r>
        <w:rPr>
          <w:b/>
          <w:bCs/>
        </w:rPr>
        <w:t>Programme für präventive technische Hilfe zu entwickeln</w:t>
      </w:r>
      <w:r>
        <w:t>, die allen Unternehmen zugänglich sind.</w:t>
      </w:r>
    </w:p>
    <w:p w:rsidRPr="001C59D9" w:rsidR="001C59D9" w:rsidP="001C59D9" w:rsidRDefault="001C59D9" w14:paraId="4177570F" w14:textId="77777777">
      <w:pPr>
        <w:keepNext/>
        <w:keepLines/>
        <w:widowControl w:val="0"/>
        <w:overflowPunct w:val="0"/>
        <w:autoSpaceDE w:val="0"/>
        <w:autoSpaceDN w:val="0"/>
        <w:adjustRightInd w:val="0"/>
        <w:textAlignment w:val="baseline"/>
        <w:rPr>
          <w:szCs w:val="20"/>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C59D9" w:rsidR="001C59D9" w:rsidTr="00863A8F" w14:paraId="7B9A0D37" w14:textId="77777777">
        <w:tc>
          <w:tcPr>
            <w:tcW w:w="1418" w:type="dxa"/>
          </w:tcPr>
          <w:p w:rsidRPr="001C59D9" w:rsidR="001C59D9" w:rsidP="001C59D9" w:rsidRDefault="001C59D9" w14:paraId="1A53C334" w14:textId="77777777">
            <w:pPr>
              <w:keepNext/>
              <w:keepLines/>
              <w:overflowPunct w:val="0"/>
              <w:autoSpaceDE w:val="0"/>
              <w:autoSpaceDN w:val="0"/>
              <w:adjustRightInd w:val="0"/>
              <w:spacing w:line="240" w:lineRule="auto"/>
              <w:textAlignment w:val="baseline"/>
              <w:rPr>
                <w:i/>
              </w:rPr>
            </w:pPr>
            <w:r>
              <w:rPr>
                <w:b/>
                <w:i/>
              </w:rPr>
              <w:t>Kontakt</w:t>
            </w:r>
          </w:p>
        </w:tc>
        <w:tc>
          <w:tcPr>
            <w:tcW w:w="5670" w:type="dxa"/>
          </w:tcPr>
          <w:p w:rsidRPr="001C59D9" w:rsidR="001C59D9" w:rsidP="001C59D9" w:rsidRDefault="001C59D9" w14:paraId="1A7452D2" w14:textId="77777777">
            <w:pPr>
              <w:keepNext/>
              <w:keepLines/>
              <w:overflowPunct w:val="0"/>
              <w:autoSpaceDE w:val="0"/>
              <w:autoSpaceDN w:val="0"/>
              <w:adjustRightInd w:val="0"/>
              <w:spacing w:line="240" w:lineRule="auto"/>
              <w:textAlignment w:val="baseline"/>
              <w:rPr>
                <w:i/>
              </w:rPr>
            </w:pPr>
            <w:r>
              <w:rPr>
                <w:i/>
              </w:rPr>
              <w:t>Marie-Laurence Drillon</w:t>
            </w:r>
          </w:p>
        </w:tc>
      </w:tr>
      <w:tr w:rsidRPr="001C59D9" w:rsidR="001C59D9" w:rsidTr="00863A8F" w14:paraId="510D17C4" w14:textId="77777777">
        <w:tc>
          <w:tcPr>
            <w:tcW w:w="1418" w:type="dxa"/>
          </w:tcPr>
          <w:p w:rsidRPr="001C59D9" w:rsidR="001C59D9" w:rsidP="001C59D9" w:rsidRDefault="001C59D9" w14:paraId="5FF9E965"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1C59D9" w:rsidR="001C59D9" w:rsidP="001C59D9" w:rsidRDefault="001C59D9" w14:paraId="117BAF9F" w14:textId="19179759">
            <w:pPr>
              <w:keepNext/>
              <w:keepLines/>
              <w:overflowPunct w:val="0"/>
              <w:autoSpaceDE w:val="0"/>
              <w:autoSpaceDN w:val="0"/>
              <w:adjustRightInd w:val="0"/>
              <w:spacing w:line="240" w:lineRule="auto"/>
              <w:textAlignment w:val="baseline"/>
              <w:rPr>
                <w:i/>
              </w:rPr>
            </w:pPr>
            <w:r>
              <w:rPr>
                <w:i/>
              </w:rPr>
              <w:t>+32 25468320</w:t>
            </w:r>
          </w:p>
        </w:tc>
      </w:tr>
      <w:tr w:rsidRPr="001C59D9" w:rsidR="001C59D9" w:rsidTr="00863A8F" w14:paraId="375F101A" w14:textId="77777777">
        <w:tc>
          <w:tcPr>
            <w:tcW w:w="1418" w:type="dxa"/>
          </w:tcPr>
          <w:p w:rsidRPr="001C59D9" w:rsidR="001C59D9" w:rsidP="001C59D9" w:rsidRDefault="0052039C" w14:paraId="7E558C19" w14:textId="3915EE53">
            <w:pPr>
              <w:overflowPunct w:val="0"/>
              <w:autoSpaceDE w:val="0"/>
              <w:autoSpaceDN w:val="0"/>
              <w:adjustRightInd w:val="0"/>
              <w:spacing w:line="240" w:lineRule="auto"/>
              <w:textAlignment w:val="baseline"/>
              <w:rPr>
                <w:i/>
              </w:rPr>
            </w:pPr>
            <w:r>
              <w:rPr>
                <w:i/>
              </w:rPr>
              <w:t>E-Mail</w:t>
            </w:r>
          </w:p>
        </w:tc>
        <w:tc>
          <w:tcPr>
            <w:tcW w:w="5670" w:type="dxa"/>
          </w:tcPr>
          <w:p w:rsidRPr="001C59D9" w:rsidR="001C59D9" w:rsidP="001C59D9" w:rsidRDefault="001C59D9" w14:paraId="32EC8961" w14:textId="77777777">
            <w:pPr>
              <w:overflowPunct w:val="0"/>
              <w:autoSpaceDE w:val="0"/>
              <w:autoSpaceDN w:val="0"/>
              <w:adjustRightInd w:val="0"/>
              <w:spacing w:line="240" w:lineRule="auto"/>
              <w:textAlignment w:val="baseline"/>
              <w:rPr>
                <w:i/>
              </w:rPr>
            </w:pPr>
            <w:r>
              <w:rPr>
                <w:i/>
              </w:rPr>
              <w:t>Marie-Laurence.Drillon@eesc.europa.eu</w:t>
            </w:r>
          </w:p>
        </w:tc>
      </w:tr>
    </w:tbl>
    <w:p w:rsidRPr="004135C1" w:rsidR="004135C1" w:rsidP="00111DFA" w:rsidRDefault="005204CC" w14:paraId="4C6E69A7" w14:textId="1964BA73">
      <w:pPr>
        <w:keepNext/>
        <w:keepLines/>
        <w:widowControl w:val="0"/>
        <w:numPr>
          <w:ilvl w:val="0"/>
          <w:numId w:val="6"/>
        </w:numPr>
        <w:overflowPunct w:val="0"/>
        <w:autoSpaceDE w:val="0"/>
        <w:autoSpaceDN w:val="0"/>
        <w:adjustRightInd w:val="0"/>
        <w:spacing w:line="276" w:lineRule="auto"/>
        <w:ind w:hanging="567"/>
        <w:textAlignment w:val="baseline"/>
        <w:rPr>
          <w:sz w:val="20"/>
          <w:szCs w:val="20"/>
        </w:rPr>
      </w:pPr>
      <w:hyperlink w:history="1" r:id="rId50">
        <w:r w:rsidR="009B458F">
          <w:rPr>
            <w:b/>
            <w:i/>
            <w:color w:val="0000FF"/>
            <w:sz w:val="28"/>
            <w:u w:val="single"/>
          </w:rPr>
          <w:t>Der Wandel in der Gesundheitsbranche angesichts multipler Krisen</w:t>
        </w:r>
      </w:hyperlink>
    </w:p>
    <w:p w:rsidRPr="004135C1" w:rsidR="004135C1" w:rsidP="00111DFA" w:rsidRDefault="004135C1" w14:paraId="42D81671"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tbl>
      <w:tblPr>
        <w:tblStyle w:val="TableGrid1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4135C1" w:rsidR="004135C1" w:rsidTr="00863A8F" w14:paraId="7437B509" w14:textId="77777777">
        <w:tc>
          <w:tcPr>
            <w:tcW w:w="1591" w:type="pct"/>
          </w:tcPr>
          <w:p w:rsidRPr="004135C1" w:rsidR="004135C1" w:rsidP="00111DFA" w:rsidRDefault="004135C1" w14:paraId="76E1C0A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Berichterstatter</w:t>
            </w:r>
          </w:p>
        </w:tc>
        <w:tc>
          <w:tcPr>
            <w:tcW w:w="3409" w:type="pct"/>
          </w:tcPr>
          <w:p w:rsidRPr="004135C1" w:rsidR="004135C1" w:rsidP="00111DFA" w:rsidRDefault="004135C1" w14:paraId="4DA9553C" w14:textId="48518E84">
            <w:pPr>
              <w:keepNext/>
              <w:keepLines/>
              <w:tabs>
                <w:tab w:val="center" w:pos="284"/>
              </w:tabs>
              <w:overflowPunct w:val="0"/>
              <w:autoSpaceDE w:val="0"/>
              <w:autoSpaceDN w:val="0"/>
              <w:adjustRightInd w:val="0"/>
              <w:spacing w:line="276" w:lineRule="auto"/>
              <w:ind w:left="266" w:hanging="266"/>
              <w:textAlignment w:val="baseline"/>
            </w:pPr>
            <w:r>
              <w:t>Florian MARIN (Gruppe Arbeitnehmer – RO)</w:t>
            </w:r>
          </w:p>
        </w:tc>
      </w:tr>
      <w:tr w:rsidRPr="004135C1" w:rsidR="004135C1" w:rsidTr="00863A8F" w14:paraId="5792E4CB" w14:textId="77777777">
        <w:tc>
          <w:tcPr>
            <w:tcW w:w="1591" w:type="pct"/>
          </w:tcPr>
          <w:p w:rsidRPr="004135C1" w:rsidR="004135C1" w:rsidP="00E21ECD" w:rsidRDefault="004135C1" w14:paraId="18291D19" w14:textId="77777777">
            <w:pPr>
              <w:tabs>
                <w:tab w:val="center" w:pos="284"/>
              </w:tabs>
              <w:overflowPunct w:val="0"/>
              <w:autoSpaceDE w:val="0"/>
              <w:autoSpaceDN w:val="0"/>
              <w:adjustRightInd w:val="0"/>
              <w:spacing w:line="276" w:lineRule="auto"/>
              <w:ind w:left="266" w:hanging="266"/>
              <w:textAlignment w:val="baseline"/>
              <w:rPr>
                <w:b/>
              </w:rPr>
            </w:pPr>
            <w:r>
              <w:rPr>
                <w:b/>
              </w:rPr>
              <w:t>Ko-Berichterstatter</w:t>
            </w:r>
          </w:p>
        </w:tc>
        <w:tc>
          <w:tcPr>
            <w:tcW w:w="3409" w:type="pct"/>
          </w:tcPr>
          <w:p w:rsidRPr="004135C1" w:rsidR="004135C1" w:rsidP="00E21ECD" w:rsidRDefault="004135C1" w14:paraId="7C4E0140" w14:textId="3D6E3C8F">
            <w:pPr>
              <w:tabs>
                <w:tab w:val="center" w:pos="284"/>
              </w:tabs>
              <w:overflowPunct w:val="0"/>
              <w:autoSpaceDE w:val="0"/>
              <w:autoSpaceDN w:val="0"/>
              <w:adjustRightInd w:val="0"/>
              <w:spacing w:line="276" w:lineRule="auto"/>
              <w:ind w:left="266" w:hanging="266"/>
              <w:textAlignment w:val="baseline"/>
            </w:pPr>
            <w:r>
              <w:t>Antonello PEZZINI (Kat. 1 – IT)</w:t>
            </w:r>
          </w:p>
        </w:tc>
      </w:tr>
      <w:tr w:rsidRPr="004135C1" w:rsidR="004135C1" w:rsidTr="00863A8F" w14:paraId="35C56C8C" w14:textId="77777777">
        <w:tc>
          <w:tcPr>
            <w:tcW w:w="5000" w:type="pct"/>
            <w:gridSpan w:val="2"/>
          </w:tcPr>
          <w:p w:rsidRPr="004135C1" w:rsidR="004135C1" w:rsidP="00E21ECD" w:rsidRDefault="004135C1" w14:paraId="396012FE" w14:textId="77777777">
            <w:pPr>
              <w:tabs>
                <w:tab w:val="center" w:pos="284"/>
              </w:tabs>
              <w:overflowPunct w:val="0"/>
              <w:autoSpaceDE w:val="0"/>
              <w:autoSpaceDN w:val="0"/>
              <w:adjustRightInd w:val="0"/>
              <w:spacing w:line="276" w:lineRule="auto"/>
              <w:ind w:left="266" w:hanging="266"/>
              <w:textAlignment w:val="baseline"/>
            </w:pPr>
          </w:p>
        </w:tc>
      </w:tr>
      <w:tr w:rsidRPr="004135C1" w:rsidR="004135C1" w:rsidTr="00863A8F" w14:paraId="688A83AF" w14:textId="77777777">
        <w:tc>
          <w:tcPr>
            <w:tcW w:w="1591" w:type="pct"/>
            <w:vMerge w:val="restart"/>
          </w:tcPr>
          <w:p w:rsidRPr="004135C1" w:rsidR="004135C1" w:rsidP="00E21ECD" w:rsidRDefault="004135C1" w14:paraId="71E1FB44" w14:textId="77777777">
            <w:pPr>
              <w:tabs>
                <w:tab w:val="center" w:pos="284"/>
              </w:tabs>
              <w:overflowPunct w:val="0"/>
              <w:autoSpaceDE w:val="0"/>
              <w:autoSpaceDN w:val="0"/>
              <w:adjustRightInd w:val="0"/>
              <w:spacing w:line="276" w:lineRule="auto"/>
              <w:ind w:left="266" w:hanging="266"/>
              <w:textAlignment w:val="baseline"/>
              <w:rPr>
                <w:b/>
              </w:rPr>
            </w:pPr>
            <w:r>
              <w:rPr>
                <w:b/>
              </w:rPr>
              <w:t>Referenzdokument</w:t>
            </w:r>
          </w:p>
        </w:tc>
        <w:tc>
          <w:tcPr>
            <w:tcW w:w="3409" w:type="pct"/>
          </w:tcPr>
          <w:p w:rsidR="00A7132A" w:rsidP="00E21ECD" w:rsidRDefault="00A7132A" w14:paraId="70BFA311" w14:textId="4D7B97E1">
            <w:pPr>
              <w:tabs>
                <w:tab w:val="center" w:pos="284"/>
              </w:tabs>
              <w:overflowPunct w:val="0"/>
              <w:autoSpaceDE w:val="0"/>
              <w:autoSpaceDN w:val="0"/>
              <w:adjustRightInd w:val="0"/>
              <w:spacing w:line="276" w:lineRule="auto"/>
              <w:ind w:left="266" w:hanging="266"/>
              <w:textAlignment w:val="baseline"/>
            </w:pPr>
            <w:r>
              <w:t>Initiativstellungnahme</w:t>
            </w:r>
          </w:p>
          <w:p w:rsidRPr="004135C1" w:rsidR="004135C1" w:rsidP="00E21ECD" w:rsidRDefault="004135C1" w14:paraId="057159B1" w14:textId="4915FDE9">
            <w:pPr>
              <w:tabs>
                <w:tab w:val="center" w:pos="284"/>
              </w:tabs>
              <w:overflowPunct w:val="0"/>
              <w:autoSpaceDE w:val="0"/>
              <w:autoSpaceDN w:val="0"/>
              <w:adjustRightInd w:val="0"/>
              <w:spacing w:line="276" w:lineRule="auto"/>
              <w:ind w:left="266" w:hanging="266"/>
              <w:textAlignment w:val="baseline"/>
            </w:pPr>
            <w:r>
              <w:t>EESC-2024-02033-00-00-AC</w:t>
            </w:r>
          </w:p>
        </w:tc>
      </w:tr>
      <w:tr w:rsidRPr="004135C1" w:rsidR="004135C1" w:rsidTr="00863A8F" w14:paraId="3A541F7A" w14:textId="77777777">
        <w:tc>
          <w:tcPr>
            <w:tcW w:w="1591" w:type="pct"/>
            <w:vMerge/>
          </w:tcPr>
          <w:p w:rsidRPr="004135C1" w:rsidR="004135C1" w:rsidP="00E21ECD" w:rsidRDefault="004135C1" w14:paraId="24EACD1B" w14:textId="77777777">
            <w:pPr>
              <w:tabs>
                <w:tab w:val="center" w:pos="284"/>
              </w:tabs>
              <w:overflowPunct w:val="0"/>
              <w:autoSpaceDE w:val="0"/>
              <w:autoSpaceDN w:val="0"/>
              <w:adjustRightInd w:val="0"/>
              <w:spacing w:line="276" w:lineRule="auto"/>
              <w:ind w:left="266" w:hanging="266"/>
              <w:textAlignment w:val="baseline"/>
              <w:rPr>
                <w:b/>
              </w:rPr>
            </w:pPr>
          </w:p>
        </w:tc>
        <w:tc>
          <w:tcPr>
            <w:tcW w:w="3409" w:type="pct"/>
          </w:tcPr>
          <w:p w:rsidRPr="004135C1" w:rsidR="004135C1" w:rsidP="00E21ECD" w:rsidRDefault="004135C1" w14:paraId="5ECB5A4D" w14:textId="77777777">
            <w:pPr>
              <w:tabs>
                <w:tab w:val="center" w:pos="284"/>
              </w:tabs>
              <w:overflowPunct w:val="0"/>
              <w:autoSpaceDE w:val="0"/>
              <w:autoSpaceDN w:val="0"/>
              <w:adjustRightInd w:val="0"/>
              <w:spacing w:line="276" w:lineRule="auto"/>
              <w:ind w:left="266" w:hanging="266"/>
              <w:textAlignment w:val="baseline"/>
            </w:pPr>
          </w:p>
        </w:tc>
      </w:tr>
    </w:tbl>
    <w:p w:rsidRPr="004135C1" w:rsidR="004135C1" w:rsidP="00E21ECD" w:rsidRDefault="004135C1" w14:paraId="48486D8D" w14:textId="77777777">
      <w:pPr>
        <w:tabs>
          <w:tab w:val="center" w:pos="284"/>
        </w:tabs>
        <w:overflowPunct w:val="0"/>
        <w:autoSpaceDE w:val="0"/>
        <w:autoSpaceDN w:val="0"/>
        <w:adjustRightInd w:val="0"/>
        <w:spacing w:line="276" w:lineRule="auto"/>
        <w:ind w:left="266" w:hanging="266"/>
        <w:textAlignment w:val="baseline"/>
        <w:rPr>
          <w:lang w:val="en-GB"/>
        </w:rPr>
      </w:pPr>
    </w:p>
    <w:p w:rsidRPr="004135C1" w:rsidR="004135C1" w:rsidP="00E21ECD" w:rsidRDefault="004135C1" w14:paraId="1D9F9916"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Kernaussagen</w:t>
      </w:r>
    </w:p>
    <w:p w:rsidRPr="004135C1" w:rsidR="004135C1" w:rsidP="00E21ECD" w:rsidRDefault="004135C1" w14:paraId="0EC092D3"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004135C1" w:rsidP="00E21ECD" w:rsidRDefault="004135C1" w14:paraId="0CCD541D" w14:textId="77777777">
      <w:pPr>
        <w:overflowPunct w:val="0"/>
        <w:autoSpaceDE w:val="0"/>
        <w:autoSpaceDN w:val="0"/>
        <w:adjustRightInd w:val="0"/>
        <w:spacing w:line="276" w:lineRule="auto"/>
        <w:textAlignment w:val="baseline"/>
        <w:rPr>
          <w:bCs/>
          <w:iCs/>
        </w:rPr>
      </w:pPr>
      <w:r>
        <w:t>Der EWSA</w:t>
      </w:r>
    </w:p>
    <w:p w:rsidRPr="004135C1" w:rsidR="009C4B7B" w:rsidP="00E21ECD" w:rsidRDefault="009C4B7B" w14:paraId="2F9A5642" w14:textId="77777777">
      <w:pPr>
        <w:overflowPunct w:val="0"/>
        <w:autoSpaceDE w:val="0"/>
        <w:autoSpaceDN w:val="0"/>
        <w:adjustRightInd w:val="0"/>
        <w:spacing w:line="276" w:lineRule="auto"/>
        <w:textAlignment w:val="baseline"/>
        <w:rPr>
          <w:bCs/>
          <w:iCs/>
          <w:lang w:val="en-GB"/>
        </w:rPr>
      </w:pPr>
    </w:p>
    <w:p w:rsidRPr="004135C1" w:rsidR="004135C1" w:rsidP="00E21ECD" w:rsidRDefault="004135C1" w14:paraId="4A46FD7C" w14:textId="77777777">
      <w:pPr>
        <w:widowControl w:val="0"/>
        <w:numPr>
          <w:ilvl w:val="0"/>
          <w:numId w:val="44"/>
        </w:numPr>
        <w:overflowPunct w:val="0"/>
        <w:autoSpaceDE w:val="0"/>
        <w:autoSpaceDN w:val="0"/>
        <w:adjustRightInd w:val="0"/>
        <w:spacing w:line="276" w:lineRule="auto"/>
        <w:ind w:left="709" w:right="283" w:hanging="425"/>
        <w:textAlignment w:val="baseline"/>
        <w:rPr>
          <w:bCs/>
          <w:iCs/>
        </w:rPr>
      </w:pPr>
      <w:r>
        <w:t>ist davon überzeugt, dass die Gesundheitssysteme der EU widerstandsfähig sein sollten, dass sie in der Lage sind, Schocks abzufedern und Leben zu schützen, dass sie integrativ und gerecht sowie auf den Menschen ausgerichtet und zugänglich sein sollten und dass sie auf Forschung und Innovation beruhen und zwischen den Mitgliedstaaten koordiniert werden;</w:t>
      </w:r>
    </w:p>
    <w:p w:rsidRPr="004135C1" w:rsidR="004135C1" w:rsidP="00E21ECD" w:rsidRDefault="004135C1" w14:paraId="20774A8D" w14:textId="77777777">
      <w:pPr>
        <w:widowControl w:val="0"/>
        <w:numPr>
          <w:ilvl w:val="0"/>
          <w:numId w:val="44"/>
        </w:numPr>
        <w:overflowPunct w:val="0"/>
        <w:autoSpaceDE w:val="0"/>
        <w:autoSpaceDN w:val="0"/>
        <w:adjustRightInd w:val="0"/>
        <w:spacing w:line="276" w:lineRule="auto"/>
        <w:ind w:left="709" w:right="283" w:hanging="425"/>
        <w:textAlignment w:val="baseline"/>
        <w:rPr>
          <w:bCs/>
          <w:iCs/>
          <w:szCs w:val="20"/>
        </w:rPr>
      </w:pPr>
      <w:r>
        <w:t>fordert die Europäische Kommission auf, die Gesundheit und die weitere Integration der nationalen Gesundheitssysteme als Prioritäten für das Mandat 2024–2029 zu behandeln und diese Prioritäten durch eine ehrgeizige institutionelle Förderung und höhere Investitionen zu unterstützen;</w:t>
      </w:r>
    </w:p>
    <w:p w:rsidRPr="004135C1" w:rsidR="004135C1" w:rsidP="00E21ECD" w:rsidRDefault="004135C1" w14:paraId="1B73C829" w14:textId="77777777">
      <w:pPr>
        <w:widowControl w:val="0"/>
        <w:numPr>
          <w:ilvl w:val="0"/>
          <w:numId w:val="44"/>
        </w:numPr>
        <w:overflowPunct w:val="0"/>
        <w:autoSpaceDE w:val="0"/>
        <w:autoSpaceDN w:val="0"/>
        <w:adjustRightInd w:val="0"/>
        <w:spacing w:line="276" w:lineRule="auto"/>
        <w:ind w:left="709" w:right="283" w:hanging="425"/>
        <w:textAlignment w:val="baseline"/>
        <w:rPr>
          <w:bCs/>
          <w:iCs/>
          <w:szCs w:val="20"/>
        </w:rPr>
      </w:pPr>
      <w:r>
        <w:t>begrüßt den in den politischen Leitlinien für die nächste Kommission angekündigten Rechtsakt zu kritischen Arzneimitteln und fordert diesbezüglich eine stärkere Zusammenarbeit mit den Mitgliedstaaten, öffentlichen und privaten Akteuren, der Wissenschaft und der Zivilgesellschaft;</w:t>
      </w:r>
    </w:p>
    <w:p w:rsidRPr="004135C1" w:rsidR="004135C1" w:rsidP="00E21ECD" w:rsidRDefault="004135C1" w14:paraId="43D28491" w14:textId="77777777">
      <w:pPr>
        <w:widowControl w:val="0"/>
        <w:numPr>
          <w:ilvl w:val="0"/>
          <w:numId w:val="44"/>
        </w:numPr>
        <w:overflowPunct w:val="0"/>
        <w:autoSpaceDE w:val="0"/>
        <w:autoSpaceDN w:val="0"/>
        <w:adjustRightInd w:val="0"/>
        <w:spacing w:line="276" w:lineRule="auto"/>
        <w:ind w:left="709" w:right="283" w:hanging="425"/>
        <w:textAlignment w:val="baseline"/>
        <w:rPr>
          <w:bCs/>
          <w:iCs/>
          <w:szCs w:val="20"/>
        </w:rPr>
      </w:pPr>
      <w:r>
        <w:t>fordert ein integriertes, vielschichtiges und auf den Patienten ausgerichtetes Konzept, durch das der Zugang zu sicheren, wirksamen und hochwertigen Arzneimitteln, Diagnosen und Behandlungen sichergestellt wird;</w:t>
      </w:r>
    </w:p>
    <w:p w:rsidRPr="004135C1" w:rsidR="004135C1" w:rsidP="00E21ECD" w:rsidRDefault="004135C1" w14:paraId="7E3486F0" w14:textId="77777777">
      <w:pPr>
        <w:widowControl w:val="0"/>
        <w:numPr>
          <w:ilvl w:val="0"/>
          <w:numId w:val="44"/>
        </w:numPr>
        <w:overflowPunct w:val="0"/>
        <w:autoSpaceDE w:val="0"/>
        <w:autoSpaceDN w:val="0"/>
        <w:adjustRightInd w:val="0"/>
        <w:spacing w:line="276" w:lineRule="auto"/>
        <w:ind w:left="709" w:right="283" w:hanging="425"/>
        <w:textAlignment w:val="baseline"/>
        <w:rPr>
          <w:rFonts w:asciiTheme="minorHAnsi" w:hAnsiTheme="minorHAnsi"/>
          <w:szCs w:val="20"/>
        </w:rPr>
      </w:pPr>
      <w:r>
        <w:t>schlägt eine Reihe konkreter Maßnahmen vor, mit denen die Wettbewerbsfähigkeit und die Widerstandsfähigkeit dieser Branche erhöht und die Arbeitsbedingungen verbessert und gleichzeitig die Abhängigkeit von Drittländern verringert und Engpässe vermieden werden. Insbesondere empfiehlt er eine Aktualisierung der im Rahmen des Übergangspfads für den Gesundheitsbereich („health transition pathway“) vorgesehenen Maßnahmen, um den Binnenmarkt in der Gesundheitsbranche zu stärken;</w:t>
      </w:r>
    </w:p>
    <w:p w:rsidRPr="004135C1" w:rsidR="004135C1" w:rsidP="00E21ECD" w:rsidRDefault="004135C1" w14:paraId="4029A457" w14:textId="77777777">
      <w:pPr>
        <w:widowControl w:val="0"/>
        <w:numPr>
          <w:ilvl w:val="0"/>
          <w:numId w:val="44"/>
        </w:numPr>
        <w:overflowPunct w:val="0"/>
        <w:autoSpaceDE w:val="0"/>
        <w:autoSpaceDN w:val="0"/>
        <w:adjustRightInd w:val="0"/>
        <w:spacing w:line="276" w:lineRule="auto"/>
        <w:ind w:left="709" w:right="283" w:hanging="425"/>
        <w:textAlignment w:val="baseline"/>
        <w:rPr>
          <w:rFonts w:asciiTheme="minorHAnsi" w:hAnsiTheme="minorHAnsi"/>
          <w:szCs w:val="20"/>
        </w:rPr>
      </w:pPr>
      <w:r>
        <w:t>fordert mit Blick auf den digitalen Wandel im Gesundheitswesen eine auf den Menschen ausgerichtete Nutzung künstlicher Intelligenz (KI), eine verbesserte Nutzbarkeit der Daten, gemeinsame und sichere digitale Räume sowie einen verstärkten Schutz vor Cyberrisiken;</w:t>
      </w:r>
    </w:p>
    <w:p w:rsidRPr="004135C1" w:rsidR="004135C1" w:rsidP="00E21ECD" w:rsidRDefault="004135C1" w14:paraId="189280E3" w14:textId="77777777">
      <w:pPr>
        <w:widowControl w:val="0"/>
        <w:numPr>
          <w:ilvl w:val="0"/>
          <w:numId w:val="44"/>
        </w:numPr>
        <w:overflowPunct w:val="0"/>
        <w:autoSpaceDE w:val="0"/>
        <w:autoSpaceDN w:val="0"/>
        <w:adjustRightInd w:val="0"/>
        <w:spacing w:line="276" w:lineRule="auto"/>
        <w:ind w:left="709" w:right="283" w:hanging="425"/>
        <w:textAlignment w:val="baseline"/>
        <w:rPr>
          <w:rFonts w:asciiTheme="minorHAnsi" w:hAnsiTheme="minorHAnsi"/>
          <w:szCs w:val="20"/>
        </w:rPr>
      </w:pPr>
      <w:r>
        <w:t>unterstützt Innovation als Antrieb für die Wettbewerbsfähigkeit und fordert eine supranationale öffentliche Forschungsinfrastruktur für Arzneimittel;</w:t>
      </w:r>
    </w:p>
    <w:p w:rsidRPr="004135C1" w:rsidR="004135C1" w:rsidP="00E21ECD" w:rsidRDefault="004135C1" w14:paraId="476751CA" w14:textId="77777777">
      <w:pPr>
        <w:widowControl w:val="0"/>
        <w:numPr>
          <w:ilvl w:val="0"/>
          <w:numId w:val="44"/>
        </w:numPr>
        <w:overflowPunct w:val="0"/>
        <w:autoSpaceDE w:val="0"/>
        <w:autoSpaceDN w:val="0"/>
        <w:adjustRightInd w:val="0"/>
        <w:spacing w:line="276" w:lineRule="auto"/>
        <w:ind w:left="709" w:right="283" w:hanging="425"/>
        <w:textAlignment w:val="baseline"/>
        <w:rPr>
          <w:rFonts w:asciiTheme="minorHAnsi" w:hAnsiTheme="minorHAnsi"/>
          <w:szCs w:val="20"/>
        </w:rPr>
      </w:pPr>
      <w:r>
        <w:t>betont das Potenzial präventiver und personalisierter Medizin sowie die Notwendigkeit, die Investitionen im Bereich seltener Krankheiten zu erhöhen;</w:t>
      </w:r>
    </w:p>
    <w:p w:rsidRPr="004135C1" w:rsidR="004135C1" w:rsidP="00E21ECD" w:rsidRDefault="004135C1" w14:paraId="61B99D9A" w14:textId="77777777">
      <w:pPr>
        <w:widowControl w:val="0"/>
        <w:numPr>
          <w:ilvl w:val="0"/>
          <w:numId w:val="44"/>
        </w:numPr>
        <w:overflowPunct w:val="0"/>
        <w:autoSpaceDE w:val="0"/>
        <w:autoSpaceDN w:val="0"/>
        <w:adjustRightInd w:val="0"/>
        <w:spacing w:line="276" w:lineRule="auto"/>
        <w:ind w:left="709" w:right="283" w:hanging="425"/>
        <w:textAlignment w:val="baseline"/>
        <w:rPr>
          <w:rFonts w:asciiTheme="minorHAnsi" w:hAnsiTheme="minorHAnsi"/>
          <w:szCs w:val="20"/>
        </w:rPr>
      </w:pPr>
      <w:r>
        <w:t xml:space="preserve">betont die Bedeutung eines universellen und gerechten Zugangs zu Gesundheitsversorgung und Arzneimitteln in der gesamten EU. Dazu gehören ausgewogene Preise auf der Grundlage des Modells für eine faire Preisgestaltung. </w:t>
      </w:r>
    </w:p>
    <w:p w:rsidRPr="004135C1" w:rsidR="004135C1" w:rsidP="00E21ECD" w:rsidRDefault="004135C1" w14:paraId="28E01A61" w14:textId="77777777">
      <w:pPr>
        <w:widowControl w:val="0"/>
        <w:overflowPunct w:val="0"/>
        <w:autoSpaceDE w:val="0"/>
        <w:autoSpaceDN w:val="0"/>
        <w:adjustRightInd w:val="0"/>
        <w:spacing w:line="276" w:lineRule="auto"/>
        <w:ind w:left="709"/>
        <w:textAlignment w:val="baseline"/>
        <w:rPr>
          <w:rFonts w:asciiTheme="minorHAnsi" w:hAnsiTheme="minorHAnsi"/>
          <w:szCs w:val="20"/>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35C1" w:rsidR="004135C1" w:rsidTr="00863A8F" w14:paraId="0D9DE5D8" w14:textId="77777777">
        <w:tc>
          <w:tcPr>
            <w:tcW w:w="1556" w:type="pct"/>
          </w:tcPr>
          <w:p w:rsidRPr="004135C1" w:rsidR="004135C1" w:rsidP="00E21ECD" w:rsidRDefault="004135C1" w14:paraId="3860B143" w14:textId="77777777">
            <w:pPr>
              <w:overflowPunct w:val="0"/>
              <w:autoSpaceDE w:val="0"/>
              <w:autoSpaceDN w:val="0"/>
              <w:adjustRightInd w:val="0"/>
              <w:spacing w:line="276" w:lineRule="auto"/>
              <w:textAlignment w:val="baseline"/>
              <w:rPr>
                <w:i/>
              </w:rPr>
            </w:pPr>
            <w:r>
              <w:rPr>
                <w:b/>
                <w:i/>
              </w:rPr>
              <w:t>Kontakt</w:t>
            </w:r>
          </w:p>
        </w:tc>
        <w:tc>
          <w:tcPr>
            <w:tcW w:w="3444" w:type="pct"/>
          </w:tcPr>
          <w:p w:rsidRPr="004135C1" w:rsidR="004135C1" w:rsidP="00E21ECD" w:rsidRDefault="004135C1" w14:paraId="707D2FC1" w14:textId="37692FEF">
            <w:pPr>
              <w:overflowPunct w:val="0"/>
              <w:autoSpaceDE w:val="0"/>
              <w:autoSpaceDN w:val="0"/>
              <w:adjustRightInd w:val="0"/>
              <w:spacing w:line="276" w:lineRule="auto"/>
              <w:textAlignment w:val="baseline"/>
              <w:rPr>
                <w:i/>
              </w:rPr>
            </w:pPr>
            <w:r>
              <w:rPr>
                <w:i/>
              </w:rPr>
              <w:t>Laia Tomàs Vinardell</w:t>
            </w:r>
          </w:p>
        </w:tc>
      </w:tr>
      <w:tr w:rsidRPr="004135C1" w:rsidR="004135C1" w:rsidTr="00863A8F" w14:paraId="52696548" w14:textId="77777777">
        <w:tc>
          <w:tcPr>
            <w:tcW w:w="1556" w:type="pct"/>
          </w:tcPr>
          <w:p w:rsidRPr="004135C1" w:rsidR="004135C1" w:rsidP="00E21ECD" w:rsidRDefault="004135C1" w14:paraId="7D874424" w14:textId="77777777">
            <w:pPr>
              <w:overflowPunct w:val="0"/>
              <w:autoSpaceDE w:val="0"/>
              <w:autoSpaceDN w:val="0"/>
              <w:adjustRightInd w:val="0"/>
              <w:spacing w:line="276" w:lineRule="auto"/>
              <w:textAlignment w:val="baseline"/>
              <w:rPr>
                <w:i/>
              </w:rPr>
            </w:pPr>
            <w:r>
              <w:rPr>
                <w:i/>
              </w:rPr>
              <w:t>Tel.</w:t>
            </w:r>
          </w:p>
        </w:tc>
        <w:tc>
          <w:tcPr>
            <w:tcW w:w="3444" w:type="pct"/>
          </w:tcPr>
          <w:p w:rsidRPr="004135C1" w:rsidR="004135C1" w:rsidP="00E21ECD" w:rsidRDefault="004135C1" w14:paraId="494E0D84" w14:textId="77777777">
            <w:pPr>
              <w:overflowPunct w:val="0"/>
              <w:autoSpaceDE w:val="0"/>
              <w:autoSpaceDN w:val="0"/>
              <w:adjustRightInd w:val="0"/>
              <w:spacing w:line="276" w:lineRule="auto"/>
              <w:textAlignment w:val="baseline"/>
              <w:rPr>
                <w:i/>
              </w:rPr>
            </w:pPr>
            <w:r>
              <w:rPr>
                <w:i/>
              </w:rPr>
              <w:t>+32 25469149</w:t>
            </w:r>
          </w:p>
        </w:tc>
      </w:tr>
      <w:tr w:rsidRPr="004135C1" w:rsidR="004135C1" w:rsidTr="00863A8F" w14:paraId="683775F3" w14:textId="77777777">
        <w:tc>
          <w:tcPr>
            <w:tcW w:w="1556" w:type="pct"/>
          </w:tcPr>
          <w:p w:rsidRPr="004135C1" w:rsidR="004135C1" w:rsidP="00E21ECD" w:rsidRDefault="004135C1" w14:paraId="305F5D50" w14:textId="77777777">
            <w:pPr>
              <w:overflowPunct w:val="0"/>
              <w:autoSpaceDE w:val="0"/>
              <w:autoSpaceDN w:val="0"/>
              <w:adjustRightInd w:val="0"/>
              <w:spacing w:line="276" w:lineRule="auto"/>
              <w:textAlignment w:val="baseline"/>
              <w:rPr>
                <w:i/>
              </w:rPr>
            </w:pPr>
            <w:r>
              <w:rPr>
                <w:i/>
              </w:rPr>
              <w:t>E-Mail</w:t>
            </w:r>
          </w:p>
        </w:tc>
        <w:tc>
          <w:tcPr>
            <w:tcW w:w="3444" w:type="pct"/>
          </w:tcPr>
          <w:p w:rsidRPr="004135C1" w:rsidR="0052039C" w:rsidP="00E21ECD" w:rsidRDefault="005204CC" w14:paraId="558B9DF4" w14:textId="53E70D00">
            <w:pPr>
              <w:overflowPunct w:val="0"/>
              <w:autoSpaceDE w:val="0"/>
              <w:autoSpaceDN w:val="0"/>
              <w:adjustRightInd w:val="0"/>
              <w:spacing w:line="276" w:lineRule="auto"/>
              <w:textAlignment w:val="baseline"/>
              <w:rPr>
                <w:i/>
              </w:rPr>
            </w:pPr>
            <w:hyperlink w:history="1" r:id="rId51">
              <w:r w:rsidR="009B458F">
                <w:rPr>
                  <w:i/>
                  <w:color w:val="0000FF"/>
                  <w:u w:val="single"/>
                </w:rPr>
                <w:t>Laia.TomasVinardell@eesc.europa.eu</w:t>
              </w:r>
            </w:hyperlink>
          </w:p>
        </w:tc>
      </w:tr>
    </w:tbl>
    <w:p w:rsidRPr="002B1BC5" w:rsidR="004135C1" w:rsidP="00643D0B" w:rsidRDefault="005204CC" w14:paraId="2EA45047" w14:textId="0199B68E">
      <w:pPr>
        <w:pageBreakBefore/>
        <w:widowControl w:val="0"/>
        <w:numPr>
          <w:ilvl w:val="0"/>
          <w:numId w:val="6"/>
        </w:numPr>
        <w:overflowPunct w:val="0"/>
        <w:autoSpaceDE w:val="0"/>
        <w:autoSpaceDN w:val="0"/>
        <w:adjustRightInd w:val="0"/>
        <w:spacing w:line="276" w:lineRule="auto"/>
        <w:ind w:hanging="567"/>
        <w:textAlignment w:val="baseline"/>
        <w:rPr>
          <w:b/>
          <w:bCs/>
          <w:i/>
          <w:iCs/>
          <w:color w:val="0000FF"/>
          <w:sz w:val="28"/>
          <w:szCs w:val="28"/>
          <w:u w:val="single"/>
        </w:rPr>
      </w:pPr>
      <w:hyperlink w:history="1" r:id="rId52">
        <w:r w:rsidR="004135C1">
          <w:rPr>
            <w:b/>
            <w:i/>
            <w:color w:val="0000FF"/>
            <w:sz w:val="28"/>
            <w:u w:val="single"/>
          </w:rPr>
          <w:t>Fachdienstleistungen im ökologischen Wandel</w:t>
        </w:r>
      </w:hyperlink>
    </w:p>
    <w:p w:rsidR="001D7E3C" w:rsidP="000016DA" w:rsidRDefault="001D7E3C" w14:paraId="61373B3B" w14:textId="77777777">
      <w:pPr>
        <w:tabs>
          <w:tab w:val="center" w:pos="284"/>
        </w:tabs>
        <w:overflowPunct w:val="0"/>
        <w:autoSpaceDE w:val="0"/>
        <w:autoSpaceDN w:val="0"/>
        <w:adjustRightInd w:val="0"/>
        <w:spacing w:line="276" w:lineRule="auto"/>
        <w:ind w:left="266" w:hanging="266"/>
        <w:textAlignment w:val="baseline"/>
        <w:rPr>
          <w:b/>
          <w:lang w:val="en-GB"/>
        </w:rPr>
      </w:pPr>
    </w:p>
    <w:tbl>
      <w:tblPr>
        <w:tblStyle w:val="TableGrid17"/>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7028"/>
      </w:tblGrid>
      <w:tr w:rsidRPr="004135C1" w:rsidR="004135C1" w:rsidTr="00863A8F" w14:paraId="140B809D" w14:textId="77777777">
        <w:tc>
          <w:tcPr>
            <w:tcW w:w="1148" w:type="pct"/>
          </w:tcPr>
          <w:p w:rsidRPr="004135C1" w:rsidR="004135C1" w:rsidP="00643D0B" w:rsidRDefault="004135C1" w14:paraId="0B968550" w14:textId="77777777">
            <w:pPr>
              <w:tabs>
                <w:tab w:val="center" w:pos="284"/>
              </w:tabs>
              <w:overflowPunct w:val="0"/>
              <w:autoSpaceDE w:val="0"/>
              <w:autoSpaceDN w:val="0"/>
              <w:adjustRightInd w:val="0"/>
              <w:spacing w:line="276" w:lineRule="auto"/>
              <w:ind w:left="266" w:hanging="266"/>
              <w:textAlignment w:val="baseline"/>
              <w:rPr>
                <w:b/>
              </w:rPr>
            </w:pPr>
            <w:r>
              <w:rPr>
                <w:b/>
              </w:rPr>
              <w:t>Berichterstatterin</w:t>
            </w:r>
          </w:p>
        </w:tc>
        <w:tc>
          <w:tcPr>
            <w:tcW w:w="3852" w:type="pct"/>
          </w:tcPr>
          <w:p w:rsidRPr="00643D0B" w:rsidR="004135C1" w:rsidP="00643D0B" w:rsidRDefault="004135C1" w14:paraId="288511E0" w14:textId="00FD0DFA">
            <w:pPr>
              <w:tabs>
                <w:tab w:val="center" w:pos="284"/>
              </w:tabs>
              <w:overflowPunct w:val="0"/>
              <w:autoSpaceDE w:val="0"/>
              <w:autoSpaceDN w:val="0"/>
              <w:adjustRightInd w:val="0"/>
              <w:spacing w:line="276" w:lineRule="auto"/>
              <w:ind w:left="266" w:hanging="266"/>
              <w:textAlignment w:val="baseline"/>
            </w:pPr>
            <w:r>
              <w:t>Violeta JELIĆ (Gruppe Arbeitgeber – HR)</w:t>
            </w:r>
          </w:p>
        </w:tc>
      </w:tr>
      <w:tr w:rsidRPr="004135C1" w:rsidR="004135C1" w:rsidTr="00863A8F" w14:paraId="43C07CCE" w14:textId="77777777">
        <w:tc>
          <w:tcPr>
            <w:tcW w:w="1148" w:type="pct"/>
          </w:tcPr>
          <w:p w:rsidRPr="004135C1" w:rsidR="004135C1" w:rsidP="00643D0B" w:rsidRDefault="004135C1" w14:paraId="1851D065" w14:textId="77777777">
            <w:pPr>
              <w:tabs>
                <w:tab w:val="center" w:pos="284"/>
              </w:tabs>
              <w:overflowPunct w:val="0"/>
              <w:autoSpaceDE w:val="0"/>
              <w:autoSpaceDN w:val="0"/>
              <w:adjustRightInd w:val="0"/>
              <w:spacing w:line="276" w:lineRule="auto"/>
              <w:ind w:left="266" w:hanging="266"/>
              <w:textAlignment w:val="baseline"/>
              <w:rPr>
                <w:b/>
              </w:rPr>
            </w:pPr>
            <w:r>
              <w:rPr>
                <w:b/>
              </w:rPr>
              <w:t>Ko-Berichterstatter</w:t>
            </w:r>
          </w:p>
        </w:tc>
        <w:tc>
          <w:tcPr>
            <w:tcW w:w="3852" w:type="pct"/>
          </w:tcPr>
          <w:p w:rsidRPr="00643D0B" w:rsidR="004135C1" w:rsidP="00643D0B" w:rsidRDefault="004135C1" w14:paraId="15B45F80" w14:textId="070DDFA1">
            <w:pPr>
              <w:tabs>
                <w:tab w:val="center" w:pos="284"/>
              </w:tabs>
              <w:overflowPunct w:val="0"/>
              <w:autoSpaceDE w:val="0"/>
              <w:autoSpaceDN w:val="0"/>
              <w:adjustRightInd w:val="0"/>
              <w:spacing w:line="276" w:lineRule="auto"/>
              <w:ind w:left="266" w:hanging="266"/>
              <w:textAlignment w:val="baseline"/>
            </w:pPr>
            <w:r>
              <w:t>Gaetano STELLA (Kat. 3 – IT)</w:t>
            </w:r>
          </w:p>
        </w:tc>
      </w:tr>
      <w:tr w:rsidRPr="004135C1" w:rsidR="004135C1" w:rsidTr="00863A8F" w14:paraId="466DF065" w14:textId="77777777">
        <w:tc>
          <w:tcPr>
            <w:tcW w:w="5000" w:type="pct"/>
            <w:gridSpan w:val="2"/>
          </w:tcPr>
          <w:p w:rsidRPr="000C68EA" w:rsidR="004135C1" w:rsidP="00643D0B" w:rsidRDefault="004135C1" w14:paraId="4A80B35E" w14:textId="77777777">
            <w:pPr>
              <w:tabs>
                <w:tab w:val="center" w:pos="284"/>
              </w:tabs>
              <w:overflowPunct w:val="0"/>
              <w:autoSpaceDE w:val="0"/>
              <w:autoSpaceDN w:val="0"/>
              <w:adjustRightInd w:val="0"/>
              <w:spacing w:line="276" w:lineRule="auto"/>
              <w:ind w:left="266" w:hanging="266"/>
              <w:textAlignment w:val="baseline"/>
            </w:pPr>
          </w:p>
        </w:tc>
      </w:tr>
      <w:tr w:rsidRPr="004135C1" w:rsidR="004135C1" w:rsidTr="00863A8F" w14:paraId="6B9424B3" w14:textId="77777777">
        <w:tc>
          <w:tcPr>
            <w:tcW w:w="1148" w:type="pct"/>
            <w:vMerge w:val="restart"/>
          </w:tcPr>
          <w:p w:rsidRPr="00643D0B" w:rsidR="004135C1" w:rsidP="00643D0B" w:rsidRDefault="004135C1" w14:paraId="02AC24F7" w14:textId="77777777">
            <w:pPr>
              <w:tabs>
                <w:tab w:val="center" w:pos="284"/>
              </w:tabs>
              <w:overflowPunct w:val="0"/>
              <w:autoSpaceDE w:val="0"/>
              <w:autoSpaceDN w:val="0"/>
              <w:adjustRightInd w:val="0"/>
              <w:spacing w:line="276" w:lineRule="auto"/>
              <w:ind w:left="266" w:hanging="266"/>
              <w:textAlignment w:val="baseline"/>
              <w:rPr>
                <w:b/>
              </w:rPr>
            </w:pPr>
            <w:r>
              <w:rPr>
                <w:b/>
              </w:rPr>
              <w:t>Referenzdokument</w:t>
            </w:r>
          </w:p>
        </w:tc>
        <w:tc>
          <w:tcPr>
            <w:tcW w:w="3852" w:type="pct"/>
          </w:tcPr>
          <w:p w:rsidRPr="00643D0B" w:rsidR="00533F3C" w:rsidRDefault="00533F3C" w14:paraId="11CA740D" w14:textId="4B9D5513">
            <w:pPr>
              <w:tabs>
                <w:tab w:val="center" w:pos="284"/>
              </w:tabs>
              <w:overflowPunct w:val="0"/>
              <w:autoSpaceDE w:val="0"/>
              <w:autoSpaceDN w:val="0"/>
              <w:adjustRightInd w:val="0"/>
              <w:spacing w:line="276" w:lineRule="auto"/>
              <w:ind w:left="266" w:hanging="266"/>
              <w:textAlignment w:val="baseline"/>
            </w:pPr>
            <w:r>
              <w:t>Initiativstellungnahme</w:t>
            </w:r>
          </w:p>
          <w:p w:rsidRPr="00BB600D" w:rsidR="004135C1" w:rsidP="00643D0B" w:rsidRDefault="004135C1" w14:paraId="2112DC24" w14:textId="3A48DE1E">
            <w:pPr>
              <w:tabs>
                <w:tab w:val="center" w:pos="284"/>
              </w:tabs>
              <w:overflowPunct w:val="0"/>
              <w:autoSpaceDE w:val="0"/>
              <w:autoSpaceDN w:val="0"/>
              <w:adjustRightInd w:val="0"/>
              <w:spacing w:line="276" w:lineRule="auto"/>
              <w:ind w:left="266" w:hanging="266"/>
              <w:textAlignment w:val="baseline"/>
            </w:pPr>
            <w:r>
              <w:rPr>
                <w:sz w:val="22"/>
              </w:rPr>
              <w:t>EESC-2024-01953-00-00-</w:t>
            </w:r>
            <w:r>
              <w:t>AC</w:t>
            </w:r>
          </w:p>
        </w:tc>
      </w:tr>
      <w:tr w:rsidRPr="004135C1" w:rsidR="004135C1" w:rsidTr="00863A8F" w14:paraId="42036589" w14:textId="77777777">
        <w:tc>
          <w:tcPr>
            <w:tcW w:w="1148" w:type="pct"/>
            <w:vMerge/>
          </w:tcPr>
          <w:p w:rsidRPr="004135C1" w:rsidR="004135C1" w:rsidP="00643D0B" w:rsidRDefault="004135C1" w14:paraId="2D50CCC8" w14:textId="77777777">
            <w:pPr>
              <w:tabs>
                <w:tab w:val="center" w:pos="284"/>
              </w:tabs>
              <w:overflowPunct w:val="0"/>
              <w:autoSpaceDE w:val="0"/>
              <w:autoSpaceDN w:val="0"/>
              <w:adjustRightInd w:val="0"/>
              <w:spacing w:line="276" w:lineRule="auto"/>
              <w:ind w:left="266" w:hanging="266"/>
              <w:textAlignment w:val="baseline"/>
              <w:rPr>
                <w:b/>
              </w:rPr>
            </w:pPr>
          </w:p>
        </w:tc>
        <w:tc>
          <w:tcPr>
            <w:tcW w:w="3852" w:type="pct"/>
          </w:tcPr>
          <w:p w:rsidRPr="004135C1" w:rsidR="004135C1" w:rsidP="00643D0B" w:rsidRDefault="004135C1" w14:paraId="0FCCE1E9" w14:textId="77777777">
            <w:pPr>
              <w:tabs>
                <w:tab w:val="center" w:pos="284"/>
              </w:tabs>
              <w:overflowPunct w:val="0"/>
              <w:autoSpaceDE w:val="0"/>
              <w:autoSpaceDN w:val="0"/>
              <w:adjustRightInd w:val="0"/>
              <w:spacing w:line="276" w:lineRule="auto"/>
              <w:ind w:left="266" w:hanging="266"/>
              <w:textAlignment w:val="baseline"/>
            </w:pPr>
          </w:p>
        </w:tc>
      </w:tr>
    </w:tbl>
    <w:p w:rsidR="00E937A4" w:rsidP="000016DA" w:rsidRDefault="00E937A4" w14:paraId="101D3E51"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4135C1" w:rsidR="004135C1" w:rsidP="00643D0B" w:rsidRDefault="004135C1" w14:paraId="175B13F6" w14:textId="51E66E2B">
      <w:pPr>
        <w:keepNext/>
        <w:keepLines/>
        <w:tabs>
          <w:tab w:val="center" w:pos="284"/>
        </w:tabs>
        <w:overflowPunct w:val="0"/>
        <w:autoSpaceDE w:val="0"/>
        <w:autoSpaceDN w:val="0"/>
        <w:adjustRightInd w:val="0"/>
        <w:spacing w:line="276" w:lineRule="auto"/>
        <w:ind w:left="266" w:hanging="266"/>
        <w:textAlignment w:val="baseline"/>
        <w:rPr>
          <w:b/>
        </w:rPr>
      </w:pPr>
      <w:r>
        <w:rPr>
          <w:b/>
        </w:rPr>
        <w:t>Kernaussagen</w:t>
      </w:r>
    </w:p>
    <w:p w:rsidRPr="004135C1" w:rsidR="004135C1" w:rsidP="00643D0B" w:rsidRDefault="004135C1" w14:paraId="1C197A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004135C1" w:rsidP="000016DA" w:rsidRDefault="004135C1" w14:paraId="186AC765" w14:textId="77777777">
      <w:pPr>
        <w:overflowPunct w:val="0"/>
        <w:autoSpaceDE w:val="0"/>
        <w:autoSpaceDN w:val="0"/>
        <w:adjustRightInd w:val="0"/>
        <w:spacing w:line="276" w:lineRule="auto"/>
        <w:textAlignment w:val="baseline"/>
        <w:rPr>
          <w:bCs/>
          <w:iCs/>
        </w:rPr>
      </w:pPr>
      <w:r>
        <w:t>Der EWSA</w:t>
      </w:r>
    </w:p>
    <w:p w:rsidR="00E937A4" w:rsidP="000016DA" w:rsidRDefault="00E937A4" w14:paraId="1630A997" w14:textId="77777777">
      <w:pPr>
        <w:overflowPunct w:val="0"/>
        <w:autoSpaceDE w:val="0"/>
        <w:autoSpaceDN w:val="0"/>
        <w:adjustRightInd w:val="0"/>
        <w:spacing w:line="276" w:lineRule="auto"/>
        <w:textAlignment w:val="baseline"/>
        <w:rPr>
          <w:bCs/>
          <w:iCs/>
          <w:lang w:val="en-GB"/>
        </w:rPr>
      </w:pPr>
    </w:p>
    <w:p w:rsidRPr="004135C1" w:rsidR="004135C1" w:rsidP="00E21ECD" w:rsidRDefault="004135C1" w14:paraId="53701C4C" w14:textId="77777777">
      <w:pPr>
        <w:widowControl w:val="0"/>
        <w:numPr>
          <w:ilvl w:val="0"/>
          <w:numId w:val="45"/>
        </w:numPr>
        <w:overflowPunct w:val="0"/>
        <w:autoSpaceDE w:val="0"/>
        <w:autoSpaceDN w:val="0"/>
        <w:adjustRightInd w:val="0"/>
        <w:ind w:left="709" w:right="283" w:hanging="425"/>
        <w:textAlignment w:val="baseline"/>
        <w:rPr>
          <w:bCs/>
          <w:iCs/>
        </w:rPr>
      </w:pPr>
      <w:r>
        <w:t>trägt mit dieser Stellungnahme zu den gemeinsamen Bemühungen bei, die Wettbewerbsfähigkeit Europas wiederherzustellen, seine Position in der Wirtschaft zu stärken und zugleich die Leistungsfähigkeit der europäischen Unternehmen beim ökologischen Wandel zu verbessern;</w:t>
      </w:r>
    </w:p>
    <w:p w:rsidRPr="004135C1" w:rsidR="004135C1" w:rsidP="00E21ECD" w:rsidRDefault="004135C1" w14:paraId="0EFA68B4" w14:textId="77777777">
      <w:pPr>
        <w:widowControl w:val="0"/>
        <w:numPr>
          <w:ilvl w:val="0"/>
          <w:numId w:val="45"/>
        </w:numPr>
        <w:overflowPunct w:val="0"/>
        <w:autoSpaceDE w:val="0"/>
        <w:autoSpaceDN w:val="0"/>
        <w:adjustRightInd w:val="0"/>
        <w:ind w:left="709" w:right="283" w:hanging="425"/>
        <w:textAlignment w:val="baseline"/>
        <w:rPr>
          <w:bCs/>
          <w:iCs/>
        </w:rPr>
      </w:pPr>
      <w:r>
        <w:t>ist sich der grundlegenden Rolle der Fachdienstleistungen beim ökologischen Wandel bewusst;</w:t>
      </w:r>
    </w:p>
    <w:p w:rsidRPr="004135C1" w:rsidR="004135C1" w:rsidP="00E21ECD" w:rsidRDefault="004135C1" w14:paraId="378F73BE" w14:textId="77777777">
      <w:pPr>
        <w:widowControl w:val="0"/>
        <w:numPr>
          <w:ilvl w:val="0"/>
          <w:numId w:val="45"/>
        </w:numPr>
        <w:overflowPunct w:val="0"/>
        <w:autoSpaceDE w:val="0"/>
        <w:autoSpaceDN w:val="0"/>
        <w:adjustRightInd w:val="0"/>
        <w:ind w:left="709" w:right="283" w:hanging="425"/>
        <w:textAlignment w:val="baseline"/>
        <w:rPr>
          <w:bCs/>
          <w:iCs/>
        </w:rPr>
      </w:pPr>
      <w:r>
        <w:t>ist besorgt darüber, dass der Ökologisierungsprozess aufgrund des Arbeits- und Fachkräftemangels, des Missverhältnisses zwischen Qualifikationsangebot und -nachfrage, des zunehmenden Regelungs-, Verwaltungs- und Kostenaufwands sowie neuer Herausforderungen, die sich aus den raschen Veränderungen in den Lieferketten ergeben, ins Stocken geraten könnte;</w:t>
      </w:r>
    </w:p>
    <w:p w:rsidRPr="004135C1" w:rsidR="004135C1" w:rsidP="00E21ECD" w:rsidRDefault="004135C1" w14:paraId="15581C43" w14:textId="77777777">
      <w:pPr>
        <w:widowControl w:val="0"/>
        <w:numPr>
          <w:ilvl w:val="0"/>
          <w:numId w:val="45"/>
        </w:numPr>
        <w:overflowPunct w:val="0"/>
        <w:autoSpaceDE w:val="0"/>
        <w:autoSpaceDN w:val="0"/>
        <w:adjustRightInd w:val="0"/>
        <w:ind w:left="709" w:right="283" w:hanging="425"/>
        <w:textAlignment w:val="baseline"/>
        <w:rPr>
          <w:bCs/>
          <w:iCs/>
        </w:rPr>
      </w:pPr>
      <w:r>
        <w:t>erwartet, dass die Änderungen in der Dynamik der Lieferketten des verarbeitenden Gewerbes dazu beitragen, Wertschöpfungsketten neu zu positionieren und Rückverlagerungen zu fördern, was bedeutet, dass Unternehmen zunehmend erwägen, Produktion und Dienstleistungen, die zuvor in Drittstaaten ausgelagert wurden, wieder in die EU zurückzuholen;</w:t>
      </w:r>
    </w:p>
    <w:p w:rsidRPr="004135C1" w:rsidR="004135C1" w:rsidP="00E21ECD" w:rsidRDefault="004135C1" w14:paraId="704100D1" w14:textId="1240A803">
      <w:pPr>
        <w:widowControl w:val="0"/>
        <w:numPr>
          <w:ilvl w:val="0"/>
          <w:numId w:val="45"/>
        </w:numPr>
        <w:overflowPunct w:val="0"/>
        <w:autoSpaceDE w:val="0"/>
        <w:autoSpaceDN w:val="0"/>
        <w:adjustRightInd w:val="0"/>
        <w:ind w:left="709" w:right="283" w:hanging="425"/>
        <w:textAlignment w:val="baseline"/>
        <w:rPr>
          <w:bCs/>
          <w:iCs/>
        </w:rPr>
      </w:pPr>
      <w:r>
        <w:t>ist der Auffassung, dass die neue Vision für eine Union der Kompetenzen verwirklicht werden muss. Die Bildungssysteme müssen konsequent reformiert werden, um die Lehrpläne den Veränderungen in der Arbeitswelt anzupassen, alle einschlägigen Bildungsprogramme (einschließlich MINT) zu unterstützen, eine neue Strategie für die berufliche Aus- und Weiterbildung umzusetzen, die Lehrkräfte zu unterstützen und die Koordinierung auf EU</w:t>
      </w:r>
      <w:r w:rsidR="00111DFA">
        <w:noBreakHyphen/>
      </w:r>
      <w:r>
        <w:t>Ebene zu verbessern;</w:t>
      </w:r>
    </w:p>
    <w:p w:rsidRPr="004135C1" w:rsidR="004135C1" w:rsidP="00E21ECD" w:rsidRDefault="004135C1" w14:paraId="08C940E6" w14:textId="77777777">
      <w:pPr>
        <w:widowControl w:val="0"/>
        <w:numPr>
          <w:ilvl w:val="0"/>
          <w:numId w:val="45"/>
        </w:numPr>
        <w:overflowPunct w:val="0"/>
        <w:autoSpaceDE w:val="0"/>
        <w:autoSpaceDN w:val="0"/>
        <w:adjustRightInd w:val="0"/>
        <w:ind w:left="709" w:right="283" w:hanging="425"/>
        <w:textAlignment w:val="baseline"/>
        <w:rPr>
          <w:bCs/>
          <w:iCs/>
        </w:rPr>
      </w:pPr>
      <w:r>
        <w:t>erkennt auch an, dass Bildungsinitiativen sowohl auf europäischer als auch auf einzelstaatlicher Ebene gefördert werden müssen. Dies könnte spezifische finanzielle Anreize für Berufsbildungskurse umfassen, die auf die Ökologisierung von Fachdienstleistungen abzielen. Es könnten auch akademische Lehrgänge auf EU-Ebene eingerichtet werden mit dem Ziel, neue Fachkräfte zu gewinnen oder bereits ausgebildete Fachkräfte im Hinblick auf die Nachhaltigkeitsziele zu schulen und sowohl die Anpassung als auch die Verbesserung bestehender Kompetenzen und Arbeitsplätze zu fördern (Weiterbildungs- und Umschulungsprogramme). Diese Initiativen könnten zu neuen Kompetenzen für den grünen und den digitalen Wandel führen, der als „zweifacher Wandel“ betrachtet werden kann, da beide Aspekte Hand in Hand gehen und sich gegenseitig verstärken;</w:t>
      </w:r>
    </w:p>
    <w:p w:rsidRPr="004135C1" w:rsidR="004135C1" w:rsidP="00E21ECD" w:rsidRDefault="004135C1" w14:paraId="2BCB6B7B" w14:textId="77777777">
      <w:pPr>
        <w:widowControl w:val="0"/>
        <w:numPr>
          <w:ilvl w:val="0"/>
          <w:numId w:val="45"/>
        </w:numPr>
        <w:overflowPunct w:val="0"/>
        <w:autoSpaceDE w:val="0"/>
        <w:autoSpaceDN w:val="0"/>
        <w:adjustRightInd w:val="0"/>
        <w:ind w:left="709" w:right="283" w:hanging="425"/>
        <w:textAlignment w:val="baseline"/>
        <w:rPr>
          <w:bCs/>
          <w:iCs/>
        </w:rPr>
      </w:pPr>
      <w:r>
        <w:t>schlägt vor, durch gezielte Maßnahmen die Vernetzung der Fachdienstleistungen zu unterstützen, um den Umfang der damit verbundenen Tätigkeiten zu erweitern, wobei den Besonderheiten der einzelnen Mitgliedstaaten angemessen Rechnung zu tragen ist;</w:t>
      </w:r>
    </w:p>
    <w:p w:rsidR="001D7E3C" w:rsidP="00E21ECD" w:rsidRDefault="004135C1" w14:paraId="35E722CE" w14:textId="2A3E9441">
      <w:pPr>
        <w:widowControl w:val="0"/>
        <w:numPr>
          <w:ilvl w:val="0"/>
          <w:numId w:val="45"/>
        </w:numPr>
        <w:overflowPunct w:val="0"/>
        <w:autoSpaceDE w:val="0"/>
        <w:autoSpaceDN w:val="0"/>
        <w:adjustRightInd w:val="0"/>
        <w:ind w:left="709" w:right="283" w:hanging="425"/>
        <w:textAlignment w:val="baseline"/>
        <w:rPr>
          <w:bCs/>
          <w:iCs/>
        </w:rPr>
      </w:pPr>
      <w:r>
        <w:t>ist der Auffassung, dass der Fachkräftemangel durch die Befolgung der vorgenannten Vorschläge, die Schulung qualifizierter Fachkräfte in Europa und durch politische Maßnahmen und Initiativen zur Gewinnung von Fachkräften aus Drittländern behoben werden könnte;</w:t>
      </w:r>
    </w:p>
    <w:p w:rsidRPr="00E21ECD" w:rsidR="001D7E3C" w:rsidP="00E21ECD" w:rsidRDefault="004135C1" w14:paraId="43F22060" w14:textId="11EF3409">
      <w:pPr>
        <w:widowControl w:val="0"/>
        <w:numPr>
          <w:ilvl w:val="0"/>
          <w:numId w:val="45"/>
        </w:numPr>
        <w:overflowPunct w:val="0"/>
        <w:autoSpaceDE w:val="0"/>
        <w:autoSpaceDN w:val="0"/>
        <w:adjustRightInd w:val="0"/>
        <w:ind w:left="709" w:right="283" w:hanging="425"/>
        <w:textAlignment w:val="baseline"/>
        <w:rPr>
          <w:bCs/>
          <w:iCs/>
        </w:rPr>
      </w:pPr>
      <w:r>
        <w:t>unterstreicht die große Bedeutung, die die Sozialpartner, Unternehmen für Fachdienstleistungen und weitere einschlägige Organisationen der Zivilgesellschaft für einen erfolgreichen und gerechten ökologischen Wandel haben;</w:t>
      </w:r>
    </w:p>
    <w:p w:rsidRPr="00E21ECD" w:rsidR="004135C1" w:rsidP="00E21ECD" w:rsidRDefault="004135C1" w14:paraId="482673F9" w14:textId="77777777">
      <w:pPr>
        <w:widowControl w:val="0"/>
        <w:numPr>
          <w:ilvl w:val="0"/>
          <w:numId w:val="45"/>
        </w:numPr>
        <w:overflowPunct w:val="0"/>
        <w:autoSpaceDE w:val="0"/>
        <w:autoSpaceDN w:val="0"/>
        <w:adjustRightInd w:val="0"/>
        <w:ind w:left="709" w:right="283" w:hanging="425"/>
        <w:textAlignment w:val="baseline"/>
      </w:pPr>
      <w:r>
        <w:t>weist auch auf andere Probleme bei der Erbringung von Fachdienstleistungen hin, unter anderem Hindernisse bei der Anerkennung von Berufsqualifikationen, die beseitigt werden müssen, um die berufliche Mobilität zu fördern und Qualifikationslücken zu schließen; empfiehlt kontinuierliche Anstrengungen in diesem Bereich, auch durch die Erarbeitung von Folgestellungnahmen zu diesen Fragen.</w:t>
      </w:r>
    </w:p>
    <w:p w:rsidRPr="004135C1" w:rsidR="000016DA" w:rsidP="00E21ECD" w:rsidRDefault="000016DA" w14:paraId="1AB122AC" w14:textId="77777777">
      <w:pPr>
        <w:widowControl w:val="0"/>
        <w:overflowPunct w:val="0"/>
        <w:autoSpaceDE w:val="0"/>
        <w:autoSpaceDN w:val="0"/>
        <w:adjustRightInd w:val="0"/>
        <w:spacing w:line="276" w:lineRule="auto"/>
        <w:ind w:left="284"/>
        <w:textAlignment w:val="baseline"/>
        <w:rPr>
          <w:bCs/>
          <w:iCs/>
          <w:lang w:val="en-GB"/>
        </w:rPr>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35C1" w:rsidR="004135C1" w:rsidTr="00863A8F" w14:paraId="4C9E1B01" w14:textId="77777777">
        <w:tc>
          <w:tcPr>
            <w:tcW w:w="1556" w:type="pct"/>
          </w:tcPr>
          <w:p w:rsidRPr="004135C1" w:rsidR="004135C1" w:rsidP="00E21ECD" w:rsidRDefault="004135C1" w14:paraId="45233C97" w14:textId="77777777">
            <w:pPr>
              <w:overflowPunct w:val="0"/>
              <w:autoSpaceDE w:val="0"/>
              <w:autoSpaceDN w:val="0"/>
              <w:adjustRightInd w:val="0"/>
              <w:spacing w:line="276" w:lineRule="auto"/>
              <w:textAlignment w:val="baseline"/>
              <w:rPr>
                <w:i/>
              </w:rPr>
            </w:pPr>
            <w:r>
              <w:rPr>
                <w:b/>
                <w:i/>
              </w:rPr>
              <w:t>Kontakt</w:t>
            </w:r>
          </w:p>
        </w:tc>
        <w:tc>
          <w:tcPr>
            <w:tcW w:w="3444" w:type="pct"/>
          </w:tcPr>
          <w:p w:rsidRPr="004135C1" w:rsidR="004135C1" w:rsidP="00E21ECD" w:rsidRDefault="004135C1" w14:paraId="73D850BB" w14:textId="77777777">
            <w:pPr>
              <w:overflowPunct w:val="0"/>
              <w:autoSpaceDE w:val="0"/>
              <w:autoSpaceDN w:val="0"/>
              <w:adjustRightInd w:val="0"/>
              <w:spacing w:line="276" w:lineRule="auto"/>
              <w:textAlignment w:val="baseline"/>
              <w:rPr>
                <w:b/>
                <w:bCs/>
                <w:i/>
              </w:rPr>
            </w:pPr>
            <w:r>
              <w:rPr>
                <w:b/>
                <w:i/>
              </w:rPr>
              <w:t>Ioannis Diamantopoulos</w:t>
            </w:r>
          </w:p>
        </w:tc>
      </w:tr>
      <w:tr w:rsidRPr="004135C1" w:rsidR="004135C1" w:rsidTr="00863A8F" w14:paraId="0FC85F78" w14:textId="77777777">
        <w:tc>
          <w:tcPr>
            <w:tcW w:w="1556" w:type="pct"/>
          </w:tcPr>
          <w:p w:rsidRPr="004135C1" w:rsidR="004135C1" w:rsidP="00E21ECD" w:rsidRDefault="004135C1" w14:paraId="687EE5FA" w14:textId="77777777">
            <w:pPr>
              <w:overflowPunct w:val="0"/>
              <w:autoSpaceDE w:val="0"/>
              <w:autoSpaceDN w:val="0"/>
              <w:adjustRightInd w:val="0"/>
              <w:spacing w:line="276" w:lineRule="auto"/>
              <w:textAlignment w:val="baseline"/>
              <w:rPr>
                <w:i/>
              </w:rPr>
            </w:pPr>
            <w:r>
              <w:rPr>
                <w:i/>
              </w:rPr>
              <w:t>Tel.</w:t>
            </w:r>
          </w:p>
        </w:tc>
        <w:tc>
          <w:tcPr>
            <w:tcW w:w="3444" w:type="pct"/>
          </w:tcPr>
          <w:p w:rsidRPr="004135C1" w:rsidR="004135C1" w:rsidP="00E21ECD" w:rsidRDefault="004135C1" w14:paraId="6749A83F" w14:textId="77777777">
            <w:pPr>
              <w:overflowPunct w:val="0"/>
              <w:autoSpaceDE w:val="0"/>
              <w:autoSpaceDN w:val="0"/>
              <w:adjustRightInd w:val="0"/>
              <w:spacing w:line="276" w:lineRule="auto"/>
              <w:textAlignment w:val="baseline"/>
              <w:rPr>
                <w:i/>
              </w:rPr>
            </w:pPr>
            <w:r>
              <w:rPr>
                <w:i/>
              </w:rPr>
              <w:t>+32 25469170</w:t>
            </w:r>
          </w:p>
        </w:tc>
      </w:tr>
      <w:tr w:rsidRPr="004135C1" w:rsidR="004135C1" w:rsidTr="00863A8F" w14:paraId="3DB36BB4" w14:textId="77777777">
        <w:tc>
          <w:tcPr>
            <w:tcW w:w="1556" w:type="pct"/>
          </w:tcPr>
          <w:p w:rsidRPr="00643D0B" w:rsidR="004135C1" w:rsidP="00E21ECD" w:rsidRDefault="004135C1" w14:paraId="15032542" w14:textId="77777777">
            <w:pPr>
              <w:overflowPunct w:val="0"/>
              <w:autoSpaceDE w:val="0"/>
              <w:autoSpaceDN w:val="0"/>
              <w:adjustRightInd w:val="0"/>
              <w:spacing w:line="276" w:lineRule="auto"/>
              <w:textAlignment w:val="baseline"/>
              <w:rPr>
                <w:iCs/>
              </w:rPr>
            </w:pPr>
            <w:r>
              <w:t>E-Mail</w:t>
            </w:r>
          </w:p>
        </w:tc>
        <w:tc>
          <w:tcPr>
            <w:tcW w:w="3444" w:type="pct"/>
          </w:tcPr>
          <w:p w:rsidRPr="004135C1" w:rsidR="004135C1" w:rsidP="00E21ECD" w:rsidRDefault="005204CC" w14:paraId="34B92454" w14:textId="77777777">
            <w:pPr>
              <w:overflowPunct w:val="0"/>
              <w:autoSpaceDE w:val="0"/>
              <w:autoSpaceDN w:val="0"/>
              <w:adjustRightInd w:val="0"/>
              <w:spacing w:line="276" w:lineRule="auto"/>
              <w:textAlignment w:val="baseline"/>
              <w:rPr>
                <w:i/>
              </w:rPr>
            </w:pPr>
            <w:hyperlink w:history="1" r:id="rId53">
              <w:r w:rsidR="004135C1">
                <w:rPr>
                  <w:i/>
                  <w:color w:val="0000FF"/>
                  <w:u w:val="single"/>
                </w:rPr>
                <w:t>Ioannis.Diamantopoulos@eesc.europa.eu</w:t>
              </w:r>
            </w:hyperlink>
          </w:p>
        </w:tc>
      </w:tr>
    </w:tbl>
    <w:p w:rsidR="00395260" w:rsidP="00E21ECD" w:rsidRDefault="00395260" w14:paraId="3A6F59B7" w14:textId="77777777"/>
    <w:p w:rsidR="000D394D" w:rsidP="00E21ECD" w:rsidRDefault="000127B6" w14:paraId="2E28EF19" w14:textId="0CD21960">
      <w:pPr>
        <w:spacing w:after="160" w:line="259" w:lineRule="auto"/>
        <w:jc w:val="center"/>
      </w:pPr>
      <w:r>
        <w:t>_____________</w:t>
      </w:r>
    </w:p>
    <w:sectPr w:rsidR="000D394D" w:rsidSect="00902A1F">
      <w:headerReference w:type="even" r:id="rId54"/>
      <w:headerReference w:type="default" r:id="rId55"/>
      <w:footerReference w:type="even" r:id="rId56"/>
      <w:footerReference w:type="default" r:id="rId57"/>
      <w:headerReference w:type="first" r:id="rId58"/>
      <w:footerReference w:type="first" r:id="rId59"/>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6287" w14:textId="77777777" w:rsidR="009B458F" w:rsidRDefault="009B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DBEE3B3" w:rsidR="00B518C9"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rsidR="00643D0B">
      <w:t>1</w:t>
    </w:r>
    <w:r>
      <w:fldChar w:fldCharType="end"/>
    </w:r>
    <w:r>
      <w:t>/</w:t>
    </w:r>
    <w:fldSimple w:instr=" NUMPAGES ">
      <w:r w:rsidR="00643D0B">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ECFB" w14:textId="77777777" w:rsidR="009B458F" w:rsidRDefault="009B45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902A1F" w:rsidRDefault="00F32856" w:rsidP="00902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38E5B715" w:rsidR="00F32856"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t>2</w:t>
    </w:r>
    <w:r>
      <w:fldChar w:fldCharType="end"/>
    </w:r>
    <w:r>
      <w:t>/</w:t>
    </w:r>
    <w:fldSimple w:instr=" NUMPAGES ">
      <w:r>
        <w:t>27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902A1F" w:rsidRDefault="00F32856" w:rsidP="0090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C7F1" w14:textId="77777777" w:rsidR="009B458F" w:rsidRDefault="009B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5948" w14:textId="77777777" w:rsidR="009B458F" w:rsidRDefault="009B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E8C4" w14:textId="77777777" w:rsidR="009B458F" w:rsidRDefault="009B45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902A1F" w:rsidRDefault="00F32856" w:rsidP="0090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902A1F" w:rsidRDefault="00F32856" w:rsidP="00902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902A1F" w:rsidRDefault="00F32856" w:rsidP="0090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1"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7"/>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2"/>
  </w:num>
  <w:num w:numId="12">
    <w:abstractNumId w:val="34"/>
  </w:num>
  <w:num w:numId="13">
    <w:abstractNumId w:val="21"/>
  </w:num>
  <w:num w:numId="14">
    <w:abstractNumId w:val="23"/>
  </w:num>
  <w:num w:numId="15">
    <w:abstractNumId w:val="24"/>
  </w:num>
  <w:num w:numId="16">
    <w:abstractNumId w:val="4"/>
  </w:num>
  <w:num w:numId="17">
    <w:abstractNumId w:val="40"/>
  </w:num>
  <w:num w:numId="18">
    <w:abstractNumId w:val="29"/>
  </w:num>
  <w:num w:numId="19">
    <w:abstractNumId w:val="27"/>
  </w:num>
  <w:num w:numId="20">
    <w:abstractNumId w:val="42"/>
  </w:num>
  <w:num w:numId="21">
    <w:abstractNumId w:val="5"/>
  </w:num>
  <w:num w:numId="22">
    <w:abstractNumId w:val="38"/>
  </w:num>
  <w:num w:numId="23">
    <w:abstractNumId w:val="19"/>
  </w:num>
  <w:num w:numId="24">
    <w:abstractNumId w:val="33"/>
  </w:num>
  <w:num w:numId="25">
    <w:abstractNumId w:val="35"/>
  </w:num>
  <w:num w:numId="26">
    <w:abstractNumId w:val="7"/>
  </w:num>
  <w:num w:numId="27">
    <w:abstractNumId w:val="31"/>
  </w:num>
  <w:num w:numId="28">
    <w:abstractNumId w:val="20"/>
  </w:num>
  <w:num w:numId="29">
    <w:abstractNumId w:val="41"/>
  </w:num>
  <w:num w:numId="30">
    <w:abstractNumId w:val="28"/>
  </w:num>
  <w:num w:numId="31">
    <w:abstractNumId w:val="2"/>
  </w:num>
  <w:num w:numId="32">
    <w:abstractNumId w:val="12"/>
  </w:num>
  <w:num w:numId="33">
    <w:abstractNumId w:val="6"/>
  </w:num>
  <w:num w:numId="34">
    <w:abstractNumId w:val="3"/>
  </w:num>
  <w:num w:numId="35">
    <w:abstractNumId w:val="32"/>
  </w:num>
  <w:num w:numId="36">
    <w:abstractNumId w:val="8"/>
  </w:num>
  <w:num w:numId="37">
    <w:abstractNumId w:val="16"/>
  </w:num>
  <w:num w:numId="38">
    <w:abstractNumId w:val="10"/>
  </w:num>
  <w:num w:numId="39">
    <w:abstractNumId w:val="25"/>
  </w:num>
  <w:num w:numId="40">
    <w:abstractNumId w:val="30"/>
  </w:num>
  <w:num w:numId="41">
    <w:abstractNumId w:val="9"/>
  </w:num>
  <w:num w:numId="42">
    <w:abstractNumId w:val="36"/>
  </w:num>
  <w:num w:numId="43">
    <w:abstractNumId w:val="39"/>
  </w:num>
  <w:num w:numId="44">
    <w:abstractNumId w:val="14"/>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6DA"/>
    <w:rsid w:val="00006302"/>
    <w:rsid w:val="00010755"/>
    <w:rsid w:val="00010A4D"/>
    <w:rsid w:val="000127B6"/>
    <w:rsid w:val="00013507"/>
    <w:rsid w:val="000139C0"/>
    <w:rsid w:val="0002198C"/>
    <w:rsid w:val="000311D9"/>
    <w:rsid w:val="0005550D"/>
    <w:rsid w:val="00060058"/>
    <w:rsid w:val="00061C9F"/>
    <w:rsid w:val="00063699"/>
    <w:rsid w:val="00063DFF"/>
    <w:rsid w:val="00064723"/>
    <w:rsid w:val="00065A12"/>
    <w:rsid w:val="00072A85"/>
    <w:rsid w:val="00075DDE"/>
    <w:rsid w:val="00076FEA"/>
    <w:rsid w:val="000835E1"/>
    <w:rsid w:val="000842A7"/>
    <w:rsid w:val="00093D60"/>
    <w:rsid w:val="00097638"/>
    <w:rsid w:val="000C3C0E"/>
    <w:rsid w:val="000C4EA7"/>
    <w:rsid w:val="000C5A8B"/>
    <w:rsid w:val="000C68EA"/>
    <w:rsid w:val="000D394D"/>
    <w:rsid w:val="000D430F"/>
    <w:rsid w:val="000D634C"/>
    <w:rsid w:val="000D71EF"/>
    <w:rsid w:val="000E1E59"/>
    <w:rsid w:val="000F0F74"/>
    <w:rsid w:val="00105088"/>
    <w:rsid w:val="00111DFA"/>
    <w:rsid w:val="00114003"/>
    <w:rsid w:val="00132926"/>
    <w:rsid w:val="00133070"/>
    <w:rsid w:val="00147198"/>
    <w:rsid w:val="00151032"/>
    <w:rsid w:val="00154A7F"/>
    <w:rsid w:val="0017133A"/>
    <w:rsid w:val="001A2F56"/>
    <w:rsid w:val="001A6359"/>
    <w:rsid w:val="001B1F1D"/>
    <w:rsid w:val="001B2FD0"/>
    <w:rsid w:val="001C322E"/>
    <w:rsid w:val="001C59D9"/>
    <w:rsid w:val="001D054F"/>
    <w:rsid w:val="001D7E3C"/>
    <w:rsid w:val="001E391D"/>
    <w:rsid w:val="0020051E"/>
    <w:rsid w:val="00206313"/>
    <w:rsid w:val="0021254C"/>
    <w:rsid w:val="00216C2C"/>
    <w:rsid w:val="00235EB1"/>
    <w:rsid w:val="00236879"/>
    <w:rsid w:val="0023768A"/>
    <w:rsid w:val="002428CF"/>
    <w:rsid w:val="00244BDD"/>
    <w:rsid w:val="002608BA"/>
    <w:rsid w:val="002673F7"/>
    <w:rsid w:val="00270BD5"/>
    <w:rsid w:val="002A13FC"/>
    <w:rsid w:val="002A5636"/>
    <w:rsid w:val="002A60CB"/>
    <w:rsid w:val="002B1BC5"/>
    <w:rsid w:val="002B7981"/>
    <w:rsid w:val="002D1891"/>
    <w:rsid w:val="002D6198"/>
    <w:rsid w:val="002E4460"/>
    <w:rsid w:val="00301F08"/>
    <w:rsid w:val="003066BE"/>
    <w:rsid w:val="00310D3C"/>
    <w:rsid w:val="0031123C"/>
    <w:rsid w:val="003227CC"/>
    <w:rsid w:val="0032562B"/>
    <w:rsid w:val="00327E1C"/>
    <w:rsid w:val="00330CFA"/>
    <w:rsid w:val="003321DA"/>
    <w:rsid w:val="003331D9"/>
    <w:rsid w:val="003337BA"/>
    <w:rsid w:val="00394CC6"/>
    <w:rsid w:val="00395260"/>
    <w:rsid w:val="00395E32"/>
    <w:rsid w:val="003A3FDA"/>
    <w:rsid w:val="003A474F"/>
    <w:rsid w:val="003A64A6"/>
    <w:rsid w:val="003C24AB"/>
    <w:rsid w:val="003E3CA2"/>
    <w:rsid w:val="003E4C29"/>
    <w:rsid w:val="003E5661"/>
    <w:rsid w:val="003F326D"/>
    <w:rsid w:val="003F79EF"/>
    <w:rsid w:val="00412085"/>
    <w:rsid w:val="00412706"/>
    <w:rsid w:val="004135C1"/>
    <w:rsid w:val="004175C7"/>
    <w:rsid w:val="00417BAC"/>
    <w:rsid w:val="00424943"/>
    <w:rsid w:val="0043191A"/>
    <w:rsid w:val="00450AE6"/>
    <w:rsid w:val="004521E2"/>
    <w:rsid w:val="0045501A"/>
    <w:rsid w:val="004616D9"/>
    <w:rsid w:val="00471C02"/>
    <w:rsid w:val="00482C25"/>
    <w:rsid w:val="00482F6A"/>
    <w:rsid w:val="0049314C"/>
    <w:rsid w:val="00495789"/>
    <w:rsid w:val="0049668C"/>
    <w:rsid w:val="004A4E1A"/>
    <w:rsid w:val="004A5CD7"/>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04CC"/>
    <w:rsid w:val="00524472"/>
    <w:rsid w:val="005307E7"/>
    <w:rsid w:val="00532089"/>
    <w:rsid w:val="00533F3C"/>
    <w:rsid w:val="0054576E"/>
    <w:rsid w:val="00557589"/>
    <w:rsid w:val="0056095E"/>
    <w:rsid w:val="0056252F"/>
    <w:rsid w:val="00570340"/>
    <w:rsid w:val="005714B9"/>
    <w:rsid w:val="00577504"/>
    <w:rsid w:val="00584A92"/>
    <w:rsid w:val="00586B4B"/>
    <w:rsid w:val="0059010B"/>
    <w:rsid w:val="005A0BDA"/>
    <w:rsid w:val="005A452F"/>
    <w:rsid w:val="005B5380"/>
    <w:rsid w:val="005C5604"/>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41262"/>
    <w:rsid w:val="00643D0B"/>
    <w:rsid w:val="006535D9"/>
    <w:rsid w:val="006766F1"/>
    <w:rsid w:val="00691580"/>
    <w:rsid w:val="00692DF0"/>
    <w:rsid w:val="00697BE1"/>
    <w:rsid w:val="006A1AC2"/>
    <w:rsid w:val="006A6A0C"/>
    <w:rsid w:val="006C1C6C"/>
    <w:rsid w:val="006D2C8A"/>
    <w:rsid w:val="006D2D64"/>
    <w:rsid w:val="006D6D4E"/>
    <w:rsid w:val="006F1DF9"/>
    <w:rsid w:val="006F2520"/>
    <w:rsid w:val="006F41A3"/>
    <w:rsid w:val="006F6754"/>
    <w:rsid w:val="00700711"/>
    <w:rsid w:val="00707D39"/>
    <w:rsid w:val="00712A38"/>
    <w:rsid w:val="007216F7"/>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7947"/>
    <w:rsid w:val="007912B3"/>
    <w:rsid w:val="00797C34"/>
    <w:rsid w:val="007A127F"/>
    <w:rsid w:val="007B157B"/>
    <w:rsid w:val="007B5ACA"/>
    <w:rsid w:val="007B7E12"/>
    <w:rsid w:val="007C7DDB"/>
    <w:rsid w:val="007D350D"/>
    <w:rsid w:val="007D7907"/>
    <w:rsid w:val="007E3BCB"/>
    <w:rsid w:val="007F5784"/>
    <w:rsid w:val="0080707C"/>
    <w:rsid w:val="00807CED"/>
    <w:rsid w:val="00826962"/>
    <w:rsid w:val="00831D96"/>
    <w:rsid w:val="00845F24"/>
    <w:rsid w:val="008470F5"/>
    <w:rsid w:val="00852A88"/>
    <w:rsid w:val="00863A8F"/>
    <w:rsid w:val="0087129B"/>
    <w:rsid w:val="00876B38"/>
    <w:rsid w:val="0088219D"/>
    <w:rsid w:val="00885409"/>
    <w:rsid w:val="00885FBB"/>
    <w:rsid w:val="008943DA"/>
    <w:rsid w:val="00896D61"/>
    <w:rsid w:val="008A6620"/>
    <w:rsid w:val="008C47BA"/>
    <w:rsid w:val="008C4F61"/>
    <w:rsid w:val="008D2193"/>
    <w:rsid w:val="008D5222"/>
    <w:rsid w:val="008E08F5"/>
    <w:rsid w:val="008E52D1"/>
    <w:rsid w:val="008F3650"/>
    <w:rsid w:val="008F6F62"/>
    <w:rsid w:val="008F781E"/>
    <w:rsid w:val="00902A1F"/>
    <w:rsid w:val="0091249B"/>
    <w:rsid w:val="009266F3"/>
    <w:rsid w:val="009416E3"/>
    <w:rsid w:val="00957436"/>
    <w:rsid w:val="00983331"/>
    <w:rsid w:val="00990E94"/>
    <w:rsid w:val="00994DD3"/>
    <w:rsid w:val="009B458F"/>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E9D"/>
    <w:rsid w:val="00A23005"/>
    <w:rsid w:val="00A272B2"/>
    <w:rsid w:val="00A50553"/>
    <w:rsid w:val="00A53F9B"/>
    <w:rsid w:val="00A67887"/>
    <w:rsid w:val="00A7132A"/>
    <w:rsid w:val="00A76426"/>
    <w:rsid w:val="00A805AA"/>
    <w:rsid w:val="00AA430D"/>
    <w:rsid w:val="00AA65DC"/>
    <w:rsid w:val="00AB6CDB"/>
    <w:rsid w:val="00AC23D4"/>
    <w:rsid w:val="00AC6B0D"/>
    <w:rsid w:val="00AC7312"/>
    <w:rsid w:val="00AD3077"/>
    <w:rsid w:val="00AD320D"/>
    <w:rsid w:val="00AE4901"/>
    <w:rsid w:val="00AE4F3D"/>
    <w:rsid w:val="00AE5CF6"/>
    <w:rsid w:val="00AF2F0E"/>
    <w:rsid w:val="00B05F7D"/>
    <w:rsid w:val="00B2002E"/>
    <w:rsid w:val="00B203DA"/>
    <w:rsid w:val="00B2333B"/>
    <w:rsid w:val="00B34664"/>
    <w:rsid w:val="00B42E98"/>
    <w:rsid w:val="00B46B45"/>
    <w:rsid w:val="00B518C9"/>
    <w:rsid w:val="00B520E8"/>
    <w:rsid w:val="00B52CE3"/>
    <w:rsid w:val="00B61E90"/>
    <w:rsid w:val="00B70A01"/>
    <w:rsid w:val="00B75F7C"/>
    <w:rsid w:val="00B82684"/>
    <w:rsid w:val="00B827D8"/>
    <w:rsid w:val="00B82ADF"/>
    <w:rsid w:val="00B96875"/>
    <w:rsid w:val="00BA5B45"/>
    <w:rsid w:val="00BB1C2C"/>
    <w:rsid w:val="00BB600D"/>
    <w:rsid w:val="00BC21DF"/>
    <w:rsid w:val="00BC6104"/>
    <w:rsid w:val="00BC79F5"/>
    <w:rsid w:val="00BC7CE9"/>
    <w:rsid w:val="00BE0522"/>
    <w:rsid w:val="00BE0672"/>
    <w:rsid w:val="00BE54B3"/>
    <w:rsid w:val="00BF52DC"/>
    <w:rsid w:val="00C008B4"/>
    <w:rsid w:val="00C12517"/>
    <w:rsid w:val="00C178AD"/>
    <w:rsid w:val="00C17ABD"/>
    <w:rsid w:val="00C24EDC"/>
    <w:rsid w:val="00C255D3"/>
    <w:rsid w:val="00C26C67"/>
    <w:rsid w:val="00C30DF7"/>
    <w:rsid w:val="00C34B13"/>
    <w:rsid w:val="00C45BCC"/>
    <w:rsid w:val="00C643BA"/>
    <w:rsid w:val="00C70B4C"/>
    <w:rsid w:val="00C72301"/>
    <w:rsid w:val="00C77948"/>
    <w:rsid w:val="00C821A5"/>
    <w:rsid w:val="00C8618E"/>
    <w:rsid w:val="00CA021F"/>
    <w:rsid w:val="00CB3320"/>
    <w:rsid w:val="00CB57CE"/>
    <w:rsid w:val="00CE31B7"/>
    <w:rsid w:val="00CE749A"/>
    <w:rsid w:val="00CF7F32"/>
    <w:rsid w:val="00D0533C"/>
    <w:rsid w:val="00D10240"/>
    <w:rsid w:val="00D14F30"/>
    <w:rsid w:val="00D16683"/>
    <w:rsid w:val="00D341C1"/>
    <w:rsid w:val="00D34924"/>
    <w:rsid w:val="00D43613"/>
    <w:rsid w:val="00D50E90"/>
    <w:rsid w:val="00D6623C"/>
    <w:rsid w:val="00D7076A"/>
    <w:rsid w:val="00D73678"/>
    <w:rsid w:val="00D75E64"/>
    <w:rsid w:val="00D81F5E"/>
    <w:rsid w:val="00D92269"/>
    <w:rsid w:val="00DA5185"/>
    <w:rsid w:val="00DC1286"/>
    <w:rsid w:val="00DD1395"/>
    <w:rsid w:val="00DD2B4D"/>
    <w:rsid w:val="00DD77BE"/>
    <w:rsid w:val="00DE176A"/>
    <w:rsid w:val="00DE2877"/>
    <w:rsid w:val="00DE423D"/>
    <w:rsid w:val="00E00A6B"/>
    <w:rsid w:val="00E07297"/>
    <w:rsid w:val="00E13A99"/>
    <w:rsid w:val="00E21ECD"/>
    <w:rsid w:val="00E24154"/>
    <w:rsid w:val="00E3232E"/>
    <w:rsid w:val="00E35FDD"/>
    <w:rsid w:val="00E40D64"/>
    <w:rsid w:val="00E47D6F"/>
    <w:rsid w:val="00E544AD"/>
    <w:rsid w:val="00E57317"/>
    <w:rsid w:val="00E671C0"/>
    <w:rsid w:val="00E73443"/>
    <w:rsid w:val="00E77899"/>
    <w:rsid w:val="00E77F43"/>
    <w:rsid w:val="00E85982"/>
    <w:rsid w:val="00E85F55"/>
    <w:rsid w:val="00E937A4"/>
    <w:rsid w:val="00E96EED"/>
    <w:rsid w:val="00EA16F5"/>
    <w:rsid w:val="00EB57BC"/>
    <w:rsid w:val="00EB5CCE"/>
    <w:rsid w:val="00ED3DF6"/>
    <w:rsid w:val="00ED4A7A"/>
    <w:rsid w:val="00ED623E"/>
    <w:rsid w:val="00EE1A93"/>
    <w:rsid w:val="00EE455D"/>
    <w:rsid w:val="00EF03A6"/>
    <w:rsid w:val="00EF069D"/>
    <w:rsid w:val="00EF5616"/>
    <w:rsid w:val="00EF5696"/>
    <w:rsid w:val="00F03EB0"/>
    <w:rsid w:val="00F05466"/>
    <w:rsid w:val="00F32856"/>
    <w:rsid w:val="00F34F7E"/>
    <w:rsid w:val="00F35182"/>
    <w:rsid w:val="00F365AE"/>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F52DC"/>
    <w:pPr>
      <w:tabs>
        <w:tab w:val="left" w:pos="440"/>
        <w:tab w:val="right" w:leader="dot" w:pos="9345"/>
      </w:tabs>
      <w:spacing w:after="100"/>
      <w:ind w:left="426" w:hanging="426"/>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de/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https://www.eesc.europa.eu/de/our-work/opinions-information-reports/opinions/industrial-changes-health-sector-face-multiplying-crises"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de/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de/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de/our-work/opinions-information-reports/opinions/decision-interpretation-and-application-energy-charter-treaty" TargetMode="External"/><Relationship Id="rId53" Type="http://schemas.openxmlformats.org/officeDocument/2006/relationships/hyperlink" Target="mailto:Ioannis.Diamantopoulos@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de/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de/our-work/opinions-information-reports/opinions/potential-challenges-european-single-market-arising-future-enlargement-union" TargetMode="External"/><Relationship Id="rId43" Type="http://schemas.openxmlformats.org/officeDocument/2006/relationships/hyperlink" Target="https://www.eesc.europa.eu/de/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Laia.TomasVinardell@eesc.europa.eu" TargetMode="External"/><Relationship Id="rId12" Type="http://schemas.openxmlformats.org/officeDocument/2006/relationships/hyperlink" Target="https://www.eesc.europa.eu/de/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de/our-work/opinions-information-reports/opinions/review-legal-framework-securitisation-eu" TargetMode="External"/><Relationship Id="rId33" Type="http://schemas.openxmlformats.org/officeDocument/2006/relationships/hyperlink" Target="https://www.eesc.europa.eu/de/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footer" Target="footer6.xml"/><Relationship Id="rId20" Type="http://schemas.openxmlformats.org/officeDocument/2006/relationships/hyperlink" Target="https://www.eesc.europa.eu/de/documents/resolution/european-economic-and-social-committee-contribution-2025-european-commission-work-programme" TargetMode="External"/><Relationship Id="rId41" Type="http://schemas.openxmlformats.org/officeDocument/2006/relationships/hyperlink" Target="https://www.eesc.europa.eu/de/our-work/opinions-information-reports/opinions/amendment-eafrd-provide-additional-assistance-member-states-affected-natural-disasters"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de/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de/our-work/opinions-information-reports/opinions/democracy-africa-current-situation-and-future-perspectives-what-role-eesc"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de/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https://www.eesc.europa.eu/de/our-work/opinions-information-reports/opinions/professional-services-green-transition"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F7M6YNZUATRX-1659962339-2671</_dlc_DocId>
    <_dlc_DocIdUrl xmlns="59ace41b-6786-4ce3-be71-52c27066c6ef">
      <Url>http://dm/eesc/2024/_layouts/15/DocIdRedir.aspx?ID=F7M6YNZUATRX-1659962339-2671</Url>
      <Description>F7M6YNZUATRX-1659962339-2671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2024-12-13T12:00:00+00:00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Nebert Susanne</DisplayName>
        <AccountId>1552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1417-E40B-4E5A-8385-8946B69A8F4E}"/>
</file>

<file path=customXml/itemProps2.xml><?xml version="1.0" encoding="utf-8"?>
<ds:datastoreItem xmlns:ds="http://schemas.openxmlformats.org/officeDocument/2006/customXml" ds:itemID="{27ED8327-F802-45F7-9004-45CC57A9C028}"/>
</file>

<file path=customXml/itemProps3.xml><?xml version="1.0" encoding="utf-8"?>
<ds:datastoreItem xmlns:ds="http://schemas.openxmlformats.org/officeDocument/2006/customXml" ds:itemID="{2F2BF396-2613-4902-82BC-40F0266F0FAE}"/>
</file>

<file path=customXml/itemProps4.xml><?xml version="1.0" encoding="utf-8"?>
<ds:datastoreItem xmlns:ds="http://schemas.openxmlformats.org/officeDocument/2006/customXml" ds:itemID="{AE62CD77-4FAC-4B6D-8874-3BF6C97EA9DF}"/>
</file>

<file path=docProps/app.xml><?xml version="1.0" encoding="utf-8"?>
<Properties xmlns="http://schemas.openxmlformats.org/officeDocument/2006/extended-properties" xmlns:vt="http://schemas.openxmlformats.org/officeDocument/2006/docPropsVTypes">
  <Template>Normal.dotm</Template>
  <TotalTime>0</TotalTime>
  <Pages>3</Pages>
  <Words>8682</Words>
  <Characters>47753</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56323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- 592. Plenarsitzung - Dezember 2024</dc:title>
  <dc:subject>TCD</dc:subject>
  <dc:creator>Nieddu Emma</dc:creator>
  <cp:keywords>EESC-2024-04018-00-00-TCD-TRA-EN</cp:keywords>
  <dc:description>Rapporteur:  - Original language: EN - Date of document: 13.12.2024 - Date of meeting: 30.22.2025 14:30 - External documents:  - Administrator: MME TAMASAUSKIENE Julija</dc:description>
  <cp:lastModifiedBy>Nebert Susanne</cp:lastModifiedBy>
  <cp:revision>7</cp:revision>
  <dcterms:created xsi:type="dcterms:W3CDTF">2024-12-09T15:44:00Z</dcterms:created>
  <dcterms:modified xsi:type="dcterms:W3CDTF">2024-12-13T08:46:00Z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c1ae9d6e-0e6d-4e81-aa42-5840123caf0a</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DA|5d49c027-8956-412b-aa16-e85a0f96ad0e;FR|d2afafd3-4c81-4f60-8f52-ee33f2f54ff3;LV|46f7e311-5d9f-4663-b433-18aeccb7ace7;SV|c2ed69e7-a339-43d7-8f22-d93680a92aa0;ES|e7a6b05b-ae16-40c8-add9-68b64b03aeba;EN|f2175f21-25d7-44a3-96da-d6a61b075e1b;SL|98a412ae-eb01-49e9-ae3d-585a81724cfc;PT|50ccc04a-eadd-42ae-a0cb-acaf45f812ba;HU|6b229040-c589-4408-b4c1-4285663d20a8</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32;#HU|6b229040-c589-4408-b4c1-4285663d20a8;#28;#LV|46f7e311-5d9f-4663-b433-18aeccb7ace7;#27;#SL|98a412ae-eb01-49e9-ae3d-585a81724cfc;#24;#ES|e7a6b05b-ae16-40c8-add9-68b64b03aeba;#21;#SV|c2ed69e7-a339-43d7-8f22-d93680a92aa0;#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25;#DE|f6b31e5a-26fa-4935-b661-318e46daf27e</vt:lpwstr>
  </property>
</Properties>
</file>