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25C" w:rsidR="004D7AC0" w:rsidP="004D7AC0" w:rsidRDefault="00300524" w14:paraId="4982DD4D" w14:textId="45E11DAD">
      <w:pPr>
        <w:jc w:val="center"/>
      </w:pPr>
      <w:r>
        <w:rPr>
          <w:noProof/>
        </w:rPr>
        <w:drawing>
          <wp:inline distT="0" distB="0" distL="0" distR="0" wp14:anchorId="35B4C387" wp14:editId="7BFA216C">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683C4FFC"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F3125C" w:rsidR="004D7AC0" w:rsidP="004D7AC0" w:rsidRDefault="004D7AC0" w14:paraId="4982DD4E" w14:textId="77777777">
      <w:pPr>
        <w:rPr>
          <w:lang w:val="en-GB"/>
        </w:rPr>
      </w:pPr>
    </w:p>
    <w:p w:rsidRPr="00F3125C" w:rsidR="004D7AC0" w:rsidP="004D7AC0" w:rsidRDefault="004D7AC0" w14:paraId="4982DD4F" w14:textId="1A2FDAEC">
      <w:pPr>
        <w:jc w:val="right"/>
      </w:pPr>
      <w:r>
        <w:t>Брюксел, 17 декември 202 г.</w:t>
      </w:r>
    </w:p>
    <w:p w:rsidRPr="00F3125C" w:rsidR="004D7AC0" w:rsidP="004D7AC0" w:rsidRDefault="004D7AC0" w14:paraId="4982DD50" w14:textId="77777777">
      <w:pPr>
        <w:rPr>
          <w:lang w:val="en-GB"/>
        </w:rPr>
      </w:pPr>
    </w:p>
    <w:p w:rsidRPr="00F3125C" w:rsidR="004D7AC0" w:rsidP="004D7AC0" w:rsidRDefault="004D7AC0" w14:paraId="4982DD51" w14:textId="77777777">
      <w:pPr>
        <w:rPr>
          <w:lang w:val="en-GB"/>
        </w:rPr>
      </w:pPr>
    </w:p>
    <w:p w:rsidRPr="00F3125C" w:rsidR="004D7AC0" w:rsidP="004D7AC0" w:rsidRDefault="004D7AC0" w14:paraId="4982DD52" w14:textId="77777777">
      <w:pPr>
        <w:rPr>
          <w:lang w:val="en-GB"/>
        </w:rPr>
      </w:pPr>
    </w:p>
    <w:tbl>
      <w:tblPr>
        <w:tblW w:w="0" w:type="auto"/>
        <w:tblLook w:val="04A0" w:firstRow="1" w:lastRow="0" w:firstColumn="1" w:lastColumn="0" w:noHBand="0" w:noVBand="1"/>
      </w:tblPr>
      <w:tblGrid>
        <w:gridCol w:w="9289"/>
      </w:tblGrid>
      <w:tr w:rsidRPr="00F3125C" w:rsidR="004D7AC0" w:rsidTr="00863A8F" w14:paraId="4982DD59" w14:textId="77777777">
        <w:tc>
          <w:tcPr>
            <w:tcW w:w="9289" w:type="dxa"/>
            <w:tcBorders>
              <w:bottom w:val="double" w:color="auto" w:sz="4" w:space="0"/>
            </w:tcBorders>
          </w:tcPr>
          <w:p w:rsidRPr="00F3125C" w:rsidR="003066BE" w:rsidP="00863A8F" w:rsidRDefault="008C47BA" w14:paraId="4982DD53" w14:textId="29474CC3">
            <w:pPr>
              <w:snapToGrid w:val="0"/>
              <w:jc w:val="center"/>
              <w:rPr>
                <w:b/>
                <w:sz w:val="32"/>
                <w:szCs w:val="32"/>
              </w:rPr>
            </w:pPr>
            <w:r>
              <w:rPr>
                <w:b/>
                <w:sz w:val="32"/>
              </w:rPr>
              <w:t>592-ра ПЛЕНАРНА СЕСИЯ</w:t>
            </w:r>
          </w:p>
          <w:p w:rsidRPr="00F3125C" w:rsidR="003066BE" w:rsidP="00863A8F" w:rsidRDefault="003066BE" w14:paraId="4982DD54" w14:textId="77777777">
            <w:pPr>
              <w:snapToGrid w:val="0"/>
              <w:jc w:val="center"/>
              <w:rPr>
                <w:b/>
                <w:sz w:val="32"/>
                <w:szCs w:val="32"/>
                <w:lang w:val="en-GB"/>
              </w:rPr>
            </w:pPr>
          </w:p>
          <w:p w:rsidRPr="00F3125C" w:rsidR="003066BE" w:rsidP="00863A8F" w:rsidRDefault="009E3EE2" w14:paraId="4982DD55" w14:textId="24514D05">
            <w:pPr>
              <w:snapToGrid w:val="0"/>
              <w:jc w:val="center"/>
              <w:rPr>
                <w:b/>
                <w:sz w:val="32"/>
                <w:szCs w:val="32"/>
              </w:rPr>
            </w:pPr>
            <w:r>
              <w:rPr>
                <w:b/>
                <w:sz w:val="32"/>
              </w:rPr>
              <w:t>4 и 5 декември 2024 г.</w:t>
            </w:r>
          </w:p>
          <w:p w:rsidRPr="00F3125C" w:rsidR="003066BE" w:rsidP="00863A8F" w:rsidRDefault="003066BE" w14:paraId="4982DD56" w14:textId="77777777">
            <w:pPr>
              <w:snapToGrid w:val="0"/>
              <w:jc w:val="center"/>
              <w:rPr>
                <w:b/>
                <w:sz w:val="32"/>
                <w:szCs w:val="32"/>
                <w:lang w:val="en-GB"/>
              </w:rPr>
            </w:pPr>
          </w:p>
          <w:p w:rsidRPr="00F3125C" w:rsidR="004D7AC0" w:rsidP="00863A8F" w:rsidRDefault="00754027" w14:paraId="4982DD57" w14:textId="5A35E792">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rsidRPr="00F3125C" w:rsidR="004D7AC0" w:rsidP="00863A8F" w:rsidRDefault="004D7AC0" w14:paraId="4982DD58" w14:textId="77777777">
            <w:pPr>
              <w:snapToGrid w:val="0"/>
              <w:rPr>
                <w:lang w:val="en-GB"/>
              </w:rPr>
            </w:pPr>
          </w:p>
        </w:tc>
      </w:tr>
      <w:tr w:rsidRPr="00F3125C"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F3125C" w:rsidR="004D7AC0" w:rsidP="00863A8F" w:rsidRDefault="004D7AC0" w14:paraId="4982DD5A" w14:textId="0C0FF99D">
            <w:pPr>
              <w:snapToGrid w:val="0"/>
              <w:jc w:val="center"/>
            </w:pPr>
            <w:r>
              <w:t>Настоящият документ е достъпен на всички официални езици на Европейския съюз на уебсайта на ЕИСК на следния адрес:</w:t>
            </w:r>
            <w:r>
              <w:br/>
            </w:r>
            <w:r>
              <w:br/>
            </w:r>
            <w:hyperlink w:history="1" r:id="rId12">
              <w:r>
                <w:rPr>
                  <w:rStyle w:val="Hyperlink"/>
                </w:rPr>
                <w:t>https://www.eesc.europa.eu/bg/our-work/opinions-information-reports/plenary-session-summaries</w:t>
              </w:r>
            </w:hyperlink>
          </w:p>
          <w:p w:rsidRPr="00F3125C" w:rsidR="004D7AC0" w:rsidP="00863A8F" w:rsidRDefault="004D7AC0" w14:paraId="4982DD5C" w14:textId="77777777">
            <w:pPr>
              <w:snapToGrid w:val="0"/>
              <w:jc w:val="center"/>
              <w:rPr>
                <w:rFonts w:eastAsia="SimSun"/>
                <w:lang w:val="en-GB"/>
              </w:rPr>
            </w:pPr>
          </w:p>
          <w:p w:rsidRPr="00F3125C" w:rsidR="004D7AC0" w:rsidP="00863A8F" w:rsidRDefault="004D7AC0" w14:paraId="4982DD5D" w14:textId="77777777">
            <w:pPr>
              <w:snapToGrid w:val="0"/>
              <w:jc w:val="center"/>
            </w:pPr>
            <w:r>
              <w:t>Изброените становища могат да бъдат намерени онлайн чрез търсачката на ЕИСК:</w:t>
            </w:r>
            <w:r>
              <w:br/>
            </w:r>
            <w:r>
              <w:br/>
            </w:r>
            <w:hyperlink w:history="1" r:id="rId13">
              <w:r>
                <w:rPr>
                  <w:rStyle w:val="Hyperlink"/>
                </w:rPr>
                <w:t>https://dmsearch.eesc.europa.eu/search/opinion</w:t>
              </w:r>
            </w:hyperlink>
          </w:p>
          <w:p w:rsidRPr="00F3125C" w:rsidR="004D7AC0" w:rsidP="00863A8F" w:rsidRDefault="004D7AC0" w14:paraId="4982DD5E" w14:textId="77777777">
            <w:pPr>
              <w:snapToGrid w:val="0"/>
              <w:jc w:val="center"/>
              <w:rPr>
                <w:lang w:val="en-GB"/>
              </w:rPr>
            </w:pPr>
          </w:p>
        </w:tc>
      </w:tr>
    </w:tbl>
    <w:p w:rsidRPr="00F3125C" w:rsidR="004D7AC0" w:rsidP="004D7AC0" w:rsidRDefault="004D7AC0" w14:paraId="4982DD60" w14:textId="77777777">
      <w:pPr>
        <w:rPr>
          <w:lang w:val="en-GB"/>
        </w:rPr>
      </w:pPr>
    </w:p>
    <w:p w:rsidRPr="00F3125C" w:rsidR="004D7AC0" w:rsidP="004D7AC0" w:rsidRDefault="004D7AC0" w14:paraId="4982DD61" w14:textId="77777777">
      <w:pPr>
        <w:rPr>
          <w:lang w:val="en-GB"/>
        </w:rPr>
      </w:pPr>
    </w:p>
    <w:p w:rsidRPr="00F3125C" w:rsidR="004D7AC0" w:rsidP="004D7AC0" w:rsidRDefault="004D7AC0" w14:paraId="4982DD62" w14:textId="72DC7F56">
      <w:pPr>
        <w:rPr>
          <w:lang w:val="en-GB"/>
        </w:rPr>
        <w:sectPr w:rsidRPr="00F3125C"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F3125C" w:rsidR="004D7AC0" w:rsidP="004D7AC0" w:rsidRDefault="004D7AC0" w14:paraId="4982DD63" w14:textId="77777777">
      <w:pPr>
        <w:rPr>
          <w:b/>
        </w:rPr>
      </w:pPr>
      <w:r>
        <w:rPr>
          <w:b/>
        </w:rPr>
        <w:lastRenderedPageBreak/>
        <w:t>Съдържание:</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F3125C" w:rsidR="004D7AC0" w:rsidP="004D7AC0" w:rsidRDefault="004D7AC0" w14:paraId="4982DD64" w14:textId="77777777">
          <w:pPr>
            <w:pStyle w:val="TOCHeading"/>
            <w:rPr>
              <w:rFonts w:ascii="Times New Roman" w:hAnsi="Times New Roman" w:cs="Times New Roman"/>
              <w:color w:val="auto"/>
              <w:sz w:val="22"/>
              <w:szCs w:val="22"/>
              <w:lang w:val="en-GB"/>
            </w:rPr>
          </w:pPr>
        </w:p>
        <w:p w:rsidR="00E333E2" w:rsidRDefault="004D7AC0" w14:paraId="52B326BE" w14:textId="7DB70697">
          <w:pPr>
            <w:pStyle w:val="TOC1"/>
            <w:tabs>
              <w:tab w:val="left" w:pos="440"/>
              <w:tab w:val="right" w:leader="dot" w:pos="9345"/>
            </w:tabs>
            <w:rPr>
              <w:rFonts w:asciiTheme="minorHAnsi" w:hAnsiTheme="minorHAnsi" w:eastAsiaTheme="minorEastAsia" w:cstheme="minorBidi"/>
              <w:noProof/>
              <w:lang w:val="en-US"/>
            </w:rPr>
          </w:pPr>
          <w:r w:rsidRPr="00F3125C">
            <w:fldChar w:fldCharType="begin"/>
          </w:r>
          <w:r w:rsidRPr="00F3125C">
            <w:instrText xml:space="preserve"> TOC \o "1-3" \h \z \u </w:instrText>
          </w:r>
          <w:r w:rsidRPr="00F3125C">
            <w:fldChar w:fldCharType="separate"/>
          </w:r>
          <w:hyperlink w:history="1" w:anchor="_Toc185257621">
            <w:r w:rsidRPr="0003066D" w:rsidR="00E333E2">
              <w:rPr>
                <w:rStyle w:val="Hyperlink"/>
                <w:b/>
                <w:noProof/>
              </w:rPr>
              <w:t>1.</w:t>
            </w:r>
            <w:r w:rsidR="00E333E2">
              <w:rPr>
                <w:rFonts w:asciiTheme="minorHAnsi" w:hAnsiTheme="minorHAnsi" w:eastAsiaTheme="minorEastAsia" w:cstheme="minorBidi"/>
                <w:noProof/>
                <w:lang w:val="en-US"/>
              </w:rPr>
              <w:tab/>
            </w:r>
            <w:r w:rsidRPr="0003066D" w:rsidR="00E333E2">
              <w:rPr>
                <w:rStyle w:val="Hyperlink"/>
                <w:b/>
                <w:noProof/>
              </w:rPr>
              <w:t>РЕЗОЛЮЦИЯ</w:t>
            </w:r>
            <w:r w:rsidR="00E333E2">
              <w:rPr>
                <w:noProof/>
                <w:webHidden/>
              </w:rPr>
              <w:tab/>
            </w:r>
            <w:r w:rsidR="00E333E2">
              <w:rPr>
                <w:noProof/>
                <w:webHidden/>
              </w:rPr>
              <w:fldChar w:fldCharType="begin"/>
            </w:r>
            <w:r w:rsidR="00E333E2">
              <w:rPr>
                <w:noProof/>
                <w:webHidden/>
              </w:rPr>
              <w:instrText xml:space="preserve"> PAGEREF _Toc185257621 \h </w:instrText>
            </w:r>
            <w:r w:rsidR="00E333E2">
              <w:rPr>
                <w:noProof/>
                <w:webHidden/>
              </w:rPr>
            </w:r>
            <w:r w:rsidR="00E333E2">
              <w:rPr>
                <w:noProof/>
                <w:webHidden/>
              </w:rPr>
              <w:fldChar w:fldCharType="separate"/>
            </w:r>
            <w:r w:rsidR="00E333E2">
              <w:rPr>
                <w:noProof/>
                <w:webHidden/>
              </w:rPr>
              <w:t>4</w:t>
            </w:r>
            <w:r w:rsidR="00E333E2">
              <w:rPr>
                <w:noProof/>
                <w:webHidden/>
              </w:rPr>
              <w:fldChar w:fldCharType="end"/>
            </w:r>
          </w:hyperlink>
        </w:p>
        <w:p w:rsidR="00E333E2" w:rsidRDefault="00E333E2" w14:paraId="3DE22E93" w14:textId="27DE3F3F">
          <w:pPr>
            <w:pStyle w:val="TOC1"/>
            <w:tabs>
              <w:tab w:val="left" w:pos="440"/>
              <w:tab w:val="right" w:leader="dot" w:pos="9345"/>
            </w:tabs>
            <w:rPr>
              <w:rFonts w:asciiTheme="minorHAnsi" w:hAnsiTheme="minorHAnsi" w:eastAsiaTheme="minorEastAsia" w:cstheme="minorBidi"/>
              <w:noProof/>
              <w:lang w:val="en-US"/>
            </w:rPr>
          </w:pPr>
          <w:hyperlink w:history="1" w:anchor="_Toc185257622">
            <w:r w:rsidRPr="0003066D">
              <w:rPr>
                <w:rStyle w:val="Hyperlink"/>
                <w:b/>
                <w:noProof/>
              </w:rPr>
              <w:t>2.</w:t>
            </w:r>
            <w:r>
              <w:rPr>
                <w:rFonts w:asciiTheme="minorHAnsi" w:hAnsiTheme="minorHAnsi" w:eastAsiaTheme="minorEastAsia" w:cstheme="minorBidi"/>
                <w:noProof/>
                <w:lang w:val="en-US"/>
              </w:rPr>
              <w:tab/>
            </w:r>
            <w:r w:rsidRPr="0003066D">
              <w:rPr>
                <w:rStyle w:val="Hyperlink"/>
                <w:b/>
                <w:noProof/>
              </w:rPr>
              <w:t>ИКОНОМИЧЕСКИ И ПАРИЧЕН СЪЮЗ, ИКОНОМИЧЕСКО И СОЦИАЛНО СБЛИЖАВАНЕ</w:t>
            </w:r>
            <w:r>
              <w:rPr>
                <w:noProof/>
                <w:webHidden/>
              </w:rPr>
              <w:tab/>
            </w:r>
            <w:r>
              <w:rPr>
                <w:noProof/>
                <w:webHidden/>
              </w:rPr>
              <w:fldChar w:fldCharType="begin"/>
            </w:r>
            <w:r>
              <w:rPr>
                <w:noProof/>
                <w:webHidden/>
              </w:rPr>
              <w:instrText xml:space="preserve"> PAGEREF _Toc185257622 \h </w:instrText>
            </w:r>
            <w:r>
              <w:rPr>
                <w:noProof/>
                <w:webHidden/>
              </w:rPr>
            </w:r>
            <w:r>
              <w:rPr>
                <w:noProof/>
                <w:webHidden/>
              </w:rPr>
              <w:fldChar w:fldCharType="separate"/>
            </w:r>
            <w:r>
              <w:rPr>
                <w:noProof/>
                <w:webHidden/>
              </w:rPr>
              <w:t>6</w:t>
            </w:r>
            <w:r>
              <w:rPr>
                <w:noProof/>
                <w:webHidden/>
              </w:rPr>
              <w:fldChar w:fldCharType="end"/>
            </w:r>
          </w:hyperlink>
        </w:p>
        <w:p w:rsidR="00E333E2" w:rsidRDefault="00E333E2" w14:paraId="17E757D8" w14:textId="78BDD4F6">
          <w:pPr>
            <w:pStyle w:val="TOC1"/>
            <w:tabs>
              <w:tab w:val="left" w:pos="440"/>
              <w:tab w:val="right" w:leader="dot" w:pos="9345"/>
            </w:tabs>
            <w:rPr>
              <w:rFonts w:asciiTheme="minorHAnsi" w:hAnsiTheme="minorHAnsi" w:eastAsiaTheme="minorEastAsia" w:cstheme="minorBidi"/>
              <w:noProof/>
              <w:lang w:val="en-US"/>
            </w:rPr>
          </w:pPr>
          <w:hyperlink w:history="1" w:anchor="_Toc185257634">
            <w:r w:rsidRPr="0003066D">
              <w:rPr>
                <w:rStyle w:val="Hyperlink"/>
                <w:b/>
                <w:noProof/>
              </w:rPr>
              <w:t>3.</w:t>
            </w:r>
            <w:r>
              <w:rPr>
                <w:rFonts w:asciiTheme="minorHAnsi" w:hAnsiTheme="minorHAnsi" w:eastAsiaTheme="minorEastAsia" w:cstheme="minorBidi"/>
                <w:noProof/>
                <w:lang w:val="en-US"/>
              </w:rPr>
              <w:tab/>
            </w:r>
            <w:r w:rsidRPr="0003066D">
              <w:rPr>
                <w:rStyle w:val="Hyperlink"/>
                <w:b/>
                <w:noProof/>
              </w:rPr>
              <w:t>ЗАЕТОСТ, СОЦИАЛНИ ВЪПРОСИ И ГРАЖДАНСТВО</w:t>
            </w:r>
            <w:r>
              <w:rPr>
                <w:noProof/>
                <w:webHidden/>
              </w:rPr>
              <w:tab/>
            </w:r>
            <w:r>
              <w:rPr>
                <w:noProof/>
                <w:webHidden/>
              </w:rPr>
              <w:fldChar w:fldCharType="begin"/>
            </w:r>
            <w:r>
              <w:rPr>
                <w:noProof/>
                <w:webHidden/>
              </w:rPr>
              <w:instrText xml:space="preserve"> PAGEREF _Toc185257634 \h </w:instrText>
            </w:r>
            <w:r>
              <w:rPr>
                <w:noProof/>
                <w:webHidden/>
              </w:rPr>
            </w:r>
            <w:r>
              <w:rPr>
                <w:noProof/>
                <w:webHidden/>
              </w:rPr>
              <w:fldChar w:fldCharType="separate"/>
            </w:r>
            <w:r>
              <w:rPr>
                <w:noProof/>
                <w:webHidden/>
              </w:rPr>
              <w:t>11</w:t>
            </w:r>
            <w:r>
              <w:rPr>
                <w:noProof/>
                <w:webHidden/>
              </w:rPr>
              <w:fldChar w:fldCharType="end"/>
            </w:r>
          </w:hyperlink>
        </w:p>
        <w:p w:rsidR="00E333E2" w:rsidRDefault="00E333E2" w14:paraId="2121A95A" w14:textId="7E294A34">
          <w:pPr>
            <w:pStyle w:val="TOC1"/>
            <w:tabs>
              <w:tab w:val="left" w:pos="440"/>
              <w:tab w:val="right" w:leader="dot" w:pos="9345"/>
            </w:tabs>
            <w:rPr>
              <w:rFonts w:asciiTheme="minorHAnsi" w:hAnsiTheme="minorHAnsi" w:eastAsiaTheme="minorEastAsia" w:cstheme="minorBidi"/>
              <w:noProof/>
              <w:lang w:val="en-US"/>
            </w:rPr>
          </w:pPr>
          <w:hyperlink w:history="1" w:anchor="_Toc185257635">
            <w:r w:rsidRPr="0003066D">
              <w:rPr>
                <w:rStyle w:val="Hyperlink"/>
                <w:b/>
                <w:noProof/>
              </w:rPr>
              <w:t>4.</w:t>
            </w:r>
            <w:r>
              <w:rPr>
                <w:rFonts w:asciiTheme="minorHAnsi" w:hAnsiTheme="minorHAnsi" w:eastAsiaTheme="minorEastAsia" w:cstheme="minorBidi"/>
                <w:noProof/>
                <w:lang w:val="en-US"/>
              </w:rPr>
              <w:tab/>
            </w:r>
            <w:r w:rsidRPr="0003066D">
              <w:rPr>
                <w:rStyle w:val="Hyperlink"/>
                <w:b/>
                <w:noProof/>
              </w:rPr>
              <w:t>ТРАНСПОРТ, ЕНЕРГЕТИКА, ИНФРАСТРУКТУРИ, ИНФОРМАЦИОННО ОБЩЕСТВО</w:t>
            </w:r>
            <w:r>
              <w:rPr>
                <w:noProof/>
                <w:webHidden/>
              </w:rPr>
              <w:tab/>
            </w:r>
            <w:r>
              <w:rPr>
                <w:noProof/>
                <w:webHidden/>
              </w:rPr>
              <w:fldChar w:fldCharType="begin"/>
            </w:r>
            <w:r>
              <w:rPr>
                <w:noProof/>
                <w:webHidden/>
              </w:rPr>
              <w:instrText xml:space="preserve"> PAGEREF _Toc185257635 \h </w:instrText>
            </w:r>
            <w:r>
              <w:rPr>
                <w:noProof/>
                <w:webHidden/>
              </w:rPr>
            </w:r>
            <w:r>
              <w:rPr>
                <w:noProof/>
                <w:webHidden/>
              </w:rPr>
              <w:fldChar w:fldCharType="separate"/>
            </w:r>
            <w:r>
              <w:rPr>
                <w:noProof/>
                <w:webHidden/>
              </w:rPr>
              <w:t>12</w:t>
            </w:r>
            <w:r>
              <w:rPr>
                <w:noProof/>
                <w:webHidden/>
              </w:rPr>
              <w:fldChar w:fldCharType="end"/>
            </w:r>
          </w:hyperlink>
        </w:p>
        <w:p w:rsidR="00E333E2" w:rsidRDefault="00E333E2" w14:paraId="236A97CC" w14:textId="6F27C39E">
          <w:pPr>
            <w:pStyle w:val="TOC1"/>
            <w:tabs>
              <w:tab w:val="left" w:pos="440"/>
              <w:tab w:val="right" w:leader="dot" w:pos="9345"/>
            </w:tabs>
            <w:rPr>
              <w:rFonts w:asciiTheme="minorHAnsi" w:hAnsiTheme="minorHAnsi" w:eastAsiaTheme="minorEastAsia" w:cstheme="minorBidi"/>
              <w:noProof/>
              <w:lang w:val="en-US"/>
            </w:rPr>
          </w:pPr>
          <w:hyperlink w:history="1" w:anchor="_Toc185257636">
            <w:r w:rsidRPr="0003066D">
              <w:rPr>
                <w:rStyle w:val="Hyperlink"/>
                <w:b/>
                <w:noProof/>
              </w:rPr>
              <w:t>5.</w:t>
            </w:r>
            <w:r>
              <w:rPr>
                <w:rFonts w:asciiTheme="minorHAnsi" w:hAnsiTheme="minorHAnsi" w:eastAsiaTheme="minorEastAsia" w:cstheme="minorBidi"/>
                <w:noProof/>
                <w:lang w:val="en-US"/>
              </w:rPr>
              <w:tab/>
            </w:r>
            <w:r w:rsidRPr="0003066D">
              <w:rPr>
                <w:rStyle w:val="Hyperlink"/>
                <w:b/>
                <w:noProof/>
              </w:rPr>
              <w:t>ЕДИНЕН ПАЗАР, ПРОИЗВОДСТВО И ПОТРЕБЛЕНИЕ</w:t>
            </w:r>
            <w:r>
              <w:rPr>
                <w:noProof/>
                <w:webHidden/>
              </w:rPr>
              <w:tab/>
            </w:r>
            <w:r>
              <w:rPr>
                <w:noProof/>
                <w:webHidden/>
              </w:rPr>
              <w:fldChar w:fldCharType="begin"/>
            </w:r>
            <w:r>
              <w:rPr>
                <w:noProof/>
                <w:webHidden/>
              </w:rPr>
              <w:instrText xml:space="preserve"> PAGEREF _Toc185257636 \h </w:instrText>
            </w:r>
            <w:r>
              <w:rPr>
                <w:noProof/>
                <w:webHidden/>
              </w:rPr>
            </w:r>
            <w:r>
              <w:rPr>
                <w:noProof/>
                <w:webHidden/>
              </w:rPr>
              <w:fldChar w:fldCharType="separate"/>
            </w:r>
            <w:r>
              <w:rPr>
                <w:noProof/>
                <w:webHidden/>
              </w:rPr>
              <w:t>15</w:t>
            </w:r>
            <w:r>
              <w:rPr>
                <w:noProof/>
                <w:webHidden/>
              </w:rPr>
              <w:fldChar w:fldCharType="end"/>
            </w:r>
          </w:hyperlink>
        </w:p>
        <w:p w:rsidR="00E333E2" w:rsidRDefault="00E333E2" w14:paraId="4B4E2621" w14:textId="2C5FB210">
          <w:pPr>
            <w:pStyle w:val="TOC1"/>
            <w:tabs>
              <w:tab w:val="left" w:pos="440"/>
              <w:tab w:val="right" w:leader="dot" w:pos="9345"/>
            </w:tabs>
            <w:rPr>
              <w:rFonts w:asciiTheme="minorHAnsi" w:hAnsiTheme="minorHAnsi" w:eastAsiaTheme="minorEastAsia" w:cstheme="minorBidi"/>
              <w:noProof/>
              <w:lang w:val="en-US"/>
            </w:rPr>
          </w:pPr>
          <w:hyperlink w:history="1" w:anchor="_Toc185257637">
            <w:r w:rsidRPr="0003066D">
              <w:rPr>
                <w:rStyle w:val="Hyperlink"/>
                <w:b/>
                <w:noProof/>
              </w:rPr>
              <w:t>6.</w:t>
            </w:r>
            <w:r>
              <w:rPr>
                <w:rFonts w:asciiTheme="minorHAnsi" w:hAnsiTheme="minorHAnsi" w:eastAsiaTheme="minorEastAsia" w:cstheme="minorBidi"/>
                <w:noProof/>
                <w:lang w:val="en-US"/>
              </w:rPr>
              <w:tab/>
            </w:r>
            <w:r w:rsidRPr="0003066D">
              <w:rPr>
                <w:rStyle w:val="Hyperlink"/>
                <w:b/>
                <w:noProof/>
              </w:rPr>
              <w:t>ЗЕМЕДЕЛИЕ, РАЗВИТИЕ НА СЕЛСКИТЕ РАЙОНИ, ОКОЛНА СРЕДА</w:t>
            </w:r>
            <w:r>
              <w:rPr>
                <w:noProof/>
                <w:webHidden/>
              </w:rPr>
              <w:tab/>
            </w:r>
            <w:r>
              <w:rPr>
                <w:noProof/>
                <w:webHidden/>
              </w:rPr>
              <w:fldChar w:fldCharType="begin"/>
            </w:r>
            <w:r>
              <w:rPr>
                <w:noProof/>
                <w:webHidden/>
              </w:rPr>
              <w:instrText xml:space="preserve"> PAGEREF _Toc185257637 \h </w:instrText>
            </w:r>
            <w:r>
              <w:rPr>
                <w:noProof/>
                <w:webHidden/>
              </w:rPr>
            </w:r>
            <w:r>
              <w:rPr>
                <w:noProof/>
                <w:webHidden/>
              </w:rPr>
              <w:fldChar w:fldCharType="separate"/>
            </w:r>
            <w:r>
              <w:rPr>
                <w:noProof/>
                <w:webHidden/>
              </w:rPr>
              <w:t>19</w:t>
            </w:r>
            <w:r>
              <w:rPr>
                <w:noProof/>
                <w:webHidden/>
              </w:rPr>
              <w:fldChar w:fldCharType="end"/>
            </w:r>
          </w:hyperlink>
        </w:p>
        <w:p w:rsidR="00E333E2" w:rsidRDefault="00E333E2" w14:paraId="26EF2006" w14:textId="1A1F04A7">
          <w:pPr>
            <w:pStyle w:val="TOC1"/>
            <w:tabs>
              <w:tab w:val="left" w:pos="440"/>
              <w:tab w:val="right" w:leader="dot" w:pos="9345"/>
            </w:tabs>
            <w:rPr>
              <w:rFonts w:asciiTheme="minorHAnsi" w:hAnsiTheme="minorHAnsi" w:eastAsiaTheme="minorEastAsia" w:cstheme="minorBidi"/>
              <w:noProof/>
              <w:lang w:val="en-US"/>
            </w:rPr>
          </w:pPr>
          <w:hyperlink w:history="1" w:anchor="_Toc185257644">
            <w:r w:rsidRPr="0003066D">
              <w:rPr>
                <w:rStyle w:val="Hyperlink"/>
                <w:b/>
                <w:noProof/>
              </w:rPr>
              <w:t>7.</w:t>
            </w:r>
            <w:r>
              <w:rPr>
                <w:rFonts w:asciiTheme="minorHAnsi" w:hAnsiTheme="minorHAnsi" w:eastAsiaTheme="minorEastAsia" w:cstheme="minorBidi"/>
                <w:noProof/>
                <w:lang w:val="en-US"/>
              </w:rPr>
              <w:tab/>
            </w:r>
            <w:r w:rsidRPr="0003066D">
              <w:rPr>
                <w:rStyle w:val="Hyperlink"/>
                <w:b/>
                <w:noProof/>
              </w:rPr>
              <w:t>ВЪНШНИ ОТНОШЕНИЯ</w:t>
            </w:r>
            <w:r>
              <w:rPr>
                <w:noProof/>
                <w:webHidden/>
              </w:rPr>
              <w:tab/>
            </w:r>
            <w:r>
              <w:rPr>
                <w:noProof/>
                <w:webHidden/>
              </w:rPr>
              <w:fldChar w:fldCharType="begin"/>
            </w:r>
            <w:r>
              <w:rPr>
                <w:noProof/>
                <w:webHidden/>
              </w:rPr>
              <w:instrText xml:space="preserve"> PAGEREF _Toc185257644 \h </w:instrText>
            </w:r>
            <w:r>
              <w:rPr>
                <w:noProof/>
                <w:webHidden/>
              </w:rPr>
            </w:r>
            <w:r>
              <w:rPr>
                <w:noProof/>
                <w:webHidden/>
              </w:rPr>
              <w:fldChar w:fldCharType="separate"/>
            </w:r>
            <w:r>
              <w:rPr>
                <w:noProof/>
                <w:webHidden/>
              </w:rPr>
              <w:t>23</w:t>
            </w:r>
            <w:r>
              <w:rPr>
                <w:noProof/>
                <w:webHidden/>
              </w:rPr>
              <w:fldChar w:fldCharType="end"/>
            </w:r>
          </w:hyperlink>
        </w:p>
        <w:p w:rsidR="00E333E2" w:rsidRDefault="00E333E2" w14:paraId="3EAC3FCD" w14:textId="782F4419">
          <w:pPr>
            <w:pStyle w:val="TOC1"/>
            <w:tabs>
              <w:tab w:val="left" w:pos="440"/>
              <w:tab w:val="right" w:leader="dot" w:pos="9345"/>
            </w:tabs>
            <w:rPr>
              <w:rFonts w:asciiTheme="minorHAnsi" w:hAnsiTheme="minorHAnsi" w:eastAsiaTheme="minorEastAsia" w:cstheme="minorBidi"/>
              <w:noProof/>
              <w:lang w:val="en-US"/>
            </w:rPr>
          </w:pPr>
          <w:hyperlink w:history="1" w:anchor="_Toc185257645">
            <w:r w:rsidRPr="0003066D">
              <w:rPr>
                <w:rStyle w:val="Hyperlink"/>
                <w:b/>
                <w:noProof/>
              </w:rPr>
              <w:t>8.</w:t>
            </w:r>
            <w:r>
              <w:rPr>
                <w:rFonts w:asciiTheme="minorHAnsi" w:hAnsiTheme="minorHAnsi" w:eastAsiaTheme="minorEastAsia" w:cstheme="minorBidi"/>
                <w:noProof/>
                <w:lang w:val="en-US"/>
              </w:rPr>
              <w:tab/>
            </w:r>
            <w:r w:rsidRPr="0003066D">
              <w:rPr>
                <w:rStyle w:val="Hyperlink"/>
                <w:b/>
                <w:noProof/>
              </w:rPr>
              <w:t>КОНСУЛТАТИВНА КОМИСИЯ ПО ИНДУСТРИАЛНИ ПРОМЕНИ</w:t>
            </w:r>
            <w:r>
              <w:rPr>
                <w:noProof/>
                <w:webHidden/>
              </w:rPr>
              <w:tab/>
            </w:r>
            <w:r>
              <w:rPr>
                <w:noProof/>
                <w:webHidden/>
              </w:rPr>
              <w:fldChar w:fldCharType="begin"/>
            </w:r>
            <w:r>
              <w:rPr>
                <w:noProof/>
                <w:webHidden/>
              </w:rPr>
              <w:instrText xml:space="preserve"> PAGEREF _Toc185257645 \h </w:instrText>
            </w:r>
            <w:r>
              <w:rPr>
                <w:noProof/>
                <w:webHidden/>
              </w:rPr>
            </w:r>
            <w:r>
              <w:rPr>
                <w:noProof/>
                <w:webHidden/>
              </w:rPr>
              <w:fldChar w:fldCharType="separate"/>
            </w:r>
            <w:r>
              <w:rPr>
                <w:noProof/>
                <w:webHidden/>
              </w:rPr>
              <w:t>29</w:t>
            </w:r>
            <w:r>
              <w:rPr>
                <w:noProof/>
                <w:webHidden/>
              </w:rPr>
              <w:fldChar w:fldCharType="end"/>
            </w:r>
          </w:hyperlink>
        </w:p>
        <w:p w:rsidRPr="00F3125C" w:rsidR="004D7AC0" w:rsidP="004D7AC0" w:rsidRDefault="004D7AC0" w14:paraId="4982DD6A" w14:textId="71186918">
          <w:r w:rsidRPr="00F3125C">
            <w:rPr>
              <w:b/>
            </w:rPr>
            <w:fldChar w:fldCharType="end"/>
          </w:r>
        </w:p>
      </w:sdtContent>
    </w:sdt>
    <w:p w:rsidRPr="00F3125C" w:rsidR="004D7AC0" w:rsidP="004D7AC0" w:rsidRDefault="004D7AC0" w14:paraId="4982DD6B" w14:textId="77777777">
      <w:pPr>
        <w:rPr>
          <w:lang w:val="en-GB"/>
        </w:rPr>
      </w:pPr>
    </w:p>
    <w:p w:rsidRPr="00F3125C" w:rsidR="004D7AC0" w:rsidP="004D7AC0" w:rsidRDefault="004D7AC0" w14:paraId="4982DD6C" w14:textId="320B0F01">
      <w:pPr>
        <w:spacing w:after="160" w:line="259" w:lineRule="auto"/>
        <w:jc w:val="left"/>
      </w:pPr>
      <w:r>
        <w:br w:type="page"/>
      </w:r>
    </w:p>
    <w:p w:rsidRPr="00F3125C" w:rsidR="002673F7" w:rsidP="004D7AC0" w:rsidRDefault="002673F7" w14:paraId="2C14AA4D" w14:textId="2AF2A0E3">
      <w:pPr>
        <w:pStyle w:val="Heading1"/>
        <w:rPr>
          <w:b/>
        </w:rPr>
      </w:pPr>
      <w:bookmarkStart w:name="_Toc185257621" w:id="0"/>
      <w:r>
        <w:rPr>
          <w:b/>
        </w:rPr>
        <w:lastRenderedPageBreak/>
        <w:t>РЕЗОЛЮЦИЯ</w:t>
      </w:r>
      <w:bookmarkEnd w:id="0"/>
    </w:p>
    <w:p w:rsidRPr="00F3125C" w:rsidR="002673F7" w:rsidP="002673F7" w:rsidRDefault="002673F7" w14:paraId="3912EA4C" w14:textId="5657EB09">
      <w:pPr>
        <w:rPr>
          <w:lang w:val="en-GB"/>
        </w:rPr>
      </w:pPr>
    </w:p>
    <w:p w:rsidRPr="00F3125C" w:rsidR="00E85F55" w:rsidP="007224BE" w:rsidRDefault="00E85F55" w14:paraId="5E0BF013" w14:textId="5EA1F7D0">
      <w:pPr>
        <w:widowControl w:val="0"/>
        <w:numPr>
          <w:ilvl w:val="0"/>
          <w:numId w:val="2"/>
        </w:numPr>
        <w:overflowPunct w:val="0"/>
        <w:autoSpaceDE w:val="0"/>
        <w:autoSpaceDN w:val="0"/>
        <w:adjustRightInd w:val="0"/>
        <w:ind w:left="567" w:hanging="567"/>
        <w:textAlignment w:val="baseline"/>
        <w:rPr>
          <w:b/>
          <w:bCs/>
          <w:i/>
          <w:iCs/>
          <w:sz w:val="28"/>
          <w:szCs w:val="28"/>
        </w:rPr>
      </w:pPr>
      <w:r>
        <w:rPr>
          <w:b/>
          <w:i/>
          <w:color w:val="0000FF"/>
          <w:sz w:val="28"/>
          <w:u w:val="single"/>
        </w:rPr>
        <w:t xml:space="preserve">Резолюция </w:t>
      </w:r>
      <w:r>
        <w:rPr>
          <w:b/>
          <w:color w:val="0000FF"/>
          <w:sz w:val="28"/>
          <w:u w:val="single"/>
        </w:rPr>
        <w:t>относно</w:t>
      </w:r>
      <w:r>
        <w:t xml:space="preserve"> </w:t>
      </w:r>
      <w:hyperlink w:history="1" r:id="rId20">
        <w:r>
          <w:rPr>
            <w:b/>
            <w:i/>
            <w:color w:val="0000FF"/>
            <w:sz w:val="28"/>
            <w:u w:val="single"/>
          </w:rPr>
          <w:t>приноса на Европейския икономически и социален комитет към работната програма на Европейската комисия за 2025 г.</w:t>
        </w:r>
      </w:hyperlink>
    </w:p>
    <w:p w:rsidRPr="00F3125C" w:rsidR="00E85F55" w:rsidP="00E85F55" w:rsidRDefault="00E85F55" w14:paraId="0B05F8EC" w14:textId="77777777">
      <w:pPr>
        <w:widowControl w:val="0"/>
        <w:overflowPunct w:val="0"/>
        <w:autoSpaceDE w:val="0"/>
        <w:autoSpaceDN w:val="0"/>
        <w:adjustRightInd w:val="0"/>
        <w:ind w:left="266"/>
        <w:textAlignment w:val="baseline"/>
        <w:rPr>
          <w:lang w:val="en-GB"/>
        </w:rPr>
      </w:pPr>
    </w:p>
    <w:p w:rsidRPr="00F3125C" w:rsidR="00E85F55" w:rsidP="00E85F55" w:rsidRDefault="00E85F55" w14:paraId="7F2B3E69" w14:textId="77777777">
      <w:pPr>
        <w:widowControl w:val="0"/>
        <w:overflowPunct w:val="0"/>
        <w:autoSpaceDE w:val="0"/>
        <w:autoSpaceDN w:val="0"/>
        <w:adjustRightInd w:val="0"/>
        <w:ind w:left="266"/>
        <w:textAlignment w:val="baseline"/>
        <w:rPr>
          <w:bCs/>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420"/>
      </w:tblGrid>
      <w:tr w:rsidRPr="00F3125C" w:rsidR="00E85F55" w:rsidTr="00E333E2" w14:paraId="2F18C2E9" w14:textId="77777777">
        <w:tc>
          <w:tcPr>
            <w:tcW w:w="0" w:type="auto"/>
          </w:tcPr>
          <w:p w:rsidRPr="00F3125C" w:rsidR="00E85F55" w:rsidP="00E85F55" w:rsidRDefault="00E85F55" w14:paraId="390649B1" w14:textId="77777777">
            <w:pPr>
              <w:tabs>
                <w:tab w:val="center" w:pos="284"/>
              </w:tabs>
              <w:overflowPunct w:val="0"/>
              <w:autoSpaceDE w:val="0"/>
              <w:autoSpaceDN w:val="0"/>
              <w:adjustRightInd w:val="0"/>
              <w:ind w:left="266" w:hanging="266"/>
              <w:textAlignment w:val="baseline"/>
              <w:rPr>
                <w:b/>
              </w:rPr>
            </w:pPr>
            <w:r>
              <w:rPr>
                <w:b/>
              </w:rPr>
              <w:t>Докладчици</w:t>
            </w:r>
          </w:p>
        </w:tc>
        <w:tc>
          <w:tcPr>
            <w:tcW w:w="0" w:type="auto"/>
          </w:tcPr>
          <w:p w:rsidRPr="00F3125C" w:rsidR="00E85F55" w:rsidP="00E85F55" w:rsidRDefault="00E85F55" w14:paraId="4145D568" w14:textId="77777777">
            <w:pPr>
              <w:tabs>
                <w:tab w:val="center" w:pos="284"/>
              </w:tabs>
              <w:overflowPunct w:val="0"/>
              <w:autoSpaceDE w:val="0"/>
              <w:autoSpaceDN w:val="0"/>
              <w:adjustRightInd w:val="0"/>
              <w:ind w:left="266" w:hanging="266"/>
              <w:textAlignment w:val="baseline"/>
            </w:pPr>
            <w:proofErr w:type="spellStart"/>
            <w:r>
              <w:t>Cinzia</w:t>
            </w:r>
            <w:proofErr w:type="spellEnd"/>
            <w:r>
              <w:t xml:space="preserve"> DEL RIO (група „Работници“ — IT)</w:t>
            </w:r>
          </w:p>
        </w:tc>
      </w:tr>
      <w:tr w:rsidRPr="00F3125C" w:rsidR="00E85F55" w:rsidTr="00E333E2" w14:paraId="3025319A" w14:textId="77777777">
        <w:tc>
          <w:tcPr>
            <w:tcW w:w="0" w:type="auto"/>
          </w:tcPr>
          <w:p w:rsidRPr="00F3125C" w:rsidR="00E85F55" w:rsidP="00E85F55" w:rsidRDefault="00E85F55" w14:paraId="63FA2D19" w14:textId="77777777">
            <w:pPr>
              <w:tabs>
                <w:tab w:val="center" w:pos="284"/>
              </w:tabs>
              <w:overflowPunct w:val="0"/>
              <w:autoSpaceDE w:val="0"/>
              <w:autoSpaceDN w:val="0"/>
              <w:adjustRightInd w:val="0"/>
              <w:ind w:left="266" w:hanging="266"/>
              <w:textAlignment w:val="baseline"/>
              <w:rPr>
                <w:b/>
                <w:lang w:val="en-GB"/>
              </w:rPr>
            </w:pPr>
          </w:p>
        </w:tc>
        <w:tc>
          <w:tcPr>
            <w:tcW w:w="0" w:type="auto"/>
          </w:tcPr>
          <w:p w:rsidRPr="00F3125C" w:rsidR="00E85F55" w:rsidP="00E85F55" w:rsidRDefault="00E85F55" w14:paraId="0FA10ABA" w14:textId="77777777">
            <w:pPr>
              <w:tabs>
                <w:tab w:val="center" w:pos="284"/>
              </w:tabs>
              <w:overflowPunct w:val="0"/>
              <w:autoSpaceDE w:val="0"/>
              <w:autoSpaceDN w:val="0"/>
              <w:adjustRightInd w:val="0"/>
              <w:ind w:left="266" w:hanging="266"/>
              <w:textAlignment w:val="baseline"/>
            </w:pPr>
            <w:proofErr w:type="spellStart"/>
            <w:r>
              <w:t>Christa</w:t>
            </w:r>
            <w:proofErr w:type="spellEnd"/>
            <w:r>
              <w:t xml:space="preserve"> SCHWENG (група „Работодатели“ — AT)</w:t>
            </w:r>
          </w:p>
        </w:tc>
      </w:tr>
      <w:tr w:rsidRPr="00F3125C" w:rsidR="00E85F55" w:rsidTr="00E333E2" w14:paraId="09863B83" w14:textId="77777777">
        <w:tc>
          <w:tcPr>
            <w:tcW w:w="0" w:type="auto"/>
          </w:tcPr>
          <w:p w:rsidRPr="00F3125C" w:rsidR="00E85F55" w:rsidP="00E85F55" w:rsidRDefault="00E85F55" w14:paraId="1DECA4FC" w14:textId="77777777">
            <w:pPr>
              <w:tabs>
                <w:tab w:val="center" w:pos="284"/>
              </w:tabs>
              <w:overflowPunct w:val="0"/>
              <w:autoSpaceDE w:val="0"/>
              <w:autoSpaceDN w:val="0"/>
              <w:adjustRightInd w:val="0"/>
              <w:ind w:left="266" w:hanging="266"/>
              <w:textAlignment w:val="baseline"/>
              <w:rPr>
                <w:b/>
                <w:lang w:val="en-GB"/>
              </w:rPr>
            </w:pPr>
          </w:p>
        </w:tc>
        <w:tc>
          <w:tcPr>
            <w:tcW w:w="0" w:type="auto"/>
          </w:tcPr>
          <w:p w:rsidRPr="00F3125C" w:rsidR="00E85F55" w:rsidP="00E85F55" w:rsidRDefault="00E85F55" w14:paraId="1A820854" w14:textId="77777777">
            <w:pPr>
              <w:tabs>
                <w:tab w:val="center" w:pos="284"/>
              </w:tabs>
              <w:overflowPunct w:val="0"/>
              <w:autoSpaceDE w:val="0"/>
              <w:autoSpaceDN w:val="0"/>
              <w:adjustRightInd w:val="0"/>
              <w:ind w:left="266" w:hanging="266"/>
              <w:textAlignment w:val="baseline"/>
            </w:pPr>
            <w:proofErr w:type="spellStart"/>
            <w:r>
              <w:t>Ioannis</w:t>
            </w:r>
            <w:proofErr w:type="spellEnd"/>
            <w:r>
              <w:t xml:space="preserve"> VARDAKASTANIS (група „Организации на гражданското общество“ — EL)</w:t>
            </w:r>
          </w:p>
        </w:tc>
      </w:tr>
      <w:tr w:rsidRPr="00F3125C" w:rsidR="00E85F55" w:rsidTr="00E333E2" w14:paraId="5A8ADB6B" w14:textId="77777777">
        <w:tc>
          <w:tcPr>
            <w:tcW w:w="0" w:type="auto"/>
            <w:gridSpan w:val="2"/>
          </w:tcPr>
          <w:p w:rsidRPr="00F3125C" w:rsidR="00E85F55" w:rsidP="00E85F55" w:rsidRDefault="00E85F55" w14:paraId="7DA5BE8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E85F55" w:rsidTr="00E333E2" w14:paraId="1EADF646" w14:textId="77777777">
        <w:tc>
          <w:tcPr>
            <w:tcW w:w="0" w:type="auto"/>
            <w:vMerge w:val="restart"/>
          </w:tcPr>
          <w:p w:rsidRPr="00F3125C" w:rsidR="00E85F55" w:rsidP="00E85F55" w:rsidRDefault="00E85F55" w14:paraId="1C106F51"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F3125C" w:rsidR="00E85F55" w:rsidP="00E85F55" w:rsidRDefault="00E85F55" w14:paraId="3D8B28EE" w14:textId="77777777">
            <w:pPr>
              <w:tabs>
                <w:tab w:val="center" w:pos="284"/>
              </w:tabs>
              <w:overflowPunct w:val="0"/>
              <w:autoSpaceDE w:val="0"/>
              <w:autoSpaceDN w:val="0"/>
              <w:adjustRightInd w:val="0"/>
              <w:ind w:left="266" w:hanging="266"/>
              <w:textAlignment w:val="baseline"/>
            </w:pPr>
            <w:r>
              <w:t>EESC-2024-03700-00-00-RES</w:t>
            </w:r>
          </w:p>
        </w:tc>
      </w:tr>
      <w:tr w:rsidRPr="00F3125C" w:rsidR="00E85F55" w:rsidTr="00E333E2" w14:paraId="5F02857D" w14:textId="77777777">
        <w:tc>
          <w:tcPr>
            <w:tcW w:w="0" w:type="auto"/>
            <w:vMerge/>
          </w:tcPr>
          <w:p w:rsidRPr="00F3125C" w:rsidR="00E85F55" w:rsidP="00E85F55" w:rsidRDefault="00E85F55" w14:paraId="12CD9DAB" w14:textId="77777777">
            <w:pPr>
              <w:tabs>
                <w:tab w:val="center" w:pos="284"/>
              </w:tabs>
              <w:overflowPunct w:val="0"/>
              <w:autoSpaceDE w:val="0"/>
              <w:autoSpaceDN w:val="0"/>
              <w:adjustRightInd w:val="0"/>
              <w:ind w:left="266" w:hanging="266"/>
              <w:textAlignment w:val="baseline"/>
              <w:rPr>
                <w:b/>
                <w:lang w:val="en-GB"/>
              </w:rPr>
            </w:pPr>
          </w:p>
        </w:tc>
        <w:tc>
          <w:tcPr>
            <w:tcW w:w="0" w:type="auto"/>
          </w:tcPr>
          <w:p w:rsidRPr="00F3125C" w:rsidR="00E85F55" w:rsidP="00E85F55" w:rsidRDefault="00E85F55" w14:paraId="75267279" w14:textId="77777777">
            <w:pPr>
              <w:tabs>
                <w:tab w:val="center" w:pos="284"/>
              </w:tabs>
              <w:overflowPunct w:val="0"/>
              <w:autoSpaceDE w:val="0"/>
              <w:autoSpaceDN w:val="0"/>
              <w:adjustRightInd w:val="0"/>
              <w:ind w:left="266" w:hanging="266"/>
              <w:textAlignment w:val="baseline"/>
              <w:rPr>
                <w:lang w:val="en-GB"/>
              </w:rPr>
            </w:pPr>
          </w:p>
        </w:tc>
      </w:tr>
    </w:tbl>
    <w:p w:rsidRPr="00F3125C" w:rsidR="00E85F55" w:rsidP="00E85F55" w:rsidRDefault="00E85F55" w14:paraId="7EC7FE39"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E85F55" w:rsidP="00E85F55" w:rsidRDefault="00E85F55" w14:paraId="5970CD89"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E85F55" w:rsidP="00E85F55" w:rsidRDefault="00E85F55" w14:paraId="5789F249" w14:textId="77777777">
      <w:pPr>
        <w:overflowPunct w:val="0"/>
        <w:autoSpaceDE w:val="0"/>
        <w:autoSpaceDN w:val="0"/>
        <w:adjustRightInd w:val="0"/>
        <w:textAlignment w:val="baseline"/>
        <w:rPr>
          <w:bCs/>
          <w:iCs/>
        </w:rPr>
      </w:pPr>
      <w:r>
        <w:t>ЕИСК:</w:t>
      </w:r>
    </w:p>
    <w:p w:rsidRPr="00F3125C" w:rsidR="007224BE" w:rsidP="00E85F55" w:rsidRDefault="007224BE" w14:paraId="312AE980" w14:textId="77777777">
      <w:pPr>
        <w:overflowPunct w:val="0"/>
        <w:autoSpaceDE w:val="0"/>
        <w:autoSpaceDN w:val="0"/>
        <w:adjustRightInd w:val="0"/>
        <w:textAlignment w:val="baseline"/>
        <w:rPr>
          <w:bCs/>
          <w:iCs/>
          <w:lang w:val="en-GB"/>
        </w:rPr>
      </w:pPr>
    </w:p>
    <w:p w:rsidRPr="00F3125C" w:rsidR="00E85F55" w:rsidP="00643D0B" w:rsidRDefault="00E85F55" w14:paraId="1CC512CF" w14:textId="2ECAE528">
      <w:pPr>
        <w:widowControl w:val="0"/>
        <w:numPr>
          <w:ilvl w:val="0"/>
          <w:numId w:val="15"/>
        </w:numPr>
        <w:overflowPunct w:val="0"/>
        <w:autoSpaceDE w:val="0"/>
        <w:autoSpaceDN w:val="0"/>
        <w:adjustRightInd w:val="0"/>
        <w:ind w:left="284" w:hanging="284"/>
        <w:textAlignment w:val="baseline"/>
        <w:rPr>
          <w:bCs/>
          <w:iCs/>
        </w:rPr>
      </w:pPr>
      <w:r>
        <w:t>с оглед на новите геополитически и все по-сложни предизвикателства призовава институциите на ЕС да предприемат последващи действия във връзка с доклада на Драги и да действат решително, за да гарантират дългосрочна и устойчива конкурентоспособност, просперитет за всички и лидерство на ЕС на световната сцена. Поради това е наложително да се подобрят всички политики, които водят до укрепване на производителността и конкурентоспособността на ЕС, като се съгласуват жизненоважните икономически инвестиции с общи социални и екологични цели и се насърчават социалната пазарна икономика и благосъстоянието на бъдещите поколения, да се приложи стабилна европейска промишлена стратегия (Пакт за чиста промишленост) и да се направят огромни инвестиции, за да се преобрази икономиката по начин, който запазва целостта на единния пазар и преодолява различията в растежа, производителността и иновациите между ЕС и международните партньори и основните конкуренти;</w:t>
      </w:r>
    </w:p>
    <w:p w:rsidRPr="00F3125C" w:rsidR="00E85F55" w:rsidP="00643D0B" w:rsidRDefault="00E85F55" w14:paraId="4F6F60B8" w14:textId="38C60121">
      <w:pPr>
        <w:widowControl w:val="0"/>
        <w:numPr>
          <w:ilvl w:val="0"/>
          <w:numId w:val="15"/>
        </w:numPr>
        <w:overflowPunct w:val="0"/>
        <w:autoSpaceDE w:val="0"/>
        <w:autoSpaceDN w:val="0"/>
        <w:adjustRightInd w:val="0"/>
        <w:ind w:left="284" w:hanging="284"/>
        <w:textAlignment w:val="baseline"/>
        <w:rPr>
          <w:bCs/>
          <w:iCs/>
        </w:rPr>
      </w:pPr>
      <w:r>
        <w:t>признава, че е важно да се намалят административната тежест и разходите за спазване на изискванията, но подчертава, че това трябва да се извърши по прозрачен и приобщаващ начин, без да се навреди на основните законодателни цели и при запазване на настоящите високи стандарти, не на последно място по отношение на общественото благосъстояние и опазването на околната среда. Принципът „Мисли първо за малките!“ следва да се превърне в реалност за МСП чрез осигуряване на стабилна законодателна рамка, рационализиране и намаляване на административните процеси, осигуряване на еднакви условия на конкуренция на единния пазар и предоставяне на достъп на МСП до енергия от възобновяеми източници на достъпни цени;</w:t>
      </w:r>
    </w:p>
    <w:p w:rsidRPr="00F3125C" w:rsidR="00E85F55" w:rsidP="00643D0B" w:rsidRDefault="00E85F55" w14:paraId="7EDE64A8" w14:textId="1F262169">
      <w:pPr>
        <w:widowControl w:val="0"/>
        <w:numPr>
          <w:ilvl w:val="0"/>
          <w:numId w:val="15"/>
        </w:numPr>
        <w:overflowPunct w:val="0"/>
        <w:autoSpaceDE w:val="0"/>
        <w:autoSpaceDN w:val="0"/>
        <w:adjustRightInd w:val="0"/>
        <w:ind w:left="284" w:hanging="284"/>
        <w:textAlignment w:val="baseline"/>
        <w:rPr>
          <w:bCs/>
          <w:iCs/>
        </w:rPr>
      </w:pPr>
      <w:r>
        <w:t xml:space="preserve">приветства предложението за нов план за действие за прилагане на Европейския стълб на социалните права, като призовава за многостранен подход за изпълнение, прилагане и наблюдение на съществуващите инициативи в областта на заетостта и социалната сфера, както и финансова подкрепа за тях, преодоляване на предизвикателствата в областта на заетостта и социалната сфера чрез нови законодателни и незаконодателни мерки и подкрепа на силни политики на сближаване за преодоляване на неравенствата; </w:t>
      </w:r>
    </w:p>
    <w:p w:rsidRPr="00F3125C" w:rsidR="00E85F55" w:rsidP="00643D0B" w:rsidRDefault="00E85F55" w14:paraId="34C87DDD" w14:textId="77777777">
      <w:pPr>
        <w:widowControl w:val="0"/>
        <w:numPr>
          <w:ilvl w:val="0"/>
          <w:numId w:val="15"/>
        </w:numPr>
        <w:overflowPunct w:val="0"/>
        <w:autoSpaceDE w:val="0"/>
        <w:autoSpaceDN w:val="0"/>
        <w:adjustRightInd w:val="0"/>
        <w:ind w:left="284" w:hanging="284"/>
        <w:textAlignment w:val="baseline"/>
        <w:rPr>
          <w:bCs/>
          <w:iCs/>
        </w:rPr>
      </w:pPr>
      <w:r>
        <w:t xml:space="preserve">призовава за мониторинг на социалните инвестиции по време на процеса на семестъра в съответствие с новата рамка за социална конвергенция, която е договорен инструмент за </w:t>
      </w:r>
      <w:r>
        <w:lastRenderedPageBreak/>
        <w:t>проследяване на напредъка и гарантиране, че социалните политики в рамките на ЕССП се прилагат и финансират по подходящ начин;</w:t>
      </w:r>
    </w:p>
    <w:p w:rsidRPr="00F3125C" w:rsidR="00E85F55" w:rsidP="00643D0B" w:rsidRDefault="00E85F55" w14:paraId="0A915271" w14:textId="14DC8B7E">
      <w:pPr>
        <w:widowControl w:val="0"/>
        <w:numPr>
          <w:ilvl w:val="0"/>
          <w:numId w:val="15"/>
        </w:numPr>
        <w:overflowPunct w:val="0"/>
        <w:autoSpaceDE w:val="0"/>
        <w:autoSpaceDN w:val="0"/>
        <w:adjustRightInd w:val="0"/>
        <w:ind w:left="284" w:hanging="284"/>
        <w:textAlignment w:val="baseline"/>
        <w:rPr>
          <w:bCs/>
          <w:iCs/>
        </w:rPr>
      </w:pPr>
      <w:r>
        <w:t>подчертава, че социалният диалог на всички равнища може да играе ключова роля за повишаване на растежа, производителността, заетостта и конкурентоспособността на европейските предприятия на световните пазари;</w:t>
      </w:r>
    </w:p>
    <w:p w:rsidRPr="00F3125C" w:rsidR="00E85F55" w:rsidP="00643D0B" w:rsidRDefault="00E85F55" w14:paraId="041473A6" w14:textId="28443C1C">
      <w:pPr>
        <w:widowControl w:val="0"/>
        <w:numPr>
          <w:ilvl w:val="0"/>
          <w:numId w:val="15"/>
        </w:numPr>
        <w:overflowPunct w:val="0"/>
        <w:autoSpaceDE w:val="0"/>
        <w:autoSpaceDN w:val="0"/>
        <w:adjustRightInd w:val="0"/>
        <w:ind w:left="284" w:hanging="284"/>
        <w:textAlignment w:val="baseline"/>
        <w:rPr>
          <w:bCs/>
          <w:iCs/>
        </w:rPr>
      </w:pPr>
      <w:r>
        <w:t>призовава институциите на ЕС да признаят значението на гражданското общество като ключов участник в разработването и осъществяването на политиките на ЕС за устойчив растеж, защита на демокрацията и социална справедливост, включително справедливия преход. ЕИСК призовава институциите на ЕС да разработят стратегия за гражданското общество с ясен план за действие;</w:t>
      </w:r>
    </w:p>
    <w:p w:rsidRPr="00F3125C" w:rsidR="00E85F55" w:rsidP="00643D0B" w:rsidRDefault="00E85F55" w14:paraId="1FA55C6E" w14:textId="77777777">
      <w:pPr>
        <w:widowControl w:val="0"/>
        <w:numPr>
          <w:ilvl w:val="0"/>
          <w:numId w:val="15"/>
        </w:numPr>
        <w:overflowPunct w:val="0"/>
        <w:autoSpaceDE w:val="0"/>
        <w:autoSpaceDN w:val="0"/>
        <w:adjustRightInd w:val="0"/>
        <w:ind w:left="284" w:hanging="284"/>
        <w:textAlignment w:val="baseline"/>
        <w:rPr>
          <w:bCs/>
          <w:iCs/>
        </w:rPr>
      </w:pPr>
      <w:r>
        <w:t>подчертава, че кохезионните фондове продължават да бъдат от жизненоважно значение за възходящото икономическо и социално сближаване и поради това е от решаващо значение да се възприеме цялостен, координиран и интегриран политически подход на равнището на ЕС. Политиките за сближаване следва да се подкрепят чрез специална генерална дирекция за сближаването и те трябва да запазят своята идентичност в областта на многостепенното управление.</w:t>
      </w:r>
    </w:p>
    <w:p w:rsidRPr="00F3125C" w:rsidR="00E85F55" w:rsidP="00E85F55" w:rsidRDefault="00E85F55" w14:paraId="25D7B97C" w14:textId="77777777">
      <w:pPr>
        <w:widowControl w:val="0"/>
        <w:overflowPunct w:val="0"/>
        <w:autoSpaceDE w:val="0"/>
        <w:autoSpaceDN w:val="0"/>
        <w:adjustRightInd w:val="0"/>
        <w:ind w:left="709"/>
        <w:textAlignment w:val="baseline"/>
        <w:rPr>
          <w:szCs w:val="20"/>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E85F55" w:rsidTr="00863A8F" w14:paraId="0CAC661A" w14:textId="77777777">
        <w:tc>
          <w:tcPr>
            <w:tcW w:w="1556" w:type="pct"/>
          </w:tcPr>
          <w:p w:rsidRPr="00F3125C" w:rsidR="00E85F55" w:rsidP="00E85F55" w:rsidRDefault="00E85F55" w14:paraId="5FF3957F" w14:textId="6BE02C26">
            <w:pPr>
              <w:overflowPunct w:val="0"/>
              <w:autoSpaceDE w:val="0"/>
              <w:autoSpaceDN w:val="0"/>
              <w:adjustRightInd w:val="0"/>
              <w:spacing w:line="240" w:lineRule="auto"/>
              <w:textAlignment w:val="baseline"/>
              <w:rPr>
                <w:i/>
              </w:rPr>
            </w:pPr>
            <w:r>
              <w:rPr>
                <w:b/>
                <w:i/>
              </w:rPr>
              <w:t xml:space="preserve">За контакти </w:t>
            </w:r>
          </w:p>
        </w:tc>
        <w:tc>
          <w:tcPr>
            <w:tcW w:w="3444" w:type="pct"/>
          </w:tcPr>
          <w:p w:rsidRPr="00F3125C" w:rsidR="00E85F55" w:rsidP="00E85F55" w:rsidRDefault="00E85F55" w14:paraId="1EBB25F8" w14:textId="2B4ECE49">
            <w:pPr>
              <w:overflowPunct w:val="0"/>
              <w:autoSpaceDE w:val="0"/>
              <w:autoSpaceDN w:val="0"/>
              <w:adjustRightInd w:val="0"/>
              <w:spacing w:line="240" w:lineRule="auto"/>
              <w:textAlignment w:val="baseline"/>
              <w:rPr>
                <w:i/>
              </w:rPr>
            </w:pPr>
            <w:r>
              <w:rPr>
                <w:i/>
              </w:rPr>
              <w:t xml:space="preserve">Anna </w:t>
            </w:r>
            <w:proofErr w:type="spellStart"/>
            <w:r>
              <w:rPr>
                <w:i/>
              </w:rPr>
              <w:t>Hakami</w:t>
            </w:r>
            <w:proofErr w:type="spellEnd"/>
          </w:p>
        </w:tc>
      </w:tr>
      <w:tr w:rsidRPr="00F3125C" w:rsidR="00E85F55" w:rsidTr="00863A8F" w14:paraId="58DD341F" w14:textId="77777777">
        <w:tc>
          <w:tcPr>
            <w:tcW w:w="1556" w:type="pct"/>
          </w:tcPr>
          <w:p w:rsidRPr="00F3125C" w:rsidR="00E85F55" w:rsidP="00E85F55" w:rsidRDefault="00E85F55" w14:paraId="4CD5A01A" w14:textId="77777777">
            <w:pPr>
              <w:overflowPunct w:val="0"/>
              <w:autoSpaceDE w:val="0"/>
              <w:autoSpaceDN w:val="0"/>
              <w:adjustRightInd w:val="0"/>
              <w:spacing w:line="240" w:lineRule="auto"/>
              <w:textAlignment w:val="baseline"/>
              <w:rPr>
                <w:i/>
              </w:rPr>
            </w:pPr>
            <w:r>
              <w:rPr>
                <w:i/>
              </w:rPr>
              <w:t>Тел.</w:t>
            </w:r>
          </w:p>
        </w:tc>
        <w:tc>
          <w:tcPr>
            <w:tcW w:w="3444" w:type="pct"/>
          </w:tcPr>
          <w:p w:rsidRPr="00F3125C" w:rsidR="00E85F55" w:rsidP="00E85F55" w:rsidRDefault="00E85F55" w14:paraId="3A6BE92D" w14:textId="77777777">
            <w:pPr>
              <w:overflowPunct w:val="0"/>
              <w:autoSpaceDE w:val="0"/>
              <w:autoSpaceDN w:val="0"/>
              <w:adjustRightInd w:val="0"/>
              <w:spacing w:line="240" w:lineRule="auto"/>
              <w:textAlignment w:val="baseline"/>
              <w:rPr>
                <w:i/>
              </w:rPr>
            </w:pPr>
            <w:r>
              <w:rPr>
                <w:i/>
              </w:rPr>
              <w:t>+32 25468674</w:t>
            </w:r>
          </w:p>
        </w:tc>
      </w:tr>
      <w:tr w:rsidRPr="00F3125C" w:rsidR="00E85F55" w:rsidTr="00863A8F" w14:paraId="09CB0502" w14:textId="77777777">
        <w:tc>
          <w:tcPr>
            <w:tcW w:w="1556" w:type="pct"/>
          </w:tcPr>
          <w:p w:rsidRPr="00F3125C" w:rsidR="00E85F55" w:rsidP="00E85F55" w:rsidRDefault="00E85F55" w14:paraId="39255BC2"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E85F55" w:rsidP="00E85F55" w:rsidRDefault="008C5F08" w14:paraId="3F9F1C28" w14:textId="77777777">
            <w:pPr>
              <w:overflowPunct w:val="0"/>
              <w:autoSpaceDE w:val="0"/>
              <w:autoSpaceDN w:val="0"/>
              <w:adjustRightInd w:val="0"/>
              <w:spacing w:line="240" w:lineRule="auto"/>
              <w:textAlignment w:val="baseline"/>
              <w:rPr>
                <w:i/>
              </w:rPr>
            </w:pPr>
            <w:hyperlink w:history="1" r:id="rId21">
              <w:r w:rsidR="00981740">
                <w:rPr>
                  <w:i/>
                  <w:color w:val="0000FF"/>
                  <w:u w:val="single"/>
                </w:rPr>
                <w:t>Anna.Hakami@eesc.europa.eu</w:t>
              </w:r>
            </w:hyperlink>
            <w:r w:rsidR="00981740">
              <w:rPr>
                <w:i/>
              </w:rPr>
              <w:t xml:space="preserve"> </w:t>
            </w:r>
          </w:p>
          <w:p w:rsidRPr="00F3125C" w:rsidR="007224BE" w:rsidP="00E85F55" w:rsidRDefault="007224BE" w14:paraId="693DFACA" w14:textId="77777777">
            <w:pPr>
              <w:overflowPunct w:val="0"/>
              <w:autoSpaceDE w:val="0"/>
              <w:autoSpaceDN w:val="0"/>
              <w:adjustRightInd w:val="0"/>
              <w:spacing w:line="240" w:lineRule="auto"/>
              <w:textAlignment w:val="baseline"/>
              <w:rPr>
                <w:i/>
                <w:lang w:val="en-GB"/>
              </w:rPr>
            </w:pPr>
          </w:p>
        </w:tc>
      </w:tr>
      <w:tr w:rsidRPr="00F3125C" w:rsidR="00E85F55" w:rsidTr="00863A8F" w14:paraId="78462F3E" w14:textId="77777777">
        <w:tc>
          <w:tcPr>
            <w:tcW w:w="1556" w:type="pct"/>
          </w:tcPr>
          <w:p w:rsidRPr="00F3125C" w:rsidR="00E85F55" w:rsidP="00E85F55" w:rsidRDefault="00E85F55" w14:paraId="4C8BC73D" w14:textId="120AA3AC">
            <w:pPr>
              <w:overflowPunct w:val="0"/>
              <w:autoSpaceDE w:val="0"/>
              <w:autoSpaceDN w:val="0"/>
              <w:adjustRightInd w:val="0"/>
              <w:spacing w:line="240" w:lineRule="auto"/>
              <w:textAlignment w:val="baseline"/>
              <w:rPr>
                <w:i/>
                <w:lang w:val="en-GB"/>
              </w:rPr>
            </w:pPr>
          </w:p>
        </w:tc>
        <w:tc>
          <w:tcPr>
            <w:tcW w:w="3444" w:type="pct"/>
          </w:tcPr>
          <w:p w:rsidRPr="00F3125C" w:rsidR="00E85F55" w:rsidP="00E85F55" w:rsidRDefault="00E85F55" w14:paraId="29673AC4" w14:textId="07E97004">
            <w:pPr>
              <w:overflowPunct w:val="0"/>
              <w:autoSpaceDE w:val="0"/>
              <w:autoSpaceDN w:val="0"/>
              <w:adjustRightInd w:val="0"/>
              <w:spacing w:line="240" w:lineRule="auto"/>
              <w:textAlignment w:val="baseline"/>
              <w:rPr>
                <w:i/>
              </w:rPr>
            </w:pPr>
            <w:proofErr w:type="spellStart"/>
            <w:r>
              <w:rPr>
                <w:i/>
              </w:rPr>
              <w:t>Eniko</w:t>
            </w:r>
            <w:proofErr w:type="spellEnd"/>
            <w:r>
              <w:rPr>
                <w:i/>
              </w:rPr>
              <w:t xml:space="preserve"> </w:t>
            </w:r>
            <w:proofErr w:type="spellStart"/>
            <w:r>
              <w:rPr>
                <w:i/>
              </w:rPr>
              <w:t>Greff</w:t>
            </w:r>
            <w:proofErr w:type="spellEnd"/>
          </w:p>
        </w:tc>
      </w:tr>
      <w:tr w:rsidRPr="00F3125C" w:rsidR="00E85F55" w:rsidTr="00863A8F" w14:paraId="30A8EF76" w14:textId="77777777">
        <w:tc>
          <w:tcPr>
            <w:tcW w:w="1556" w:type="pct"/>
          </w:tcPr>
          <w:p w:rsidRPr="00F3125C" w:rsidR="00E85F55" w:rsidP="00E85F55" w:rsidRDefault="00E85F55" w14:paraId="378F46A6" w14:textId="77777777">
            <w:pPr>
              <w:overflowPunct w:val="0"/>
              <w:autoSpaceDE w:val="0"/>
              <w:autoSpaceDN w:val="0"/>
              <w:adjustRightInd w:val="0"/>
              <w:spacing w:line="240" w:lineRule="auto"/>
              <w:textAlignment w:val="baseline"/>
              <w:rPr>
                <w:i/>
              </w:rPr>
            </w:pPr>
            <w:r>
              <w:rPr>
                <w:i/>
              </w:rPr>
              <w:t>Тел.</w:t>
            </w:r>
          </w:p>
        </w:tc>
        <w:tc>
          <w:tcPr>
            <w:tcW w:w="3444" w:type="pct"/>
          </w:tcPr>
          <w:p w:rsidRPr="00F3125C" w:rsidR="00E85F55" w:rsidP="00E85F55" w:rsidRDefault="00E85F55" w14:paraId="0E962227" w14:textId="77777777">
            <w:pPr>
              <w:overflowPunct w:val="0"/>
              <w:autoSpaceDE w:val="0"/>
              <w:autoSpaceDN w:val="0"/>
              <w:adjustRightInd w:val="0"/>
              <w:spacing w:line="240" w:lineRule="auto"/>
              <w:textAlignment w:val="baseline"/>
              <w:rPr>
                <w:i/>
              </w:rPr>
            </w:pPr>
            <w:r>
              <w:rPr>
                <w:i/>
              </w:rPr>
              <w:t>+32 25468792</w:t>
            </w:r>
          </w:p>
        </w:tc>
      </w:tr>
      <w:tr w:rsidRPr="00F3125C" w:rsidR="00E85F55" w:rsidTr="00863A8F" w14:paraId="6FEEAA62" w14:textId="77777777">
        <w:tc>
          <w:tcPr>
            <w:tcW w:w="1556" w:type="pct"/>
          </w:tcPr>
          <w:p w:rsidRPr="00F3125C" w:rsidR="00E85F55" w:rsidP="00E85F55" w:rsidRDefault="00E85F55" w14:paraId="5BF74BAC"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E85F55" w:rsidP="00E85F55" w:rsidRDefault="008C5F08" w14:paraId="391EDC1A" w14:textId="77777777">
            <w:pPr>
              <w:overflowPunct w:val="0"/>
              <w:autoSpaceDE w:val="0"/>
              <w:autoSpaceDN w:val="0"/>
              <w:adjustRightInd w:val="0"/>
              <w:spacing w:line="240" w:lineRule="auto"/>
              <w:textAlignment w:val="baseline"/>
              <w:rPr>
                <w:i/>
              </w:rPr>
            </w:pPr>
            <w:hyperlink w:history="1" r:id="rId22">
              <w:r w:rsidR="00981740">
                <w:rPr>
                  <w:i/>
                  <w:color w:val="0000FF"/>
                  <w:u w:val="single"/>
                </w:rPr>
                <w:t>Eniko.Greff@eesc.europa.eu</w:t>
              </w:r>
            </w:hyperlink>
            <w:r w:rsidR="00981740">
              <w:rPr>
                <w:i/>
              </w:rPr>
              <w:t xml:space="preserve"> </w:t>
            </w:r>
          </w:p>
        </w:tc>
      </w:tr>
    </w:tbl>
    <w:p w:rsidRPr="00F3125C" w:rsidR="002673F7" w:rsidRDefault="002673F7" w14:paraId="05E09868" w14:textId="51A666BF">
      <w:pPr>
        <w:spacing w:after="160" w:line="259" w:lineRule="auto"/>
        <w:jc w:val="left"/>
      </w:pPr>
      <w:r>
        <w:br w:type="page"/>
      </w:r>
    </w:p>
    <w:p w:rsidRPr="00F3125C" w:rsidR="004D7AC0" w:rsidP="006D6D4E" w:rsidRDefault="004D7AC0" w14:paraId="4982DD6D" w14:textId="5F7524E1">
      <w:pPr>
        <w:pStyle w:val="Heading1"/>
        <w:keepNext/>
        <w:keepLines/>
        <w:rPr>
          <w:b/>
        </w:rPr>
      </w:pPr>
      <w:bookmarkStart w:name="_Toc185257622" w:id="1"/>
      <w:r>
        <w:rPr>
          <w:b/>
        </w:rPr>
        <w:lastRenderedPageBreak/>
        <w:t>ИКОНОМИЧЕСКИ И ПАРИЧЕН СЪЮЗ, ИКОНОМИЧЕСКО И СОЦИАЛНО СБЛИЖАВАНЕ</w:t>
      </w:r>
      <w:bookmarkEnd w:id="1"/>
    </w:p>
    <w:p w:rsidRPr="00F3125C" w:rsidR="00F52D24" w:rsidP="006D6D4E" w:rsidRDefault="00F52D24" w14:paraId="1D43B004" w14:textId="77777777">
      <w:pPr>
        <w:keepNext/>
        <w:keepLines/>
        <w:rPr>
          <w:lang w:val="en-GB"/>
        </w:rPr>
      </w:pPr>
    </w:p>
    <w:p w:rsidRPr="00F3125C" w:rsidR="009C5B03" w:rsidP="009C5B03" w:rsidRDefault="008C5F08" w14:paraId="01A0641A" w14:textId="331D5F8D">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bCs/>
          <w:i/>
          <w:iCs/>
          <w:sz w:val="28"/>
          <w:szCs w:val="28"/>
        </w:rPr>
      </w:pPr>
      <w:hyperlink w:history="1" r:id="rId23">
        <w:r w:rsidR="00981740">
          <w:rPr>
            <w:b/>
            <w:i/>
            <w:color w:val="0000FF"/>
            <w:sz w:val="28"/>
            <w:u w:val="single"/>
          </w:rPr>
          <w:t>Регионална спешна подкрепа — RESTORE</w:t>
        </w:r>
      </w:hyperlink>
    </w:p>
    <w:p w:rsidRPr="00F3125C" w:rsidR="00F50E3E" w:rsidP="00643D0B" w:rsidRDefault="00F50E3E" w14:paraId="7685E971" w14:textId="77777777">
      <w:pPr>
        <w:widowControl w:val="0"/>
        <w:overflowPunct w:val="0"/>
        <w:autoSpaceDE w:val="0"/>
        <w:autoSpaceDN w:val="0"/>
        <w:adjustRightInd w:val="0"/>
        <w:spacing w:after="200" w:line="240" w:lineRule="auto"/>
        <w:ind w:left="360"/>
        <w:contextualSpacing/>
        <w:jc w:val="left"/>
        <w:textAlignment w:val="baseline"/>
        <w:rPr>
          <w:rFonts w:ascii="Calibri" w:hAnsi="Calibri"/>
          <w:b/>
          <w:bCs/>
          <w:i/>
          <w:iCs/>
          <w:sz w:val="28"/>
          <w:szCs w:val="28"/>
          <w:lang w:val="en-GB"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F3125C" w:rsidR="009C5B03" w:rsidTr="00863A8F" w14:paraId="50C784B1" w14:textId="77777777">
        <w:tc>
          <w:tcPr>
            <w:tcW w:w="2127" w:type="dxa"/>
          </w:tcPr>
          <w:p w:rsidRPr="00F3125C" w:rsidR="009C5B03" w:rsidP="009C5B03" w:rsidRDefault="009C5B03" w14:paraId="012CF731" w14:textId="78C3D6A4">
            <w:pPr>
              <w:overflowPunct w:val="0"/>
              <w:autoSpaceDE w:val="0"/>
              <w:autoSpaceDN w:val="0"/>
              <w:adjustRightInd w:val="0"/>
              <w:ind w:left="176" w:hanging="284"/>
              <w:textAlignment w:val="baseline"/>
              <w:rPr>
                <w:b/>
              </w:rPr>
            </w:pPr>
            <w:r>
              <w:rPr>
                <w:b/>
              </w:rPr>
              <w:t>Главен докладчик</w:t>
            </w:r>
          </w:p>
        </w:tc>
        <w:tc>
          <w:tcPr>
            <w:tcW w:w="6662" w:type="dxa"/>
          </w:tcPr>
          <w:p w:rsidRPr="00F3125C" w:rsidR="009C5B03" w:rsidP="009C5B03" w:rsidRDefault="009C5B03" w14:paraId="3513B9B1" w14:textId="0C0E4E43">
            <w:pPr>
              <w:tabs>
                <w:tab w:val="center" w:pos="284"/>
              </w:tabs>
              <w:overflowPunct w:val="0"/>
              <w:autoSpaceDE w:val="0"/>
              <w:autoSpaceDN w:val="0"/>
              <w:adjustRightInd w:val="0"/>
              <w:textAlignment w:val="baseline"/>
            </w:pPr>
            <w:proofErr w:type="spellStart"/>
            <w:r>
              <w:t>Ioannis</w:t>
            </w:r>
            <w:proofErr w:type="spellEnd"/>
            <w:r>
              <w:t xml:space="preserve"> VARDAKASTANIS (група „Организации на гражданското общество“ — EL)</w:t>
            </w:r>
          </w:p>
        </w:tc>
      </w:tr>
      <w:tr w:rsidRPr="00F3125C" w:rsidR="009C5B03" w:rsidTr="00863A8F" w14:paraId="04ADF6CF" w14:textId="77777777">
        <w:tc>
          <w:tcPr>
            <w:tcW w:w="8789" w:type="dxa"/>
            <w:gridSpan w:val="2"/>
          </w:tcPr>
          <w:p w:rsidRPr="00F3125C" w:rsidR="009C5B03" w:rsidP="009C5B03" w:rsidRDefault="009C5B03" w14:paraId="113A4D2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9C5B03" w:rsidTr="00863A8F" w14:paraId="05F46EE6" w14:textId="77777777">
        <w:tc>
          <w:tcPr>
            <w:tcW w:w="2127" w:type="dxa"/>
          </w:tcPr>
          <w:p w:rsidRPr="00F3125C" w:rsidR="009C5B03" w:rsidP="009C5B03" w:rsidRDefault="009C5B03" w14:paraId="20E2146E" w14:textId="77777777">
            <w:pPr>
              <w:tabs>
                <w:tab w:val="center" w:pos="284"/>
              </w:tabs>
              <w:overflowPunct w:val="0"/>
              <w:autoSpaceDE w:val="0"/>
              <w:autoSpaceDN w:val="0"/>
              <w:adjustRightInd w:val="0"/>
              <w:ind w:left="266" w:hanging="374"/>
              <w:textAlignment w:val="baseline"/>
              <w:rPr>
                <w:b/>
              </w:rPr>
            </w:pPr>
            <w:r>
              <w:rPr>
                <w:b/>
              </w:rPr>
              <w:t>Отправни документи</w:t>
            </w:r>
          </w:p>
        </w:tc>
        <w:tc>
          <w:tcPr>
            <w:tcW w:w="6662" w:type="dxa"/>
          </w:tcPr>
          <w:p w:rsidRPr="00F3125C" w:rsidR="009C5B03" w:rsidP="009C5B03" w:rsidRDefault="009C5B03" w14:paraId="1C368067" w14:textId="77777777">
            <w:pPr>
              <w:tabs>
                <w:tab w:val="center" w:pos="284"/>
              </w:tabs>
              <w:overflowPunct w:val="0"/>
              <w:autoSpaceDE w:val="0"/>
              <w:autoSpaceDN w:val="0"/>
              <w:adjustRightInd w:val="0"/>
              <w:textAlignment w:val="baseline"/>
            </w:pPr>
            <w:r>
              <w:t xml:space="preserve">COM(2024) 496 </w:t>
            </w:r>
            <w:proofErr w:type="spellStart"/>
            <w:r>
              <w:t>final</w:t>
            </w:r>
            <w:proofErr w:type="spellEnd"/>
          </w:p>
          <w:p w:rsidRPr="00F3125C" w:rsidR="009C5B03" w:rsidP="009C5B03" w:rsidRDefault="009C5B03" w14:paraId="71E8AAFC" w14:textId="77777777">
            <w:pPr>
              <w:tabs>
                <w:tab w:val="center" w:pos="284"/>
              </w:tabs>
              <w:overflowPunct w:val="0"/>
              <w:autoSpaceDE w:val="0"/>
              <w:autoSpaceDN w:val="0"/>
              <w:adjustRightInd w:val="0"/>
              <w:textAlignment w:val="baseline"/>
              <w:rPr>
                <w:highlight w:val="yellow"/>
              </w:rPr>
            </w:pPr>
            <w:r>
              <w:t>EESC-2024-03939-00-00-AC</w:t>
            </w:r>
          </w:p>
        </w:tc>
      </w:tr>
    </w:tbl>
    <w:p w:rsidRPr="00F3125C" w:rsidR="009C5B03" w:rsidP="009C5B03" w:rsidRDefault="009C5B03" w14:paraId="0D4F3005"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F50E3E" w:rsidP="009C5B03" w:rsidRDefault="00F50E3E" w14:paraId="45D003C6"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9C5B03" w:rsidP="009C5B03" w:rsidRDefault="009C5B03" w14:paraId="31F1E7B7" w14:textId="77777777">
      <w:pPr>
        <w:overflowPunct w:val="0"/>
        <w:autoSpaceDE w:val="0"/>
        <w:autoSpaceDN w:val="0"/>
        <w:adjustRightInd w:val="0"/>
        <w:ind w:left="425" w:hanging="425"/>
        <w:textAlignment w:val="baseline"/>
        <w:rPr>
          <w:szCs w:val="20"/>
        </w:rPr>
      </w:pPr>
      <w:r>
        <w:t>ЕИСК:</w:t>
      </w:r>
    </w:p>
    <w:p w:rsidRPr="00F3125C" w:rsidR="009C5B03" w:rsidP="00643D0B" w:rsidRDefault="009C5B03" w14:paraId="28531E4A" w14:textId="77777777">
      <w:pPr>
        <w:numPr>
          <w:ilvl w:val="0"/>
          <w:numId w:val="16"/>
        </w:numPr>
        <w:overflowPunct w:val="0"/>
        <w:autoSpaceDE w:val="0"/>
        <w:autoSpaceDN w:val="0"/>
        <w:adjustRightInd w:val="0"/>
        <w:textAlignment w:val="baseline"/>
        <w:outlineLvl w:val="1"/>
        <w:rPr>
          <w:szCs w:val="20"/>
        </w:rPr>
      </w:pPr>
      <w:bookmarkStart w:name="_Toc185257623" w:id="2"/>
      <w:r>
        <w:t>изразява своята категорична солидарност и подкрепа за хората, засегнати сериозно от неотдавнашните природни бедствия в Централна, Източна и Южна Европа. Когато климатични бедствия връхлитат регионите на ЕС, Европа е по-силна, когато е единна и обединена;</w:t>
      </w:r>
      <w:bookmarkEnd w:id="2"/>
    </w:p>
    <w:p w:rsidRPr="00F3125C" w:rsidR="009C5B03" w:rsidP="00643D0B" w:rsidRDefault="009C5B03" w14:paraId="17BDC950" w14:textId="77777777">
      <w:pPr>
        <w:numPr>
          <w:ilvl w:val="0"/>
          <w:numId w:val="16"/>
        </w:numPr>
        <w:overflowPunct w:val="0"/>
        <w:autoSpaceDE w:val="0"/>
        <w:autoSpaceDN w:val="0"/>
        <w:adjustRightInd w:val="0"/>
        <w:textAlignment w:val="baseline"/>
        <w:outlineLvl w:val="1"/>
        <w:rPr>
          <w:szCs w:val="20"/>
        </w:rPr>
      </w:pPr>
      <w:bookmarkStart w:name="_Toc185257624" w:id="3"/>
      <w:r>
        <w:t>признава, че последиците от изменението на климата и недостига на ресурси, за съжаление, вече се усещат. Въпреки че ЕС основателно се ангажира да се избегне влошаване на положението, не сме подготвени за непредвидени извънредни климатични ситуации, енергийни кризи и природни бедствия;</w:t>
      </w:r>
      <w:bookmarkEnd w:id="3"/>
    </w:p>
    <w:p w:rsidRPr="00F3125C" w:rsidR="009C5B03" w:rsidP="00643D0B" w:rsidRDefault="009C5B03" w14:paraId="66E0C007" w14:textId="77777777">
      <w:pPr>
        <w:numPr>
          <w:ilvl w:val="0"/>
          <w:numId w:val="16"/>
        </w:numPr>
        <w:overflowPunct w:val="0"/>
        <w:autoSpaceDE w:val="0"/>
        <w:autoSpaceDN w:val="0"/>
        <w:adjustRightInd w:val="0"/>
        <w:textAlignment w:val="baseline"/>
        <w:outlineLvl w:val="1"/>
        <w:rPr>
          <w:szCs w:val="20"/>
        </w:rPr>
      </w:pPr>
      <w:bookmarkStart w:name="_Toc185257625" w:id="4"/>
      <w:r>
        <w:t>подчертава, че е необходима системна промяна в начина, по който функционира нашата икономика, и че е от решаващо значение правителствата да се ангажират със системни решения, вместо да се занимават само със симптомите на проблема;</w:t>
      </w:r>
      <w:bookmarkEnd w:id="4"/>
    </w:p>
    <w:p w:rsidRPr="00F3125C" w:rsidR="009C5B03" w:rsidP="00643D0B" w:rsidRDefault="009C5B03" w14:paraId="5733AEB3" w14:textId="77777777">
      <w:pPr>
        <w:numPr>
          <w:ilvl w:val="0"/>
          <w:numId w:val="16"/>
        </w:numPr>
        <w:overflowPunct w:val="0"/>
        <w:autoSpaceDE w:val="0"/>
        <w:autoSpaceDN w:val="0"/>
        <w:adjustRightInd w:val="0"/>
        <w:textAlignment w:val="baseline"/>
        <w:outlineLvl w:val="1"/>
        <w:rPr>
          <w:szCs w:val="20"/>
        </w:rPr>
      </w:pPr>
      <w:bookmarkStart w:name="_Toc185257626" w:id="5"/>
      <w:r>
        <w:t>счита, че ще са необходими незабавни, прости и ефективни мерки, за да се облекчат социалните, териториалните и икономическите последици от такива природни бедствия. Регионите на ЕС ще се нуждаят от мащабна реконструкция, за да се възстановят от тези бедствия;</w:t>
      </w:r>
      <w:bookmarkEnd w:id="5"/>
    </w:p>
    <w:p w:rsidRPr="00F3125C" w:rsidR="009C5B03" w:rsidP="00643D0B" w:rsidRDefault="009C5B03" w14:paraId="74C1E0EA" w14:textId="77777777">
      <w:pPr>
        <w:numPr>
          <w:ilvl w:val="0"/>
          <w:numId w:val="16"/>
        </w:numPr>
        <w:overflowPunct w:val="0"/>
        <w:autoSpaceDE w:val="0"/>
        <w:autoSpaceDN w:val="0"/>
        <w:adjustRightInd w:val="0"/>
        <w:textAlignment w:val="baseline"/>
        <w:outlineLvl w:val="1"/>
        <w:rPr>
          <w:szCs w:val="20"/>
        </w:rPr>
      </w:pPr>
      <w:bookmarkStart w:name="_Toc185257627" w:id="6"/>
      <w:r>
        <w:t>приветства предложените възможности за гъвкавост в предложението на Комисията за подпомагане на засегнатите държави, като се има предвид сериозното и дълготрайно въздействие, което природните бедствия оказват върху социалната и икономическата структура на регионите на ЕС;</w:t>
      </w:r>
      <w:bookmarkEnd w:id="6"/>
    </w:p>
    <w:p w:rsidRPr="00F3125C" w:rsidR="009C5B03" w:rsidP="00643D0B" w:rsidRDefault="009C5B03" w14:paraId="4CDE73AF" w14:textId="77777777">
      <w:pPr>
        <w:numPr>
          <w:ilvl w:val="0"/>
          <w:numId w:val="16"/>
        </w:numPr>
        <w:overflowPunct w:val="0"/>
        <w:autoSpaceDE w:val="0"/>
        <w:autoSpaceDN w:val="0"/>
        <w:adjustRightInd w:val="0"/>
        <w:textAlignment w:val="baseline"/>
        <w:outlineLvl w:val="1"/>
        <w:rPr>
          <w:szCs w:val="20"/>
        </w:rPr>
      </w:pPr>
      <w:bookmarkStart w:name="_Toc185257628" w:id="7"/>
      <w:r>
        <w:t>изразява подкрепата си за политиката на сближаване като дългосрочен инструмент за инвестиции на ЕС, като същевременно признава, че екстремните природни бедствия могат да застрашат неговото дългосрочно развитие;</w:t>
      </w:r>
      <w:bookmarkEnd w:id="7"/>
    </w:p>
    <w:p w:rsidRPr="00F3125C" w:rsidR="009C5B03" w:rsidP="00643D0B" w:rsidRDefault="009C5B03" w14:paraId="0D08D206" w14:textId="77777777">
      <w:pPr>
        <w:numPr>
          <w:ilvl w:val="0"/>
          <w:numId w:val="16"/>
        </w:numPr>
        <w:overflowPunct w:val="0"/>
        <w:autoSpaceDE w:val="0"/>
        <w:autoSpaceDN w:val="0"/>
        <w:adjustRightInd w:val="0"/>
        <w:textAlignment w:val="baseline"/>
        <w:outlineLvl w:val="1"/>
        <w:rPr>
          <w:szCs w:val="20"/>
        </w:rPr>
      </w:pPr>
      <w:bookmarkStart w:name="_Toc185257629" w:id="8"/>
      <w:r>
        <w:t>подчертава, че основният принцип в политиката на сближаване да не се пренебрегва никой и нито един регион остава непоклатим и действащ и че партньорите от гражданското общество са готови да продължат да работят в името на този принцип с помощта на стабилна инвестиционна политика на ЕС;</w:t>
      </w:r>
      <w:bookmarkEnd w:id="8"/>
    </w:p>
    <w:p w:rsidRPr="00F3125C" w:rsidR="009C5B03" w:rsidP="00643D0B" w:rsidRDefault="009C5B03" w14:paraId="266DF4AB" w14:textId="77777777">
      <w:pPr>
        <w:numPr>
          <w:ilvl w:val="0"/>
          <w:numId w:val="16"/>
        </w:numPr>
        <w:overflowPunct w:val="0"/>
        <w:autoSpaceDE w:val="0"/>
        <w:autoSpaceDN w:val="0"/>
        <w:adjustRightInd w:val="0"/>
        <w:textAlignment w:val="baseline"/>
        <w:outlineLvl w:val="1"/>
        <w:rPr>
          <w:szCs w:val="20"/>
        </w:rPr>
      </w:pPr>
      <w:bookmarkStart w:name="_Toc185257630" w:id="9"/>
      <w:r>
        <w:t>категорично и ясно говори за политика на сближаване, която е най-важната дългосрочна инвестиционна политика на ЕС за намаляване на регионалните, икономическите и териториалните различия;</w:t>
      </w:r>
      <w:bookmarkEnd w:id="9"/>
    </w:p>
    <w:p w:rsidRPr="00F3125C" w:rsidR="009C5B03" w:rsidP="00643D0B" w:rsidRDefault="009C5B03" w14:paraId="634FF858" w14:textId="1BDD1D69">
      <w:pPr>
        <w:numPr>
          <w:ilvl w:val="0"/>
          <w:numId w:val="16"/>
        </w:numPr>
        <w:overflowPunct w:val="0"/>
        <w:autoSpaceDE w:val="0"/>
        <w:autoSpaceDN w:val="0"/>
        <w:adjustRightInd w:val="0"/>
        <w:textAlignment w:val="baseline"/>
        <w:outlineLvl w:val="1"/>
        <w:rPr>
          <w:szCs w:val="20"/>
        </w:rPr>
      </w:pPr>
      <w:bookmarkStart w:name="_Toc185257631" w:id="10"/>
      <w:r>
        <w:t xml:space="preserve">смята, че ЕС се нуждае от нов, стабилен и надежден механизъм за финансиране, който трябва да бъде адаптивен и гъвкав и да е готов да реагира на нови и възникващи кризи през следващите години и десетилетия. От решаващо значение е функционирането на този механизъм, при което основният акцент е поставен върху бързите и неотложни реакции, да </w:t>
      </w:r>
      <w:r>
        <w:lastRenderedPageBreak/>
        <w:t>бъде съгласувано с цялостните политики на ЕС в областта на климата, околната среда и енергетиката;</w:t>
      </w:r>
      <w:bookmarkEnd w:id="10"/>
    </w:p>
    <w:p w:rsidRPr="00F3125C" w:rsidR="009C5B03" w:rsidP="00643D0B" w:rsidRDefault="009C5B03" w14:paraId="0DF738F7" w14:textId="0CBDFA0C">
      <w:pPr>
        <w:numPr>
          <w:ilvl w:val="0"/>
          <w:numId w:val="16"/>
        </w:numPr>
        <w:overflowPunct w:val="0"/>
        <w:autoSpaceDE w:val="0"/>
        <w:autoSpaceDN w:val="0"/>
        <w:adjustRightInd w:val="0"/>
        <w:textAlignment w:val="baseline"/>
        <w:outlineLvl w:val="1"/>
        <w:rPr>
          <w:szCs w:val="20"/>
        </w:rPr>
      </w:pPr>
      <w:bookmarkStart w:name="_Toc185257632" w:id="11"/>
      <w:r>
        <w:t>настоятелно призовава Европейската комисия да работи в тясно сътрудничество с държавите членки, местните власти и организациите на гражданското общество за възможно най-ефективно и бързо използване на възможностите за оказване на подкрепа на засегнатите региони. Организации на гражданското общество, работещи, МСП и НПО са били засегнати сериозно от природните бедствия и трябва да им бъде осигурен значителен дял от средствата;</w:t>
      </w:r>
      <w:bookmarkEnd w:id="11"/>
    </w:p>
    <w:p w:rsidRPr="00E333E2" w:rsidR="009C5B03" w:rsidP="00F50E3E" w:rsidRDefault="009C5B03" w14:paraId="60510BE8" w14:textId="62EB5034">
      <w:pPr>
        <w:numPr>
          <w:ilvl w:val="0"/>
          <w:numId w:val="16"/>
        </w:numPr>
        <w:overflowPunct w:val="0"/>
        <w:autoSpaceDE w:val="0"/>
        <w:autoSpaceDN w:val="0"/>
        <w:adjustRightInd w:val="0"/>
        <w:textAlignment w:val="baseline"/>
        <w:outlineLvl w:val="1"/>
        <w:rPr>
          <w:szCs w:val="20"/>
        </w:rPr>
      </w:pPr>
      <w:bookmarkStart w:name="_Toc185257633" w:id="12"/>
      <w:r>
        <w:t>призовава Съвета и Европейския парламент бързо да одобрят регламента, за да може да бъде приет възможно най-скоро.</w:t>
      </w:r>
      <w:bookmarkEnd w:id="12"/>
    </w:p>
    <w:p w:rsidRPr="00F3125C" w:rsidR="00E333E2" w:rsidP="00E333E2" w:rsidRDefault="00E333E2" w14:paraId="7870D492" w14:textId="77777777">
      <w:pPr>
        <w:overflowPunct w:val="0"/>
        <w:autoSpaceDE w:val="0"/>
        <w:autoSpaceDN w:val="0"/>
        <w:adjustRightInd w:val="0"/>
        <w:textAlignment w:val="baseline"/>
        <w:outlineLvl w:val="1"/>
        <w:rPr>
          <w:szCs w:val="20"/>
        </w:rPr>
      </w:pPr>
    </w:p>
    <w:tbl>
      <w:tblPr>
        <w:tblStyle w:val="TableGrid2"/>
        <w:tblW w:w="5691" w:type="dxa"/>
        <w:tblInd w:w="-5" w:type="dxa"/>
        <w:tblLook w:val="04A0" w:firstRow="1" w:lastRow="0" w:firstColumn="1" w:lastColumn="0" w:noHBand="0" w:noVBand="1"/>
      </w:tblPr>
      <w:tblGrid>
        <w:gridCol w:w="1240"/>
        <w:gridCol w:w="4451"/>
      </w:tblGrid>
      <w:tr w:rsidRPr="00F3125C" w:rsidR="00902A1F" w:rsidTr="00902A1F" w14:paraId="06614FB7" w14:textId="77777777">
        <w:tc>
          <w:tcPr>
            <w:tcW w:w="1173" w:type="dxa"/>
          </w:tcPr>
          <w:p w:rsidRPr="00F3125C" w:rsidR="00902A1F" w:rsidP="00810BF5" w:rsidRDefault="00902A1F" w14:paraId="0619ADAD" w14:textId="77777777">
            <w:pPr>
              <w:overflowPunct w:val="0"/>
              <w:autoSpaceDE w:val="0"/>
              <w:autoSpaceDN w:val="0"/>
              <w:adjustRightInd w:val="0"/>
              <w:textAlignment w:val="baseline"/>
              <w:rPr>
                <w:bCs/>
                <w:i/>
              </w:rPr>
            </w:pPr>
            <w:r>
              <w:rPr>
                <w:i/>
              </w:rPr>
              <w:t>За контакти</w:t>
            </w:r>
          </w:p>
        </w:tc>
        <w:tc>
          <w:tcPr>
            <w:tcW w:w="4518" w:type="dxa"/>
          </w:tcPr>
          <w:p w:rsidRPr="00F3125C" w:rsidR="00902A1F" w:rsidP="00810BF5" w:rsidRDefault="00902A1F" w14:paraId="22287D72" w14:textId="77777777">
            <w:pPr>
              <w:overflowPunct w:val="0"/>
              <w:autoSpaceDE w:val="0"/>
              <w:autoSpaceDN w:val="0"/>
              <w:adjustRightInd w:val="0"/>
              <w:textAlignment w:val="baseline"/>
              <w:rPr>
                <w:bCs/>
                <w:i/>
                <w:iCs/>
              </w:rPr>
            </w:pPr>
            <w:proofErr w:type="spellStart"/>
            <w:r>
              <w:rPr>
                <w:i/>
              </w:rPr>
              <w:t>Georgios</w:t>
            </w:r>
            <w:proofErr w:type="spellEnd"/>
            <w:r>
              <w:rPr>
                <w:i/>
              </w:rPr>
              <w:t xml:space="preserve"> </w:t>
            </w:r>
            <w:proofErr w:type="spellStart"/>
            <w:r>
              <w:rPr>
                <w:i/>
              </w:rPr>
              <w:t>Meleas</w:t>
            </w:r>
            <w:proofErr w:type="spellEnd"/>
          </w:p>
        </w:tc>
      </w:tr>
      <w:tr w:rsidRPr="00F3125C" w:rsidR="00902A1F" w:rsidTr="00902A1F" w14:paraId="549E05C1" w14:textId="77777777">
        <w:tc>
          <w:tcPr>
            <w:tcW w:w="1173" w:type="dxa"/>
          </w:tcPr>
          <w:p w:rsidRPr="00F3125C" w:rsidR="00902A1F" w:rsidP="00810BF5" w:rsidRDefault="00902A1F" w14:paraId="5E3BD607" w14:textId="77777777">
            <w:pPr>
              <w:overflowPunct w:val="0"/>
              <w:autoSpaceDE w:val="0"/>
              <w:autoSpaceDN w:val="0"/>
              <w:adjustRightInd w:val="0"/>
              <w:textAlignment w:val="baseline"/>
              <w:rPr>
                <w:i/>
              </w:rPr>
            </w:pPr>
            <w:r>
              <w:rPr>
                <w:i/>
              </w:rPr>
              <w:t>Тел.</w:t>
            </w:r>
          </w:p>
        </w:tc>
        <w:tc>
          <w:tcPr>
            <w:tcW w:w="4518" w:type="dxa"/>
          </w:tcPr>
          <w:p w:rsidRPr="00F3125C" w:rsidR="00902A1F" w:rsidP="00810BF5" w:rsidRDefault="00902A1F" w14:paraId="388EAD60" w14:textId="77777777">
            <w:pPr>
              <w:overflowPunct w:val="0"/>
              <w:autoSpaceDE w:val="0"/>
              <w:autoSpaceDN w:val="0"/>
              <w:adjustRightInd w:val="0"/>
              <w:textAlignment w:val="baseline"/>
              <w:rPr>
                <w:i/>
                <w:iCs/>
              </w:rPr>
            </w:pPr>
            <w:r>
              <w:rPr>
                <w:i/>
              </w:rPr>
              <w:t>+32 25469795</w:t>
            </w:r>
          </w:p>
        </w:tc>
      </w:tr>
      <w:tr w:rsidRPr="00F3125C" w:rsidR="00902A1F" w:rsidTr="00902A1F" w14:paraId="3990E4FC" w14:textId="77777777">
        <w:tc>
          <w:tcPr>
            <w:tcW w:w="1173" w:type="dxa"/>
          </w:tcPr>
          <w:p w:rsidRPr="00F3125C" w:rsidR="00902A1F" w:rsidP="00810BF5" w:rsidRDefault="00902A1F" w14:paraId="4D4F9AB3" w14:textId="77777777">
            <w:pPr>
              <w:overflowPunct w:val="0"/>
              <w:autoSpaceDE w:val="0"/>
              <w:autoSpaceDN w:val="0"/>
              <w:adjustRightInd w:val="0"/>
              <w:textAlignment w:val="baseline"/>
              <w:rPr>
                <w:i/>
              </w:rPr>
            </w:pPr>
            <w:r>
              <w:rPr>
                <w:i/>
              </w:rPr>
              <w:t>Електронен адрес</w:t>
            </w:r>
          </w:p>
        </w:tc>
        <w:tc>
          <w:tcPr>
            <w:tcW w:w="4518" w:type="dxa"/>
          </w:tcPr>
          <w:p w:rsidRPr="00F3125C" w:rsidR="00902A1F" w:rsidP="00810BF5" w:rsidRDefault="008C5F08" w14:paraId="01EE99DA" w14:textId="77777777">
            <w:pPr>
              <w:overflowPunct w:val="0"/>
              <w:autoSpaceDE w:val="0"/>
              <w:autoSpaceDN w:val="0"/>
              <w:adjustRightInd w:val="0"/>
              <w:textAlignment w:val="baseline"/>
              <w:rPr>
                <w:i/>
                <w:iCs/>
              </w:rPr>
            </w:pPr>
            <w:hyperlink w:history="1" r:id="rId24">
              <w:r w:rsidR="00981740">
                <w:rPr>
                  <w:color w:val="0000FF"/>
                  <w:u w:val="single"/>
                </w:rPr>
                <w:t>Georgios.Meleas@eesc.europa.eu</w:t>
              </w:r>
            </w:hyperlink>
          </w:p>
        </w:tc>
      </w:tr>
    </w:tbl>
    <w:p w:rsidRPr="00F3125C" w:rsidR="00482C25" w:rsidP="00643D0B" w:rsidRDefault="008C5F08" w14:paraId="22B8A203" w14:textId="6678DB6D">
      <w:pPr>
        <w:pageBreakBefore/>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5">
        <w:r w:rsidR="00981740">
          <w:rPr>
            <w:b/>
            <w:i/>
            <w:color w:val="0000FF"/>
            <w:sz w:val="28"/>
            <w:u w:val="single"/>
          </w:rPr>
          <w:t>Преглед на правната рамка за секюритизациите в ЕС</w:t>
        </w:r>
      </w:hyperlink>
      <w:r w:rsidR="00981740">
        <w:rPr>
          <w:b/>
          <w:i/>
          <w:sz w:val="28"/>
        </w:rPr>
        <w:t xml:space="preserve"> </w:t>
      </w:r>
    </w:p>
    <w:p w:rsidRPr="00F3125C" w:rsidR="00482C25" w:rsidP="00482C25" w:rsidRDefault="00482C25" w14:paraId="202C21D6" w14:textId="77777777">
      <w:pPr>
        <w:widowControl w:val="0"/>
        <w:overflowPunct w:val="0"/>
        <w:autoSpaceDE w:val="0"/>
        <w:autoSpaceDN w:val="0"/>
        <w:adjustRightInd w:val="0"/>
        <w:ind w:left="284"/>
        <w:textAlignment w:val="baseline"/>
        <w:rPr>
          <w:b/>
          <w:i/>
          <w:iCs/>
          <w:sz w:val="20"/>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F3125C" w:rsidR="00482C25" w:rsidTr="00863A8F" w14:paraId="5FE72AFC" w14:textId="77777777">
        <w:tc>
          <w:tcPr>
            <w:tcW w:w="1701" w:type="dxa"/>
          </w:tcPr>
          <w:p w:rsidRPr="00F3125C" w:rsidR="00482C25" w:rsidP="00482C25" w:rsidRDefault="00482C25" w14:paraId="581AD2ED" w14:textId="77777777">
            <w:pPr>
              <w:tabs>
                <w:tab w:val="center" w:pos="284"/>
              </w:tabs>
              <w:overflowPunct w:val="0"/>
              <w:autoSpaceDE w:val="0"/>
              <w:autoSpaceDN w:val="0"/>
              <w:adjustRightInd w:val="0"/>
              <w:ind w:left="266" w:hanging="266"/>
              <w:textAlignment w:val="baseline"/>
              <w:rPr>
                <w:b/>
              </w:rPr>
            </w:pPr>
            <w:r>
              <w:rPr>
                <w:b/>
              </w:rPr>
              <w:t>Докладчик</w:t>
            </w:r>
          </w:p>
          <w:p w:rsidRPr="00F3125C" w:rsidR="00482C25" w:rsidP="00482C25" w:rsidRDefault="00482C25" w14:paraId="181AB32E"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6804" w:type="dxa"/>
            <w:gridSpan w:val="2"/>
          </w:tcPr>
          <w:p w:rsidRPr="00F3125C" w:rsidR="00482C25" w:rsidP="00482C25" w:rsidRDefault="00482C25" w14:paraId="5358A076" w14:textId="4586C2B5">
            <w:pPr>
              <w:tabs>
                <w:tab w:val="center" w:pos="284"/>
              </w:tabs>
              <w:overflowPunct w:val="0"/>
              <w:autoSpaceDE w:val="0"/>
              <w:autoSpaceDN w:val="0"/>
              <w:adjustRightInd w:val="0"/>
              <w:ind w:left="266" w:hanging="266"/>
              <w:textAlignment w:val="baseline"/>
              <w:rPr>
                <w:bCs/>
              </w:rPr>
            </w:pPr>
            <w:proofErr w:type="spellStart"/>
            <w:r>
              <w:t>Philip</w:t>
            </w:r>
            <w:proofErr w:type="spellEnd"/>
            <w:r>
              <w:t xml:space="preserve"> VON BROCKDORFF (група „Работници“ — MT)</w:t>
            </w:r>
          </w:p>
          <w:p w:rsidRPr="00F3125C" w:rsidR="00482C25" w:rsidP="00482C25" w:rsidRDefault="00482C25" w14:paraId="0A10A3EA" w14:textId="3A765694">
            <w:pPr>
              <w:tabs>
                <w:tab w:val="center" w:pos="284"/>
              </w:tabs>
              <w:overflowPunct w:val="0"/>
              <w:autoSpaceDE w:val="0"/>
              <w:autoSpaceDN w:val="0"/>
              <w:adjustRightInd w:val="0"/>
              <w:ind w:left="266" w:hanging="266"/>
              <w:textAlignment w:val="baseline"/>
              <w:rPr>
                <w:bCs/>
              </w:rPr>
            </w:pPr>
            <w:proofErr w:type="spellStart"/>
            <w:r>
              <w:t>Antonio</w:t>
            </w:r>
            <w:proofErr w:type="spellEnd"/>
            <w:r>
              <w:t xml:space="preserve"> GARCÍA DEL RIEGO (група „Работодатели“ — ES)</w:t>
            </w:r>
          </w:p>
          <w:p w:rsidRPr="00F3125C" w:rsidR="00482C25" w:rsidP="00482C25" w:rsidRDefault="00482C25" w14:paraId="3B6D01B4" w14:textId="77777777">
            <w:pPr>
              <w:tabs>
                <w:tab w:val="center" w:pos="284"/>
              </w:tabs>
              <w:overflowPunct w:val="0"/>
              <w:autoSpaceDE w:val="0"/>
              <w:autoSpaceDN w:val="0"/>
              <w:adjustRightInd w:val="0"/>
              <w:ind w:left="266" w:hanging="266"/>
              <w:textAlignment w:val="baseline"/>
              <w:rPr>
                <w:bCs/>
                <w:lang w:val="en-GB"/>
              </w:rPr>
            </w:pPr>
          </w:p>
        </w:tc>
      </w:tr>
      <w:tr w:rsidRPr="00F3125C" w:rsidR="00482C25" w:rsidTr="00863A8F" w14:paraId="4CB905DA" w14:textId="77777777">
        <w:trPr>
          <w:gridAfter w:val="1"/>
          <w:wAfter w:w="1417" w:type="dxa"/>
        </w:trPr>
        <w:tc>
          <w:tcPr>
            <w:tcW w:w="7088" w:type="dxa"/>
            <w:gridSpan w:val="2"/>
          </w:tcPr>
          <w:p w:rsidRPr="00F3125C" w:rsidR="00482C25" w:rsidP="00482C25" w:rsidRDefault="00482C25" w14:paraId="4268E22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482C25" w:rsidTr="00863A8F" w14:paraId="4B940311" w14:textId="77777777">
        <w:trPr>
          <w:gridAfter w:val="1"/>
          <w:wAfter w:w="1417" w:type="dxa"/>
        </w:trPr>
        <w:tc>
          <w:tcPr>
            <w:tcW w:w="1701" w:type="dxa"/>
          </w:tcPr>
          <w:p w:rsidRPr="00F3125C" w:rsidR="00482C25" w:rsidP="00482C25" w:rsidRDefault="00482C25" w14:paraId="7122568E"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5387" w:type="dxa"/>
          </w:tcPr>
          <w:p w:rsidRPr="00F3125C" w:rsidR="00482C25" w:rsidP="00482C25" w:rsidRDefault="00482C25" w14:paraId="4D5F8809"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482C25" w:rsidP="00482C25" w:rsidRDefault="00482C25" w14:paraId="64F2A43F" w14:textId="68E44F58">
            <w:pPr>
              <w:tabs>
                <w:tab w:val="center" w:pos="284"/>
              </w:tabs>
              <w:overflowPunct w:val="0"/>
              <w:autoSpaceDE w:val="0"/>
              <w:autoSpaceDN w:val="0"/>
              <w:adjustRightInd w:val="0"/>
              <w:ind w:left="266" w:hanging="266"/>
              <w:textAlignment w:val="baseline"/>
            </w:pPr>
            <w:r>
              <w:t>EESC-2024-00531-00-00-AC</w:t>
            </w:r>
          </w:p>
        </w:tc>
      </w:tr>
    </w:tbl>
    <w:p w:rsidRPr="00F3125C" w:rsidR="00482C25" w:rsidP="00482C25" w:rsidRDefault="00482C25" w14:paraId="08467886" w14:textId="77777777">
      <w:pPr>
        <w:keepNext/>
        <w:keepLines/>
        <w:tabs>
          <w:tab w:val="center" w:pos="284"/>
        </w:tabs>
        <w:overflowPunct w:val="0"/>
        <w:autoSpaceDE w:val="0"/>
        <w:autoSpaceDN w:val="0"/>
        <w:adjustRightInd w:val="0"/>
        <w:spacing w:before="120"/>
        <w:ind w:left="266" w:hanging="266"/>
        <w:textAlignment w:val="baseline"/>
        <w:rPr>
          <w:b/>
        </w:rPr>
      </w:pPr>
      <w:r>
        <w:rPr>
          <w:b/>
        </w:rPr>
        <w:t>Основни аспекти</w:t>
      </w:r>
    </w:p>
    <w:p w:rsidRPr="00F3125C" w:rsidR="00482C25" w:rsidP="00482C25" w:rsidRDefault="00482C25" w14:paraId="128A5BE3" w14:textId="77777777">
      <w:pPr>
        <w:keepNext/>
        <w:keepLines/>
        <w:tabs>
          <w:tab w:val="center" w:pos="284"/>
        </w:tabs>
        <w:overflowPunct w:val="0"/>
        <w:autoSpaceDE w:val="0"/>
        <w:autoSpaceDN w:val="0"/>
        <w:adjustRightInd w:val="0"/>
        <w:spacing w:before="120"/>
        <w:ind w:left="266" w:hanging="266"/>
        <w:textAlignment w:val="baseline"/>
        <w:rPr>
          <w:b/>
          <w:lang w:val="en-GB"/>
        </w:rPr>
      </w:pPr>
    </w:p>
    <w:p w:rsidRPr="00F3125C" w:rsidR="00482C25" w:rsidP="00482C25" w:rsidRDefault="00482C25" w14:paraId="60F3D793" w14:textId="77777777">
      <w:pPr>
        <w:overflowPunct w:val="0"/>
        <w:autoSpaceDE w:val="0"/>
        <w:autoSpaceDN w:val="0"/>
        <w:adjustRightInd w:val="0"/>
        <w:textAlignment w:val="baseline"/>
        <w:rPr>
          <w:bCs/>
          <w:iCs/>
        </w:rPr>
      </w:pPr>
      <w:r>
        <w:t>ЕИСК:</w:t>
      </w:r>
    </w:p>
    <w:p w:rsidRPr="00F3125C" w:rsidR="00482C25" w:rsidP="00482C25" w:rsidRDefault="00482C25" w14:paraId="05A20084" w14:textId="77777777">
      <w:pPr>
        <w:overflowPunct w:val="0"/>
        <w:autoSpaceDE w:val="0"/>
        <w:autoSpaceDN w:val="0"/>
        <w:adjustRightInd w:val="0"/>
        <w:textAlignment w:val="baseline"/>
        <w:rPr>
          <w:bCs/>
          <w:iCs/>
          <w:lang w:val="en-GB"/>
        </w:rPr>
      </w:pPr>
    </w:p>
    <w:p w:rsidRPr="00F3125C" w:rsidR="00482C25" w:rsidP="00643D0B" w:rsidRDefault="00482C25" w14:paraId="32FA80D3" w14:textId="77777777">
      <w:pPr>
        <w:numPr>
          <w:ilvl w:val="0"/>
          <w:numId w:val="18"/>
        </w:numPr>
        <w:overflowPunct w:val="0"/>
        <w:autoSpaceDE w:val="0"/>
        <w:autoSpaceDN w:val="0"/>
        <w:adjustRightInd w:val="0"/>
        <w:spacing w:after="200" w:line="276" w:lineRule="auto"/>
        <w:contextualSpacing/>
        <w:textAlignment w:val="baseline"/>
        <w:rPr>
          <w:bCs/>
          <w:iCs/>
        </w:rPr>
      </w:pPr>
      <w:r>
        <w:t>счита, че подобряването на пазара на секюритизация може да разшири инвестиционните възможности, да увеличи достъпа до кредитиране и да спомогне за напредъка на съюза на капиталовите пазари;</w:t>
      </w:r>
    </w:p>
    <w:p w:rsidRPr="00F3125C" w:rsidR="00482C25" w:rsidP="00643D0B" w:rsidRDefault="00482C25" w14:paraId="4F2CF352" w14:textId="77777777">
      <w:pPr>
        <w:numPr>
          <w:ilvl w:val="0"/>
          <w:numId w:val="18"/>
        </w:numPr>
        <w:overflowPunct w:val="0"/>
        <w:autoSpaceDE w:val="0"/>
        <w:autoSpaceDN w:val="0"/>
        <w:adjustRightInd w:val="0"/>
        <w:spacing w:after="200" w:line="276" w:lineRule="auto"/>
        <w:contextualSpacing/>
        <w:textAlignment w:val="baseline"/>
        <w:rPr>
          <w:bCs/>
          <w:iCs/>
        </w:rPr>
      </w:pPr>
      <w:r>
        <w:t>счита за целесъобразно да се извърши оценка на ефективността на правната рамка за секюритизациите, включително пазарната инфраструктура, ефикасността и прозрачността, и да се проучат възможностите за корекции в изискванията за докладване и надлежна проверка;</w:t>
      </w:r>
    </w:p>
    <w:p w:rsidRPr="00F3125C" w:rsidR="00482C25" w:rsidP="00643D0B" w:rsidRDefault="00482C25" w14:paraId="0A7F745F" w14:textId="77777777">
      <w:pPr>
        <w:numPr>
          <w:ilvl w:val="0"/>
          <w:numId w:val="18"/>
        </w:numPr>
        <w:overflowPunct w:val="0"/>
        <w:autoSpaceDE w:val="0"/>
        <w:autoSpaceDN w:val="0"/>
        <w:adjustRightInd w:val="0"/>
        <w:spacing w:after="200" w:line="276" w:lineRule="auto"/>
        <w:contextualSpacing/>
        <w:textAlignment w:val="baseline"/>
        <w:rPr>
          <w:bCs/>
          <w:iCs/>
        </w:rPr>
      </w:pPr>
      <w:r>
        <w:t>препоръчва всяка оценка на прилагането на регулаторната рамка да включва анализ на въздействието на секюритизацията върху финансирането на реалната икономика;</w:t>
      </w:r>
    </w:p>
    <w:p w:rsidRPr="00F3125C" w:rsidR="00482C25" w:rsidP="00643D0B" w:rsidRDefault="00482C25" w14:paraId="56A02359" w14:textId="77777777">
      <w:pPr>
        <w:numPr>
          <w:ilvl w:val="0"/>
          <w:numId w:val="18"/>
        </w:numPr>
        <w:overflowPunct w:val="0"/>
        <w:autoSpaceDE w:val="0"/>
        <w:autoSpaceDN w:val="0"/>
        <w:adjustRightInd w:val="0"/>
        <w:spacing w:after="200" w:line="276" w:lineRule="auto"/>
        <w:contextualSpacing/>
        <w:textAlignment w:val="baseline"/>
        <w:rPr>
          <w:bCs/>
          <w:iCs/>
        </w:rPr>
      </w:pPr>
      <w:r>
        <w:t>предлага усилията за стимулиране на секюритизацията да се съсредоточат върху осигуряването на допълнително финансиране за реалната икономика, с акцент върху домакинствата и предприятията;</w:t>
      </w:r>
    </w:p>
    <w:p w:rsidRPr="00F3125C" w:rsidR="00482C25" w:rsidP="00643D0B" w:rsidRDefault="00482C25" w14:paraId="5878E812" w14:textId="77777777">
      <w:pPr>
        <w:numPr>
          <w:ilvl w:val="0"/>
          <w:numId w:val="18"/>
        </w:numPr>
        <w:overflowPunct w:val="0"/>
        <w:autoSpaceDE w:val="0"/>
        <w:autoSpaceDN w:val="0"/>
        <w:adjustRightInd w:val="0"/>
        <w:spacing w:after="200" w:line="276" w:lineRule="auto"/>
        <w:contextualSpacing/>
        <w:textAlignment w:val="baseline"/>
        <w:rPr>
          <w:bCs/>
          <w:iCs/>
        </w:rPr>
      </w:pPr>
      <w:r>
        <w:t>счита, че секюритизацията следва да допълва други съществуващи капиталови инструменти, като например покрити облигации, но като се има предвид, че секюритизацията е единственият инструмент, който позволява освобождаване на капитал за банките;</w:t>
      </w:r>
    </w:p>
    <w:p w:rsidRPr="00F3125C" w:rsidR="00482C25" w:rsidP="00643D0B" w:rsidRDefault="00482C25" w14:paraId="316BD31B" w14:textId="77777777">
      <w:pPr>
        <w:numPr>
          <w:ilvl w:val="0"/>
          <w:numId w:val="18"/>
        </w:numPr>
        <w:overflowPunct w:val="0"/>
        <w:autoSpaceDE w:val="0"/>
        <w:autoSpaceDN w:val="0"/>
        <w:adjustRightInd w:val="0"/>
        <w:spacing w:after="200" w:line="276" w:lineRule="auto"/>
        <w:contextualSpacing/>
        <w:textAlignment w:val="baseline"/>
        <w:rPr>
          <w:bCs/>
          <w:iCs/>
        </w:rPr>
      </w:pPr>
      <w:r>
        <w:t>смята, че с разширяване на съществуващите изисквания за оповестяване във връзка с устойчивостта или с въвеждане на рамка за „зелена секюритизация“ може да се осигури добавена стойност за инвеститорите, които биха я оценили положително, за да измерват дела си на екологичните, социалните и управленските (ЕСУ) инвестиции, да оценяват рисковете от ЕСУ характер, както и да я използват като инструмент за сравнение;</w:t>
      </w:r>
    </w:p>
    <w:p w:rsidRPr="00F3125C" w:rsidR="00482C25" w:rsidP="00643D0B" w:rsidRDefault="00482C25" w14:paraId="108E811D" w14:textId="77777777">
      <w:pPr>
        <w:numPr>
          <w:ilvl w:val="0"/>
          <w:numId w:val="18"/>
        </w:numPr>
        <w:overflowPunct w:val="0"/>
        <w:autoSpaceDE w:val="0"/>
        <w:autoSpaceDN w:val="0"/>
        <w:adjustRightInd w:val="0"/>
        <w:spacing w:after="200" w:line="276" w:lineRule="auto"/>
        <w:contextualSpacing/>
        <w:textAlignment w:val="baseline"/>
        <w:rPr>
          <w:bCs/>
          <w:iCs/>
        </w:rPr>
      </w:pPr>
      <w:r>
        <w:t>предлага да се намалят сроковете и допълнително да се стандартизират и хармонизират изискванията за признаване на прехвърлянето на значителен риск;</w:t>
      </w:r>
    </w:p>
    <w:p w:rsidRPr="00F3125C" w:rsidR="00482C25" w:rsidP="00643D0B" w:rsidRDefault="00482C25" w14:paraId="45FBE1E5" w14:textId="73814C41">
      <w:pPr>
        <w:numPr>
          <w:ilvl w:val="0"/>
          <w:numId w:val="18"/>
        </w:numPr>
        <w:overflowPunct w:val="0"/>
        <w:autoSpaceDE w:val="0"/>
        <w:autoSpaceDN w:val="0"/>
        <w:adjustRightInd w:val="0"/>
        <w:spacing w:after="200" w:line="276" w:lineRule="auto"/>
        <w:contextualSpacing/>
        <w:textAlignment w:val="baseline"/>
        <w:rPr>
          <w:bCs/>
          <w:iCs/>
        </w:rPr>
      </w:pPr>
      <w:r>
        <w:t>счита, че напредъкът в хармонизирането, например, на договорното право, правото в областта на несъстоятелността и данъчното облагане, би подобрил осъществимостта на трансграничното групиране и емитиране на такива ценни книжа;</w:t>
      </w:r>
    </w:p>
    <w:p w:rsidRPr="00F3125C" w:rsidR="00482C25" w:rsidP="00643D0B" w:rsidRDefault="00482C25" w14:paraId="6B15D60C" w14:textId="77777777">
      <w:pPr>
        <w:numPr>
          <w:ilvl w:val="0"/>
          <w:numId w:val="18"/>
        </w:numPr>
        <w:overflowPunct w:val="0"/>
        <w:autoSpaceDE w:val="0"/>
        <w:autoSpaceDN w:val="0"/>
        <w:adjustRightInd w:val="0"/>
        <w:spacing w:after="200" w:line="276" w:lineRule="auto"/>
        <w:contextualSpacing/>
        <w:textAlignment w:val="baseline"/>
        <w:rPr>
          <w:bCs/>
          <w:iCs/>
        </w:rPr>
      </w:pPr>
      <w:r>
        <w:t>приветства процеса на консултации от страна на Европейската комисия и препоръчва ЕС да си сътрудничи активно в текущите консултации със Съвета за финансова стабилност.</w:t>
      </w:r>
    </w:p>
    <w:p w:rsidRPr="00F3125C" w:rsidR="00482C25" w:rsidP="00482C25" w:rsidRDefault="00482C25" w14:paraId="3FC16B9E" w14:textId="77777777">
      <w:pPr>
        <w:overflowPunct w:val="0"/>
        <w:autoSpaceDE w:val="0"/>
        <w:autoSpaceDN w:val="0"/>
        <w:adjustRightInd w:val="0"/>
        <w:textAlignment w:val="baseline"/>
        <w:rPr>
          <w:bCs/>
          <w:iCs/>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125C" w:rsidR="00482C25" w:rsidTr="00863A8F" w14:paraId="4854E09A" w14:textId="77777777">
        <w:tc>
          <w:tcPr>
            <w:tcW w:w="1418" w:type="dxa"/>
          </w:tcPr>
          <w:p w:rsidRPr="00F3125C" w:rsidR="00482C25" w:rsidP="00482C25" w:rsidRDefault="00482C25" w14:paraId="7A4A5D8B" w14:textId="77777777">
            <w:pPr>
              <w:overflowPunct w:val="0"/>
              <w:autoSpaceDE w:val="0"/>
              <w:autoSpaceDN w:val="0"/>
              <w:adjustRightInd w:val="0"/>
              <w:spacing w:line="240" w:lineRule="auto"/>
              <w:textAlignment w:val="baseline"/>
              <w:rPr>
                <w:i/>
              </w:rPr>
            </w:pPr>
            <w:r>
              <w:rPr>
                <w:b/>
                <w:i/>
              </w:rPr>
              <w:t>За контакти</w:t>
            </w:r>
          </w:p>
        </w:tc>
        <w:tc>
          <w:tcPr>
            <w:tcW w:w="5670" w:type="dxa"/>
          </w:tcPr>
          <w:p w:rsidRPr="00F3125C" w:rsidR="00482C25" w:rsidP="00482C25" w:rsidRDefault="00482C25" w14:paraId="11F392D6" w14:textId="540E4AA0">
            <w:pPr>
              <w:overflowPunct w:val="0"/>
              <w:autoSpaceDE w:val="0"/>
              <w:autoSpaceDN w:val="0"/>
              <w:adjustRightInd w:val="0"/>
              <w:spacing w:line="240" w:lineRule="auto"/>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F3125C" w:rsidR="00482C25" w:rsidTr="00863A8F" w14:paraId="6A09B6CF" w14:textId="77777777">
        <w:tc>
          <w:tcPr>
            <w:tcW w:w="1418" w:type="dxa"/>
          </w:tcPr>
          <w:p w:rsidRPr="00F3125C" w:rsidR="00482C25" w:rsidP="00482C25" w:rsidRDefault="00482C25" w14:paraId="7B394B02" w14:textId="77777777">
            <w:pPr>
              <w:overflowPunct w:val="0"/>
              <w:autoSpaceDE w:val="0"/>
              <w:autoSpaceDN w:val="0"/>
              <w:adjustRightInd w:val="0"/>
              <w:spacing w:line="240" w:lineRule="auto"/>
              <w:textAlignment w:val="baseline"/>
              <w:rPr>
                <w:i/>
              </w:rPr>
            </w:pPr>
            <w:r>
              <w:rPr>
                <w:i/>
              </w:rPr>
              <w:t>Тел.</w:t>
            </w:r>
          </w:p>
        </w:tc>
        <w:tc>
          <w:tcPr>
            <w:tcW w:w="5670" w:type="dxa"/>
          </w:tcPr>
          <w:p w:rsidRPr="00F3125C" w:rsidR="00482C25" w:rsidP="00482C25" w:rsidRDefault="00482C25" w14:paraId="5FFF8E7A" w14:textId="77777777">
            <w:pPr>
              <w:overflowPunct w:val="0"/>
              <w:autoSpaceDE w:val="0"/>
              <w:autoSpaceDN w:val="0"/>
              <w:adjustRightInd w:val="0"/>
              <w:spacing w:line="240" w:lineRule="auto"/>
              <w:textAlignment w:val="baseline"/>
              <w:rPr>
                <w:i/>
              </w:rPr>
            </w:pPr>
            <w:r>
              <w:rPr>
                <w:i/>
              </w:rPr>
              <w:t>+32 25469240</w:t>
            </w:r>
          </w:p>
        </w:tc>
      </w:tr>
      <w:tr w:rsidRPr="00F3125C" w:rsidR="00482C25" w:rsidTr="00863A8F" w14:paraId="7AAB38BF" w14:textId="77777777">
        <w:tc>
          <w:tcPr>
            <w:tcW w:w="1418" w:type="dxa"/>
          </w:tcPr>
          <w:p w:rsidRPr="00F3125C" w:rsidR="00482C25" w:rsidP="00482C25" w:rsidRDefault="00F365AE" w14:paraId="11B710E6" w14:textId="19C4CC2C">
            <w:pPr>
              <w:overflowPunct w:val="0"/>
              <w:autoSpaceDE w:val="0"/>
              <w:autoSpaceDN w:val="0"/>
              <w:adjustRightInd w:val="0"/>
              <w:spacing w:line="240" w:lineRule="auto"/>
              <w:textAlignment w:val="baseline"/>
              <w:rPr>
                <w:i/>
              </w:rPr>
            </w:pPr>
            <w:r>
              <w:rPr>
                <w:i/>
              </w:rPr>
              <w:t>Електронен адрес</w:t>
            </w:r>
          </w:p>
        </w:tc>
        <w:tc>
          <w:tcPr>
            <w:tcW w:w="5670" w:type="dxa"/>
          </w:tcPr>
          <w:p w:rsidRPr="00F3125C" w:rsidR="00482C25" w:rsidP="00482C25" w:rsidRDefault="008C5F08" w14:paraId="370FF809" w14:textId="77777777">
            <w:pPr>
              <w:overflowPunct w:val="0"/>
              <w:autoSpaceDE w:val="0"/>
              <w:autoSpaceDN w:val="0"/>
              <w:adjustRightInd w:val="0"/>
              <w:spacing w:line="240" w:lineRule="auto"/>
              <w:textAlignment w:val="baseline"/>
              <w:rPr>
                <w:i/>
              </w:rPr>
            </w:pPr>
            <w:hyperlink w:history="1" r:id="rId26">
              <w:r w:rsidR="00981740">
                <w:rPr>
                  <w:color w:val="0000FF"/>
                  <w:u w:val="single"/>
                </w:rPr>
                <w:t>Sergio.LorencioMatallana@eesc.europa.eu</w:t>
              </w:r>
            </w:hyperlink>
          </w:p>
        </w:tc>
      </w:tr>
    </w:tbl>
    <w:p w:rsidRPr="00F3125C" w:rsidR="009C5B03" w:rsidRDefault="004D7AC0" w14:paraId="16078824" w14:textId="21FB3874">
      <w:pPr>
        <w:spacing w:after="160" w:line="259" w:lineRule="auto"/>
        <w:jc w:val="left"/>
      </w:pPr>
      <w:r>
        <w:br w:type="page"/>
      </w:r>
    </w:p>
    <w:p w:rsidRPr="00F3125C" w:rsidR="00EB5CCE" w:rsidP="004B5D3D" w:rsidRDefault="008C5F08" w14:paraId="64C8007D" w14:textId="2DD9685C">
      <w:pPr>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7">
        <w:r w:rsidR="00981740">
          <w:rPr>
            <w:b/>
            <w:i/>
            <w:color w:val="0000FF"/>
            <w:sz w:val="28"/>
            <w:u w:val="single"/>
          </w:rPr>
          <w:t>Преразглеждане на Териториалната програма до 2030 г. — Към по-интегриран и граждански подход с по-силни връзки с политиката на сближаване</w:t>
        </w:r>
      </w:hyperlink>
    </w:p>
    <w:p w:rsidRPr="00F3125C" w:rsidR="00EB5CCE" w:rsidP="00EB5CCE" w:rsidRDefault="00EB5CCE" w14:paraId="67C7B085" w14:textId="77777777">
      <w:pPr>
        <w:widowControl w:val="0"/>
        <w:overflowPunct w:val="0"/>
        <w:autoSpaceDE w:val="0"/>
        <w:autoSpaceDN w:val="0"/>
        <w:adjustRightInd w:val="0"/>
        <w:spacing w:after="120"/>
        <w:ind w:left="266"/>
        <w:textAlignment w:val="baseline"/>
        <w:rPr>
          <w:bCs/>
          <w:lang w:val="en-GB"/>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gridCol w:w="567"/>
      </w:tblGrid>
      <w:tr w:rsidRPr="00F3125C" w:rsidR="00EB5CCE" w:rsidTr="00863A8F" w14:paraId="7DEF2FBB" w14:textId="77777777">
        <w:trPr>
          <w:gridAfter w:val="1"/>
          <w:wAfter w:w="567" w:type="dxa"/>
        </w:trPr>
        <w:tc>
          <w:tcPr>
            <w:tcW w:w="1701" w:type="dxa"/>
          </w:tcPr>
          <w:p w:rsidRPr="00F3125C" w:rsidR="00EB5CCE" w:rsidP="00EB5CCE" w:rsidRDefault="00EB5CCE" w14:paraId="72CBDAD8"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804" w:type="dxa"/>
          </w:tcPr>
          <w:p w:rsidRPr="00F3125C" w:rsidR="00EB5CCE" w:rsidP="00EB5CCE" w:rsidRDefault="00EB5CCE" w14:paraId="11978C54" w14:textId="77777777">
            <w:pPr>
              <w:tabs>
                <w:tab w:val="center" w:pos="284"/>
              </w:tabs>
              <w:overflowPunct w:val="0"/>
              <w:autoSpaceDE w:val="0"/>
              <w:autoSpaceDN w:val="0"/>
              <w:adjustRightInd w:val="0"/>
              <w:ind w:left="266" w:hanging="266"/>
              <w:textAlignment w:val="baseline"/>
              <w:rPr>
                <w:bCs/>
              </w:rPr>
            </w:pPr>
            <w:proofErr w:type="spellStart"/>
            <w:r>
              <w:t>Stefano</w:t>
            </w:r>
            <w:proofErr w:type="spellEnd"/>
            <w:r>
              <w:t xml:space="preserve"> PALMIERI (група „Работници“ — IT)</w:t>
            </w:r>
          </w:p>
        </w:tc>
      </w:tr>
      <w:tr w:rsidRPr="00F3125C" w:rsidR="00EB5CCE" w:rsidTr="00863A8F" w14:paraId="13E9AD18" w14:textId="77777777">
        <w:tc>
          <w:tcPr>
            <w:tcW w:w="9072" w:type="dxa"/>
            <w:gridSpan w:val="3"/>
          </w:tcPr>
          <w:p w:rsidRPr="00F3125C" w:rsidR="00EB5CCE" w:rsidP="00EB5CCE" w:rsidRDefault="00EB5CCE" w14:paraId="5C07022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EB5CCE" w:rsidTr="00863A8F" w14:paraId="283AA2FE" w14:textId="77777777">
        <w:tc>
          <w:tcPr>
            <w:tcW w:w="1701" w:type="dxa"/>
          </w:tcPr>
          <w:p w:rsidRPr="00F3125C" w:rsidR="00EB5CCE" w:rsidP="00EB5CCE" w:rsidRDefault="00EB5CCE" w14:paraId="06A223ED"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7371" w:type="dxa"/>
            <w:gridSpan w:val="2"/>
          </w:tcPr>
          <w:p w:rsidRPr="00F3125C" w:rsidR="00FE0B51" w:rsidP="00EB5CCE" w:rsidRDefault="00EB5CCE" w14:paraId="55D27B75"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EB5CCE" w:rsidP="00EB5CCE" w:rsidRDefault="00EB5CCE" w14:paraId="1548E30A" w14:textId="088569FE">
            <w:pPr>
              <w:tabs>
                <w:tab w:val="center" w:pos="284"/>
              </w:tabs>
              <w:overflowPunct w:val="0"/>
              <w:autoSpaceDE w:val="0"/>
              <w:autoSpaceDN w:val="0"/>
              <w:adjustRightInd w:val="0"/>
              <w:ind w:left="266" w:hanging="266"/>
              <w:textAlignment w:val="baseline"/>
            </w:pPr>
            <w:r>
              <w:t>EESC-2024-01368-00-00-AC</w:t>
            </w:r>
          </w:p>
        </w:tc>
      </w:tr>
    </w:tbl>
    <w:p w:rsidRPr="00F3125C" w:rsidR="00EB5CCE" w:rsidP="00EB5CCE" w:rsidRDefault="00EB5CCE" w14:paraId="6C8BB221" w14:textId="77777777">
      <w:pPr>
        <w:keepNext/>
        <w:keepLines/>
        <w:tabs>
          <w:tab w:val="center" w:pos="284"/>
        </w:tabs>
        <w:overflowPunct w:val="0"/>
        <w:autoSpaceDE w:val="0"/>
        <w:autoSpaceDN w:val="0"/>
        <w:adjustRightInd w:val="0"/>
        <w:spacing w:before="120"/>
        <w:ind w:left="266" w:hanging="266"/>
        <w:textAlignment w:val="baseline"/>
        <w:rPr>
          <w:b/>
        </w:rPr>
      </w:pPr>
      <w:r>
        <w:rPr>
          <w:b/>
        </w:rPr>
        <w:t>Основни аспекти</w:t>
      </w:r>
    </w:p>
    <w:p w:rsidRPr="00F3125C" w:rsidR="00EB5CCE" w:rsidP="00EB5CCE" w:rsidRDefault="00EB5CCE" w14:paraId="463D7D3F" w14:textId="77777777">
      <w:pPr>
        <w:overflowPunct w:val="0"/>
        <w:autoSpaceDE w:val="0"/>
        <w:autoSpaceDN w:val="0"/>
        <w:adjustRightInd w:val="0"/>
        <w:textAlignment w:val="baseline"/>
        <w:rPr>
          <w:bCs/>
          <w:iCs/>
          <w:lang w:val="en-GB"/>
        </w:rPr>
      </w:pPr>
    </w:p>
    <w:p w:rsidRPr="00F3125C" w:rsidR="00EB5CCE" w:rsidP="00EB5CCE" w:rsidRDefault="00EB5CCE" w14:paraId="3FFAAB09" w14:textId="77777777">
      <w:pPr>
        <w:overflowPunct w:val="0"/>
        <w:autoSpaceDE w:val="0"/>
        <w:autoSpaceDN w:val="0"/>
        <w:adjustRightInd w:val="0"/>
        <w:textAlignment w:val="baseline"/>
        <w:rPr>
          <w:bCs/>
          <w:iCs/>
        </w:rPr>
      </w:pPr>
      <w:r>
        <w:t>ЕИСК:</w:t>
      </w:r>
    </w:p>
    <w:p w:rsidRPr="00F3125C" w:rsidR="00FE0B51" w:rsidP="00EB5CCE" w:rsidRDefault="00FE0B51" w14:paraId="2C9C4BB6" w14:textId="77777777">
      <w:pPr>
        <w:overflowPunct w:val="0"/>
        <w:autoSpaceDE w:val="0"/>
        <w:autoSpaceDN w:val="0"/>
        <w:adjustRightInd w:val="0"/>
        <w:textAlignment w:val="baseline"/>
        <w:rPr>
          <w:bCs/>
          <w:iCs/>
          <w:lang w:val="en-GB"/>
        </w:rPr>
      </w:pPr>
    </w:p>
    <w:p w:rsidRPr="00F3125C" w:rsidR="00EB5CCE" w:rsidP="00643D0B" w:rsidRDefault="00EB5CCE" w14:paraId="0E80473F" w14:textId="77777777">
      <w:pPr>
        <w:numPr>
          <w:ilvl w:val="0"/>
          <w:numId w:val="19"/>
        </w:numPr>
        <w:overflowPunct w:val="0"/>
        <w:autoSpaceDE w:val="0"/>
        <w:autoSpaceDN w:val="0"/>
        <w:adjustRightInd w:val="0"/>
        <w:textAlignment w:val="baseline"/>
        <w:rPr>
          <w:szCs w:val="20"/>
        </w:rPr>
      </w:pPr>
      <w:r>
        <w:t>счита, че Териториалната програма трябва да насърчава петата свобода на вътрешния пазар — очертана в доклада на Енрико Лета: „свободата да останеш“ на мястото, където си избрал да живееш — като по този начин се гарантира пълно икономическо, социално и териториално сближаване. От друга страна, както се посочва в доклада на Марио Драги, тя би трябвало също така да гарантира, че всички региони могат да се възползват от възможностите за местно развитие чрез мерки за гарантиране и укрепване на тяхната конкурентоспособност;</w:t>
      </w:r>
    </w:p>
    <w:p w:rsidRPr="00F3125C" w:rsidR="00EB5CCE" w:rsidP="00643D0B" w:rsidRDefault="00EB5CCE" w14:paraId="6A3A0098" w14:textId="77777777">
      <w:pPr>
        <w:numPr>
          <w:ilvl w:val="0"/>
          <w:numId w:val="19"/>
        </w:numPr>
        <w:overflowPunct w:val="0"/>
        <w:autoSpaceDE w:val="0"/>
        <w:autoSpaceDN w:val="0"/>
        <w:adjustRightInd w:val="0"/>
        <w:textAlignment w:val="baseline"/>
        <w:rPr>
          <w:szCs w:val="20"/>
        </w:rPr>
      </w:pPr>
      <w:r>
        <w:t>подчертава, че с акцента си върху по-справедлива и по-екологична Европа Териториалната програма до 2030 г. е приведена в съответствие с дългосрочните цели на ЕС и осигурява солидна основа за интегрирано пространствено планиране;</w:t>
      </w:r>
    </w:p>
    <w:p w:rsidRPr="00F3125C" w:rsidR="00EB5CCE" w:rsidP="00643D0B" w:rsidRDefault="00EB5CCE" w14:paraId="4E35B6B6" w14:textId="77777777">
      <w:pPr>
        <w:numPr>
          <w:ilvl w:val="0"/>
          <w:numId w:val="19"/>
        </w:numPr>
        <w:overflowPunct w:val="0"/>
        <w:autoSpaceDE w:val="0"/>
        <w:autoSpaceDN w:val="0"/>
        <w:adjustRightInd w:val="0"/>
        <w:textAlignment w:val="baseline"/>
        <w:rPr>
          <w:szCs w:val="20"/>
        </w:rPr>
      </w:pPr>
      <w:r>
        <w:t>отбелязва, че въпреки действията на ЕС за изпитване и изпълнение на Териториалната програма на ЕС до 2030 г., полезните въздействия, които тя може да донесе в подкрепа на сближаването и справедливото развитие, все още не са напълно оползотворени на местно и поднационално равнище;</w:t>
      </w:r>
    </w:p>
    <w:p w:rsidRPr="00F3125C" w:rsidR="00EB5CCE" w:rsidP="00643D0B" w:rsidRDefault="00EB5CCE" w14:paraId="7DAF48BE" w14:textId="77777777">
      <w:pPr>
        <w:numPr>
          <w:ilvl w:val="0"/>
          <w:numId w:val="19"/>
        </w:numPr>
        <w:overflowPunct w:val="0"/>
        <w:autoSpaceDE w:val="0"/>
        <w:autoSpaceDN w:val="0"/>
        <w:adjustRightInd w:val="0"/>
        <w:textAlignment w:val="baseline"/>
        <w:rPr>
          <w:szCs w:val="20"/>
        </w:rPr>
      </w:pPr>
      <w:r>
        <w:t>подчертава значението на укрепването на взаимовръзката между Териториалната програма до 2030 г. и политиката на сближаване. Териториалната програма до 2030 г е стратегически инструмент за подкрепа на регионите, насочен към определяне приоритети за справяне с предизвикателствата, пред които те са изправени, докато политиката на сближаване гарантира нейното прилагане;</w:t>
      </w:r>
    </w:p>
    <w:p w:rsidRPr="00F3125C" w:rsidR="00EB5CCE" w:rsidP="00643D0B" w:rsidRDefault="00EB5CCE" w14:paraId="48869F0D" w14:textId="77777777">
      <w:pPr>
        <w:numPr>
          <w:ilvl w:val="0"/>
          <w:numId w:val="19"/>
        </w:numPr>
        <w:overflowPunct w:val="0"/>
        <w:autoSpaceDE w:val="0"/>
        <w:autoSpaceDN w:val="0"/>
        <w:adjustRightInd w:val="0"/>
        <w:textAlignment w:val="baseline"/>
        <w:rPr>
          <w:szCs w:val="20"/>
        </w:rPr>
      </w:pPr>
      <w:r>
        <w:t xml:space="preserve">счита, че са необходими усилия за информиране и участие на гражданското общество в процесите на планиране и изпълнение на Териториалната програма до 2030 г., като се подчертае рискът от приемане на инициативи и проекти, които не отговарят напълно на нуждите на крайните </w:t>
      </w:r>
      <w:proofErr w:type="spellStart"/>
      <w:r>
        <w:t>бенефициери</w:t>
      </w:r>
      <w:proofErr w:type="spellEnd"/>
      <w:r>
        <w:t xml:space="preserve"> на политиките и стратегиите на ЕС: хората и социалните и икономическите партньори;</w:t>
      </w:r>
    </w:p>
    <w:p w:rsidRPr="00F3125C" w:rsidR="00EB5CCE" w:rsidP="00643D0B" w:rsidRDefault="00EB5CCE" w14:paraId="6F90A3A4" w14:textId="77777777">
      <w:pPr>
        <w:numPr>
          <w:ilvl w:val="0"/>
          <w:numId w:val="19"/>
        </w:numPr>
        <w:overflowPunct w:val="0"/>
        <w:autoSpaceDE w:val="0"/>
        <w:autoSpaceDN w:val="0"/>
        <w:adjustRightInd w:val="0"/>
        <w:textAlignment w:val="baseline"/>
        <w:rPr>
          <w:szCs w:val="20"/>
        </w:rPr>
      </w:pPr>
      <w:r>
        <w:t>обръща внимание на кризите и системните промени, които засягат ЕС, и произтичащото от това увеличаване на смущенията и рисковете, които те причиняват (социални, икономически, екологични или други);</w:t>
      </w:r>
    </w:p>
    <w:p w:rsidRPr="00F3125C" w:rsidR="00EB5CCE" w:rsidP="00643D0B" w:rsidRDefault="00EB5CCE" w14:paraId="1AE2B654" w14:textId="77777777">
      <w:pPr>
        <w:numPr>
          <w:ilvl w:val="0"/>
          <w:numId w:val="19"/>
        </w:numPr>
        <w:overflowPunct w:val="0"/>
        <w:autoSpaceDE w:val="0"/>
        <w:autoSpaceDN w:val="0"/>
        <w:adjustRightInd w:val="0"/>
        <w:textAlignment w:val="baseline"/>
        <w:rPr>
          <w:szCs w:val="20"/>
        </w:rPr>
      </w:pPr>
      <w:r>
        <w:t>приветства начина, по който Териториалната програма до 2030 г. е разработена и изпитана чрез пилотни действия, но също така подчертава значителните възможности за подобряване на приемането на интегрирани процеси на териториално развитие (социално, икономическо и екологично);</w:t>
      </w:r>
    </w:p>
    <w:p w:rsidRPr="00F3125C" w:rsidR="00EB5CCE" w:rsidP="00643D0B" w:rsidRDefault="00EB5CCE" w14:paraId="06796FCA" w14:textId="77777777">
      <w:pPr>
        <w:numPr>
          <w:ilvl w:val="0"/>
          <w:numId w:val="19"/>
        </w:numPr>
        <w:overflowPunct w:val="0"/>
        <w:autoSpaceDE w:val="0"/>
        <w:autoSpaceDN w:val="0"/>
        <w:adjustRightInd w:val="0"/>
        <w:textAlignment w:val="baseline"/>
        <w:rPr>
          <w:szCs w:val="20"/>
        </w:rPr>
      </w:pPr>
      <w:r>
        <w:t xml:space="preserve">вярва, че сближаването, устойчивостта и издръжливостта на различните териториални измерения на ЕС не могат да бъдат разглеждани отделно с обикновени инструменти. Поради </w:t>
      </w:r>
      <w:r>
        <w:lastRenderedPageBreak/>
        <w:t>това препоръчва включването на Териториалната програма в процеса на европейския семестър, като се следват насоките, подкрепени от Европейската мрежа за наблюдение на териториално планиране (ESPON);</w:t>
      </w:r>
    </w:p>
    <w:p w:rsidRPr="00F3125C" w:rsidR="00EB5CCE" w:rsidP="00643D0B" w:rsidRDefault="00EB5CCE" w14:paraId="7BC23F7E" w14:textId="77777777">
      <w:pPr>
        <w:numPr>
          <w:ilvl w:val="0"/>
          <w:numId w:val="19"/>
        </w:numPr>
        <w:overflowPunct w:val="0"/>
        <w:autoSpaceDE w:val="0"/>
        <w:autoSpaceDN w:val="0"/>
        <w:adjustRightInd w:val="0"/>
        <w:textAlignment w:val="baseline"/>
        <w:rPr>
          <w:szCs w:val="20"/>
        </w:rPr>
      </w:pPr>
      <w:r>
        <w:t xml:space="preserve">препоръчва да се гарантира максимална координация на Териториалната програма до 2030 г. с политиката на териториално сближаване; </w:t>
      </w:r>
    </w:p>
    <w:p w:rsidRPr="00F3125C" w:rsidR="00EB5CCE" w:rsidP="00643D0B" w:rsidRDefault="00EB5CCE" w14:paraId="660ABDEE" w14:textId="77777777">
      <w:pPr>
        <w:numPr>
          <w:ilvl w:val="0"/>
          <w:numId w:val="19"/>
        </w:numPr>
        <w:overflowPunct w:val="0"/>
        <w:autoSpaceDE w:val="0"/>
        <w:autoSpaceDN w:val="0"/>
        <w:adjustRightInd w:val="0"/>
        <w:textAlignment w:val="baseline"/>
        <w:rPr>
          <w:szCs w:val="20"/>
        </w:rPr>
      </w:pPr>
      <w:r>
        <w:t xml:space="preserve">посочва необходимостта от засилване на присъствието на представителите на социалните и икономическите партньори в рамките на принципа на партньорство в сферата на местното и регионалното териториално развитие; </w:t>
      </w:r>
    </w:p>
    <w:p w:rsidRPr="00F3125C" w:rsidR="00EB5CCE" w:rsidP="00643D0B" w:rsidRDefault="00EB5CCE" w14:paraId="452548B9" w14:textId="77777777">
      <w:pPr>
        <w:numPr>
          <w:ilvl w:val="0"/>
          <w:numId w:val="19"/>
        </w:numPr>
        <w:overflowPunct w:val="0"/>
        <w:autoSpaceDE w:val="0"/>
        <w:autoSpaceDN w:val="0"/>
        <w:adjustRightInd w:val="0"/>
        <w:textAlignment w:val="baseline"/>
        <w:rPr>
          <w:szCs w:val="20"/>
        </w:rPr>
      </w:pPr>
      <w:r>
        <w:t>подчертава необходимостта от разработване на процеси и инициативи, насочени към укрепване на съгласуваността на Териториална програма до 2030 г. с нуждите и предизвикателствата на ЕС, както и полезни взаимодействия с Лайпцигската харта и Програмата на ЕС за градовете.;</w:t>
      </w:r>
    </w:p>
    <w:p w:rsidRPr="00F3125C" w:rsidR="00EB5CCE" w:rsidP="00643D0B" w:rsidRDefault="00EB5CCE" w14:paraId="4263C550" w14:textId="77777777">
      <w:pPr>
        <w:numPr>
          <w:ilvl w:val="0"/>
          <w:numId w:val="19"/>
        </w:numPr>
        <w:overflowPunct w:val="0"/>
        <w:autoSpaceDE w:val="0"/>
        <w:autoSpaceDN w:val="0"/>
        <w:adjustRightInd w:val="0"/>
        <w:textAlignment w:val="baseline"/>
        <w:rPr>
          <w:szCs w:val="20"/>
        </w:rPr>
      </w:pPr>
      <w:r>
        <w:t>счита, че е от съществено значение дейностите по Териториалната програма до 2030 г. да бъдат организирани в съответствие с приоритети като справяне с изменението на климата, приспособяване към демографските промени и насърчаване на гражданския подход;</w:t>
      </w:r>
    </w:p>
    <w:p w:rsidRPr="00F3125C" w:rsidR="00EB5CCE" w:rsidP="00643D0B" w:rsidRDefault="00EB5CCE" w14:paraId="08955B51" w14:textId="77777777">
      <w:pPr>
        <w:numPr>
          <w:ilvl w:val="0"/>
          <w:numId w:val="19"/>
        </w:numPr>
        <w:overflowPunct w:val="0"/>
        <w:autoSpaceDE w:val="0"/>
        <w:autoSpaceDN w:val="0"/>
        <w:adjustRightInd w:val="0"/>
        <w:textAlignment w:val="baseline"/>
        <w:rPr>
          <w:szCs w:val="20"/>
        </w:rPr>
      </w:pPr>
      <w:r>
        <w:t>счита за приоритет насърчаването на балансирано и устойчиво териториално развитие чрез по-тясно сътрудничество между всички равнища на управление и засилване на обществените консултации.</w:t>
      </w:r>
    </w:p>
    <w:p w:rsidRPr="00F3125C" w:rsidR="00EB5CCE" w:rsidP="00EB5CCE" w:rsidRDefault="00EB5CCE" w14:paraId="64DCF051" w14:textId="77777777">
      <w:pPr>
        <w:spacing w:after="200" w:line="276" w:lineRule="auto"/>
        <w:ind w:left="360"/>
        <w:contextualSpacing/>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125C" w:rsidR="00EB5CCE" w:rsidTr="00863A8F" w14:paraId="7DEEBD4B" w14:textId="77777777">
        <w:tc>
          <w:tcPr>
            <w:tcW w:w="1418" w:type="dxa"/>
          </w:tcPr>
          <w:p w:rsidRPr="00F3125C" w:rsidR="00EB5CCE" w:rsidP="00EB5CCE" w:rsidRDefault="00EB5CCE" w14:paraId="0AFC2E9E" w14:textId="77777777">
            <w:pPr>
              <w:overflowPunct w:val="0"/>
              <w:autoSpaceDE w:val="0"/>
              <w:autoSpaceDN w:val="0"/>
              <w:adjustRightInd w:val="0"/>
              <w:spacing w:line="240" w:lineRule="auto"/>
              <w:textAlignment w:val="baseline"/>
              <w:rPr>
                <w:i/>
              </w:rPr>
            </w:pPr>
            <w:r>
              <w:rPr>
                <w:b/>
                <w:i/>
              </w:rPr>
              <w:t>За контакти</w:t>
            </w:r>
          </w:p>
        </w:tc>
        <w:tc>
          <w:tcPr>
            <w:tcW w:w="5670" w:type="dxa"/>
          </w:tcPr>
          <w:p w:rsidRPr="00F3125C" w:rsidR="00EB5CCE" w:rsidP="00EB5CCE" w:rsidRDefault="00EB5CCE" w14:paraId="0795190D" w14:textId="77777777">
            <w:pPr>
              <w:overflowPunct w:val="0"/>
              <w:autoSpaceDE w:val="0"/>
              <w:autoSpaceDN w:val="0"/>
              <w:adjustRightInd w:val="0"/>
              <w:spacing w:line="240" w:lineRule="auto"/>
              <w:textAlignment w:val="baseline"/>
              <w:rPr>
                <w:b/>
                <w:bCs/>
                <w:i/>
              </w:rPr>
            </w:pPr>
            <w:proofErr w:type="spellStart"/>
            <w:r>
              <w:rPr>
                <w:b/>
                <w:i/>
              </w:rPr>
              <w:t>Georgios</w:t>
            </w:r>
            <w:proofErr w:type="spellEnd"/>
            <w:r>
              <w:rPr>
                <w:b/>
                <w:i/>
              </w:rPr>
              <w:t xml:space="preserve"> </w:t>
            </w:r>
            <w:proofErr w:type="spellStart"/>
            <w:r>
              <w:rPr>
                <w:b/>
                <w:i/>
              </w:rPr>
              <w:t>Meleas</w:t>
            </w:r>
            <w:proofErr w:type="spellEnd"/>
          </w:p>
        </w:tc>
      </w:tr>
      <w:tr w:rsidRPr="00F3125C" w:rsidR="00EB5CCE" w:rsidTr="00863A8F" w14:paraId="597E4104" w14:textId="77777777">
        <w:tc>
          <w:tcPr>
            <w:tcW w:w="1418" w:type="dxa"/>
          </w:tcPr>
          <w:p w:rsidRPr="00F3125C" w:rsidR="00EB5CCE" w:rsidP="00EB5CCE" w:rsidRDefault="00EB5CCE" w14:paraId="4AE0E194" w14:textId="77777777">
            <w:pPr>
              <w:overflowPunct w:val="0"/>
              <w:autoSpaceDE w:val="0"/>
              <w:autoSpaceDN w:val="0"/>
              <w:adjustRightInd w:val="0"/>
              <w:spacing w:line="240" w:lineRule="auto"/>
              <w:textAlignment w:val="baseline"/>
              <w:rPr>
                <w:i/>
              </w:rPr>
            </w:pPr>
            <w:r>
              <w:rPr>
                <w:i/>
              </w:rPr>
              <w:t>Тел.</w:t>
            </w:r>
          </w:p>
        </w:tc>
        <w:tc>
          <w:tcPr>
            <w:tcW w:w="5670" w:type="dxa"/>
          </w:tcPr>
          <w:p w:rsidRPr="00F3125C" w:rsidR="00EB5CCE" w:rsidP="00EB5CCE" w:rsidRDefault="00EB5CCE" w14:paraId="303AC402" w14:textId="77777777">
            <w:pPr>
              <w:overflowPunct w:val="0"/>
              <w:autoSpaceDE w:val="0"/>
              <w:autoSpaceDN w:val="0"/>
              <w:adjustRightInd w:val="0"/>
              <w:spacing w:line="240" w:lineRule="auto"/>
              <w:textAlignment w:val="baseline"/>
              <w:rPr>
                <w:i/>
              </w:rPr>
            </w:pPr>
            <w:r>
              <w:rPr>
                <w:i/>
              </w:rPr>
              <w:t>+32 25469795</w:t>
            </w:r>
          </w:p>
        </w:tc>
      </w:tr>
      <w:tr w:rsidRPr="00F3125C" w:rsidR="00EB5CCE" w:rsidTr="00863A8F" w14:paraId="5942734A" w14:textId="77777777">
        <w:tc>
          <w:tcPr>
            <w:tcW w:w="1418" w:type="dxa"/>
          </w:tcPr>
          <w:p w:rsidRPr="00F3125C" w:rsidR="00EB5CCE" w:rsidP="00EB5CCE" w:rsidRDefault="00EB5CCE" w14:paraId="5B910A72" w14:textId="77777777">
            <w:pPr>
              <w:overflowPunct w:val="0"/>
              <w:autoSpaceDE w:val="0"/>
              <w:autoSpaceDN w:val="0"/>
              <w:adjustRightInd w:val="0"/>
              <w:spacing w:line="240" w:lineRule="auto"/>
              <w:textAlignment w:val="baseline"/>
              <w:rPr>
                <w:i/>
              </w:rPr>
            </w:pPr>
            <w:r>
              <w:rPr>
                <w:i/>
              </w:rPr>
              <w:t>Електронен адрес</w:t>
            </w:r>
          </w:p>
        </w:tc>
        <w:tc>
          <w:tcPr>
            <w:tcW w:w="5670" w:type="dxa"/>
          </w:tcPr>
          <w:p w:rsidRPr="00F3125C" w:rsidR="00EB5CCE" w:rsidP="00EB5CCE" w:rsidRDefault="008C5F08" w14:paraId="664AA901" w14:textId="77777777">
            <w:pPr>
              <w:overflowPunct w:val="0"/>
              <w:autoSpaceDE w:val="0"/>
              <w:autoSpaceDN w:val="0"/>
              <w:adjustRightInd w:val="0"/>
              <w:spacing w:line="240" w:lineRule="auto"/>
              <w:textAlignment w:val="baseline"/>
              <w:rPr>
                <w:i/>
              </w:rPr>
            </w:pPr>
            <w:hyperlink w:history="1" r:id="rId28">
              <w:r w:rsidR="00981740">
                <w:rPr>
                  <w:i/>
                  <w:color w:val="0000FF"/>
                  <w:u w:val="single"/>
                </w:rPr>
                <w:t>Georgios.Meleas@eesc.europa.eu</w:t>
              </w:r>
            </w:hyperlink>
            <w:r w:rsidR="00981740">
              <w:rPr>
                <w:i/>
              </w:rPr>
              <w:t xml:space="preserve"> </w:t>
            </w:r>
          </w:p>
        </w:tc>
      </w:tr>
    </w:tbl>
    <w:p w:rsidRPr="00F3125C" w:rsidR="009C5B03" w:rsidRDefault="009C5B03" w14:paraId="2929773F" w14:textId="5B7797CD">
      <w:pPr>
        <w:spacing w:after="160" w:line="259" w:lineRule="auto"/>
        <w:jc w:val="left"/>
      </w:pPr>
      <w:r>
        <w:br w:type="page"/>
      </w:r>
    </w:p>
    <w:p w:rsidRPr="00F3125C" w:rsidR="004D7AC0" w:rsidP="006D6D4E" w:rsidRDefault="004D7AC0" w14:paraId="4982DD99" w14:textId="77777777">
      <w:pPr>
        <w:pStyle w:val="Heading1"/>
        <w:keepNext/>
        <w:keepLines/>
        <w:rPr>
          <w:b/>
        </w:rPr>
      </w:pPr>
      <w:bookmarkStart w:name="_Toc75527081" w:id="13"/>
      <w:bookmarkStart w:name="_Toc185257634" w:id="14"/>
      <w:r>
        <w:rPr>
          <w:b/>
        </w:rPr>
        <w:lastRenderedPageBreak/>
        <w:t>ЗАЕТОСТ, СОЦИАЛНИ ВЪПРОСИ И ГРАЖДАНСТВО</w:t>
      </w:r>
      <w:bookmarkEnd w:id="13"/>
      <w:bookmarkEnd w:id="14"/>
    </w:p>
    <w:p w:rsidRPr="00F3125C" w:rsidR="006A1AC2" w:rsidP="004D7AC0" w:rsidRDefault="006A1AC2" w14:paraId="7B7E28B8" w14:textId="77777777">
      <w:pPr>
        <w:pStyle w:val="ListParagraph"/>
        <w:ind w:left="0"/>
        <w:rPr>
          <w:lang w:val="en-GB"/>
        </w:rPr>
      </w:pPr>
    </w:p>
    <w:p w:rsidRPr="00F3125C" w:rsidR="00F8361B" w:rsidP="00F8361B" w:rsidRDefault="008C5F08" w14:paraId="54BC0BD2" w14:textId="2C12DB0F">
      <w:pPr>
        <w:widowControl w:val="0"/>
        <w:numPr>
          <w:ilvl w:val="0"/>
          <w:numId w:val="6"/>
        </w:numPr>
        <w:overflowPunct w:val="0"/>
        <w:autoSpaceDE w:val="0"/>
        <w:autoSpaceDN w:val="0"/>
        <w:adjustRightInd w:val="0"/>
        <w:ind w:hanging="567"/>
        <w:textAlignment w:val="baseline"/>
        <w:rPr>
          <w:b/>
          <w:bCs/>
          <w:i/>
          <w:iCs/>
          <w:sz w:val="28"/>
          <w:szCs w:val="28"/>
        </w:rPr>
      </w:pPr>
      <w:hyperlink w:history="1" r:id="rId29">
        <w:r w:rsidR="00981740">
          <w:rPr>
            <w:b/>
            <w:i/>
            <w:color w:val="0000FF"/>
            <w:sz w:val="28"/>
            <w:u w:val="single"/>
          </w:rPr>
          <w:t>Фактологичен и законодателен анализ на интеграцията на миграционните потоци на пазара на труда в ЕС</w:t>
        </w:r>
      </w:hyperlink>
    </w:p>
    <w:p w:rsidRPr="00F3125C" w:rsidR="00F8361B" w:rsidP="00F8361B" w:rsidRDefault="00F8361B" w14:paraId="4D1E5E2A" w14:textId="77777777">
      <w:pPr>
        <w:widowControl w:val="0"/>
        <w:overflowPunct w:val="0"/>
        <w:autoSpaceDE w:val="0"/>
        <w:autoSpaceDN w:val="0"/>
        <w:adjustRightInd w:val="0"/>
        <w:ind w:left="567"/>
        <w:textAlignment w:val="baseline"/>
        <w:rPr>
          <w:b/>
          <w:bCs/>
          <w:i/>
          <w:iCs/>
          <w:sz w:val="28"/>
          <w:szCs w:val="28"/>
          <w:lang w:val="en-GB"/>
        </w:rPr>
      </w:pPr>
    </w:p>
    <w:tbl>
      <w:tblPr>
        <w:tblStyle w:val="TableGrid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4786"/>
        <w:gridCol w:w="1195"/>
      </w:tblGrid>
      <w:tr w:rsidRPr="00F3125C" w:rsidR="00F8361B" w:rsidTr="00863A8F" w14:paraId="16AB33D9" w14:textId="77777777">
        <w:tc>
          <w:tcPr>
            <w:tcW w:w="1297" w:type="pct"/>
          </w:tcPr>
          <w:p w:rsidRPr="00F3125C" w:rsidR="00F8361B" w:rsidP="00643D0B" w:rsidRDefault="00F8361B" w14:paraId="210F5A29" w14:textId="77777777">
            <w:pPr>
              <w:widowControl w:val="0"/>
              <w:overflowPunct w:val="0"/>
              <w:autoSpaceDE w:val="0"/>
              <w:autoSpaceDN w:val="0"/>
              <w:adjustRightInd w:val="0"/>
              <w:spacing w:line="240" w:lineRule="auto"/>
              <w:ind w:left="-113"/>
              <w:textAlignment w:val="baseline"/>
              <w:rPr>
                <w:b/>
              </w:rPr>
            </w:pPr>
            <w:r>
              <w:rPr>
                <w:b/>
              </w:rPr>
              <w:t>Докладчик</w:t>
            </w:r>
          </w:p>
          <w:p w:rsidRPr="00F3125C" w:rsidR="00F8361B" w:rsidP="00643D0B" w:rsidRDefault="00F8361B" w14:paraId="650295C2" w14:textId="77777777">
            <w:pPr>
              <w:widowControl w:val="0"/>
              <w:overflowPunct w:val="0"/>
              <w:autoSpaceDE w:val="0"/>
              <w:autoSpaceDN w:val="0"/>
              <w:adjustRightInd w:val="0"/>
              <w:spacing w:line="240" w:lineRule="auto"/>
              <w:ind w:left="-113"/>
              <w:textAlignment w:val="baseline"/>
              <w:rPr>
                <w:b/>
                <w:lang w:val="en-GB"/>
              </w:rPr>
            </w:pPr>
          </w:p>
        </w:tc>
        <w:tc>
          <w:tcPr>
            <w:tcW w:w="3703" w:type="pct"/>
            <w:gridSpan w:val="2"/>
          </w:tcPr>
          <w:p w:rsidRPr="00F3125C" w:rsidR="00F8361B" w:rsidP="00643D0B" w:rsidRDefault="00F8361B" w14:paraId="2F381C87" w14:textId="77777777">
            <w:pPr>
              <w:widowControl w:val="0"/>
              <w:tabs>
                <w:tab w:val="left" w:pos="4572"/>
              </w:tabs>
              <w:overflowPunct w:val="0"/>
              <w:autoSpaceDE w:val="0"/>
              <w:autoSpaceDN w:val="0"/>
              <w:adjustRightInd w:val="0"/>
              <w:spacing w:line="240" w:lineRule="auto"/>
              <w:ind w:left="-113" w:right="-823"/>
              <w:textAlignment w:val="baseline"/>
            </w:pPr>
            <w:proofErr w:type="spellStart"/>
            <w:r>
              <w:t>Panagiotis</w:t>
            </w:r>
            <w:proofErr w:type="spellEnd"/>
            <w:r>
              <w:t xml:space="preserve"> GKOFAS (група „Организации на гражданското общество“ — EL)</w:t>
            </w:r>
          </w:p>
        </w:tc>
      </w:tr>
      <w:tr w:rsidRPr="00F3125C" w:rsidR="00F8361B" w:rsidTr="00863A8F" w14:paraId="669D8CBB" w14:textId="77777777">
        <w:tc>
          <w:tcPr>
            <w:tcW w:w="1297" w:type="pct"/>
          </w:tcPr>
          <w:p w:rsidRPr="00F3125C" w:rsidR="00F8361B" w:rsidP="00643D0B" w:rsidRDefault="00F8361B" w14:paraId="40F0C647" w14:textId="77777777">
            <w:pPr>
              <w:widowControl w:val="0"/>
              <w:overflowPunct w:val="0"/>
              <w:autoSpaceDE w:val="0"/>
              <w:autoSpaceDN w:val="0"/>
              <w:adjustRightInd w:val="0"/>
              <w:spacing w:line="240" w:lineRule="auto"/>
              <w:ind w:left="-113"/>
              <w:textAlignment w:val="baseline"/>
              <w:rPr>
                <w:b/>
              </w:rPr>
            </w:pPr>
            <w:r>
              <w:rPr>
                <w:b/>
              </w:rPr>
              <w:t>Съдокладчик</w:t>
            </w:r>
          </w:p>
        </w:tc>
        <w:tc>
          <w:tcPr>
            <w:tcW w:w="3703" w:type="pct"/>
            <w:gridSpan w:val="2"/>
          </w:tcPr>
          <w:p w:rsidRPr="00F3125C" w:rsidR="00F8361B" w:rsidP="00643D0B" w:rsidRDefault="00F8361B" w14:paraId="6FF35F57" w14:textId="6A6AA37E">
            <w:pPr>
              <w:widowControl w:val="0"/>
              <w:tabs>
                <w:tab w:val="left" w:pos="4572"/>
              </w:tabs>
              <w:overflowPunct w:val="0"/>
              <w:autoSpaceDE w:val="0"/>
              <w:autoSpaceDN w:val="0"/>
              <w:adjustRightInd w:val="0"/>
              <w:spacing w:line="240" w:lineRule="auto"/>
              <w:ind w:left="-113" w:right="-823"/>
              <w:textAlignment w:val="baseline"/>
            </w:pPr>
            <w:proofErr w:type="spellStart"/>
            <w:r>
              <w:t>José</w:t>
            </w:r>
            <w:proofErr w:type="spellEnd"/>
            <w:r>
              <w:t xml:space="preserve"> </w:t>
            </w:r>
            <w:proofErr w:type="spellStart"/>
            <w:r>
              <w:t>Antonio</w:t>
            </w:r>
            <w:proofErr w:type="spellEnd"/>
            <w:r>
              <w:t xml:space="preserve"> MORENO DÍAZ (група „Работници“ — ES)</w:t>
            </w:r>
          </w:p>
        </w:tc>
      </w:tr>
      <w:tr w:rsidRPr="00F3125C" w:rsidR="00F8361B" w:rsidTr="00863A8F" w14:paraId="0920373A" w14:textId="77777777">
        <w:tc>
          <w:tcPr>
            <w:tcW w:w="1297" w:type="pct"/>
          </w:tcPr>
          <w:p w:rsidRPr="00F3125C" w:rsidR="00F8361B" w:rsidP="00643D0B" w:rsidRDefault="00F8361B" w14:paraId="452CD326" w14:textId="77777777">
            <w:pPr>
              <w:widowControl w:val="0"/>
              <w:overflowPunct w:val="0"/>
              <w:autoSpaceDE w:val="0"/>
              <w:autoSpaceDN w:val="0"/>
              <w:adjustRightInd w:val="0"/>
              <w:spacing w:line="240" w:lineRule="auto"/>
              <w:ind w:left="-113"/>
              <w:textAlignment w:val="baseline"/>
              <w:rPr>
                <w:b/>
                <w:lang w:val="en-GB"/>
              </w:rPr>
            </w:pPr>
          </w:p>
        </w:tc>
        <w:tc>
          <w:tcPr>
            <w:tcW w:w="3703" w:type="pct"/>
            <w:gridSpan w:val="2"/>
          </w:tcPr>
          <w:p w:rsidRPr="00F3125C" w:rsidR="00F8361B" w:rsidP="00643D0B" w:rsidRDefault="00F8361B" w14:paraId="63AD4440" w14:textId="77777777">
            <w:pPr>
              <w:widowControl w:val="0"/>
              <w:tabs>
                <w:tab w:val="left" w:pos="4572"/>
              </w:tabs>
              <w:overflowPunct w:val="0"/>
              <w:autoSpaceDE w:val="0"/>
              <w:autoSpaceDN w:val="0"/>
              <w:adjustRightInd w:val="0"/>
              <w:spacing w:line="240" w:lineRule="auto"/>
              <w:ind w:left="-113" w:right="-823"/>
              <w:textAlignment w:val="baseline"/>
              <w:rPr>
                <w:lang w:val="en-GB"/>
              </w:rPr>
            </w:pPr>
          </w:p>
        </w:tc>
      </w:tr>
      <w:tr w:rsidRPr="00F3125C" w:rsidR="00F8361B" w:rsidTr="00863A8F" w14:paraId="64E0BE1E" w14:textId="77777777">
        <w:trPr>
          <w:gridAfter w:val="1"/>
          <w:wAfter w:w="740" w:type="pct"/>
        </w:trPr>
        <w:tc>
          <w:tcPr>
            <w:tcW w:w="1297" w:type="pct"/>
            <w:vMerge w:val="restart"/>
          </w:tcPr>
          <w:p w:rsidRPr="00F3125C" w:rsidR="00F8361B" w:rsidP="00643D0B" w:rsidRDefault="00F8361B" w14:paraId="33F355BB" w14:textId="77777777">
            <w:pPr>
              <w:widowControl w:val="0"/>
              <w:overflowPunct w:val="0"/>
              <w:autoSpaceDE w:val="0"/>
              <w:autoSpaceDN w:val="0"/>
              <w:adjustRightInd w:val="0"/>
              <w:spacing w:line="240" w:lineRule="auto"/>
              <w:ind w:left="-113"/>
              <w:textAlignment w:val="baseline"/>
              <w:rPr>
                <w:b/>
              </w:rPr>
            </w:pPr>
            <w:r>
              <w:rPr>
                <w:b/>
              </w:rPr>
              <w:t>Отправни документи</w:t>
            </w:r>
          </w:p>
        </w:tc>
        <w:tc>
          <w:tcPr>
            <w:tcW w:w="2963" w:type="pct"/>
          </w:tcPr>
          <w:p w:rsidRPr="00F3125C" w:rsidR="00753C49" w:rsidP="00753C49" w:rsidRDefault="00753C49" w14:paraId="18283D1B" w14:textId="0F6A3197">
            <w:pPr>
              <w:widowControl w:val="0"/>
              <w:tabs>
                <w:tab w:val="left" w:pos="4430"/>
              </w:tabs>
              <w:overflowPunct w:val="0"/>
              <w:autoSpaceDE w:val="0"/>
              <w:autoSpaceDN w:val="0"/>
              <w:adjustRightInd w:val="0"/>
              <w:spacing w:line="240" w:lineRule="auto"/>
              <w:ind w:left="-113" w:right="-823"/>
              <w:textAlignment w:val="baseline"/>
            </w:pPr>
            <w:r>
              <w:t>Становище по собствена инициатива</w:t>
            </w:r>
          </w:p>
          <w:p w:rsidRPr="00F3125C" w:rsidR="00F8361B" w:rsidP="00643D0B" w:rsidRDefault="00F8361B" w14:paraId="192CC07A" w14:textId="0511D515">
            <w:pPr>
              <w:widowControl w:val="0"/>
              <w:tabs>
                <w:tab w:val="left" w:pos="4430"/>
              </w:tabs>
              <w:overflowPunct w:val="0"/>
              <w:autoSpaceDE w:val="0"/>
              <w:autoSpaceDN w:val="0"/>
              <w:adjustRightInd w:val="0"/>
              <w:spacing w:line="240" w:lineRule="auto"/>
              <w:ind w:left="-113" w:right="-823"/>
              <w:textAlignment w:val="baseline"/>
            </w:pPr>
            <w:r>
              <w:t>EESC-2024-01017-00-00-AC</w:t>
            </w:r>
          </w:p>
        </w:tc>
      </w:tr>
      <w:tr w:rsidRPr="00F3125C" w:rsidR="00F8361B" w:rsidTr="00863A8F" w14:paraId="20A9FCDF" w14:textId="77777777">
        <w:trPr>
          <w:gridAfter w:val="1"/>
          <w:wAfter w:w="740" w:type="pct"/>
        </w:trPr>
        <w:tc>
          <w:tcPr>
            <w:tcW w:w="1297" w:type="pct"/>
            <w:vMerge/>
          </w:tcPr>
          <w:p w:rsidRPr="00F3125C" w:rsidR="00F8361B" w:rsidP="00643D0B" w:rsidRDefault="00F8361B" w14:paraId="1CEA6EC6"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p>
        </w:tc>
        <w:tc>
          <w:tcPr>
            <w:tcW w:w="2963" w:type="pct"/>
          </w:tcPr>
          <w:p w:rsidRPr="00F3125C" w:rsidR="00F8361B" w:rsidP="00643D0B" w:rsidRDefault="00F8361B" w14:paraId="68A86EA7" w14:textId="77777777">
            <w:pPr>
              <w:widowControl w:val="0"/>
              <w:tabs>
                <w:tab w:val="center" w:pos="38"/>
                <w:tab w:val="left" w:pos="4430"/>
              </w:tabs>
              <w:overflowPunct w:val="0"/>
              <w:autoSpaceDE w:val="0"/>
              <w:autoSpaceDN w:val="0"/>
              <w:adjustRightInd w:val="0"/>
              <w:spacing w:line="240" w:lineRule="auto"/>
              <w:ind w:left="266" w:right="-823" w:hanging="370"/>
              <w:textAlignment w:val="baseline"/>
              <w:rPr>
                <w:lang w:val="en-GB"/>
              </w:rPr>
            </w:pPr>
          </w:p>
        </w:tc>
      </w:tr>
    </w:tbl>
    <w:p w:rsidRPr="00F3125C" w:rsidR="00F8361B" w:rsidP="00643D0B" w:rsidRDefault="00F8361B" w14:paraId="3456C8AF" w14:textId="77777777">
      <w:pPr>
        <w:widowControl w:val="0"/>
        <w:tabs>
          <w:tab w:val="center" w:pos="284"/>
        </w:tabs>
        <w:overflowPunct w:val="0"/>
        <w:autoSpaceDE w:val="0"/>
        <w:autoSpaceDN w:val="0"/>
        <w:adjustRightInd w:val="0"/>
        <w:spacing w:line="240" w:lineRule="auto"/>
        <w:ind w:left="266" w:hanging="266"/>
        <w:textAlignment w:val="baseline"/>
        <w:rPr>
          <w:b/>
        </w:rPr>
      </w:pPr>
      <w:r>
        <w:rPr>
          <w:b/>
        </w:rPr>
        <w:t>Основни аспекти</w:t>
      </w:r>
    </w:p>
    <w:p w:rsidRPr="00F3125C" w:rsidR="00F8361B" w:rsidP="00643D0B" w:rsidRDefault="00F8361B" w14:paraId="005DBAF8"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p>
    <w:p w:rsidRPr="00F3125C" w:rsidR="00F8361B" w:rsidP="00643D0B" w:rsidRDefault="00F8361B" w14:paraId="26DA63F5" w14:textId="77777777">
      <w:pPr>
        <w:widowControl w:val="0"/>
        <w:tabs>
          <w:tab w:val="center" w:pos="284"/>
        </w:tabs>
        <w:overflowPunct w:val="0"/>
        <w:autoSpaceDE w:val="0"/>
        <w:autoSpaceDN w:val="0"/>
        <w:adjustRightInd w:val="0"/>
        <w:spacing w:line="240" w:lineRule="auto"/>
        <w:ind w:left="266" w:hanging="266"/>
        <w:textAlignment w:val="baseline"/>
        <w:rPr>
          <w:szCs w:val="20"/>
        </w:rPr>
      </w:pPr>
      <w:r>
        <w:t>ЕИСК:</w:t>
      </w:r>
    </w:p>
    <w:p w:rsidRPr="00F3125C" w:rsidR="00F8361B" w:rsidP="00F8361B" w:rsidRDefault="00F8361B" w14:paraId="233979C3" w14:textId="77777777">
      <w:pPr>
        <w:widowControl w:val="0"/>
        <w:tabs>
          <w:tab w:val="center" w:pos="284"/>
        </w:tabs>
        <w:overflowPunct w:val="0"/>
        <w:autoSpaceDE w:val="0"/>
        <w:autoSpaceDN w:val="0"/>
        <w:adjustRightInd w:val="0"/>
        <w:ind w:left="266" w:hanging="266"/>
        <w:textAlignment w:val="baseline"/>
        <w:rPr>
          <w:szCs w:val="20"/>
          <w:lang w:val="en-GB"/>
        </w:rPr>
      </w:pPr>
    </w:p>
    <w:p w:rsidRPr="00F3125C" w:rsidR="00F8361B" w:rsidP="00643D0B" w:rsidRDefault="00F8361B" w14:paraId="6F00E1D6"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посочва факта, че организираната трудова мобилност в ЕС се управлява от силно фрагментирана и прекалено сложна рамка, която се състои от няколко директиви на ЕС и съществуващото редом с тях национално законодателство. Различните категории работници мигранти се регулират от различни директиви и регламенти, като всеки един от тези инструменти обхваща различни аспекти и етапи от процеса на миграция;</w:t>
      </w:r>
    </w:p>
    <w:p w:rsidRPr="00F3125C" w:rsidR="00F8361B" w:rsidP="00643D0B" w:rsidRDefault="00F8361B" w14:paraId="583A27C8"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отбелязва, че тъй като недостигът на работна ръка е общо европейско предизвикателство, той изисква и общ отговор. Използването на потенциала на единния пазар на труда в ЕС, вместо функционирането на 27 отделни пазара на труда, би поставило Съюза в по-добра позиция да се конкурира за работниците мигранти в „световната надпревара за привличане на таланти“;</w:t>
      </w:r>
    </w:p>
    <w:p w:rsidRPr="00F3125C" w:rsidR="00F8361B" w:rsidP="00643D0B" w:rsidRDefault="00F8361B" w14:paraId="2200264D"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подчертава необходимостта да се предвидят ясни разпоредби относно достъпа на мигрантите до работни визи и разрешения за работа, както и да се гарантира признаването на техните дипломи и професионални квалификации; </w:t>
      </w:r>
    </w:p>
    <w:p w:rsidRPr="00F3125C" w:rsidR="00F8361B" w:rsidP="00643D0B" w:rsidRDefault="00F8361B" w14:paraId="3941F19B"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обръща специално внимание на необходимостта от улесняване на достъпа на мигрантите до пазара на труда чрез разработване на политики и планове за действие, насочени към насърчаване на приобщаването на мигрантите (със специални разпоредби за жените) на пазара на труда, като се отговори на техните специфични нужди и се развива ефективно сътрудничество между правителствата, социалните предприятия и деловите среди за разработване и финансиране на професионалното обучение на мигрантите, като се гарантира, че на търсещите убежище и бежанците също се предоставят езикови курсове и курсове по гражданство.</w:t>
      </w:r>
    </w:p>
    <w:p w:rsidRPr="00F3125C" w:rsidR="00F8361B" w:rsidP="00F8361B" w:rsidRDefault="00F8361B" w14:paraId="31DEA57F" w14:textId="77777777">
      <w:pPr>
        <w:widowControl w:val="0"/>
        <w:overflowPunct w:val="0"/>
        <w:autoSpaceDE w:val="0"/>
        <w:autoSpaceDN w:val="0"/>
        <w:adjustRightInd w:val="0"/>
        <w:ind w:left="709"/>
        <w:textAlignment w:val="baseline"/>
        <w:rPr>
          <w:sz w:val="16"/>
          <w:szCs w:val="16"/>
          <w:lang w:val="en-GB"/>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F8361B" w:rsidTr="00863A8F" w14:paraId="17083D1B" w14:textId="77777777">
        <w:tc>
          <w:tcPr>
            <w:tcW w:w="1556" w:type="pct"/>
          </w:tcPr>
          <w:p w:rsidRPr="00F3125C" w:rsidR="00F8361B" w:rsidP="00643D0B" w:rsidRDefault="00F8361B" w14:paraId="457FB8FA" w14:textId="77777777">
            <w:pPr>
              <w:widowControl w:val="0"/>
              <w:overflowPunct w:val="0"/>
              <w:autoSpaceDE w:val="0"/>
              <w:autoSpaceDN w:val="0"/>
              <w:adjustRightInd w:val="0"/>
              <w:spacing w:line="240" w:lineRule="auto"/>
              <w:textAlignment w:val="baseline"/>
              <w:rPr>
                <w:i/>
              </w:rPr>
            </w:pPr>
            <w:r>
              <w:rPr>
                <w:b/>
                <w:i/>
              </w:rPr>
              <w:t>За контакти</w:t>
            </w:r>
          </w:p>
        </w:tc>
        <w:tc>
          <w:tcPr>
            <w:tcW w:w="3444" w:type="pct"/>
          </w:tcPr>
          <w:p w:rsidRPr="00F3125C" w:rsidR="00F8361B" w:rsidP="00643D0B" w:rsidRDefault="00F8361B" w14:paraId="4FE81F5E" w14:textId="5B251322">
            <w:pPr>
              <w:widowControl w:val="0"/>
              <w:overflowPunct w:val="0"/>
              <w:autoSpaceDE w:val="0"/>
              <w:autoSpaceDN w:val="0"/>
              <w:adjustRightInd w:val="0"/>
              <w:spacing w:line="240" w:lineRule="auto"/>
              <w:textAlignment w:val="baseline"/>
              <w:rPr>
                <w:i/>
              </w:rPr>
            </w:pPr>
            <w:proofErr w:type="spellStart"/>
            <w:r>
              <w:rPr>
                <w:i/>
              </w:rPr>
              <w:t>Gemma</w:t>
            </w:r>
            <w:proofErr w:type="spellEnd"/>
            <w:r>
              <w:rPr>
                <w:i/>
              </w:rPr>
              <w:t xml:space="preserve"> </w:t>
            </w:r>
            <w:proofErr w:type="spellStart"/>
            <w:r>
              <w:rPr>
                <w:i/>
              </w:rPr>
              <w:t>Amran</w:t>
            </w:r>
            <w:proofErr w:type="spellEnd"/>
          </w:p>
        </w:tc>
      </w:tr>
      <w:tr w:rsidRPr="00F3125C" w:rsidR="00F8361B" w:rsidTr="00863A8F" w14:paraId="50F12DEA" w14:textId="77777777">
        <w:tc>
          <w:tcPr>
            <w:tcW w:w="1556" w:type="pct"/>
          </w:tcPr>
          <w:p w:rsidRPr="00F3125C" w:rsidR="00F8361B" w:rsidP="00643D0B" w:rsidRDefault="00F8361B" w14:paraId="321CF420" w14:textId="77777777">
            <w:pPr>
              <w:widowControl w:val="0"/>
              <w:overflowPunct w:val="0"/>
              <w:autoSpaceDE w:val="0"/>
              <w:autoSpaceDN w:val="0"/>
              <w:adjustRightInd w:val="0"/>
              <w:spacing w:line="240" w:lineRule="auto"/>
              <w:textAlignment w:val="baseline"/>
              <w:rPr>
                <w:i/>
              </w:rPr>
            </w:pPr>
            <w:r>
              <w:rPr>
                <w:i/>
              </w:rPr>
              <w:t>Тел.</w:t>
            </w:r>
          </w:p>
        </w:tc>
        <w:tc>
          <w:tcPr>
            <w:tcW w:w="3444" w:type="pct"/>
          </w:tcPr>
          <w:p w:rsidRPr="00F3125C" w:rsidR="00F8361B" w:rsidP="00643D0B" w:rsidRDefault="00F8361B" w14:paraId="1BCE35C3" w14:textId="77777777">
            <w:pPr>
              <w:widowControl w:val="0"/>
              <w:overflowPunct w:val="0"/>
              <w:autoSpaceDE w:val="0"/>
              <w:autoSpaceDN w:val="0"/>
              <w:adjustRightInd w:val="0"/>
              <w:spacing w:line="240" w:lineRule="auto"/>
              <w:textAlignment w:val="baseline"/>
              <w:rPr>
                <w:i/>
              </w:rPr>
            </w:pPr>
            <w:r>
              <w:rPr>
                <w:i/>
              </w:rPr>
              <w:t>+32 25469415</w:t>
            </w:r>
          </w:p>
        </w:tc>
      </w:tr>
      <w:tr w:rsidRPr="00F3125C" w:rsidR="00F8361B" w:rsidTr="00863A8F" w14:paraId="166FE7CF" w14:textId="77777777">
        <w:tc>
          <w:tcPr>
            <w:tcW w:w="1556" w:type="pct"/>
          </w:tcPr>
          <w:p w:rsidRPr="00F3125C" w:rsidR="00F8361B" w:rsidP="00643D0B" w:rsidRDefault="00F8361B" w14:paraId="4F7B4D10" w14:textId="77777777">
            <w:pPr>
              <w:widowControl w:val="0"/>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F8361B" w:rsidP="00643D0B" w:rsidRDefault="008C5F08" w14:paraId="48483D99" w14:textId="77777777">
            <w:pPr>
              <w:widowControl w:val="0"/>
              <w:overflowPunct w:val="0"/>
              <w:autoSpaceDE w:val="0"/>
              <w:autoSpaceDN w:val="0"/>
              <w:adjustRightInd w:val="0"/>
              <w:spacing w:line="240" w:lineRule="auto"/>
              <w:textAlignment w:val="baseline"/>
              <w:rPr>
                <w:color w:val="0000FF"/>
                <w:u w:val="single"/>
              </w:rPr>
            </w:pPr>
            <w:hyperlink w:history="1" r:id="rId30">
              <w:r w:rsidR="00981740">
                <w:rPr>
                  <w:i/>
                  <w:color w:val="0000FF"/>
                  <w:u w:val="single"/>
                </w:rPr>
                <w:t>Gemma.Amran@eesc.europa.eu</w:t>
              </w:r>
            </w:hyperlink>
          </w:p>
        </w:tc>
      </w:tr>
    </w:tbl>
    <w:p w:rsidRPr="00F3125C" w:rsidR="00327E1C" w:rsidRDefault="00327E1C" w14:paraId="7912FB32" w14:textId="710E78D4">
      <w:pPr>
        <w:spacing w:after="160" w:line="259" w:lineRule="auto"/>
        <w:jc w:val="left"/>
        <w:rPr>
          <w:lang w:val="en-GB"/>
        </w:rPr>
      </w:pPr>
    </w:p>
    <w:p w:rsidRPr="00F3125C" w:rsidR="00327E1C" w:rsidRDefault="00327E1C" w14:paraId="14354E90" w14:textId="77777777">
      <w:pPr>
        <w:spacing w:after="160" w:line="259" w:lineRule="auto"/>
        <w:jc w:val="left"/>
      </w:pPr>
      <w:r>
        <w:br w:type="page"/>
      </w:r>
    </w:p>
    <w:p w:rsidRPr="00F3125C" w:rsidR="004D7AC0" w:rsidP="006D6D4E" w:rsidRDefault="004D7AC0" w14:paraId="4982DDC6" w14:textId="77777777">
      <w:pPr>
        <w:pStyle w:val="Heading1"/>
        <w:keepNext/>
        <w:keepLines/>
        <w:rPr>
          <w:b/>
        </w:rPr>
      </w:pPr>
      <w:bookmarkStart w:name="_Toc24617160" w:id="15"/>
      <w:bookmarkStart w:name="_Toc75527082" w:id="16"/>
      <w:bookmarkStart w:name="_Toc185257635" w:id="17"/>
      <w:r>
        <w:rPr>
          <w:b/>
        </w:rPr>
        <w:lastRenderedPageBreak/>
        <w:t>ТРАНСПОРТ, ЕНЕРГЕТИКА, ИНФРАСТРУКТУРИ, ИНФОРМАЦИОННО ОБЩЕСТВО</w:t>
      </w:r>
      <w:bookmarkEnd w:id="15"/>
      <w:bookmarkEnd w:id="16"/>
      <w:bookmarkEnd w:id="17"/>
    </w:p>
    <w:p w:rsidRPr="00F3125C" w:rsidR="004D7AC0" w:rsidP="006D6D4E" w:rsidRDefault="004D7AC0" w14:paraId="4982DDC7" w14:textId="77777777">
      <w:pPr>
        <w:keepNext/>
        <w:keepLines/>
        <w:rPr>
          <w:lang w:val="en-GB"/>
        </w:rPr>
      </w:pPr>
    </w:p>
    <w:p w:rsidRPr="00F3125C" w:rsidR="00B70A01" w:rsidP="004B5D3D" w:rsidRDefault="008C5F08" w14:paraId="2FBF511E" w14:textId="39B39666">
      <w:pPr>
        <w:widowControl w:val="0"/>
        <w:numPr>
          <w:ilvl w:val="0"/>
          <w:numId w:val="6"/>
        </w:numPr>
        <w:overflowPunct w:val="0"/>
        <w:autoSpaceDE w:val="0"/>
        <w:autoSpaceDN w:val="0"/>
        <w:adjustRightInd w:val="0"/>
        <w:ind w:left="709" w:hanging="709"/>
        <w:textAlignment w:val="baseline"/>
        <w:rPr>
          <w:b/>
        </w:rPr>
      </w:pPr>
      <w:hyperlink w:history="1" r:id="rId31">
        <w:r w:rsidR="00981740">
          <w:rPr>
            <w:b/>
            <w:i/>
            <w:color w:val="0000FF"/>
            <w:sz w:val="28"/>
            <w:u w:val="single"/>
          </w:rPr>
          <w:t>Недостиг на работна ръка и умения в транспорта, енергетиката, инфраструктурата и цифровия сектор</w:t>
        </w:r>
      </w:hyperlink>
    </w:p>
    <w:p w:rsidRPr="00F3125C" w:rsidR="00B70A01" w:rsidP="00B70A01" w:rsidRDefault="00B70A01" w14:paraId="5997B1F5" w14:textId="77777777">
      <w:pPr>
        <w:widowControl w:val="0"/>
        <w:overflowPunct w:val="0"/>
        <w:autoSpaceDE w:val="0"/>
        <w:autoSpaceDN w:val="0"/>
        <w:adjustRightInd w:val="0"/>
        <w:ind w:left="266"/>
        <w:textAlignment w:val="baseline"/>
        <w:rPr>
          <w:b/>
          <w:lang w:val="en-G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F3125C" w:rsidR="00B70A01" w:rsidTr="00863A8F" w14:paraId="18B40AC4" w14:textId="77777777">
        <w:tc>
          <w:tcPr>
            <w:tcW w:w="1591" w:type="pct"/>
          </w:tcPr>
          <w:p w:rsidRPr="00F3125C" w:rsidR="00B70A01" w:rsidP="00B70A01" w:rsidRDefault="00B70A01" w14:paraId="2B92D77A"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409" w:type="pct"/>
          </w:tcPr>
          <w:p w:rsidRPr="00F3125C" w:rsidR="00B70A01" w:rsidP="00B70A01" w:rsidRDefault="00B70A01" w14:paraId="3B612422" w14:textId="77777777">
            <w:pPr>
              <w:tabs>
                <w:tab w:val="center" w:pos="284"/>
              </w:tabs>
              <w:overflowPunct w:val="0"/>
              <w:autoSpaceDE w:val="0"/>
              <w:autoSpaceDN w:val="0"/>
              <w:adjustRightInd w:val="0"/>
              <w:ind w:left="266" w:hanging="266"/>
              <w:textAlignment w:val="baseline"/>
            </w:pPr>
            <w:proofErr w:type="spellStart"/>
            <w:r>
              <w:t>Thomas</w:t>
            </w:r>
            <w:proofErr w:type="spellEnd"/>
            <w:r>
              <w:t xml:space="preserve"> KATTNIG (група „Работници“ — AT)</w:t>
            </w:r>
          </w:p>
        </w:tc>
      </w:tr>
      <w:tr w:rsidRPr="00F3125C" w:rsidR="00B70A01" w:rsidTr="00863A8F" w14:paraId="7E15D1AC" w14:textId="77777777">
        <w:tc>
          <w:tcPr>
            <w:tcW w:w="5000" w:type="pct"/>
            <w:gridSpan w:val="2"/>
          </w:tcPr>
          <w:p w:rsidRPr="00F3125C" w:rsidR="00B70A01" w:rsidP="00B70A01" w:rsidRDefault="00B70A01" w14:paraId="4E0DAF95"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B70A01" w:rsidTr="00863A8F" w14:paraId="601CA657" w14:textId="77777777">
        <w:tc>
          <w:tcPr>
            <w:tcW w:w="1591" w:type="pct"/>
            <w:vMerge w:val="restart"/>
          </w:tcPr>
          <w:p w:rsidRPr="00F3125C" w:rsidR="00B70A01" w:rsidP="00B70A01" w:rsidRDefault="00B70A01" w14:paraId="2619BEEE" w14:textId="77777777">
            <w:pPr>
              <w:tabs>
                <w:tab w:val="center" w:pos="284"/>
              </w:tabs>
              <w:overflowPunct w:val="0"/>
              <w:autoSpaceDE w:val="0"/>
              <w:autoSpaceDN w:val="0"/>
              <w:adjustRightInd w:val="0"/>
              <w:ind w:left="266" w:hanging="266"/>
              <w:textAlignment w:val="baseline"/>
              <w:rPr>
                <w:b/>
              </w:rPr>
            </w:pPr>
            <w:proofErr w:type="spellStart"/>
            <w:r>
              <w:rPr>
                <w:b/>
              </w:rPr>
              <w:t>Отправeн</w:t>
            </w:r>
            <w:proofErr w:type="spellEnd"/>
            <w:r>
              <w:rPr>
                <w:b/>
              </w:rPr>
              <w:t xml:space="preserve"> документ</w:t>
            </w:r>
          </w:p>
        </w:tc>
        <w:tc>
          <w:tcPr>
            <w:tcW w:w="3409" w:type="pct"/>
          </w:tcPr>
          <w:p w:rsidRPr="00F3125C" w:rsidR="00B70A01" w:rsidP="00B70A01" w:rsidRDefault="00B70A01" w14:paraId="44BE6549"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B70A01" w:rsidP="00B70A01" w:rsidRDefault="00B70A01" w14:paraId="57407D88" w14:textId="77777777">
            <w:pPr>
              <w:tabs>
                <w:tab w:val="center" w:pos="284"/>
              </w:tabs>
              <w:overflowPunct w:val="0"/>
              <w:autoSpaceDE w:val="0"/>
              <w:autoSpaceDN w:val="0"/>
              <w:adjustRightInd w:val="0"/>
              <w:ind w:left="266" w:hanging="266"/>
              <w:textAlignment w:val="baseline"/>
            </w:pPr>
            <w:r>
              <w:t>EESC-2024-01463-00-00-AC</w:t>
            </w:r>
          </w:p>
        </w:tc>
      </w:tr>
      <w:tr w:rsidRPr="00F3125C" w:rsidR="00B70A01" w:rsidTr="00863A8F" w14:paraId="47536E82" w14:textId="77777777">
        <w:tc>
          <w:tcPr>
            <w:tcW w:w="1591" w:type="pct"/>
            <w:vMerge/>
          </w:tcPr>
          <w:p w:rsidRPr="00F3125C" w:rsidR="00B70A01" w:rsidP="00B70A01" w:rsidRDefault="00B70A01" w14:paraId="462652F0" w14:textId="77777777">
            <w:pPr>
              <w:tabs>
                <w:tab w:val="center" w:pos="284"/>
              </w:tabs>
              <w:overflowPunct w:val="0"/>
              <w:autoSpaceDE w:val="0"/>
              <w:autoSpaceDN w:val="0"/>
              <w:adjustRightInd w:val="0"/>
              <w:ind w:left="266" w:hanging="266"/>
              <w:textAlignment w:val="baseline"/>
              <w:rPr>
                <w:b/>
                <w:lang w:val="en-GB"/>
              </w:rPr>
            </w:pPr>
          </w:p>
        </w:tc>
        <w:tc>
          <w:tcPr>
            <w:tcW w:w="3409" w:type="pct"/>
          </w:tcPr>
          <w:p w:rsidRPr="00F3125C" w:rsidR="00B70A01" w:rsidP="00B70A01" w:rsidRDefault="00B70A01" w14:paraId="47489A47" w14:textId="77777777">
            <w:pPr>
              <w:tabs>
                <w:tab w:val="center" w:pos="284"/>
              </w:tabs>
              <w:overflowPunct w:val="0"/>
              <w:autoSpaceDE w:val="0"/>
              <w:autoSpaceDN w:val="0"/>
              <w:adjustRightInd w:val="0"/>
              <w:ind w:left="266" w:hanging="266"/>
              <w:textAlignment w:val="baseline"/>
              <w:rPr>
                <w:lang w:val="en-GB"/>
              </w:rPr>
            </w:pPr>
          </w:p>
        </w:tc>
      </w:tr>
    </w:tbl>
    <w:p w:rsidRPr="00F3125C" w:rsidR="00B70A01" w:rsidP="00B70A01" w:rsidRDefault="00B70A01" w14:paraId="66C34D76" w14:textId="77777777">
      <w:pPr>
        <w:tabs>
          <w:tab w:val="center" w:pos="284"/>
        </w:tabs>
        <w:overflowPunct w:val="0"/>
        <w:autoSpaceDE w:val="0"/>
        <w:autoSpaceDN w:val="0"/>
        <w:adjustRightInd w:val="0"/>
        <w:ind w:left="266" w:hanging="266"/>
        <w:textAlignment w:val="baseline"/>
        <w:rPr>
          <w:lang w:val="en-GB"/>
        </w:rPr>
      </w:pPr>
    </w:p>
    <w:p w:rsidRPr="00F3125C" w:rsidR="00B70A01" w:rsidP="00B70A01" w:rsidRDefault="00B70A01" w14:paraId="6D7F98B5"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B70A01" w:rsidP="00B70A01" w:rsidRDefault="00B70A01" w14:paraId="531246B9"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B70A01" w:rsidP="00B70A01" w:rsidRDefault="00B70A01" w14:paraId="7F30017E" w14:textId="77777777">
      <w:pPr>
        <w:overflowPunct w:val="0"/>
        <w:autoSpaceDE w:val="0"/>
        <w:autoSpaceDN w:val="0"/>
        <w:adjustRightInd w:val="0"/>
        <w:textAlignment w:val="baseline"/>
        <w:rPr>
          <w:bCs/>
          <w:iCs/>
        </w:rPr>
      </w:pPr>
      <w:r>
        <w:t>ЕИСК:</w:t>
      </w:r>
    </w:p>
    <w:p w:rsidRPr="00F3125C" w:rsidR="00B70A01" w:rsidP="00B70A01" w:rsidRDefault="00B70A01" w14:paraId="6FB63A41" w14:textId="77777777">
      <w:pPr>
        <w:overflowPunct w:val="0"/>
        <w:autoSpaceDE w:val="0"/>
        <w:autoSpaceDN w:val="0"/>
        <w:adjustRightInd w:val="0"/>
        <w:textAlignment w:val="baseline"/>
        <w:rPr>
          <w:bCs/>
          <w:iCs/>
          <w:lang w:val="en-GB"/>
        </w:rPr>
      </w:pPr>
    </w:p>
    <w:p w:rsidRPr="00F3125C" w:rsidR="00B70A01" w:rsidP="00643D0B" w:rsidRDefault="00B70A01" w14:paraId="3CE5B6A4" w14:textId="77777777">
      <w:pPr>
        <w:widowControl w:val="0"/>
        <w:numPr>
          <w:ilvl w:val="0"/>
          <w:numId w:val="21"/>
        </w:numPr>
        <w:overflowPunct w:val="0"/>
        <w:autoSpaceDE w:val="0"/>
        <w:autoSpaceDN w:val="0"/>
        <w:adjustRightInd w:val="0"/>
        <w:ind w:left="284" w:hanging="284"/>
        <w:textAlignment w:val="baseline"/>
        <w:rPr>
          <w:bCs/>
          <w:iCs/>
        </w:rPr>
      </w:pPr>
      <w:r>
        <w:t xml:space="preserve">подчертава, че </w:t>
      </w:r>
      <w:r>
        <w:rPr>
          <w:b/>
        </w:rPr>
        <w:t>предизвикателството, свързано с недостига на работна ръка</w:t>
      </w:r>
      <w:r>
        <w:t xml:space="preserve"> и умения в секторите на транспорта, енергетиката, инфраструктурата и цифровите технологии, </w:t>
      </w:r>
      <w:r>
        <w:rPr>
          <w:b/>
        </w:rPr>
        <w:t>става все по-изразено</w:t>
      </w:r>
      <w:r>
        <w:t>. Тези сектори са от решаващо значение за просперитета и екологичната устойчивост на ЕС и са ключови за Европейския зелен пакт, както и за бъдещата конкурентоспособност на ЕС;</w:t>
      </w:r>
    </w:p>
    <w:p w:rsidRPr="00F3125C" w:rsidR="00B70A01" w:rsidP="00643D0B" w:rsidRDefault="00B70A01" w14:paraId="539C8220" w14:textId="77777777">
      <w:pPr>
        <w:widowControl w:val="0"/>
        <w:numPr>
          <w:ilvl w:val="0"/>
          <w:numId w:val="21"/>
        </w:numPr>
        <w:overflowPunct w:val="0"/>
        <w:autoSpaceDE w:val="0"/>
        <w:autoSpaceDN w:val="0"/>
        <w:adjustRightInd w:val="0"/>
        <w:ind w:left="284" w:hanging="284"/>
        <w:textAlignment w:val="baseline"/>
        <w:rPr>
          <w:bCs/>
          <w:iCs/>
        </w:rPr>
      </w:pPr>
      <w:r>
        <w:t xml:space="preserve">смята, че </w:t>
      </w:r>
      <w:r>
        <w:rPr>
          <w:b/>
        </w:rPr>
        <w:t>са необходими по-амбициозни мерки</w:t>
      </w:r>
      <w:r>
        <w:t xml:space="preserve"> за гарантиране на справедлив преход, който включва насърчаване на качествени работни места, балансиране на пазара на труда и подобряване на условията на труд;</w:t>
      </w:r>
    </w:p>
    <w:p w:rsidRPr="00F3125C" w:rsidR="00B70A01" w:rsidP="00643D0B" w:rsidRDefault="00B70A01" w14:paraId="3638E995" w14:textId="77777777">
      <w:pPr>
        <w:widowControl w:val="0"/>
        <w:numPr>
          <w:ilvl w:val="0"/>
          <w:numId w:val="21"/>
        </w:numPr>
        <w:overflowPunct w:val="0"/>
        <w:autoSpaceDE w:val="0"/>
        <w:autoSpaceDN w:val="0"/>
        <w:adjustRightInd w:val="0"/>
        <w:ind w:left="284" w:hanging="284"/>
        <w:textAlignment w:val="baseline"/>
        <w:rPr>
          <w:bCs/>
          <w:iCs/>
        </w:rPr>
      </w:pPr>
      <w:r>
        <w:t xml:space="preserve">признава </w:t>
      </w:r>
      <w:r>
        <w:rPr>
          <w:b/>
        </w:rPr>
        <w:t>важната роля на социалните партньори</w:t>
      </w:r>
      <w:r>
        <w:t xml:space="preserve"> за разработването и прилагането на мерки за справяне с недостига на работна ръка и умения;</w:t>
      </w:r>
    </w:p>
    <w:p w:rsidRPr="00F3125C" w:rsidR="00B70A01" w:rsidP="00643D0B" w:rsidRDefault="00B70A01" w14:paraId="4065B872" w14:textId="77777777">
      <w:pPr>
        <w:widowControl w:val="0"/>
        <w:numPr>
          <w:ilvl w:val="0"/>
          <w:numId w:val="21"/>
        </w:numPr>
        <w:overflowPunct w:val="0"/>
        <w:autoSpaceDE w:val="0"/>
        <w:autoSpaceDN w:val="0"/>
        <w:adjustRightInd w:val="0"/>
        <w:ind w:left="284" w:hanging="284"/>
        <w:textAlignment w:val="baseline"/>
        <w:rPr>
          <w:bCs/>
          <w:iCs/>
        </w:rPr>
      </w:pPr>
      <w:r>
        <w:t xml:space="preserve">предлага да се разработят и финансират целеви програми, ориентирани към учащите се насоки и координирани мерки за подкрепа на учащите се за </w:t>
      </w:r>
      <w:r>
        <w:rPr>
          <w:b/>
        </w:rPr>
        <w:t>улесняване на навлизането на по-слабо представените групи и групите в неравностойно положение</w:t>
      </w:r>
      <w:r>
        <w:t xml:space="preserve"> на пазара на труда. Сред тях са жените в професиите в областта на НТИМ (наука, технологии, инженерство и математика), хората с мигрантски произход, хората с увреждания и по-възрастните работници;</w:t>
      </w:r>
    </w:p>
    <w:p w:rsidRPr="00F3125C" w:rsidR="00B70A01" w:rsidP="00643D0B" w:rsidRDefault="00B70A01" w14:paraId="1961B38D" w14:textId="77777777">
      <w:pPr>
        <w:widowControl w:val="0"/>
        <w:numPr>
          <w:ilvl w:val="0"/>
          <w:numId w:val="21"/>
        </w:numPr>
        <w:overflowPunct w:val="0"/>
        <w:autoSpaceDE w:val="0"/>
        <w:autoSpaceDN w:val="0"/>
        <w:adjustRightInd w:val="0"/>
        <w:ind w:left="284" w:hanging="284"/>
        <w:textAlignment w:val="baseline"/>
        <w:rPr>
          <w:bCs/>
          <w:iCs/>
        </w:rPr>
      </w:pPr>
      <w:r>
        <w:t xml:space="preserve">насърчава държавите членки да прилагат </w:t>
      </w:r>
      <w:r>
        <w:rPr>
          <w:b/>
        </w:rPr>
        <w:t>фондове за обучение, управлявани от тристранните партньори</w:t>
      </w:r>
      <w:r>
        <w:t>, като се зачитат характеристиките на различните национални системи, за да се намалят демотивиращите фактори и да се подпомогнат предприятията при предоставянето на обучение на работното място, като например чиракуване.</w:t>
      </w:r>
    </w:p>
    <w:p w:rsidRPr="00F3125C" w:rsidR="00B70A01" w:rsidP="00B70A01" w:rsidRDefault="00B70A01" w14:paraId="5431DC4C" w14:textId="77777777">
      <w:pPr>
        <w:widowControl w:val="0"/>
        <w:overflowPunct w:val="0"/>
        <w:autoSpaceDE w:val="0"/>
        <w:autoSpaceDN w:val="0"/>
        <w:adjustRightInd w:val="0"/>
        <w:ind w:left="709"/>
        <w:textAlignment w:val="baseline"/>
        <w:rPr>
          <w:szCs w:val="20"/>
          <w:lang w:val="en-GB"/>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B70A01" w:rsidTr="00863A8F" w14:paraId="01B5DFB9" w14:textId="77777777">
        <w:tc>
          <w:tcPr>
            <w:tcW w:w="1556" w:type="pct"/>
          </w:tcPr>
          <w:p w:rsidRPr="00F3125C" w:rsidR="00B70A01" w:rsidP="00B70A01" w:rsidRDefault="00B70A01" w14:paraId="17DD32AB" w14:textId="77777777">
            <w:pPr>
              <w:overflowPunct w:val="0"/>
              <w:autoSpaceDE w:val="0"/>
              <w:autoSpaceDN w:val="0"/>
              <w:adjustRightInd w:val="0"/>
              <w:spacing w:line="240" w:lineRule="auto"/>
              <w:textAlignment w:val="baseline"/>
              <w:rPr>
                <w:i/>
              </w:rPr>
            </w:pPr>
            <w:r>
              <w:rPr>
                <w:b/>
                <w:i/>
              </w:rPr>
              <w:t xml:space="preserve">За контакти </w:t>
            </w:r>
          </w:p>
        </w:tc>
        <w:tc>
          <w:tcPr>
            <w:tcW w:w="3444" w:type="pct"/>
          </w:tcPr>
          <w:p w:rsidRPr="00F3125C" w:rsidR="00B70A01" w:rsidP="00B70A01" w:rsidRDefault="00B70A01" w14:paraId="1BED828B" w14:textId="77777777">
            <w:pPr>
              <w:overflowPunct w:val="0"/>
              <w:autoSpaceDE w:val="0"/>
              <w:autoSpaceDN w:val="0"/>
              <w:adjustRightInd w:val="0"/>
              <w:spacing w:line="240" w:lineRule="auto"/>
              <w:textAlignment w:val="baseline"/>
              <w:rPr>
                <w:i/>
              </w:rPr>
            </w:pPr>
            <w:proofErr w:type="spellStart"/>
            <w:r>
              <w:rPr>
                <w:i/>
              </w:rPr>
              <w:t>Francesco</w:t>
            </w:r>
            <w:proofErr w:type="spellEnd"/>
            <w:r>
              <w:rPr>
                <w:i/>
              </w:rPr>
              <w:t xml:space="preserve"> </w:t>
            </w:r>
            <w:proofErr w:type="spellStart"/>
            <w:r>
              <w:rPr>
                <w:i/>
              </w:rPr>
              <w:t>Napolitano</w:t>
            </w:r>
            <w:proofErr w:type="spellEnd"/>
          </w:p>
        </w:tc>
      </w:tr>
      <w:tr w:rsidRPr="00F3125C" w:rsidR="00B70A01" w:rsidTr="00863A8F" w14:paraId="07D804F8" w14:textId="77777777">
        <w:tc>
          <w:tcPr>
            <w:tcW w:w="1556" w:type="pct"/>
          </w:tcPr>
          <w:p w:rsidRPr="00F3125C" w:rsidR="00B70A01" w:rsidP="00B70A01" w:rsidRDefault="00B70A01" w14:paraId="39546BCA" w14:textId="77777777">
            <w:pPr>
              <w:overflowPunct w:val="0"/>
              <w:autoSpaceDE w:val="0"/>
              <w:autoSpaceDN w:val="0"/>
              <w:adjustRightInd w:val="0"/>
              <w:spacing w:line="240" w:lineRule="auto"/>
              <w:textAlignment w:val="baseline"/>
              <w:rPr>
                <w:i/>
              </w:rPr>
            </w:pPr>
            <w:r>
              <w:rPr>
                <w:i/>
              </w:rPr>
              <w:t>Тел.</w:t>
            </w:r>
          </w:p>
        </w:tc>
        <w:tc>
          <w:tcPr>
            <w:tcW w:w="3444" w:type="pct"/>
          </w:tcPr>
          <w:p w:rsidRPr="00F3125C" w:rsidR="00B70A01" w:rsidP="00B70A01" w:rsidRDefault="00B70A01" w14:paraId="76B7E4F8" w14:textId="77777777">
            <w:pPr>
              <w:overflowPunct w:val="0"/>
              <w:autoSpaceDE w:val="0"/>
              <w:autoSpaceDN w:val="0"/>
              <w:adjustRightInd w:val="0"/>
              <w:spacing w:line="240" w:lineRule="auto"/>
              <w:textAlignment w:val="baseline"/>
              <w:rPr>
                <w:i/>
              </w:rPr>
            </w:pPr>
            <w:r>
              <w:rPr>
                <w:i/>
              </w:rPr>
              <w:t>+32 25468921</w:t>
            </w:r>
          </w:p>
        </w:tc>
      </w:tr>
      <w:tr w:rsidRPr="00F3125C" w:rsidR="00B70A01" w:rsidTr="00863A8F" w14:paraId="0A3C7522" w14:textId="77777777">
        <w:tc>
          <w:tcPr>
            <w:tcW w:w="1556" w:type="pct"/>
          </w:tcPr>
          <w:p w:rsidRPr="00F3125C" w:rsidR="00B70A01" w:rsidP="00B70A01" w:rsidRDefault="00B70A01" w14:paraId="05434FC6"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B70A01" w:rsidP="00B70A01" w:rsidRDefault="008C5F08" w14:paraId="025822D2" w14:textId="5E8650F4">
            <w:pPr>
              <w:overflowPunct w:val="0"/>
              <w:autoSpaceDE w:val="0"/>
              <w:autoSpaceDN w:val="0"/>
              <w:adjustRightInd w:val="0"/>
              <w:spacing w:line="240" w:lineRule="auto"/>
              <w:textAlignment w:val="baseline"/>
              <w:rPr>
                <w:i/>
              </w:rPr>
            </w:pPr>
            <w:hyperlink w:history="1" r:id="rId32">
              <w:r w:rsidR="00981740">
                <w:rPr>
                  <w:i/>
                  <w:color w:val="0000FF"/>
                  <w:u w:val="single"/>
                </w:rPr>
                <w:t>Francesco.Napolitano@eesc.europa.eu</w:t>
              </w:r>
            </w:hyperlink>
            <w:r w:rsidR="00981740">
              <w:rPr>
                <w:i/>
              </w:rPr>
              <w:t xml:space="preserve"> </w:t>
            </w:r>
          </w:p>
        </w:tc>
      </w:tr>
    </w:tbl>
    <w:p w:rsidRPr="00F3125C" w:rsidR="00E57317" w:rsidRDefault="00E57317" w14:paraId="051DEBB3" w14:textId="607435FB">
      <w:pPr>
        <w:spacing w:after="160" w:line="259" w:lineRule="auto"/>
        <w:jc w:val="left"/>
        <w:rPr>
          <w:lang w:val="en-GB"/>
        </w:rPr>
      </w:pPr>
    </w:p>
    <w:p w:rsidRPr="00F3125C" w:rsidR="000835E1" w:rsidRDefault="000835E1" w14:paraId="5ABE072C" w14:textId="77777777">
      <w:pPr>
        <w:spacing w:after="160" w:line="259" w:lineRule="auto"/>
        <w:jc w:val="left"/>
      </w:pPr>
      <w:r>
        <w:br w:type="page"/>
      </w:r>
    </w:p>
    <w:p w:rsidRPr="00F3125C" w:rsidR="00450AE6" w:rsidP="00450AE6" w:rsidRDefault="008C5F08" w14:paraId="78455EEB" w14:textId="399D97E7">
      <w:pPr>
        <w:widowControl w:val="0"/>
        <w:numPr>
          <w:ilvl w:val="0"/>
          <w:numId w:val="6"/>
        </w:numPr>
        <w:overflowPunct w:val="0"/>
        <w:autoSpaceDE w:val="0"/>
        <w:autoSpaceDN w:val="0"/>
        <w:adjustRightInd w:val="0"/>
        <w:ind w:hanging="567"/>
        <w:textAlignment w:val="baseline"/>
        <w:rPr>
          <w:b/>
          <w:bCs/>
          <w:i/>
          <w:iCs/>
          <w:sz w:val="28"/>
          <w:szCs w:val="28"/>
        </w:rPr>
      </w:pPr>
      <w:hyperlink w:history="1" r:id="rId33">
        <w:r w:rsidR="00981740">
          <w:rPr>
            <w:b/>
            <w:i/>
            <w:color w:val="0000FF"/>
            <w:sz w:val="28"/>
            <w:u w:val="single"/>
          </w:rPr>
          <w:t>Социалните жилища в ЕС — достойни, устойчиви и достъпни</w:t>
        </w:r>
      </w:hyperlink>
    </w:p>
    <w:p w:rsidRPr="00E333E2" w:rsidR="00450AE6" w:rsidP="00E333E2" w:rsidRDefault="00450AE6" w14:paraId="18574719" w14:textId="77777777">
      <w:pPr>
        <w:overflowPunct w:val="0"/>
        <w:autoSpaceDE w:val="0"/>
        <w:autoSpaceDN w:val="0"/>
        <w:adjustRightInd w:val="0"/>
        <w:textAlignment w:val="baseline"/>
        <w:rPr>
          <w:bCs/>
          <w:iCs/>
          <w:sz w:val="10"/>
          <w:szCs w:val="1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6403"/>
      </w:tblGrid>
      <w:tr w:rsidRPr="00F3125C" w:rsidR="00450AE6" w:rsidTr="00E333E2" w14:paraId="28FDC637" w14:textId="77777777">
        <w:tc>
          <w:tcPr>
            <w:tcW w:w="0" w:type="auto"/>
          </w:tcPr>
          <w:p w:rsidRPr="00F3125C" w:rsidR="00450AE6" w:rsidP="00450AE6" w:rsidRDefault="00450AE6" w14:paraId="674F48F2"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F3125C" w:rsidR="00450AE6" w:rsidP="00450AE6" w:rsidRDefault="00450AE6" w14:paraId="67AE54F6" w14:textId="453A4ECC">
            <w:pPr>
              <w:tabs>
                <w:tab w:val="center" w:pos="284"/>
              </w:tabs>
              <w:overflowPunct w:val="0"/>
              <w:autoSpaceDE w:val="0"/>
              <w:autoSpaceDN w:val="0"/>
              <w:adjustRightInd w:val="0"/>
              <w:ind w:left="266" w:hanging="266"/>
              <w:textAlignment w:val="baseline"/>
            </w:pPr>
            <w:proofErr w:type="spellStart"/>
            <w:r>
              <w:t>Thomas</w:t>
            </w:r>
            <w:proofErr w:type="spellEnd"/>
            <w:r>
              <w:t xml:space="preserve"> KATTNIG (група „Работници“ — AT)</w:t>
            </w:r>
          </w:p>
          <w:p w:rsidRPr="00F3125C" w:rsidR="00450AE6" w:rsidP="00450AE6" w:rsidRDefault="00450AE6" w14:paraId="25FE5489" w14:textId="756F2220">
            <w:pPr>
              <w:tabs>
                <w:tab w:val="center" w:pos="284"/>
              </w:tabs>
              <w:overflowPunct w:val="0"/>
              <w:autoSpaceDE w:val="0"/>
              <w:autoSpaceDN w:val="0"/>
              <w:adjustRightInd w:val="0"/>
              <w:ind w:left="266" w:hanging="266"/>
              <w:textAlignment w:val="baseline"/>
            </w:pPr>
            <w:proofErr w:type="spellStart"/>
            <w:r>
              <w:t>Rudolf</w:t>
            </w:r>
            <w:proofErr w:type="spellEnd"/>
            <w:r>
              <w:t xml:space="preserve"> KOLBE (група „Организации на гражданското общество“ — AT)</w:t>
            </w:r>
          </w:p>
        </w:tc>
      </w:tr>
      <w:tr w:rsidRPr="00F3125C" w:rsidR="00450AE6" w:rsidTr="00E333E2" w14:paraId="55D6B02B" w14:textId="77777777">
        <w:tc>
          <w:tcPr>
            <w:tcW w:w="0" w:type="auto"/>
            <w:gridSpan w:val="2"/>
          </w:tcPr>
          <w:p w:rsidRPr="00F3125C" w:rsidR="00450AE6" w:rsidP="00450AE6" w:rsidRDefault="00450AE6" w14:paraId="2AA9F988" w14:textId="77777777">
            <w:pPr>
              <w:tabs>
                <w:tab w:val="center" w:pos="284"/>
              </w:tabs>
              <w:overflowPunct w:val="0"/>
              <w:autoSpaceDE w:val="0"/>
              <w:autoSpaceDN w:val="0"/>
              <w:adjustRightInd w:val="0"/>
              <w:spacing w:line="160" w:lineRule="exact"/>
              <w:ind w:left="266" w:hanging="266"/>
              <w:textAlignment w:val="baseline"/>
              <w:rPr>
                <w:sz w:val="16"/>
                <w:szCs w:val="16"/>
                <w:lang w:val="en-GB"/>
              </w:rPr>
            </w:pPr>
          </w:p>
        </w:tc>
      </w:tr>
      <w:tr w:rsidRPr="00F3125C" w:rsidR="00450AE6" w:rsidTr="00E333E2" w14:paraId="1E42B3C4" w14:textId="77777777">
        <w:tc>
          <w:tcPr>
            <w:tcW w:w="0" w:type="auto"/>
          </w:tcPr>
          <w:p w:rsidRPr="00F3125C" w:rsidR="00450AE6" w:rsidP="00450AE6" w:rsidRDefault="00450AE6" w14:paraId="283152B1"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F3125C" w:rsidR="00450AE6" w:rsidP="00450AE6" w:rsidRDefault="00450AE6" w14:paraId="073E0774"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450AE6" w:rsidP="00450AE6" w:rsidRDefault="00450AE6" w14:paraId="71B094A0" w14:textId="77777777">
            <w:pPr>
              <w:tabs>
                <w:tab w:val="center" w:pos="284"/>
              </w:tabs>
              <w:overflowPunct w:val="0"/>
              <w:autoSpaceDE w:val="0"/>
              <w:autoSpaceDN w:val="0"/>
              <w:adjustRightInd w:val="0"/>
              <w:ind w:left="266" w:hanging="266"/>
              <w:textAlignment w:val="baseline"/>
            </w:pPr>
            <w:r>
              <w:t>EESC-2024-01187-00-00-AC</w:t>
            </w:r>
          </w:p>
        </w:tc>
      </w:tr>
    </w:tbl>
    <w:p w:rsidRPr="00E333E2" w:rsidR="00450AE6" w:rsidP="00E333E2" w:rsidRDefault="00450AE6" w14:paraId="7FF72092" w14:textId="77777777">
      <w:pPr>
        <w:overflowPunct w:val="0"/>
        <w:autoSpaceDE w:val="0"/>
        <w:autoSpaceDN w:val="0"/>
        <w:adjustRightInd w:val="0"/>
        <w:textAlignment w:val="baseline"/>
        <w:rPr>
          <w:bCs/>
          <w:iCs/>
          <w:sz w:val="10"/>
          <w:szCs w:val="10"/>
          <w:lang w:val="en-GB"/>
        </w:rPr>
      </w:pPr>
    </w:p>
    <w:p w:rsidRPr="00F3125C" w:rsidR="00450AE6" w:rsidP="00450AE6" w:rsidRDefault="00450AE6" w14:paraId="46A96DFC"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333E2" w:rsidR="00450AE6" w:rsidP="00E333E2" w:rsidRDefault="00450AE6" w14:paraId="6CED3A94" w14:textId="77777777">
      <w:pPr>
        <w:overflowPunct w:val="0"/>
        <w:autoSpaceDE w:val="0"/>
        <w:autoSpaceDN w:val="0"/>
        <w:adjustRightInd w:val="0"/>
        <w:textAlignment w:val="baseline"/>
        <w:rPr>
          <w:bCs/>
          <w:iCs/>
          <w:sz w:val="10"/>
          <w:szCs w:val="10"/>
          <w:lang w:val="en-GB"/>
        </w:rPr>
      </w:pPr>
    </w:p>
    <w:p w:rsidRPr="00F3125C" w:rsidR="00450AE6" w:rsidP="00450AE6" w:rsidRDefault="00450AE6" w14:paraId="63ED3E65" w14:textId="011D5C4C">
      <w:pPr>
        <w:overflowPunct w:val="0"/>
        <w:autoSpaceDE w:val="0"/>
        <w:autoSpaceDN w:val="0"/>
        <w:adjustRightInd w:val="0"/>
        <w:textAlignment w:val="baseline"/>
        <w:rPr>
          <w:bCs/>
          <w:iCs/>
        </w:rPr>
      </w:pPr>
      <w:r>
        <w:t>ЕИСК:</w:t>
      </w:r>
    </w:p>
    <w:p w:rsidRPr="00E333E2" w:rsidR="00450AE6" w:rsidP="00450AE6" w:rsidRDefault="00450AE6" w14:paraId="55F08739" w14:textId="77777777">
      <w:pPr>
        <w:overflowPunct w:val="0"/>
        <w:autoSpaceDE w:val="0"/>
        <w:autoSpaceDN w:val="0"/>
        <w:adjustRightInd w:val="0"/>
        <w:textAlignment w:val="baseline"/>
        <w:rPr>
          <w:bCs/>
          <w:iCs/>
          <w:sz w:val="10"/>
          <w:szCs w:val="10"/>
          <w:lang w:val="en-GB"/>
        </w:rPr>
      </w:pPr>
    </w:p>
    <w:p w:rsidRPr="00F3125C" w:rsidR="00450AE6" w:rsidP="00643D0B" w:rsidRDefault="00450AE6" w14:paraId="1F7F81A2" w14:textId="77777777">
      <w:pPr>
        <w:widowControl w:val="0"/>
        <w:numPr>
          <w:ilvl w:val="0"/>
          <w:numId w:val="24"/>
        </w:numPr>
        <w:overflowPunct w:val="0"/>
        <w:autoSpaceDE w:val="0"/>
        <w:autoSpaceDN w:val="0"/>
        <w:adjustRightInd w:val="0"/>
        <w:ind w:left="426" w:hanging="426"/>
        <w:textAlignment w:val="baseline"/>
        <w:rPr>
          <w:bCs/>
          <w:iCs/>
        </w:rPr>
      </w:pPr>
      <w:r>
        <w:t xml:space="preserve">счита, че пазарът на жилища е неефективен. Този проблем трябва да бъде решен чрез подобряване на рамковите условия, като напр. данните, координацията, процедурите за одобрение и правилата за планиране на </w:t>
      </w:r>
      <w:proofErr w:type="spellStart"/>
      <w:r>
        <w:t>земеползването</w:t>
      </w:r>
      <w:proofErr w:type="spellEnd"/>
      <w:r>
        <w:t>, установяване на основно право на жилищно настаняване, осигуряване на достатъчно финансиране, прилагане на подхода „жилищно настаняване преди всичко“ за бездомните и съсредоточаване в по-голяма степен върху нуждите на младите хора и устойчивостта;</w:t>
      </w:r>
    </w:p>
    <w:p w:rsidRPr="00F3125C" w:rsidR="00450AE6" w:rsidP="00643D0B" w:rsidRDefault="00450AE6" w14:paraId="799CEEA0" w14:textId="77777777">
      <w:pPr>
        <w:widowControl w:val="0"/>
        <w:numPr>
          <w:ilvl w:val="0"/>
          <w:numId w:val="24"/>
        </w:numPr>
        <w:overflowPunct w:val="0"/>
        <w:autoSpaceDE w:val="0"/>
        <w:autoSpaceDN w:val="0"/>
        <w:adjustRightInd w:val="0"/>
        <w:ind w:left="426" w:hanging="426"/>
        <w:textAlignment w:val="baseline"/>
        <w:rPr>
          <w:bCs/>
          <w:iCs/>
        </w:rPr>
      </w:pPr>
      <w:r>
        <w:t>приветства определянето на нов член на Комисията, отговарящ за жилищната политика, който да бъде подкрепен от експертна група, включваща представители на ЕИСК и на Европейския комитет на регионите, и призовава да бъде включен като наблюдател или съветник в работата на комитета по жилищно настаняване, който ще бъде създаден от Европейския парламент;</w:t>
      </w:r>
    </w:p>
    <w:p w:rsidRPr="00F3125C" w:rsidR="00450AE6" w:rsidP="00643D0B" w:rsidRDefault="00450AE6" w14:paraId="147B7AF8" w14:textId="77777777">
      <w:pPr>
        <w:widowControl w:val="0"/>
        <w:numPr>
          <w:ilvl w:val="0"/>
          <w:numId w:val="24"/>
        </w:numPr>
        <w:overflowPunct w:val="0"/>
        <w:autoSpaceDE w:val="0"/>
        <w:autoSpaceDN w:val="0"/>
        <w:adjustRightInd w:val="0"/>
        <w:ind w:left="426" w:hanging="426"/>
        <w:textAlignment w:val="baseline"/>
      </w:pPr>
      <w:r>
        <w:t>призовава Комисията да признае социалните жилища за основен и обещаващ инструмент на активните политики в областта на жилищното настаняване. В средносрочен план в първичното законодателство на ЕС следва да се заложи основното право на достойно, достъпно жилище на финансово приемлива цена за всички. Трябва да се отхвърли настоящият подход, според който жилищната политика следва да бъде програма само за домакинствата с най-ниски доходи, и законодателството в областта на държавните помощи трябва да бъде съответно адаптирано в съответствие със системата за регулиране на услугите от общ икономически интерес (УОИИ). Освен това в националните програми за реформи и програмите за стабилност/конвергенция следва да бъдат включени показатели за жилищното настаняване;</w:t>
      </w:r>
    </w:p>
    <w:p w:rsidRPr="00F3125C" w:rsidR="00450AE6" w:rsidP="00643D0B" w:rsidRDefault="00450AE6" w14:paraId="602945E5" w14:textId="77777777">
      <w:pPr>
        <w:widowControl w:val="0"/>
        <w:numPr>
          <w:ilvl w:val="0"/>
          <w:numId w:val="24"/>
        </w:numPr>
        <w:overflowPunct w:val="0"/>
        <w:autoSpaceDE w:val="0"/>
        <w:autoSpaceDN w:val="0"/>
        <w:adjustRightInd w:val="0"/>
        <w:ind w:left="426" w:hanging="426"/>
        <w:textAlignment w:val="baseline"/>
        <w:rPr>
          <w:szCs w:val="20"/>
        </w:rPr>
      </w:pPr>
      <w:r>
        <w:t>приветства планираната общоевропейска инвестиционна платформа за финансово достъпни и устойчиви жилища. Освен това строителните предприемачи и кооперации с нестопанска цел, както и местните власти следва да могат да получават 0 % лихвен процент чрез тази платформа или пряко от Европейската инвестиционна банка за дългосрочни заеми;</w:t>
      </w:r>
    </w:p>
    <w:p w:rsidRPr="00F3125C" w:rsidR="00450AE6" w:rsidP="00643D0B" w:rsidRDefault="00450AE6" w14:paraId="2A6B5F2C" w14:textId="77777777">
      <w:pPr>
        <w:numPr>
          <w:ilvl w:val="0"/>
          <w:numId w:val="24"/>
        </w:numPr>
        <w:overflowPunct w:val="0"/>
        <w:autoSpaceDE w:val="0"/>
        <w:autoSpaceDN w:val="0"/>
        <w:adjustRightInd w:val="0"/>
        <w:ind w:left="426" w:hanging="426"/>
        <w:contextualSpacing/>
        <w:textAlignment w:val="baseline"/>
        <w:rPr>
          <w:szCs w:val="20"/>
        </w:rPr>
      </w:pPr>
      <w:r>
        <w:t>призовава Комисията да подкрепи държавите членки, като им предоставя препоръки, когато е подходящо, за създаването на набор от инструменти за ограничаване на неконтролируемите увеличения на наемите, включително например чрез законоустановени тавани на наемите, данък върху неизползваните жилища, фискални стимули за обновяване на неизползваните жилища с оглед отдаването им под наем, по-социални жилища, ограничения на разрешенията за краткосрочно отдаване под наем и др.</w:t>
      </w:r>
    </w:p>
    <w:p w:rsidRPr="00F3125C" w:rsidR="00450AE6" w:rsidP="00643D0B" w:rsidRDefault="00450AE6" w14:paraId="742EF3EC" w14:textId="77777777">
      <w:pPr>
        <w:widowControl w:val="0"/>
        <w:numPr>
          <w:ilvl w:val="0"/>
          <w:numId w:val="24"/>
        </w:numPr>
        <w:overflowPunct w:val="0"/>
        <w:autoSpaceDE w:val="0"/>
        <w:autoSpaceDN w:val="0"/>
        <w:adjustRightInd w:val="0"/>
        <w:ind w:left="426" w:hanging="426"/>
        <w:textAlignment w:val="baseline"/>
        <w:rPr>
          <w:szCs w:val="20"/>
        </w:rPr>
      </w:pPr>
      <w:r>
        <w:t>призовава за изготвянето на план за действие, насочен специално към подобряване на достъпа на младите хора до жилища на достъпни цени.</w:t>
      </w:r>
    </w:p>
    <w:p w:rsidRPr="00E333E2" w:rsidR="00450AE6" w:rsidP="00450AE6" w:rsidRDefault="00450AE6" w14:paraId="485095E0" w14:textId="77777777">
      <w:pPr>
        <w:widowControl w:val="0"/>
        <w:overflowPunct w:val="0"/>
        <w:autoSpaceDE w:val="0"/>
        <w:autoSpaceDN w:val="0"/>
        <w:adjustRightInd w:val="0"/>
        <w:ind w:left="709"/>
        <w:textAlignment w:val="baseline"/>
        <w:rPr>
          <w:sz w:val="10"/>
          <w:szCs w:val="1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125C" w:rsidR="00450AE6" w:rsidTr="00863A8F" w14:paraId="380DCF50" w14:textId="77777777">
        <w:tc>
          <w:tcPr>
            <w:tcW w:w="1418" w:type="dxa"/>
          </w:tcPr>
          <w:p w:rsidRPr="00F3125C" w:rsidR="00450AE6" w:rsidP="00450AE6" w:rsidRDefault="00450AE6" w14:paraId="56929701" w14:textId="77777777">
            <w:pPr>
              <w:overflowPunct w:val="0"/>
              <w:autoSpaceDE w:val="0"/>
              <w:autoSpaceDN w:val="0"/>
              <w:adjustRightInd w:val="0"/>
              <w:spacing w:line="240" w:lineRule="auto"/>
              <w:textAlignment w:val="baseline"/>
              <w:rPr>
                <w:i/>
              </w:rPr>
            </w:pPr>
            <w:r>
              <w:rPr>
                <w:b/>
                <w:i/>
              </w:rPr>
              <w:t>За контакти</w:t>
            </w:r>
          </w:p>
        </w:tc>
        <w:tc>
          <w:tcPr>
            <w:tcW w:w="5670" w:type="dxa"/>
          </w:tcPr>
          <w:p w:rsidRPr="00F3125C" w:rsidR="00450AE6" w:rsidP="00450AE6" w:rsidRDefault="00450AE6" w14:paraId="50B7D907" w14:textId="3FA448E5">
            <w:pPr>
              <w:overflowPunct w:val="0"/>
              <w:autoSpaceDE w:val="0"/>
              <w:autoSpaceDN w:val="0"/>
              <w:adjustRightInd w:val="0"/>
              <w:spacing w:line="240" w:lineRule="auto"/>
              <w:textAlignment w:val="baseline"/>
              <w:rPr>
                <w:i/>
              </w:rPr>
            </w:pPr>
            <w:proofErr w:type="spellStart"/>
            <w:r>
              <w:rPr>
                <w:i/>
              </w:rPr>
              <w:t>Agota</w:t>
            </w:r>
            <w:proofErr w:type="spellEnd"/>
            <w:r>
              <w:rPr>
                <w:i/>
              </w:rPr>
              <w:t xml:space="preserve"> </w:t>
            </w:r>
            <w:proofErr w:type="spellStart"/>
            <w:r>
              <w:rPr>
                <w:i/>
              </w:rPr>
              <w:t>Bazsik</w:t>
            </w:r>
            <w:proofErr w:type="spellEnd"/>
          </w:p>
        </w:tc>
      </w:tr>
      <w:tr w:rsidRPr="00F3125C" w:rsidR="00450AE6" w:rsidTr="00863A8F" w14:paraId="1FE7CA74" w14:textId="77777777">
        <w:tc>
          <w:tcPr>
            <w:tcW w:w="1418" w:type="dxa"/>
          </w:tcPr>
          <w:p w:rsidRPr="00F3125C" w:rsidR="00450AE6" w:rsidP="00450AE6" w:rsidRDefault="00450AE6" w14:paraId="04D70DE0" w14:textId="77777777">
            <w:pPr>
              <w:overflowPunct w:val="0"/>
              <w:autoSpaceDE w:val="0"/>
              <w:autoSpaceDN w:val="0"/>
              <w:adjustRightInd w:val="0"/>
              <w:spacing w:line="240" w:lineRule="auto"/>
              <w:textAlignment w:val="baseline"/>
              <w:rPr>
                <w:i/>
              </w:rPr>
            </w:pPr>
            <w:r>
              <w:rPr>
                <w:i/>
              </w:rPr>
              <w:t>Тел.</w:t>
            </w:r>
          </w:p>
        </w:tc>
        <w:tc>
          <w:tcPr>
            <w:tcW w:w="5670" w:type="dxa"/>
          </w:tcPr>
          <w:p w:rsidRPr="00F3125C" w:rsidR="00450AE6" w:rsidP="00450AE6" w:rsidRDefault="00450AE6" w14:paraId="493C0DBC" w14:textId="77777777">
            <w:pPr>
              <w:overflowPunct w:val="0"/>
              <w:autoSpaceDE w:val="0"/>
              <w:autoSpaceDN w:val="0"/>
              <w:adjustRightInd w:val="0"/>
              <w:spacing w:line="240" w:lineRule="auto"/>
              <w:textAlignment w:val="baseline"/>
              <w:rPr>
                <w:i/>
              </w:rPr>
            </w:pPr>
            <w:r>
              <w:rPr>
                <w:i/>
              </w:rPr>
              <w:t>+32 254 68658</w:t>
            </w:r>
          </w:p>
        </w:tc>
      </w:tr>
      <w:tr w:rsidRPr="00F3125C" w:rsidR="00450AE6" w:rsidTr="00863A8F" w14:paraId="22E39DE7" w14:textId="77777777">
        <w:tc>
          <w:tcPr>
            <w:tcW w:w="1418" w:type="dxa"/>
          </w:tcPr>
          <w:p w:rsidRPr="00F3125C" w:rsidR="00450AE6" w:rsidP="00450AE6" w:rsidRDefault="00450AE6" w14:paraId="1A4E7FDC" w14:textId="437D0C47">
            <w:pPr>
              <w:overflowPunct w:val="0"/>
              <w:autoSpaceDE w:val="0"/>
              <w:autoSpaceDN w:val="0"/>
              <w:adjustRightInd w:val="0"/>
              <w:spacing w:line="240" w:lineRule="auto"/>
              <w:textAlignment w:val="baseline"/>
              <w:rPr>
                <w:i/>
              </w:rPr>
            </w:pPr>
            <w:r>
              <w:rPr>
                <w:i/>
              </w:rPr>
              <w:t>Електронен адрес</w:t>
            </w:r>
          </w:p>
        </w:tc>
        <w:tc>
          <w:tcPr>
            <w:tcW w:w="5670" w:type="dxa"/>
          </w:tcPr>
          <w:p w:rsidRPr="00F3125C" w:rsidR="00450AE6" w:rsidP="00450AE6" w:rsidRDefault="008C5F08" w14:paraId="508BEBD8" w14:textId="77777777">
            <w:pPr>
              <w:overflowPunct w:val="0"/>
              <w:autoSpaceDE w:val="0"/>
              <w:autoSpaceDN w:val="0"/>
              <w:adjustRightInd w:val="0"/>
              <w:spacing w:line="240" w:lineRule="auto"/>
              <w:textAlignment w:val="baseline"/>
              <w:rPr>
                <w:i/>
              </w:rPr>
            </w:pPr>
            <w:hyperlink w:history="1" r:id="rId34">
              <w:r w:rsidR="00981740">
                <w:rPr>
                  <w:i/>
                  <w:color w:val="0000FF"/>
                  <w:u w:val="single"/>
                </w:rPr>
                <w:t>Agota.Bazsik@eesc.europa.eu</w:t>
              </w:r>
            </w:hyperlink>
          </w:p>
        </w:tc>
      </w:tr>
    </w:tbl>
    <w:p w:rsidRPr="00F3125C" w:rsidR="00B70A01" w:rsidRDefault="00B70A01" w14:paraId="3B5E845F" w14:textId="16E7EEBA">
      <w:pPr>
        <w:spacing w:after="160" w:line="259" w:lineRule="auto"/>
        <w:jc w:val="left"/>
      </w:pPr>
      <w:r>
        <w:br w:type="page"/>
      </w:r>
    </w:p>
    <w:p w:rsidRPr="00F3125C" w:rsidR="004D7AC0" w:rsidP="006D6D4E" w:rsidRDefault="004D7AC0" w14:paraId="4982DDF3" w14:textId="77777777">
      <w:pPr>
        <w:pStyle w:val="Heading1"/>
        <w:keepNext/>
        <w:keepLines/>
        <w:rPr>
          <w:b/>
        </w:rPr>
      </w:pPr>
      <w:bookmarkStart w:name="_Toc75527083" w:id="18"/>
      <w:bookmarkStart w:name="_Toc185257636" w:id="19"/>
      <w:r>
        <w:rPr>
          <w:b/>
        </w:rPr>
        <w:lastRenderedPageBreak/>
        <w:t>ЕДИНЕН ПАЗАР, ПРОИЗВОДСТВО И ПОТРЕБЛЕНИЕ</w:t>
      </w:r>
      <w:bookmarkEnd w:id="18"/>
      <w:bookmarkEnd w:id="19"/>
    </w:p>
    <w:p w:rsidRPr="00F3125C" w:rsidR="004D7AC0" w:rsidP="004D7AC0" w:rsidRDefault="004D7AC0" w14:paraId="4982DE1D" w14:textId="77777777">
      <w:pPr>
        <w:pStyle w:val="ListParagraph"/>
        <w:ind w:left="0"/>
        <w:rPr>
          <w:sz w:val="20"/>
          <w:szCs w:val="20"/>
          <w:lang w:val="en-GB"/>
        </w:rPr>
      </w:pPr>
    </w:p>
    <w:p w:rsidRPr="00F3125C" w:rsidR="00F6465A" w:rsidP="00F6465A" w:rsidRDefault="008C5F08" w14:paraId="4C5E9265" w14:textId="332063B2">
      <w:pPr>
        <w:widowControl w:val="0"/>
        <w:numPr>
          <w:ilvl w:val="0"/>
          <w:numId w:val="6"/>
        </w:numPr>
        <w:overflowPunct w:val="0"/>
        <w:autoSpaceDE w:val="0"/>
        <w:autoSpaceDN w:val="0"/>
        <w:adjustRightInd w:val="0"/>
        <w:ind w:hanging="567"/>
        <w:textAlignment w:val="baseline"/>
        <w:rPr>
          <w:sz w:val="20"/>
          <w:szCs w:val="20"/>
        </w:rPr>
      </w:pPr>
      <w:hyperlink w:history="1" r:id="rId35">
        <w:r w:rsidR="00981740">
          <w:rPr>
            <w:b/>
            <w:i/>
            <w:color w:val="0000FF"/>
            <w:sz w:val="28"/>
            <w:u w:val="single"/>
          </w:rPr>
          <w:t>Единен пазар/бъдещо разширяване на Съюза</w:t>
        </w:r>
      </w:hyperlink>
    </w:p>
    <w:p w:rsidRPr="00E333E2" w:rsidR="00F6465A" w:rsidP="00E333E2" w:rsidRDefault="00F6465A" w14:paraId="63231238" w14:textId="77777777">
      <w:pPr>
        <w:overflowPunct w:val="0"/>
        <w:autoSpaceDE w:val="0"/>
        <w:autoSpaceDN w:val="0"/>
        <w:adjustRightInd w:val="0"/>
        <w:textAlignment w:val="baseline"/>
        <w:rPr>
          <w:bCs/>
          <w:iCs/>
          <w:sz w:val="10"/>
          <w:szCs w:val="1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1"/>
        <w:gridCol w:w="6164"/>
      </w:tblGrid>
      <w:tr w:rsidRPr="00E333E2" w:rsidR="00F6465A" w:rsidTr="00E333E2" w14:paraId="678F7BE3" w14:textId="77777777">
        <w:trPr>
          <w:trHeight w:val="590"/>
        </w:trPr>
        <w:tc>
          <w:tcPr>
            <w:tcW w:w="0" w:type="auto"/>
          </w:tcPr>
          <w:p w:rsidRPr="00E333E2" w:rsidR="00F6465A" w:rsidP="00F6465A" w:rsidRDefault="00F6465A" w14:paraId="537ECCE7" w14:textId="77777777">
            <w:pPr>
              <w:tabs>
                <w:tab w:val="center" w:pos="284"/>
              </w:tabs>
              <w:overflowPunct w:val="0"/>
              <w:autoSpaceDE w:val="0"/>
              <w:autoSpaceDN w:val="0"/>
              <w:adjustRightInd w:val="0"/>
              <w:ind w:left="266" w:hanging="266"/>
              <w:textAlignment w:val="baseline"/>
              <w:rPr>
                <w:b/>
                <w:spacing w:val="-8"/>
              </w:rPr>
            </w:pPr>
            <w:r w:rsidRPr="00E333E2">
              <w:rPr>
                <w:b/>
                <w:spacing w:val="-8"/>
              </w:rPr>
              <w:t>Докладчик</w:t>
            </w:r>
          </w:p>
        </w:tc>
        <w:tc>
          <w:tcPr>
            <w:tcW w:w="0" w:type="auto"/>
          </w:tcPr>
          <w:p w:rsidRPr="00E333E2" w:rsidR="00F6465A" w:rsidP="00F6465A" w:rsidRDefault="00F6465A" w14:paraId="42879C99" w14:textId="77777777">
            <w:pPr>
              <w:tabs>
                <w:tab w:val="center" w:pos="284"/>
              </w:tabs>
              <w:overflowPunct w:val="0"/>
              <w:autoSpaceDE w:val="0"/>
              <w:autoSpaceDN w:val="0"/>
              <w:adjustRightInd w:val="0"/>
              <w:ind w:left="266" w:hanging="266"/>
              <w:jc w:val="left"/>
              <w:textAlignment w:val="baseline"/>
              <w:rPr>
                <w:spacing w:val="-8"/>
              </w:rPr>
            </w:pPr>
            <w:r w:rsidRPr="00E333E2">
              <w:rPr>
                <w:spacing w:val="-8"/>
              </w:rPr>
              <w:t>Стоян ЧУКАНОВ (група „Организации на гражданското общество“ — BG)</w:t>
            </w:r>
          </w:p>
        </w:tc>
      </w:tr>
      <w:tr w:rsidRPr="00E333E2" w:rsidR="00F6465A" w:rsidTr="00E333E2" w14:paraId="7455A650" w14:textId="77777777">
        <w:trPr>
          <w:trHeight w:val="159"/>
        </w:trPr>
        <w:tc>
          <w:tcPr>
            <w:tcW w:w="0" w:type="auto"/>
            <w:gridSpan w:val="2"/>
          </w:tcPr>
          <w:p w:rsidRPr="00E333E2" w:rsidR="00F6465A" w:rsidP="00F6465A" w:rsidRDefault="00F6465A" w14:paraId="0690994C" w14:textId="77777777">
            <w:pPr>
              <w:tabs>
                <w:tab w:val="center" w:pos="284"/>
              </w:tabs>
              <w:overflowPunct w:val="0"/>
              <w:autoSpaceDE w:val="0"/>
              <w:autoSpaceDN w:val="0"/>
              <w:adjustRightInd w:val="0"/>
              <w:spacing w:line="160" w:lineRule="exact"/>
              <w:ind w:left="266" w:hanging="266"/>
              <w:textAlignment w:val="baseline"/>
              <w:rPr>
                <w:spacing w:val="-8"/>
                <w:lang w:val="en-GB"/>
              </w:rPr>
            </w:pPr>
          </w:p>
        </w:tc>
      </w:tr>
      <w:tr w:rsidRPr="00E333E2" w:rsidR="00F6465A" w:rsidTr="00E333E2" w14:paraId="6A7B8849" w14:textId="77777777">
        <w:trPr>
          <w:trHeight w:val="306"/>
        </w:trPr>
        <w:tc>
          <w:tcPr>
            <w:tcW w:w="0" w:type="auto"/>
            <w:vMerge w:val="restart"/>
          </w:tcPr>
          <w:p w:rsidRPr="00E333E2" w:rsidR="00F6465A" w:rsidP="00F6465A" w:rsidRDefault="00F6465A" w14:paraId="14DA43A0" w14:textId="77777777">
            <w:pPr>
              <w:tabs>
                <w:tab w:val="center" w:pos="284"/>
              </w:tabs>
              <w:overflowPunct w:val="0"/>
              <w:autoSpaceDE w:val="0"/>
              <w:autoSpaceDN w:val="0"/>
              <w:adjustRightInd w:val="0"/>
              <w:ind w:left="266" w:hanging="266"/>
              <w:textAlignment w:val="baseline"/>
              <w:rPr>
                <w:b/>
                <w:spacing w:val="-8"/>
              </w:rPr>
            </w:pPr>
            <w:r w:rsidRPr="00E333E2">
              <w:rPr>
                <w:b/>
                <w:spacing w:val="-8"/>
              </w:rPr>
              <w:t>Отправни документи</w:t>
            </w:r>
          </w:p>
        </w:tc>
        <w:tc>
          <w:tcPr>
            <w:tcW w:w="0" w:type="auto"/>
          </w:tcPr>
          <w:p w:rsidRPr="00E333E2" w:rsidR="00F6465A" w:rsidP="00F6465A" w:rsidRDefault="00F6465A" w14:paraId="14610EA5" w14:textId="77777777">
            <w:pPr>
              <w:tabs>
                <w:tab w:val="center" w:pos="284"/>
              </w:tabs>
              <w:overflowPunct w:val="0"/>
              <w:autoSpaceDE w:val="0"/>
              <w:autoSpaceDN w:val="0"/>
              <w:adjustRightInd w:val="0"/>
              <w:ind w:left="266" w:hanging="266"/>
              <w:textAlignment w:val="baseline"/>
              <w:rPr>
                <w:spacing w:val="-8"/>
              </w:rPr>
            </w:pPr>
            <w:r w:rsidRPr="00E333E2">
              <w:rPr>
                <w:spacing w:val="-8"/>
              </w:rPr>
              <w:t>Становище по собствена инициатива</w:t>
            </w:r>
          </w:p>
        </w:tc>
      </w:tr>
      <w:tr w:rsidRPr="00E333E2" w:rsidR="00F6465A" w:rsidTr="00E333E2" w14:paraId="14D3C1DF" w14:textId="77777777">
        <w:trPr>
          <w:trHeight w:val="306"/>
        </w:trPr>
        <w:tc>
          <w:tcPr>
            <w:tcW w:w="0" w:type="auto"/>
            <w:vMerge/>
          </w:tcPr>
          <w:p w:rsidRPr="00E333E2" w:rsidR="00F6465A" w:rsidP="00F6465A" w:rsidRDefault="00F6465A" w14:paraId="20284924" w14:textId="77777777">
            <w:pPr>
              <w:tabs>
                <w:tab w:val="center" w:pos="284"/>
              </w:tabs>
              <w:overflowPunct w:val="0"/>
              <w:autoSpaceDE w:val="0"/>
              <w:autoSpaceDN w:val="0"/>
              <w:adjustRightInd w:val="0"/>
              <w:ind w:left="266" w:hanging="266"/>
              <w:textAlignment w:val="baseline"/>
              <w:rPr>
                <w:b/>
                <w:spacing w:val="-8"/>
                <w:lang w:val="en-GB"/>
              </w:rPr>
            </w:pPr>
          </w:p>
        </w:tc>
        <w:tc>
          <w:tcPr>
            <w:tcW w:w="0" w:type="auto"/>
          </w:tcPr>
          <w:p w:rsidRPr="00E333E2" w:rsidR="00F6465A" w:rsidP="00F6465A" w:rsidRDefault="00F6465A" w14:paraId="448A9DC7" w14:textId="77777777">
            <w:pPr>
              <w:tabs>
                <w:tab w:val="center" w:pos="284"/>
              </w:tabs>
              <w:overflowPunct w:val="0"/>
              <w:autoSpaceDE w:val="0"/>
              <w:autoSpaceDN w:val="0"/>
              <w:adjustRightInd w:val="0"/>
              <w:ind w:left="266" w:hanging="266"/>
              <w:textAlignment w:val="baseline"/>
              <w:rPr>
                <w:spacing w:val="-8"/>
              </w:rPr>
            </w:pPr>
            <w:r w:rsidRPr="00E333E2">
              <w:rPr>
                <w:spacing w:val="-8"/>
              </w:rPr>
              <w:t>EESC-2024-02187-00-00-AC</w:t>
            </w:r>
          </w:p>
        </w:tc>
      </w:tr>
      <w:tr w:rsidRPr="00E333E2" w:rsidR="00F6465A" w:rsidTr="00E333E2" w14:paraId="378597BC" w14:textId="77777777">
        <w:trPr>
          <w:trHeight w:val="295"/>
        </w:trPr>
        <w:tc>
          <w:tcPr>
            <w:tcW w:w="0" w:type="auto"/>
            <w:vMerge/>
          </w:tcPr>
          <w:p w:rsidRPr="00E333E2" w:rsidR="00F6465A" w:rsidP="00F6465A" w:rsidRDefault="00F6465A" w14:paraId="1AC1550A" w14:textId="77777777">
            <w:pPr>
              <w:tabs>
                <w:tab w:val="center" w:pos="284"/>
              </w:tabs>
              <w:overflowPunct w:val="0"/>
              <w:autoSpaceDE w:val="0"/>
              <w:autoSpaceDN w:val="0"/>
              <w:adjustRightInd w:val="0"/>
              <w:ind w:left="266" w:hanging="266"/>
              <w:textAlignment w:val="baseline"/>
              <w:rPr>
                <w:b/>
                <w:spacing w:val="-8"/>
                <w:lang w:val="en-GB"/>
              </w:rPr>
            </w:pPr>
          </w:p>
        </w:tc>
        <w:tc>
          <w:tcPr>
            <w:tcW w:w="0" w:type="auto"/>
          </w:tcPr>
          <w:p w:rsidRPr="00E333E2" w:rsidR="00F6465A" w:rsidP="00F6465A" w:rsidRDefault="00F6465A" w14:paraId="05E82FFC" w14:textId="77777777">
            <w:pPr>
              <w:tabs>
                <w:tab w:val="center" w:pos="284"/>
              </w:tabs>
              <w:overflowPunct w:val="0"/>
              <w:autoSpaceDE w:val="0"/>
              <w:autoSpaceDN w:val="0"/>
              <w:adjustRightInd w:val="0"/>
              <w:ind w:left="266" w:hanging="266"/>
              <w:textAlignment w:val="baseline"/>
              <w:rPr>
                <w:spacing w:val="-8"/>
                <w:lang w:val="en-GB"/>
              </w:rPr>
            </w:pPr>
          </w:p>
        </w:tc>
      </w:tr>
    </w:tbl>
    <w:p w:rsidRPr="00E333E2" w:rsidR="00F6465A" w:rsidP="00F6465A" w:rsidRDefault="00F6465A" w14:paraId="1B1AE230" w14:textId="77777777">
      <w:pPr>
        <w:keepNext/>
        <w:keepLines/>
        <w:tabs>
          <w:tab w:val="center" w:pos="284"/>
        </w:tabs>
        <w:overflowPunct w:val="0"/>
        <w:autoSpaceDE w:val="0"/>
        <w:autoSpaceDN w:val="0"/>
        <w:adjustRightInd w:val="0"/>
        <w:ind w:left="266" w:hanging="266"/>
        <w:textAlignment w:val="baseline"/>
        <w:rPr>
          <w:b/>
          <w:spacing w:val="-8"/>
        </w:rPr>
      </w:pPr>
      <w:r w:rsidRPr="00E333E2">
        <w:rPr>
          <w:b/>
          <w:spacing w:val="-8"/>
        </w:rPr>
        <w:t>Основни аспекти</w:t>
      </w:r>
    </w:p>
    <w:p w:rsidRPr="00E333E2" w:rsidR="00F6465A" w:rsidP="00E333E2" w:rsidRDefault="00F6465A" w14:paraId="71640B93" w14:textId="77777777">
      <w:pPr>
        <w:overflowPunct w:val="0"/>
        <w:autoSpaceDE w:val="0"/>
        <w:autoSpaceDN w:val="0"/>
        <w:adjustRightInd w:val="0"/>
        <w:textAlignment w:val="baseline"/>
        <w:rPr>
          <w:bCs/>
          <w:iCs/>
          <w:spacing w:val="-8"/>
          <w:sz w:val="10"/>
          <w:szCs w:val="10"/>
          <w:lang w:val="en-GB"/>
        </w:rPr>
      </w:pPr>
    </w:p>
    <w:p w:rsidRPr="00E333E2" w:rsidR="00F6465A" w:rsidP="00F6465A" w:rsidRDefault="00F6465A" w14:paraId="261CF2D3" w14:textId="77777777">
      <w:pPr>
        <w:overflowPunct w:val="0"/>
        <w:autoSpaceDE w:val="0"/>
        <w:autoSpaceDN w:val="0"/>
        <w:adjustRightInd w:val="0"/>
        <w:textAlignment w:val="baseline"/>
        <w:rPr>
          <w:bCs/>
          <w:iCs/>
          <w:spacing w:val="-8"/>
        </w:rPr>
      </w:pPr>
      <w:r w:rsidRPr="00E333E2">
        <w:rPr>
          <w:spacing w:val="-8"/>
        </w:rPr>
        <w:t>ЕИСК:</w:t>
      </w:r>
    </w:p>
    <w:p w:rsidRPr="00E333E2" w:rsidR="00F6465A" w:rsidP="00F6465A" w:rsidRDefault="00F6465A" w14:paraId="3F9C5C33" w14:textId="77777777">
      <w:pPr>
        <w:overflowPunct w:val="0"/>
        <w:autoSpaceDE w:val="0"/>
        <w:autoSpaceDN w:val="0"/>
        <w:adjustRightInd w:val="0"/>
        <w:textAlignment w:val="baseline"/>
        <w:rPr>
          <w:bCs/>
          <w:iCs/>
          <w:spacing w:val="-8"/>
          <w:sz w:val="10"/>
          <w:szCs w:val="10"/>
          <w:lang w:val="en-GB"/>
        </w:rPr>
      </w:pPr>
    </w:p>
    <w:p w:rsidRPr="00E333E2" w:rsidR="00F6465A" w:rsidP="00643D0B" w:rsidRDefault="00F6465A" w14:paraId="6C89D84E" w14:textId="77777777">
      <w:pPr>
        <w:widowControl w:val="0"/>
        <w:numPr>
          <w:ilvl w:val="0"/>
          <w:numId w:val="24"/>
        </w:numPr>
        <w:overflowPunct w:val="0"/>
        <w:autoSpaceDE w:val="0"/>
        <w:autoSpaceDN w:val="0"/>
        <w:adjustRightInd w:val="0"/>
        <w:ind w:left="426" w:hanging="426"/>
        <w:textAlignment w:val="baseline"/>
        <w:rPr>
          <w:bCs/>
          <w:iCs/>
          <w:spacing w:val="-8"/>
        </w:rPr>
      </w:pPr>
      <w:r w:rsidRPr="00E333E2">
        <w:rPr>
          <w:spacing w:val="-8"/>
        </w:rPr>
        <w:t>счита разширяването на ЕС за успех и горещо приветства текущата динамика след Декларацията на Съвета от Гранада. Не само държавите кандидатки трябва да се подготвят за членство, ЕС трябва също да въведе необходимите регулаторни промени преди тяхното присъединяване;</w:t>
      </w:r>
    </w:p>
    <w:p w:rsidRPr="00E333E2" w:rsidR="00F6465A" w:rsidP="00643D0B" w:rsidRDefault="00F6465A" w14:paraId="7F3C28FC" w14:textId="77777777">
      <w:pPr>
        <w:widowControl w:val="0"/>
        <w:numPr>
          <w:ilvl w:val="0"/>
          <w:numId w:val="24"/>
        </w:numPr>
        <w:overflowPunct w:val="0"/>
        <w:autoSpaceDE w:val="0"/>
        <w:autoSpaceDN w:val="0"/>
        <w:adjustRightInd w:val="0"/>
        <w:ind w:left="426" w:hanging="426"/>
        <w:textAlignment w:val="baseline"/>
        <w:rPr>
          <w:bCs/>
          <w:iCs/>
          <w:spacing w:val="-8"/>
        </w:rPr>
      </w:pPr>
      <w:r w:rsidRPr="00E333E2">
        <w:rPr>
          <w:spacing w:val="-8"/>
        </w:rPr>
        <w:t>изразява съжаление, че настоящата разпокъсаност на европейския финансов пазар води до изтичане на капитали и представлява заплаха за глобалната конкурентоспособност на Европа и една от основните пречки за бъдещия процес на финансиране на разширяването. Страните кандидатки представляват значителен потенциал за инвестиции, икономически възможности и работни места. Очаква се предложеният „Съюз на спестяванията и инвестициите“ да мобилизира частен капитал, да укрепи конкурентоспособността на Европа, да даде тласък на растежа и да стимулира по-висок капацитет за усвояване. Разширяването означава също така по-голям достъп до суровини от критично значение и следователно по-издръжлива и суверенна Европа;</w:t>
      </w:r>
    </w:p>
    <w:p w:rsidRPr="00E333E2" w:rsidR="00F6465A" w:rsidP="00643D0B" w:rsidRDefault="00F6465A" w14:paraId="41FD471B" w14:textId="77777777">
      <w:pPr>
        <w:widowControl w:val="0"/>
        <w:numPr>
          <w:ilvl w:val="0"/>
          <w:numId w:val="24"/>
        </w:numPr>
        <w:overflowPunct w:val="0"/>
        <w:autoSpaceDE w:val="0"/>
        <w:autoSpaceDN w:val="0"/>
        <w:adjustRightInd w:val="0"/>
        <w:ind w:left="426" w:hanging="426"/>
        <w:textAlignment w:val="baseline"/>
        <w:rPr>
          <w:bCs/>
          <w:iCs/>
          <w:spacing w:val="-8"/>
        </w:rPr>
      </w:pPr>
      <w:r w:rsidRPr="00E333E2">
        <w:rPr>
          <w:spacing w:val="-8"/>
        </w:rPr>
        <w:t xml:space="preserve">отбелязва, че предишното разширяване създаде динамика от победители и губещи поради небалансираните икономически възможности. Настоятелно призовава Европейската комисия и страните кандидатки да вземат предвид и да управляват въздействието на разширяването, за да се избегне повторното възникване на същата динамика, и да обърнат специално внимание на МСП, както в ЕС, така и в страните кандидатки, с цел адекватно разпространение на ползите; </w:t>
      </w:r>
    </w:p>
    <w:p w:rsidRPr="00E333E2" w:rsidR="00F6465A" w:rsidP="00643D0B" w:rsidRDefault="00F6465A" w14:paraId="2C9D9E84" w14:textId="77777777">
      <w:pPr>
        <w:widowControl w:val="0"/>
        <w:numPr>
          <w:ilvl w:val="0"/>
          <w:numId w:val="24"/>
        </w:numPr>
        <w:overflowPunct w:val="0"/>
        <w:autoSpaceDE w:val="0"/>
        <w:autoSpaceDN w:val="0"/>
        <w:adjustRightInd w:val="0"/>
        <w:ind w:left="426" w:hanging="426"/>
        <w:textAlignment w:val="baseline"/>
        <w:rPr>
          <w:bCs/>
          <w:iCs/>
          <w:spacing w:val="-8"/>
        </w:rPr>
      </w:pPr>
      <w:r w:rsidRPr="00E333E2">
        <w:rPr>
          <w:spacing w:val="-8"/>
        </w:rPr>
        <w:t>призовава за приобщаващ процес на консултации за надлежното компенсиране на потенциалните социални разходи, тъй като процесът на разширяване не се отнася само до съгласуване на политиките;</w:t>
      </w:r>
    </w:p>
    <w:p w:rsidRPr="00E333E2" w:rsidR="00F6465A" w:rsidP="00643D0B" w:rsidRDefault="00F6465A" w14:paraId="35D70146" w14:textId="77777777">
      <w:pPr>
        <w:widowControl w:val="0"/>
        <w:numPr>
          <w:ilvl w:val="0"/>
          <w:numId w:val="24"/>
        </w:numPr>
        <w:overflowPunct w:val="0"/>
        <w:autoSpaceDE w:val="0"/>
        <w:autoSpaceDN w:val="0"/>
        <w:adjustRightInd w:val="0"/>
        <w:ind w:left="426" w:hanging="426"/>
        <w:textAlignment w:val="baseline"/>
        <w:rPr>
          <w:bCs/>
          <w:iCs/>
          <w:spacing w:val="-8"/>
        </w:rPr>
      </w:pPr>
      <w:r w:rsidRPr="00E333E2">
        <w:rPr>
          <w:spacing w:val="-8"/>
        </w:rPr>
        <w:t>подчертава, че ЕС се нуждае от бързи целенасочени мерки за премахване на някои значителни пречки и за отключване на пълния потенциал на финансовия, телекомуникационния и енергийния сектор и препоръчва привеждане в съответствие с рамката на ЕС за скрининг на преките чуждестранни инвестиции в държавите, обхванати от процеса на разширяване;</w:t>
      </w:r>
    </w:p>
    <w:p w:rsidRPr="00E333E2" w:rsidR="00F6465A" w:rsidP="00643D0B" w:rsidRDefault="00F6465A" w14:paraId="1458B3AC" w14:textId="77777777">
      <w:pPr>
        <w:widowControl w:val="0"/>
        <w:numPr>
          <w:ilvl w:val="0"/>
          <w:numId w:val="24"/>
        </w:numPr>
        <w:overflowPunct w:val="0"/>
        <w:autoSpaceDE w:val="0"/>
        <w:autoSpaceDN w:val="0"/>
        <w:adjustRightInd w:val="0"/>
        <w:ind w:left="426" w:hanging="426"/>
        <w:textAlignment w:val="baseline"/>
        <w:rPr>
          <w:spacing w:val="-8"/>
        </w:rPr>
      </w:pPr>
      <w:r w:rsidRPr="00E333E2">
        <w:rPr>
          <w:spacing w:val="-8"/>
        </w:rPr>
        <w:t>счита, че разширяването следва да бъде в центъра на обсъжданията относно следващата многогодишна финансова рамка (МФР);</w:t>
      </w:r>
    </w:p>
    <w:p w:rsidRPr="00E333E2" w:rsidR="00F6465A" w:rsidP="00643D0B" w:rsidRDefault="00F6465A" w14:paraId="29F18DC6" w14:textId="77777777">
      <w:pPr>
        <w:widowControl w:val="0"/>
        <w:numPr>
          <w:ilvl w:val="0"/>
          <w:numId w:val="24"/>
        </w:numPr>
        <w:overflowPunct w:val="0"/>
        <w:autoSpaceDE w:val="0"/>
        <w:autoSpaceDN w:val="0"/>
        <w:adjustRightInd w:val="0"/>
        <w:ind w:left="426" w:hanging="426"/>
        <w:textAlignment w:val="baseline"/>
        <w:rPr>
          <w:rFonts w:asciiTheme="minorHAnsi" w:hAnsiTheme="minorHAnsi"/>
          <w:spacing w:val="-8"/>
          <w:szCs w:val="20"/>
        </w:rPr>
      </w:pPr>
      <w:r w:rsidRPr="00E333E2">
        <w:rPr>
          <w:spacing w:val="-8"/>
        </w:rPr>
        <w:t>счита, че трябва да се намери нова динамика на процеса в контекста на настоящите извънредни геополитически обстоятелства и нарастващите предизвикателства като изменението на климата и енергийния и екологичния преход;</w:t>
      </w:r>
    </w:p>
    <w:p w:rsidRPr="00F3125C" w:rsidR="00F6465A" w:rsidP="00643D0B" w:rsidRDefault="00F6465A" w14:paraId="32D8B8ED" w14:textId="77777777">
      <w:pPr>
        <w:widowControl w:val="0"/>
        <w:numPr>
          <w:ilvl w:val="0"/>
          <w:numId w:val="24"/>
        </w:numPr>
        <w:overflowPunct w:val="0"/>
        <w:autoSpaceDE w:val="0"/>
        <w:autoSpaceDN w:val="0"/>
        <w:adjustRightInd w:val="0"/>
        <w:ind w:left="426" w:hanging="426"/>
        <w:textAlignment w:val="baseline"/>
        <w:rPr>
          <w:szCs w:val="20"/>
        </w:rPr>
      </w:pPr>
      <w:r w:rsidRPr="00E333E2">
        <w:rPr>
          <w:spacing w:val="-8"/>
        </w:rPr>
        <w:t>препоръчва гражданското общество да бъде включено в процеса на разширяване и счита, че разширяването следва да бъде неразделна част от европейските решения на глобалните предизвикателства</w:t>
      </w:r>
      <w:r>
        <w:t>.</w:t>
      </w:r>
    </w:p>
    <w:p w:rsidRPr="00E333E2" w:rsidR="00F6465A" w:rsidP="00F6465A" w:rsidRDefault="00F6465A" w14:paraId="3F3B2753" w14:textId="77777777">
      <w:pPr>
        <w:widowControl w:val="0"/>
        <w:overflowPunct w:val="0"/>
        <w:autoSpaceDE w:val="0"/>
        <w:autoSpaceDN w:val="0"/>
        <w:adjustRightInd w:val="0"/>
        <w:ind w:left="709"/>
        <w:textAlignment w:val="baseline"/>
        <w:rPr>
          <w:sz w:val="10"/>
          <w:szCs w:val="10"/>
          <w:lang w:val="en-GB"/>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F6465A" w:rsidTr="00863A8F" w14:paraId="0627B1C1" w14:textId="77777777">
        <w:tc>
          <w:tcPr>
            <w:tcW w:w="1556" w:type="pct"/>
          </w:tcPr>
          <w:p w:rsidRPr="00F3125C" w:rsidR="00F6465A" w:rsidP="00F6465A" w:rsidRDefault="00F6465A" w14:paraId="5B608314" w14:textId="77777777">
            <w:pPr>
              <w:overflowPunct w:val="0"/>
              <w:autoSpaceDE w:val="0"/>
              <w:autoSpaceDN w:val="0"/>
              <w:adjustRightInd w:val="0"/>
              <w:spacing w:line="240" w:lineRule="auto"/>
              <w:textAlignment w:val="baseline"/>
              <w:rPr>
                <w:i/>
              </w:rPr>
            </w:pPr>
            <w:r>
              <w:rPr>
                <w:b/>
                <w:i/>
              </w:rPr>
              <w:t>За контакти</w:t>
            </w:r>
          </w:p>
        </w:tc>
        <w:tc>
          <w:tcPr>
            <w:tcW w:w="3444" w:type="pct"/>
          </w:tcPr>
          <w:p w:rsidRPr="00F3125C" w:rsidR="00F6465A" w:rsidP="00F6465A" w:rsidRDefault="00F6465A" w14:paraId="20916DA2" w14:textId="5D42882D">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r>
              <w:rPr>
                <w:i/>
              </w:rPr>
              <w:t xml:space="preserve"> </w:t>
            </w:r>
          </w:p>
        </w:tc>
      </w:tr>
      <w:tr w:rsidRPr="00F3125C" w:rsidR="00F6465A" w:rsidTr="00863A8F" w14:paraId="794FEE90" w14:textId="77777777">
        <w:tc>
          <w:tcPr>
            <w:tcW w:w="1556" w:type="pct"/>
          </w:tcPr>
          <w:p w:rsidRPr="00F3125C" w:rsidR="00F6465A" w:rsidP="00F6465A" w:rsidRDefault="00F6465A" w14:paraId="3BDADAAF" w14:textId="77777777">
            <w:pPr>
              <w:overflowPunct w:val="0"/>
              <w:autoSpaceDE w:val="0"/>
              <w:autoSpaceDN w:val="0"/>
              <w:adjustRightInd w:val="0"/>
              <w:spacing w:line="240" w:lineRule="auto"/>
              <w:textAlignment w:val="baseline"/>
              <w:rPr>
                <w:i/>
              </w:rPr>
            </w:pPr>
            <w:r>
              <w:rPr>
                <w:i/>
              </w:rPr>
              <w:t>Тел.</w:t>
            </w:r>
          </w:p>
        </w:tc>
        <w:tc>
          <w:tcPr>
            <w:tcW w:w="3444" w:type="pct"/>
          </w:tcPr>
          <w:p w:rsidRPr="00F3125C" w:rsidR="00F6465A" w:rsidP="00F6465A" w:rsidRDefault="00F6465A" w14:paraId="56042D6F" w14:textId="77777777">
            <w:pPr>
              <w:overflowPunct w:val="0"/>
              <w:autoSpaceDE w:val="0"/>
              <w:autoSpaceDN w:val="0"/>
              <w:adjustRightInd w:val="0"/>
              <w:spacing w:line="240" w:lineRule="auto"/>
              <w:textAlignment w:val="baseline"/>
              <w:rPr>
                <w:i/>
              </w:rPr>
            </w:pPr>
            <w:r>
              <w:rPr>
                <w:i/>
              </w:rPr>
              <w:t>+32 25469732</w:t>
            </w:r>
          </w:p>
        </w:tc>
      </w:tr>
      <w:tr w:rsidRPr="00F3125C" w:rsidR="00F6465A" w:rsidTr="00863A8F" w14:paraId="1AF44A08" w14:textId="77777777">
        <w:tc>
          <w:tcPr>
            <w:tcW w:w="1556" w:type="pct"/>
          </w:tcPr>
          <w:p w:rsidRPr="00F3125C" w:rsidR="00F6465A" w:rsidP="00F6465A" w:rsidRDefault="00B2002E" w14:paraId="0A7FF217" w14:textId="7C9D76C2">
            <w:pPr>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F6465A" w:rsidP="00F6465A" w:rsidRDefault="008C5F08" w14:paraId="697725DC" w14:textId="77777777">
            <w:pPr>
              <w:overflowPunct w:val="0"/>
              <w:autoSpaceDE w:val="0"/>
              <w:autoSpaceDN w:val="0"/>
              <w:adjustRightInd w:val="0"/>
              <w:spacing w:line="240" w:lineRule="auto"/>
              <w:textAlignment w:val="baseline"/>
              <w:rPr>
                <w:i/>
              </w:rPr>
            </w:pPr>
            <w:hyperlink w:history="1" r:id="rId36">
              <w:r w:rsidR="00981740">
                <w:rPr>
                  <w:i/>
                  <w:color w:val="0000FF"/>
                  <w:u w:val="single"/>
                </w:rPr>
                <w:t>Annalisa.Tessarolo@eesc.europa.eu</w:t>
              </w:r>
            </w:hyperlink>
            <w:r w:rsidR="00981740">
              <w:rPr>
                <w:i/>
              </w:rPr>
              <w:t xml:space="preserve"> </w:t>
            </w:r>
          </w:p>
        </w:tc>
      </w:tr>
    </w:tbl>
    <w:p w:rsidRPr="00F3125C" w:rsidR="001A6359" w:rsidP="00643D0B" w:rsidRDefault="008C5F08" w14:paraId="4B1A00B9" w14:textId="6E7AF4CD">
      <w:pPr>
        <w:pageBreakBefore/>
        <w:widowControl w:val="0"/>
        <w:numPr>
          <w:ilvl w:val="0"/>
          <w:numId w:val="6"/>
        </w:numPr>
        <w:overflowPunct w:val="0"/>
        <w:autoSpaceDE w:val="0"/>
        <w:autoSpaceDN w:val="0"/>
        <w:adjustRightInd w:val="0"/>
        <w:ind w:left="709" w:hanging="709"/>
        <w:textAlignment w:val="baseline"/>
        <w:rPr>
          <w:b/>
          <w:bCs/>
          <w:i/>
          <w:iCs/>
          <w:sz w:val="28"/>
          <w:szCs w:val="28"/>
        </w:rPr>
      </w:pPr>
      <w:hyperlink w:history="1" r:id="rId37">
        <w:r w:rsidR="006766F1">
          <w:rPr>
            <w:b/>
            <w:i/>
            <w:color w:val="0000FF"/>
            <w:sz w:val="28"/>
            <w:u w:val="single"/>
          </w:rPr>
          <w:t>Цената на оставането извън Шенгенското пространство за единния пазар / България и Румъния</w:t>
        </w:r>
      </w:hyperlink>
    </w:p>
    <w:p w:rsidRPr="00F3125C" w:rsidR="001A6359" w:rsidP="001A6359" w:rsidRDefault="001A6359" w14:paraId="3F9A8350"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3125C" w:rsidR="001A6359" w:rsidTr="00863A8F" w14:paraId="563F8401" w14:textId="77777777">
        <w:tc>
          <w:tcPr>
            <w:tcW w:w="1701" w:type="dxa"/>
          </w:tcPr>
          <w:p w:rsidRPr="00F3125C" w:rsidR="001A6359" w:rsidP="001A6359" w:rsidRDefault="001A6359" w14:paraId="60F30041" w14:textId="77777777">
            <w:pPr>
              <w:tabs>
                <w:tab w:val="center" w:pos="284"/>
              </w:tabs>
              <w:overflowPunct w:val="0"/>
              <w:autoSpaceDE w:val="0"/>
              <w:autoSpaceDN w:val="0"/>
              <w:adjustRightInd w:val="0"/>
              <w:ind w:left="266" w:hanging="266"/>
              <w:textAlignment w:val="baseline"/>
              <w:rPr>
                <w:b/>
              </w:rPr>
            </w:pPr>
            <w:r>
              <w:rPr>
                <w:b/>
              </w:rPr>
              <w:t>Докладчик</w:t>
            </w:r>
          </w:p>
        </w:tc>
        <w:tc>
          <w:tcPr>
            <w:tcW w:w="5387" w:type="dxa"/>
          </w:tcPr>
          <w:p w:rsidRPr="00F3125C" w:rsidR="001A6359" w:rsidP="001A6359" w:rsidRDefault="001A6359" w14:paraId="655DB040" w14:textId="7E0E5BD9">
            <w:pPr>
              <w:tabs>
                <w:tab w:val="center" w:pos="284"/>
              </w:tabs>
              <w:overflowPunct w:val="0"/>
              <w:autoSpaceDE w:val="0"/>
              <w:autoSpaceDN w:val="0"/>
              <w:adjustRightInd w:val="0"/>
              <w:ind w:left="266" w:hanging="266"/>
              <w:textAlignment w:val="baseline"/>
            </w:pPr>
            <w:r>
              <w:t>Мария МИНЧЕВА (група „Работодатели“ — BG)</w:t>
            </w:r>
          </w:p>
        </w:tc>
      </w:tr>
      <w:tr w:rsidRPr="00F3125C" w:rsidR="001A6359" w:rsidTr="00863A8F" w14:paraId="779B83FA" w14:textId="77777777">
        <w:tc>
          <w:tcPr>
            <w:tcW w:w="7088" w:type="dxa"/>
            <w:gridSpan w:val="2"/>
          </w:tcPr>
          <w:p w:rsidRPr="00F3125C" w:rsidR="001A6359" w:rsidP="001A6359" w:rsidRDefault="001A6359" w14:paraId="5DB804C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1A6359" w:rsidTr="00863A8F" w14:paraId="442BCF66" w14:textId="77777777">
        <w:tc>
          <w:tcPr>
            <w:tcW w:w="1701" w:type="dxa"/>
            <w:vMerge w:val="restart"/>
          </w:tcPr>
          <w:p w:rsidRPr="00F3125C" w:rsidR="001A6359" w:rsidP="001A6359" w:rsidRDefault="001A6359" w14:paraId="2423178A"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5387" w:type="dxa"/>
          </w:tcPr>
          <w:p w:rsidRPr="00F3125C" w:rsidR="001A6359" w:rsidP="001A6359" w:rsidRDefault="001A6359" w14:paraId="714ADD93"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1A6359" w:rsidP="001A6359" w:rsidRDefault="001A6359" w14:paraId="60234570" w14:textId="07E68BF2">
            <w:pPr>
              <w:tabs>
                <w:tab w:val="center" w:pos="284"/>
              </w:tabs>
              <w:overflowPunct w:val="0"/>
              <w:autoSpaceDE w:val="0"/>
              <w:autoSpaceDN w:val="0"/>
              <w:adjustRightInd w:val="0"/>
              <w:ind w:left="266" w:hanging="266"/>
              <w:textAlignment w:val="baseline"/>
            </w:pPr>
            <w:r>
              <w:t>EESC-2024-01449-00-00-AC</w:t>
            </w:r>
          </w:p>
        </w:tc>
      </w:tr>
      <w:tr w:rsidRPr="00F3125C" w:rsidR="001A6359" w:rsidTr="00863A8F" w14:paraId="6672C0AA" w14:textId="77777777">
        <w:tc>
          <w:tcPr>
            <w:tcW w:w="1701" w:type="dxa"/>
            <w:vMerge/>
          </w:tcPr>
          <w:p w:rsidRPr="00F3125C" w:rsidR="001A6359" w:rsidP="001A6359" w:rsidRDefault="001A6359" w14:paraId="5FC0639B"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F3125C" w:rsidR="001A6359" w:rsidP="001A6359" w:rsidRDefault="001A6359" w14:paraId="72BA0C32" w14:textId="77777777">
            <w:pPr>
              <w:tabs>
                <w:tab w:val="center" w:pos="284"/>
              </w:tabs>
              <w:overflowPunct w:val="0"/>
              <w:autoSpaceDE w:val="0"/>
              <w:autoSpaceDN w:val="0"/>
              <w:adjustRightInd w:val="0"/>
              <w:ind w:left="266" w:hanging="266"/>
              <w:textAlignment w:val="baseline"/>
              <w:rPr>
                <w:lang w:val="en-GB"/>
              </w:rPr>
            </w:pPr>
          </w:p>
        </w:tc>
      </w:tr>
    </w:tbl>
    <w:p w:rsidRPr="00F3125C" w:rsidR="001A6359" w:rsidP="001A6359" w:rsidRDefault="001A6359" w14:paraId="5B56262D"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1A6359" w:rsidP="001A6359" w:rsidRDefault="001A6359" w14:paraId="093F79E4"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AD4C7B" w:rsidR="001A6359" w:rsidP="001A6359" w:rsidRDefault="001A6359" w14:paraId="6333D7DF" w14:textId="77777777">
      <w:pPr>
        <w:keepNext/>
        <w:keepLines/>
        <w:tabs>
          <w:tab w:val="center" w:pos="284"/>
        </w:tabs>
        <w:overflowPunct w:val="0"/>
        <w:autoSpaceDE w:val="0"/>
        <w:autoSpaceDN w:val="0"/>
        <w:adjustRightInd w:val="0"/>
        <w:ind w:left="266" w:hanging="266"/>
        <w:textAlignment w:val="baseline"/>
        <w:rPr>
          <w:b/>
          <w:sz w:val="10"/>
          <w:szCs w:val="10"/>
          <w:lang w:val="en-GB"/>
        </w:rPr>
      </w:pPr>
    </w:p>
    <w:p w:rsidRPr="00F3125C" w:rsidR="001A6359" w:rsidP="001A6359" w:rsidRDefault="001A6359" w14:paraId="56ED811E" w14:textId="77777777">
      <w:pPr>
        <w:overflowPunct w:val="0"/>
        <w:autoSpaceDE w:val="0"/>
        <w:autoSpaceDN w:val="0"/>
        <w:adjustRightInd w:val="0"/>
        <w:textAlignment w:val="baseline"/>
        <w:rPr>
          <w:bCs/>
          <w:iCs/>
        </w:rPr>
      </w:pPr>
      <w:r>
        <w:t>ЕИСК:</w:t>
      </w:r>
    </w:p>
    <w:p w:rsidRPr="00AD4C7B" w:rsidR="001A6359" w:rsidP="001A6359" w:rsidRDefault="001A6359" w14:paraId="707F4672" w14:textId="77777777">
      <w:pPr>
        <w:overflowPunct w:val="0"/>
        <w:autoSpaceDE w:val="0"/>
        <w:autoSpaceDN w:val="0"/>
        <w:adjustRightInd w:val="0"/>
        <w:textAlignment w:val="baseline"/>
        <w:rPr>
          <w:bCs/>
          <w:iCs/>
          <w:sz w:val="10"/>
          <w:szCs w:val="10"/>
          <w:lang w:val="en-GB"/>
        </w:rPr>
      </w:pPr>
    </w:p>
    <w:p w:rsidRPr="00F3125C" w:rsidR="001A6359" w:rsidP="00643D0B" w:rsidRDefault="001A6359" w14:paraId="5DBE687E"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призовава Съвета да определи дата за премахване на контрола по сухопътните граници между България и Румъния и другите държави членки от Шенгенското пространство още през 2024 г. ЕИСК призовава всички заинтересовани страни да работят в сътрудничество за постигането на тази цел, като гарантират, че ползите от членството в Шенгенското пространство обхващат в еднаква степен всички граждани на ЕС;</w:t>
      </w:r>
    </w:p>
    <w:p w:rsidRPr="00F3125C" w:rsidR="001A6359" w:rsidP="00643D0B" w:rsidRDefault="001A6359" w14:paraId="6CBB84F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подчертава, че Шенгенското споразумение е от съществено значение за свободното движение на хора, стоки, услуги и капитали в рамките на ЕС, че конкурентоспособността на ЕС се превърна в належащ политически приоритет, както се подчертава в неотдавнашните доклади на Енрико Лета и Марио Драги;</w:t>
      </w:r>
    </w:p>
    <w:p w:rsidRPr="00F3125C" w:rsidR="001A6359" w:rsidP="00643D0B" w:rsidRDefault="001A6359" w14:paraId="70E8AD60"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счита, че въпреки значителните си постижения европейският единен пазар все още е в процес на развитие. Всички ограничения на свободата на движение в неговите рамки оказват неблагоприятно въздействие върху конкурентоспособността и икономическия растеж на ЕС, като с това възпрепятстват пълното реализиране на социалната пазарна икономика, както е предвидено в Договорите;</w:t>
      </w:r>
    </w:p>
    <w:p w:rsidRPr="00F3125C" w:rsidR="001A6359" w:rsidP="00643D0B" w:rsidRDefault="001A6359" w14:paraId="29503E2D"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счита, че Европейската комисия следва редовно да предоставя надеждни данни за икономическите и социалните последици, пряко свързани с въвеждането на граничен контрол в рамките на Шенгенското пространство, включително във връзка с конкурентоспособността;</w:t>
      </w:r>
    </w:p>
    <w:p w:rsidRPr="00F3125C" w:rsidR="001A6359" w:rsidP="00643D0B" w:rsidRDefault="001A6359" w14:paraId="066E196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посочва, че различни оценки показват, че дружествата, извършващи дейност в България и Румъния, плащат годишно милиарди евро в резултат на увеличени разходи и забавяния. Всички тези преки разходи неизбежно се прехвърлят върху потребителите и оказват въздействие върху физическото и психичното здраве на работещите;</w:t>
      </w:r>
    </w:p>
    <w:p w:rsidRPr="00F3125C" w:rsidR="001A6359" w:rsidP="00643D0B" w:rsidRDefault="001A6359" w14:paraId="12C93790" w14:textId="5F2EA09E">
      <w:pPr>
        <w:widowControl w:val="0"/>
        <w:numPr>
          <w:ilvl w:val="0"/>
          <w:numId w:val="26"/>
        </w:numPr>
        <w:overflowPunct w:val="0"/>
        <w:autoSpaceDE w:val="0"/>
        <w:autoSpaceDN w:val="0"/>
        <w:adjustRightInd w:val="0"/>
        <w:spacing w:line="276" w:lineRule="auto"/>
        <w:ind w:left="284" w:hanging="284"/>
        <w:jc w:val="left"/>
        <w:textAlignment w:val="baseline"/>
        <w:rPr>
          <w:bCs/>
          <w:iCs/>
        </w:rPr>
      </w:pPr>
      <w:r>
        <w:t>подчертава, че контролът по сухопътните граници има очевидно екологично въздействие заради емисиите на CO2 от превозни средства, чакащи да пресекат границата. Те затрудняват туризма и възпрепятстват свободното движение на работници. Несигурността и неефективността, свързани с контрола по сухопътните граници, възпират преките чуждестранни инвестиции и вредят на инвестиционния климат.</w:t>
      </w:r>
    </w:p>
    <w:p w:rsidRPr="00F3125C" w:rsidR="001A6359" w:rsidP="00643D0B" w:rsidRDefault="001A6359" w14:paraId="642A6C4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изтъква, че фактът, че България и Румъния остават извън Шенгенското пространство има политическа цена. Присъединяването към Шенгенското пространство не следва да се използва като форма на неформална обвързаност с условия след като дадена държава е била присъединена към ЕС. Този подход създава недоверие в европейските институции и подхранва евроскептичните нагласи.</w:t>
      </w:r>
    </w:p>
    <w:p w:rsidRPr="00AD4C7B" w:rsidR="001A6359" w:rsidP="001A6359" w:rsidRDefault="001A6359" w14:paraId="4A886D6E" w14:textId="77777777">
      <w:pPr>
        <w:widowControl w:val="0"/>
        <w:overflowPunct w:val="0"/>
        <w:autoSpaceDE w:val="0"/>
        <w:autoSpaceDN w:val="0"/>
        <w:adjustRightInd w:val="0"/>
        <w:ind w:left="709"/>
        <w:textAlignment w:val="baseline"/>
        <w:rPr>
          <w:sz w:val="10"/>
          <w:szCs w:val="1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125C" w:rsidR="001A6359" w:rsidTr="00863A8F" w14:paraId="1A3ACD8E" w14:textId="77777777">
        <w:tc>
          <w:tcPr>
            <w:tcW w:w="1418" w:type="dxa"/>
          </w:tcPr>
          <w:p w:rsidRPr="00F3125C" w:rsidR="001A6359" w:rsidP="001A6359" w:rsidRDefault="001A6359" w14:paraId="6EDAF10C" w14:textId="77777777">
            <w:pPr>
              <w:overflowPunct w:val="0"/>
              <w:autoSpaceDE w:val="0"/>
              <w:autoSpaceDN w:val="0"/>
              <w:adjustRightInd w:val="0"/>
              <w:spacing w:line="240" w:lineRule="auto"/>
              <w:textAlignment w:val="baseline"/>
              <w:rPr>
                <w:i/>
              </w:rPr>
            </w:pPr>
            <w:r>
              <w:rPr>
                <w:b/>
                <w:i/>
              </w:rPr>
              <w:t>За контакти</w:t>
            </w:r>
          </w:p>
        </w:tc>
        <w:tc>
          <w:tcPr>
            <w:tcW w:w="5670" w:type="dxa"/>
          </w:tcPr>
          <w:p w:rsidRPr="00F3125C" w:rsidR="001A6359" w:rsidP="001A6359" w:rsidRDefault="001A6359" w14:paraId="605E3C43" w14:textId="7777777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F3125C" w:rsidR="001A6359" w:rsidTr="00863A8F" w14:paraId="1DBB6BFC" w14:textId="77777777">
        <w:tc>
          <w:tcPr>
            <w:tcW w:w="1418" w:type="dxa"/>
          </w:tcPr>
          <w:p w:rsidRPr="00F3125C" w:rsidR="001A6359" w:rsidP="001A6359" w:rsidRDefault="001A6359" w14:paraId="5CEC73B0" w14:textId="77777777">
            <w:pPr>
              <w:overflowPunct w:val="0"/>
              <w:autoSpaceDE w:val="0"/>
              <w:autoSpaceDN w:val="0"/>
              <w:adjustRightInd w:val="0"/>
              <w:spacing w:line="240" w:lineRule="auto"/>
              <w:textAlignment w:val="baseline"/>
              <w:rPr>
                <w:i/>
              </w:rPr>
            </w:pPr>
            <w:r>
              <w:rPr>
                <w:i/>
              </w:rPr>
              <w:t>Тел.</w:t>
            </w:r>
          </w:p>
        </w:tc>
        <w:tc>
          <w:tcPr>
            <w:tcW w:w="5670" w:type="dxa"/>
          </w:tcPr>
          <w:p w:rsidRPr="00F3125C" w:rsidR="001A6359" w:rsidP="001A6359" w:rsidRDefault="001A6359" w14:paraId="761EFC21" w14:textId="77777777">
            <w:pPr>
              <w:overflowPunct w:val="0"/>
              <w:autoSpaceDE w:val="0"/>
              <w:autoSpaceDN w:val="0"/>
              <w:adjustRightInd w:val="0"/>
              <w:spacing w:line="240" w:lineRule="auto"/>
              <w:textAlignment w:val="baseline"/>
              <w:rPr>
                <w:i/>
              </w:rPr>
            </w:pPr>
            <w:r>
              <w:rPr>
                <w:i/>
              </w:rPr>
              <w:t>+32 25469732</w:t>
            </w:r>
          </w:p>
        </w:tc>
      </w:tr>
      <w:tr w:rsidRPr="00F3125C" w:rsidR="001A6359" w:rsidTr="00863A8F" w14:paraId="021F9D0A" w14:textId="77777777">
        <w:tc>
          <w:tcPr>
            <w:tcW w:w="1418" w:type="dxa"/>
          </w:tcPr>
          <w:p w:rsidRPr="00F3125C" w:rsidR="001A6359" w:rsidP="001A6359" w:rsidRDefault="00063699" w14:paraId="3A2A6EE6" w14:textId="1AD4BBC5">
            <w:pPr>
              <w:overflowPunct w:val="0"/>
              <w:autoSpaceDE w:val="0"/>
              <w:autoSpaceDN w:val="0"/>
              <w:adjustRightInd w:val="0"/>
              <w:spacing w:line="240" w:lineRule="auto"/>
              <w:textAlignment w:val="baseline"/>
              <w:rPr>
                <w:i/>
              </w:rPr>
            </w:pPr>
            <w:r>
              <w:rPr>
                <w:i/>
              </w:rPr>
              <w:t>Електронен адрес</w:t>
            </w:r>
          </w:p>
        </w:tc>
        <w:tc>
          <w:tcPr>
            <w:tcW w:w="5670" w:type="dxa"/>
          </w:tcPr>
          <w:p w:rsidRPr="00F3125C" w:rsidR="001A6359" w:rsidP="001A6359" w:rsidRDefault="008C5F08" w14:paraId="08ED4AEB" w14:textId="77777777">
            <w:pPr>
              <w:overflowPunct w:val="0"/>
              <w:autoSpaceDE w:val="0"/>
              <w:autoSpaceDN w:val="0"/>
              <w:adjustRightInd w:val="0"/>
              <w:spacing w:line="240" w:lineRule="auto"/>
              <w:textAlignment w:val="baseline"/>
              <w:rPr>
                <w:i/>
              </w:rPr>
            </w:pPr>
            <w:hyperlink w:history="1" r:id="rId38">
              <w:r w:rsidR="00981740">
                <w:rPr>
                  <w:i/>
                  <w:color w:val="0000FF"/>
                  <w:u w:val="single"/>
                </w:rPr>
                <w:t>Annalisa.Tessarolo@eesc.europa.eu</w:t>
              </w:r>
            </w:hyperlink>
          </w:p>
          <w:p w:rsidRPr="00F3125C" w:rsidR="001A6359" w:rsidP="001A6359" w:rsidRDefault="001A6359" w14:paraId="125FD94A" w14:textId="77777777">
            <w:pPr>
              <w:overflowPunct w:val="0"/>
              <w:autoSpaceDE w:val="0"/>
              <w:autoSpaceDN w:val="0"/>
              <w:adjustRightInd w:val="0"/>
              <w:spacing w:line="240" w:lineRule="auto"/>
              <w:textAlignment w:val="baseline"/>
              <w:rPr>
                <w:i/>
                <w:lang w:val="en-GB"/>
              </w:rPr>
            </w:pPr>
          </w:p>
        </w:tc>
      </w:tr>
    </w:tbl>
    <w:p w:rsidRPr="00F3125C" w:rsidR="003E4C29" w:rsidRDefault="003E4C29" w14:paraId="39B04A94" w14:textId="77777777">
      <w:pPr>
        <w:spacing w:after="160" w:line="259" w:lineRule="auto"/>
        <w:jc w:val="left"/>
      </w:pPr>
      <w:r>
        <w:br w:type="page"/>
      </w:r>
    </w:p>
    <w:p w:rsidRPr="00F3125C" w:rsidR="004D7AC0" w:rsidP="004D7AC0" w:rsidRDefault="004D7AC0" w14:paraId="4982DE1F" w14:textId="77777777">
      <w:pPr>
        <w:pStyle w:val="Heading1"/>
        <w:rPr>
          <w:b/>
        </w:rPr>
      </w:pPr>
      <w:bookmarkStart w:name="_Toc70322234" w:id="20"/>
      <w:bookmarkStart w:name="_Toc75527084" w:id="21"/>
      <w:bookmarkStart w:name="_Toc185257637" w:id="22"/>
      <w:r>
        <w:rPr>
          <w:b/>
        </w:rPr>
        <w:lastRenderedPageBreak/>
        <w:t>ЗЕМЕДЕЛИЕ, РАЗВИТИЕ НА СЕЛСКИТЕ РАЙОНИ, ОКОЛНА СРЕДА</w:t>
      </w:r>
      <w:bookmarkEnd w:id="20"/>
      <w:bookmarkEnd w:id="21"/>
      <w:bookmarkEnd w:id="22"/>
    </w:p>
    <w:p w:rsidRPr="00F3125C" w:rsidR="00F03EB0" w:rsidRDefault="00F03EB0" w14:paraId="76EDAB9B" w14:textId="6E6576A7">
      <w:pPr>
        <w:spacing w:after="160" w:line="259" w:lineRule="auto"/>
        <w:jc w:val="left"/>
        <w:rPr>
          <w:lang w:val="en-GB"/>
        </w:rPr>
      </w:pPr>
    </w:p>
    <w:p w:rsidRPr="00F3125C" w:rsidR="002A13FC" w:rsidP="0021254C" w:rsidRDefault="008C5F08" w14:paraId="3F90E886" w14:textId="6DE884A7">
      <w:pPr>
        <w:widowControl w:val="0"/>
        <w:numPr>
          <w:ilvl w:val="0"/>
          <w:numId w:val="6"/>
        </w:numPr>
        <w:overflowPunct w:val="0"/>
        <w:autoSpaceDE w:val="0"/>
        <w:autoSpaceDN w:val="0"/>
        <w:adjustRightInd w:val="0"/>
        <w:ind w:left="426" w:hanging="426"/>
        <w:textAlignment w:val="baseline"/>
        <w:rPr>
          <w:b/>
          <w:color w:val="0000FF"/>
          <w:u w:val="single"/>
        </w:rPr>
      </w:pPr>
      <w:hyperlink w:history="1" r:id="rId39">
        <w:r w:rsidR="00981740">
          <w:rPr>
            <w:b/>
            <w:i/>
            <w:color w:val="0000FF"/>
            <w:sz w:val="28"/>
            <w:u w:val="single"/>
          </w:rPr>
          <w:t>Изменение — Горски репродуктивен материал</w:t>
        </w:r>
      </w:hyperlink>
      <w:r w:rsidR="00981740">
        <w:rPr>
          <w:b/>
          <w:i/>
          <w:color w:val="0000FF"/>
          <w:sz w:val="28"/>
          <w:u w:val="single"/>
        </w:rPr>
        <w:t xml:space="preserve"> от категория „изпитван“, етикетирането му и наименованията на органите, отговарящи за одобрението и производствения контрол</w:t>
      </w:r>
    </w:p>
    <w:p w:rsidRPr="00F3125C" w:rsidR="002A13FC" w:rsidP="002A13FC" w:rsidRDefault="002A13FC" w14:paraId="353526EF" w14:textId="77777777">
      <w:pPr>
        <w:widowControl w:val="0"/>
        <w:overflowPunct w:val="0"/>
        <w:autoSpaceDE w:val="0"/>
        <w:autoSpaceDN w:val="0"/>
        <w:adjustRightInd w:val="0"/>
        <w:ind w:left="266"/>
        <w:textAlignment w:val="baseline"/>
        <w:rPr>
          <w:b/>
          <w:lang w:val="en-G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5008"/>
      </w:tblGrid>
      <w:tr w:rsidRPr="00F3125C" w:rsidR="002A13FC" w:rsidTr="00863A8F" w14:paraId="706D0A05" w14:textId="77777777">
        <w:tc>
          <w:tcPr>
            <w:tcW w:w="1195" w:type="pct"/>
            <w:vMerge w:val="restart"/>
          </w:tcPr>
          <w:p w:rsidRPr="00F3125C" w:rsidR="002A13FC" w:rsidP="002A13FC" w:rsidRDefault="002A13FC" w14:paraId="532378E3"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805" w:type="pct"/>
          </w:tcPr>
          <w:p w:rsidRPr="00F3125C" w:rsidR="00CE31B7" w:rsidP="002A13FC" w:rsidRDefault="00CE31B7" w14:paraId="7B23CF57" w14:textId="68FE005D">
            <w:pPr>
              <w:tabs>
                <w:tab w:val="center" w:pos="284"/>
              </w:tabs>
              <w:overflowPunct w:val="0"/>
              <w:autoSpaceDE w:val="0"/>
              <w:autoSpaceDN w:val="0"/>
              <w:adjustRightInd w:val="0"/>
              <w:ind w:left="266" w:hanging="266"/>
              <w:textAlignment w:val="baseline"/>
            </w:pPr>
            <w:r>
              <w:t>Становище от категория В</w:t>
            </w:r>
          </w:p>
          <w:p w:rsidRPr="00F3125C" w:rsidR="002A13FC" w:rsidP="002A13FC" w:rsidRDefault="002A13FC" w14:paraId="12E1830B" w14:textId="6DC35F16">
            <w:pPr>
              <w:tabs>
                <w:tab w:val="center" w:pos="284"/>
              </w:tabs>
              <w:overflowPunct w:val="0"/>
              <w:autoSpaceDE w:val="0"/>
              <w:autoSpaceDN w:val="0"/>
              <w:adjustRightInd w:val="0"/>
              <w:ind w:left="266" w:hanging="266"/>
              <w:textAlignment w:val="baseline"/>
            </w:pPr>
            <w:r>
              <w:t xml:space="preserve">COM(2024) 517 </w:t>
            </w:r>
            <w:proofErr w:type="spellStart"/>
            <w:r>
              <w:t>final</w:t>
            </w:r>
            <w:proofErr w:type="spellEnd"/>
          </w:p>
        </w:tc>
      </w:tr>
      <w:tr w:rsidRPr="00F3125C" w:rsidR="002A13FC" w:rsidTr="00863A8F" w14:paraId="68912AFA" w14:textId="77777777">
        <w:tc>
          <w:tcPr>
            <w:tcW w:w="1195" w:type="pct"/>
            <w:vMerge/>
          </w:tcPr>
          <w:p w:rsidRPr="00F3125C" w:rsidR="002A13FC" w:rsidP="002A13FC" w:rsidRDefault="002A13FC" w14:paraId="22265788" w14:textId="77777777">
            <w:pPr>
              <w:tabs>
                <w:tab w:val="center" w:pos="284"/>
              </w:tabs>
              <w:overflowPunct w:val="0"/>
              <w:autoSpaceDE w:val="0"/>
              <w:autoSpaceDN w:val="0"/>
              <w:adjustRightInd w:val="0"/>
              <w:ind w:left="266" w:hanging="266"/>
              <w:textAlignment w:val="baseline"/>
              <w:rPr>
                <w:b/>
                <w:lang w:val="en-GB"/>
              </w:rPr>
            </w:pPr>
          </w:p>
        </w:tc>
        <w:tc>
          <w:tcPr>
            <w:tcW w:w="3805" w:type="pct"/>
          </w:tcPr>
          <w:p w:rsidRPr="00F3125C" w:rsidR="002A13FC" w:rsidP="002A13FC" w:rsidRDefault="002A13FC" w14:paraId="33F8BDAB" w14:textId="77777777">
            <w:pPr>
              <w:tabs>
                <w:tab w:val="center" w:pos="284"/>
              </w:tabs>
              <w:overflowPunct w:val="0"/>
              <w:autoSpaceDE w:val="0"/>
              <w:autoSpaceDN w:val="0"/>
              <w:adjustRightInd w:val="0"/>
              <w:ind w:left="266" w:hanging="266"/>
              <w:textAlignment w:val="baseline"/>
            </w:pPr>
            <w:r>
              <w:t>EESC-2024-04230-00-00-AC</w:t>
            </w:r>
          </w:p>
        </w:tc>
      </w:tr>
    </w:tbl>
    <w:p w:rsidRPr="00F3125C" w:rsidR="002A13FC" w:rsidP="002A13FC" w:rsidRDefault="002A13FC" w14:paraId="242A9B34" w14:textId="77777777">
      <w:pPr>
        <w:tabs>
          <w:tab w:val="center" w:pos="284"/>
        </w:tabs>
        <w:overflowPunct w:val="0"/>
        <w:autoSpaceDE w:val="0"/>
        <w:autoSpaceDN w:val="0"/>
        <w:adjustRightInd w:val="0"/>
        <w:ind w:left="266" w:hanging="266"/>
        <w:textAlignment w:val="baseline"/>
        <w:rPr>
          <w:lang w:val="en-GB"/>
        </w:rPr>
      </w:pPr>
    </w:p>
    <w:p w:rsidRPr="00F3125C" w:rsidR="002A13FC" w:rsidP="00643D0B" w:rsidRDefault="002A13FC" w14:paraId="3D57F1E3" w14:textId="69C4E208">
      <w:pPr>
        <w:widowControl w:val="0"/>
        <w:overflowPunct w:val="0"/>
        <w:autoSpaceDE w:val="0"/>
        <w:autoSpaceDN w:val="0"/>
        <w:adjustRightInd w:val="0"/>
        <w:textAlignment w:val="baseline"/>
        <w:rPr>
          <w:bCs/>
          <w:iCs/>
        </w:rPr>
      </w:pPr>
      <w:r>
        <w:t>ЕИСК подкрепя без резерви съдържанието на предложението и прецени, че то не изисква никакви бележки от негова страна.</w:t>
      </w:r>
    </w:p>
    <w:p w:rsidRPr="00F3125C" w:rsidR="002A13FC" w:rsidP="002A13FC" w:rsidRDefault="002A13FC" w14:paraId="71E76289" w14:textId="77777777">
      <w:pPr>
        <w:widowControl w:val="0"/>
        <w:overflowPunct w:val="0"/>
        <w:autoSpaceDE w:val="0"/>
        <w:autoSpaceDN w:val="0"/>
        <w:adjustRightInd w:val="0"/>
        <w:ind w:left="709"/>
        <w:textAlignment w:val="baseline"/>
        <w:rPr>
          <w:szCs w:val="20"/>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5158"/>
      </w:tblGrid>
      <w:tr w:rsidRPr="00F3125C" w:rsidR="002A13FC" w:rsidTr="00863A8F" w14:paraId="72F37C45" w14:textId="77777777">
        <w:tc>
          <w:tcPr>
            <w:tcW w:w="1168" w:type="pct"/>
          </w:tcPr>
          <w:p w:rsidRPr="00F3125C" w:rsidR="002A13FC" w:rsidP="00643D0B" w:rsidRDefault="002A13FC" w14:paraId="54BC1023" w14:textId="77777777">
            <w:pPr>
              <w:overflowPunct w:val="0"/>
              <w:autoSpaceDE w:val="0"/>
              <w:autoSpaceDN w:val="0"/>
              <w:adjustRightInd w:val="0"/>
              <w:spacing w:line="240" w:lineRule="auto"/>
              <w:ind w:hanging="110"/>
              <w:textAlignment w:val="baseline"/>
              <w:rPr>
                <w:i/>
              </w:rPr>
            </w:pPr>
            <w:r>
              <w:rPr>
                <w:b/>
                <w:i/>
              </w:rPr>
              <w:t>За контакти</w:t>
            </w:r>
          </w:p>
        </w:tc>
        <w:tc>
          <w:tcPr>
            <w:tcW w:w="3832" w:type="pct"/>
          </w:tcPr>
          <w:p w:rsidRPr="00F3125C" w:rsidR="002A13FC" w:rsidP="00643D0B" w:rsidRDefault="002A13FC" w14:paraId="4DC3FDFC" w14:textId="77777777">
            <w:pPr>
              <w:overflowPunct w:val="0"/>
              <w:autoSpaceDE w:val="0"/>
              <w:autoSpaceDN w:val="0"/>
              <w:adjustRightInd w:val="0"/>
              <w:spacing w:line="240" w:lineRule="auto"/>
              <w:ind w:hanging="110"/>
              <w:textAlignment w:val="baseline"/>
              <w:rPr>
                <w:i/>
              </w:rPr>
            </w:pPr>
            <w:proofErr w:type="spellStart"/>
            <w:r>
              <w:rPr>
                <w:i/>
              </w:rPr>
              <w:t>Nicolas</w:t>
            </w:r>
            <w:proofErr w:type="spellEnd"/>
            <w:r>
              <w:rPr>
                <w:i/>
              </w:rPr>
              <w:t xml:space="preserve"> </w:t>
            </w:r>
            <w:proofErr w:type="spellStart"/>
            <w:r>
              <w:rPr>
                <w:i/>
              </w:rPr>
              <w:t>Stenger</w:t>
            </w:r>
            <w:proofErr w:type="spellEnd"/>
          </w:p>
        </w:tc>
      </w:tr>
      <w:tr w:rsidRPr="00F3125C" w:rsidR="002A13FC" w:rsidTr="00863A8F" w14:paraId="0049C80A" w14:textId="77777777">
        <w:tc>
          <w:tcPr>
            <w:tcW w:w="1168" w:type="pct"/>
          </w:tcPr>
          <w:p w:rsidRPr="00F3125C" w:rsidR="002A13FC" w:rsidP="00643D0B" w:rsidRDefault="002A13FC" w14:paraId="01F3471A" w14:textId="77777777">
            <w:pPr>
              <w:overflowPunct w:val="0"/>
              <w:autoSpaceDE w:val="0"/>
              <w:autoSpaceDN w:val="0"/>
              <w:adjustRightInd w:val="0"/>
              <w:spacing w:line="240" w:lineRule="auto"/>
              <w:ind w:hanging="110"/>
              <w:textAlignment w:val="baseline"/>
              <w:rPr>
                <w:i/>
              </w:rPr>
            </w:pPr>
            <w:r>
              <w:rPr>
                <w:i/>
              </w:rPr>
              <w:t>Тел.</w:t>
            </w:r>
          </w:p>
        </w:tc>
        <w:tc>
          <w:tcPr>
            <w:tcW w:w="3832" w:type="pct"/>
          </w:tcPr>
          <w:p w:rsidRPr="00F3125C" w:rsidR="002A13FC" w:rsidP="00643D0B" w:rsidRDefault="002A13FC" w14:paraId="6CFB5070" w14:textId="77777777">
            <w:pPr>
              <w:overflowPunct w:val="0"/>
              <w:autoSpaceDE w:val="0"/>
              <w:autoSpaceDN w:val="0"/>
              <w:adjustRightInd w:val="0"/>
              <w:spacing w:line="240" w:lineRule="auto"/>
              <w:ind w:hanging="110"/>
              <w:textAlignment w:val="baseline"/>
              <w:rPr>
                <w:i/>
              </w:rPr>
            </w:pPr>
            <w:r>
              <w:rPr>
                <w:i/>
              </w:rPr>
              <w:t>+32 25468152</w:t>
            </w:r>
          </w:p>
        </w:tc>
      </w:tr>
      <w:tr w:rsidRPr="00F3125C" w:rsidR="002A13FC" w:rsidTr="00863A8F" w14:paraId="43A18F24" w14:textId="77777777">
        <w:tc>
          <w:tcPr>
            <w:tcW w:w="1168" w:type="pct"/>
          </w:tcPr>
          <w:p w:rsidRPr="00F3125C" w:rsidR="002A13FC" w:rsidP="00643D0B" w:rsidRDefault="002A13FC" w14:paraId="298BC8AE" w14:textId="77777777">
            <w:pPr>
              <w:overflowPunct w:val="0"/>
              <w:autoSpaceDE w:val="0"/>
              <w:autoSpaceDN w:val="0"/>
              <w:adjustRightInd w:val="0"/>
              <w:spacing w:line="240" w:lineRule="auto"/>
              <w:ind w:hanging="110"/>
              <w:textAlignment w:val="baseline"/>
              <w:rPr>
                <w:i/>
              </w:rPr>
            </w:pPr>
            <w:r>
              <w:rPr>
                <w:i/>
              </w:rPr>
              <w:t>Електронен адрес</w:t>
            </w:r>
          </w:p>
        </w:tc>
        <w:tc>
          <w:tcPr>
            <w:tcW w:w="3832" w:type="pct"/>
          </w:tcPr>
          <w:p w:rsidRPr="00F3125C" w:rsidR="002A13FC" w:rsidP="00643D0B" w:rsidRDefault="008C5F08" w14:paraId="729E72A8" w14:textId="77777777">
            <w:pPr>
              <w:overflowPunct w:val="0"/>
              <w:autoSpaceDE w:val="0"/>
              <w:autoSpaceDN w:val="0"/>
              <w:adjustRightInd w:val="0"/>
              <w:spacing w:line="240" w:lineRule="auto"/>
              <w:ind w:hanging="110"/>
              <w:textAlignment w:val="baseline"/>
              <w:rPr>
                <w:i/>
              </w:rPr>
            </w:pPr>
            <w:hyperlink w:history="1" r:id="rId40">
              <w:r w:rsidR="00981740">
                <w:rPr>
                  <w:i/>
                  <w:color w:val="0000FF"/>
                  <w:u w:val="single"/>
                </w:rPr>
                <w:t>Nicolas.Stenger@eesc.europa.eu</w:t>
              </w:r>
            </w:hyperlink>
          </w:p>
        </w:tc>
      </w:tr>
    </w:tbl>
    <w:p w:rsidRPr="00F3125C" w:rsidR="00061C9F" w:rsidRDefault="00061C9F" w14:paraId="4F6C2D4F" w14:textId="77777777">
      <w:pPr>
        <w:spacing w:after="160" w:line="259" w:lineRule="auto"/>
        <w:jc w:val="left"/>
        <w:rPr>
          <w:lang w:val="en-GB"/>
        </w:rPr>
      </w:pPr>
    </w:p>
    <w:p w:rsidRPr="00F3125C" w:rsidR="00061C9F" w:rsidRDefault="00061C9F" w14:paraId="6C8F4034" w14:textId="77777777">
      <w:pPr>
        <w:spacing w:after="160" w:line="259" w:lineRule="auto"/>
        <w:jc w:val="left"/>
      </w:pPr>
      <w:r>
        <w:br w:type="page"/>
      </w:r>
    </w:p>
    <w:p w:rsidRPr="00F3125C" w:rsidR="00395E32" w:rsidP="004B5D3D" w:rsidRDefault="008C5F08" w14:paraId="62C3FE5B" w14:textId="41203F2C">
      <w:pPr>
        <w:widowControl w:val="0"/>
        <w:numPr>
          <w:ilvl w:val="0"/>
          <w:numId w:val="2"/>
        </w:numPr>
        <w:ind w:hanging="851"/>
        <w:rPr>
          <w:b/>
          <w:bCs/>
          <w:i/>
          <w:iCs/>
          <w:sz w:val="28"/>
          <w:szCs w:val="28"/>
        </w:rPr>
      </w:pPr>
      <w:hyperlink w:history="1" r:id="rId41">
        <w:r w:rsidR="00981740">
          <w:rPr>
            <w:b/>
            <w:i/>
            <w:color w:val="0000FF"/>
            <w:sz w:val="28"/>
            <w:u w:val="single"/>
          </w:rPr>
          <w:t>Изменение на ЕЗФРСР за предоставяне на допълнителна помощ на държавите членки, засегнати от природни бедствия</w:t>
        </w:r>
      </w:hyperlink>
    </w:p>
    <w:p w:rsidRPr="00F3125C" w:rsidR="00395E32" w:rsidP="00395E32" w:rsidRDefault="00395E32" w14:paraId="1401CD51" w14:textId="77777777">
      <w:pPr>
        <w:tabs>
          <w:tab w:val="center" w:pos="284"/>
        </w:tabs>
        <w:ind w:left="266" w:hanging="266"/>
        <w:rPr>
          <w:b/>
          <w:sz w:val="18"/>
          <w:szCs w:val="18"/>
          <w:lang w:val="en-GB"/>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6178"/>
      </w:tblGrid>
      <w:tr w:rsidRPr="00F3125C" w:rsidR="00395E32" w:rsidTr="00643D0B" w14:paraId="507B4647" w14:textId="77777777">
        <w:trPr>
          <w:trHeight w:val="543"/>
        </w:trPr>
        <w:tc>
          <w:tcPr>
            <w:tcW w:w="1266" w:type="pct"/>
          </w:tcPr>
          <w:p w:rsidRPr="00F3125C" w:rsidR="00395E32" w:rsidP="00FE31E1" w:rsidRDefault="00395E32" w14:paraId="242E5141" w14:textId="77777777">
            <w:pPr>
              <w:tabs>
                <w:tab w:val="center" w:pos="284"/>
              </w:tabs>
              <w:ind w:left="266" w:right="-958" w:hanging="266"/>
              <w:rPr>
                <w:b/>
              </w:rPr>
            </w:pPr>
            <w:r>
              <w:rPr>
                <w:b/>
              </w:rPr>
              <w:t>Главен докладчик</w:t>
            </w:r>
          </w:p>
        </w:tc>
        <w:tc>
          <w:tcPr>
            <w:tcW w:w="3734" w:type="pct"/>
          </w:tcPr>
          <w:p w:rsidRPr="00F3125C" w:rsidR="00395E32" w:rsidP="00395E32" w:rsidRDefault="00395E32" w14:paraId="1FEFE044" w14:textId="77777777">
            <w:pPr>
              <w:tabs>
                <w:tab w:val="center" w:pos="284"/>
              </w:tabs>
              <w:ind w:left="266" w:hanging="266"/>
            </w:pPr>
            <w:proofErr w:type="spellStart"/>
            <w:r>
              <w:t>Peter</w:t>
            </w:r>
            <w:proofErr w:type="spellEnd"/>
            <w:r>
              <w:t xml:space="preserve"> SCHMIDT (група „Работници“ — DE)</w:t>
            </w:r>
          </w:p>
        </w:tc>
      </w:tr>
      <w:tr w:rsidRPr="00F3125C" w:rsidR="00395E32" w:rsidTr="00643D0B" w14:paraId="6C1C462C" w14:textId="77777777">
        <w:trPr>
          <w:trHeight w:val="275"/>
        </w:trPr>
        <w:tc>
          <w:tcPr>
            <w:tcW w:w="1266" w:type="pct"/>
          </w:tcPr>
          <w:p w:rsidRPr="00F3125C" w:rsidR="00395E32" w:rsidP="008E08F5" w:rsidRDefault="00395E32" w14:paraId="2443E6C3" w14:textId="77777777">
            <w:pPr>
              <w:tabs>
                <w:tab w:val="center" w:pos="457"/>
              </w:tabs>
              <w:ind w:left="266" w:hanging="266"/>
              <w:rPr>
                <w:b/>
              </w:rPr>
            </w:pPr>
            <w:r>
              <w:rPr>
                <w:b/>
              </w:rPr>
              <w:t>Отправни документи</w:t>
            </w:r>
          </w:p>
        </w:tc>
        <w:tc>
          <w:tcPr>
            <w:tcW w:w="3734" w:type="pct"/>
          </w:tcPr>
          <w:p w:rsidRPr="00F3125C" w:rsidR="00FE31E1" w:rsidP="00395E32" w:rsidRDefault="00FE31E1" w14:paraId="1D9397FC" w14:textId="226D9C40">
            <w:pPr>
              <w:tabs>
                <w:tab w:val="center" w:pos="284"/>
              </w:tabs>
              <w:ind w:left="266" w:hanging="266"/>
            </w:pPr>
            <w:r>
              <w:t xml:space="preserve">COM(2024) 495 </w:t>
            </w:r>
            <w:proofErr w:type="spellStart"/>
            <w:r>
              <w:t>final</w:t>
            </w:r>
            <w:proofErr w:type="spellEnd"/>
            <w:r>
              <w:t xml:space="preserve"> </w:t>
            </w:r>
          </w:p>
          <w:p w:rsidRPr="00F3125C" w:rsidR="00395E32" w:rsidP="00395E32" w:rsidRDefault="00395E32" w14:paraId="5BF89FEE" w14:textId="4A14DDF3">
            <w:pPr>
              <w:tabs>
                <w:tab w:val="center" w:pos="284"/>
              </w:tabs>
              <w:ind w:left="266" w:hanging="266"/>
            </w:pPr>
            <w:r>
              <w:t>EESC-2024-04085-00-00-AC</w:t>
            </w:r>
          </w:p>
        </w:tc>
      </w:tr>
    </w:tbl>
    <w:p w:rsidRPr="00F3125C" w:rsidR="00395E32" w:rsidP="00395E32" w:rsidRDefault="00395E32" w14:paraId="13BD0896" w14:textId="77777777">
      <w:pPr>
        <w:ind w:left="266" w:hanging="266"/>
        <w:rPr>
          <w:b/>
          <w:lang w:val="en-GB"/>
        </w:rPr>
      </w:pPr>
    </w:p>
    <w:p w:rsidRPr="00F3125C" w:rsidR="00395E32" w:rsidP="00395E32" w:rsidRDefault="00395E32" w14:paraId="55FF2D0B" w14:textId="77777777">
      <w:pPr>
        <w:ind w:left="266" w:hanging="266"/>
        <w:rPr>
          <w:b/>
        </w:rPr>
      </w:pPr>
      <w:r>
        <w:rPr>
          <w:b/>
        </w:rPr>
        <w:t>Основни аспекти</w:t>
      </w:r>
    </w:p>
    <w:p w:rsidRPr="00F3125C" w:rsidR="00395E32" w:rsidP="00395E32" w:rsidRDefault="00395E32" w14:paraId="396FF4EF" w14:textId="77777777">
      <w:pPr>
        <w:tabs>
          <w:tab w:val="center" w:pos="284"/>
        </w:tabs>
        <w:ind w:left="266" w:hanging="266"/>
        <w:rPr>
          <w:b/>
          <w:sz w:val="16"/>
          <w:szCs w:val="16"/>
          <w:lang w:val="en-GB"/>
        </w:rPr>
      </w:pPr>
    </w:p>
    <w:p w:rsidRPr="00F3125C" w:rsidR="00395E32" w:rsidP="00395E32" w:rsidRDefault="00395E32" w14:paraId="17144AEB" w14:textId="77777777">
      <w:pPr>
        <w:rPr>
          <w:bCs/>
          <w:iCs/>
        </w:rPr>
      </w:pPr>
      <w:r>
        <w:t>ЕИСК:</w:t>
      </w:r>
    </w:p>
    <w:p w:rsidRPr="00F3125C" w:rsidR="008E08F5" w:rsidP="00395E32" w:rsidRDefault="008E08F5" w14:paraId="35B79CF5" w14:textId="77777777">
      <w:pPr>
        <w:rPr>
          <w:bCs/>
          <w:iCs/>
          <w:lang w:val="en-GB"/>
        </w:rPr>
      </w:pPr>
    </w:p>
    <w:p w:rsidRPr="00F3125C" w:rsidR="00395E32" w:rsidP="00643D0B" w:rsidRDefault="00395E32" w14:paraId="008AE7E6" w14:textId="77777777">
      <w:pPr>
        <w:numPr>
          <w:ilvl w:val="0"/>
          <w:numId w:val="29"/>
        </w:numPr>
        <w:ind w:left="426" w:hanging="426"/>
      </w:pPr>
      <w:r>
        <w:rPr>
          <w:b/>
        </w:rPr>
        <w:t>подкрепя принципа на незабавна помощ при бедствия</w:t>
      </w:r>
      <w:r>
        <w:t xml:space="preserve"> и признава спешната необходимост общностите, засегнати от неотдавнашните климатични бедствия, да получат незабавна помощ;</w:t>
      </w:r>
    </w:p>
    <w:p w:rsidRPr="00F3125C" w:rsidR="00395E32" w:rsidP="00643D0B" w:rsidRDefault="00395E32" w14:paraId="6BEF23D1" w14:textId="77777777">
      <w:pPr>
        <w:numPr>
          <w:ilvl w:val="0"/>
          <w:numId w:val="29"/>
        </w:numPr>
        <w:ind w:left="426" w:hanging="426"/>
        <w:rPr>
          <w:b/>
          <w:bCs/>
        </w:rPr>
      </w:pPr>
      <w:r>
        <w:t xml:space="preserve">подчертава нарастващата честота и сериозност на предизвиканите от климата събития, като подчертава непропорционалното въздействие върху селските райони и </w:t>
      </w:r>
      <w:r>
        <w:rPr>
          <w:b/>
        </w:rPr>
        <w:t>необходимостта да се даде приоритет на тяхната устойчивост</w:t>
      </w:r>
      <w:r>
        <w:t>;</w:t>
      </w:r>
    </w:p>
    <w:p w:rsidRPr="00F3125C" w:rsidR="00395E32" w:rsidP="00643D0B" w:rsidRDefault="00395E32" w14:paraId="503DEAC8" w14:textId="77777777">
      <w:pPr>
        <w:numPr>
          <w:ilvl w:val="0"/>
          <w:numId w:val="29"/>
        </w:numPr>
        <w:ind w:left="426" w:hanging="426"/>
      </w:pPr>
      <w:r>
        <w:t xml:space="preserve">подчертава необходимостта от </w:t>
      </w:r>
      <w:r>
        <w:rPr>
          <w:b/>
        </w:rPr>
        <w:t>запазване на бюджетите за развитие на селските райони</w:t>
      </w:r>
      <w:r>
        <w:t>, като предупреждава срещу многократни преразпределения, които рискуват да подкопаят дългосрочния растеж и стабилност на селските райони;</w:t>
      </w:r>
    </w:p>
    <w:p w:rsidRPr="00F3125C" w:rsidR="00395E32" w:rsidP="00643D0B" w:rsidRDefault="00395E32" w14:paraId="7264E893" w14:textId="77777777">
      <w:pPr>
        <w:numPr>
          <w:ilvl w:val="0"/>
          <w:numId w:val="29"/>
        </w:numPr>
        <w:ind w:left="426" w:hanging="426"/>
      </w:pPr>
      <w:r>
        <w:rPr>
          <w:b/>
        </w:rPr>
        <w:t>препоръчва създаването на специален фонд на ЕС за климатични бедствия</w:t>
      </w:r>
      <w:r>
        <w:t>, по примера на Фонда за загуби и щети на COP28, за справяне с вътрешни бедствия, свързани с климата, без да се излагат на риск международните ангажименти или съществуващите механизми на ЕС за финансиране;</w:t>
      </w:r>
    </w:p>
    <w:p w:rsidRPr="00F3125C" w:rsidR="00395E32" w:rsidP="00643D0B" w:rsidRDefault="00395E32" w14:paraId="243B3B27" w14:textId="77777777">
      <w:pPr>
        <w:numPr>
          <w:ilvl w:val="0"/>
          <w:numId w:val="29"/>
        </w:numPr>
        <w:ind w:left="426" w:hanging="426"/>
      </w:pPr>
      <w:r>
        <w:t xml:space="preserve">призовава за </w:t>
      </w:r>
      <w:r>
        <w:rPr>
          <w:b/>
        </w:rPr>
        <w:t>по-големи инвестиции в превенцията, особено в природосъобразни решения</w:t>
      </w:r>
      <w:r>
        <w:t>, които са икономически ефективни, повишават устойчивостта и намаляват финансовата и обществената тежест на механизмите за реагиране при извънредни ситуации;</w:t>
      </w:r>
    </w:p>
    <w:p w:rsidRPr="00F3125C" w:rsidR="00395E32" w:rsidP="00643D0B" w:rsidRDefault="00395E32" w14:paraId="0F590271" w14:textId="77777777">
      <w:pPr>
        <w:numPr>
          <w:ilvl w:val="0"/>
          <w:numId w:val="29"/>
        </w:numPr>
        <w:ind w:left="426" w:hanging="426"/>
      </w:pPr>
      <w:r>
        <w:t xml:space="preserve">приветства </w:t>
      </w:r>
      <w:r>
        <w:rPr>
          <w:b/>
        </w:rPr>
        <w:t>опростените процедури за помощ при бедствия</w:t>
      </w:r>
      <w:r>
        <w:t xml:space="preserve"> в предложението и насърчава тяхното интегриране в бъдещите политики, за да се гарантира по-ефективна реакция при кризи;</w:t>
      </w:r>
    </w:p>
    <w:p w:rsidRPr="00F3125C" w:rsidR="00395E32" w:rsidP="00643D0B" w:rsidRDefault="00395E32" w14:paraId="64BF5029" w14:textId="77777777">
      <w:pPr>
        <w:numPr>
          <w:ilvl w:val="0"/>
          <w:numId w:val="29"/>
        </w:numPr>
        <w:ind w:left="426" w:hanging="426"/>
      </w:pPr>
      <w:r>
        <w:t xml:space="preserve">настоятелно </w:t>
      </w:r>
      <w:r>
        <w:rPr>
          <w:b/>
        </w:rPr>
        <w:t>призовава за разработването на проактивна, координирана рамка на ЕС за готовност при бедствия</w:t>
      </w:r>
      <w:r>
        <w:t xml:space="preserve">, включваща превантивни мерки, увеличено финансиране и дългосрочно планиране за </w:t>
      </w:r>
      <w:r>
        <w:rPr>
          <w:b/>
        </w:rPr>
        <w:t>ефективно справяне с уязвимостите</w:t>
      </w:r>
      <w:r>
        <w:t>;</w:t>
      </w:r>
    </w:p>
    <w:p w:rsidRPr="00F3125C" w:rsidR="00395E32" w:rsidP="00643D0B" w:rsidRDefault="00395E32" w14:paraId="1A732E0E" w14:textId="77777777">
      <w:pPr>
        <w:numPr>
          <w:ilvl w:val="0"/>
          <w:numId w:val="29"/>
        </w:numPr>
        <w:ind w:left="426" w:hanging="426"/>
      </w:pPr>
      <w:r>
        <w:t xml:space="preserve">подчертава </w:t>
      </w:r>
      <w:r>
        <w:rPr>
          <w:b/>
        </w:rPr>
        <w:t>значението на дългосрочното планиране на устойчивостта</w:t>
      </w:r>
      <w:r>
        <w:t>, привеждането в съответствие с дългосрочната визия на ЕС за селските райони и гарантирането на балансиран подход към проактивни и реактивни мерки.</w:t>
      </w:r>
    </w:p>
    <w:p w:rsidRPr="00F3125C" w:rsidR="00395E32" w:rsidP="00395E32" w:rsidRDefault="00395E32" w14:paraId="4FBA9DE9" w14:textId="77777777">
      <w:pPr>
        <w:widowControl w:val="0"/>
        <w:ind w:left="284" w:hanging="284"/>
        <w:rPr>
          <w:sz w:val="16"/>
          <w:szCs w:val="16"/>
          <w:lang w:val="en-GB"/>
        </w:rPr>
      </w:pPr>
    </w:p>
    <w:p w:rsidRPr="00F3125C" w:rsidR="006F2520" w:rsidP="00395E32" w:rsidRDefault="006F2520" w14:paraId="7AE5FF32" w14:textId="77777777">
      <w:pPr>
        <w:widowControl w:val="0"/>
        <w:ind w:left="284" w:hanging="284"/>
        <w:rPr>
          <w:sz w:val="16"/>
          <w:szCs w:val="16"/>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395E32" w:rsidTr="00863A8F" w14:paraId="2B50A26D" w14:textId="77777777">
        <w:tc>
          <w:tcPr>
            <w:tcW w:w="1556" w:type="pct"/>
          </w:tcPr>
          <w:p w:rsidRPr="00F3125C" w:rsidR="00395E32" w:rsidP="00395E32" w:rsidRDefault="00395E32" w14:paraId="4548D0C8" w14:textId="77777777">
            <w:pPr>
              <w:spacing w:line="240" w:lineRule="auto"/>
              <w:rPr>
                <w:i/>
              </w:rPr>
            </w:pPr>
            <w:r>
              <w:rPr>
                <w:b/>
                <w:i/>
              </w:rPr>
              <w:t>За контакти</w:t>
            </w:r>
          </w:p>
        </w:tc>
        <w:tc>
          <w:tcPr>
            <w:tcW w:w="3444" w:type="pct"/>
          </w:tcPr>
          <w:p w:rsidRPr="00F3125C" w:rsidR="00395E32" w:rsidP="00395E32" w:rsidRDefault="00395E32" w14:paraId="157E5A08" w14:textId="22562244">
            <w:pPr>
              <w:spacing w:line="240" w:lineRule="auto"/>
              <w:rPr>
                <w:i/>
              </w:rPr>
            </w:pPr>
            <w:proofErr w:type="spellStart"/>
            <w:r>
              <w:rPr>
                <w:i/>
              </w:rPr>
              <w:t>Nicolas</w:t>
            </w:r>
            <w:proofErr w:type="spellEnd"/>
            <w:r>
              <w:rPr>
                <w:i/>
              </w:rPr>
              <w:t xml:space="preserve"> </w:t>
            </w:r>
            <w:proofErr w:type="spellStart"/>
            <w:r>
              <w:rPr>
                <w:i/>
              </w:rPr>
              <w:t>Stenger</w:t>
            </w:r>
            <w:proofErr w:type="spellEnd"/>
          </w:p>
        </w:tc>
      </w:tr>
      <w:tr w:rsidRPr="00F3125C" w:rsidR="00395E32" w:rsidTr="00863A8F" w14:paraId="1084C0B0" w14:textId="77777777">
        <w:tc>
          <w:tcPr>
            <w:tcW w:w="1556" w:type="pct"/>
          </w:tcPr>
          <w:p w:rsidRPr="00F3125C" w:rsidR="00395E32" w:rsidP="00395E32" w:rsidRDefault="00395E32" w14:paraId="4F73E7F1" w14:textId="77777777">
            <w:pPr>
              <w:spacing w:line="240" w:lineRule="auto"/>
              <w:rPr>
                <w:i/>
              </w:rPr>
            </w:pPr>
            <w:r>
              <w:rPr>
                <w:i/>
              </w:rPr>
              <w:t>Тел.</w:t>
            </w:r>
          </w:p>
        </w:tc>
        <w:tc>
          <w:tcPr>
            <w:tcW w:w="3444" w:type="pct"/>
          </w:tcPr>
          <w:p w:rsidRPr="00F3125C" w:rsidR="00395E32" w:rsidP="00395E32" w:rsidRDefault="00395E32" w14:paraId="2C95F92B" w14:textId="77777777">
            <w:pPr>
              <w:spacing w:line="240" w:lineRule="auto"/>
              <w:rPr>
                <w:i/>
              </w:rPr>
            </w:pPr>
            <w:r>
              <w:rPr>
                <w:i/>
              </w:rPr>
              <w:t>+32 25468152</w:t>
            </w:r>
          </w:p>
        </w:tc>
      </w:tr>
      <w:tr w:rsidRPr="00F3125C" w:rsidR="00395E32" w:rsidTr="00863A8F" w14:paraId="12481E84" w14:textId="77777777">
        <w:tc>
          <w:tcPr>
            <w:tcW w:w="1556" w:type="pct"/>
          </w:tcPr>
          <w:p w:rsidRPr="00F3125C" w:rsidR="00395E32" w:rsidP="00395E32" w:rsidRDefault="00395E32" w14:paraId="4FE0E027" w14:textId="77777777">
            <w:pPr>
              <w:spacing w:line="240" w:lineRule="auto"/>
              <w:rPr>
                <w:i/>
              </w:rPr>
            </w:pPr>
            <w:r>
              <w:rPr>
                <w:i/>
              </w:rPr>
              <w:t>Електронен адрес</w:t>
            </w:r>
          </w:p>
        </w:tc>
        <w:tc>
          <w:tcPr>
            <w:tcW w:w="3444" w:type="pct"/>
          </w:tcPr>
          <w:p w:rsidRPr="00F3125C" w:rsidR="00395E32" w:rsidP="00395E32" w:rsidRDefault="008C5F08" w14:paraId="01040533" w14:textId="77777777">
            <w:pPr>
              <w:spacing w:line="240" w:lineRule="auto"/>
              <w:rPr>
                <w:i/>
              </w:rPr>
            </w:pPr>
            <w:hyperlink w:history="1" r:id="rId42">
              <w:r w:rsidR="00981740">
                <w:rPr>
                  <w:i/>
                  <w:color w:val="0000FF"/>
                  <w:u w:val="single"/>
                </w:rPr>
                <w:t>Nicolas.Stenger@eesc.europa.eu</w:t>
              </w:r>
            </w:hyperlink>
          </w:p>
        </w:tc>
      </w:tr>
    </w:tbl>
    <w:p w:rsidRPr="00F3125C" w:rsidR="00395E32" w:rsidRDefault="00395E32" w14:paraId="668D5DEE" w14:textId="77777777">
      <w:pPr>
        <w:spacing w:after="160" w:line="259" w:lineRule="auto"/>
        <w:jc w:val="left"/>
        <w:rPr>
          <w:lang w:val="en-GB"/>
        </w:rPr>
      </w:pPr>
    </w:p>
    <w:p w:rsidRPr="00F3125C" w:rsidR="00395E32" w:rsidRDefault="00395E32" w14:paraId="7602B700" w14:textId="77777777">
      <w:pPr>
        <w:spacing w:after="160" w:line="259" w:lineRule="auto"/>
        <w:jc w:val="left"/>
      </w:pPr>
      <w:r>
        <w:br w:type="page"/>
      </w:r>
    </w:p>
    <w:p w:rsidRPr="00F3125C" w:rsidR="00826962" w:rsidP="004B5D3D" w:rsidRDefault="008C5F08" w14:paraId="6580F677" w14:textId="0D2454E7">
      <w:pPr>
        <w:numPr>
          <w:ilvl w:val="0"/>
          <w:numId w:val="11"/>
        </w:numPr>
        <w:overflowPunct w:val="0"/>
        <w:autoSpaceDE w:val="0"/>
        <w:autoSpaceDN w:val="0"/>
        <w:adjustRightInd w:val="0"/>
        <w:spacing w:line="276" w:lineRule="auto"/>
        <w:ind w:left="567" w:hanging="567"/>
        <w:contextualSpacing/>
        <w:jc w:val="left"/>
        <w:textAlignment w:val="baseline"/>
        <w:rPr>
          <w:i/>
          <w:iCs/>
        </w:rPr>
      </w:pPr>
      <w:hyperlink w:history="1" r:id="rId43">
        <w:r w:rsidR="00981740">
          <w:rPr>
            <w:b/>
            <w:i/>
            <w:color w:val="0000FF"/>
            <w:sz w:val="28"/>
            <w:u w:val="single"/>
          </w:rPr>
          <w:t>Към законодателно предложение за справедлив преход и политически инструменти на ЕС, които да дават възможност за по-социален Европейски зелен пакт</w:t>
        </w:r>
      </w:hyperlink>
    </w:p>
    <w:p w:rsidRPr="00F3125C" w:rsidR="004B5D3D" w:rsidP="00643D0B" w:rsidRDefault="004B5D3D" w14:paraId="3D84FFFB" w14:textId="77777777">
      <w:pPr>
        <w:overflowPunct w:val="0"/>
        <w:autoSpaceDE w:val="0"/>
        <w:autoSpaceDN w:val="0"/>
        <w:adjustRightInd w:val="0"/>
        <w:spacing w:line="276" w:lineRule="auto"/>
        <w:contextualSpacing/>
        <w:jc w:val="left"/>
        <w:textAlignment w:val="baseline"/>
        <w:rPr>
          <w:i/>
          <w:iCs/>
          <w:lang w:val="en-GB" w:eastAsia="zh-CN"/>
        </w:rPr>
      </w:pPr>
    </w:p>
    <w:p w:rsidRPr="00F3125C" w:rsidR="00826962" w:rsidP="00826962" w:rsidRDefault="00826962" w14:paraId="1F7C2F50" w14:textId="77777777">
      <w:pPr>
        <w:widowControl w:val="0"/>
        <w:overflowPunct w:val="0"/>
        <w:autoSpaceDE w:val="0"/>
        <w:autoSpaceDN w:val="0"/>
        <w:adjustRightInd w:val="0"/>
        <w:ind w:left="567"/>
        <w:textAlignment w:val="baseline"/>
        <w:rPr>
          <w:bCs/>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F3125C" w:rsidR="00826962" w:rsidTr="00863A8F" w14:paraId="5EE0B9C4" w14:textId="77777777">
        <w:tc>
          <w:tcPr>
            <w:tcW w:w="1701" w:type="dxa"/>
          </w:tcPr>
          <w:p w:rsidRPr="00F3125C" w:rsidR="00826962" w:rsidP="00826962" w:rsidRDefault="00826962" w14:paraId="7A2FE21B"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096" w:type="dxa"/>
          </w:tcPr>
          <w:p w:rsidRPr="00F3125C" w:rsidR="00826962" w:rsidP="00826962" w:rsidRDefault="00826962" w14:paraId="1A02220B" w14:textId="77777777">
            <w:pPr>
              <w:tabs>
                <w:tab w:val="center" w:pos="284"/>
              </w:tabs>
              <w:overflowPunct w:val="0"/>
              <w:autoSpaceDE w:val="0"/>
              <w:autoSpaceDN w:val="0"/>
              <w:adjustRightInd w:val="0"/>
              <w:ind w:left="266" w:hanging="266"/>
              <w:textAlignment w:val="baseline"/>
              <w:rPr>
                <w:b/>
                <w:bCs/>
              </w:rPr>
            </w:pPr>
            <w:proofErr w:type="spellStart"/>
            <w:r>
              <w:rPr>
                <w:b/>
              </w:rPr>
              <w:t>Dirk</w:t>
            </w:r>
            <w:proofErr w:type="spellEnd"/>
            <w:r>
              <w:rPr>
                <w:b/>
              </w:rPr>
              <w:t xml:space="preserve"> BERGRATH</w:t>
            </w:r>
            <w:r>
              <w:t xml:space="preserve"> (група „Работници“ — DE)</w:t>
            </w:r>
          </w:p>
        </w:tc>
      </w:tr>
      <w:tr w:rsidRPr="00F3125C" w:rsidR="00826962" w:rsidTr="00863A8F" w14:paraId="2C238AB2" w14:textId="77777777">
        <w:tc>
          <w:tcPr>
            <w:tcW w:w="7797" w:type="dxa"/>
            <w:gridSpan w:val="2"/>
          </w:tcPr>
          <w:p w:rsidRPr="00F3125C" w:rsidR="00826962" w:rsidP="00826962" w:rsidRDefault="00826962" w14:paraId="6E436FC3" w14:textId="77777777">
            <w:pPr>
              <w:tabs>
                <w:tab w:val="left" w:pos="2690"/>
              </w:tabs>
              <w:overflowPunct w:val="0"/>
              <w:autoSpaceDE w:val="0"/>
              <w:autoSpaceDN w:val="0"/>
              <w:adjustRightInd w:val="0"/>
              <w:spacing w:line="160" w:lineRule="exact"/>
              <w:ind w:left="266" w:hanging="266"/>
              <w:textAlignment w:val="baseline"/>
              <w:rPr>
                <w:sz w:val="10"/>
                <w:szCs w:val="10"/>
                <w:lang w:val="en-GB"/>
              </w:rPr>
            </w:pPr>
          </w:p>
        </w:tc>
      </w:tr>
      <w:tr w:rsidRPr="00F3125C" w:rsidR="00826962" w:rsidTr="00863A8F" w14:paraId="1C41560F" w14:textId="77777777">
        <w:tc>
          <w:tcPr>
            <w:tcW w:w="1701" w:type="dxa"/>
          </w:tcPr>
          <w:p w:rsidRPr="00F3125C" w:rsidR="00826962" w:rsidP="00826962" w:rsidRDefault="00826962" w14:paraId="6A8C9612"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6096" w:type="dxa"/>
          </w:tcPr>
          <w:p w:rsidRPr="00F3125C" w:rsidR="006F2520" w:rsidP="00826962" w:rsidRDefault="006F2520" w14:paraId="3B7EBB53" w14:textId="043B8B38">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826962" w:rsidP="00826962" w:rsidRDefault="00826962" w14:paraId="2E660E5A" w14:textId="45D9D432">
            <w:pPr>
              <w:tabs>
                <w:tab w:val="center" w:pos="284"/>
              </w:tabs>
              <w:overflowPunct w:val="0"/>
              <w:autoSpaceDE w:val="0"/>
              <w:autoSpaceDN w:val="0"/>
              <w:adjustRightInd w:val="0"/>
              <w:ind w:left="266" w:hanging="266"/>
              <w:textAlignment w:val="baseline"/>
            </w:pPr>
            <w:r>
              <w:t>EESC-2024-01077-00-00-AC</w:t>
            </w:r>
          </w:p>
        </w:tc>
      </w:tr>
    </w:tbl>
    <w:p w:rsidRPr="00F3125C" w:rsidR="00826962" w:rsidP="00826962" w:rsidRDefault="00826962" w14:paraId="118F3C3E"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F3125C" w:rsidR="00826962" w:rsidP="00826962" w:rsidRDefault="00826962" w14:paraId="3F06D23E"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Основни аспекти</w:t>
      </w:r>
    </w:p>
    <w:p w:rsidRPr="00F3125C" w:rsidR="00826962" w:rsidP="00826962"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rsidRPr="00F3125C" w:rsidR="00826962" w:rsidP="00826962" w:rsidRDefault="00826962" w14:paraId="6D8CA6D8" w14:textId="77777777">
      <w:pPr>
        <w:overflowPunct w:val="0"/>
        <w:autoSpaceDE w:val="0"/>
        <w:autoSpaceDN w:val="0"/>
        <w:adjustRightInd w:val="0"/>
        <w:spacing w:line="240" w:lineRule="auto"/>
        <w:textAlignment w:val="baseline"/>
        <w:rPr>
          <w:bCs/>
          <w:iCs/>
        </w:rPr>
      </w:pPr>
      <w:r>
        <w:t>ЕИСК:</w:t>
      </w:r>
    </w:p>
    <w:p w:rsidRPr="00F3125C" w:rsidR="00F34F7E" w:rsidP="00826962" w:rsidRDefault="00F34F7E" w14:paraId="01806982" w14:textId="77777777">
      <w:pPr>
        <w:overflowPunct w:val="0"/>
        <w:autoSpaceDE w:val="0"/>
        <w:autoSpaceDN w:val="0"/>
        <w:adjustRightInd w:val="0"/>
        <w:spacing w:line="240" w:lineRule="auto"/>
        <w:textAlignment w:val="baseline"/>
        <w:rPr>
          <w:bCs/>
          <w:iCs/>
          <w:lang w:val="en-GB"/>
        </w:rPr>
      </w:pPr>
    </w:p>
    <w:p w:rsidRPr="00F3125C" w:rsidR="00826962" w:rsidP="00643D0B" w:rsidRDefault="00826962" w14:paraId="47E9A3E8" w14:textId="77777777">
      <w:pPr>
        <w:pStyle w:val="ListParagraph"/>
        <w:numPr>
          <w:ilvl w:val="1"/>
          <w:numId w:val="32"/>
        </w:numPr>
        <w:overflowPunct w:val="0"/>
        <w:autoSpaceDE w:val="0"/>
        <w:autoSpaceDN w:val="0"/>
        <w:adjustRightInd w:val="0"/>
        <w:ind w:left="426" w:hanging="426"/>
        <w:textAlignment w:val="baseline"/>
        <w:outlineLvl w:val="1"/>
        <w:rPr>
          <w:spacing w:val="-4"/>
          <w:szCs w:val="20"/>
        </w:rPr>
      </w:pPr>
      <w:bookmarkStart w:name="_Toc185257638" w:id="23"/>
      <w:r>
        <w:t xml:space="preserve">изтъква значението на справедливия преход в ЕС в съответствие със стратегическите приоритети и политическите насоки на Европейската комисия за периода 2024—2029 г. </w:t>
      </w:r>
      <w:r>
        <w:rPr>
          <w:b/>
        </w:rPr>
        <w:t>Справедливият преход ще окаже особено въздействие върху сферата на труда</w:t>
      </w:r>
      <w:r>
        <w:t xml:space="preserve">, като засегне секторите, регионите, работните места и уменията (включително аспекти като равенството между половете, </w:t>
      </w:r>
      <w:proofErr w:type="spellStart"/>
      <w:r>
        <w:t>междупоколенчески</w:t>
      </w:r>
      <w:proofErr w:type="spellEnd"/>
      <w:r>
        <w:t xml:space="preserve"> въпроси и уязвими групи), социалната закрила, сътрудничеството между държавите членки, управлението, бизнеса и предприятията (по-конкретно МСП), финансирането и инвестициите;</w:t>
      </w:r>
      <w:bookmarkEnd w:id="23"/>
    </w:p>
    <w:p w:rsidRPr="00F3125C" w:rsidR="00826962" w:rsidP="00643D0B" w:rsidRDefault="00826962" w14:paraId="6941C36F" w14:textId="77777777">
      <w:pPr>
        <w:pStyle w:val="ListParagraph"/>
        <w:numPr>
          <w:ilvl w:val="1"/>
          <w:numId w:val="32"/>
        </w:numPr>
        <w:overflowPunct w:val="0"/>
        <w:autoSpaceDE w:val="0"/>
        <w:autoSpaceDN w:val="0"/>
        <w:adjustRightInd w:val="0"/>
        <w:ind w:left="426" w:hanging="426"/>
        <w:textAlignment w:val="baseline"/>
        <w:outlineLvl w:val="1"/>
        <w:rPr>
          <w:szCs w:val="20"/>
        </w:rPr>
      </w:pPr>
      <w:bookmarkStart w:name="_Toc185257639" w:id="24"/>
      <w:r>
        <w:t xml:space="preserve">подчертава необходимостта от </w:t>
      </w:r>
      <w:r>
        <w:rPr>
          <w:b/>
        </w:rPr>
        <w:t>всеобхватен пакет от политики</w:t>
      </w:r>
      <w:r>
        <w:t xml:space="preserve"> за сферата на труда, който включва съществуващите инструменти на равнище ЕС и предоставя достатъчно свобода на действие на държавите членки да приемат подходящи решения на национално и регионално равнище;</w:t>
      </w:r>
      <w:bookmarkEnd w:id="24"/>
    </w:p>
    <w:p w:rsidRPr="00F3125C" w:rsidR="00826962" w:rsidP="00643D0B" w:rsidRDefault="00826962" w14:paraId="1AF37675" w14:textId="77777777">
      <w:pPr>
        <w:pStyle w:val="ListParagraph"/>
        <w:numPr>
          <w:ilvl w:val="1"/>
          <w:numId w:val="32"/>
        </w:numPr>
        <w:overflowPunct w:val="0"/>
        <w:autoSpaceDE w:val="0"/>
        <w:autoSpaceDN w:val="0"/>
        <w:adjustRightInd w:val="0"/>
        <w:ind w:left="426" w:hanging="426"/>
        <w:textAlignment w:val="baseline"/>
        <w:outlineLvl w:val="1"/>
        <w:rPr>
          <w:szCs w:val="20"/>
        </w:rPr>
      </w:pPr>
      <w:bookmarkStart w:name="_Toc185257640" w:id="25"/>
      <w:r>
        <w:t xml:space="preserve">призовава за създаване на </w:t>
      </w:r>
      <w:r>
        <w:rPr>
          <w:b/>
        </w:rPr>
        <w:t>пакет от мерки за справедлив преход</w:t>
      </w:r>
      <w:r>
        <w:t xml:space="preserve"> в сферата на труда чрез предвиждане и управление на промените, като водещи принципи са социалният диалог и колективното договаряне.</w:t>
      </w:r>
      <w:bookmarkEnd w:id="25"/>
    </w:p>
    <w:p w:rsidRPr="00F3125C" w:rsidR="00826962" w:rsidP="00643D0B" w:rsidRDefault="00826962" w14:paraId="09142705" w14:textId="77777777">
      <w:pPr>
        <w:pStyle w:val="ListParagraph"/>
        <w:numPr>
          <w:ilvl w:val="0"/>
          <w:numId w:val="32"/>
        </w:numPr>
        <w:overflowPunct w:val="0"/>
        <w:autoSpaceDE w:val="0"/>
        <w:autoSpaceDN w:val="0"/>
        <w:adjustRightInd w:val="0"/>
        <w:ind w:left="426" w:hanging="426"/>
        <w:textAlignment w:val="baseline"/>
        <w:rPr>
          <w:szCs w:val="20"/>
        </w:rPr>
      </w:pPr>
      <w:r>
        <w:t>Този пакет следва да включва мерки като:</w:t>
      </w:r>
    </w:p>
    <w:p w:rsidRPr="00F3125C" w:rsidR="00826962" w:rsidP="00F34F7E" w:rsidRDefault="00826962" w14:paraId="6529AD5A" w14:textId="77777777">
      <w:pPr>
        <w:numPr>
          <w:ilvl w:val="0"/>
          <w:numId w:val="12"/>
        </w:numPr>
        <w:overflowPunct w:val="0"/>
        <w:autoSpaceDE w:val="0"/>
        <w:autoSpaceDN w:val="0"/>
        <w:adjustRightInd w:val="0"/>
        <w:ind w:left="851" w:hanging="425"/>
        <w:contextualSpacing/>
        <w:textAlignment w:val="baseline"/>
      </w:pPr>
      <w:r>
        <w:t>картографиране на потребностите от умения и стратегиите;</w:t>
      </w:r>
    </w:p>
    <w:p w:rsidRPr="00F3125C" w:rsidR="00826962" w:rsidP="00F34F7E" w:rsidRDefault="00826962" w14:paraId="0AEC3AED" w14:textId="77777777">
      <w:pPr>
        <w:numPr>
          <w:ilvl w:val="0"/>
          <w:numId w:val="12"/>
        </w:numPr>
        <w:overflowPunct w:val="0"/>
        <w:autoSpaceDE w:val="0"/>
        <w:autoSpaceDN w:val="0"/>
        <w:adjustRightInd w:val="0"/>
        <w:ind w:left="851" w:hanging="425"/>
        <w:contextualSpacing/>
        <w:textAlignment w:val="baseline"/>
      </w:pPr>
      <w:r>
        <w:t>създаване и изпълнение на подходящи програми за развитие на уменията;</w:t>
      </w:r>
    </w:p>
    <w:p w:rsidRPr="00F3125C" w:rsidR="00826962" w:rsidP="00F34F7E" w:rsidRDefault="00826962" w14:paraId="239D58C9" w14:textId="77777777">
      <w:pPr>
        <w:numPr>
          <w:ilvl w:val="0"/>
          <w:numId w:val="12"/>
        </w:numPr>
        <w:overflowPunct w:val="0"/>
        <w:autoSpaceDE w:val="0"/>
        <w:autoSpaceDN w:val="0"/>
        <w:adjustRightInd w:val="0"/>
        <w:ind w:left="851" w:hanging="425"/>
        <w:contextualSpacing/>
        <w:textAlignment w:val="baseline"/>
        <w:rPr>
          <w:spacing w:val="-4"/>
        </w:rPr>
      </w:pPr>
      <w:r>
        <w:t>установяване на ефективен и гарантиран достъп до изцяло компенсирани часове за обучение за всички работници;</w:t>
      </w:r>
    </w:p>
    <w:p w:rsidRPr="00F3125C" w:rsidR="00826962" w:rsidP="00F34F7E" w:rsidRDefault="00826962" w14:paraId="6663E3D2" w14:textId="77777777">
      <w:pPr>
        <w:numPr>
          <w:ilvl w:val="0"/>
          <w:numId w:val="12"/>
        </w:numPr>
        <w:overflowPunct w:val="0"/>
        <w:autoSpaceDE w:val="0"/>
        <w:autoSpaceDN w:val="0"/>
        <w:adjustRightInd w:val="0"/>
        <w:ind w:left="851" w:hanging="425"/>
        <w:contextualSpacing/>
        <w:textAlignment w:val="baseline"/>
      </w:pPr>
      <w:r>
        <w:t>гарантиране на създаването на ефективни системи за участие и ефективно информиране и провеждане на консултации с работниците на равнище предприятие в съответствие с приложимите правила;</w:t>
      </w:r>
    </w:p>
    <w:p w:rsidRPr="00F3125C" w:rsidR="00826962" w:rsidP="00F34F7E" w:rsidRDefault="00826962" w14:paraId="2127D019" w14:textId="77777777">
      <w:pPr>
        <w:numPr>
          <w:ilvl w:val="0"/>
          <w:numId w:val="12"/>
        </w:numPr>
        <w:overflowPunct w:val="0"/>
        <w:autoSpaceDE w:val="0"/>
        <w:autoSpaceDN w:val="0"/>
        <w:adjustRightInd w:val="0"/>
        <w:ind w:left="851" w:hanging="425"/>
        <w:contextualSpacing/>
        <w:textAlignment w:val="baseline"/>
      </w:pPr>
      <w:r>
        <w:t>интегриране на инициативи за справедлив преход в прилагането на Европейския стълб на социалните права и европейския семестър;</w:t>
      </w:r>
    </w:p>
    <w:p w:rsidRPr="00F3125C" w:rsidR="00826962" w:rsidP="00F34F7E" w:rsidRDefault="00826962" w14:paraId="0F671CA3" w14:textId="77777777">
      <w:pPr>
        <w:numPr>
          <w:ilvl w:val="0"/>
          <w:numId w:val="12"/>
        </w:numPr>
        <w:overflowPunct w:val="0"/>
        <w:autoSpaceDE w:val="0"/>
        <w:autoSpaceDN w:val="0"/>
        <w:adjustRightInd w:val="0"/>
        <w:ind w:left="851" w:hanging="425"/>
        <w:contextualSpacing/>
        <w:textAlignment w:val="baseline"/>
      </w:pPr>
      <w:r>
        <w:t xml:space="preserve">създаване на силни стимули за предприятията: </w:t>
      </w:r>
    </w:p>
    <w:p w:rsidRPr="00F3125C" w:rsidR="00826962" w:rsidP="00643D0B" w:rsidRDefault="00826962" w14:paraId="01C24C9F"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257641" w:id="26"/>
      <w:r>
        <w:rPr>
          <w:b/>
        </w:rPr>
        <w:t xml:space="preserve">да </w:t>
      </w:r>
      <w:proofErr w:type="spellStart"/>
      <w:r>
        <w:rPr>
          <w:b/>
        </w:rPr>
        <w:t>приоритизират</w:t>
      </w:r>
      <w:proofErr w:type="spellEnd"/>
      <w:r>
        <w:rPr>
          <w:b/>
        </w:rPr>
        <w:t xml:space="preserve"> повишаването на квалификацията</w:t>
      </w:r>
      <w:r>
        <w:t xml:space="preserve"> на работниците си, за да запълнят недостига на умения;</w:t>
      </w:r>
      <w:bookmarkEnd w:id="26"/>
    </w:p>
    <w:p w:rsidRPr="00F3125C" w:rsidR="00826962" w:rsidP="00643D0B" w:rsidRDefault="00826962" w14:paraId="1602141B"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257642" w:id="27"/>
      <w:r>
        <w:t xml:space="preserve">да изготвят, публикуват и редовно актуализират </w:t>
      </w:r>
      <w:r>
        <w:rPr>
          <w:b/>
        </w:rPr>
        <w:t>плановете за преход на предприятията</w:t>
      </w:r>
      <w:r>
        <w:t>;</w:t>
      </w:r>
      <w:bookmarkEnd w:id="27"/>
    </w:p>
    <w:p w:rsidRPr="00F3125C" w:rsidR="00826962" w:rsidP="00643D0B" w:rsidRDefault="00826962" w14:paraId="68CA06F5"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257643" w:id="28"/>
      <w:r>
        <w:t>и да насърчават увеличаването на вноските за чиракуване и обучение в съответствие с националните модели с цел частично финансиране на обучението на работниците на регионално равнище;</w:t>
      </w:r>
      <w:bookmarkEnd w:id="28"/>
    </w:p>
    <w:p w:rsidRPr="00F3125C" w:rsidR="00826962" w:rsidP="00643D0B" w:rsidRDefault="00826962" w14:paraId="2979C9DC" w14:textId="77777777">
      <w:pPr>
        <w:pStyle w:val="ListParagraph"/>
        <w:numPr>
          <w:ilvl w:val="0"/>
          <w:numId w:val="32"/>
        </w:numPr>
        <w:overflowPunct w:val="0"/>
        <w:autoSpaceDE w:val="0"/>
        <w:autoSpaceDN w:val="0"/>
        <w:adjustRightInd w:val="0"/>
        <w:ind w:left="426" w:hanging="426"/>
        <w:textAlignment w:val="baseline"/>
        <w:rPr>
          <w:szCs w:val="20"/>
        </w:rPr>
      </w:pPr>
      <w:r>
        <w:lastRenderedPageBreak/>
        <w:t xml:space="preserve">препоръчва </w:t>
      </w:r>
      <w:r>
        <w:rPr>
          <w:b/>
        </w:rPr>
        <w:t>да се изготви подробно картографиране, за да се гарантира осведоменост за предизвикателствата и възможностите на прехода</w:t>
      </w:r>
      <w:r>
        <w:t>. Обсерваторията за справедлив преход може да ръководи картографирането на политиките и най-добрите практики и да подпомага държавите членки с данни и мониторинг;</w:t>
      </w:r>
    </w:p>
    <w:p w:rsidRPr="00F3125C" w:rsidR="00826962" w:rsidP="00643D0B" w:rsidRDefault="00826962" w14:paraId="4041C321" w14:textId="77777777">
      <w:pPr>
        <w:pStyle w:val="ListParagraph"/>
        <w:numPr>
          <w:ilvl w:val="0"/>
          <w:numId w:val="32"/>
        </w:numPr>
        <w:overflowPunct w:val="0"/>
        <w:autoSpaceDE w:val="0"/>
        <w:autoSpaceDN w:val="0"/>
        <w:adjustRightInd w:val="0"/>
        <w:ind w:left="426" w:hanging="426"/>
        <w:textAlignment w:val="baseline"/>
        <w:rPr>
          <w:szCs w:val="20"/>
        </w:rPr>
      </w:pPr>
      <w:r>
        <w:t xml:space="preserve">призовава Европейската комисия и държавите членки да </w:t>
      </w:r>
      <w:r>
        <w:rPr>
          <w:b/>
        </w:rPr>
        <w:t>осигурят подходящо финансиране</w:t>
      </w:r>
      <w:r>
        <w:t xml:space="preserve"> чрез увеличаване на Фонда за справедлив преход и Социалния фонд за климата и </w:t>
      </w:r>
      <w:r>
        <w:rPr>
          <w:b/>
        </w:rPr>
        <w:t>укрепване и свързване на други методи на финансиране</w:t>
      </w:r>
      <w:r>
        <w:t>, като например адаптиране на националните данъчни системи и мобилизиране на частно финансиране за прехода.</w:t>
      </w:r>
    </w:p>
    <w:p w:rsidRPr="00F3125C" w:rsidR="00C34B13" w:rsidP="00826962" w:rsidRDefault="00C34B13" w14:paraId="198C6038" w14:textId="77777777">
      <w:pPr>
        <w:overflowPunct w:val="0"/>
        <w:autoSpaceDE w:val="0"/>
        <w:autoSpaceDN w:val="0"/>
        <w:adjustRightInd w:val="0"/>
        <w:spacing w:line="240" w:lineRule="auto"/>
        <w:textAlignment w:val="baseline"/>
        <w:rPr>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5"/>
        <w:gridCol w:w="3188"/>
      </w:tblGrid>
      <w:tr w:rsidRPr="00F3125C" w:rsidR="00826962" w:rsidTr="00AD4C7B" w14:paraId="4CC0AE38" w14:textId="77777777">
        <w:tc>
          <w:tcPr>
            <w:tcW w:w="0" w:type="auto"/>
          </w:tcPr>
          <w:p w:rsidRPr="00F3125C" w:rsidR="00826962" w:rsidP="00643D0B" w:rsidRDefault="00826962" w14:paraId="1380C3A1" w14:textId="77777777">
            <w:pPr>
              <w:overflowPunct w:val="0"/>
              <w:autoSpaceDE w:val="0"/>
              <w:autoSpaceDN w:val="0"/>
              <w:adjustRightInd w:val="0"/>
              <w:spacing w:line="240" w:lineRule="auto"/>
              <w:ind w:left="709" w:hanging="393"/>
              <w:textAlignment w:val="baseline"/>
              <w:rPr>
                <w:i/>
              </w:rPr>
            </w:pPr>
            <w:r>
              <w:rPr>
                <w:b/>
                <w:i/>
              </w:rPr>
              <w:t>За контакти</w:t>
            </w:r>
          </w:p>
        </w:tc>
        <w:tc>
          <w:tcPr>
            <w:tcW w:w="0" w:type="auto"/>
          </w:tcPr>
          <w:p w:rsidRPr="00F3125C" w:rsidR="00826962" w:rsidP="00643D0B" w:rsidRDefault="00826962" w14:paraId="4DDDB049" w14:textId="709CFDFF">
            <w:pPr>
              <w:overflowPunct w:val="0"/>
              <w:autoSpaceDE w:val="0"/>
              <w:autoSpaceDN w:val="0"/>
              <w:adjustRightInd w:val="0"/>
              <w:spacing w:line="240" w:lineRule="auto"/>
              <w:ind w:left="709" w:hanging="393"/>
              <w:textAlignment w:val="baseline"/>
              <w:rPr>
                <w:i/>
              </w:rPr>
            </w:pPr>
            <w:proofErr w:type="spellStart"/>
            <w:r>
              <w:t>Nicolas</w:t>
            </w:r>
            <w:proofErr w:type="spellEnd"/>
            <w:r>
              <w:t xml:space="preserve"> </w:t>
            </w:r>
            <w:proofErr w:type="spellStart"/>
            <w:r>
              <w:t>Stenger</w:t>
            </w:r>
            <w:proofErr w:type="spellEnd"/>
          </w:p>
        </w:tc>
      </w:tr>
      <w:tr w:rsidRPr="00F3125C" w:rsidR="00826962" w:rsidTr="00AD4C7B" w14:paraId="3B11FE8D" w14:textId="77777777">
        <w:tc>
          <w:tcPr>
            <w:tcW w:w="0" w:type="auto"/>
          </w:tcPr>
          <w:p w:rsidRPr="00F3125C" w:rsidR="00826962" w:rsidP="00643D0B" w:rsidRDefault="00826962" w14:paraId="16E8820C" w14:textId="77777777">
            <w:pPr>
              <w:overflowPunct w:val="0"/>
              <w:autoSpaceDE w:val="0"/>
              <w:autoSpaceDN w:val="0"/>
              <w:adjustRightInd w:val="0"/>
              <w:spacing w:line="240" w:lineRule="auto"/>
              <w:ind w:left="709" w:hanging="393"/>
              <w:textAlignment w:val="baseline"/>
              <w:rPr>
                <w:i/>
              </w:rPr>
            </w:pPr>
            <w:r>
              <w:rPr>
                <w:i/>
              </w:rPr>
              <w:t>Тел.</w:t>
            </w:r>
          </w:p>
        </w:tc>
        <w:tc>
          <w:tcPr>
            <w:tcW w:w="0" w:type="auto"/>
          </w:tcPr>
          <w:p w:rsidRPr="00F3125C" w:rsidR="00826962" w:rsidP="00643D0B" w:rsidRDefault="00826962" w14:paraId="70D1C8D1" w14:textId="77777777">
            <w:pPr>
              <w:overflowPunct w:val="0"/>
              <w:autoSpaceDE w:val="0"/>
              <w:autoSpaceDN w:val="0"/>
              <w:adjustRightInd w:val="0"/>
              <w:spacing w:line="240" w:lineRule="auto"/>
              <w:ind w:left="709" w:hanging="393"/>
              <w:textAlignment w:val="baseline"/>
              <w:rPr>
                <w:i/>
                <w:iCs/>
              </w:rPr>
            </w:pPr>
            <w:r>
              <w:rPr>
                <w:i/>
              </w:rPr>
              <w:t>+32 25468152</w:t>
            </w:r>
          </w:p>
        </w:tc>
      </w:tr>
      <w:tr w:rsidRPr="00F3125C" w:rsidR="00826962" w:rsidTr="00AD4C7B" w14:paraId="5D4735FD" w14:textId="77777777">
        <w:tc>
          <w:tcPr>
            <w:tcW w:w="0" w:type="auto"/>
          </w:tcPr>
          <w:p w:rsidRPr="00F3125C" w:rsidR="00826962" w:rsidP="00643D0B" w:rsidRDefault="005A452F" w14:paraId="3C5F2E2E" w14:textId="50AE576F">
            <w:pPr>
              <w:overflowPunct w:val="0"/>
              <w:autoSpaceDE w:val="0"/>
              <w:autoSpaceDN w:val="0"/>
              <w:adjustRightInd w:val="0"/>
              <w:spacing w:line="240" w:lineRule="auto"/>
              <w:ind w:left="709" w:hanging="393"/>
              <w:textAlignment w:val="baseline"/>
              <w:rPr>
                <w:i/>
              </w:rPr>
            </w:pPr>
            <w:r>
              <w:rPr>
                <w:i/>
              </w:rPr>
              <w:t>Електронен адрес</w:t>
            </w:r>
          </w:p>
        </w:tc>
        <w:tc>
          <w:tcPr>
            <w:tcW w:w="0" w:type="auto"/>
          </w:tcPr>
          <w:p w:rsidRPr="00F3125C" w:rsidR="00826962" w:rsidP="00643D0B" w:rsidRDefault="008C5F08" w14:paraId="2A7B7513" w14:textId="77777777">
            <w:pPr>
              <w:overflowPunct w:val="0"/>
              <w:autoSpaceDE w:val="0"/>
              <w:autoSpaceDN w:val="0"/>
              <w:adjustRightInd w:val="0"/>
              <w:spacing w:line="240" w:lineRule="auto"/>
              <w:ind w:left="709" w:hanging="393"/>
              <w:textAlignment w:val="baseline"/>
              <w:rPr>
                <w:i/>
                <w:iCs/>
                <w:color w:val="0000FF"/>
                <w:u w:val="single"/>
              </w:rPr>
            </w:pPr>
            <w:hyperlink w:history="1" r:id="rId44">
              <w:r w:rsidR="00981740">
                <w:rPr>
                  <w:i/>
                  <w:color w:val="0000FF"/>
                  <w:u w:val="single"/>
                </w:rPr>
                <w:t>Nicolas.Stenger@eesc.europa.eu</w:t>
              </w:r>
            </w:hyperlink>
          </w:p>
        </w:tc>
      </w:tr>
    </w:tbl>
    <w:p w:rsidRPr="00F3125C" w:rsidR="00C70B4C" w:rsidRDefault="00C70B4C" w14:paraId="2B905F39" w14:textId="783348CF">
      <w:pPr>
        <w:spacing w:after="160" w:line="259" w:lineRule="auto"/>
        <w:jc w:val="left"/>
      </w:pPr>
    </w:p>
    <w:p w:rsidRPr="00F3125C" w:rsidR="007F5784" w:rsidP="006D6D4E" w:rsidRDefault="007F5784" w14:paraId="14026A78" w14:textId="4FAE1588">
      <w:pPr>
        <w:pStyle w:val="Heading1"/>
        <w:keepNext/>
        <w:keepLines/>
        <w:rPr>
          <w:b/>
        </w:rPr>
      </w:pPr>
      <w:bookmarkStart w:name="_Toc185257644" w:id="29"/>
      <w:r>
        <w:rPr>
          <w:b/>
        </w:rPr>
        <w:t>ВЪНШНИ ОТНОШЕНИЯ</w:t>
      </w:r>
      <w:bookmarkEnd w:id="29"/>
    </w:p>
    <w:p w:rsidRPr="00F3125C" w:rsidR="007F5784" w:rsidP="006D6D4E" w:rsidRDefault="007F5784" w14:paraId="3BBB3E68" w14:textId="77777777">
      <w:pPr>
        <w:keepNext/>
        <w:keepLines/>
        <w:rPr>
          <w:lang w:val="en-GB"/>
        </w:rPr>
      </w:pPr>
    </w:p>
    <w:p w:rsidRPr="00F3125C" w:rsidR="00B96875" w:rsidP="00B96875" w:rsidRDefault="008C5F08" w14:paraId="7464D4C7" w14:textId="4B5D0BEC">
      <w:pPr>
        <w:widowControl w:val="0"/>
        <w:numPr>
          <w:ilvl w:val="0"/>
          <w:numId w:val="6"/>
        </w:numPr>
        <w:overflowPunct w:val="0"/>
        <w:autoSpaceDE w:val="0"/>
        <w:autoSpaceDN w:val="0"/>
        <w:adjustRightInd w:val="0"/>
        <w:ind w:hanging="567"/>
        <w:textAlignment w:val="baseline"/>
        <w:rPr>
          <w:sz w:val="24"/>
          <w:szCs w:val="24"/>
        </w:rPr>
      </w:pPr>
      <w:hyperlink w:history="1" r:id="rId45">
        <w:r w:rsidR="00981740">
          <w:rPr>
            <w:b/>
            <w:i/>
            <w:color w:val="0000FF"/>
            <w:sz w:val="28"/>
            <w:u w:val="single"/>
          </w:rPr>
          <w:t>Решение относно тълкуването и прилагането на Договора за Енергийната харта</w:t>
        </w:r>
      </w:hyperlink>
    </w:p>
    <w:p w:rsidRPr="00F3125C" w:rsidR="00B96875" w:rsidP="00B96875" w:rsidRDefault="00B96875" w14:paraId="5B43C9D5" w14:textId="77777777">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387"/>
      </w:tblGrid>
      <w:tr w:rsidRPr="00F3125C" w:rsidR="00B96875" w:rsidTr="00863A8F" w14:paraId="0BEC8599" w14:textId="77777777">
        <w:tc>
          <w:tcPr>
            <w:tcW w:w="1560" w:type="dxa"/>
          </w:tcPr>
          <w:p w:rsidRPr="00F3125C" w:rsidR="00B96875" w:rsidP="00B96875" w:rsidRDefault="00B96875" w14:paraId="52A2CDD0" w14:textId="77777777">
            <w:pPr>
              <w:tabs>
                <w:tab w:val="center" w:pos="29"/>
              </w:tabs>
              <w:overflowPunct w:val="0"/>
              <w:autoSpaceDE w:val="0"/>
              <w:autoSpaceDN w:val="0"/>
              <w:adjustRightInd w:val="0"/>
              <w:ind w:left="171" w:hanging="266"/>
              <w:textAlignment w:val="baseline"/>
              <w:rPr>
                <w:b/>
              </w:rPr>
            </w:pPr>
            <w:r>
              <w:rPr>
                <w:b/>
              </w:rPr>
              <w:t>Докладчик</w:t>
            </w:r>
          </w:p>
        </w:tc>
        <w:tc>
          <w:tcPr>
            <w:tcW w:w="5387" w:type="dxa"/>
          </w:tcPr>
          <w:p w:rsidRPr="00F3125C" w:rsidR="00B96875" w:rsidP="00B96875" w:rsidRDefault="00B96875" w14:paraId="4ABE91CF" w14:textId="4B9F4B54">
            <w:pPr>
              <w:tabs>
                <w:tab w:val="center" w:pos="284"/>
              </w:tabs>
              <w:overflowPunct w:val="0"/>
              <w:autoSpaceDE w:val="0"/>
              <w:autoSpaceDN w:val="0"/>
              <w:adjustRightInd w:val="0"/>
              <w:ind w:left="266" w:hanging="266"/>
              <w:textAlignment w:val="baseline"/>
            </w:pPr>
            <w:proofErr w:type="spellStart"/>
            <w:r>
              <w:t>Christophe</w:t>
            </w:r>
            <w:proofErr w:type="spellEnd"/>
            <w:r>
              <w:t xml:space="preserve"> QUAREZ (група „Работници“ — FR)</w:t>
            </w:r>
          </w:p>
        </w:tc>
      </w:tr>
      <w:tr w:rsidRPr="00F3125C" w:rsidR="00B96875" w:rsidTr="00863A8F" w14:paraId="77C05020" w14:textId="77777777">
        <w:tc>
          <w:tcPr>
            <w:tcW w:w="6945" w:type="dxa"/>
            <w:gridSpan w:val="2"/>
          </w:tcPr>
          <w:p w:rsidRPr="00F3125C" w:rsidR="00B96875" w:rsidP="00B96875" w:rsidRDefault="00B96875" w14:paraId="0BCDF86E" w14:textId="77777777">
            <w:pPr>
              <w:tabs>
                <w:tab w:val="center" w:pos="29"/>
              </w:tabs>
              <w:overflowPunct w:val="0"/>
              <w:autoSpaceDE w:val="0"/>
              <w:autoSpaceDN w:val="0"/>
              <w:adjustRightInd w:val="0"/>
              <w:spacing w:line="160" w:lineRule="exact"/>
              <w:ind w:left="171" w:hanging="266"/>
              <w:textAlignment w:val="baseline"/>
              <w:rPr>
                <w:lang w:val="en-GB"/>
              </w:rPr>
            </w:pPr>
          </w:p>
        </w:tc>
      </w:tr>
      <w:tr w:rsidRPr="00F3125C" w:rsidR="00B96875" w:rsidTr="00863A8F" w14:paraId="04A8380E" w14:textId="77777777">
        <w:tc>
          <w:tcPr>
            <w:tcW w:w="1560" w:type="dxa"/>
            <w:vMerge w:val="restart"/>
          </w:tcPr>
          <w:p w:rsidRPr="00F3125C" w:rsidR="00B96875" w:rsidP="00B96875" w:rsidRDefault="00B96875" w14:paraId="27CED65C" w14:textId="77777777">
            <w:pPr>
              <w:tabs>
                <w:tab w:val="center" w:pos="29"/>
              </w:tabs>
              <w:overflowPunct w:val="0"/>
              <w:autoSpaceDE w:val="0"/>
              <w:autoSpaceDN w:val="0"/>
              <w:adjustRightInd w:val="0"/>
              <w:ind w:left="171" w:hanging="266"/>
              <w:textAlignment w:val="baseline"/>
              <w:rPr>
                <w:b/>
              </w:rPr>
            </w:pPr>
            <w:r>
              <w:rPr>
                <w:b/>
              </w:rPr>
              <w:t xml:space="preserve">Отправни документи </w:t>
            </w:r>
          </w:p>
        </w:tc>
        <w:tc>
          <w:tcPr>
            <w:tcW w:w="5387" w:type="dxa"/>
          </w:tcPr>
          <w:p w:rsidRPr="00F3125C" w:rsidR="00B96875" w:rsidP="00B96875" w:rsidRDefault="00B96875" w14:paraId="45024F47" w14:textId="77777777">
            <w:pPr>
              <w:tabs>
                <w:tab w:val="center" w:pos="284"/>
              </w:tabs>
              <w:overflowPunct w:val="0"/>
              <w:autoSpaceDE w:val="0"/>
              <w:autoSpaceDN w:val="0"/>
              <w:adjustRightInd w:val="0"/>
              <w:ind w:left="266" w:hanging="266"/>
              <w:textAlignment w:val="baseline"/>
            </w:pPr>
            <w:r>
              <w:t xml:space="preserve">COM(2024) 257 </w:t>
            </w:r>
            <w:proofErr w:type="spellStart"/>
            <w:r>
              <w:t>final</w:t>
            </w:r>
            <w:proofErr w:type="spellEnd"/>
          </w:p>
        </w:tc>
      </w:tr>
      <w:tr w:rsidRPr="00F3125C" w:rsidR="00B96875" w:rsidTr="00863A8F" w14:paraId="477DC2D7" w14:textId="77777777">
        <w:tc>
          <w:tcPr>
            <w:tcW w:w="1560" w:type="dxa"/>
            <w:vMerge/>
          </w:tcPr>
          <w:p w:rsidRPr="00F3125C" w:rsidR="00B96875" w:rsidP="00B96875" w:rsidRDefault="00B96875" w14:paraId="447B1BB8"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F3125C" w:rsidR="00B96875" w:rsidP="00B96875" w:rsidRDefault="00B96875" w14:paraId="41E3493F" w14:textId="3919B340">
            <w:pPr>
              <w:tabs>
                <w:tab w:val="center" w:pos="284"/>
              </w:tabs>
              <w:overflowPunct w:val="0"/>
              <w:autoSpaceDE w:val="0"/>
              <w:autoSpaceDN w:val="0"/>
              <w:adjustRightInd w:val="0"/>
              <w:spacing w:after="240"/>
              <w:ind w:left="266" w:hanging="266"/>
              <w:textAlignment w:val="baseline"/>
            </w:pPr>
            <w:r>
              <w:t>EESC-2024-03646-00-00-AC</w:t>
            </w:r>
          </w:p>
        </w:tc>
      </w:tr>
    </w:tbl>
    <w:p w:rsidRPr="00F3125C" w:rsidR="00B96875" w:rsidP="00B96875" w:rsidRDefault="00B96875" w14:paraId="3EA87A7D"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B96875" w:rsidP="00B96875" w:rsidRDefault="00B96875" w14:paraId="606FD2B8"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B96875" w:rsidP="00B96875" w:rsidRDefault="00B96875" w14:paraId="3CF3B75C" w14:textId="77777777">
      <w:pPr>
        <w:overflowPunct w:val="0"/>
        <w:autoSpaceDE w:val="0"/>
        <w:autoSpaceDN w:val="0"/>
        <w:adjustRightInd w:val="0"/>
        <w:textAlignment w:val="baseline"/>
        <w:rPr>
          <w:bCs/>
          <w:iCs/>
        </w:rPr>
      </w:pPr>
      <w:r>
        <w:t>ЕИСК:</w:t>
      </w:r>
    </w:p>
    <w:p w:rsidRPr="00F3125C" w:rsidR="00B96875" w:rsidP="00B96875" w:rsidRDefault="00B96875" w14:paraId="6CCE0814" w14:textId="77777777">
      <w:pPr>
        <w:overflowPunct w:val="0"/>
        <w:autoSpaceDE w:val="0"/>
        <w:autoSpaceDN w:val="0"/>
        <w:adjustRightInd w:val="0"/>
        <w:textAlignment w:val="baseline"/>
        <w:rPr>
          <w:bCs/>
          <w:iCs/>
          <w:lang w:val="en-GB"/>
        </w:rPr>
      </w:pPr>
    </w:p>
    <w:p w:rsidRPr="00F3125C" w:rsidR="00B96875" w:rsidP="00643D0B" w:rsidRDefault="00B96875" w14:paraId="3718E84B" w14:textId="77777777">
      <w:pPr>
        <w:widowControl w:val="0"/>
        <w:numPr>
          <w:ilvl w:val="0"/>
          <w:numId w:val="36"/>
        </w:numPr>
        <w:overflowPunct w:val="0"/>
        <w:autoSpaceDE w:val="0"/>
        <w:autoSpaceDN w:val="0"/>
        <w:adjustRightInd w:val="0"/>
        <w:ind w:left="284" w:hanging="284"/>
        <w:textAlignment w:val="baseline"/>
      </w:pPr>
      <w:r>
        <w:rPr>
          <w:b/>
        </w:rPr>
        <w:t>подкрепя приемането на Споразумението относно тълкуването и прилагането на Договора за Енергийната харта (ДЕХ)</w:t>
      </w:r>
      <w:r>
        <w:t xml:space="preserve"> между Европейския съюз, Европейската общност за атомна енергия и техните държави членки и отбелязва официалното оттегляне на ЕС от ДЕХ на 27 юни 2024 г.;</w:t>
      </w:r>
    </w:p>
    <w:p w:rsidRPr="00F3125C" w:rsidR="00B96875" w:rsidP="00643D0B" w:rsidRDefault="00B96875" w14:paraId="519456FE" w14:textId="77777777">
      <w:pPr>
        <w:widowControl w:val="0"/>
        <w:numPr>
          <w:ilvl w:val="0"/>
          <w:numId w:val="36"/>
        </w:numPr>
        <w:overflowPunct w:val="0"/>
        <w:autoSpaceDE w:val="0"/>
        <w:autoSpaceDN w:val="0"/>
        <w:adjustRightInd w:val="0"/>
        <w:ind w:left="284" w:hanging="284"/>
        <w:textAlignment w:val="baseline"/>
      </w:pPr>
      <w:r>
        <w:t xml:space="preserve">изразява съгласие със Съда на Европейския съюз, че </w:t>
      </w:r>
      <w:r>
        <w:rPr>
          <w:b/>
        </w:rPr>
        <w:t>член 26, параграф 2 от ДЕХ е несъвместим с правото на ЕС</w:t>
      </w:r>
      <w:r>
        <w:t>, и подчертава, че ДЕХ никога не е бил предназначен да се прилага за отношенията в рамките на ЕС;</w:t>
      </w:r>
    </w:p>
    <w:p w:rsidRPr="00F3125C" w:rsidR="00B96875" w:rsidP="00643D0B" w:rsidRDefault="00B96875" w14:paraId="42DA2EA2" w14:textId="77777777">
      <w:pPr>
        <w:widowControl w:val="0"/>
        <w:numPr>
          <w:ilvl w:val="0"/>
          <w:numId w:val="36"/>
        </w:numPr>
        <w:overflowPunct w:val="0"/>
        <w:autoSpaceDE w:val="0"/>
        <w:autoSpaceDN w:val="0"/>
        <w:adjustRightInd w:val="0"/>
        <w:ind w:left="284" w:hanging="284"/>
        <w:textAlignment w:val="baseline"/>
      </w:pPr>
      <w:r>
        <w:t xml:space="preserve">подчертава, че механизмът на ДЕХ за уреждане на спорове между инвеститор и държава (УСИД) може да </w:t>
      </w:r>
      <w:r>
        <w:rPr>
          <w:b/>
        </w:rPr>
        <w:t>подкопае принципите на правовата държава, демокрацията, прозрачността и съгласуваността</w:t>
      </w:r>
      <w:r>
        <w:t>, като позволи на инвеститорите да заобикалят националните съдилища и да оспорват националните закони, засягащи очакванията за печалба;</w:t>
      </w:r>
    </w:p>
    <w:p w:rsidRPr="00F3125C" w:rsidR="00B96875" w:rsidP="00643D0B" w:rsidRDefault="00B96875" w14:paraId="473BC6F5" w14:textId="77777777">
      <w:pPr>
        <w:widowControl w:val="0"/>
        <w:numPr>
          <w:ilvl w:val="0"/>
          <w:numId w:val="36"/>
        </w:numPr>
        <w:overflowPunct w:val="0"/>
        <w:autoSpaceDE w:val="0"/>
        <w:autoSpaceDN w:val="0"/>
        <w:adjustRightInd w:val="0"/>
        <w:ind w:left="284" w:hanging="284"/>
        <w:textAlignment w:val="baseline"/>
      </w:pPr>
      <w:r>
        <w:t xml:space="preserve">изтъква, че </w:t>
      </w:r>
      <w:r>
        <w:rPr>
          <w:b/>
        </w:rPr>
        <w:t>защитата на инвестициите в изкопаеми горива от ДЕХ противоречи на целите в областта на климата</w:t>
      </w:r>
      <w:r>
        <w:t>, като например Европейския зелен пакт и Парижкото споразумение;</w:t>
      </w:r>
    </w:p>
    <w:p w:rsidRPr="00F3125C" w:rsidR="00B96875" w:rsidP="00643D0B" w:rsidRDefault="00B96875" w14:paraId="5B4C7121" w14:textId="77777777">
      <w:pPr>
        <w:widowControl w:val="0"/>
        <w:numPr>
          <w:ilvl w:val="0"/>
          <w:numId w:val="36"/>
        </w:numPr>
        <w:overflowPunct w:val="0"/>
        <w:autoSpaceDE w:val="0"/>
        <w:autoSpaceDN w:val="0"/>
        <w:adjustRightInd w:val="0"/>
        <w:ind w:left="284" w:hanging="284"/>
        <w:textAlignment w:val="baseline"/>
      </w:pPr>
      <w:r>
        <w:t xml:space="preserve">насърчава </w:t>
      </w:r>
      <w:r>
        <w:rPr>
          <w:b/>
        </w:rPr>
        <w:t>споразумения с трети държави</w:t>
      </w:r>
      <w:r>
        <w:t xml:space="preserve"> като Обединеното кралство с оглед на отстраняването на рисковете от арбитраж, дължащи се на клаузата за удължаване на защитата от 20 години на ДЕХ; </w:t>
      </w:r>
    </w:p>
    <w:p w:rsidRPr="00F3125C" w:rsidR="00B96875" w:rsidP="00643D0B" w:rsidRDefault="00B96875" w14:paraId="1E9CEDCF" w14:textId="77777777">
      <w:pPr>
        <w:widowControl w:val="0"/>
        <w:numPr>
          <w:ilvl w:val="0"/>
          <w:numId w:val="36"/>
        </w:numPr>
        <w:overflowPunct w:val="0"/>
        <w:autoSpaceDE w:val="0"/>
        <w:autoSpaceDN w:val="0"/>
        <w:adjustRightInd w:val="0"/>
        <w:ind w:left="284" w:hanging="284"/>
        <w:textAlignment w:val="baseline"/>
      </w:pPr>
      <w:r>
        <w:t xml:space="preserve">призовава за проучване на правни механизми за неутрализиране на последиците от клаузата за удължаване на защитата, като се предотвратя продължителни рискове от арбитраж, които </w:t>
      </w:r>
      <w:r>
        <w:rPr>
          <w:b/>
        </w:rPr>
        <w:t xml:space="preserve">биха могли да възпрепятстват постигането на целите на ЕС в областта на климата и </w:t>
      </w:r>
      <w:r>
        <w:rPr>
          <w:b/>
        </w:rPr>
        <w:lastRenderedPageBreak/>
        <w:t>енергийния преход</w:t>
      </w:r>
      <w:r>
        <w:t>;</w:t>
      </w:r>
    </w:p>
    <w:p w:rsidRPr="00F3125C" w:rsidR="00B96875" w:rsidP="00643D0B" w:rsidRDefault="00B96875" w14:paraId="055BEA7B" w14:textId="77777777">
      <w:pPr>
        <w:widowControl w:val="0"/>
        <w:numPr>
          <w:ilvl w:val="0"/>
          <w:numId w:val="36"/>
        </w:numPr>
        <w:overflowPunct w:val="0"/>
        <w:autoSpaceDE w:val="0"/>
        <w:autoSpaceDN w:val="0"/>
        <w:adjustRightInd w:val="0"/>
        <w:ind w:left="284" w:hanging="284"/>
        <w:textAlignment w:val="baseline"/>
      </w:pPr>
      <w:r>
        <w:t xml:space="preserve">настоятелно призовава останалите държави членки да обмислят оттегляне от ДЕХ поради неговите трайни проблеми и </w:t>
      </w:r>
      <w:r>
        <w:rPr>
          <w:b/>
        </w:rPr>
        <w:t>се застъпва за разработването на нова многостранна рамка за сътрудничество в областта на енергетиката</w:t>
      </w:r>
      <w:r>
        <w:t>, която:</w:t>
      </w:r>
    </w:p>
    <w:p w:rsidRPr="00F3125C" w:rsidR="00B96875" w:rsidP="00643D0B" w:rsidRDefault="00B96875" w14:paraId="323F20B7" w14:textId="77777777">
      <w:pPr>
        <w:widowControl w:val="0"/>
        <w:numPr>
          <w:ilvl w:val="0"/>
          <w:numId w:val="37"/>
        </w:numPr>
        <w:overflowPunct w:val="0"/>
        <w:autoSpaceDE w:val="0"/>
        <w:autoSpaceDN w:val="0"/>
        <w:adjustRightInd w:val="0"/>
        <w:textAlignment w:val="baseline"/>
      </w:pPr>
      <w:r>
        <w:t>дава приоритет на устойчивите и възобновяеми енергийни източници;</w:t>
      </w:r>
    </w:p>
    <w:p w:rsidRPr="00F3125C" w:rsidR="00B96875" w:rsidP="00643D0B" w:rsidRDefault="00B96875" w14:paraId="3AD6D084" w14:textId="77777777">
      <w:pPr>
        <w:widowControl w:val="0"/>
        <w:numPr>
          <w:ilvl w:val="0"/>
          <w:numId w:val="37"/>
        </w:numPr>
        <w:overflowPunct w:val="0"/>
        <w:autoSpaceDE w:val="0"/>
        <w:autoSpaceDN w:val="0"/>
        <w:adjustRightInd w:val="0"/>
        <w:textAlignment w:val="baseline"/>
      </w:pPr>
      <w:r>
        <w:t xml:space="preserve">е в пълно съответствие с </w:t>
      </w:r>
      <w:r>
        <w:rPr>
          <w:b/>
        </w:rPr>
        <w:t>Европейския зелен пакт</w:t>
      </w:r>
      <w:r>
        <w:t>;</w:t>
      </w:r>
    </w:p>
    <w:p w:rsidRPr="00F3125C" w:rsidR="00B96875" w:rsidP="00643D0B" w:rsidRDefault="00B96875" w14:paraId="5E0A2F18" w14:textId="77777777">
      <w:pPr>
        <w:widowControl w:val="0"/>
        <w:numPr>
          <w:ilvl w:val="0"/>
          <w:numId w:val="37"/>
        </w:numPr>
        <w:overflowPunct w:val="0"/>
        <w:autoSpaceDE w:val="0"/>
        <w:autoSpaceDN w:val="0"/>
        <w:adjustRightInd w:val="0"/>
        <w:textAlignment w:val="baseline"/>
      </w:pPr>
      <w:r>
        <w:t xml:space="preserve">взема предвид </w:t>
      </w:r>
      <w:r>
        <w:rPr>
          <w:b/>
        </w:rPr>
        <w:t>справедливия преход</w:t>
      </w:r>
      <w:r>
        <w:t>;</w:t>
      </w:r>
    </w:p>
    <w:p w:rsidRPr="00F3125C" w:rsidR="00B96875" w:rsidP="00643D0B" w:rsidRDefault="00B96875" w14:paraId="47BD8F13" w14:textId="77777777">
      <w:pPr>
        <w:widowControl w:val="0"/>
        <w:numPr>
          <w:ilvl w:val="0"/>
          <w:numId w:val="37"/>
        </w:numPr>
        <w:overflowPunct w:val="0"/>
        <w:autoSpaceDE w:val="0"/>
        <w:autoSpaceDN w:val="0"/>
        <w:adjustRightInd w:val="0"/>
        <w:textAlignment w:val="baseline"/>
        <w:rPr>
          <w:bCs/>
          <w:iCs/>
        </w:rPr>
      </w:pPr>
      <w:r>
        <w:t>зачита прозрачността, демокрацията и принципите на правовата държава.</w:t>
      </w:r>
    </w:p>
    <w:p w:rsidRPr="00F3125C" w:rsidR="00B96875" w:rsidP="00B96875" w:rsidRDefault="00B96875" w14:paraId="3ADC8544" w14:textId="77777777">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125C" w:rsidR="00B96875" w:rsidTr="00863A8F" w14:paraId="76D2CF82" w14:textId="77777777">
        <w:tc>
          <w:tcPr>
            <w:tcW w:w="1418" w:type="dxa"/>
          </w:tcPr>
          <w:p w:rsidRPr="00F3125C" w:rsidR="00B96875" w:rsidP="00B96875" w:rsidRDefault="00B96875" w14:paraId="38F15925" w14:textId="77777777">
            <w:pPr>
              <w:overflowPunct w:val="0"/>
              <w:autoSpaceDE w:val="0"/>
              <w:autoSpaceDN w:val="0"/>
              <w:adjustRightInd w:val="0"/>
              <w:spacing w:line="240" w:lineRule="auto"/>
              <w:textAlignment w:val="baseline"/>
              <w:rPr>
                <w:i/>
              </w:rPr>
            </w:pPr>
            <w:r>
              <w:rPr>
                <w:b/>
                <w:i/>
              </w:rPr>
              <w:t>За контакти</w:t>
            </w:r>
          </w:p>
        </w:tc>
        <w:tc>
          <w:tcPr>
            <w:tcW w:w="5670" w:type="dxa"/>
          </w:tcPr>
          <w:p w:rsidRPr="00F3125C" w:rsidR="00B96875" w:rsidP="00B96875" w:rsidRDefault="00B96875" w14:paraId="1DF5B94F" w14:textId="77777777">
            <w:pPr>
              <w:overflowPunct w:val="0"/>
              <w:autoSpaceDE w:val="0"/>
              <w:autoSpaceDN w:val="0"/>
              <w:adjustRightInd w:val="0"/>
              <w:spacing w:line="240" w:lineRule="auto"/>
              <w:textAlignment w:val="baseline"/>
              <w:rPr>
                <w:i/>
              </w:rPr>
            </w:pPr>
            <w:proofErr w:type="spellStart"/>
            <w:r>
              <w:rPr>
                <w:i/>
              </w:rPr>
              <w:t>Marco</w:t>
            </w:r>
            <w:proofErr w:type="spellEnd"/>
            <w:r>
              <w:rPr>
                <w:i/>
              </w:rPr>
              <w:t xml:space="preserve"> </w:t>
            </w:r>
            <w:proofErr w:type="spellStart"/>
            <w:r>
              <w:rPr>
                <w:i/>
              </w:rPr>
              <w:t>Ristori</w:t>
            </w:r>
            <w:proofErr w:type="spellEnd"/>
          </w:p>
        </w:tc>
      </w:tr>
      <w:tr w:rsidRPr="00F3125C" w:rsidR="00B96875" w:rsidTr="00863A8F" w14:paraId="4AB96BAF" w14:textId="77777777">
        <w:tc>
          <w:tcPr>
            <w:tcW w:w="1418" w:type="dxa"/>
          </w:tcPr>
          <w:p w:rsidRPr="00F3125C" w:rsidR="00B96875" w:rsidP="00B96875" w:rsidRDefault="00B96875" w14:paraId="106F96D4" w14:textId="77777777">
            <w:pPr>
              <w:overflowPunct w:val="0"/>
              <w:autoSpaceDE w:val="0"/>
              <w:autoSpaceDN w:val="0"/>
              <w:adjustRightInd w:val="0"/>
              <w:spacing w:line="240" w:lineRule="auto"/>
              <w:textAlignment w:val="baseline"/>
              <w:rPr>
                <w:i/>
              </w:rPr>
            </w:pPr>
            <w:r>
              <w:rPr>
                <w:i/>
              </w:rPr>
              <w:t>Тел.</w:t>
            </w:r>
          </w:p>
        </w:tc>
        <w:tc>
          <w:tcPr>
            <w:tcW w:w="5670" w:type="dxa"/>
          </w:tcPr>
          <w:p w:rsidRPr="00F3125C" w:rsidR="00B96875" w:rsidP="00B96875" w:rsidRDefault="00B96875" w14:paraId="23FA0C5F" w14:textId="77777777">
            <w:pPr>
              <w:overflowPunct w:val="0"/>
              <w:autoSpaceDE w:val="0"/>
              <w:autoSpaceDN w:val="0"/>
              <w:adjustRightInd w:val="0"/>
              <w:spacing w:line="240" w:lineRule="auto"/>
              <w:textAlignment w:val="baseline"/>
              <w:rPr>
                <w:i/>
              </w:rPr>
            </w:pPr>
            <w:r>
              <w:rPr>
                <w:i/>
              </w:rPr>
              <w:t>+ 32 25469969</w:t>
            </w:r>
          </w:p>
        </w:tc>
      </w:tr>
      <w:tr w:rsidRPr="00F3125C" w:rsidR="00B96875" w:rsidTr="00863A8F" w14:paraId="7FC8E54F" w14:textId="77777777">
        <w:tc>
          <w:tcPr>
            <w:tcW w:w="1418" w:type="dxa"/>
          </w:tcPr>
          <w:p w:rsidRPr="00F3125C" w:rsidR="00B96875" w:rsidP="00B96875" w:rsidRDefault="00761851" w14:paraId="4664E3E1" w14:textId="29FE8102">
            <w:pPr>
              <w:overflowPunct w:val="0"/>
              <w:autoSpaceDE w:val="0"/>
              <w:autoSpaceDN w:val="0"/>
              <w:adjustRightInd w:val="0"/>
              <w:spacing w:line="240" w:lineRule="auto"/>
              <w:textAlignment w:val="baseline"/>
              <w:rPr>
                <w:i/>
              </w:rPr>
            </w:pPr>
            <w:r>
              <w:rPr>
                <w:i/>
              </w:rPr>
              <w:t>Електронен адрес</w:t>
            </w:r>
          </w:p>
        </w:tc>
        <w:tc>
          <w:tcPr>
            <w:tcW w:w="5670" w:type="dxa"/>
          </w:tcPr>
          <w:p w:rsidRPr="00F3125C" w:rsidR="00B96875" w:rsidP="00B96875" w:rsidRDefault="008C5F08" w14:paraId="2786F745" w14:textId="77777777">
            <w:pPr>
              <w:overflowPunct w:val="0"/>
              <w:autoSpaceDE w:val="0"/>
              <w:autoSpaceDN w:val="0"/>
              <w:adjustRightInd w:val="0"/>
              <w:spacing w:line="240" w:lineRule="auto"/>
              <w:textAlignment w:val="baseline"/>
              <w:rPr>
                <w:i/>
                <w:iCs/>
              </w:rPr>
            </w:pPr>
            <w:hyperlink w:history="1" r:id="rId46">
              <w:r w:rsidR="00981740">
                <w:rPr>
                  <w:i/>
                  <w:color w:val="0000FF"/>
                  <w:u w:val="single"/>
                </w:rPr>
                <w:t>Marco.Ristori@eesc.europa.eu</w:t>
              </w:r>
            </w:hyperlink>
            <w:r w:rsidR="00981740">
              <w:rPr>
                <w:i/>
              </w:rPr>
              <w:t xml:space="preserve"> </w:t>
            </w:r>
          </w:p>
        </w:tc>
      </w:tr>
    </w:tbl>
    <w:p w:rsidRPr="00F3125C" w:rsidR="00B96875" w:rsidRDefault="00B96875" w14:paraId="48402832" w14:textId="77777777">
      <w:pPr>
        <w:spacing w:after="160" w:line="259" w:lineRule="auto"/>
        <w:jc w:val="left"/>
        <w:rPr>
          <w:lang w:val="en-GB"/>
        </w:rPr>
      </w:pPr>
    </w:p>
    <w:p w:rsidRPr="00F3125C" w:rsidR="00412085" w:rsidP="00412085" w:rsidRDefault="00412085" w14:paraId="562FB9AE" w14:textId="74F4D257">
      <w:pPr>
        <w:widowControl w:val="0"/>
        <w:numPr>
          <w:ilvl w:val="0"/>
          <w:numId w:val="6"/>
        </w:numPr>
        <w:overflowPunct w:val="0"/>
        <w:autoSpaceDE w:val="0"/>
        <w:autoSpaceDN w:val="0"/>
        <w:adjustRightInd w:val="0"/>
        <w:ind w:hanging="567"/>
        <w:textAlignment w:val="baseline"/>
        <w:rPr>
          <w:color w:val="0000FF"/>
          <w:sz w:val="20"/>
          <w:szCs w:val="20"/>
          <w:u w:val="single"/>
        </w:rPr>
      </w:pPr>
      <w:r w:rsidRPr="00F3125C">
        <w:rPr>
          <w:b/>
          <w:i/>
          <w:sz w:val="28"/>
        </w:rPr>
        <w:fldChar w:fldCharType="begin"/>
      </w:r>
      <w:r w:rsidRPr="00F3125C">
        <w:rPr>
          <w:b/>
          <w:i/>
          <w:sz w:val="28"/>
        </w:rPr>
        <w:instrText xml:space="preserve"> HYPERLINK "https://www.eesc.europa.eu/bg/our-work/opinions-information-reports/opinions/water-politics-empowering-youth-women-and-indigenous-and-local-communities" </w:instrText>
      </w:r>
      <w:r w:rsidRPr="00F3125C">
        <w:rPr>
          <w:b/>
          <w:i/>
          <w:sz w:val="28"/>
        </w:rPr>
        <w:fldChar w:fldCharType="separate"/>
      </w:r>
      <w:r>
        <w:rPr>
          <w:b/>
          <w:i/>
          <w:color w:val="0000FF"/>
          <w:sz w:val="28"/>
          <w:u w:val="single"/>
        </w:rPr>
        <w:t>Политика в областта на водите: овластяване на младите хора, жените, коренните и местните общности</w:t>
      </w:r>
    </w:p>
    <w:p w:rsidRPr="00F3125C" w:rsidR="00412085" w:rsidP="00412085" w:rsidRDefault="00412085" w14:paraId="7FF33753" w14:textId="77777777">
      <w:pPr>
        <w:tabs>
          <w:tab w:val="center" w:pos="284"/>
        </w:tabs>
        <w:overflowPunct w:val="0"/>
        <w:autoSpaceDE w:val="0"/>
        <w:autoSpaceDN w:val="0"/>
        <w:adjustRightInd w:val="0"/>
        <w:ind w:left="266" w:hanging="266"/>
        <w:textAlignment w:val="baseline"/>
        <w:rPr>
          <w:b/>
        </w:rPr>
      </w:pPr>
      <w:r w:rsidRPr="00F3125C">
        <w:rPr>
          <w:b/>
          <w:i/>
          <w:sz w:val="28"/>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328"/>
      </w:tblGrid>
      <w:tr w:rsidRPr="00F3125C" w:rsidR="00412085" w:rsidTr="00863A8F" w14:paraId="5B43C61E" w14:textId="77777777">
        <w:tc>
          <w:tcPr>
            <w:tcW w:w="1111" w:type="pct"/>
          </w:tcPr>
          <w:p w:rsidRPr="00F3125C" w:rsidR="00412085" w:rsidP="00412085" w:rsidRDefault="00412085" w14:paraId="309E79AB" w14:textId="77777777">
            <w:pPr>
              <w:tabs>
                <w:tab w:val="center" w:pos="284"/>
              </w:tabs>
              <w:overflowPunct w:val="0"/>
              <w:autoSpaceDE w:val="0"/>
              <w:autoSpaceDN w:val="0"/>
              <w:adjustRightInd w:val="0"/>
              <w:ind w:left="266" w:hanging="266"/>
              <w:textAlignment w:val="baseline"/>
              <w:rPr>
                <w:b/>
              </w:rPr>
            </w:pPr>
            <w:r>
              <w:rPr>
                <w:b/>
              </w:rPr>
              <w:t>Докладчик</w:t>
            </w:r>
          </w:p>
          <w:p w:rsidRPr="00F3125C" w:rsidR="00412085" w:rsidP="00412085" w:rsidRDefault="00412085" w14:paraId="4AAE5B2E" w14:textId="77777777">
            <w:pPr>
              <w:tabs>
                <w:tab w:val="center" w:pos="284"/>
              </w:tabs>
              <w:overflowPunct w:val="0"/>
              <w:autoSpaceDE w:val="0"/>
              <w:autoSpaceDN w:val="0"/>
              <w:adjustRightInd w:val="0"/>
              <w:ind w:left="266" w:hanging="266"/>
              <w:textAlignment w:val="baseline"/>
              <w:rPr>
                <w:b/>
              </w:rPr>
            </w:pPr>
            <w:r>
              <w:rPr>
                <w:b/>
              </w:rPr>
              <w:t>Съдокладчик</w:t>
            </w:r>
          </w:p>
          <w:p w:rsidRPr="00F3125C" w:rsidR="00412085" w:rsidP="00412085" w:rsidRDefault="00412085" w14:paraId="1DECC72F" w14:textId="77777777">
            <w:pPr>
              <w:tabs>
                <w:tab w:val="center" w:pos="284"/>
              </w:tabs>
              <w:overflowPunct w:val="0"/>
              <w:autoSpaceDE w:val="0"/>
              <w:autoSpaceDN w:val="0"/>
              <w:adjustRightInd w:val="0"/>
              <w:ind w:left="266" w:hanging="266"/>
              <w:textAlignment w:val="baseline"/>
              <w:rPr>
                <w:b/>
                <w:lang w:val="en-GB"/>
              </w:rPr>
            </w:pPr>
          </w:p>
        </w:tc>
        <w:tc>
          <w:tcPr>
            <w:tcW w:w="3889" w:type="pct"/>
          </w:tcPr>
          <w:p w:rsidRPr="00F3125C" w:rsidR="00412085" w:rsidP="00412085" w:rsidRDefault="00412085" w14:paraId="1FA216E4" w14:textId="6F365C32">
            <w:pPr>
              <w:tabs>
                <w:tab w:val="center" w:pos="284"/>
              </w:tabs>
              <w:overflowPunct w:val="0"/>
              <w:autoSpaceDE w:val="0"/>
              <w:autoSpaceDN w:val="0"/>
              <w:adjustRightInd w:val="0"/>
              <w:ind w:left="266" w:hanging="266"/>
              <w:textAlignment w:val="baseline"/>
            </w:pPr>
            <w:r>
              <w:t>Милена АНГЕЛОВА (група „Работодатели“ — BG)</w:t>
            </w:r>
          </w:p>
          <w:p w:rsidRPr="00F3125C" w:rsidR="00412085" w:rsidP="00412085" w:rsidRDefault="00412085" w14:paraId="2854E0E0" w14:textId="137BEF77">
            <w:pPr>
              <w:tabs>
                <w:tab w:val="center" w:pos="284"/>
              </w:tabs>
              <w:overflowPunct w:val="0"/>
              <w:autoSpaceDE w:val="0"/>
              <w:autoSpaceDN w:val="0"/>
              <w:adjustRightInd w:val="0"/>
              <w:ind w:left="266" w:hanging="266"/>
              <w:textAlignment w:val="baseline"/>
            </w:pPr>
            <w:proofErr w:type="spellStart"/>
            <w:r>
              <w:t>Ioannis</w:t>
            </w:r>
            <w:proofErr w:type="spellEnd"/>
            <w:r>
              <w:t xml:space="preserve"> VARDAKASTANIS (група „Организации на гражданското общество“ — EL)</w:t>
            </w:r>
          </w:p>
        </w:tc>
      </w:tr>
      <w:tr w:rsidRPr="00F3125C" w:rsidR="00412085" w:rsidTr="00863A8F" w14:paraId="716B957D" w14:textId="77777777">
        <w:tc>
          <w:tcPr>
            <w:tcW w:w="5000" w:type="pct"/>
            <w:gridSpan w:val="2"/>
          </w:tcPr>
          <w:p w:rsidRPr="00F3125C" w:rsidR="00412085" w:rsidP="00412085" w:rsidRDefault="00412085" w14:paraId="5214577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412085" w:rsidTr="00863A8F" w14:paraId="7F93B548" w14:textId="77777777">
        <w:tc>
          <w:tcPr>
            <w:tcW w:w="1111" w:type="pct"/>
            <w:vMerge w:val="restart"/>
          </w:tcPr>
          <w:p w:rsidRPr="00F3125C" w:rsidR="00412085" w:rsidP="00412085" w:rsidRDefault="00412085" w14:paraId="4752DDE3"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889" w:type="pct"/>
          </w:tcPr>
          <w:p w:rsidRPr="00F3125C" w:rsidR="00114003" w:rsidP="00412085" w:rsidRDefault="00114003" w14:paraId="49B51E12" w14:textId="4A2C07A8">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412085" w:rsidP="00412085" w:rsidRDefault="00412085" w14:paraId="51172282" w14:textId="622893A5">
            <w:pPr>
              <w:tabs>
                <w:tab w:val="center" w:pos="284"/>
              </w:tabs>
              <w:overflowPunct w:val="0"/>
              <w:autoSpaceDE w:val="0"/>
              <w:autoSpaceDN w:val="0"/>
              <w:adjustRightInd w:val="0"/>
              <w:ind w:left="266" w:hanging="266"/>
              <w:textAlignment w:val="baseline"/>
            </w:pPr>
            <w:r>
              <w:t>EESC-2024-00874-00-00-AC</w:t>
            </w:r>
          </w:p>
        </w:tc>
      </w:tr>
      <w:tr w:rsidRPr="00F3125C" w:rsidR="00412085" w:rsidTr="00863A8F" w14:paraId="5D98CFA2" w14:textId="77777777">
        <w:tc>
          <w:tcPr>
            <w:tcW w:w="1111" w:type="pct"/>
            <w:vMerge/>
          </w:tcPr>
          <w:p w:rsidRPr="00F3125C" w:rsidR="00412085" w:rsidP="00412085" w:rsidRDefault="00412085" w14:paraId="609E861D" w14:textId="77777777">
            <w:pPr>
              <w:tabs>
                <w:tab w:val="center" w:pos="284"/>
              </w:tabs>
              <w:overflowPunct w:val="0"/>
              <w:autoSpaceDE w:val="0"/>
              <w:autoSpaceDN w:val="0"/>
              <w:adjustRightInd w:val="0"/>
              <w:ind w:left="266" w:hanging="266"/>
              <w:textAlignment w:val="baseline"/>
              <w:rPr>
                <w:b/>
                <w:lang w:val="en-GB"/>
              </w:rPr>
            </w:pPr>
          </w:p>
        </w:tc>
        <w:tc>
          <w:tcPr>
            <w:tcW w:w="3889" w:type="pct"/>
          </w:tcPr>
          <w:p w:rsidRPr="00F3125C" w:rsidR="00412085" w:rsidP="00412085" w:rsidRDefault="00412085" w14:paraId="3C8BE339" w14:textId="77777777">
            <w:pPr>
              <w:tabs>
                <w:tab w:val="center" w:pos="284"/>
              </w:tabs>
              <w:overflowPunct w:val="0"/>
              <w:autoSpaceDE w:val="0"/>
              <w:autoSpaceDN w:val="0"/>
              <w:adjustRightInd w:val="0"/>
              <w:ind w:left="266" w:hanging="266"/>
              <w:textAlignment w:val="baseline"/>
              <w:rPr>
                <w:lang w:val="en-GB"/>
              </w:rPr>
            </w:pPr>
          </w:p>
        </w:tc>
      </w:tr>
    </w:tbl>
    <w:p w:rsidRPr="00F3125C" w:rsidR="00412085" w:rsidP="00412085" w:rsidRDefault="00412085" w14:paraId="4A625018" w14:textId="77777777">
      <w:pPr>
        <w:tabs>
          <w:tab w:val="center" w:pos="284"/>
        </w:tabs>
        <w:overflowPunct w:val="0"/>
        <w:autoSpaceDE w:val="0"/>
        <w:autoSpaceDN w:val="0"/>
        <w:adjustRightInd w:val="0"/>
        <w:ind w:left="266" w:hanging="266"/>
        <w:textAlignment w:val="baseline"/>
        <w:rPr>
          <w:lang w:val="en-GB"/>
        </w:rPr>
      </w:pPr>
    </w:p>
    <w:p w:rsidRPr="00F3125C" w:rsidR="00412085" w:rsidP="00412085" w:rsidRDefault="00412085" w14:paraId="38A7852E"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412085" w:rsidP="00412085" w:rsidRDefault="00412085" w14:paraId="0DAD1519"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412085" w:rsidP="00412085" w:rsidRDefault="00412085" w14:paraId="440F1C53" w14:textId="77777777">
      <w:pPr>
        <w:overflowPunct w:val="0"/>
        <w:autoSpaceDE w:val="0"/>
        <w:autoSpaceDN w:val="0"/>
        <w:adjustRightInd w:val="0"/>
        <w:textAlignment w:val="baseline"/>
        <w:rPr>
          <w:bCs/>
          <w:iCs/>
        </w:rPr>
      </w:pPr>
      <w:r>
        <w:t>ЕИСК:</w:t>
      </w:r>
    </w:p>
    <w:p w:rsidRPr="00F3125C" w:rsidR="00412085" w:rsidP="00412085" w:rsidRDefault="00412085" w14:paraId="12BE777E" w14:textId="77777777">
      <w:pPr>
        <w:overflowPunct w:val="0"/>
        <w:autoSpaceDE w:val="0"/>
        <w:autoSpaceDN w:val="0"/>
        <w:adjustRightInd w:val="0"/>
        <w:textAlignment w:val="baseline"/>
        <w:rPr>
          <w:bCs/>
          <w:iCs/>
          <w:lang w:val="en-GB"/>
        </w:rPr>
      </w:pPr>
    </w:p>
    <w:p w:rsidRPr="00F3125C" w:rsidR="00412085" w:rsidP="00643D0B" w:rsidRDefault="00412085" w14:paraId="2FFAE05C" w14:textId="77777777">
      <w:pPr>
        <w:widowControl w:val="0"/>
        <w:numPr>
          <w:ilvl w:val="0"/>
          <w:numId w:val="38"/>
        </w:numPr>
        <w:overflowPunct w:val="0"/>
        <w:autoSpaceDE w:val="0"/>
        <w:autoSpaceDN w:val="0"/>
        <w:adjustRightInd w:val="0"/>
        <w:ind w:left="284" w:hanging="284"/>
        <w:textAlignment w:val="baseline"/>
        <w:rPr>
          <w:bCs/>
          <w:iCs/>
        </w:rPr>
      </w:pPr>
      <w:r>
        <w:t xml:space="preserve">припомня, че </w:t>
      </w:r>
      <w:r>
        <w:rPr>
          <w:b/>
        </w:rPr>
        <w:t>водата е от решаващо значение за човешкия живот и човешкото достойнство</w:t>
      </w:r>
      <w:r>
        <w:t xml:space="preserve"> и че ЕС признава </w:t>
      </w:r>
      <w:r>
        <w:rPr>
          <w:b/>
        </w:rPr>
        <w:t>достъпа до вода и канализация за основно човешко право</w:t>
      </w:r>
      <w:r>
        <w:t xml:space="preserve">; </w:t>
      </w:r>
    </w:p>
    <w:p w:rsidRPr="00F3125C" w:rsidR="00412085" w:rsidP="00643D0B" w:rsidRDefault="00412085" w14:paraId="467DFD1E" w14:textId="77777777">
      <w:pPr>
        <w:widowControl w:val="0"/>
        <w:numPr>
          <w:ilvl w:val="0"/>
          <w:numId w:val="38"/>
        </w:numPr>
        <w:overflowPunct w:val="0"/>
        <w:autoSpaceDE w:val="0"/>
        <w:autoSpaceDN w:val="0"/>
        <w:adjustRightInd w:val="0"/>
        <w:ind w:left="284" w:hanging="284"/>
        <w:textAlignment w:val="baseline"/>
        <w:rPr>
          <w:bCs/>
          <w:iCs/>
        </w:rPr>
      </w:pPr>
      <w:r>
        <w:t xml:space="preserve">подчертава, че </w:t>
      </w:r>
      <w:r>
        <w:rPr>
          <w:b/>
        </w:rPr>
        <w:t>младите хора, жените и коренните и местните общности (включително мигрантите и хората с увреждания)</w:t>
      </w:r>
      <w:r>
        <w:t xml:space="preserve"> са най-</w:t>
      </w:r>
      <w:r>
        <w:rPr>
          <w:b/>
        </w:rPr>
        <w:t>уязвими на недостиг на вода</w:t>
      </w:r>
      <w:r>
        <w:t xml:space="preserve"> и имат голям неизползван потенциал да допринесат за устойчивото управление на водите, да превърнат водата в инструмент за мир и стабилност и по този начин да допринесат за синята дипломация;</w:t>
      </w:r>
    </w:p>
    <w:p w:rsidRPr="00F3125C" w:rsidR="00412085" w:rsidP="00643D0B" w:rsidRDefault="00412085" w14:paraId="6A643D9D" w14:textId="77777777">
      <w:pPr>
        <w:widowControl w:val="0"/>
        <w:numPr>
          <w:ilvl w:val="0"/>
          <w:numId w:val="38"/>
        </w:numPr>
        <w:overflowPunct w:val="0"/>
        <w:autoSpaceDE w:val="0"/>
        <w:autoSpaceDN w:val="0"/>
        <w:adjustRightInd w:val="0"/>
        <w:ind w:left="284" w:hanging="284"/>
        <w:textAlignment w:val="baseline"/>
        <w:rPr>
          <w:bCs/>
          <w:iCs/>
        </w:rPr>
      </w:pPr>
      <w:r>
        <w:t xml:space="preserve">призовава ЕС да обърне дължимото </w:t>
      </w:r>
      <w:r>
        <w:rPr>
          <w:b/>
        </w:rPr>
        <w:t>внимание на тези групи в своите външни отношения и международно сътрудничество</w:t>
      </w:r>
      <w:r>
        <w:t xml:space="preserve"> и предлага създаването на </w:t>
      </w:r>
      <w:r>
        <w:rPr>
          <w:b/>
        </w:rPr>
        <w:t>водеща програма за партньорство, свързана с недостига на вода, която да предложи начини за тяхното овластяване</w:t>
      </w:r>
      <w:r>
        <w:t xml:space="preserve"> по интегриран начин;</w:t>
      </w:r>
    </w:p>
    <w:p w:rsidRPr="00F3125C" w:rsidR="00412085" w:rsidP="00643D0B" w:rsidRDefault="00412085" w14:paraId="229CA872" w14:textId="77777777">
      <w:pPr>
        <w:widowControl w:val="0"/>
        <w:numPr>
          <w:ilvl w:val="0"/>
          <w:numId w:val="38"/>
        </w:numPr>
        <w:overflowPunct w:val="0"/>
        <w:autoSpaceDE w:val="0"/>
        <w:autoSpaceDN w:val="0"/>
        <w:adjustRightInd w:val="0"/>
        <w:ind w:left="284" w:hanging="284"/>
        <w:textAlignment w:val="baseline"/>
        <w:rPr>
          <w:bCs/>
          <w:iCs/>
        </w:rPr>
      </w:pPr>
      <w:r>
        <w:t xml:space="preserve">отбелязва, че </w:t>
      </w:r>
      <w:r>
        <w:rPr>
          <w:b/>
        </w:rPr>
        <w:t>достъпът до чиста вода, образованието, заетостта и участието в изготвянето на политиките са ключови елементи на овластяването</w:t>
      </w:r>
      <w:r>
        <w:t>. По-добрият достъп до услуги за водоснабдяване, канализация и хигиена (WASH) е от решаващо значение, тъй като освобождава време за образование и обучение и създава по-разнообразни възможности за заетост и за принос към управлението и политиките в областта на водите;</w:t>
      </w:r>
    </w:p>
    <w:p w:rsidRPr="00F3125C" w:rsidR="00412085" w:rsidP="00643D0B" w:rsidRDefault="00412085" w14:paraId="6EF6F348" w14:textId="77777777">
      <w:pPr>
        <w:widowControl w:val="0"/>
        <w:numPr>
          <w:ilvl w:val="0"/>
          <w:numId w:val="38"/>
        </w:numPr>
        <w:overflowPunct w:val="0"/>
        <w:autoSpaceDE w:val="0"/>
        <w:autoSpaceDN w:val="0"/>
        <w:adjustRightInd w:val="0"/>
        <w:ind w:left="284" w:hanging="284"/>
        <w:textAlignment w:val="baseline"/>
        <w:rPr>
          <w:bCs/>
          <w:iCs/>
        </w:rPr>
      </w:pPr>
      <w:r>
        <w:t xml:space="preserve">смята, че </w:t>
      </w:r>
      <w:r>
        <w:rPr>
          <w:b/>
        </w:rPr>
        <w:t>на младите хора следва да се предоставят общи граждански и предприемачески умения</w:t>
      </w:r>
      <w:r>
        <w:t xml:space="preserve">, така че да могат да допринасят за </w:t>
      </w:r>
      <w:r>
        <w:rPr>
          <w:b/>
        </w:rPr>
        <w:t xml:space="preserve">управлението на водите, заетостта и изготвянето </w:t>
      </w:r>
      <w:r>
        <w:rPr>
          <w:b/>
        </w:rPr>
        <w:lastRenderedPageBreak/>
        <w:t>на политиките</w:t>
      </w:r>
      <w:r>
        <w:t xml:space="preserve"> като движещи сили на днешните промени и бъдещите лица, отговорни за вземането на решения;</w:t>
      </w:r>
    </w:p>
    <w:p w:rsidRPr="00F3125C" w:rsidR="00412085" w:rsidP="00643D0B" w:rsidRDefault="00412085" w14:paraId="12DFF124" w14:textId="77777777">
      <w:pPr>
        <w:widowControl w:val="0"/>
        <w:numPr>
          <w:ilvl w:val="0"/>
          <w:numId w:val="38"/>
        </w:numPr>
        <w:overflowPunct w:val="0"/>
        <w:autoSpaceDE w:val="0"/>
        <w:autoSpaceDN w:val="0"/>
        <w:adjustRightInd w:val="0"/>
        <w:ind w:left="284" w:hanging="284"/>
        <w:textAlignment w:val="baseline"/>
        <w:rPr>
          <w:bCs/>
          <w:iCs/>
        </w:rPr>
      </w:pPr>
      <w:r>
        <w:t xml:space="preserve">счита, че </w:t>
      </w:r>
      <w:r>
        <w:rPr>
          <w:b/>
        </w:rPr>
        <w:t>друг важен фактор е пълното равенство между половете в образованието, труда, органите и предприемачеството</w:t>
      </w:r>
      <w:r>
        <w:t>. Необходимо е да се обърне дължимото внимание на достойните условия на труд, включително на предотвратяването на дискриминацията и тормоза;</w:t>
      </w:r>
    </w:p>
    <w:p w:rsidRPr="00F3125C" w:rsidR="00412085" w:rsidP="00643D0B" w:rsidRDefault="00412085" w14:paraId="3432BFC8" w14:textId="77777777">
      <w:pPr>
        <w:widowControl w:val="0"/>
        <w:numPr>
          <w:ilvl w:val="0"/>
          <w:numId w:val="38"/>
        </w:numPr>
        <w:overflowPunct w:val="0"/>
        <w:autoSpaceDE w:val="0"/>
        <w:autoSpaceDN w:val="0"/>
        <w:adjustRightInd w:val="0"/>
        <w:ind w:left="284" w:hanging="284"/>
        <w:textAlignment w:val="baseline"/>
        <w:rPr>
          <w:bCs/>
          <w:iCs/>
        </w:rPr>
      </w:pPr>
      <w:r>
        <w:t xml:space="preserve">подчертава, че </w:t>
      </w:r>
      <w:r>
        <w:rPr>
          <w:b/>
        </w:rPr>
        <w:t>на местните общности трябва да се предостави достъп до инфраструктура, информация, образование и обучение</w:t>
      </w:r>
      <w:r>
        <w:t>, а организациите на гражданското общество (ОГО) на местно равнище следва да бъдат включени в процесите на изготвяне на местните политики, като ангажират и овластяват групите на коренното население;</w:t>
      </w:r>
    </w:p>
    <w:p w:rsidRPr="00F3125C" w:rsidR="00412085" w:rsidP="00643D0B" w:rsidRDefault="00412085" w14:paraId="19F41CFF" w14:textId="149E611B">
      <w:pPr>
        <w:widowControl w:val="0"/>
        <w:numPr>
          <w:ilvl w:val="0"/>
          <w:numId w:val="38"/>
        </w:numPr>
        <w:overflowPunct w:val="0"/>
        <w:autoSpaceDE w:val="0"/>
        <w:autoSpaceDN w:val="0"/>
        <w:adjustRightInd w:val="0"/>
        <w:spacing w:line="240" w:lineRule="auto"/>
        <w:ind w:left="284" w:hanging="284"/>
        <w:jc w:val="left"/>
        <w:textAlignment w:val="baseline"/>
        <w:rPr>
          <w:bCs/>
          <w:iCs/>
        </w:rPr>
      </w:pPr>
      <w:r>
        <w:t xml:space="preserve">отново изтъква, че </w:t>
      </w:r>
      <w:r>
        <w:rPr>
          <w:b/>
        </w:rPr>
        <w:t xml:space="preserve">сините и цифровите технологии са от съществено значение за подобряване на управлението на водите </w:t>
      </w:r>
      <w:r>
        <w:t xml:space="preserve">и </w:t>
      </w:r>
      <w:r>
        <w:rPr>
          <w:b/>
        </w:rPr>
        <w:t>достъпа до чиста вода и канализация</w:t>
      </w:r>
      <w:r>
        <w:t>;</w:t>
      </w:r>
    </w:p>
    <w:p w:rsidRPr="00F3125C" w:rsidR="00412085" w:rsidP="00643D0B" w:rsidRDefault="00412085" w14:paraId="0AE10E58" w14:textId="77777777">
      <w:pPr>
        <w:widowControl w:val="0"/>
        <w:numPr>
          <w:ilvl w:val="0"/>
          <w:numId w:val="38"/>
        </w:numPr>
        <w:overflowPunct w:val="0"/>
        <w:autoSpaceDE w:val="0"/>
        <w:autoSpaceDN w:val="0"/>
        <w:adjustRightInd w:val="0"/>
        <w:spacing w:line="240" w:lineRule="auto"/>
        <w:ind w:left="284" w:hanging="284"/>
        <w:textAlignment w:val="baseline"/>
        <w:rPr>
          <w:bCs/>
          <w:szCs w:val="20"/>
        </w:rPr>
      </w:pPr>
      <w:r>
        <w:t xml:space="preserve">изтъква, че </w:t>
      </w:r>
      <w:r>
        <w:rPr>
          <w:b/>
        </w:rPr>
        <w:t>съдържателното партньорство и финансиране са от решаващо значение за развитието на инфраструктурата, образованието и изграждането на общ капацитет</w:t>
      </w:r>
      <w:r>
        <w:t>. В това отношение както фондовете на ЕС, така и националните донорски програми играят решаваща роля, а координацията е от жизненоважно значение за създаването на полезни взаимодействия и извличането на максимална полза от разпределените ресурси.</w:t>
      </w:r>
    </w:p>
    <w:p w:rsidRPr="00F3125C" w:rsidR="00412085" w:rsidP="00412085" w:rsidRDefault="00412085" w14:paraId="76F00CC6" w14:textId="77777777">
      <w:pPr>
        <w:widowControl w:val="0"/>
        <w:overflowPunct w:val="0"/>
        <w:autoSpaceDE w:val="0"/>
        <w:autoSpaceDN w:val="0"/>
        <w:adjustRightInd w:val="0"/>
        <w:ind w:left="709"/>
        <w:textAlignment w:val="baseline"/>
        <w:rPr>
          <w:szCs w:val="20"/>
          <w:lang w:val="en-GB"/>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412085" w:rsidTr="00863A8F" w14:paraId="679CFF37" w14:textId="77777777">
        <w:tc>
          <w:tcPr>
            <w:tcW w:w="1556" w:type="pct"/>
          </w:tcPr>
          <w:p w:rsidRPr="00F3125C" w:rsidR="00412085" w:rsidP="00412085" w:rsidRDefault="00412085" w14:paraId="7226FAB8" w14:textId="77777777">
            <w:pPr>
              <w:overflowPunct w:val="0"/>
              <w:autoSpaceDE w:val="0"/>
              <w:autoSpaceDN w:val="0"/>
              <w:adjustRightInd w:val="0"/>
              <w:spacing w:line="240" w:lineRule="auto"/>
              <w:textAlignment w:val="baseline"/>
              <w:rPr>
                <w:i/>
              </w:rPr>
            </w:pPr>
            <w:r>
              <w:rPr>
                <w:b/>
                <w:i/>
              </w:rPr>
              <w:t>За контакти</w:t>
            </w:r>
          </w:p>
        </w:tc>
        <w:tc>
          <w:tcPr>
            <w:tcW w:w="3444" w:type="pct"/>
          </w:tcPr>
          <w:p w:rsidRPr="00F3125C" w:rsidR="00412085" w:rsidP="00412085" w:rsidRDefault="00412085" w14:paraId="5C6D492C" w14:textId="77777777">
            <w:pPr>
              <w:overflowPunct w:val="0"/>
              <w:autoSpaceDE w:val="0"/>
              <w:autoSpaceDN w:val="0"/>
              <w:adjustRightInd w:val="0"/>
              <w:spacing w:line="240" w:lineRule="auto"/>
              <w:textAlignment w:val="baseline"/>
              <w:rPr>
                <w:i/>
              </w:rPr>
            </w:pPr>
            <w:r>
              <w:rPr>
                <w:i/>
              </w:rPr>
              <w:t>Цонка Йоцова</w:t>
            </w:r>
          </w:p>
        </w:tc>
      </w:tr>
      <w:tr w:rsidRPr="00F3125C" w:rsidR="00412085" w:rsidTr="00863A8F" w14:paraId="425EFC6E" w14:textId="77777777">
        <w:tc>
          <w:tcPr>
            <w:tcW w:w="1556" w:type="pct"/>
          </w:tcPr>
          <w:p w:rsidRPr="00F3125C" w:rsidR="00412085" w:rsidP="00412085" w:rsidRDefault="00412085" w14:paraId="0CF7BFD8" w14:textId="77777777">
            <w:pPr>
              <w:overflowPunct w:val="0"/>
              <w:autoSpaceDE w:val="0"/>
              <w:autoSpaceDN w:val="0"/>
              <w:adjustRightInd w:val="0"/>
              <w:spacing w:line="240" w:lineRule="auto"/>
              <w:textAlignment w:val="baseline"/>
              <w:rPr>
                <w:i/>
              </w:rPr>
            </w:pPr>
            <w:r>
              <w:rPr>
                <w:i/>
              </w:rPr>
              <w:t>Тел.</w:t>
            </w:r>
          </w:p>
        </w:tc>
        <w:tc>
          <w:tcPr>
            <w:tcW w:w="3444" w:type="pct"/>
          </w:tcPr>
          <w:p w:rsidRPr="00F3125C" w:rsidR="00412085" w:rsidP="00412085" w:rsidRDefault="00412085" w14:paraId="1787734D" w14:textId="1AFFF71E">
            <w:pPr>
              <w:overflowPunct w:val="0"/>
              <w:autoSpaceDE w:val="0"/>
              <w:autoSpaceDN w:val="0"/>
              <w:adjustRightInd w:val="0"/>
              <w:spacing w:line="240" w:lineRule="auto"/>
              <w:textAlignment w:val="baseline"/>
              <w:rPr>
                <w:i/>
              </w:rPr>
            </w:pPr>
            <w:r>
              <w:rPr>
                <w:i/>
              </w:rPr>
              <w:t>+32 25468978</w:t>
            </w:r>
          </w:p>
        </w:tc>
      </w:tr>
      <w:tr w:rsidRPr="00F3125C" w:rsidR="00412085" w:rsidTr="00863A8F" w14:paraId="0B65A427" w14:textId="77777777">
        <w:tc>
          <w:tcPr>
            <w:tcW w:w="1556" w:type="pct"/>
          </w:tcPr>
          <w:p w:rsidRPr="00F3125C" w:rsidR="00412085" w:rsidP="00412085" w:rsidRDefault="00412085" w14:paraId="5106EF49"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412085" w:rsidP="00412085" w:rsidRDefault="008C5F08" w14:paraId="1216AFDE" w14:textId="77777777">
            <w:pPr>
              <w:overflowPunct w:val="0"/>
              <w:autoSpaceDE w:val="0"/>
              <w:autoSpaceDN w:val="0"/>
              <w:adjustRightInd w:val="0"/>
              <w:spacing w:line="240" w:lineRule="auto"/>
              <w:textAlignment w:val="baseline"/>
              <w:rPr>
                <w:i/>
              </w:rPr>
            </w:pPr>
            <w:hyperlink w:history="1" r:id="rId47">
              <w:r w:rsidR="00981740">
                <w:rPr>
                  <w:i/>
                  <w:color w:val="0000FF"/>
                  <w:u w:val="single"/>
                </w:rPr>
                <w:t>Tzonka.Iotzova@eesc.europa.eu</w:t>
              </w:r>
            </w:hyperlink>
          </w:p>
        </w:tc>
      </w:tr>
    </w:tbl>
    <w:p w:rsidRPr="00F3125C" w:rsidR="00902A1F" w:rsidRDefault="00902A1F" w14:paraId="672A3999" w14:textId="780151A0">
      <w:pPr>
        <w:spacing w:after="160" w:line="259" w:lineRule="auto"/>
        <w:jc w:val="left"/>
      </w:pPr>
    </w:p>
    <w:p w:rsidRPr="00F3125C" w:rsidR="00395260" w:rsidP="00643D0B" w:rsidRDefault="00395260" w14:paraId="2EEEDA1F" w14:textId="748FFCBB">
      <w:pPr>
        <w:pStyle w:val="ListParagraph"/>
        <w:numPr>
          <w:ilvl w:val="0"/>
          <w:numId w:val="42"/>
        </w:numPr>
        <w:ind w:left="426" w:hanging="426"/>
        <w:rPr>
          <w:color w:val="0000FF"/>
          <w:sz w:val="20"/>
          <w:szCs w:val="20"/>
          <w:u w:val="single"/>
        </w:rPr>
      </w:pPr>
      <w:r w:rsidRPr="00F3125C">
        <w:rPr>
          <w:b/>
          <w:i/>
          <w:sz w:val="28"/>
        </w:rPr>
        <w:fldChar w:fldCharType="begin"/>
      </w:r>
      <w:r w:rsidRPr="00F3125C">
        <w:rPr>
          <w:b/>
          <w:i/>
          <w:sz w:val="28"/>
        </w:rPr>
        <w:instrText>HYPERLINK "https://www.eesc.europa.eu/bg/our-work/opinions-information-reports/opinions/democracy-africa-current-situation-and-future-perspectives-what-role-eesc"</w:instrText>
      </w:r>
      <w:r w:rsidRPr="00F3125C">
        <w:rPr>
          <w:b/>
          <w:i/>
          <w:sz w:val="28"/>
        </w:rPr>
        <w:fldChar w:fldCharType="separate"/>
      </w:r>
      <w:r>
        <w:rPr>
          <w:b/>
          <w:i/>
          <w:color w:val="0000FF"/>
          <w:sz w:val="28"/>
          <w:u w:val="single"/>
        </w:rPr>
        <w:t>Демокрацията в Африка — настоящо положение и бъдещи перспективи. Каква е ролята на ЕИСК?</w:t>
      </w:r>
    </w:p>
    <w:p w:rsidRPr="00F3125C" w:rsidR="00395260" w:rsidP="00896D61" w:rsidRDefault="00395260" w14:paraId="1C329E5F" w14:textId="77777777">
      <w:pPr>
        <w:tabs>
          <w:tab w:val="center" w:pos="284"/>
        </w:tabs>
        <w:overflowPunct w:val="0"/>
        <w:autoSpaceDE w:val="0"/>
        <w:autoSpaceDN w:val="0"/>
        <w:adjustRightInd w:val="0"/>
        <w:ind w:left="426" w:hanging="426"/>
        <w:textAlignment w:val="baseline"/>
        <w:rPr>
          <w:b/>
        </w:rPr>
      </w:pPr>
      <w:r w:rsidRPr="00F3125C">
        <w:rPr>
          <w:b/>
          <w:i/>
          <w:sz w:val="28"/>
        </w:rPr>
        <w:fldChar w:fldCharType="end"/>
      </w: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4150"/>
      </w:tblGrid>
      <w:tr w:rsidRPr="00F3125C" w:rsidR="00395260" w:rsidTr="00AD4C7B" w14:paraId="322608AD" w14:textId="77777777">
        <w:tc>
          <w:tcPr>
            <w:tcW w:w="0" w:type="auto"/>
          </w:tcPr>
          <w:p w:rsidRPr="00F3125C" w:rsidR="00395260" w:rsidP="00643D0B" w:rsidRDefault="00395260" w14:paraId="5CF26472" w14:textId="77777777">
            <w:pPr>
              <w:tabs>
                <w:tab w:val="center" w:pos="284"/>
              </w:tabs>
              <w:overflowPunct w:val="0"/>
              <w:autoSpaceDE w:val="0"/>
              <w:autoSpaceDN w:val="0"/>
              <w:adjustRightInd w:val="0"/>
              <w:spacing w:line="240" w:lineRule="auto"/>
              <w:ind w:left="266" w:hanging="266"/>
              <w:textAlignment w:val="baseline"/>
              <w:rPr>
                <w:b/>
              </w:rPr>
            </w:pPr>
            <w:r>
              <w:rPr>
                <w:b/>
              </w:rPr>
              <w:t>Докладчик</w:t>
            </w:r>
          </w:p>
          <w:p w:rsidRPr="00F3125C" w:rsidR="00395260" w:rsidP="00643D0B" w:rsidRDefault="00395260" w14:paraId="5A04639F" w14:textId="77777777">
            <w:pPr>
              <w:tabs>
                <w:tab w:val="center" w:pos="284"/>
              </w:tabs>
              <w:overflowPunct w:val="0"/>
              <w:autoSpaceDE w:val="0"/>
              <w:autoSpaceDN w:val="0"/>
              <w:adjustRightInd w:val="0"/>
              <w:spacing w:line="240" w:lineRule="auto"/>
              <w:ind w:left="266" w:hanging="266"/>
              <w:textAlignment w:val="baseline"/>
              <w:rPr>
                <w:b/>
                <w:lang w:val="en-GB"/>
              </w:rPr>
            </w:pPr>
          </w:p>
        </w:tc>
        <w:tc>
          <w:tcPr>
            <w:tcW w:w="0" w:type="auto"/>
          </w:tcPr>
          <w:p w:rsidRPr="00F3125C" w:rsidR="00395260" w:rsidP="00643D0B" w:rsidRDefault="00395260" w14:paraId="756EAE6A" w14:textId="52DF9309">
            <w:pPr>
              <w:tabs>
                <w:tab w:val="center" w:pos="284"/>
              </w:tabs>
              <w:overflowPunct w:val="0"/>
              <w:autoSpaceDE w:val="0"/>
              <w:autoSpaceDN w:val="0"/>
              <w:adjustRightInd w:val="0"/>
              <w:spacing w:line="240" w:lineRule="auto"/>
              <w:ind w:left="266" w:hanging="266"/>
              <w:textAlignment w:val="baseline"/>
            </w:pPr>
            <w:proofErr w:type="spellStart"/>
            <w:r>
              <w:t>Carlos</w:t>
            </w:r>
            <w:proofErr w:type="spellEnd"/>
            <w:r>
              <w:t xml:space="preserve"> TRINDADE (група „Работници“ — PT)</w:t>
            </w:r>
          </w:p>
        </w:tc>
      </w:tr>
      <w:tr w:rsidRPr="00F3125C" w:rsidR="00395260" w:rsidTr="00AD4C7B" w14:paraId="24ECAD0B" w14:textId="77777777">
        <w:tc>
          <w:tcPr>
            <w:tcW w:w="0" w:type="auto"/>
            <w:gridSpan w:val="2"/>
          </w:tcPr>
          <w:p w:rsidRPr="00F3125C" w:rsidR="00395260" w:rsidP="00643D0B" w:rsidRDefault="00395260" w14:paraId="7827AB89" w14:textId="77777777">
            <w:pPr>
              <w:tabs>
                <w:tab w:val="center" w:pos="284"/>
              </w:tabs>
              <w:overflowPunct w:val="0"/>
              <w:autoSpaceDE w:val="0"/>
              <w:autoSpaceDN w:val="0"/>
              <w:adjustRightInd w:val="0"/>
              <w:spacing w:line="240" w:lineRule="auto"/>
              <w:ind w:left="266" w:hanging="266"/>
              <w:textAlignment w:val="baseline"/>
              <w:rPr>
                <w:lang w:val="en-GB"/>
              </w:rPr>
            </w:pPr>
          </w:p>
        </w:tc>
      </w:tr>
      <w:tr w:rsidRPr="00F3125C" w:rsidR="00395260" w:rsidTr="00AD4C7B" w14:paraId="479F66E3" w14:textId="77777777">
        <w:tc>
          <w:tcPr>
            <w:tcW w:w="0" w:type="auto"/>
            <w:vMerge w:val="restart"/>
          </w:tcPr>
          <w:p w:rsidRPr="00F3125C" w:rsidR="00395260" w:rsidP="00643D0B" w:rsidRDefault="00395260" w14:paraId="26B745A8" w14:textId="77777777">
            <w:pPr>
              <w:tabs>
                <w:tab w:val="center" w:pos="284"/>
              </w:tabs>
              <w:overflowPunct w:val="0"/>
              <w:autoSpaceDE w:val="0"/>
              <w:autoSpaceDN w:val="0"/>
              <w:adjustRightInd w:val="0"/>
              <w:spacing w:line="240" w:lineRule="auto"/>
              <w:ind w:left="266" w:hanging="266"/>
              <w:textAlignment w:val="baseline"/>
              <w:rPr>
                <w:b/>
              </w:rPr>
            </w:pPr>
            <w:r>
              <w:rPr>
                <w:b/>
              </w:rPr>
              <w:t>Отправни документи</w:t>
            </w:r>
          </w:p>
        </w:tc>
        <w:tc>
          <w:tcPr>
            <w:tcW w:w="0" w:type="auto"/>
          </w:tcPr>
          <w:p w:rsidRPr="00F3125C" w:rsidR="006C1C6C" w:rsidP="00643D0B" w:rsidRDefault="006C1C6C" w14:paraId="45C32250" w14:textId="69B9E8B2">
            <w:pPr>
              <w:tabs>
                <w:tab w:val="center" w:pos="284"/>
              </w:tabs>
              <w:overflowPunct w:val="0"/>
              <w:autoSpaceDE w:val="0"/>
              <w:autoSpaceDN w:val="0"/>
              <w:adjustRightInd w:val="0"/>
              <w:spacing w:line="240" w:lineRule="auto"/>
              <w:ind w:left="266" w:hanging="266"/>
              <w:textAlignment w:val="baseline"/>
            </w:pPr>
            <w:r>
              <w:t>Становище по собствена инициатива</w:t>
            </w:r>
          </w:p>
          <w:p w:rsidRPr="00F3125C" w:rsidR="00395260" w:rsidP="00643D0B" w:rsidRDefault="00395260" w14:paraId="5FF7FC85" w14:textId="58AEF7E9">
            <w:pPr>
              <w:tabs>
                <w:tab w:val="center" w:pos="284"/>
              </w:tabs>
              <w:overflowPunct w:val="0"/>
              <w:autoSpaceDE w:val="0"/>
              <w:autoSpaceDN w:val="0"/>
              <w:adjustRightInd w:val="0"/>
              <w:spacing w:line="240" w:lineRule="auto"/>
              <w:ind w:left="266" w:hanging="266"/>
              <w:textAlignment w:val="baseline"/>
            </w:pPr>
            <w:r>
              <w:t>EESC-2024-01631-00-00-AC</w:t>
            </w:r>
          </w:p>
        </w:tc>
      </w:tr>
      <w:tr w:rsidRPr="00F3125C" w:rsidR="00395260" w:rsidTr="00AD4C7B" w14:paraId="2B877313" w14:textId="77777777">
        <w:tc>
          <w:tcPr>
            <w:tcW w:w="0" w:type="auto"/>
            <w:vMerge/>
          </w:tcPr>
          <w:p w:rsidRPr="00F3125C" w:rsidR="00395260" w:rsidP="00395260" w:rsidRDefault="00395260" w14:paraId="493AF3DF" w14:textId="77777777">
            <w:pPr>
              <w:tabs>
                <w:tab w:val="center" w:pos="284"/>
              </w:tabs>
              <w:overflowPunct w:val="0"/>
              <w:autoSpaceDE w:val="0"/>
              <w:autoSpaceDN w:val="0"/>
              <w:adjustRightInd w:val="0"/>
              <w:ind w:left="266" w:hanging="266"/>
              <w:textAlignment w:val="baseline"/>
              <w:rPr>
                <w:b/>
                <w:lang w:val="en-GB"/>
              </w:rPr>
            </w:pPr>
          </w:p>
        </w:tc>
        <w:tc>
          <w:tcPr>
            <w:tcW w:w="0" w:type="auto"/>
          </w:tcPr>
          <w:p w:rsidRPr="00F3125C" w:rsidR="00395260" w:rsidP="00395260" w:rsidRDefault="00395260" w14:paraId="75AA90F1" w14:textId="77777777">
            <w:pPr>
              <w:tabs>
                <w:tab w:val="center" w:pos="284"/>
              </w:tabs>
              <w:overflowPunct w:val="0"/>
              <w:autoSpaceDE w:val="0"/>
              <w:autoSpaceDN w:val="0"/>
              <w:adjustRightInd w:val="0"/>
              <w:ind w:left="266" w:hanging="266"/>
              <w:textAlignment w:val="baseline"/>
              <w:rPr>
                <w:lang w:val="en-GB"/>
              </w:rPr>
            </w:pPr>
          </w:p>
        </w:tc>
      </w:tr>
    </w:tbl>
    <w:p w:rsidRPr="00F3125C" w:rsidR="00395260" w:rsidP="00395260" w:rsidRDefault="00395260" w14:paraId="3CBD5463"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395260" w:rsidP="00395260" w:rsidRDefault="00395260" w14:paraId="465B3A8C"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395260" w:rsidP="00395260" w:rsidRDefault="00395260" w14:paraId="34E1EBDF" w14:textId="77777777">
      <w:pPr>
        <w:overflowPunct w:val="0"/>
        <w:autoSpaceDE w:val="0"/>
        <w:autoSpaceDN w:val="0"/>
        <w:adjustRightInd w:val="0"/>
        <w:textAlignment w:val="baseline"/>
        <w:rPr>
          <w:bCs/>
          <w:iCs/>
        </w:rPr>
      </w:pPr>
      <w:r>
        <w:t>ЕИСК:</w:t>
      </w:r>
    </w:p>
    <w:p w:rsidRPr="00F3125C" w:rsidR="00395260" w:rsidP="00643D0B" w:rsidRDefault="00395260" w14:paraId="7A0C60DF" w14:textId="77777777">
      <w:pPr>
        <w:widowControl w:val="0"/>
        <w:numPr>
          <w:ilvl w:val="0"/>
          <w:numId w:val="41"/>
        </w:numPr>
        <w:overflowPunct w:val="0"/>
        <w:autoSpaceDE w:val="0"/>
        <w:autoSpaceDN w:val="0"/>
        <w:adjustRightInd w:val="0"/>
        <w:ind w:left="284" w:hanging="284"/>
        <w:textAlignment w:val="baseline"/>
        <w:rPr>
          <w:bCs/>
          <w:iCs/>
        </w:rPr>
      </w:pPr>
      <w:r>
        <w:t xml:space="preserve">счита, че </w:t>
      </w:r>
      <w:r>
        <w:rPr>
          <w:b/>
        </w:rPr>
        <w:t>демокрацията</w:t>
      </w:r>
      <w:r>
        <w:t xml:space="preserve"> изисква </w:t>
      </w:r>
      <w:r>
        <w:rPr>
          <w:b/>
        </w:rPr>
        <w:t>зачитане на правата на човека, силни институции, разделение на властите</w:t>
      </w:r>
      <w:r>
        <w:t xml:space="preserve">, гарантиране на принципите на правовата държава и независимостта на съдебната власт, </w:t>
      </w:r>
      <w:r>
        <w:rPr>
          <w:b/>
        </w:rPr>
        <w:t>свободни и честни избори, отчетност пред народа, право на пълноценно участие и борба с дискриминацията</w:t>
      </w:r>
      <w:r>
        <w:t>;</w:t>
      </w:r>
    </w:p>
    <w:p w:rsidRPr="00F3125C" w:rsidR="00395260" w:rsidP="00643D0B" w:rsidRDefault="00395260" w14:paraId="47ED3316" w14:textId="77777777">
      <w:pPr>
        <w:widowControl w:val="0"/>
        <w:numPr>
          <w:ilvl w:val="0"/>
          <w:numId w:val="41"/>
        </w:numPr>
        <w:overflowPunct w:val="0"/>
        <w:autoSpaceDE w:val="0"/>
        <w:autoSpaceDN w:val="0"/>
        <w:adjustRightInd w:val="0"/>
        <w:ind w:left="284" w:hanging="284"/>
        <w:textAlignment w:val="baseline"/>
        <w:rPr>
          <w:bCs/>
          <w:iCs/>
        </w:rPr>
      </w:pPr>
      <w:r>
        <w:t>приветства</w:t>
      </w:r>
      <w:r>
        <w:rPr>
          <w:b/>
        </w:rPr>
        <w:t xml:space="preserve"> ангажимента на Африканския съюз (АС) към демократичните ценности и към насърчаването на демокрацията</w:t>
      </w:r>
      <w:r>
        <w:t>, както се подчертава в стремежите, изложени в Програмата на АС до 2063 г.;</w:t>
      </w:r>
    </w:p>
    <w:p w:rsidRPr="00F3125C" w:rsidR="00395260" w:rsidP="00643D0B" w:rsidRDefault="00395260" w14:paraId="71CDB85E" w14:textId="77777777">
      <w:pPr>
        <w:widowControl w:val="0"/>
        <w:numPr>
          <w:ilvl w:val="0"/>
          <w:numId w:val="41"/>
        </w:numPr>
        <w:overflowPunct w:val="0"/>
        <w:autoSpaceDE w:val="0"/>
        <w:autoSpaceDN w:val="0"/>
        <w:adjustRightInd w:val="0"/>
        <w:ind w:left="284" w:hanging="284"/>
        <w:textAlignment w:val="baseline"/>
        <w:rPr>
          <w:bCs/>
          <w:iCs/>
        </w:rPr>
      </w:pPr>
      <w:r>
        <w:t xml:space="preserve">приветства </w:t>
      </w:r>
      <w:r>
        <w:rPr>
          <w:b/>
        </w:rPr>
        <w:t>постигнатия напредък в областта на демокрацията в Африка и ангажираността на африканските граждани в тази посока</w:t>
      </w:r>
      <w:r>
        <w:t>, както и обществената подкрепа за демокрацията, въпреки че през последното десетилетие претърпя известен спад;</w:t>
      </w:r>
    </w:p>
    <w:p w:rsidRPr="00F3125C" w:rsidR="00395260" w:rsidP="00643D0B" w:rsidRDefault="00395260" w14:paraId="7C26E522" w14:textId="77777777">
      <w:pPr>
        <w:widowControl w:val="0"/>
        <w:numPr>
          <w:ilvl w:val="0"/>
          <w:numId w:val="41"/>
        </w:numPr>
        <w:overflowPunct w:val="0"/>
        <w:autoSpaceDE w:val="0"/>
        <w:autoSpaceDN w:val="0"/>
        <w:adjustRightInd w:val="0"/>
        <w:ind w:left="284" w:hanging="284"/>
        <w:textAlignment w:val="baseline"/>
        <w:rPr>
          <w:bCs/>
          <w:iCs/>
        </w:rPr>
      </w:pPr>
      <w:r>
        <w:t xml:space="preserve">призовава европейските институции </w:t>
      </w:r>
      <w:r>
        <w:rPr>
          <w:b/>
        </w:rPr>
        <w:t>да засилят сътрудничеството за развитие на демокрацията и повишаване на доверието и участието на хората в демократичните процеси, както и за подкрепа на гражданското общество</w:t>
      </w:r>
      <w:r>
        <w:t>;</w:t>
      </w:r>
    </w:p>
    <w:p w:rsidRPr="00F3125C" w:rsidR="00395260" w:rsidP="00643D0B" w:rsidRDefault="00395260" w14:paraId="7B313445" w14:textId="77777777">
      <w:pPr>
        <w:widowControl w:val="0"/>
        <w:numPr>
          <w:ilvl w:val="0"/>
          <w:numId w:val="41"/>
        </w:numPr>
        <w:overflowPunct w:val="0"/>
        <w:autoSpaceDE w:val="0"/>
        <w:autoSpaceDN w:val="0"/>
        <w:adjustRightInd w:val="0"/>
        <w:ind w:left="284" w:hanging="284"/>
        <w:textAlignment w:val="baseline"/>
        <w:rPr>
          <w:bCs/>
          <w:iCs/>
        </w:rPr>
      </w:pPr>
      <w:r>
        <w:t xml:space="preserve">счита, че европейският подход следва да се основава на </w:t>
      </w:r>
      <w:r>
        <w:rPr>
          <w:b/>
        </w:rPr>
        <w:t xml:space="preserve">отношения между равностойни </w:t>
      </w:r>
      <w:r>
        <w:rPr>
          <w:b/>
        </w:rPr>
        <w:lastRenderedPageBreak/>
        <w:t>партньори и да отчита сложното положение на континента</w:t>
      </w:r>
      <w:r>
        <w:t xml:space="preserve"> по отношение на икономическото развитие, социалния напредък, равнището на изграждане на критичната инфраструктура, многообразието и геополитическите и стратегическите интереси;</w:t>
      </w:r>
    </w:p>
    <w:p w:rsidRPr="00F3125C" w:rsidR="00395260" w:rsidP="00643D0B" w:rsidRDefault="00395260" w14:paraId="29AF4310" w14:textId="77777777">
      <w:pPr>
        <w:widowControl w:val="0"/>
        <w:numPr>
          <w:ilvl w:val="0"/>
          <w:numId w:val="41"/>
        </w:numPr>
        <w:overflowPunct w:val="0"/>
        <w:autoSpaceDE w:val="0"/>
        <w:autoSpaceDN w:val="0"/>
        <w:adjustRightInd w:val="0"/>
        <w:ind w:left="284" w:hanging="284"/>
        <w:textAlignment w:val="baseline"/>
        <w:rPr>
          <w:bCs/>
          <w:iCs/>
        </w:rPr>
      </w:pPr>
      <w:r>
        <w:t xml:space="preserve">счита, че стратегията </w:t>
      </w:r>
      <w:proofErr w:type="spellStart"/>
      <w:r>
        <w:rPr>
          <w:b/>
        </w:rPr>
        <w:t>Global</w:t>
      </w:r>
      <w:proofErr w:type="spellEnd"/>
      <w:r>
        <w:rPr>
          <w:b/>
        </w:rPr>
        <w:t xml:space="preserve"> </w:t>
      </w:r>
      <w:proofErr w:type="spellStart"/>
      <w:r>
        <w:rPr>
          <w:b/>
        </w:rPr>
        <w:t>Gateway</w:t>
      </w:r>
      <w:proofErr w:type="spellEnd"/>
      <w:r>
        <w:rPr>
          <w:b/>
        </w:rPr>
        <w:t xml:space="preserve"> е от голямо значение за отношенията между ЕС и Африка</w:t>
      </w:r>
      <w:r>
        <w:t xml:space="preserve"> и потвърждава отново, че тя ще укрепи икономическите и политическите връзки, като гарантира зачитането на демократичните и социалните принципи;</w:t>
      </w:r>
    </w:p>
    <w:p w:rsidRPr="00F3125C" w:rsidR="00395260" w:rsidP="00643D0B" w:rsidRDefault="00395260" w14:paraId="43AC8A5D" w14:textId="77777777">
      <w:pPr>
        <w:widowControl w:val="0"/>
        <w:numPr>
          <w:ilvl w:val="0"/>
          <w:numId w:val="41"/>
        </w:numPr>
        <w:overflowPunct w:val="0"/>
        <w:autoSpaceDE w:val="0"/>
        <w:autoSpaceDN w:val="0"/>
        <w:adjustRightInd w:val="0"/>
        <w:ind w:left="284" w:hanging="284"/>
        <w:textAlignment w:val="baseline"/>
        <w:rPr>
          <w:bCs/>
          <w:iCs/>
        </w:rPr>
      </w:pPr>
      <w:r>
        <w:t xml:space="preserve">изразява твърдо убеждение, че въз основа на своя опит и заедно с признати представители на африканското гражданско общество, включително социалните партньори, може да спомогне за </w:t>
      </w:r>
      <w:r>
        <w:rPr>
          <w:b/>
        </w:rPr>
        <w:t>насърчаване на демократичните ценности, за защитата на правата на човека и за засилване на гражданския, социалния и политическия диалог</w:t>
      </w:r>
      <w:r>
        <w:t>, по-специално в контекста на институционалните механизми за участие на гражданското общество, които ще бъдат създадени в рамките на Споразумението от Самоа;</w:t>
      </w:r>
    </w:p>
    <w:p w:rsidRPr="00F3125C" w:rsidR="00395260" w:rsidP="00643D0B" w:rsidRDefault="00395260" w14:paraId="4D44EB8C" w14:textId="77777777">
      <w:pPr>
        <w:widowControl w:val="0"/>
        <w:numPr>
          <w:ilvl w:val="0"/>
          <w:numId w:val="41"/>
        </w:numPr>
        <w:overflowPunct w:val="0"/>
        <w:autoSpaceDE w:val="0"/>
        <w:autoSpaceDN w:val="0"/>
        <w:adjustRightInd w:val="0"/>
        <w:ind w:left="284" w:hanging="284"/>
        <w:textAlignment w:val="baseline"/>
        <w:rPr>
          <w:bCs/>
          <w:iCs/>
        </w:rPr>
      </w:pPr>
      <w:r>
        <w:t xml:space="preserve">се ангажира да продължи и подобри действията си за </w:t>
      </w:r>
      <w:r>
        <w:rPr>
          <w:b/>
        </w:rPr>
        <w:t>насърчаване и подкрепа на организациите на гражданското общество в Африка и на социалните партньори, като улеснява тяхното учредяване, организация и действия и участва в укрепването на техния институционален капацитет</w:t>
      </w:r>
      <w:r>
        <w:t>, като принос за постигането на целта на ЕС за устойчивост на демокрацията в Африка;</w:t>
      </w:r>
    </w:p>
    <w:p w:rsidRPr="00F3125C" w:rsidR="00395260" w:rsidP="00643D0B" w:rsidRDefault="00395260" w14:paraId="680D4AED" w14:textId="77777777">
      <w:pPr>
        <w:widowControl w:val="0"/>
        <w:numPr>
          <w:ilvl w:val="0"/>
          <w:numId w:val="41"/>
        </w:numPr>
        <w:overflowPunct w:val="0"/>
        <w:autoSpaceDE w:val="0"/>
        <w:autoSpaceDN w:val="0"/>
        <w:adjustRightInd w:val="0"/>
        <w:ind w:left="284" w:hanging="284"/>
        <w:textAlignment w:val="baseline"/>
        <w:rPr>
          <w:bCs/>
          <w:iCs/>
        </w:rPr>
      </w:pPr>
      <w:r>
        <w:t xml:space="preserve">подчертава, че действията му ще се ръководят от </w:t>
      </w:r>
      <w:r>
        <w:rPr>
          <w:b/>
        </w:rPr>
        <w:t>неразривната връзка между насърчаването на гражданските, политическите, социалните, икономическите и културните права и икономическия растеж и социалния напредък</w:t>
      </w:r>
      <w:r>
        <w:t>;</w:t>
      </w:r>
    </w:p>
    <w:p w:rsidRPr="00F3125C" w:rsidR="00395260" w:rsidP="00643D0B" w:rsidRDefault="00395260" w14:paraId="6100439B" w14:textId="77777777">
      <w:pPr>
        <w:widowControl w:val="0"/>
        <w:numPr>
          <w:ilvl w:val="0"/>
          <w:numId w:val="41"/>
        </w:numPr>
        <w:overflowPunct w:val="0"/>
        <w:autoSpaceDE w:val="0"/>
        <w:autoSpaceDN w:val="0"/>
        <w:adjustRightInd w:val="0"/>
        <w:ind w:left="284" w:hanging="284"/>
        <w:textAlignment w:val="baseline"/>
        <w:rPr>
          <w:bCs/>
          <w:iCs/>
        </w:rPr>
      </w:pPr>
      <w:r>
        <w:t xml:space="preserve">изразява задоволство от подписването на </w:t>
      </w:r>
      <w:r>
        <w:rPr>
          <w:b/>
        </w:rPr>
        <w:t>Меморандум за разбирателство</w:t>
      </w:r>
      <w:r>
        <w:t xml:space="preserve"> между него и </w:t>
      </w:r>
      <w:r>
        <w:rPr>
          <w:b/>
        </w:rPr>
        <w:t>Икономическия, социален и културен съвет на Африканския съюз (ECOSOCC)</w:t>
      </w:r>
      <w:r>
        <w:t xml:space="preserve">, много важна стъпка към </w:t>
      </w:r>
      <w:r>
        <w:rPr>
          <w:b/>
        </w:rPr>
        <w:t>укрепването на приноса на гражданското общество към партньорството между Европа и Африка</w:t>
      </w:r>
      <w:r>
        <w:t>.</w:t>
      </w:r>
    </w:p>
    <w:p w:rsidRPr="00F3125C" w:rsidR="00395260" w:rsidP="00395260" w:rsidRDefault="00395260" w14:paraId="622E8585"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395260" w:rsidTr="00863A8F" w14:paraId="260B4AB8" w14:textId="77777777">
        <w:tc>
          <w:tcPr>
            <w:tcW w:w="1556" w:type="pct"/>
          </w:tcPr>
          <w:p w:rsidRPr="00F3125C" w:rsidR="00395260" w:rsidP="00395260" w:rsidRDefault="00395260" w14:paraId="2DC534F5" w14:textId="77777777">
            <w:pPr>
              <w:overflowPunct w:val="0"/>
              <w:autoSpaceDE w:val="0"/>
              <w:autoSpaceDN w:val="0"/>
              <w:adjustRightInd w:val="0"/>
              <w:spacing w:line="240" w:lineRule="auto"/>
              <w:textAlignment w:val="baseline"/>
              <w:rPr>
                <w:i/>
              </w:rPr>
            </w:pPr>
            <w:r>
              <w:rPr>
                <w:b/>
                <w:i/>
              </w:rPr>
              <w:t>За контакти</w:t>
            </w:r>
          </w:p>
        </w:tc>
        <w:tc>
          <w:tcPr>
            <w:tcW w:w="3444" w:type="pct"/>
          </w:tcPr>
          <w:p w:rsidRPr="00F3125C" w:rsidR="00395260" w:rsidP="00395260" w:rsidRDefault="00395260" w14:paraId="018D553A" w14:textId="77777777">
            <w:pPr>
              <w:overflowPunct w:val="0"/>
              <w:autoSpaceDE w:val="0"/>
              <w:autoSpaceDN w:val="0"/>
              <w:adjustRightInd w:val="0"/>
              <w:spacing w:line="240" w:lineRule="auto"/>
              <w:textAlignment w:val="baseline"/>
              <w:rPr>
                <w:i/>
              </w:rPr>
            </w:pPr>
            <w:r>
              <w:rPr>
                <w:i/>
              </w:rPr>
              <w:t xml:space="preserve">Charlotte </w:t>
            </w:r>
            <w:proofErr w:type="spellStart"/>
            <w:r>
              <w:rPr>
                <w:i/>
              </w:rPr>
              <w:t>Rive</w:t>
            </w:r>
            <w:proofErr w:type="spellEnd"/>
          </w:p>
        </w:tc>
      </w:tr>
      <w:tr w:rsidRPr="00F3125C" w:rsidR="00395260" w:rsidTr="00863A8F" w14:paraId="2A69D17A" w14:textId="77777777">
        <w:tc>
          <w:tcPr>
            <w:tcW w:w="1556" w:type="pct"/>
          </w:tcPr>
          <w:p w:rsidRPr="00F3125C" w:rsidR="00395260" w:rsidP="00395260" w:rsidRDefault="00395260" w14:paraId="1A3E349D" w14:textId="77777777">
            <w:pPr>
              <w:overflowPunct w:val="0"/>
              <w:autoSpaceDE w:val="0"/>
              <w:autoSpaceDN w:val="0"/>
              <w:adjustRightInd w:val="0"/>
              <w:spacing w:line="240" w:lineRule="auto"/>
              <w:textAlignment w:val="baseline"/>
              <w:rPr>
                <w:i/>
              </w:rPr>
            </w:pPr>
            <w:r>
              <w:rPr>
                <w:i/>
              </w:rPr>
              <w:t>Тел.</w:t>
            </w:r>
          </w:p>
        </w:tc>
        <w:tc>
          <w:tcPr>
            <w:tcW w:w="3444" w:type="pct"/>
          </w:tcPr>
          <w:p w:rsidRPr="00F3125C" w:rsidR="00395260" w:rsidP="00395260" w:rsidRDefault="00395260" w14:paraId="5F7519C0" w14:textId="4B699A9B">
            <w:pPr>
              <w:overflowPunct w:val="0"/>
              <w:autoSpaceDE w:val="0"/>
              <w:autoSpaceDN w:val="0"/>
              <w:adjustRightInd w:val="0"/>
              <w:spacing w:line="240" w:lineRule="auto"/>
              <w:textAlignment w:val="baseline"/>
              <w:rPr>
                <w:i/>
              </w:rPr>
            </w:pPr>
            <w:r>
              <w:rPr>
                <w:i/>
              </w:rPr>
              <w:t>+32 25469388</w:t>
            </w:r>
          </w:p>
        </w:tc>
      </w:tr>
      <w:tr w:rsidRPr="00F3125C" w:rsidR="00395260" w:rsidTr="00863A8F" w14:paraId="1A56B5AA" w14:textId="77777777">
        <w:tc>
          <w:tcPr>
            <w:tcW w:w="1556" w:type="pct"/>
          </w:tcPr>
          <w:p w:rsidRPr="00F3125C" w:rsidR="00395260" w:rsidP="00395260" w:rsidRDefault="00697BE1" w14:paraId="3895F4B6" w14:textId="2D5D1AE7">
            <w:pPr>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395260" w:rsidP="00395260" w:rsidRDefault="008C5F08" w14:paraId="6BD9B737" w14:textId="77777777">
            <w:pPr>
              <w:overflowPunct w:val="0"/>
              <w:autoSpaceDE w:val="0"/>
              <w:autoSpaceDN w:val="0"/>
              <w:adjustRightInd w:val="0"/>
              <w:spacing w:line="240" w:lineRule="auto"/>
              <w:textAlignment w:val="baseline"/>
              <w:rPr>
                <w:i/>
              </w:rPr>
            </w:pPr>
            <w:hyperlink w:history="1" r:id="rId48">
              <w:r w:rsidR="00981740">
                <w:rPr>
                  <w:i/>
                  <w:color w:val="0000FF"/>
                  <w:u w:val="single"/>
                </w:rPr>
                <w:t>Charlotte.Rive@eesc.europa.eu</w:t>
              </w:r>
            </w:hyperlink>
          </w:p>
        </w:tc>
      </w:tr>
    </w:tbl>
    <w:p w:rsidRPr="00F3125C" w:rsidR="00BA5B45" w:rsidRDefault="00BA5B45" w14:paraId="4464305F" w14:textId="67DDEDA7">
      <w:pPr>
        <w:spacing w:after="160" w:line="259" w:lineRule="auto"/>
        <w:jc w:val="left"/>
        <w:rPr>
          <w:lang w:val="en-GB"/>
        </w:rPr>
      </w:pPr>
    </w:p>
    <w:p w:rsidRPr="00F3125C" w:rsidR="006D2C8A" w:rsidP="006D6D4E" w:rsidRDefault="006D2C8A" w14:paraId="528C73AA" w14:textId="46DE726B">
      <w:pPr>
        <w:pStyle w:val="Heading1"/>
        <w:keepNext/>
        <w:keepLines/>
        <w:rPr>
          <w:b/>
        </w:rPr>
      </w:pPr>
      <w:bookmarkStart w:name="_Toc185257645" w:id="30"/>
      <w:r>
        <w:rPr>
          <w:b/>
          <w:color w:val="222A35" w:themeColor="text2" w:themeShade="80"/>
        </w:rPr>
        <w:t>КОНСУЛТАТИВНА КОМИСИЯ ПО ИНДУСТРИАЛНИ ПРОМЕНИ</w:t>
      </w:r>
      <w:bookmarkEnd w:id="30"/>
    </w:p>
    <w:p w:rsidRPr="00F3125C" w:rsidR="006D2C8A" w:rsidP="006D6D4E" w:rsidRDefault="006D2C8A" w14:paraId="713E272F" w14:textId="77777777">
      <w:pPr>
        <w:keepNext/>
        <w:keepLines/>
        <w:rPr>
          <w:lang w:val="en-GB"/>
        </w:rPr>
      </w:pPr>
    </w:p>
    <w:p w:rsidRPr="00F3125C" w:rsidR="001C59D9" w:rsidP="00B61E90" w:rsidRDefault="008C5F08" w14:paraId="370A3F01" w14:textId="50B0D282">
      <w:pPr>
        <w:widowControl w:val="0"/>
        <w:numPr>
          <w:ilvl w:val="0"/>
          <w:numId w:val="6"/>
        </w:numPr>
        <w:overflowPunct w:val="0"/>
        <w:autoSpaceDE w:val="0"/>
        <w:autoSpaceDN w:val="0"/>
        <w:adjustRightInd w:val="0"/>
        <w:ind w:left="709" w:hanging="709"/>
        <w:textAlignment w:val="baseline"/>
        <w:rPr>
          <w:b/>
        </w:rPr>
      </w:pPr>
      <w:hyperlink w:history="1" r:id="rId49">
        <w:r w:rsidR="00981740">
          <w:rPr>
            <w:b/>
            <w:i/>
            <w:color w:val="0000FF"/>
            <w:sz w:val="28"/>
            <w:u w:val="single"/>
            <w:shd w:val="clear" w:color="auto" w:fill="FEFEFE"/>
          </w:rPr>
          <w:t>Секторни промишлени политики в подкрепа на по-голяма стратегическа автономност</w:t>
        </w:r>
      </w:hyperlink>
    </w:p>
    <w:p w:rsidRPr="00F3125C" w:rsidR="001C59D9" w:rsidP="001C59D9" w:rsidRDefault="001C59D9" w14:paraId="1F1FDD5C" w14:textId="77777777">
      <w:pPr>
        <w:widowControl w:val="0"/>
        <w:overflowPunct w:val="0"/>
        <w:autoSpaceDE w:val="0"/>
        <w:autoSpaceDN w:val="0"/>
        <w:adjustRightInd w:val="0"/>
        <w:ind w:left="266"/>
        <w:textAlignment w:val="baseline"/>
        <w:rPr>
          <w:b/>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F3125C" w:rsidR="001C59D9" w:rsidTr="00863A8F" w14:paraId="0DE8DBCE" w14:textId="77777777">
        <w:tc>
          <w:tcPr>
            <w:tcW w:w="1701" w:type="dxa"/>
          </w:tcPr>
          <w:p w:rsidRPr="00F3125C" w:rsidR="001C59D9" w:rsidP="001C59D9" w:rsidRDefault="001C59D9" w14:paraId="247BDDA7"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479" w:type="dxa"/>
          </w:tcPr>
          <w:p w:rsidRPr="00F3125C" w:rsidR="001C59D9" w:rsidP="001C59D9" w:rsidRDefault="001C59D9" w14:paraId="3EF3113B" w14:textId="2A88A6EF">
            <w:pPr>
              <w:tabs>
                <w:tab w:val="center" w:pos="284"/>
              </w:tabs>
              <w:overflowPunct w:val="0"/>
              <w:autoSpaceDE w:val="0"/>
              <w:autoSpaceDN w:val="0"/>
              <w:adjustRightInd w:val="0"/>
              <w:ind w:left="266" w:hanging="266"/>
              <w:textAlignment w:val="baseline"/>
            </w:pPr>
            <w:proofErr w:type="spellStart"/>
            <w:r>
              <w:t>Alain</w:t>
            </w:r>
            <w:proofErr w:type="spellEnd"/>
            <w:r>
              <w:t xml:space="preserve"> COHEUR (група „Организации на гражданското общество“ — BE)</w:t>
            </w:r>
          </w:p>
        </w:tc>
      </w:tr>
      <w:tr w:rsidRPr="00F3125C" w:rsidR="001C59D9" w:rsidTr="00863A8F" w14:paraId="183BEC47" w14:textId="77777777">
        <w:tc>
          <w:tcPr>
            <w:tcW w:w="1701" w:type="dxa"/>
          </w:tcPr>
          <w:p w:rsidRPr="00F3125C" w:rsidR="001C59D9" w:rsidP="001C59D9" w:rsidRDefault="001C59D9" w14:paraId="3945195F"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7479" w:type="dxa"/>
          </w:tcPr>
          <w:p w:rsidRPr="00F3125C" w:rsidR="001C59D9" w:rsidP="001C59D9" w:rsidRDefault="001C59D9" w14:paraId="2AEB1972" w14:textId="0C765853">
            <w:pPr>
              <w:tabs>
                <w:tab w:val="center" w:pos="284"/>
              </w:tabs>
              <w:overflowPunct w:val="0"/>
              <w:autoSpaceDE w:val="0"/>
              <w:autoSpaceDN w:val="0"/>
              <w:adjustRightInd w:val="0"/>
              <w:ind w:left="266" w:hanging="266"/>
              <w:textAlignment w:val="baseline"/>
            </w:pPr>
            <w:proofErr w:type="spellStart"/>
            <w:r>
              <w:t>Antonello</w:t>
            </w:r>
            <w:proofErr w:type="spellEnd"/>
            <w:r>
              <w:t xml:space="preserve"> PEZZINI (IT — кат. 1)</w:t>
            </w:r>
          </w:p>
        </w:tc>
      </w:tr>
      <w:tr w:rsidRPr="00F3125C" w:rsidR="001C59D9" w:rsidTr="00863A8F" w14:paraId="459283E6" w14:textId="77777777">
        <w:tc>
          <w:tcPr>
            <w:tcW w:w="9180" w:type="dxa"/>
            <w:gridSpan w:val="2"/>
          </w:tcPr>
          <w:p w:rsidRPr="00F3125C" w:rsidR="001C59D9" w:rsidP="001C59D9" w:rsidRDefault="001C59D9" w14:paraId="4DE42CAB" w14:textId="77777777">
            <w:pPr>
              <w:tabs>
                <w:tab w:val="center" w:pos="284"/>
              </w:tabs>
              <w:overflowPunct w:val="0"/>
              <w:autoSpaceDE w:val="0"/>
              <w:autoSpaceDN w:val="0"/>
              <w:adjustRightInd w:val="0"/>
              <w:spacing w:line="160" w:lineRule="exact"/>
              <w:ind w:left="266" w:hanging="266"/>
              <w:textAlignment w:val="baseline"/>
            </w:pPr>
          </w:p>
        </w:tc>
      </w:tr>
      <w:tr w:rsidRPr="00F3125C" w:rsidR="001C59D9" w:rsidTr="00863A8F" w14:paraId="4565FF1F" w14:textId="77777777">
        <w:tc>
          <w:tcPr>
            <w:tcW w:w="1701" w:type="dxa"/>
            <w:vMerge w:val="restart"/>
          </w:tcPr>
          <w:p w:rsidRPr="00F3125C" w:rsidR="001C59D9" w:rsidP="001C59D9" w:rsidRDefault="001C59D9" w14:paraId="20DAD7FD"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7479" w:type="dxa"/>
          </w:tcPr>
          <w:p w:rsidRPr="00F3125C" w:rsidR="00B61E90" w:rsidP="001C59D9" w:rsidRDefault="00B61E90" w14:paraId="2736C770" w14:textId="4E254416">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1C59D9" w:rsidP="001C59D9" w:rsidRDefault="001C59D9" w14:paraId="069CB8B0" w14:textId="332724EC">
            <w:pPr>
              <w:tabs>
                <w:tab w:val="center" w:pos="284"/>
              </w:tabs>
              <w:overflowPunct w:val="0"/>
              <w:autoSpaceDE w:val="0"/>
              <w:autoSpaceDN w:val="0"/>
              <w:adjustRightInd w:val="0"/>
              <w:ind w:left="266" w:hanging="266"/>
              <w:textAlignment w:val="baseline"/>
            </w:pPr>
            <w:r>
              <w:t>EESC-2024-02005-00-00-AC</w:t>
            </w:r>
          </w:p>
        </w:tc>
      </w:tr>
      <w:tr w:rsidRPr="00F3125C" w:rsidR="001C59D9" w:rsidTr="00863A8F" w14:paraId="34DA0A00" w14:textId="77777777">
        <w:tc>
          <w:tcPr>
            <w:tcW w:w="1701" w:type="dxa"/>
            <w:vMerge/>
          </w:tcPr>
          <w:p w:rsidRPr="00F3125C" w:rsidR="001C59D9" w:rsidP="001C59D9" w:rsidRDefault="001C59D9" w14:paraId="74F9112A" w14:textId="77777777">
            <w:pPr>
              <w:tabs>
                <w:tab w:val="center" w:pos="284"/>
              </w:tabs>
              <w:overflowPunct w:val="0"/>
              <w:autoSpaceDE w:val="0"/>
              <w:autoSpaceDN w:val="0"/>
              <w:adjustRightInd w:val="0"/>
              <w:ind w:left="266" w:hanging="266"/>
              <w:textAlignment w:val="baseline"/>
              <w:rPr>
                <w:b/>
              </w:rPr>
            </w:pPr>
          </w:p>
        </w:tc>
        <w:tc>
          <w:tcPr>
            <w:tcW w:w="7479" w:type="dxa"/>
          </w:tcPr>
          <w:p w:rsidRPr="00F3125C" w:rsidR="001C59D9" w:rsidP="001C59D9" w:rsidRDefault="001C59D9" w14:paraId="12146E59" w14:textId="77777777">
            <w:pPr>
              <w:tabs>
                <w:tab w:val="center" w:pos="284"/>
              </w:tabs>
              <w:overflowPunct w:val="0"/>
              <w:autoSpaceDE w:val="0"/>
              <w:autoSpaceDN w:val="0"/>
              <w:adjustRightInd w:val="0"/>
              <w:ind w:left="266" w:hanging="266"/>
              <w:textAlignment w:val="baseline"/>
            </w:pPr>
          </w:p>
        </w:tc>
      </w:tr>
    </w:tbl>
    <w:p w:rsidRPr="00F3125C" w:rsidR="001C59D9" w:rsidP="001C59D9" w:rsidRDefault="001C59D9" w14:paraId="2BBE6849"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1C59D9" w:rsidP="001C59D9" w:rsidRDefault="001C59D9" w14:paraId="42B37A88"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1C59D9" w:rsidP="001C59D9" w:rsidRDefault="001C59D9" w14:paraId="7A708E37" w14:textId="77777777">
      <w:pPr>
        <w:overflowPunct w:val="0"/>
        <w:autoSpaceDE w:val="0"/>
        <w:autoSpaceDN w:val="0"/>
        <w:adjustRightInd w:val="0"/>
        <w:textAlignment w:val="baseline"/>
        <w:rPr>
          <w:szCs w:val="20"/>
        </w:rPr>
      </w:pPr>
      <w:r>
        <w:t>ЕИСК:</w:t>
      </w:r>
    </w:p>
    <w:p w:rsidRPr="00F3125C" w:rsidR="001C59D9" w:rsidP="001C59D9" w:rsidRDefault="001C59D9" w14:paraId="4B0CD9E1" w14:textId="77777777">
      <w:pPr>
        <w:overflowPunct w:val="0"/>
        <w:autoSpaceDE w:val="0"/>
        <w:autoSpaceDN w:val="0"/>
        <w:adjustRightInd w:val="0"/>
        <w:textAlignment w:val="baseline"/>
        <w:rPr>
          <w:szCs w:val="20"/>
          <w:lang w:val="en-GB"/>
        </w:rPr>
      </w:pPr>
    </w:p>
    <w:p w:rsidRPr="00F3125C" w:rsidR="001C59D9" w:rsidP="00643D0B" w:rsidRDefault="001C59D9" w14:paraId="470F56FE" w14:textId="7FC0311F">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счита, че </w:t>
      </w:r>
      <w:r>
        <w:rPr>
          <w:b/>
        </w:rPr>
        <w:t>нов спад в металургичната промишленост е неприемлив, тъй като може сериозно да подкопае нашата стратегическа автономност</w:t>
      </w:r>
      <w:r>
        <w:t xml:space="preserve">, всички наши промишлени сектори </w:t>
      </w:r>
      <w:r>
        <w:lastRenderedPageBreak/>
        <w:t xml:space="preserve">(железопътен, ядрен, морски, космически, автомобилен, отбранителен и др.), а оттам и промишленото ни бъдеще. Сега повече от всякога </w:t>
      </w:r>
      <w:r>
        <w:rPr>
          <w:b/>
        </w:rPr>
        <w:t>Европа трябва да създаде промишлен пакт</w:t>
      </w:r>
      <w:r>
        <w:t xml:space="preserve"> в подкрепа на Зеления пакт и своя план за действие за кръговата икономика; необходимо е </w:t>
      </w:r>
      <w:r>
        <w:rPr>
          <w:b/>
        </w:rPr>
        <w:t>да се консолидират промишлените съюзи в металургичната промишленост</w:t>
      </w:r>
      <w:r>
        <w:t xml:space="preserve"> чрез „важни проекти от общоевропейски интерес“ и </w:t>
      </w:r>
      <w:r>
        <w:rPr>
          <w:b/>
        </w:rPr>
        <w:t xml:space="preserve">да се </w:t>
      </w:r>
      <w:proofErr w:type="spellStart"/>
      <w:r>
        <w:rPr>
          <w:b/>
        </w:rPr>
        <w:t>реиндустриализират</w:t>
      </w:r>
      <w:proofErr w:type="spellEnd"/>
      <w:r>
        <w:rPr>
          <w:b/>
        </w:rPr>
        <w:t xml:space="preserve"> много изоставени региони, за да се възстановят висококачествените работни места на местно равнище</w:t>
      </w:r>
      <w:r>
        <w:t>;</w:t>
      </w:r>
    </w:p>
    <w:p w:rsidRPr="00F3125C" w:rsidR="001C59D9" w:rsidP="00643D0B" w:rsidRDefault="001C59D9" w14:paraId="52DD51D1" w14:textId="0B2965BB">
      <w:pPr>
        <w:numPr>
          <w:ilvl w:val="0"/>
          <w:numId w:val="43"/>
        </w:numPr>
        <w:overflowPunct w:val="0"/>
        <w:autoSpaceDE w:val="0"/>
        <w:autoSpaceDN w:val="0"/>
        <w:adjustRightInd w:val="0"/>
        <w:ind w:left="284" w:hanging="284"/>
        <w:contextualSpacing/>
        <w:textAlignment w:val="baseline"/>
      </w:pPr>
      <w:r>
        <w:t xml:space="preserve">настоятелно призовава Европейската комисия спешно да </w:t>
      </w:r>
      <w:r>
        <w:rPr>
          <w:b/>
        </w:rPr>
        <w:t>възобнови секторните анализи и перспективи на промишлената политика чрез изготвяне на прогнози</w:t>
      </w:r>
      <w:r>
        <w:t xml:space="preserve"> с цел </w:t>
      </w:r>
      <w:r>
        <w:rPr>
          <w:b/>
        </w:rPr>
        <w:t>възстановяване на конкурентни позиции на световно равнище</w:t>
      </w:r>
      <w:r>
        <w:t>;</w:t>
      </w:r>
    </w:p>
    <w:p w:rsidRPr="00F3125C" w:rsidR="001C59D9" w:rsidP="00643D0B" w:rsidRDefault="001C59D9" w14:paraId="6FFD9CC6" w14:textId="77777777">
      <w:pPr>
        <w:numPr>
          <w:ilvl w:val="0"/>
          <w:numId w:val="43"/>
        </w:numPr>
        <w:overflowPunct w:val="0"/>
        <w:autoSpaceDE w:val="0"/>
        <w:autoSpaceDN w:val="0"/>
        <w:adjustRightInd w:val="0"/>
        <w:ind w:left="284" w:hanging="284"/>
        <w:contextualSpacing/>
        <w:textAlignment w:val="baseline"/>
      </w:pPr>
      <w:r>
        <w:t xml:space="preserve">призовава Европейската комисия </w:t>
      </w:r>
      <w:r>
        <w:rPr>
          <w:b/>
        </w:rPr>
        <w:t>бързо да приложи целенасочени мерки в подкрепа на различните стратегически сектори: химикали и техните производни, металургия и киберсигурност</w:t>
      </w:r>
      <w:r>
        <w:t>.</w:t>
      </w:r>
    </w:p>
    <w:p w:rsidRPr="00F3125C" w:rsidR="001C59D9" w:rsidP="00643D0B" w:rsidRDefault="001C59D9" w14:paraId="59B42CB8" w14:textId="4E3066F6">
      <w:pPr>
        <w:numPr>
          <w:ilvl w:val="0"/>
          <w:numId w:val="43"/>
        </w:numPr>
        <w:overflowPunct w:val="0"/>
        <w:autoSpaceDE w:val="0"/>
        <w:autoSpaceDN w:val="0"/>
        <w:adjustRightInd w:val="0"/>
        <w:ind w:left="284" w:hanging="284"/>
        <w:contextualSpacing/>
        <w:textAlignment w:val="baseline"/>
      </w:pPr>
      <w:r>
        <w:t xml:space="preserve">счита, че предприятията се нуждаят от </w:t>
      </w:r>
      <w:r>
        <w:rPr>
          <w:b/>
        </w:rPr>
        <w:t>достъп до банкови институции, които подкрепят промишлената политика, обвързана с нашите територии</w:t>
      </w:r>
      <w:r>
        <w:t xml:space="preserve">, </w:t>
      </w:r>
      <w:r>
        <w:rPr>
          <w:b/>
        </w:rPr>
        <w:t>все по-квалифицирани работници</w:t>
      </w:r>
      <w:r>
        <w:t xml:space="preserve"> и </w:t>
      </w:r>
      <w:r>
        <w:rPr>
          <w:b/>
        </w:rPr>
        <w:t>академични центрове, които насърчават иновациите и научните изследвания</w:t>
      </w:r>
      <w:r>
        <w:t xml:space="preserve"> с цел създаване на работните места на бъдещето;</w:t>
      </w:r>
    </w:p>
    <w:p w:rsidRPr="00F3125C" w:rsidR="001C59D9" w:rsidP="00643D0B" w:rsidRDefault="001C59D9" w14:paraId="43D02535" w14:textId="77777777">
      <w:pPr>
        <w:numPr>
          <w:ilvl w:val="0"/>
          <w:numId w:val="43"/>
        </w:numPr>
        <w:overflowPunct w:val="0"/>
        <w:autoSpaceDE w:val="0"/>
        <w:autoSpaceDN w:val="0"/>
        <w:adjustRightInd w:val="0"/>
        <w:ind w:left="284" w:hanging="284"/>
        <w:contextualSpacing/>
        <w:textAlignment w:val="baseline"/>
      </w:pPr>
      <w:r>
        <w:t xml:space="preserve">подчертава </w:t>
      </w:r>
      <w:r>
        <w:rPr>
          <w:b/>
        </w:rPr>
        <w:t>необходимостта от увеличаване на партньорствата за стимулиране на иновациите и инвестициите, от връщане в Европа на химическата промишленост и от разполагане на центрове за вземане на решения на европейска територия, от уеднаквяване на стандартите за качество на сортираните/предварително обработените пластмасови отпадъци</w:t>
      </w:r>
      <w:r>
        <w:t xml:space="preserve"> и от създаване на </w:t>
      </w:r>
      <w:r>
        <w:rPr>
          <w:b/>
        </w:rPr>
        <w:t>единен и отворен вторичен пазар</w:t>
      </w:r>
      <w:r>
        <w:t>, за да се гарантира непрекъснато снабдяване с пластмасови отпадъци за функционирането на заводите за химическо рециклиране и</w:t>
      </w:r>
    </w:p>
    <w:p w:rsidRPr="00F3125C" w:rsidR="001C59D9" w:rsidP="00643D0B" w:rsidRDefault="001C59D9" w14:paraId="0B0E46F3" w14:textId="77777777">
      <w:pPr>
        <w:numPr>
          <w:ilvl w:val="0"/>
          <w:numId w:val="43"/>
        </w:numPr>
        <w:overflowPunct w:val="0"/>
        <w:autoSpaceDE w:val="0"/>
        <w:autoSpaceDN w:val="0"/>
        <w:adjustRightInd w:val="0"/>
        <w:ind w:left="284" w:hanging="284"/>
        <w:contextualSpacing/>
        <w:textAlignment w:val="baseline"/>
      </w:pPr>
      <w:r>
        <w:t xml:space="preserve">препоръчва да се въведе </w:t>
      </w:r>
      <w:r>
        <w:rPr>
          <w:b/>
        </w:rPr>
        <w:t>засилено и последователно регулиране</w:t>
      </w:r>
      <w:r>
        <w:t xml:space="preserve">, както и </w:t>
      </w:r>
      <w:r>
        <w:rPr>
          <w:b/>
        </w:rPr>
        <w:t>да се разработят програми за превантивна техническа помощ</w:t>
      </w:r>
      <w:r>
        <w:t>, които да са достъпни за всички предприятия.</w:t>
      </w:r>
    </w:p>
    <w:p w:rsidRPr="00F3125C" w:rsidR="001C59D9" w:rsidP="001C59D9" w:rsidRDefault="001C59D9" w14:paraId="3DC481B7" w14:textId="77777777">
      <w:pPr>
        <w:widowControl w:val="0"/>
        <w:overflowPunct w:val="0"/>
        <w:autoSpaceDE w:val="0"/>
        <w:autoSpaceDN w:val="0"/>
        <w:adjustRightInd w:val="0"/>
        <w:ind w:left="567"/>
        <w:textAlignment w:val="baseline"/>
        <w:rPr>
          <w:szCs w:val="20"/>
          <w:lang w:val="en-GB"/>
        </w:rPr>
      </w:pPr>
    </w:p>
    <w:p w:rsidRPr="00F3125C" w:rsidR="001C59D9" w:rsidP="001C59D9" w:rsidRDefault="001C59D9" w14:paraId="4177570F" w14:textId="77777777">
      <w:pPr>
        <w:keepNext/>
        <w:keepLines/>
        <w:widowControl w:val="0"/>
        <w:overflowPunct w:val="0"/>
        <w:autoSpaceDE w:val="0"/>
        <w:autoSpaceDN w:val="0"/>
        <w:adjustRightInd w:val="0"/>
        <w:textAlignment w:val="baseline"/>
        <w:rPr>
          <w:szCs w:val="20"/>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125C" w:rsidR="001C59D9" w:rsidTr="00863A8F" w14:paraId="7B9A0D37" w14:textId="77777777">
        <w:tc>
          <w:tcPr>
            <w:tcW w:w="1418" w:type="dxa"/>
          </w:tcPr>
          <w:p w:rsidRPr="00F3125C" w:rsidR="001C59D9" w:rsidP="001C59D9" w:rsidRDefault="001C59D9" w14:paraId="1A53C334" w14:textId="77777777">
            <w:pPr>
              <w:keepNext/>
              <w:keepLines/>
              <w:overflowPunct w:val="0"/>
              <w:autoSpaceDE w:val="0"/>
              <w:autoSpaceDN w:val="0"/>
              <w:adjustRightInd w:val="0"/>
              <w:spacing w:line="240" w:lineRule="auto"/>
              <w:textAlignment w:val="baseline"/>
              <w:rPr>
                <w:i/>
              </w:rPr>
            </w:pPr>
            <w:r>
              <w:rPr>
                <w:b/>
                <w:i/>
              </w:rPr>
              <w:t>За контакти</w:t>
            </w:r>
          </w:p>
        </w:tc>
        <w:tc>
          <w:tcPr>
            <w:tcW w:w="5670" w:type="dxa"/>
          </w:tcPr>
          <w:p w:rsidRPr="00F3125C" w:rsidR="001C59D9" w:rsidP="001C59D9" w:rsidRDefault="001C59D9" w14:paraId="1A7452D2" w14:textId="77777777">
            <w:pPr>
              <w:keepNext/>
              <w:keepLines/>
              <w:overflowPunct w:val="0"/>
              <w:autoSpaceDE w:val="0"/>
              <w:autoSpaceDN w:val="0"/>
              <w:adjustRightInd w:val="0"/>
              <w:spacing w:line="240" w:lineRule="auto"/>
              <w:textAlignment w:val="baseline"/>
              <w:rPr>
                <w:i/>
              </w:rPr>
            </w:pPr>
            <w:r>
              <w:rPr>
                <w:i/>
              </w:rPr>
              <w:t>Marie-</w:t>
            </w:r>
            <w:proofErr w:type="spellStart"/>
            <w:r>
              <w:rPr>
                <w:i/>
              </w:rPr>
              <w:t>Laurence</w:t>
            </w:r>
            <w:proofErr w:type="spellEnd"/>
            <w:r>
              <w:rPr>
                <w:i/>
              </w:rPr>
              <w:t xml:space="preserve"> </w:t>
            </w:r>
            <w:proofErr w:type="spellStart"/>
            <w:r>
              <w:rPr>
                <w:i/>
              </w:rPr>
              <w:t>Drillon</w:t>
            </w:r>
            <w:proofErr w:type="spellEnd"/>
          </w:p>
        </w:tc>
      </w:tr>
      <w:tr w:rsidRPr="00F3125C" w:rsidR="001C59D9" w:rsidTr="00863A8F" w14:paraId="510D17C4" w14:textId="77777777">
        <w:tc>
          <w:tcPr>
            <w:tcW w:w="1418" w:type="dxa"/>
          </w:tcPr>
          <w:p w:rsidRPr="00F3125C" w:rsidR="001C59D9" w:rsidP="001C59D9" w:rsidRDefault="001C59D9" w14:paraId="5FF9E965" w14:textId="77777777">
            <w:pPr>
              <w:keepNext/>
              <w:keepLines/>
              <w:overflowPunct w:val="0"/>
              <w:autoSpaceDE w:val="0"/>
              <w:autoSpaceDN w:val="0"/>
              <w:adjustRightInd w:val="0"/>
              <w:spacing w:line="240" w:lineRule="auto"/>
              <w:textAlignment w:val="baseline"/>
              <w:rPr>
                <w:i/>
              </w:rPr>
            </w:pPr>
            <w:r>
              <w:rPr>
                <w:i/>
              </w:rPr>
              <w:t>Тел.</w:t>
            </w:r>
          </w:p>
        </w:tc>
        <w:tc>
          <w:tcPr>
            <w:tcW w:w="5670" w:type="dxa"/>
          </w:tcPr>
          <w:p w:rsidRPr="00F3125C" w:rsidR="001C59D9" w:rsidP="001C59D9" w:rsidRDefault="001C59D9" w14:paraId="117BAF9F" w14:textId="19179759">
            <w:pPr>
              <w:keepNext/>
              <w:keepLines/>
              <w:overflowPunct w:val="0"/>
              <w:autoSpaceDE w:val="0"/>
              <w:autoSpaceDN w:val="0"/>
              <w:adjustRightInd w:val="0"/>
              <w:spacing w:line="240" w:lineRule="auto"/>
              <w:textAlignment w:val="baseline"/>
              <w:rPr>
                <w:i/>
              </w:rPr>
            </w:pPr>
            <w:r>
              <w:rPr>
                <w:i/>
              </w:rPr>
              <w:t>+32 25468320</w:t>
            </w:r>
          </w:p>
        </w:tc>
      </w:tr>
      <w:tr w:rsidRPr="00F3125C" w:rsidR="001C59D9" w:rsidTr="00863A8F" w14:paraId="375F101A" w14:textId="77777777">
        <w:tc>
          <w:tcPr>
            <w:tcW w:w="1418" w:type="dxa"/>
          </w:tcPr>
          <w:p w:rsidRPr="00F3125C" w:rsidR="001C59D9" w:rsidP="001C59D9" w:rsidRDefault="0052039C" w14:paraId="7E558C19" w14:textId="3915EE53">
            <w:pPr>
              <w:overflowPunct w:val="0"/>
              <w:autoSpaceDE w:val="0"/>
              <w:autoSpaceDN w:val="0"/>
              <w:adjustRightInd w:val="0"/>
              <w:spacing w:line="240" w:lineRule="auto"/>
              <w:textAlignment w:val="baseline"/>
              <w:rPr>
                <w:i/>
              </w:rPr>
            </w:pPr>
            <w:r>
              <w:rPr>
                <w:i/>
              </w:rPr>
              <w:t>Електронен адрес</w:t>
            </w:r>
          </w:p>
        </w:tc>
        <w:tc>
          <w:tcPr>
            <w:tcW w:w="5670" w:type="dxa"/>
          </w:tcPr>
          <w:p w:rsidRPr="00F3125C" w:rsidR="001C59D9" w:rsidP="001C59D9" w:rsidRDefault="001C59D9" w14:paraId="32EC8961" w14:textId="77777777">
            <w:pPr>
              <w:overflowPunct w:val="0"/>
              <w:autoSpaceDE w:val="0"/>
              <w:autoSpaceDN w:val="0"/>
              <w:adjustRightInd w:val="0"/>
              <w:spacing w:line="240" w:lineRule="auto"/>
              <w:textAlignment w:val="baseline"/>
              <w:rPr>
                <w:i/>
              </w:rPr>
            </w:pPr>
            <w:r>
              <w:rPr>
                <w:i/>
              </w:rPr>
              <w:t>Marie-Laurence.Drillon@eesc.europa.eu</w:t>
            </w:r>
          </w:p>
        </w:tc>
      </w:tr>
    </w:tbl>
    <w:p w:rsidRPr="00F3125C" w:rsidR="00B61E90" w:rsidP="006D6D4E" w:rsidRDefault="00B61E90" w14:paraId="45DC78CE" w14:textId="320217D2">
      <w:pPr>
        <w:keepNext/>
        <w:keepLines/>
        <w:rPr>
          <w:lang w:val="en-GB"/>
        </w:rPr>
      </w:pPr>
    </w:p>
    <w:p w:rsidRPr="00F3125C" w:rsidR="004135C1" w:rsidP="004135C1" w:rsidRDefault="008C5F08" w14:paraId="4C6E69A7" w14:textId="1964BA73">
      <w:pPr>
        <w:widowControl w:val="0"/>
        <w:numPr>
          <w:ilvl w:val="0"/>
          <w:numId w:val="6"/>
        </w:numPr>
        <w:overflowPunct w:val="0"/>
        <w:autoSpaceDE w:val="0"/>
        <w:autoSpaceDN w:val="0"/>
        <w:adjustRightInd w:val="0"/>
        <w:ind w:hanging="567"/>
        <w:textAlignment w:val="baseline"/>
        <w:rPr>
          <w:sz w:val="20"/>
          <w:szCs w:val="20"/>
        </w:rPr>
      </w:pPr>
      <w:hyperlink w:history="1" r:id="rId50">
        <w:r w:rsidR="00981740">
          <w:rPr>
            <w:b/>
            <w:i/>
            <w:color w:val="0000FF"/>
            <w:sz w:val="28"/>
            <w:u w:val="single"/>
          </w:rPr>
          <w:t>Индустриалните промени в здравния сектор в контекста на многобройните кризи</w:t>
        </w:r>
      </w:hyperlink>
    </w:p>
    <w:p w:rsidRPr="00F3125C" w:rsidR="004135C1" w:rsidP="004135C1" w:rsidRDefault="004135C1" w14:paraId="42D81671" w14:textId="77777777">
      <w:pPr>
        <w:tabs>
          <w:tab w:val="center" w:pos="284"/>
        </w:tabs>
        <w:overflowPunct w:val="0"/>
        <w:autoSpaceDE w:val="0"/>
        <w:autoSpaceDN w:val="0"/>
        <w:adjustRightInd w:val="0"/>
        <w:ind w:left="266" w:hanging="266"/>
        <w:textAlignment w:val="baseline"/>
        <w:rPr>
          <w:b/>
          <w:lang w:val="en-GB"/>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F3125C" w:rsidR="004135C1" w:rsidTr="00863A8F" w14:paraId="7437B509" w14:textId="77777777">
        <w:tc>
          <w:tcPr>
            <w:tcW w:w="1591" w:type="pct"/>
          </w:tcPr>
          <w:p w:rsidRPr="00F3125C" w:rsidR="004135C1" w:rsidP="004135C1" w:rsidRDefault="004135C1" w14:paraId="76E1C0AB"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409" w:type="pct"/>
          </w:tcPr>
          <w:p w:rsidRPr="00F3125C" w:rsidR="004135C1" w:rsidP="004135C1" w:rsidRDefault="004135C1" w14:paraId="4DA9553C" w14:textId="48518E84">
            <w:pPr>
              <w:tabs>
                <w:tab w:val="center" w:pos="284"/>
              </w:tabs>
              <w:overflowPunct w:val="0"/>
              <w:autoSpaceDE w:val="0"/>
              <w:autoSpaceDN w:val="0"/>
              <w:adjustRightInd w:val="0"/>
              <w:ind w:left="266" w:hanging="266"/>
              <w:textAlignment w:val="baseline"/>
            </w:pPr>
            <w:proofErr w:type="spellStart"/>
            <w:r>
              <w:t>Florian</w:t>
            </w:r>
            <w:proofErr w:type="spellEnd"/>
            <w:r>
              <w:t xml:space="preserve"> </w:t>
            </w:r>
            <w:proofErr w:type="spellStart"/>
            <w:r>
              <w:t>Marin</w:t>
            </w:r>
            <w:proofErr w:type="spellEnd"/>
            <w:r>
              <w:t xml:space="preserve"> (група „Работници“ — RO)</w:t>
            </w:r>
          </w:p>
        </w:tc>
      </w:tr>
      <w:tr w:rsidRPr="00F3125C" w:rsidR="004135C1" w:rsidTr="00863A8F" w14:paraId="5792E4CB" w14:textId="77777777">
        <w:tc>
          <w:tcPr>
            <w:tcW w:w="1591" w:type="pct"/>
          </w:tcPr>
          <w:p w:rsidRPr="00F3125C" w:rsidR="004135C1" w:rsidP="004135C1" w:rsidRDefault="004135C1" w14:paraId="18291D19"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409" w:type="pct"/>
          </w:tcPr>
          <w:p w:rsidRPr="00F3125C" w:rsidR="004135C1" w:rsidP="004135C1" w:rsidRDefault="004135C1" w14:paraId="7C4E0140" w14:textId="3D6E3C8F">
            <w:pPr>
              <w:tabs>
                <w:tab w:val="center" w:pos="284"/>
              </w:tabs>
              <w:overflowPunct w:val="0"/>
              <w:autoSpaceDE w:val="0"/>
              <w:autoSpaceDN w:val="0"/>
              <w:adjustRightInd w:val="0"/>
              <w:ind w:left="266" w:hanging="266"/>
              <w:textAlignment w:val="baseline"/>
            </w:pPr>
            <w:proofErr w:type="spellStart"/>
            <w:r>
              <w:t>Antonello</w:t>
            </w:r>
            <w:proofErr w:type="spellEnd"/>
            <w:r>
              <w:t xml:space="preserve"> PEZZINI (IT — кат. 1)</w:t>
            </w:r>
          </w:p>
        </w:tc>
      </w:tr>
      <w:tr w:rsidRPr="00F3125C" w:rsidR="004135C1" w:rsidTr="00863A8F" w14:paraId="35C56C8C" w14:textId="77777777">
        <w:tc>
          <w:tcPr>
            <w:tcW w:w="5000" w:type="pct"/>
            <w:gridSpan w:val="2"/>
          </w:tcPr>
          <w:p w:rsidRPr="00F3125C" w:rsidR="004135C1" w:rsidP="004135C1" w:rsidRDefault="004135C1" w14:paraId="396012FE"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3125C" w:rsidR="004135C1" w:rsidTr="00863A8F" w14:paraId="688A83AF" w14:textId="77777777">
        <w:tc>
          <w:tcPr>
            <w:tcW w:w="1591" w:type="pct"/>
            <w:vMerge w:val="restart"/>
          </w:tcPr>
          <w:p w:rsidRPr="00F3125C" w:rsidR="004135C1" w:rsidP="004135C1" w:rsidRDefault="004135C1" w14:paraId="71E1FB44"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409" w:type="pct"/>
          </w:tcPr>
          <w:p w:rsidRPr="00F3125C" w:rsidR="00A7132A" w:rsidP="004135C1" w:rsidRDefault="00A7132A" w14:paraId="70BFA311" w14:textId="4D7B97E1">
            <w:pPr>
              <w:tabs>
                <w:tab w:val="center" w:pos="284"/>
              </w:tabs>
              <w:overflowPunct w:val="0"/>
              <w:autoSpaceDE w:val="0"/>
              <w:autoSpaceDN w:val="0"/>
              <w:adjustRightInd w:val="0"/>
              <w:ind w:left="266" w:hanging="266"/>
              <w:textAlignment w:val="baseline"/>
            </w:pPr>
            <w:r>
              <w:t>Становище по собствена инициатива</w:t>
            </w:r>
          </w:p>
          <w:p w:rsidRPr="00F3125C" w:rsidR="004135C1" w:rsidP="004135C1" w:rsidRDefault="004135C1" w14:paraId="057159B1" w14:textId="4915FDE9">
            <w:pPr>
              <w:tabs>
                <w:tab w:val="center" w:pos="284"/>
              </w:tabs>
              <w:overflowPunct w:val="0"/>
              <w:autoSpaceDE w:val="0"/>
              <w:autoSpaceDN w:val="0"/>
              <w:adjustRightInd w:val="0"/>
              <w:ind w:left="266" w:hanging="266"/>
              <w:textAlignment w:val="baseline"/>
            </w:pPr>
            <w:r>
              <w:t>EESC-2024-02033-00-00-AC</w:t>
            </w:r>
          </w:p>
        </w:tc>
      </w:tr>
      <w:tr w:rsidRPr="00F3125C" w:rsidR="004135C1" w:rsidTr="00863A8F" w14:paraId="3A541F7A" w14:textId="77777777">
        <w:tc>
          <w:tcPr>
            <w:tcW w:w="1591" w:type="pct"/>
            <w:vMerge/>
          </w:tcPr>
          <w:p w:rsidRPr="00F3125C" w:rsidR="004135C1" w:rsidP="004135C1" w:rsidRDefault="004135C1" w14:paraId="24EACD1B" w14:textId="77777777">
            <w:pPr>
              <w:tabs>
                <w:tab w:val="center" w:pos="284"/>
              </w:tabs>
              <w:overflowPunct w:val="0"/>
              <w:autoSpaceDE w:val="0"/>
              <w:autoSpaceDN w:val="0"/>
              <w:adjustRightInd w:val="0"/>
              <w:ind w:left="266" w:hanging="266"/>
              <w:textAlignment w:val="baseline"/>
              <w:rPr>
                <w:b/>
                <w:lang w:val="en-GB"/>
              </w:rPr>
            </w:pPr>
          </w:p>
        </w:tc>
        <w:tc>
          <w:tcPr>
            <w:tcW w:w="3409" w:type="pct"/>
          </w:tcPr>
          <w:p w:rsidRPr="00F3125C" w:rsidR="004135C1" w:rsidP="004135C1" w:rsidRDefault="004135C1" w14:paraId="5ECB5A4D" w14:textId="77777777">
            <w:pPr>
              <w:tabs>
                <w:tab w:val="center" w:pos="284"/>
              </w:tabs>
              <w:overflowPunct w:val="0"/>
              <w:autoSpaceDE w:val="0"/>
              <w:autoSpaceDN w:val="0"/>
              <w:adjustRightInd w:val="0"/>
              <w:ind w:left="266" w:hanging="266"/>
              <w:textAlignment w:val="baseline"/>
              <w:rPr>
                <w:lang w:val="en-GB"/>
              </w:rPr>
            </w:pPr>
          </w:p>
        </w:tc>
      </w:tr>
    </w:tbl>
    <w:p w:rsidRPr="00F3125C" w:rsidR="004135C1" w:rsidP="004135C1" w:rsidRDefault="004135C1" w14:paraId="48486D8D" w14:textId="77777777">
      <w:pPr>
        <w:tabs>
          <w:tab w:val="center" w:pos="284"/>
        </w:tabs>
        <w:overflowPunct w:val="0"/>
        <w:autoSpaceDE w:val="0"/>
        <w:autoSpaceDN w:val="0"/>
        <w:adjustRightInd w:val="0"/>
        <w:ind w:left="266" w:hanging="266"/>
        <w:textAlignment w:val="baseline"/>
        <w:rPr>
          <w:lang w:val="en-GB"/>
        </w:rPr>
      </w:pPr>
    </w:p>
    <w:p w:rsidRPr="00F3125C" w:rsidR="004135C1" w:rsidP="004135C1" w:rsidRDefault="004135C1" w14:paraId="1D9F9916"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F3125C" w:rsidR="004135C1" w:rsidP="004135C1" w:rsidRDefault="004135C1" w14:paraId="0EC092D3" w14:textId="77777777">
      <w:pPr>
        <w:keepNext/>
        <w:keepLines/>
        <w:tabs>
          <w:tab w:val="center" w:pos="284"/>
        </w:tabs>
        <w:overflowPunct w:val="0"/>
        <w:autoSpaceDE w:val="0"/>
        <w:autoSpaceDN w:val="0"/>
        <w:adjustRightInd w:val="0"/>
        <w:ind w:left="266" w:hanging="266"/>
        <w:textAlignment w:val="baseline"/>
        <w:rPr>
          <w:b/>
          <w:lang w:val="en-GB"/>
        </w:rPr>
      </w:pPr>
    </w:p>
    <w:p w:rsidRPr="00F3125C" w:rsidR="004135C1" w:rsidP="004135C1" w:rsidRDefault="004135C1" w14:paraId="0CCD541D" w14:textId="77777777">
      <w:pPr>
        <w:overflowPunct w:val="0"/>
        <w:autoSpaceDE w:val="0"/>
        <w:autoSpaceDN w:val="0"/>
        <w:adjustRightInd w:val="0"/>
        <w:textAlignment w:val="baseline"/>
        <w:rPr>
          <w:bCs/>
          <w:iCs/>
        </w:rPr>
      </w:pPr>
      <w:r>
        <w:t>ЕИСК:</w:t>
      </w:r>
    </w:p>
    <w:p w:rsidRPr="00F3125C" w:rsidR="009C4B7B" w:rsidP="004135C1" w:rsidRDefault="009C4B7B" w14:paraId="2F9A5642" w14:textId="77777777">
      <w:pPr>
        <w:overflowPunct w:val="0"/>
        <w:autoSpaceDE w:val="0"/>
        <w:autoSpaceDN w:val="0"/>
        <w:adjustRightInd w:val="0"/>
        <w:textAlignment w:val="baseline"/>
        <w:rPr>
          <w:bCs/>
          <w:iCs/>
          <w:lang w:val="en-GB"/>
        </w:rPr>
      </w:pPr>
    </w:p>
    <w:p w:rsidRPr="00F3125C" w:rsidR="004135C1" w:rsidP="00643D0B" w:rsidRDefault="004135C1" w14:paraId="4A46FD7C" w14:textId="2C96B88E">
      <w:pPr>
        <w:widowControl w:val="0"/>
        <w:numPr>
          <w:ilvl w:val="0"/>
          <w:numId w:val="44"/>
        </w:numPr>
        <w:overflowPunct w:val="0"/>
        <w:autoSpaceDE w:val="0"/>
        <w:autoSpaceDN w:val="0"/>
        <w:adjustRightInd w:val="0"/>
        <w:ind w:left="284" w:hanging="284"/>
        <w:textAlignment w:val="baseline"/>
        <w:rPr>
          <w:bCs/>
          <w:iCs/>
        </w:rPr>
      </w:pPr>
      <w:r>
        <w:t xml:space="preserve">е на мнение, че здравните системи на ЕС би трябвало да бъдат издръжливи, реагиращи на </w:t>
      </w:r>
      <w:r>
        <w:lastRenderedPageBreak/>
        <w:t>сътресения, защитаващи живота, приобщаващи и справедливи, насочени към хората и достъпни, основани на научни изследвания и иновации и координирани между държавите</w:t>
      </w:r>
      <w:r w:rsidR="00AD4C7B">
        <w:rPr>
          <w:lang w:val="en-US"/>
        </w:rPr>
        <w:t> </w:t>
      </w:r>
      <w:r>
        <w:t>членки;</w:t>
      </w:r>
    </w:p>
    <w:p w:rsidRPr="00F3125C" w:rsidR="004135C1" w:rsidP="00643D0B" w:rsidRDefault="004135C1" w14:paraId="20774A8D" w14:textId="77777777">
      <w:pPr>
        <w:widowControl w:val="0"/>
        <w:numPr>
          <w:ilvl w:val="0"/>
          <w:numId w:val="44"/>
        </w:numPr>
        <w:overflowPunct w:val="0"/>
        <w:autoSpaceDE w:val="0"/>
        <w:autoSpaceDN w:val="0"/>
        <w:adjustRightInd w:val="0"/>
        <w:ind w:left="284" w:hanging="284"/>
        <w:textAlignment w:val="baseline"/>
        <w:rPr>
          <w:bCs/>
          <w:iCs/>
          <w:szCs w:val="20"/>
        </w:rPr>
      </w:pPr>
      <w:r>
        <w:t>призовава Европейската комисия да направи здравето и подкрепата за по-нататъшното интегриране на националните здравни системи приоритети за мандата 2024—2029 г, както и да подсигури тези приоритети с амбициозна институционална подкрепа и по-големи инвестиции;</w:t>
      </w:r>
    </w:p>
    <w:p w:rsidRPr="00F3125C" w:rsidR="004135C1" w:rsidP="00643D0B" w:rsidRDefault="004135C1" w14:paraId="1B73C829" w14:textId="77777777">
      <w:pPr>
        <w:widowControl w:val="0"/>
        <w:numPr>
          <w:ilvl w:val="0"/>
          <w:numId w:val="44"/>
        </w:numPr>
        <w:overflowPunct w:val="0"/>
        <w:autoSpaceDE w:val="0"/>
        <w:autoSpaceDN w:val="0"/>
        <w:adjustRightInd w:val="0"/>
        <w:ind w:left="284" w:hanging="284"/>
        <w:textAlignment w:val="baseline"/>
        <w:rPr>
          <w:bCs/>
          <w:iCs/>
          <w:szCs w:val="20"/>
        </w:rPr>
      </w:pPr>
      <w:r>
        <w:t>приветства акта за критично важните лекарства, обявен в политическите насоки за новата Комисия, и призовава за засилено сътрудничество в тази област с държавите членки, заинтересованите страни от публичния и частния сектор, академичните среди и гражданското общество;</w:t>
      </w:r>
    </w:p>
    <w:p w:rsidRPr="00F3125C" w:rsidR="004135C1" w:rsidP="00643D0B" w:rsidRDefault="004135C1" w14:paraId="43D28491" w14:textId="77777777">
      <w:pPr>
        <w:widowControl w:val="0"/>
        <w:numPr>
          <w:ilvl w:val="0"/>
          <w:numId w:val="44"/>
        </w:numPr>
        <w:overflowPunct w:val="0"/>
        <w:autoSpaceDE w:val="0"/>
        <w:autoSpaceDN w:val="0"/>
        <w:adjustRightInd w:val="0"/>
        <w:ind w:left="284" w:hanging="284"/>
        <w:textAlignment w:val="baseline"/>
        <w:rPr>
          <w:bCs/>
          <w:iCs/>
          <w:szCs w:val="20"/>
        </w:rPr>
      </w:pPr>
      <w:r>
        <w:t>призовава за интегриран, многостранен и ориентиран към пациента подход, който да гарантира достъп до безопасни, ефективни и качествени лекарства, диагнози и лечения;</w:t>
      </w:r>
    </w:p>
    <w:p w:rsidRPr="00F3125C" w:rsidR="004135C1" w:rsidP="00643D0B" w:rsidRDefault="004135C1" w14:paraId="7E3486F0"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предлага поредица от конкретни мерки, насочени към насърчаване на конкурентоспособността и устойчивостта на сектора, подобряване на условията на труд в сектора, като същевременно се намаляват зависимостите от трети държави и се избягват случаи на недостиг. По-специално препоръчва да се актуализира списъкът на действията, обхванати от „пътя на преход в здравеопазването“, за да продължи укрепването на единния пазар в сектора на здравеопазването;</w:t>
      </w:r>
    </w:p>
    <w:p w:rsidRPr="00F3125C" w:rsidR="004135C1" w:rsidP="00643D0B" w:rsidRDefault="004135C1" w14:paraId="4029A457"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признава цифровата трансформация на сектора на здравеопазването и призовава за ориентирано към човека използване на изкуствен интелект (ИИ), повишена оперативност на данните, споделени и сигурни цифрови пространства и засилена защита от киберрискове;</w:t>
      </w:r>
    </w:p>
    <w:p w:rsidRPr="00F3125C" w:rsidR="004135C1" w:rsidP="00643D0B" w:rsidRDefault="004135C1" w14:paraId="189280E3"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подкрепя иновациите като двигател на конкурентоспособността и призовава за наднационална публична научноизследователска инфраструктура в областта на медицината;</w:t>
      </w:r>
    </w:p>
    <w:p w:rsidRPr="00F3125C" w:rsidR="004135C1" w:rsidP="00643D0B" w:rsidRDefault="004135C1" w14:paraId="476751C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подчертава потенциала на превантивните и персонализираните лекарства и необходимостта от увеличаване на инвестициите в областта на редките заболявания;</w:t>
      </w:r>
    </w:p>
    <w:p w:rsidRPr="00F3125C" w:rsidR="004135C1" w:rsidP="00643D0B" w:rsidRDefault="004135C1" w14:paraId="61B99D9A" w14:textId="39DFA24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подчертава, че е важно да се гарантира всеобщ и справедлив достъп до здравеопазване и лекарства в целия ЕС. Това включва достъпни цени въз основа на „модела на справедливо ценообразуване“.</w:t>
      </w:r>
    </w:p>
    <w:p w:rsidRPr="00F3125C" w:rsidR="004135C1" w:rsidP="004135C1" w:rsidRDefault="004135C1" w14:paraId="28E01A61" w14:textId="77777777">
      <w:pPr>
        <w:widowControl w:val="0"/>
        <w:overflowPunct w:val="0"/>
        <w:autoSpaceDE w:val="0"/>
        <w:autoSpaceDN w:val="0"/>
        <w:adjustRightInd w:val="0"/>
        <w:ind w:left="709"/>
        <w:textAlignment w:val="baseline"/>
        <w:rPr>
          <w:rFonts w:asciiTheme="minorHAnsi" w:hAnsiTheme="minorHAnsi"/>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4135C1" w:rsidTr="00863A8F" w14:paraId="0D9DE5D8" w14:textId="77777777">
        <w:tc>
          <w:tcPr>
            <w:tcW w:w="1556" w:type="pct"/>
          </w:tcPr>
          <w:p w:rsidRPr="00F3125C" w:rsidR="004135C1" w:rsidP="004135C1" w:rsidRDefault="004135C1" w14:paraId="3860B143" w14:textId="77777777">
            <w:pPr>
              <w:overflowPunct w:val="0"/>
              <w:autoSpaceDE w:val="0"/>
              <w:autoSpaceDN w:val="0"/>
              <w:adjustRightInd w:val="0"/>
              <w:spacing w:line="240" w:lineRule="auto"/>
              <w:textAlignment w:val="baseline"/>
              <w:rPr>
                <w:i/>
              </w:rPr>
            </w:pPr>
            <w:r>
              <w:rPr>
                <w:b/>
                <w:i/>
              </w:rPr>
              <w:t>За контакти</w:t>
            </w:r>
          </w:p>
        </w:tc>
        <w:tc>
          <w:tcPr>
            <w:tcW w:w="3444" w:type="pct"/>
          </w:tcPr>
          <w:p w:rsidRPr="00F3125C" w:rsidR="004135C1" w:rsidP="004135C1" w:rsidRDefault="004135C1" w14:paraId="707D2FC1" w14:textId="37692FEF">
            <w:pPr>
              <w:overflowPunct w:val="0"/>
              <w:autoSpaceDE w:val="0"/>
              <w:autoSpaceDN w:val="0"/>
              <w:adjustRightInd w:val="0"/>
              <w:spacing w:line="240" w:lineRule="auto"/>
              <w:textAlignment w:val="baseline"/>
              <w:rPr>
                <w:i/>
              </w:rPr>
            </w:pPr>
            <w:proofErr w:type="spellStart"/>
            <w:r>
              <w:rPr>
                <w:i/>
              </w:rPr>
              <w:t>Laia</w:t>
            </w:r>
            <w:proofErr w:type="spellEnd"/>
            <w:r>
              <w:rPr>
                <w:i/>
              </w:rPr>
              <w:t xml:space="preserve"> </w:t>
            </w:r>
            <w:proofErr w:type="spellStart"/>
            <w:r>
              <w:rPr>
                <w:i/>
              </w:rPr>
              <w:t>Tomàs</w:t>
            </w:r>
            <w:proofErr w:type="spellEnd"/>
            <w:r>
              <w:rPr>
                <w:i/>
              </w:rPr>
              <w:t xml:space="preserve"> </w:t>
            </w:r>
            <w:proofErr w:type="spellStart"/>
            <w:r>
              <w:rPr>
                <w:i/>
              </w:rPr>
              <w:t>Vinardell</w:t>
            </w:r>
            <w:proofErr w:type="spellEnd"/>
          </w:p>
        </w:tc>
      </w:tr>
      <w:tr w:rsidRPr="00F3125C" w:rsidR="004135C1" w:rsidTr="00863A8F" w14:paraId="52696548" w14:textId="77777777">
        <w:tc>
          <w:tcPr>
            <w:tcW w:w="1556" w:type="pct"/>
          </w:tcPr>
          <w:p w:rsidRPr="00F3125C" w:rsidR="004135C1" w:rsidP="004135C1" w:rsidRDefault="004135C1" w14:paraId="7D874424" w14:textId="77777777">
            <w:pPr>
              <w:overflowPunct w:val="0"/>
              <w:autoSpaceDE w:val="0"/>
              <w:autoSpaceDN w:val="0"/>
              <w:adjustRightInd w:val="0"/>
              <w:spacing w:line="240" w:lineRule="auto"/>
              <w:textAlignment w:val="baseline"/>
              <w:rPr>
                <w:i/>
              </w:rPr>
            </w:pPr>
            <w:r>
              <w:rPr>
                <w:i/>
              </w:rPr>
              <w:t>Тел.</w:t>
            </w:r>
          </w:p>
        </w:tc>
        <w:tc>
          <w:tcPr>
            <w:tcW w:w="3444" w:type="pct"/>
          </w:tcPr>
          <w:p w:rsidRPr="00F3125C" w:rsidR="004135C1" w:rsidP="004135C1" w:rsidRDefault="004135C1" w14:paraId="494E0D84" w14:textId="77777777">
            <w:pPr>
              <w:overflowPunct w:val="0"/>
              <w:autoSpaceDE w:val="0"/>
              <w:autoSpaceDN w:val="0"/>
              <w:adjustRightInd w:val="0"/>
              <w:spacing w:line="240" w:lineRule="auto"/>
              <w:textAlignment w:val="baseline"/>
              <w:rPr>
                <w:i/>
              </w:rPr>
            </w:pPr>
            <w:r>
              <w:rPr>
                <w:i/>
              </w:rPr>
              <w:t>+32 25469149</w:t>
            </w:r>
          </w:p>
        </w:tc>
      </w:tr>
      <w:tr w:rsidRPr="00F3125C" w:rsidR="004135C1" w:rsidTr="00863A8F" w14:paraId="683775F3" w14:textId="77777777">
        <w:tc>
          <w:tcPr>
            <w:tcW w:w="1556" w:type="pct"/>
          </w:tcPr>
          <w:p w:rsidRPr="00F3125C" w:rsidR="004135C1" w:rsidP="004135C1" w:rsidRDefault="004135C1" w14:paraId="305F5D50"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F3125C" w:rsidR="0052039C" w:rsidP="004135C1" w:rsidRDefault="008C5F08" w14:paraId="558B9DF4" w14:textId="53E70D00">
            <w:pPr>
              <w:overflowPunct w:val="0"/>
              <w:autoSpaceDE w:val="0"/>
              <w:autoSpaceDN w:val="0"/>
              <w:adjustRightInd w:val="0"/>
              <w:spacing w:line="240" w:lineRule="auto"/>
              <w:textAlignment w:val="baseline"/>
              <w:rPr>
                <w:i/>
              </w:rPr>
            </w:pPr>
            <w:hyperlink w:history="1" r:id="rId51">
              <w:r w:rsidR="00981740">
                <w:rPr>
                  <w:i/>
                  <w:color w:val="0000FF"/>
                  <w:u w:val="single"/>
                </w:rPr>
                <w:t>Laia.TomasVinardell@eesc.europa.eu</w:t>
              </w:r>
            </w:hyperlink>
          </w:p>
        </w:tc>
      </w:tr>
    </w:tbl>
    <w:p w:rsidRPr="00F3125C" w:rsidR="004135C1" w:rsidP="00643D0B" w:rsidRDefault="008C5F08" w14:paraId="2EA45047" w14:textId="0199B68E">
      <w:pPr>
        <w:pageBreakBefore/>
        <w:widowControl w:val="0"/>
        <w:numPr>
          <w:ilvl w:val="0"/>
          <w:numId w:val="6"/>
        </w:numPr>
        <w:overflowPunct w:val="0"/>
        <w:autoSpaceDE w:val="0"/>
        <w:autoSpaceDN w:val="0"/>
        <w:adjustRightInd w:val="0"/>
        <w:spacing w:line="276" w:lineRule="auto"/>
        <w:ind w:hanging="567"/>
        <w:textAlignment w:val="baseline"/>
        <w:rPr>
          <w:b/>
          <w:bCs/>
          <w:i/>
          <w:iCs/>
          <w:color w:val="0000FF"/>
          <w:sz w:val="28"/>
          <w:szCs w:val="28"/>
          <w:u w:val="single"/>
        </w:rPr>
      </w:pPr>
      <w:hyperlink w:history="1" r:id="rId52">
        <w:r w:rsidR="00981740">
          <w:rPr>
            <w:b/>
            <w:i/>
            <w:color w:val="0000FF"/>
            <w:sz w:val="28"/>
            <w:u w:val="single"/>
          </w:rPr>
          <w:t>Професионални услуги в екологичния преход</w:t>
        </w:r>
      </w:hyperlink>
    </w:p>
    <w:p w:rsidRPr="00F3125C" w:rsidR="001D7E3C" w:rsidP="000016DA" w:rsidRDefault="001D7E3C" w14:paraId="61373B3B"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7028"/>
      </w:tblGrid>
      <w:tr w:rsidRPr="00F3125C" w:rsidR="004135C1" w:rsidTr="00863A8F" w14:paraId="140B809D" w14:textId="77777777">
        <w:tc>
          <w:tcPr>
            <w:tcW w:w="1148" w:type="pct"/>
          </w:tcPr>
          <w:p w:rsidRPr="00F3125C" w:rsidR="004135C1" w:rsidP="00643D0B" w:rsidRDefault="004135C1" w14:paraId="0B968550" w14:textId="77777777">
            <w:pPr>
              <w:tabs>
                <w:tab w:val="center" w:pos="284"/>
              </w:tabs>
              <w:overflowPunct w:val="0"/>
              <w:autoSpaceDE w:val="0"/>
              <w:autoSpaceDN w:val="0"/>
              <w:adjustRightInd w:val="0"/>
              <w:spacing w:line="276" w:lineRule="auto"/>
              <w:ind w:left="266" w:hanging="266"/>
              <w:textAlignment w:val="baseline"/>
              <w:rPr>
                <w:b/>
              </w:rPr>
            </w:pPr>
            <w:r>
              <w:rPr>
                <w:b/>
              </w:rPr>
              <w:t>Докладчик</w:t>
            </w:r>
          </w:p>
        </w:tc>
        <w:tc>
          <w:tcPr>
            <w:tcW w:w="3852" w:type="pct"/>
          </w:tcPr>
          <w:p w:rsidRPr="00F3125C" w:rsidR="004135C1" w:rsidP="00643D0B" w:rsidRDefault="004135C1" w14:paraId="288511E0" w14:textId="00FD0DFA">
            <w:pPr>
              <w:tabs>
                <w:tab w:val="center" w:pos="284"/>
              </w:tabs>
              <w:overflowPunct w:val="0"/>
              <w:autoSpaceDE w:val="0"/>
              <w:autoSpaceDN w:val="0"/>
              <w:adjustRightInd w:val="0"/>
              <w:spacing w:line="276" w:lineRule="auto"/>
              <w:ind w:left="266" w:hanging="266"/>
              <w:textAlignment w:val="baseline"/>
            </w:pPr>
            <w:proofErr w:type="spellStart"/>
            <w:r>
              <w:t>Violeta</w:t>
            </w:r>
            <w:proofErr w:type="spellEnd"/>
            <w:r>
              <w:t xml:space="preserve"> JELIĆ (група „Работодатели“ — HR)</w:t>
            </w:r>
          </w:p>
        </w:tc>
      </w:tr>
      <w:tr w:rsidRPr="00F3125C" w:rsidR="004135C1" w:rsidTr="00863A8F" w14:paraId="43C07CCE" w14:textId="77777777">
        <w:tc>
          <w:tcPr>
            <w:tcW w:w="1148" w:type="pct"/>
          </w:tcPr>
          <w:p w:rsidRPr="00F3125C" w:rsidR="004135C1" w:rsidP="00643D0B" w:rsidRDefault="004135C1" w14:paraId="1851D065" w14:textId="77777777">
            <w:pPr>
              <w:tabs>
                <w:tab w:val="center" w:pos="284"/>
              </w:tabs>
              <w:overflowPunct w:val="0"/>
              <w:autoSpaceDE w:val="0"/>
              <w:autoSpaceDN w:val="0"/>
              <w:adjustRightInd w:val="0"/>
              <w:spacing w:line="276" w:lineRule="auto"/>
              <w:ind w:left="266" w:hanging="266"/>
              <w:textAlignment w:val="baseline"/>
              <w:rPr>
                <w:b/>
              </w:rPr>
            </w:pPr>
            <w:r>
              <w:rPr>
                <w:b/>
              </w:rPr>
              <w:t>Съдокладчик</w:t>
            </w:r>
          </w:p>
        </w:tc>
        <w:tc>
          <w:tcPr>
            <w:tcW w:w="3852" w:type="pct"/>
          </w:tcPr>
          <w:p w:rsidRPr="00F3125C" w:rsidR="004135C1" w:rsidP="00643D0B" w:rsidRDefault="004135C1" w14:paraId="15B45F80" w14:textId="070DDFA1">
            <w:pPr>
              <w:tabs>
                <w:tab w:val="center" w:pos="284"/>
              </w:tabs>
              <w:overflowPunct w:val="0"/>
              <w:autoSpaceDE w:val="0"/>
              <w:autoSpaceDN w:val="0"/>
              <w:adjustRightInd w:val="0"/>
              <w:spacing w:line="276" w:lineRule="auto"/>
              <w:ind w:left="266" w:hanging="266"/>
              <w:textAlignment w:val="baseline"/>
            </w:pPr>
            <w:proofErr w:type="spellStart"/>
            <w:r>
              <w:t>Gaetano</w:t>
            </w:r>
            <w:proofErr w:type="spellEnd"/>
            <w:r>
              <w:t xml:space="preserve"> STELLA (Кат. 3 — IT)</w:t>
            </w:r>
          </w:p>
        </w:tc>
      </w:tr>
      <w:tr w:rsidRPr="00F3125C" w:rsidR="004135C1" w:rsidTr="00863A8F" w14:paraId="466DF065" w14:textId="77777777">
        <w:tc>
          <w:tcPr>
            <w:tcW w:w="5000" w:type="pct"/>
            <w:gridSpan w:val="2"/>
          </w:tcPr>
          <w:p w:rsidRPr="00F3125C" w:rsidR="004135C1" w:rsidP="00643D0B" w:rsidRDefault="004135C1" w14:paraId="4A80B35E"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F3125C" w:rsidR="004135C1" w:rsidTr="00863A8F" w14:paraId="6B9424B3" w14:textId="77777777">
        <w:tc>
          <w:tcPr>
            <w:tcW w:w="1148" w:type="pct"/>
            <w:vMerge w:val="restart"/>
          </w:tcPr>
          <w:p w:rsidRPr="00F3125C" w:rsidR="004135C1" w:rsidP="00643D0B" w:rsidRDefault="004135C1" w14:paraId="02AC24F7" w14:textId="77777777">
            <w:pPr>
              <w:tabs>
                <w:tab w:val="center" w:pos="284"/>
              </w:tabs>
              <w:overflowPunct w:val="0"/>
              <w:autoSpaceDE w:val="0"/>
              <w:autoSpaceDN w:val="0"/>
              <w:adjustRightInd w:val="0"/>
              <w:spacing w:line="276" w:lineRule="auto"/>
              <w:ind w:left="266" w:hanging="266"/>
              <w:textAlignment w:val="baseline"/>
              <w:rPr>
                <w:b/>
              </w:rPr>
            </w:pPr>
            <w:r>
              <w:rPr>
                <w:b/>
              </w:rPr>
              <w:t>Отправни документи</w:t>
            </w:r>
          </w:p>
        </w:tc>
        <w:tc>
          <w:tcPr>
            <w:tcW w:w="3852" w:type="pct"/>
          </w:tcPr>
          <w:p w:rsidRPr="00F3125C" w:rsidR="00533F3C" w:rsidRDefault="00533F3C" w14:paraId="11CA740D" w14:textId="4B9D5513">
            <w:pPr>
              <w:tabs>
                <w:tab w:val="center" w:pos="284"/>
              </w:tabs>
              <w:overflowPunct w:val="0"/>
              <w:autoSpaceDE w:val="0"/>
              <w:autoSpaceDN w:val="0"/>
              <w:adjustRightInd w:val="0"/>
              <w:spacing w:line="276" w:lineRule="auto"/>
              <w:ind w:left="266" w:hanging="266"/>
              <w:textAlignment w:val="baseline"/>
            </w:pPr>
            <w:r>
              <w:t>Становище по собствена инициатива</w:t>
            </w:r>
          </w:p>
          <w:p w:rsidRPr="00F3125C" w:rsidR="004135C1" w:rsidP="00643D0B" w:rsidRDefault="004135C1" w14:paraId="2112DC24" w14:textId="3A48DE1E">
            <w:pPr>
              <w:tabs>
                <w:tab w:val="center" w:pos="284"/>
              </w:tabs>
              <w:overflowPunct w:val="0"/>
              <w:autoSpaceDE w:val="0"/>
              <w:autoSpaceDN w:val="0"/>
              <w:adjustRightInd w:val="0"/>
              <w:spacing w:line="276" w:lineRule="auto"/>
              <w:ind w:left="266" w:hanging="266"/>
              <w:textAlignment w:val="baseline"/>
            </w:pPr>
            <w:r>
              <w:rPr>
                <w:sz w:val="22"/>
              </w:rPr>
              <w:t>EESC-2024-01953-00-00-</w:t>
            </w:r>
            <w:r>
              <w:t>AC</w:t>
            </w:r>
          </w:p>
        </w:tc>
      </w:tr>
      <w:tr w:rsidRPr="00F3125C" w:rsidR="004135C1" w:rsidTr="00863A8F" w14:paraId="42036589" w14:textId="77777777">
        <w:tc>
          <w:tcPr>
            <w:tcW w:w="1148" w:type="pct"/>
            <w:vMerge/>
          </w:tcPr>
          <w:p w:rsidRPr="00F3125C" w:rsidR="004135C1" w:rsidP="00643D0B" w:rsidRDefault="004135C1" w14:paraId="2D50CCC8"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3852" w:type="pct"/>
          </w:tcPr>
          <w:p w:rsidRPr="00F3125C" w:rsidR="004135C1" w:rsidP="00643D0B" w:rsidRDefault="004135C1" w14:paraId="0FCCE1E9"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Pr="00F3125C" w:rsidR="00E937A4" w:rsidP="000016DA" w:rsidRDefault="00E937A4" w14:paraId="101D3E5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F3125C" w:rsidR="004135C1" w:rsidP="00643D0B" w:rsidRDefault="004135C1" w14:paraId="175B13F6" w14:textId="51E66E2B">
      <w:pPr>
        <w:keepNext/>
        <w:keepLines/>
        <w:tabs>
          <w:tab w:val="center" w:pos="284"/>
        </w:tabs>
        <w:overflowPunct w:val="0"/>
        <w:autoSpaceDE w:val="0"/>
        <w:autoSpaceDN w:val="0"/>
        <w:adjustRightInd w:val="0"/>
        <w:spacing w:line="276" w:lineRule="auto"/>
        <w:ind w:left="266" w:hanging="266"/>
        <w:textAlignment w:val="baseline"/>
        <w:rPr>
          <w:b/>
        </w:rPr>
      </w:pPr>
      <w:r>
        <w:rPr>
          <w:b/>
        </w:rPr>
        <w:t>Основни аспекти</w:t>
      </w:r>
    </w:p>
    <w:p w:rsidRPr="00F3125C" w:rsidR="004135C1" w:rsidP="00643D0B" w:rsidRDefault="004135C1" w14:paraId="1C197A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F3125C" w:rsidR="004135C1" w:rsidP="000016DA" w:rsidRDefault="004135C1" w14:paraId="186AC765" w14:textId="77777777">
      <w:pPr>
        <w:overflowPunct w:val="0"/>
        <w:autoSpaceDE w:val="0"/>
        <w:autoSpaceDN w:val="0"/>
        <w:adjustRightInd w:val="0"/>
        <w:spacing w:line="276" w:lineRule="auto"/>
        <w:textAlignment w:val="baseline"/>
        <w:rPr>
          <w:bCs/>
          <w:iCs/>
        </w:rPr>
      </w:pPr>
      <w:r>
        <w:t>ЕИСК:</w:t>
      </w:r>
    </w:p>
    <w:p w:rsidRPr="00F3125C" w:rsidR="00E937A4" w:rsidP="000016DA" w:rsidRDefault="00E937A4" w14:paraId="1630A997" w14:textId="77777777">
      <w:pPr>
        <w:overflowPunct w:val="0"/>
        <w:autoSpaceDE w:val="0"/>
        <w:autoSpaceDN w:val="0"/>
        <w:adjustRightInd w:val="0"/>
        <w:spacing w:line="276" w:lineRule="auto"/>
        <w:textAlignment w:val="baseline"/>
        <w:rPr>
          <w:bCs/>
          <w:iCs/>
          <w:lang w:val="en-GB"/>
        </w:rPr>
      </w:pPr>
    </w:p>
    <w:p w:rsidRPr="00F3125C" w:rsidR="004135C1" w:rsidP="00643D0B" w:rsidRDefault="004135C1" w14:paraId="53701C4C"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с настоящото становище допринася за съвместните усилия за възстановяване на конкурентоспособността на Европа и укрепване на нейната промишлена позиция, като същевременно подобрява резултатите на европейските предприятия в екологичния преход;</w:t>
      </w:r>
    </w:p>
    <w:p w:rsidRPr="00F3125C" w:rsidR="004135C1" w:rsidP="00643D0B" w:rsidRDefault="004135C1" w14:paraId="0EFA68B4"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признава основната роля, която професионалните услуги играят в екологичния преход;</w:t>
      </w:r>
    </w:p>
    <w:p w:rsidRPr="00F3125C" w:rsidR="004135C1" w:rsidP="00643D0B" w:rsidRDefault="004135C1" w14:paraId="378F73BE"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изразява загриженост, че процесът на </w:t>
      </w:r>
      <w:proofErr w:type="spellStart"/>
      <w:r>
        <w:t>екологизиране</w:t>
      </w:r>
      <w:proofErr w:type="spellEnd"/>
      <w:r>
        <w:t xml:space="preserve"> може да бъде възпрепятстван поради недостига на работна ръка и умения, несъответствията между търсените и предлаганите умения и увеличаващата се регулаторна, административна и финансова тежест, както и поради новите предизвикателства, породени от бързите промени във веригите на доставки;</w:t>
      </w:r>
    </w:p>
    <w:p w:rsidRPr="00F3125C" w:rsidR="004135C1" w:rsidP="00643D0B" w:rsidRDefault="004135C1" w14:paraId="15581C43"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очаква промените в динамиката на веригите на доставки на производството да спомогнат за пренасочване на веригите за създаване на стойност и да насърчат връщането на производството, като много дружества обмислят да преместят обратно производството и услугите, които преди това са били изнесени в държави извън ЕС;</w:t>
      </w:r>
    </w:p>
    <w:p w:rsidRPr="00F3125C" w:rsidR="004135C1" w:rsidP="00643D0B" w:rsidRDefault="004135C1" w14:paraId="704100D1"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смята, че трябва е да се приложи новата визия за Съюза на уменията. Необходимо е да се проведат съгласувани реформи в образователните системи, за да се адаптират учебните програми към промените в сферата на труда, да се подкрепят всички съответни образователни програми (включително в областта на НТИМ), да се приложи нова стратегия за професионално образование и обучение (ПОО), да се подкрепят учителите и да се подобри координацията на равнището на ЕС;</w:t>
      </w:r>
    </w:p>
    <w:p w:rsidRPr="00F3125C" w:rsidR="004135C1" w:rsidP="00643D0B" w:rsidRDefault="004135C1" w14:paraId="08C940E6"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също така отбелязва необходимостта от насърчаване на образователни инициативи както на равнището на ЕС, така и на равнището на държавите членки. Това би могло да включва специфични финансови стимули за курсове за ПОО, насочени към </w:t>
      </w:r>
      <w:proofErr w:type="spellStart"/>
      <w:r>
        <w:t>екологизиране</w:t>
      </w:r>
      <w:proofErr w:type="spellEnd"/>
      <w:r>
        <w:t xml:space="preserve"> на професионалните услуги, както и създаване на академични курсове на равнището на ЕС, за да се привлекат нови специалисти или да се обучат съществуващите специалисти по отношение на целите за устойчивост, както и да се насърчават адаптирането към съществуващите умения и работни места и подобренията в тях (програми за повишаване на квалификацията и преквалификация). Тези инициативи биха могли също да създадат нови умения за екологичния и цифровия преход, които могат да се разглеждат като „двоен преход“, тъй като вървят ръка за ръка и могат да се подсилват взаимно;</w:t>
      </w:r>
    </w:p>
    <w:p w:rsidRPr="00F3125C" w:rsidR="004135C1" w:rsidP="00643D0B" w:rsidRDefault="004135C1" w14:paraId="2BCB6B7B"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предлага политиките да бъдат насочени към подпомагане на изграждането на мрежа от професионални услуги, за да се подобри оперативният мащаб на свързаните с тях дейности, като се отчитат надлежно специфичните характеристики на всяка държава членка;</w:t>
      </w:r>
    </w:p>
    <w:p w:rsidRPr="00F3125C" w:rsidR="001D7E3C" w:rsidP="00643D0B" w:rsidRDefault="004135C1" w14:paraId="35E722CE" w14:textId="2A3E9441">
      <w:pPr>
        <w:widowControl w:val="0"/>
        <w:numPr>
          <w:ilvl w:val="0"/>
          <w:numId w:val="45"/>
        </w:numPr>
        <w:overflowPunct w:val="0"/>
        <w:autoSpaceDE w:val="0"/>
        <w:autoSpaceDN w:val="0"/>
        <w:adjustRightInd w:val="0"/>
        <w:spacing w:line="276" w:lineRule="auto"/>
        <w:ind w:left="284" w:hanging="284"/>
        <w:textAlignment w:val="baseline"/>
        <w:rPr>
          <w:bCs/>
          <w:iCs/>
        </w:rPr>
      </w:pPr>
      <w:r>
        <w:t>счита, че недостигът на умения би могъл да бъде преодолян чрез следване на горепосочените предложения и обучение на квалифицирани специалисти в Европа или чрез привличане на специалисти от държави извън ЕС чрез политики и инициативи;</w:t>
      </w:r>
    </w:p>
    <w:p w:rsidRPr="00F3125C" w:rsidR="00E937A4" w:rsidP="000016DA" w:rsidRDefault="004135C1" w14:paraId="7F2EF97F" w14:textId="3AD0ECF9">
      <w:pPr>
        <w:widowControl w:val="0"/>
        <w:numPr>
          <w:ilvl w:val="0"/>
          <w:numId w:val="45"/>
        </w:numPr>
        <w:overflowPunct w:val="0"/>
        <w:autoSpaceDE w:val="0"/>
        <w:autoSpaceDN w:val="0"/>
        <w:adjustRightInd w:val="0"/>
        <w:spacing w:line="276" w:lineRule="auto"/>
        <w:ind w:left="284" w:hanging="284"/>
        <w:textAlignment w:val="baseline"/>
        <w:rPr>
          <w:bCs/>
          <w:iCs/>
        </w:rPr>
      </w:pPr>
      <w:r>
        <w:lastRenderedPageBreak/>
        <w:t>подчертава важната роля, която социалните партньори, организациите за професионални услуги и други свързани организации на гражданското общество играят в успешните и справедливи процеси на екологичен преход;</w:t>
      </w:r>
    </w:p>
    <w:p w:rsidRPr="00F3125C" w:rsidR="001D7E3C" w:rsidP="00643D0B" w:rsidRDefault="001D7E3C" w14:paraId="43F22060" w14:textId="77777777">
      <w:pPr>
        <w:widowControl w:val="0"/>
        <w:overflowPunct w:val="0"/>
        <w:autoSpaceDE w:val="0"/>
        <w:autoSpaceDN w:val="0"/>
        <w:adjustRightInd w:val="0"/>
        <w:spacing w:line="276" w:lineRule="auto"/>
        <w:ind w:left="284"/>
        <w:textAlignment w:val="baseline"/>
        <w:rPr>
          <w:bCs/>
          <w:iCs/>
          <w:lang w:val="en-GB"/>
        </w:rPr>
      </w:pPr>
    </w:p>
    <w:p w:rsidRPr="00F3125C" w:rsidR="004135C1" w:rsidP="00643D0B" w:rsidRDefault="004135C1" w14:paraId="482673F9"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изтъква и други предизвикателства в широкия контекст на предоставянето на професионални услуги, включително пречките пред признаването на квалификациите, които ще трябва да бъдат премахнати, за да се спомогне за повишаване на професионалната мобилност и преодоляване на недостига на умения. ЕИСК препоръчва непрекъснати усилия в тази област, включително чрез последващи становища по тези въпроси.</w:t>
      </w:r>
    </w:p>
    <w:p w:rsidRPr="00F3125C" w:rsidR="000016DA" w:rsidP="00643D0B" w:rsidRDefault="000016DA" w14:paraId="1AB122AC" w14:textId="77777777">
      <w:pPr>
        <w:widowControl w:val="0"/>
        <w:overflowPunct w:val="0"/>
        <w:autoSpaceDE w:val="0"/>
        <w:autoSpaceDN w:val="0"/>
        <w:adjustRightInd w:val="0"/>
        <w:spacing w:line="276" w:lineRule="auto"/>
        <w:ind w:left="284"/>
        <w:textAlignment w:val="baseline"/>
        <w:rPr>
          <w:bCs/>
          <w:iCs/>
          <w:lang w:val="en-GB"/>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3125C" w:rsidR="004135C1" w:rsidTr="00863A8F" w14:paraId="4C9E1B01" w14:textId="77777777">
        <w:tc>
          <w:tcPr>
            <w:tcW w:w="1556" w:type="pct"/>
          </w:tcPr>
          <w:p w:rsidRPr="00F3125C" w:rsidR="004135C1" w:rsidP="00643D0B" w:rsidRDefault="004135C1" w14:paraId="45233C97" w14:textId="77777777">
            <w:pPr>
              <w:overflowPunct w:val="0"/>
              <w:autoSpaceDE w:val="0"/>
              <w:autoSpaceDN w:val="0"/>
              <w:adjustRightInd w:val="0"/>
              <w:spacing w:line="276" w:lineRule="auto"/>
              <w:textAlignment w:val="baseline"/>
              <w:rPr>
                <w:i/>
              </w:rPr>
            </w:pPr>
            <w:r>
              <w:rPr>
                <w:b/>
                <w:i/>
              </w:rPr>
              <w:t>За контакти</w:t>
            </w:r>
          </w:p>
        </w:tc>
        <w:tc>
          <w:tcPr>
            <w:tcW w:w="3444" w:type="pct"/>
          </w:tcPr>
          <w:p w:rsidRPr="00F3125C" w:rsidR="004135C1" w:rsidP="00643D0B" w:rsidRDefault="004135C1" w14:paraId="73D850BB" w14:textId="77777777">
            <w:pPr>
              <w:overflowPunct w:val="0"/>
              <w:autoSpaceDE w:val="0"/>
              <w:autoSpaceDN w:val="0"/>
              <w:adjustRightInd w:val="0"/>
              <w:spacing w:line="276" w:lineRule="auto"/>
              <w:textAlignment w:val="baseline"/>
              <w:rPr>
                <w:b/>
                <w:bCs/>
                <w:i/>
              </w:rPr>
            </w:pPr>
            <w:proofErr w:type="spellStart"/>
            <w:r>
              <w:rPr>
                <w:b/>
                <w:i/>
              </w:rPr>
              <w:t>Ioannis</w:t>
            </w:r>
            <w:proofErr w:type="spellEnd"/>
            <w:r>
              <w:rPr>
                <w:b/>
                <w:i/>
              </w:rPr>
              <w:t xml:space="preserve"> DIAMANTOPOULOS</w:t>
            </w:r>
          </w:p>
        </w:tc>
      </w:tr>
      <w:tr w:rsidRPr="00F3125C" w:rsidR="004135C1" w:rsidTr="00863A8F" w14:paraId="0FC85F78" w14:textId="77777777">
        <w:tc>
          <w:tcPr>
            <w:tcW w:w="1556" w:type="pct"/>
          </w:tcPr>
          <w:p w:rsidRPr="00F3125C" w:rsidR="004135C1" w:rsidP="00643D0B" w:rsidRDefault="004135C1" w14:paraId="687EE5FA" w14:textId="77777777">
            <w:pPr>
              <w:overflowPunct w:val="0"/>
              <w:autoSpaceDE w:val="0"/>
              <w:autoSpaceDN w:val="0"/>
              <w:adjustRightInd w:val="0"/>
              <w:spacing w:line="276" w:lineRule="auto"/>
              <w:textAlignment w:val="baseline"/>
              <w:rPr>
                <w:i/>
              </w:rPr>
            </w:pPr>
            <w:r>
              <w:rPr>
                <w:i/>
              </w:rPr>
              <w:t>Тел.</w:t>
            </w:r>
          </w:p>
        </w:tc>
        <w:tc>
          <w:tcPr>
            <w:tcW w:w="3444" w:type="pct"/>
          </w:tcPr>
          <w:p w:rsidRPr="00F3125C" w:rsidR="004135C1" w:rsidP="00643D0B" w:rsidRDefault="004135C1" w14:paraId="6749A83F" w14:textId="77777777">
            <w:pPr>
              <w:overflowPunct w:val="0"/>
              <w:autoSpaceDE w:val="0"/>
              <w:autoSpaceDN w:val="0"/>
              <w:adjustRightInd w:val="0"/>
              <w:spacing w:line="276" w:lineRule="auto"/>
              <w:textAlignment w:val="baseline"/>
              <w:rPr>
                <w:i/>
              </w:rPr>
            </w:pPr>
            <w:r>
              <w:rPr>
                <w:i/>
              </w:rPr>
              <w:t>+32 25469170</w:t>
            </w:r>
          </w:p>
        </w:tc>
      </w:tr>
      <w:tr w:rsidRPr="00F3125C" w:rsidR="004135C1" w:rsidTr="00863A8F" w14:paraId="3DB36BB4" w14:textId="77777777">
        <w:tc>
          <w:tcPr>
            <w:tcW w:w="1556" w:type="pct"/>
          </w:tcPr>
          <w:p w:rsidRPr="00F3125C" w:rsidR="004135C1" w:rsidP="00643D0B" w:rsidRDefault="004135C1" w14:paraId="15032542" w14:textId="77777777">
            <w:pPr>
              <w:overflowPunct w:val="0"/>
              <w:autoSpaceDE w:val="0"/>
              <w:autoSpaceDN w:val="0"/>
              <w:adjustRightInd w:val="0"/>
              <w:spacing w:line="276" w:lineRule="auto"/>
              <w:textAlignment w:val="baseline"/>
              <w:rPr>
                <w:iCs/>
              </w:rPr>
            </w:pPr>
            <w:r>
              <w:t>Електронен адрес</w:t>
            </w:r>
          </w:p>
        </w:tc>
        <w:tc>
          <w:tcPr>
            <w:tcW w:w="3444" w:type="pct"/>
          </w:tcPr>
          <w:p w:rsidRPr="00F3125C" w:rsidR="004135C1" w:rsidP="00643D0B" w:rsidRDefault="008C5F08" w14:paraId="34B92454" w14:textId="77777777">
            <w:pPr>
              <w:overflowPunct w:val="0"/>
              <w:autoSpaceDE w:val="0"/>
              <w:autoSpaceDN w:val="0"/>
              <w:adjustRightInd w:val="0"/>
              <w:spacing w:line="276" w:lineRule="auto"/>
              <w:textAlignment w:val="baseline"/>
              <w:rPr>
                <w:i/>
              </w:rPr>
            </w:pPr>
            <w:hyperlink w:history="1" r:id="rId53">
              <w:r w:rsidR="00981740">
                <w:rPr>
                  <w:i/>
                  <w:color w:val="0000FF"/>
                  <w:u w:val="single"/>
                </w:rPr>
                <w:t>Ioannis.Diamantopoulos@eesc.europa.eu</w:t>
              </w:r>
            </w:hyperlink>
          </w:p>
        </w:tc>
      </w:tr>
    </w:tbl>
    <w:p w:rsidRPr="00F3125C" w:rsidR="00395260" w:rsidP="006D6D4E" w:rsidRDefault="00395260" w14:paraId="3A6F59B7" w14:textId="77777777">
      <w:pPr>
        <w:keepNext/>
        <w:keepLines/>
        <w:rPr>
          <w:lang w:val="en-GB"/>
        </w:rPr>
      </w:pPr>
    </w:p>
    <w:p w:rsidRPr="00F3125C" w:rsidR="000D394D" w:rsidP="006D6D4E" w:rsidRDefault="000127B6" w14:paraId="2E28EF19" w14:textId="0CD21960">
      <w:pPr>
        <w:spacing w:after="160" w:line="259" w:lineRule="auto"/>
        <w:jc w:val="center"/>
      </w:pPr>
      <w:r>
        <w:t>_____________</w:t>
      </w:r>
    </w:p>
    <w:sectPr w:rsidRPr="00F3125C" w:rsidR="000D394D" w:rsidSect="00902A1F">
      <w:headerReference w:type="even" r:id="rId54"/>
      <w:headerReference w:type="default" r:id="rId55"/>
      <w:footerReference w:type="even" r:id="rId56"/>
      <w:footerReference w:type="default" r:id="rId57"/>
      <w:headerReference w:type="first" r:id="rId58"/>
      <w:footerReference w:type="first" r:id="rId59"/>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4C18" w14:textId="77777777" w:rsidR="00902A1F" w:rsidRPr="00902A1F" w:rsidRDefault="00902A1F" w:rsidP="0090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DBEE3B3" w:rsidR="00B518C9"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sidR="00643D0B">
      <w:t>1</w:t>
    </w:r>
    <w:r>
      <w:fldChar w:fldCharType="end"/>
    </w:r>
    <w:r>
      <w:t>/</w:t>
    </w:r>
    <w:fldSimple w:instr=" NUMPAGES ">
      <w:r w:rsidR="00643D0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CA7" w14:textId="77777777" w:rsidR="00902A1F" w:rsidRPr="00902A1F" w:rsidRDefault="00902A1F" w:rsidP="00902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t>2</w:t>
    </w:r>
    <w:r>
      <w:fldChar w:fldCharType="end"/>
    </w:r>
    <w:r>
      <w:t>/</w:t>
    </w:r>
    <w:fldSimple w:instr=" NUMPAGES ">
      <w:r>
        <w:rPr>
          <w:noProof/>
        </w:rPr>
        <w:t>27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857" w14:textId="77777777" w:rsidR="00902A1F" w:rsidRPr="00902A1F" w:rsidRDefault="00902A1F" w:rsidP="0090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716" w14:textId="01AC7515" w:rsidR="00902A1F" w:rsidRPr="00902A1F" w:rsidRDefault="00902A1F" w:rsidP="00902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6718" w14:textId="77777777" w:rsidR="00902A1F" w:rsidRPr="00902A1F" w:rsidRDefault="00902A1F" w:rsidP="00902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6DA"/>
    <w:rsid w:val="00006302"/>
    <w:rsid w:val="00010755"/>
    <w:rsid w:val="00010A4D"/>
    <w:rsid w:val="000127B6"/>
    <w:rsid w:val="00013507"/>
    <w:rsid w:val="000139C0"/>
    <w:rsid w:val="0002198C"/>
    <w:rsid w:val="000311D9"/>
    <w:rsid w:val="0005550D"/>
    <w:rsid w:val="00060058"/>
    <w:rsid w:val="00061C9F"/>
    <w:rsid w:val="00063699"/>
    <w:rsid w:val="00063DFF"/>
    <w:rsid w:val="00064723"/>
    <w:rsid w:val="00065A12"/>
    <w:rsid w:val="00072A85"/>
    <w:rsid w:val="00075DDE"/>
    <w:rsid w:val="00076FEA"/>
    <w:rsid w:val="000835E1"/>
    <w:rsid w:val="000842A7"/>
    <w:rsid w:val="00093D60"/>
    <w:rsid w:val="00097638"/>
    <w:rsid w:val="000C3C0E"/>
    <w:rsid w:val="000C4EA7"/>
    <w:rsid w:val="000C5A8B"/>
    <w:rsid w:val="000C68EA"/>
    <w:rsid w:val="000D394D"/>
    <w:rsid w:val="000D430F"/>
    <w:rsid w:val="000D634C"/>
    <w:rsid w:val="000D71EF"/>
    <w:rsid w:val="000E1E59"/>
    <w:rsid w:val="000F0F74"/>
    <w:rsid w:val="00105088"/>
    <w:rsid w:val="00114003"/>
    <w:rsid w:val="00132926"/>
    <w:rsid w:val="00133070"/>
    <w:rsid w:val="00147198"/>
    <w:rsid w:val="00151032"/>
    <w:rsid w:val="00154A7F"/>
    <w:rsid w:val="0017133A"/>
    <w:rsid w:val="001A2F56"/>
    <w:rsid w:val="001A6359"/>
    <w:rsid w:val="001B1F1D"/>
    <w:rsid w:val="001B2FD0"/>
    <w:rsid w:val="001C322E"/>
    <w:rsid w:val="001C59D9"/>
    <w:rsid w:val="001D054F"/>
    <w:rsid w:val="001D7E3C"/>
    <w:rsid w:val="001E391D"/>
    <w:rsid w:val="0020051E"/>
    <w:rsid w:val="00206313"/>
    <w:rsid w:val="0021254C"/>
    <w:rsid w:val="00216C2C"/>
    <w:rsid w:val="00235EB1"/>
    <w:rsid w:val="00236879"/>
    <w:rsid w:val="0023768A"/>
    <w:rsid w:val="002428CF"/>
    <w:rsid w:val="00244BDD"/>
    <w:rsid w:val="002608BA"/>
    <w:rsid w:val="002673F7"/>
    <w:rsid w:val="00270BD5"/>
    <w:rsid w:val="002A13FC"/>
    <w:rsid w:val="002A5636"/>
    <w:rsid w:val="002A60CB"/>
    <w:rsid w:val="002B1BC5"/>
    <w:rsid w:val="002B7981"/>
    <w:rsid w:val="002D1891"/>
    <w:rsid w:val="002D6198"/>
    <w:rsid w:val="002E4460"/>
    <w:rsid w:val="00300524"/>
    <w:rsid w:val="00301F08"/>
    <w:rsid w:val="003066BE"/>
    <w:rsid w:val="00310D3C"/>
    <w:rsid w:val="0031123C"/>
    <w:rsid w:val="003227CC"/>
    <w:rsid w:val="0032562B"/>
    <w:rsid w:val="00327E1C"/>
    <w:rsid w:val="00330CFA"/>
    <w:rsid w:val="003321DA"/>
    <w:rsid w:val="003331D9"/>
    <w:rsid w:val="003337BA"/>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43D0B"/>
    <w:rsid w:val="006535D9"/>
    <w:rsid w:val="006766F1"/>
    <w:rsid w:val="00691580"/>
    <w:rsid w:val="00692DF0"/>
    <w:rsid w:val="00697BE1"/>
    <w:rsid w:val="006A1AC2"/>
    <w:rsid w:val="006A6A0C"/>
    <w:rsid w:val="006C1C6C"/>
    <w:rsid w:val="006D2C8A"/>
    <w:rsid w:val="006D2D64"/>
    <w:rsid w:val="006D6D4E"/>
    <w:rsid w:val="006F1DF9"/>
    <w:rsid w:val="006F2520"/>
    <w:rsid w:val="006F41A3"/>
    <w:rsid w:val="006F6754"/>
    <w:rsid w:val="00700711"/>
    <w:rsid w:val="00707D39"/>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6721"/>
    <w:rsid w:val="007C7DDB"/>
    <w:rsid w:val="007D350D"/>
    <w:rsid w:val="007D7907"/>
    <w:rsid w:val="007E3BCB"/>
    <w:rsid w:val="007F5784"/>
    <w:rsid w:val="0080707C"/>
    <w:rsid w:val="00807CED"/>
    <w:rsid w:val="00826962"/>
    <w:rsid w:val="00831D96"/>
    <w:rsid w:val="00845F24"/>
    <w:rsid w:val="008470F5"/>
    <w:rsid w:val="00852A88"/>
    <w:rsid w:val="00863A8F"/>
    <w:rsid w:val="0087129B"/>
    <w:rsid w:val="00876B38"/>
    <w:rsid w:val="0088219D"/>
    <w:rsid w:val="00885409"/>
    <w:rsid w:val="00885FBB"/>
    <w:rsid w:val="008943DA"/>
    <w:rsid w:val="00896D61"/>
    <w:rsid w:val="008A6620"/>
    <w:rsid w:val="008C47BA"/>
    <w:rsid w:val="008C4F61"/>
    <w:rsid w:val="008C5F08"/>
    <w:rsid w:val="008D2193"/>
    <w:rsid w:val="008D5222"/>
    <w:rsid w:val="008E08F5"/>
    <w:rsid w:val="008E52D1"/>
    <w:rsid w:val="008F3650"/>
    <w:rsid w:val="008F6F62"/>
    <w:rsid w:val="008F781E"/>
    <w:rsid w:val="00902A1F"/>
    <w:rsid w:val="0091249B"/>
    <w:rsid w:val="009266F3"/>
    <w:rsid w:val="009416E3"/>
    <w:rsid w:val="00957436"/>
    <w:rsid w:val="00981740"/>
    <w:rsid w:val="00983331"/>
    <w:rsid w:val="00990E94"/>
    <w:rsid w:val="00994DD3"/>
    <w:rsid w:val="009B5279"/>
    <w:rsid w:val="009C0019"/>
    <w:rsid w:val="009C4B7B"/>
    <w:rsid w:val="009C5B03"/>
    <w:rsid w:val="009D2979"/>
    <w:rsid w:val="009D29DE"/>
    <w:rsid w:val="009D2D5C"/>
    <w:rsid w:val="009E3EE2"/>
    <w:rsid w:val="009F2B41"/>
    <w:rsid w:val="009F2FE3"/>
    <w:rsid w:val="009F3A36"/>
    <w:rsid w:val="009F46E9"/>
    <w:rsid w:val="00A1413A"/>
    <w:rsid w:val="00A1632C"/>
    <w:rsid w:val="00A176AE"/>
    <w:rsid w:val="00A20E9D"/>
    <w:rsid w:val="00A23005"/>
    <w:rsid w:val="00A272B2"/>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D4C7B"/>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70A01"/>
    <w:rsid w:val="00B75F7C"/>
    <w:rsid w:val="00B82684"/>
    <w:rsid w:val="00B827D8"/>
    <w:rsid w:val="00B82ADF"/>
    <w:rsid w:val="00B96875"/>
    <w:rsid w:val="00BA5B45"/>
    <w:rsid w:val="00BB1C2C"/>
    <w:rsid w:val="00BB600D"/>
    <w:rsid w:val="00BC21DF"/>
    <w:rsid w:val="00BC6104"/>
    <w:rsid w:val="00BC79F5"/>
    <w:rsid w:val="00BC7CE9"/>
    <w:rsid w:val="00BE0522"/>
    <w:rsid w:val="00BE0672"/>
    <w:rsid w:val="00BE54B3"/>
    <w:rsid w:val="00C008B4"/>
    <w:rsid w:val="00C12517"/>
    <w:rsid w:val="00C178AD"/>
    <w:rsid w:val="00C17ABD"/>
    <w:rsid w:val="00C24EDC"/>
    <w:rsid w:val="00C255D3"/>
    <w:rsid w:val="00C26C67"/>
    <w:rsid w:val="00C30DF7"/>
    <w:rsid w:val="00C34B13"/>
    <w:rsid w:val="00C45BCC"/>
    <w:rsid w:val="00C643BA"/>
    <w:rsid w:val="00C70B4C"/>
    <w:rsid w:val="00C72301"/>
    <w:rsid w:val="00C77948"/>
    <w:rsid w:val="00C821A5"/>
    <w:rsid w:val="00C8618E"/>
    <w:rsid w:val="00CA021F"/>
    <w:rsid w:val="00CB3320"/>
    <w:rsid w:val="00CB57CE"/>
    <w:rsid w:val="00CE31B7"/>
    <w:rsid w:val="00CE749A"/>
    <w:rsid w:val="00CF7F32"/>
    <w:rsid w:val="00D0533C"/>
    <w:rsid w:val="00D10240"/>
    <w:rsid w:val="00D14F30"/>
    <w:rsid w:val="00D16683"/>
    <w:rsid w:val="00D341C1"/>
    <w:rsid w:val="00D34924"/>
    <w:rsid w:val="00D43613"/>
    <w:rsid w:val="00D50E90"/>
    <w:rsid w:val="00D6623C"/>
    <w:rsid w:val="00D7076A"/>
    <w:rsid w:val="00D73678"/>
    <w:rsid w:val="00D75E64"/>
    <w:rsid w:val="00D81F5E"/>
    <w:rsid w:val="00D92269"/>
    <w:rsid w:val="00DA5185"/>
    <w:rsid w:val="00DC1286"/>
    <w:rsid w:val="00DD1395"/>
    <w:rsid w:val="00DD2B4D"/>
    <w:rsid w:val="00DD77BE"/>
    <w:rsid w:val="00DE176A"/>
    <w:rsid w:val="00DE2877"/>
    <w:rsid w:val="00DE423D"/>
    <w:rsid w:val="00E00A6B"/>
    <w:rsid w:val="00E07297"/>
    <w:rsid w:val="00E13A99"/>
    <w:rsid w:val="00E24154"/>
    <w:rsid w:val="00E3232E"/>
    <w:rsid w:val="00E333E2"/>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125C"/>
    <w:rsid w:val="00F32856"/>
    <w:rsid w:val="00F34F7E"/>
    <w:rsid w:val="00F35182"/>
    <w:rsid w:val="00F365A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bg/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https://www.eesc.europa.eu/bg/our-work/opinions-information-reports/opinions/industrial-changes-health-sector-face-multiplying-crises"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bg/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bg/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bg/our-work/opinions-information-reports/opinions/decision-interpretation-and-application-energy-charter-treaty" TargetMode="External"/><Relationship Id="rId53" Type="http://schemas.openxmlformats.org/officeDocument/2006/relationships/hyperlink" Target="mailto:Ioannis.Diamantopoulos@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bg/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bg/our-work/opinions-information-reports/opinions/potential-challenges-european-single-market-arising-future-enlargement-union" TargetMode="External"/><Relationship Id="rId43" Type="http://schemas.openxmlformats.org/officeDocument/2006/relationships/hyperlink" Target="https://www.eesc.europa.eu/bg/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Laia.TomasVinardell@eesc.europa.eu" TargetMode="Externa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bg/our-work/opinions-information-reports/opinions/review-legal-framework-securitisation-eu" TargetMode="External"/><Relationship Id="rId33" Type="http://schemas.openxmlformats.org/officeDocument/2006/relationships/hyperlink" Target="https://www.eesc.europa.eu/bg/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footer" Target="footer6.xml"/><Relationship Id="rId20" Type="http://schemas.openxmlformats.org/officeDocument/2006/relationships/hyperlink" Target="https://www.eesc.europa.eu/bg/documents/resolution/european-economic-and-social-committee-contribution-2025-european-commission-work-programme" TargetMode="External"/><Relationship Id="rId41" Type="http://schemas.openxmlformats.org/officeDocument/2006/relationships/hyperlink" Target="https://www.eesc.europa.eu/en/our-work/opinions-information-reports/opinions/amendment-eafrd-provide-additional-assistance-member-states-affected-natural-disasters"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bg/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en/our-work/opinions-information-reports/opinions/sector-specific-industrial-policies-supporting-greater-strategic-autonomy"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en/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https://www.eesc.europa.eu/bg/our-work/opinions-information-reports/opinions/professional-services-gree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F7M6YNZUATRX-1659962339-2880</_dlc_DocId>
    <_dlc_DocIdUrl xmlns="59ace41b-6786-4ce3-be71-52c27066c6ef">
      <Url>http://dm/eesc/2024/_layouts/15/DocIdRedir.aspx?ID=F7M6YNZUATRX-1659962339-2880</Url>
      <Description>F7M6YNZUATRX-1659962339-2880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2024-12-16T12:00:00+00:00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Petrov Yulian</DisplayName>
        <AccountId>1513</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1E756-AB38-4DBB-AD87-358D1A76E9FC}"/>
</file>

<file path=customXml/itemProps2.xml><?xml version="1.0" encoding="utf-8"?>
<ds:datastoreItem xmlns:ds="http://schemas.openxmlformats.org/officeDocument/2006/customXml" ds:itemID="{0B3F3AA0-59B2-4C4C-9ADF-D1D7F3172DC7}"/>
</file>

<file path=customXml/itemProps3.xml><?xml version="1.0" encoding="utf-8"?>
<ds:datastoreItem xmlns:ds="http://schemas.openxmlformats.org/officeDocument/2006/customXml" ds:itemID="{BDBCD851-E971-4B5F-83C6-A7BAB32DED1D}"/>
</file>

<file path=customXml/itemProps4.xml><?xml version="1.0" encoding="utf-8"?>
<ds:datastoreItem xmlns:ds="http://schemas.openxmlformats.org/officeDocument/2006/customXml" ds:itemID="{D711C723-195F-4363-BB21-AC000BE013F4}"/>
</file>

<file path=docProps/app.xml><?xml version="1.0" encoding="utf-8"?>
<Properties xmlns="http://schemas.openxmlformats.org/officeDocument/2006/extended-properties" xmlns:vt="http://schemas.openxmlformats.org/officeDocument/2006/docPropsVTypes">
  <Template>Normal.dotm</Template>
  <TotalTime>0</TotalTime>
  <Pages>25</Pages>
  <Words>8148</Words>
  <Characters>46448</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- 592-ро пленарно заседание - декември 2024 г.</dc:title>
  <dc:subject>TCD</dc:subject>
  <dc:creator>Nieddu Emma</dc:creator>
  <cp:keywords>EESC-2024-04018-00-00-TCD-TRA-EN</cp:keywords>
  <dc:description>Rapporteur:  - Original language: EN - Date of document: 16/12/2024 - Date of meeting: 30/22/2025 14:30 - External documents:  - Administrator: MME TAMASAUSKIENE Julija</dc:description>
  <cp:lastModifiedBy>Petrov Yulian</cp:lastModifiedBy>
  <cp:revision>11</cp:revision>
  <dcterms:created xsi:type="dcterms:W3CDTF">2024-12-09T15:44:00Z</dcterms:created>
  <dcterms:modified xsi:type="dcterms:W3CDTF">2024-12-16T15:31:00Z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4e36d3ad-d947-4083-88d6-2f49fab22516</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LT|a7ff5ce7-6123-4f68-865a-a57c31810414;FR|d2afafd3-4c81-4f60-8f52-ee33f2f54ff3;RO|feb747a2-64cd-4299-af12-4833ddc30497;HR|2f555653-ed1a-4fe6-8362-9082d95989e5;DE|f6b31e5a-26fa-4935-b661-318e46daf27e;PL|1e03da61-4678-4e07-b136-b5024ca9197b;LV|46f7e311-5d9f-4663-b433-18aeccb7ace7;SV|c2ed69e7-a339-43d7-8f22-d93680a92aa0;ES|e7a6b05b-ae16-40c8-add9-68b64b03aeba;FI|87606a43-d45f-42d6-b8c9-e1a3457db5b7;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32;#HU|6b229040-c589-4408-b4c1-4285663d20a8;#30;#HR|2f555653-ed1a-4fe6-8362-9082d95989e5;#28;#LV|46f7e311-5d9f-4663-b433-18aeccb7ace7;#27;#SL|98a412ae-eb01-49e9-ae3d-585a81724cfc;#25;#DE|f6b31e5a-26fa-4935-b661-318e46daf27e;#24;#ES|e7a6b05b-ae16-40c8-add9-68b64b03aeba;#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22;#BG|1a1b3951-7821-4e6a-85f5-5673fc08bd2c</vt:lpwstr>
  </property>
</Properties>
</file>