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8C4D56" w14:paraId="4982DD4D" w14:textId="61F9541E">
      <w:pPr>
        <w:jc w:val="center"/>
      </w:pPr>
      <w:r>
        <w:rPr>
          <w:noProof/>
        </w:rPr>
        <w:drawing>
          <wp:inline distT="0" distB="0" distL="0" distR="0" wp14:anchorId="2042EA5C" wp14:editId="5CC3E371">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51CFC95"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Brüssel, 2. detsember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TÄISKOGU 591. ISTUNGJÄRK</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23.‒24. oktoober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VASTUVÕETUD ARVAMUSTE, RESOLUTSIOONIDE JA TEABE/HINDAMISARUANNETE KOKKUVÕTE</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t>Käesolev dokument on kättesaadav kõigis ELi ametlikes keeltes</w:t>
            </w:r>
            <w:r>
              <w:br/>
              <w:t>komitee kodulehel:</w:t>
            </w:r>
            <w:r>
              <w:br/>
            </w:r>
            <w:r>
              <w:br/>
            </w:r>
            <w:hyperlink w:history="1" r:id="rId13">
              <w:r>
                <w:rPr>
                  <w:rStyle w:val="Hyperlink"/>
                </w:rPr>
                <w:t>https://www.eesc.europa.eu/et/our-work/opinions-information-reports/plenary-session-summaries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Dokumendis nimetatud arvamustega saab tutvuda internetis, kasutades komitee otsingumootorit:</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Sisukord</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2F7AAD" w:rsidRDefault="007E03C9" w14:paraId="5E26CE62" w14:textId="7CFB5173">
          <w:pPr>
            <w:pStyle w:val="TOC1"/>
            <w:tabs>
              <w:tab w:val="left" w:pos="440"/>
              <w:tab w:val="right" w:leader="dot" w:pos="9488"/>
            </w:tabs>
            <w:rPr>
              <w:rFonts w:asciiTheme="minorHAnsi" w:hAnsiTheme="minorHAnsi" w:eastAsiaTheme="minorEastAsia" w:cstheme="minorBidi"/>
              <w:noProof/>
              <w:lang w:val="en-US"/>
            </w:rPr>
          </w:pPr>
          <w:r>
            <w:rPr>
              <w:b/>
            </w:rPr>
            <w:fldChar w:fldCharType="begin"/>
          </w:r>
          <w:r>
            <w:rPr>
              <w:b/>
            </w:rPr>
            <w:instrText xml:space="preserve"> TOC \o "1-1" \h \z \u </w:instrText>
          </w:r>
          <w:r>
            <w:rPr>
              <w:b/>
            </w:rPr>
            <w:fldChar w:fldCharType="separate"/>
          </w:r>
          <w:hyperlink w:history="1" w:anchor="_Toc183183804">
            <w:r w:rsidRPr="00B64575" w:rsidR="002F7AAD">
              <w:rPr>
                <w:rStyle w:val="Hyperlink"/>
                <w:noProof/>
              </w:rPr>
              <w:t>1.</w:t>
            </w:r>
            <w:r w:rsidR="002F7AAD">
              <w:rPr>
                <w:rFonts w:asciiTheme="minorHAnsi" w:hAnsiTheme="minorHAnsi" w:eastAsiaTheme="minorEastAsia" w:cstheme="minorBidi"/>
                <w:noProof/>
                <w:lang w:val="en-US"/>
              </w:rPr>
              <w:tab/>
            </w:r>
            <w:r w:rsidRPr="00B64575" w:rsidR="002F7AAD">
              <w:rPr>
                <w:rStyle w:val="Hyperlink"/>
                <w:noProof/>
              </w:rPr>
              <w:t>MAJANDUS- JA RAHALIIDU NING MAJANDUSLIKU JA SOTSIAALSE ÜHTEKUULUVUSE SEKTSIOON</w:t>
            </w:r>
            <w:r w:rsidR="002F7AAD">
              <w:rPr>
                <w:noProof/>
                <w:webHidden/>
              </w:rPr>
              <w:tab/>
            </w:r>
            <w:r w:rsidR="002F7AAD">
              <w:rPr>
                <w:noProof/>
                <w:webHidden/>
              </w:rPr>
              <w:fldChar w:fldCharType="begin"/>
            </w:r>
            <w:r w:rsidR="002F7AAD">
              <w:rPr>
                <w:noProof/>
                <w:webHidden/>
              </w:rPr>
              <w:instrText xml:space="preserve"> PAGEREF _Toc183183804 \h </w:instrText>
            </w:r>
            <w:r w:rsidR="002F7AAD">
              <w:rPr>
                <w:noProof/>
                <w:webHidden/>
              </w:rPr>
            </w:r>
            <w:r w:rsidR="002F7AAD">
              <w:rPr>
                <w:noProof/>
                <w:webHidden/>
              </w:rPr>
              <w:fldChar w:fldCharType="separate"/>
            </w:r>
            <w:r w:rsidR="002F7AAD">
              <w:rPr>
                <w:noProof/>
                <w:webHidden/>
              </w:rPr>
              <w:t>3</w:t>
            </w:r>
            <w:r w:rsidR="002F7AAD">
              <w:rPr>
                <w:noProof/>
                <w:webHidden/>
              </w:rPr>
              <w:fldChar w:fldCharType="end"/>
            </w:r>
          </w:hyperlink>
        </w:p>
        <w:p w:rsidR="002F7AAD" w:rsidRDefault="002F7AAD" w14:paraId="11C8613E" w14:textId="1E23D643">
          <w:pPr>
            <w:pStyle w:val="TOC1"/>
            <w:tabs>
              <w:tab w:val="left" w:pos="440"/>
              <w:tab w:val="right" w:leader="dot" w:pos="9488"/>
            </w:tabs>
            <w:rPr>
              <w:rFonts w:asciiTheme="minorHAnsi" w:hAnsiTheme="minorHAnsi" w:eastAsiaTheme="minorEastAsia" w:cstheme="minorBidi"/>
              <w:noProof/>
              <w:lang w:val="en-US"/>
            </w:rPr>
          </w:pPr>
          <w:hyperlink w:history="1" w:anchor="_Toc183183805">
            <w:r w:rsidRPr="00B64575">
              <w:rPr>
                <w:rStyle w:val="Hyperlink"/>
                <w:noProof/>
              </w:rPr>
              <w:t>2.</w:t>
            </w:r>
            <w:r>
              <w:rPr>
                <w:rFonts w:asciiTheme="minorHAnsi" w:hAnsiTheme="minorHAnsi" w:eastAsiaTheme="minorEastAsia" w:cstheme="minorBidi"/>
                <w:noProof/>
                <w:lang w:val="en-US"/>
              </w:rPr>
              <w:tab/>
            </w:r>
            <w:r w:rsidRPr="00B64575">
              <w:rPr>
                <w:rStyle w:val="Hyperlink"/>
                <w:noProof/>
              </w:rPr>
              <w:t>TÖÖHÕIVE, SOTSIAALKÜSIMUSTE JA KODAKONDSUSE SEKTSIOON</w:t>
            </w:r>
            <w:r>
              <w:rPr>
                <w:noProof/>
                <w:webHidden/>
              </w:rPr>
              <w:tab/>
            </w:r>
            <w:r>
              <w:rPr>
                <w:noProof/>
                <w:webHidden/>
              </w:rPr>
              <w:fldChar w:fldCharType="begin"/>
            </w:r>
            <w:r>
              <w:rPr>
                <w:noProof/>
                <w:webHidden/>
              </w:rPr>
              <w:instrText xml:space="preserve"> PAGEREF _Toc183183805 \h </w:instrText>
            </w:r>
            <w:r>
              <w:rPr>
                <w:noProof/>
                <w:webHidden/>
              </w:rPr>
            </w:r>
            <w:r>
              <w:rPr>
                <w:noProof/>
                <w:webHidden/>
              </w:rPr>
              <w:fldChar w:fldCharType="separate"/>
            </w:r>
            <w:r>
              <w:rPr>
                <w:noProof/>
                <w:webHidden/>
              </w:rPr>
              <w:t>7</w:t>
            </w:r>
            <w:r>
              <w:rPr>
                <w:noProof/>
                <w:webHidden/>
              </w:rPr>
              <w:fldChar w:fldCharType="end"/>
            </w:r>
          </w:hyperlink>
        </w:p>
        <w:p w:rsidR="002F7AAD" w:rsidRDefault="002F7AAD" w14:paraId="4F47409E" w14:textId="24092F89">
          <w:pPr>
            <w:pStyle w:val="TOC1"/>
            <w:tabs>
              <w:tab w:val="left" w:pos="440"/>
              <w:tab w:val="right" w:leader="dot" w:pos="9488"/>
            </w:tabs>
            <w:rPr>
              <w:rFonts w:asciiTheme="minorHAnsi" w:hAnsiTheme="minorHAnsi" w:eastAsiaTheme="minorEastAsia" w:cstheme="minorBidi"/>
              <w:noProof/>
              <w:lang w:val="en-US"/>
            </w:rPr>
          </w:pPr>
          <w:hyperlink w:history="1" w:anchor="_Toc183183806">
            <w:r w:rsidRPr="00B64575">
              <w:rPr>
                <w:rStyle w:val="Hyperlink"/>
                <w:noProof/>
              </w:rPr>
              <w:t>3.</w:t>
            </w:r>
            <w:r>
              <w:rPr>
                <w:rFonts w:asciiTheme="minorHAnsi" w:hAnsiTheme="minorHAnsi" w:eastAsiaTheme="minorEastAsia" w:cstheme="minorBidi"/>
                <w:noProof/>
                <w:lang w:val="en-US"/>
              </w:rPr>
              <w:tab/>
            </w:r>
            <w:r w:rsidRPr="00B64575">
              <w:rPr>
                <w:rStyle w:val="Hyperlink"/>
                <w:noProof/>
              </w:rPr>
              <w:t>TRANSPORDI, ENERGEETIKA, INFRASTRUKTUURI JA INFOÜHISKONNA SEKTSIOON</w:t>
            </w:r>
            <w:r>
              <w:rPr>
                <w:noProof/>
                <w:webHidden/>
              </w:rPr>
              <w:tab/>
            </w:r>
            <w:r>
              <w:rPr>
                <w:noProof/>
                <w:webHidden/>
              </w:rPr>
              <w:fldChar w:fldCharType="begin"/>
            </w:r>
            <w:r>
              <w:rPr>
                <w:noProof/>
                <w:webHidden/>
              </w:rPr>
              <w:instrText xml:space="preserve"> PAGEREF _Toc183183806 \h </w:instrText>
            </w:r>
            <w:r>
              <w:rPr>
                <w:noProof/>
                <w:webHidden/>
              </w:rPr>
            </w:r>
            <w:r>
              <w:rPr>
                <w:noProof/>
                <w:webHidden/>
              </w:rPr>
              <w:fldChar w:fldCharType="separate"/>
            </w:r>
            <w:r>
              <w:rPr>
                <w:noProof/>
                <w:webHidden/>
              </w:rPr>
              <w:t>13</w:t>
            </w:r>
            <w:r>
              <w:rPr>
                <w:noProof/>
                <w:webHidden/>
              </w:rPr>
              <w:fldChar w:fldCharType="end"/>
            </w:r>
          </w:hyperlink>
        </w:p>
        <w:p w:rsidR="002F7AAD" w:rsidRDefault="002F7AAD" w14:paraId="7B86D6F8" w14:textId="78703959">
          <w:pPr>
            <w:pStyle w:val="TOC1"/>
            <w:tabs>
              <w:tab w:val="left" w:pos="440"/>
              <w:tab w:val="right" w:leader="dot" w:pos="9488"/>
            </w:tabs>
            <w:rPr>
              <w:rFonts w:asciiTheme="minorHAnsi" w:hAnsiTheme="minorHAnsi" w:eastAsiaTheme="minorEastAsia" w:cstheme="minorBidi"/>
              <w:noProof/>
              <w:lang w:val="en-US"/>
            </w:rPr>
          </w:pPr>
          <w:hyperlink w:history="1" w:anchor="_Toc183183807">
            <w:r w:rsidRPr="00B64575">
              <w:rPr>
                <w:rStyle w:val="Hyperlink"/>
                <w:noProof/>
              </w:rPr>
              <w:t>4.</w:t>
            </w:r>
            <w:r>
              <w:rPr>
                <w:rFonts w:asciiTheme="minorHAnsi" w:hAnsiTheme="minorHAnsi" w:eastAsiaTheme="minorEastAsia" w:cstheme="minorBidi"/>
                <w:noProof/>
                <w:lang w:val="en-US"/>
              </w:rPr>
              <w:tab/>
            </w:r>
            <w:r w:rsidRPr="00B64575">
              <w:rPr>
                <w:rStyle w:val="Hyperlink"/>
                <w:noProof/>
              </w:rPr>
              <w:t>ÜHTSE TURU, TOOTMISE JA TARBIMISE SEKTSIOON</w:t>
            </w:r>
            <w:r>
              <w:rPr>
                <w:noProof/>
                <w:webHidden/>
              </w:rPr>
              <w:tab/>
            </w:r>
            <w:r>
              <w:rPr>
                <w:noProof/>
                <w:webHidden/>
              </w:rPr>
              <w:fldChar w:fldCharType="begin"/>
            </w:r>
            <w:r>
              <w:rPr>
                <w:noProof/>
                <w:webHidden/>
              </w:rPr>
              <w:instrText xml:space="preserve"> PAGEREF _Toc183183807 \h </w:instrText>
            </w:r>
            <w:r>
              <w:rPr>
                <w:noProof/>
                <w:webHidden/>
              </w:rPr>
            </w:r>
            <w:r>
              <w:rPr>
                <w:noProof/>
                <w:webHidden/>
              </w:rPr>
              <w:fldChar w:fldCharType="separate"/>
            </w:r>
            <w:r>
              <w:rPr>
                <w:noProof/>
                <w:webHidden/>
              </w:rPr>
              <w:t>15</w:t>
            </w:r>
            <w:r>
              <w:rPr>
                <w:noProof/>
                <w:webHidden/>
              </w:rPr>
              <w:fldChar w:fldCharType="end"/>
            </w:r>
          </w:hyperlink>
        </w:p>
        <w:p w:rsidR="002F7AAD" w:rsidRDefault="002F7AAD" w14:paraId="7EF1E5AC" w14:textId="560C9DAA">
          <w:pPr>
            <w:pStyle w:val="TOC1"/>
            <w:tabs>
              <w:tab w:val="left" w:pos="440"/>
              <w:tab w:val="right" w:leader="dot" w:pos="9488"/>
            </w:tabs>
            <w:rPr>
              <w:rFonts w:asciiTheme="minorHAnsi" w:hAnsiTheme="minorHAnsi" w:eastAsiaTheme="minorEastAsia" w:cstheme="minorBidi"/>
              <w:noProof/>
              <w:lang w:val="en-US"/>
            </w:rPr>
          </w:pPr>
          <w:hyperlink w:history="1" w:anchor="_Toc183183808">
            <w:r w:rsidRPr="00B64575">
              <w:rPr>
                <w:rStyle w:val="Hyperlink"/>
                <w:noProof/>
              </w:rPr>
              <w:t>5.</w:t>
            </w:r>
            <w:r>
              <w:rPr>
                <w:rFonts w:asciiTheme="minorHAnsi" w:hAnsiTheme="minorHAnsi" w:eastAsiaTheme="minorEastAsia" w:cstheme="minorBidi"/>
                <w:noProof/>
                <w:lang w:val="en-US"/>
              </w:rPr>
              <w:tab/>
            </w:r>
            <w:r w:rsidRPr="00B64575">
              <w:rPr>
                <w:rStyle w:val="Hyperlink"/>
                <w:noProof/>
              </w:rPr>
              <w:t>PÕLLUMAJANDUSE, MAAELU ARENGU JA KESKKONNA SEKTSIOON</w:t>
            </w:r>
            <w:r>
              <w:rPr>
                <w:noProof/>
                <w:webHidden/>
              </w:rPr>
              <w:tab/>
            </w:r>
            <w:r>
              <w:rPr>
                <w:noProof/>
                <w:webHidden/>
              </w:rPr>
              <w:fldChar w:fldCharType="begin"/>
            </w:r>
            <w:r>
              <w:rPr>
                <w:noProof/>
                <w:webHidden/>
              </w:rPr>
              <w:instrText xml:space="preserve"> PAGEREF _Toc183183808 \h </w:instrText>
            </w:r>
            <w:r>
              <w:rPr>
                <w:noProof/>
                <w:webHidden/>
              </w:rPr>
            </w:r>
            <w:r>
              <w:rPr>
                <w:noProof/>
                <w:webHidden/>
              </w:rPr>
              <w:fldChar w:fldCharType="separate"/>
            </w:r>
            <w:r>
              <w:rPr>
                <w:noProof/>
                <w:webHidden/>
              </w:rPr>
              <w:t>21</w:t>
            </w:r>
            <w:r>
              <w:rPr>
                <w:noProof/>
                <w:webHidden/>
              </w:rPr>
              <w:fldChar w:fldCharType="end"/>
            </w:r>
          </w:hyperlink>
        </w:p>
        <w:p w:rsidR="002F7AAD" w:rsidRDefault="002F7AAD" w14:paraId="2104E1CF" w14:textId="7ADDB42B">
          <w:pPr>
            <w:pStyle w:val="TOC1"/>
            <w:tabs>
              <w:tab w:val="left" w:pos="440"/>
              <w:tab w:val="right" w:leader="dot" w:pos="9488"/>
            </w:tabs>
            <w:rPr>
              <w:rFonts w:asciiTheme="minorHAnsi" w:hAnsiTheme="minorHAnsi" w:eastAsiaTheme="minorEastAsia" w:cstheme="minorBidi"/>
              <w:noProof/>
              <w:lang w:val="en-US"/>
            </w:rPr>
          </w:pPr>
          <w:hyperlink w:history="1" w:anchor="_Toc183183809">
            <w:r w:rsidRPr="00B64575">
              <w:rPr>
                <w:rStyle w:val="Hyperlink"/>
                <w:noProof/>
              </w:rPr>
              <w:t>6.</w:t>
            </w:r>
            <w:r>
              <w:rPr>
                <w:rFonts w:asciiTheme="minorHAnsi" w:hAnsiTheme="minorHAnsi" w:eastAsiaTheme="minorEastAsia" w:cstheme="minorBidi"/>
                <w:noProof/>
                <w:lang w:val="en-US"/>
              </w:rPr>
              <w:tab/>
            </w:r>
            <w:r w:rsidRPr="00B64575">
              <w:rPr>
                <w:rStyle w:val="Hyperlink"/>
                <w:noProof/>
              </w:rPr>
              <w:t>VÄLISSUHETE SEKTSIOON</w:t>
            </w:r>
            <w:r>
              <w:rPr>
                <w:noProof/>
                <w:webHidden/>
              </w:rPr>
              <w:tab/>
            </w:r>
            <w:r>
              <w:rPr>
                <w:noProof/>
                <w:webHidden/>
              </w:rPr>
              <w:fldChar w:fldCharType="begin"/>
            </w:r>
            <w:r>
              <w:rPr>
                <w:noProof/>
                <w:webHidden/>
              </w:rPr>
              <w:instrText xml:space="preserve"> PAGEREF _Toc183183809 \h </w:instrText>
            </w:r>
            <w:r>
              <w:rPr>
                <w:noProof/>
                <w:webHidden/>
              </w:rPr>
            </w:r>
            <w:r>
              <w:rPr>
                <w:noProof/>
                <w:webHidden/>
              </w:rPr>
              <w:fldChar w:fldCharType="separate"/>
            </w:r>
            <w:r>
              <w:rPr>
                <w:noProof/>
                <w:webHidden/>
              </w:rPr>
              <w:t>25</w:t>
            </w:r>
            <w:r>
              <w:rPr>
                <w:noProof/>
                <w:webHidden/>
              </w:rPr>
              <w:fldChar w:fldCharType="end"/>
            </w:r>
          </w:hyperlink>
        </w:p>
        <w:p w:rsidR="002F7AAD" w:rsidRDefault="002F7AAD" w14:paraId="53579272" w14:textId="69879DF3">
          <w:pPr>
            <w:pStyle w:val="TOC1"/>
            <w:tabs>
              <w:tab w:val="left" w:pos="440"/>
              <w:tab w:val="right" w:leader="dot" w:pos="9488"/>
            </w:tabs>
            <w:rPr>
              <w:rFonts w:asciiTheme="minorHAnsi" w:hAnsiTheme="minorHAnsi" w:eastAsiaTheme="minorEastAsia" w:cstheme="minorBidi"/>
              <w:noProof/>
              <w:lang w:val="en-US"/>
            </w:rPr>
          </w:pPr>
          <w:hyperlink w:history="1" w:anchor="_Toc183183810">
            <w:r w:rsidRPr="00B64575">
              <w:rPr>
                <w:rStyle w:val="Hyperlink"/>
                <w:noProof/>
              </w:rPr>
              <w:t>7.</w:t>
            </w:r>
            <w:r>
              <w:rPr>
                <w:rFonts w:asciiTheme="minorHAnsi" w:hAnsiTheme="minorHAnsi" w:eastAsiaTheme="minorEastAsia" w:cstheme="minorBidi"/>
                <w:noProof/>
                <w:lang w:val="en-US"/>
              </w:rPr>
              <w:tab/>
            </w:r>
            <w:r w:rsidRPr="00B64575">
              <w:rPr>
                <w:rStyle w:val="Hyperlink"/>
                <w:noProof/>
              </w:rPr>
              <w:t>TÖÖSTUSE MUUTUSTE NÕUANDEKOMISJON</w:t>
            </w:r>
            <w:r>
              <w:rPr>
                <w:noProof/>
                <w:webHidden/>
              </w:rPr>
              <w:tab/>
            </w:r>
            <w:r>
              <w:rPr>
                <w:noProof/>
                <w:webHidden/>
              </w:rPr>
              <w:fldChar w:fldCharType="begin"/>
            </w:r>
            <w:r>
              <w:rPr>
                <w:noProof/>
                <w:webHidden/>
              </w:rPr>
              <w:instrText xml:space="preserve"> PAGEREF _Toc183183810 \h </w:instrText>
            </w:r>
            <w:r>
              <w:rPr>
                <w:noProof/>
                <w:webHidden/>
              </w:rPr>
            </w:r>
            <w:r>
              <w:rPr>
                <w:noProof/>
                <w:webHidden/>
              </w:rPr>
              <w:fldChar w:fldCharType="separate"/>
            </w:r>
            <w:r>
              <w:rPr>
                <w:noProof/>
                <w:webHidden/>
              </w:rPr>
              <w:t>26</w:t>
            </w:r>
            <w:r>
              <w:rPr>
                <w:noProof/>
                <w:webHidden/>
              </w:rPr>
              <w:fldChar w:fldCharType="end"/>
            </w:r>
          </w:hyperlink>
        </w:p>
        <w:p w:rsidR="004D7AC0" w:rsidRDefault="007E03C9" w14:paraId="4982DD6A" w14:textId="619A0DDB">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3183804" w:id="0"/>
      <w:r>
        <w:lastRenderedPageBreak/>
        <w:t>MAJANDUS- JA RAHALIIDU NING MAJANDUSLIKU JA SOTSIAALSE ÜHTEKUULUVUSE SEKTSIOON</w:t>
      </w:r>
      <w:bookmarkEnd w:id="0"/>
    </w:p>
    <w:p w:rsidR="004D7AC0" w:rsidP="004D7AC0" w:rsidRDefault="004D7AC0" w14:paraId="4982DD6E" w14:textId="14987209"/>
    <w:p w:rsidRPr="000F216A" w:rsidR="007E03C9" w:rsidP="000F216A" w:rsidRDefault="002E1A6E" w14:paraId="375B8EA6" w14:textId="25BE3727">
      <w:pPr>
        <w:pStyle w:val="ListParagraph"/>
        <w:numPr>
          <w:ilvl w:val="0"/>
          <w:numId w:val="65"/>
        </w:numPr>
        <w:ind w:left="567" w:hanging="567"/>
        <w:rPr>
          <w:b/>
          <w:bCs/>
          <w:i/>
          <w:iCs/>
          <w:sz w:val="28"/>
          <w:szCs w:val="28"/>
        </w:rPr>
      </w:pPr>
      <w:hyperlink w:history="1" r:id="rId21">
        <w:r w:rsidR="007E03C9">
          <w:rPr>
            <w:rStyle w:val="Hyperlink"/>
            <w:b/>
            <w:i/>
            <w:sz w:val="28"/>
          </w:rPr>
          <w:t>Täiendavad kaalutlused euroala majanduspoliitika kohta 2024. aastal</w:t>
        </w:r>
      </w:hyperlink>
    </w:p>
    <w:p w:rsidRPr="00FD7CAC"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Raportöör</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proofErr w:type="spellStart"/>
            <w:r>
              <w:t>Petru</w:t>
            </w:r>
            <w:proofErr w:type="spellEnd"/>
            <w:r>
              <w:t xml:space="preserve"> Sorin DANDEA (töötajate rühm – RO)</w:t>
            </w:r>
          </w:p>
        </w:tc>
      </w:tr>
      <w:tr w:rsidRPr="00946677" w:rsidR="00FD7CAC" w:rsidTr="00F324F7" w14:paraId="0830647B" w14:textId="77777777">
        <w:tc>
          <w:tcPr>
            <w:tcW w:w="8789" w:type="dxa"/>
            <w:gridSpan w:val="2"/>
          </w:tcPr>
          <w:p w:rsidRPr="000F216A"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Viitedokumendid </w:t>
            </w:r>
          </w:p>
        </w:tc>
        <w:tc>
          <w:tcPr>
            <w:tcW w:w="7088" w:type="dxa"/>
          </w:tcPr>
          <w:p w:rsidR="00FF6D64" w:rsidP="00946677" w:rsidRDefault="00FD7CAC" w14:paraId="3A9E20D9" w14:textId="77777777">
            <w:pPr>
              <w:tabs>
                <w:tab w:val="center" w:pos="284"/>
              </w:tabs>
              <w:spacing w:line="259" w:lineRule="auto"/>
              <w:jc w:val="left"/>
              <w:rPr>
                <w:rFonts w:eastAsia="Calibri"/>
                <w:szCs w:val="24"/>
              </w:rPr>
            </w:pPr>
            <w:r>
              <w:t>omaalgatuslik arvamus</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946677"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Põhipunktid</w:t>
      </w:r>
    </w:p>
    <w:p w:rsidR="00946677" w:rsidP="000F216A" w:rsidRDefault="00946677" w14:paraId="0F8B659E" w14:textId="77777777">
      <w:pPr>
        <w:spacing w:line="259" w:lineRule="auto"/>
        <w:rPr>
          <w:rFonts w:eastAsia="Calibri"/>
          <w:lang w:val="en-GB"/>
        </w:rPr>
      </w:pPr>
    </w:p>
    <w:p w:rsidR="00FD7CAC" w:rsidP="00FD7CAC" w:rsidRDefault="00FD7CAC" w14:paraId="2B9DC130" w14:textId="496A56A9">
      <w:pPr>
        <w:spacing w:after="80" w:line="259" w:lineRule="auto"/>
        <w:rPr>
          <w:rFonts w:eastAsia="Calibri"/>
        </w:rPr>
      </w:pPr>
      <w:r>
        <w:t xml:space="preserve">Euroopa Majandus- ja Sotsiaalkomitee: </w:t>
      </w:r>
    </w:p>
    <w:p w:rsidR="00946677" w:rsidP="000F216A" w:rsidRDefault="00FD7CAC" w14:paraId="2E84422A" w14:textId="16B846B5">
      <w:pPr>
        <w:numPr>
          <w:ilvl w:val="0"/>
          <w:numId w:val="28"/>
        </w:numPr>
        <w:spacing w:line="276" w:lineRule="auto"/>
        <w:ind w:left="284" w:hanging="284"/>
        <w:outlineLvl w:val="1"/>
      </w:pPr>
      <w:r>
        <w:t>leiab, et ülespoole suunatud lähenemise, stabiilsuse ja vastupanuvõime tagamiseks on äärmiselt oluline tugevdada eelarve koordineerimist euroala liikmesriikide vahel. See võib hõlmata liikmesriikide eelarvepoliitika tihedamat koordineerimist ning arutelusid ühiste fiskaalvahendite võimaluse üle. Sellega seoses leiab komitee, et taasterahastu „</w:t>
      </w:r>
      <w:proofErr w:type="spellStart"/>
      <w:r>
        <w:t>NextGenerationEU</w:t>
      </w:r>
      <w:proofErr w:type="spellEnd"/>
      <w:r>
        <w:t>“ on tõestanud oma olulisust. Komitee soovitab, et sarnased vahendid oleksid osa tulevasest mitmeaastasest finantsraamistikust. Lisaks kutsub komitee nii liikmesriike kui ka ELi tasandit tungivalt üles suunama eelarveküsimused jätkusuutlikkuse teele ja looma eelarvepoliitilist manööverdamisruumi tulevasteks šokkideks;</w:t>
      </w:r>
    </w:p>
    <w:p w:rsidRPr="00946677" w:rsidR="00FD7CAC" w:rsidP="000F216A" w:rsidRDefault="00FD7CAC" w14:paraId="1FBCE494" w14:textId="5A529E00">
      <w:pPr>
        <w:numPr>
          <w:ilvl w:val="0"/>
          <w:numId w:val="28"/>
        </w:numPr>
        <w:spacing w:line="276" w:lineRule="auto"/>
        <w:ind w:left="284" w:hanging="284"/>
        <w:outlineLvl w:val="1"/>
      </w:pPr>
      <w:r>
        <w:t>peab komitee esmatähtsaks kapitaliturgude liidu väljakujundamist. ELi kapitaliturgude väiksus ja killustatus põhjustavad investorite üleminekut teistele ülemaailmsetele turgudele, eelkõige Ameerika Ühendriikide turule. Finantsturu stabiilsus ja terviklik tarbijakaitse on siiski otsustava tähtsusega;</w:t>
      </w:r>
    </w:p>
    <w:p w:rsidRPr="00946677" w:rsidR="00FD7CAC" w:rsidP="000F216A" w:rsidRDefault="00FD7CAC" w14:paraId="2C99D7A3" w14:textId="77777777">
      <w:pPr>
        <w:numPr>
          <w:ilvl w:val="0"/>
          <w:numId w:val="28"/>
        </w:numPr>
        <w:spacing w:line="276" w:lineRule="auto"/>
        <w:ind w:left="284" w:hanging="284"/>
        <w:outlineLvl w:val="1"/>
      </w:pPr>
      <w:r>
        <w:t xml:space="preserve">Pangandusliidu väljakujundamine peab olema Euroopa Komisjoni uue koosseisu prioriteet, kuna olemasolevad panganduse reguleerimise ja tavade erinevused liikmesriikides põhjustavad finantskillustumist ja takistavad rahaliste vahendite tõhusat mobiliseerimist, eriti oluliste taristuprojektide rahastamisel Euroopa tasandil; </w:t>
      </w:r>
    </w:p>
    <w:p w:rsidRPr="00946677" w:rsidR="00FD7CAC" w:rsidP="000F216A" w:rsidRDefault="00FD7CAC" w14:paraId="24F241D6" w14:textId="77777777">
      <w:pPr>
        <w:numPr>
          <w:ilvl w:val="0"/>
          <w:numId w:val="28"/>
        </w:numPr>
        <w:spacing w:line="276" w:lineRule="auto"/>
        <w:ind w:left="284" w:hanging="284"/>
        <w:outlineLvl w:val="1"/>
      </w:pPr>
      <w:r>
        <w:t>leiab, et reaalse lähenemise kiirendamiseks tuleks välja töötada meetmekava ning ühtekuuluvuspoliitika peaks jätkuvalt olema mitmeaastase finantsraamistiku keskmes;</w:t>
      </w:r>
    </w:p>
    <w:p w:rsidRPr="00946677" w:rsidR="00FD7CAC" w:rsidP="000F216A" w:rsidRDefault="00FD7CAC" w14:paraId="7CD47C5D" w14:textId="77777777">
      <w:pPr>
        <w:numPr>
          <w:ilvl w:val="0"/>
          <w:numId w:val="28"/>
        </w:numPr>
        <w:spacing w:line="276" w:lineRule="auto"/>
        <w:ind w:left="284" w:hanging="284"/>
        <w:outlineLvl w:val="1"/>
      </w:pPr>
      <w:r>
        <w:t>leiab, et peab EL maksimeerima ühtse turu pakutavat konkurentsieelist. Komitee toetab Euroopa Komisjoni algatust vähendada aruandlusnõudeid 25 %, kuna need nõuded on üks jätkusuutliku majanduskasvu peamisi takistusi. Bürokraatia vähendamine ja haldusmenetluste lihtsustamine stimuleeriks Euroopa ettevõtlussektorit ning muudaks selle tõhusamaks ja tulemuslikumaks. See ei tohi siiski toimuda sotsiaalsete ja keskkonnastandardite ning töötajate ja tarbijate õiguste arvelt;</w:t>
      </w:r>
    </w:p>
    <w:p w:rsidRPr="00946677" w:rsidR="00FD7CAC" w:rsidP="000F216A" w:rsidRDefault="00FD7CAC" w14:paraId="7EB402E1" w14:textId="77777777">
      <w:pPr>
        <w:numPr>
          <w:ilvl w:val="0"/>
          <w:numId w:val="28"/>
        </w:numPr>
        <w:spacing w:line="276" w:lineRule="auto"/>
        <w:ind w:left="284" w:hanging="284"/>
        <w:outlineLvl w:val="1"/>
      </w:pPr>
      <w:r>
        <w:t>on seisukohal, et kiiresti on vaja uut lähenemisviisi otsuste tegemise valdkonnas, kuna euroala üks suurimaid puudusi on usaldusväärse otsustusprotsessi puudumine;</w:t>
      </w:r>
    </w:p>
    <w:p w:rsidRPr="00946677" w:rsidR="00FD7CAC" w:rsidP="000F216A" w:rsidRDefault="00FD7CAC" w14:paraId="5ADF5EC2" w14:textId="77777777">
      <w:pPr>
        <w:numPr>
          <w:ilvl w:val="0"/>
          <w:numId w:val="28"/>
        </w:numPr>
        <w:spacing w:line="276" w:lineRule="auto"/>
        <w:ind w:left="284" w:hanging="284"/>
        <w:outlineLvl w:val="1"/>
      </w:pPr>
      <w:r>
        <w:t>leiab, et CO</w:t>
      </w:r>
      <w:r>
        <w:rPr>
          <w:vertAlign w:val="subscript"/>
        </w:rPr>
        <w:t>2</w:t>
      </w:r>
      <w:r>
        <w:t>-heite vähendamise protsessi jätkudes peab EL viima lõpule ühtse elektrituru. Täielikult ühendatud võrgu loomine Euroopa tasandil on väga oluline. See aitab ka alandada energiahindu, võidelda inflatsiooni vastu ja aidata ELi ettevõtetel suurendada oma konkurentsivõimet;</w:t>
      </w:r>
    </w:p>
    <w:p w:rsidRPr="00946677" w:rsidR="00FD7CAC" w:rsidP="000F216A" w:rsidRDefault="00FD7CAC" w14:paraId="46431D68" w14:textId="77777777">
      <w:pPr>
        <w:numPr>
          <w:ilvl w:val="0"/>
          <w:numId w:val="28"/>
        </w:numPr>
        <w:spacing w:line="276" w:lineRule="auto"/>
        <w:ind w:left="284" w:hanging="284"/>
        <w:outlineLvl w:val="1"/>
      </w:pPr>
      <w:r>
        <w:t>leiab, et euroala terviklikus poliitilises tegevuskavas 2024. aastaks tuleks tasakaalustada lühiajalised vajadused, nagu majanduse taastumine, pikaajaliste prioriteetidega, nagu investeeringud, kestlikkus, innovatsioon ja sotsiaalne kaasatus.</w:t>
      </w:r>
    </w:p>
    <w:p w:rsidRPr="00946677"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FD7CAC" w:rsidTr="00F324F7" w14:paraId="59115C70" w14:textId="77777777">
        <w:tc>
          <w:tcPr>
            <w:tcW w:w="1418" w:type="dxa"/>
          </w:tcPr>
          <w:p w:rsidRPr="000F216A" w:rsidR="00FD7CAC" w:rsidP="000F216A" w:rsidRDefault="00FD7CAC" w14:paraId="0527F34B" w14:textId="77777777">
            <w:pPr>
              <w:spacing w:line="259" w:lineRule="auto"/>
              <w:jc w:val="left"/>
              <w:rPr>
                <w:rFonts w:eastAsia="Calibri"/>
                <w:i/>
                <w:sz w:val="22"/>
                <w:szCs w:val="22"/>
              </w:rPr>
            </w:pPr>
            <w:r>
              <w:rPr>
                <w:b/>
                <w:i/>
              </w:rPr>
              <w:t>Kontaktisik</w:t>
            </w:r>
          </w:p>
        </w:tc>
        <w:tc>
          <w:tcPr>
            <w:tcW w:w="5670" w:type="dxa"/>
          </w:tcPr>
          <w:p w:rsidRPr="000F216A" w:rsidR="00FD7CAC" w:rsidP="000F216A" w:rsidRDefault="00FD7CAC" w14:paraId="68AD3D30" w14:textId="77777777">
            <w:pPr>
              <w:spacing w:line="259" w:lineRule="auto"/>
              <w:jc w:val="left"/>
              <w:rPr>
                <w:rFonts w:eastAsia="Calibri"/>
                <w:b/>
                <w:bCs/>
                <w:i/>
                <w:iCs/>
                <w:sz w:val="22"/>
                <w:szCs w:val="22"/>
              </w:rPr>
            </w:pPr>
            <w:proofErr w:type="spellStart"/>
            <w:r>
              <w:rPr>
                <w:i/>
              </w:rPr>
              <w:t>Krisztina</w:t>
            </w:r>
            <w:proofErr w:type="spellEnd"/>
            <w:r>
              <w:rPr>
                <w:i/>
              </w:rPr>
              <w:t xml:space="preserve"> </w:t>
            </w:r>
            <w:proofErr w:type="spellStart"/>
            <w:r>
              <w:rPr>
                <w:i/>
              </w:rPr>
              <w:t>Perlaky-Toth</w:t>
            </w:r>
            <w:proofErr w:type="spellEnd"/>
            <w:r>
              <w:rPr>
                <w:i/>
              </w:rPr>
              <w:t xml:space="preserve"> </w:t>
            </w:r>
          </w:p>
        </w:tc>
      </w:tr>
      <w:tr w:rsidRPr="00594F3A" w:rsidR="00FD7CAC" w:rsidTr="00F324F7" w14:paraId="56A7A5AB" w14:textId="77777777">
        <w:tc>
          <w:tcPr>
            <w:tcW w:w="1418" w:type="dxa"/>
          </w:tcPr>
          <w:p w:rsidRPr="000F216A" w:rsidR="00FD7CAC" w:rsidP="000F216A" w:rsidRDefault="00FD7CAC" w14:paraId="0A141426" w14:textId="77777777">
            <w:pPr>
              <w:spacing w:line="259" w:lineRule="auto"/>
              <w:jc w:val="left"/>
              <w:rPr>
                <w:rFonts w:eastAsia="Calibri"/>
                <w:i/>
                <w:sz w:val="22"/>
                <w:szCs w:val="22"/>
              </w:rPr>
            </w:pPr>
            <w:r>
              <w:rPr>
                <w:i/>
              </w:rPr>
              <w:t>Tel</w:t>
            </w:r>
          </w:p>
        </w:tc>
        <w:tc>
          <w:tcPr>
            <w:tcW w:w="5670" w:type="dxa"/>
          </w:tcPr>
          <w:p w:rsidRPr="000F216A" w:rsidR="00FD7CAC" w:rsidP="000F216A" w:rsidRDefault="00FD7CAC" w14:paraId="3F55B904" w14:textId="77777777">
            <w:pPr>
              <w:spacing w:line="259" w:lineRule="auto"/>
              <w:jc w:val="left"/>
              <w:rPr>
                <w:rFonts w:eastAsia="Calibri"/>
                <w:i/>
                <w:iCs/>
                <w:sz w:val="22"/>
                <w:szCs w:val="22"/>
              </w:rPr>
            </w:pPr>
            <w:r>
              <w:rPr>
                <w:i/>
              </w:rPr>
              <w:t>+32 25469740</w:t>
            </w:r>
          </w:p>
        </w:tc>
      </w:tr>
      <w:tr w:rsidRPr="00594F3A" w:rsidR="00FD7CAC" w:rsidTr="00F324F7" w14:paraId="4950261E" w14:textId="77777777">
        <w:trPr>
          <w:trHeight w:val="118"/>
        </w:trPr>
        <w:tc>
          <w:tcPr>
            <w:tcW w:w="1418" w:type="dxa"/>
          </w:tcPr>
          <w:p w:rsidRPr="000F216A" w:rsidR="00FD7CAC" w:rsidP="000F216A" w:rsidRDefault="00FD7CAC" w14:paraId="788B7B71" w14:textId="77777777">
            <w:pPr>
              <w:spacing w:line="259" w:lineRule="auto"/>
              <w:jc w:val="left"/>
              <w:rPr>
                <w:rFonts w:eastAsia="Calibri"/>
                <w:i/>
                <w:sz w:val="22"/>
                <w:szCs w:val="22"/>
              </w:rPr>
            </w:pPr>
            <w:r>
              <w:rPr>
                <w:i/>
              </w:rPr>
              <w:t>E-post</w:t>
            </w:r>
          </w:p>
        </w:tc>
        <w:tc>
          <w:tcPr>
            <w:tcW w:w="5670" w:type="dxa"/>
          </w:tcPr>
          <w:p w:rsidRPr="000F216A" w:rsidR="00FD7CAC" w:rsidP="000F216A" w:rsidRDefault="002E1A6E" w14:paraId="1A0B9497" w14:textId="0D569CD3">
            <w:pPr>
              <w:spacing w:line="259" w:lineRule="auto"/>
              <w:jc w:val="left"/>
              <w:rPr>
                <w:rFonts w:eastAsia="Calibri"/>
                <w:sz w:val="22"/>
                <w:szCs w:val="22"/>
              </w:rPr>
            </w:pPr>
            <w:hyperlink w:history="1" r:id="rId22">
              <w:r w:rsidR="00FD7CAC">
                <w:rPr>
                  <w:color w:val="0000FF"/>
                  <w:u w:val="single"/>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2E1A6E"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276FC9">
          <w:rPr>
            <w:b/>
            <w:i/>
            <w:color w:val="0000FF"/>
            <w:sz w:val="28"/>
            <w:u w:val="single"/>
          </w:rPr>
          <w:t>Lisakaalutlused 2024. aasta kestliku majanduskasvu analüüsi kohta</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Raportöör</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Elena-Alexandra CALISTRU (kodanikuühiskonna organisatsioonide rühm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rPr>
              <w:t>Viitedokumendid</w:t>
            </w:r>
          </w:p>
        </w:tc>
        <w:tc>
          <w:tcPr>
            <w:tcW w:w="7088" w:type="dxa"/>
          </w:tcPr>
          <w:p w:rsidR="003E0D5C" w:rsidP="00FD7CAC" w:rsidRDefault="00FD7CAC" w14:paraId="37B12DD5" w14:textId="7F029D2E">
            <w:pPr>
              <w:tabs>
                <w:tab w:val="center" w:pos="284"/>
              </w:tabs>
              <w:overflowPunct w:val="0"/>
              <w:autoSpaceDE w:val="0"/>
              <w:autoSpaceDN w:val="0"/>
              <w:adjustRightInd w:val="0"/>
              <w:textAlignment w:val="baseline"/>
            </w:pPr>
            <w:r>
              <w:t xml:space="preserve">omaalgatuslik arvamus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r>
        <w:t>Euroopa Majandus- ja Sotsiaalkomitee:</w:t>
      </w:r>
    </w:p>
    <w:p w:rsidRPr="00FD7CAC"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kutsub üles kiiresti rakendama kavandatud puhta tööstuse kokkulepet ja Euroopa konkurentsivõime fondi, tagades, et need algatused toetavad nii majanduskasvu kui ka keskkonnaeesmärke;</w:t>
      </w:r>
    </w:p>
    <w:p w:rsidRPr="00FD7CAC"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soovitab kaaluda taaste- ja vastupidavusrahastu tähtaja pikendamist ja tehnilise toe suurendamist, et tagada vahendite täielik ärakasutamine ja maksimeerida nende mõju kestlikule majanduskasvule;</w:t>
      </w:r>
    </w:p>
    <w:p w:rsidRPr="00FD7CAC"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nõuab hoolikat tasakaalu puudujäägi vähendamise ja investeerimissuutlikkuse säilitamise vahel, eelkõige pikaajalise majanduskasvu jaoks olulistes valdkondades, nagu rohe- ja digipööre; </w:t>
      </w:r>
    </w:p>
    <w:p w:rsidRPr="00FD7CAC"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kutsub üles töötama välja tervikliku strateegia, et käsitleda tööturu probleeme, sealhulgas oskuste mittevastavust tööturu vajadustele ja demograafilisi muutusi. See peaks hõlmama sihipärast poliitikat mittetöötava elanikkonna kaasamiseks ja haridussüsteemide tõhustamiseks, et valmistada inimesi paremini ette tööturu tulevasteks vajadusteks;</w:t>
      </w:r>
    </w:p>
    <w:p w:rsidRPr="00FD7CAC"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soovitab sidusrühmi kaasavat lähenemisviisi, et tagada nende algatustega kaasnev kasu igas suuruses ettevõtjatele ja panus üldisesse majanduslikku vastupanuvõimesse;</w:t>
      </w:r>
    </w:p>
    <w:p w:rsidRPr="00FD7CAC"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kutsub üles jätkama investeeringuid puhtasse tehnoloogiasse ja kriitilisse toormesse, millega kaasnevad meetmed ülemaailmse koostöö toetamiseks ja kahjuliku protektsionismi vältimiseks; </w:t>
      </w:r>
    </w:p>
    <w:p w:rsidRPr="00FD7CAC"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soovitab integreerida tugevad sotsiaal- ja keskkonnakaitse meetmed kõikidesse peamistesse majandusalgatustesse;</w:t>
      </w:r>
    </w:p>
    <w:p w:rsidRPr="00FD7CAC"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soovitab rohkem keskenduda Euroopa poolaastale kui platvormile, millega tugevdada ELi majanduskasvu strateegiate legitiimsust ja tõhusust, tagades samal ajal, et need jäävad ka pärast valimisi kaasavaks ja inimeste vajadustele vastavaks.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FD7CAC" w:rsidTr="00F324F7" w14:paraId="5E252ACC" w14:textId="77777777">
        <w:tc>
          <w:tcPr>
            <w:tcW w:w="1173" w:type="dxa"/>
          </w:tcPr>
          <w:p w:rsidRPr="000F216A" w:rsidR="00FD7CAC" w:rsidP="00FD7CAC" w:rsidRDefault="00FD7CAC" w14:paraId="57E067B2" w14:textId="77777777">
            <w:pPr>
              <w:overflowPunct w:val="0"/>
              <w:autoSpaceDE w:val="0"/>
              <w:autoSpaceDN w:val="0"/>
              <w:adjustRightInd w:val="0"/>
              <w:textAlignment w:val="baseline"/>
              <w:rPr>
                <w:i/>
                <w:sz w:val="22"/>
                <w:szCs w:val="22"/>
              </w:rPr>
            </w:pPr>
            <w:r>
              <w:rPr>
                <w:b/>
                <w:i/>
              </w:rPr>
              <w:t>Kontaktisik</w:t>
            </w:r>
          </w:p>
        </w:tc>
        <w:tc>
          <w:tcPr>
            <w:tcW w:w="4518" w:type="dxa"/>
          </w:tcPr>
          <w:p w:rsidRPr="000F216A" w:rsidR="00FD7CAC" w:rsidP="00FD7CAC" w:rsidRDefault="00FD7CAC" w14:paraId="56F7091B" w14:textId="77777777">
            <w:pPr>
              <w:overflowPunct w:val="0"/>
              <w:autoSpaceDE w:val="0"/>
              <w:autoSpaceDN w:val="0"/>
              <w:adjustRightInd w:val="0"/>
              <w:textAlignment w:val="baseline"/>
              <w:rPr>
                <w:i/>
                <w:iCs/>
                <w:sz w:val="22"/>
                <w:szCs w:val="22"/>
              </w:rPr>
            </w:pPr>
            <w:r>
              <w:rPr>
                <w:i/>
              </w:rPr>
              <w:t xml:space="preserve">Anna </w:t>
            </w:r>
            <w:proofErr w:type="spellStart"/>
            <w:r>
              <w:rPr>
                <w:i/>
              </w:rPr>
              <w:t>Pantazi</w:t>
            </w:r>
            <w:proofErr w:type="spellEnd"/>
          </w:p>
        </w:tc>
      </w:tr>
      <w:tr w:rsidRPr="00594F3A" w:rsidR="00FD7CAC" w:rsidTr="00F324F7" w14:paraId="2BA36140" w14:textId="77777777">
        <w:tc>
          <w:tcPr>
            <w:tcW w:w="1173" w:type="dxa"/>
          </w:tcPr>
          <w:p w:rsidRPr="000F216A" w:rsidR="00FD7CAC" w:rsidP="00FD7CAC" w:rsidRDefault="00FD7CAC" w14:paraId="52E7B3B8" w14:textId="77777777">
            <w:pPr>
              <w:overflowPunct w:val="0"/>
              <w:autoSpaceDE w:val="0"/>
              <w:autoSpaceDN w:val="0"/>
              <w:adjustRightInd w:val="0"/>
              <w:textAlignment w:val="baseline"/>
              <w:rPr>
                <w:i/>
                <w:sz w:val="22"/>
                <w:szCs w:val="22"/>
              </w:rPr>
            </w:pPr>
            <w:r>
              <w:rPr>
                <w:i/>
              </w:rPr>
              <w:t>Tel</w:t>
            </w:r>
          </w:p>
        </w:tc>
        <w:tc>
          <w:tcPr>
            <w:tcW w:w="4518" w:type="dxa"/>
          </w:tcPr>
          <w:p w:rsidRPr="000F216A" w:rsidR="00FD7CAC" w:rsidP="00FD7CAC" w:rsidRDefault="00FD7CAC" w14:paraId="1DE66AFE" w14:textId="77777777">
            <w:pPr>
              <w:overflowPunct w:val="0"/>
              <w:autoSpaceDE w:val="0"/>
              <w:autoSpaceDN w:val="0"/>
              <w:adjustRightInd w:val="0"/>
              <w:textAlignment w:val="baseline"/>
              <w:rPr>
                <w:i/>
                <w:iCs/>
                <w:sz w:val="22"/>
                <w:szCs w:val="22"/>
              </w:rPr>
            </w:pPr>
            <w:r>
              <w:rPr>
                <w:i/>
              </w:rPr>
              <w:t>+32 25469231</w:t>
            </w:r>
          </w:p>
        </w:tc>
      </w:tr>
      <w:tr w:rsidRPr="00594F3A" w:rsidR="00FD7CAC" w:rsidTr="00F324F7" w14:paraId="768292C3" w14:textId="77777777">
        <w:tc>
          <w:tcPr>
            <w:tcW w:w="1173" w:type="dxa"/>
          </w:tcPr>
          <w:p w:rsidRPr="000F216A" w:rsidR="00FD7CAC" w:rsidP="00FD7CAC" w:rsidRDefault="00FD7CAC" w14:paraId="35D698F6" w14:textId="77777777">
            <w:pPr>
              <w:overflowPunct w:val="0"/>
              <w:autoSpaceDE w:val="0"/>
              <w:autoSpaceDN w:val="0"/>
              <w:adjustRightInd w:val="0"/>
              <w:textAlignment w:val="baseline"/>
              <w:rPr>
                <w:i/>
                <w:sz w:val="22"/>
                <w:szCs w:val="22"/>
              </w:rPr>
            </w:pPr>
            <w:r>
              <w:rPr>
                <w:i/>
              </w:rPr>
              <w:t>E-post</w:t>
            </w:r>
          </w:p>
        </w:tc>
        <w:tc>
          <w:tcPr>
            <w:tcW w:w="4518" w:type="dxa"/>
          </w:tcPr>
          <w:p w:rsidRPr="000F216A" w:rsidR="00FD7CAC" w:rsidP="00FD7CAC" w:rsidRDefault="002E1A6E" w14:paraId="04B6DE80" w14:textId="5FB1850F">
            <w:pPr>
              <w:overflowPunct w:val="0"/>
              <w:autoSpaceDE w:val="0"/>
              <w:autoSpaceDN w:val="0"/>
              <w:adjustRightInd w:val="0"/>
              <w:textAlignment w:val="baseline"/>
              <w:rPr>
                <w:i/>
                <w:iCs/>
                <w:sz w:val="22"/>
                <w:szCs w:val="22"/>
              </w:rPr>
            </w:pPr>
            <w:hyperlink w:history="1" r:id="rId24">
              <w:r w:rsidR="007E03C9">
                <w:rPr>
                  <w:color w:val="0000FF"/>
                  <w:u w:val="single"/>
                </w:rPr>
                <w:t>Anna.Pantazi@eesc.europa.eu</w:t>
              </w:r>
            </w:hyperlink>
            <w:r w:rsidR="007E03C9">
              <w:rPr>
                <w:sz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2E1A6E"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276FC9">
          <w:rPr>
            <w:b/>
            <w:i/>
            <w:color w:val="0000FF"/>
            <w:sz w:val="28"/>
            <w:u w:val="single"/>
          </w:rPr>
          <w:t>Fiskaalläbipaistvuse suurendamine kaasava eelarvestamise kaudu ELis</w:t>
        </w:r>
      </w:hyperlink>
    </w:p>
    <w:p w:rsidRPr="000F216A" w:rsidR="00594F3A" w:rsidP="000F216A"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rPr>
            </w:pPr>
            <w:r>
              <w:rPr>
                <w:b/>
              </w:rPr>
              <w:t>Raportöör</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rPr>
            </w:pPr>
            <w:r>
              <w:t>Elena-Alexandra CALISTRU (kodanikuühiskonna organisatsioonide rühm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rPr>
            </w:pPr>
            <w:r>
              <w:rPr>
                <w:b/>
              </w:rPr>
              <w:t xml:space="preserve">Viitedokumendid </w:t>
            </w:r>
          </w:p>
        </w:tc>
        <w:tc>
          <w:tcPr>
            <w:tcW w:w="7088" w:type="dxa"/>
          </w:tcPr>
          <w:p w:rsidR="00347517" w:rsidP="006961A3" w:rsidRDefault="00347517" w14:paraId="212B46A8" w14:textId="77777777">
            <w:pPr>
              <w:tabs>
                <w:tab w:val="center" w:pos="284"/>
              </w:tabs>
              <w:spacing w:line="259" w:lineRule="auto"/>
              <w:jc w:val="left"/>
              <w:rPr>
                <w:rFonts w:eastAsia="Calibri"/>
                <w:szCs w:val="24"/>
              </w:rPr>
            </w:pPr>
            <w:r>
              <w:t>omaalgatuslik arvamus</w:t>
            </w:r>
          </w:p>
          <w:p w:rsidRPr="006961A3"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Põhipunktid</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r>
        <w:t>Euroopa Majandus- ja Sotsiaalkomitee:</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0F216A"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rPr>
      </w:pPr>
      <w:r>
        <w:t>tunnistab, et fiskaalläbipaistvus ja kaasav eelarvestamine on otsustava tähtsusega demokraatlike protsesside edendamisel ja usalduse suurendamisel ELi institutsioonide vastu;</w:t>
      </w:r>
    </w:p>
    <w:p w:rsidRPr="007E5D7C" w:rsidR="007E5D7C" w:rsidP="000F216A"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rPr>
      </w:pPr>
      <w:r>
        <w:t>toob välja märkimisväärsed täiustamise ja standardiseerimise võimalused kõikides liikmesriikides;</w:t>
      </w:r>
    </w:p>
    <w:p w:rsidRPr="007E5D7C" w:rsidR="007E5D7C" w:rsidP="000F216A"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leiab, et EL peaks kehtestama ühise raamistiku fiskaalläbipaistvuse tagamiseks kõigi mitmeaastase finantsraamistiku kaudu rahastatavate programmide jaoks, millega tuleks: </w:t>
      </w:r>
    </w:p>
    <w:p w:rsidRPr="007E5D7C"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kehtestada fiskaalläbipaistvuse selged standardid ja suunised; </w:t>
      </w:r>
    </w:p>
    <w:p w:rsidRPr="007E5D7C"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keskenduda pigem mehhanismidele ja parimatele tavadele kui uute eeskirjade kehtestamisele; </w:t>
      </w:r>
    </w:p>
    <w:p w:rsidRPr="007E5D7C"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tagada aruandluse järjepidevus ja eelarvealase teabe kättesaadavus;</w:t>
      </w:r>
    </w:p>
    <w:p w:rsidRPr="007E5D7C" w:rsidR="007E5D7C" w:rsidP="000F216A"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rPr>
      </w:pPr>
      <w:r>
        <w:t>soovib, et EL julgustaks ja toetaks liikmesriike oma eelarvete ja ELi vahendite kasutamise kohta kvaliteetsete andmekogumite avaldamisel;</w:t>
      </w:r>
    </w:p>
    <w:p w:rsidRPr="007E5D7C" w:rsidR="007E5D7C" w:rsidP="000F216A" w:rsidRDefault="007E5D7C" w14:paraId="5F9316E6" w14:textId="77777777">
      <w:pPr>
        <w:numPr>
          <w:ilvl w:val="0"/>
          <w:numId w:val="30"/>
        </w:numPr>
        <w:overflowPunct w:val="0"/>
        <w:autoSpaceDE w:val="0"/>
        <w:autoSpaceDN w:val="0"/>
        <w:adjustRightInd w:val="0"/>
        <w:spacing w:after="200" w:line="276" w:lineRule="auto"/>
        <w:contextualSpacing/>
        <w:textAlignment w:val="baseline"/>
        <w:rPr>
          <w:bCs/>
          <w:iCs/>
        </w:rPr>
      </w:pPr>
      <w:r>
        <w:t>soovib, et EL edendaks ja toetaks kaasava eelarvestamise algatusi, eelkõige kohalikul ja piirkondlikul tasandil, kus need on osutunud kõige tõhusamaks. See hõlmab a) suuniste ja vahendite andmist rakendamiseks; b) teadmiste ja parimate tavade jagamise soodustamist; c) osaluspõhiste elementide integreerimist ELi tasandi eelarvestamise protsessidesse, kus see on asjakohane, organiseeritud kodanikuühiskonna kaasamise kaudu, nt ühtekuuluvuspoliitika rahastamisotsuste tegemisel;</w:t>
      </w:r>
    </w:p>
    <w:p w:rsidRPr="007E5D7C" w:rsidR="007E5D7C" w:rsidP="000F216A"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rPr>
      </w:pPr>
      <w:r>
        <w:t>soovitab ELil arendada ja edendada digiplatvormide kasutust, et parandada fiskaalläbipaistvust ja elanike kaasatust;</w:t>
      </w:r>
    </w:p>
    <w:p w:rsidRPr="007E5D7C" w:rsidR="007E5D7C" w:rsidP="000F216A"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rPr>
      </w:pPr>
      <w:r>
        <w:t>rõhutab Euroopa Kontrollikoja tähtsust fiskaalläbipaistvuses ja soovitab tugevdada kontrollikoja rolli;</w:t>
      </w:r>
    </w:p>
    <w:p w:rsidRPr="007E5D7C" w:rsidR="007E5D7C" w:rsidP="000F216A" w:rsidRDefault="007E5D7C" w14:paraId="5E5B1007" w14:textId="77777777">
      <w:pPr>
        <w:numPr>
          <w:ilvl w:val="0"/>
          <w:numId w:val="30"/>
        </w:numPr>
        <w:overflowPunct w:val="0"/>
        <w:autoSpaceDE w:val="0"/>
        <w:autoSpaceDN w:val="0"/>
        <w:adjustRightInd w:val="0"/>
        <w:spacing w:after="200" w:line="276" w:lineRule="auto"/>
        <w:contextualSpacing/>
        <w:textAlignment w:val="baseline"/>
        <w:rPr>
          <w:bCs/>
          <w:iCs/>
        </w:rPr>
      </w:pPr>
      <w:r>
        <w:t>rõhutab, et on oluline seada prioriteediks pingutused üldsuse teadlikkuse suurendamiseks ja osalemiseks fiskaalküsimustes. See hõlmab a) ulatuslikku haridust ja teadlikkuse suurendamist; b) koolitus- ja suutlikkuse suurendamise programme riigiametnikele ja kodanikuühiskonna organisatsioonidele; c) noorte ja tulevaste juhtide aktiivset kaasamist;</w:t>
      </w:r>
    </w:p>
    <w:p w:rsidRPr="007E5D7C" w:rsidR="007E5D7C" w:rsidP="000F216A"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rPr>
      </w:pPr>
      <w:r>
        <w:t>soovib tagada, et fiskaalläbipaistvuse ja kaasava eelarvestamise algatused toetaksid ELi olulisi eesmärke ja oleksid nendega kooskõlas;</w:t>
      </w:r>
    </w:p>
    <w:p w:rsidRPr="007E5D7C" w:rsidR="007E5D7C" w:rsidP="000F216A"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rPr>
      </w:pPr>
      <w:r>
        <w:t>soovib julgustada suuremat koostööd ja teadmiste jagamist fiskaalläbipaistvuse ja kaasava eelarvestamise valdkonnas ELi liikmesriikides;</w:t>
      </w:r>
    </w:p>
    <w:p w:rsidR="007E5D7C" w:rsidP="000F216A"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rPr>
      </w:pPr>
      <w:r>
        <w:t>on veendunud, et fiskaalläbipaistvuse ja kaasava eelarvestamisega seotud jõupingutused aitavad suurendada avalikkuse usaldust, tõhustada avalike ressursside kasutamist ja tugevdada demokraatlikku protsessi olemasolevas esindusdemokraatia raamistikus.</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7E5D7C" w:rsidTr="00F324F7" w14:paraId="6728D381" w14:textId="77777777">
        <w:tc>
          <w:tcPr>
            <w:tcW w:w="1418"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proofErr w:type="spellStart"/>
            <w:r>
              <w:rPr>
                <w:i/>
              </w:rPr>
              <w:t>Gerald</w:t>
            </w:r>
            <w:proofErr w:type="spellEnd"/>
            <w:r>
              <w:rPr>
                <w:i/>
              </w:rPr>
              <w:t xml:space="preserve"> </w:t>
            </w:r>
            <w:proofErr w:type="spellStart"/>
            <w:r>
              <w:rPr>
                <w:i/>
              </w:rPr>
              <w:t>Klec</w:t>
            </w:r>
            <w:proofErr w:type="spellEnd"/>
          </w:p>
        </w:tc>
      </w:tr>
      <w:tr w:rsidRPr="00594F3A" w:rsidR="007E5D7C" w:rsidTr="00F324F7" w14:paraId="27CD5F3A" w14:textId="77777777">
        <w:tc>
          <w:tcPr>
            <w:tcW w:w="1418"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+32 25469909</w:t>
            </w:r>
          </w:p>
        </w:tc>
      </w:tr>
      <w:tr w:rsidRPr="00594F3A" w:rsidR="007E5D7C" w:rsidTr="00F324F7" w14:paraId="448284D7" w14:textId="77777777">
        <w:tc>
          <w:tcPr>
            <w:tcW w:w="1418"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7E5D7C" w:rsidP="007E5D7C" w:rsidRDefault="002E1A6E" w14:paraId="62ED4BD1" w14:textId="1D3DA3A1">
            <w:pPr>
              <w:overflowPunct w:val="0"/>
              <w:autoSpaceDE w:val="0"/>
              <w:autoSpaceDN w:val="0"/>
              <w:adjustRightInd w:val="0"/>
              <w:spacing w:line="240" w:lineRule="auto"/>
              <w:textAlignment w:val="baseline"/>
              <w:rPr>
                <w:i/>
                <w:sz w:val="22"/>
                <w:szCs w:val="22"/>
              </w:rPr>
            </w:pPr>
            <w:hyperlink w:history="1" r:id="rId26">
              <w:r w:rsidR="007E03C9">
                <w:rPr>
                  <w:color w:val="0000FF"/>
                  <w:u w:val="single"/>
                </w:rPr>
                <w:t>Gerald.Klec@eesc.europa.eu</w:t>
              </w:r>
            </w:hyperlink>
          </w:p>
        </w:tc>
      </w:tr>
    </w:tbl>
    <w:p w:rsidR="004D7AC0" w:rsidP="004D7AC0" w:rsidRDefault="004D7AC0" w14:paraId="63148430" w14:textId="77777777">
      <w:pPr>
        <w:pStyle w:val="ListParagraph"/>
        <w:ind w:left="0"/>
      </w:pPr>
    </w:p>
    <w:p w:rsidR="00347517" w:rsidRDefault="00347517" w14:paraId="50DF60B5" w14:textId="529F97AB">
      <w:pPr>
        <w:spacing w:after="160" w:line="259" w:lineRule="auto"/>
        <w:jc w:val="left"/>
      </w:pPr>
      <w:r>
        <w:br w:type="page"/>
      </w:r>
    </w:p>
    <w:p w:rsidRPr="0015600B" w:rsidR="00C97DBC" w:rsidP="000F216A" w:rsidRDefault="002E1A6E"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00C97DBC">
          <w:rPr>
            <w:b/>
            <w:i/>
            <w:color w:val="0000FF"/>
            <w:sz w:val="28"/>
            <w:u w:val="single"/>
          </w:rPr>
          <w:t>Kliimamuutused ja nende mõju majandusele</w:t>
        </w:r>
      </w:hyperlink>
    </w:p>
    <w:p w:rsidRPr="00C97DBC"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Raportöör</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proofErr w:type="spellStart"/>
            <w:r>
              <w:t>Juraj</w:t>
            </w:r>
            <w:proofErr w:type="spellEnd"/>
            <w:r>
              <w:t xml:space="preserve"> SIPKO (kodanikuühiskonna organisatsioonide rühm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rPr>
              <w:t>Viitedokumendid</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pPr>
            <w:r>
              <w:t>omaalgatuslik arvamus</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Põhipunktid</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Euroopa Majandus- ja Sotsiaalkomitee:</w:t>
      </w:r>
    </w:p>
    <w:p w:rsidRPr="00C97DBC"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juhib tähelepanu sellele, et kliimamuutused on peamiselt tekkinud inimtegevuse tagajärjel, ning rõhutab, et looduses on kõik omavahel seotud. Kui loodus on tasakaalus, on tagatud tingimused heaks majanduskasvuks ja rahvas püsib tervena. See tähendab, et tuleb vastu võtta pikaajaline strateegia rahvatervise kaitsmiseks ettenägematute kliimamuutuste korral;</w:t>
      </w:r>
    </w:p>
    <w:p w:rsidRPr="00C97DBC"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leiab, et kliimamuutused kujutavad endast eksistentsiaalset ohtu ELi liikmesriikide majanduslikule ja sotsiaalsele arengule ning avaldavad väga negatiivset mõju nii makro- kui ka mikromajanduslikule arengule, ettevõtlusele, finants- ja sotsiaalsele stabiilsusele, taristule ja inimeste tervisele;</w:t>
      </w:r>
    </w:p>
    <w:p w:rsidRPr="00C97DBC"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rõhutab, et kõikide heitkoguste vähendamiseks (kliimamuutuste leevendamine) ja uute tingimustega kohanemiseks (kliimamuutustega kohanemine) vajalike meetmete vastuvõtmisel ja rakendamisel ei tohi aega kaotada. See hõlmab ka heitehindade ja süsinikdioksiidimaksu kehtestamist kooskõlas Euroopa Komisjoni viimase soovitusega;</w:t>
      </w:r>
    </w:p>
    <w:p w:rsidRPr="00C97DBC"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leiab, et kliimamuutustega seotud investeeringud on ajalooline majanduslik võimalus toetada ja kasutada ELi liikmesriikide tohutut innovatsiooni- ja arengupotentsiaali;</w:t>
      </w:r>
    </w:p>
    <w:p w:rsidRPr="00C97DBC"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juhib tähelepanu sellele, et lisaks väärtusliku kasvupotentsiaali ärakasutamisele on majanduse ja ühiskonna väiksemad jooksevkulud veel üks peamisi pikaajalisi mõjusid kliimamuutustele reageerimisel;</w:t>
      </w:r>
    </w:p>
    <w:p w:rsidRPr="00C97DBC"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on teadlik sellest, et kliimamuutustele reageerimine nõuab suuri jõupingutusi, pidades silmas kohustuslikke investeeringuid ning vajalikke eelarve- ja finantsmeetmeid;</w:t>
      </w:r>
    </w:p>
    <w:p w:rsidRPr="00C97DBC" w:rsidR="00C97DBC" w:rsidP="000F216A"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pPr>
      <w:r>
        <w:t>on teadlik asjaolust, et sobimatu reageerimine või suutmatus tegeleda kliimamuutustega seotud probleemidega võib kaasa tuua tohutuid riske nii majanduskasvu kui ka sellest tulenevalt ühiskonnale kahju tekitamise seisukohast;</w:t>
      </w:r>
    </w:p>
    <w:p w:rsidRPr="00C97DBC"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 xml:space="preserve">leiab, et kliimamuutustele reageerimisel on väga oluline, et </w:t>
      </w:r>
      <w:proofErr w:type="spellStart"/>
      <w:r>
        <w:t>inimteguri</w:t>
      </w:r>
      <w:proofErr w:type="spellEnd"/>
      <w:r>
        <w:t xml:space="preserve"> tähtsust selle mõiste kõige laiemas tähenduses ei alahinnataks;</w:t>
      </w:r>
    </w:p>
    <w:p w:rsidRPr="00C97DBC"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rõhutab, et tuleb vastu võtta ja rakendada meetmeid, millega tagada liikmesriikide majanduslikule ja sotsiaalsele arengule avalduva kliimamuutuste mõju süstemaatiline analüüs, hindamine ja prognoosimine;</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 xml:space="preserve">on seisukohal, et kõiki meetmeid tuleb rahvusvahelisel tasandil koordineerida ja ühtlustada, ning toetab kindlalt ELi jõupingutusi seada </w:t>
      </w:r>
      <w:proofErr w:type="spellStart"/>
      <w:r>
        <w:t>kliimamuutustevastane</w:t>
      </w:r>
      <w:proofErr w:type="spellEnd"/>
      <w:r>
        <w:t xml:space="preserve"> võitlus esikohale. See hõlmab kollektiivset pühendumist riigi, piirkonna, ELi ja maailma tasandil kõigis valdkondades, näiteks majandus- ja sotsiaalvaldkonnas, koos selgete, täpselt määratletud rollide ja kohustustega otsustusprotsessi kõigil tasanditel.</w:t>
      </w:r>
    </w:p>
    <w:p w:rsidRPr="00C97DBC"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C97DBC" w:rsidTr="00F324F7" w14:paraId="6F4AA6D2" w14:textId="77777777">
        <w:tc>
          <w:tcPr>
            <w:tcW w:w="1173"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Kontaktisik</w:t>
            </w:r>
          </w:p>
        </w:tc>
        <w:tc>
          <w:tcPr>
            <w:tcW w:w="4518"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 xml:space="preserve">Anna </w:t>
            </w:r>
            <w:proofErr w:type="spellStart"/>
            <w:r>
              <w:rPr>
                <w:i/>
              </w:rPr>
              <w:t>Pantazi</w:t>
            </w:r>
            <w:proofErr w:type="spellEnd"/>
          </w:p>
        </w:tc>
      </w:tr>
      <w:tr w:rsidRPr="00594F3A" w:rsidR="00C97DBC" w:rsidTr="00F324F7" w14:paraId="65D5F642" w14:textId="77777777">
        <w:tc>
          <w:tcPr>
            <w:tcW w:w="1173"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Tel</w:t>
            </w:r>
          </w:p>
        </w:tc>
        <w:tc>
          <w:tcPr>
            <w:tcW w:w="4518"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594F3A" w:rsidR="00C97DBC" w:rsidTr="00F324F7" w14:paraId="34EF1BFB" w14:textId="77777777">
        <w:tc>
          <w:tcPr>
            <w:tcW w:w="1173"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E-post</w:t>
            </w:r>
          </w:p>
        </w:tc>
        <w:tc>
          <w:tcPr>
            <w:tcW w:w="4518" w:type="dxa"/>
          </w:tcPr>
          <w:p w:rsidRPr="000F216A" w:rsidR="00C97DBC" w:rsidP="00C97DBC" w:rsidRDefault="002E1A6E" w14:paraId="4A40D9C4" w14:textId="06636C15">
            <w:pPr>
              <w:overflowPunct w:val="0"/>
              <w:autoSpaceDE w:val="0"/>
              <w:autoSpaceDN w:val="0"/>
              <w:adjustRightInd w:val="0"/>
              <w:textAlignment w:val="baseline"/>
              <w:rPr>
                <w:i/>
                <w:iCs/>
                <w:sz w:val="22"/>
                <w:szCs w:val="22"/>
              </w:rPr>
            </w:pPr>
            <w:hyperlink w:history="1" r:id="rId28">
              <w:r w:rsidR="007E03C9">
                <w:rPr>
                  <w:color w:val="0000FF"/>
                  <w:u w:val="single"/>
                </w:rPr>
                <w:t>Anna.Pantazi@eesc.europa.eu</w:t>
              </w:r>
            </w:hyperlink>
            <w:r w:rsidR="007E03C9">
              <w:rPr>
                <w:sz w:val="22"/>
              </w:rPr>
              <w:t xml:space="preserve"> </w:t>
            </w:r>
          </w:p>
        </w:tc>
      </w:tr>
    </w:tbl>
    <w:p w:rsidR="00594F3A" w:rsidP="004D7AC0" w:rsidRDefault="00594F3A" w14:paraId="7A5C5C01" w14:textId="13B58540"/>
    <w:p w:rsidR="007E03C9" w:rsidRDefault="007E03C9" w14:paraId="04688C39" w14:textId="77777777">
      <w:pPr>
        <w:spacing w:after="160" w:line="259" w:lineRule="auto"/>
        <w:jc w:val="left"/>
      </w:pPr>
      <w:r>
        <w:br w:type="page"/>
      </w:r>
    </w:p>
    <w:p w:rsidR="00594F3A" w:rsidP="000F216A" w:rsidRDefault="007E03C9" w14:paraId="35C5919D" w14:textId="1B96BB34">
      <w:pPr>
        <w:pStyle w:val="Heading1"/>
      </w:pPr>
      <w:bookmarkStart w:name="_Toc183183805" w:id="1"/>
      <w:r>
        <w:lastRenderedPageBreak/>
        <w:t>TÖÖHÕIVE, SOTSIAALKÜSIMUSTE JA KODAKONDSUSE SEKTSIOON</w:t>
      </w:r>
      <w:bookmarkEnd w:id="1"/>
    </w:p>
    <w:p w:rsidR="004D7AC0" w:rsidP="004D7AC0" w:rsidRDefault="004D7AC0" w14:paraId="4982DD9A" w14:textId="0E453DF9"/>
    <w:p w:rsidRPr="000F216A" w:rsidR="00167D22" w:rsidP="000F216A" w:rsidRDefault="002E1A6E" w14:paraId="3837C091" w14:textId="2F36152E">
      <w:pPr>
        <w:pStyle w:val="ListParagraph"/>
        <w:numPr>
          <w:ilvl w:val="0"/>
          <w:numId w:val="63"/>
        </w:numPr>
        <w:spacing w:after="160" w:line="259" w:lineRule="auto"/>
        <w:ind w:left="709" w:hanging="709"/>
        <w:jc w:val="left"/>
        <w:rPr>
          <w:b/>
          <w:bCs/>
          <w:i/>
          <w:iCs/>
          <w:color w:val="0000FF"/>
          <w:sz w:val="28"/>
          <w:szCs w:val="28"/>
          <w:u w:val="single"/>
        </w:rPr>
      </w:pPr>
      <w:hyperlink w:history="1" r:id="rId29">
        <w:r w:rsidR="00594F3A">
          <w:rPr>
            <w:rStyle w:val="Hyperlink"/>
            <w:b/>
            <w:i/>
            <w:sz w:val="28"/>
          </w:rPr>
          <w:t xml:space="preserve">Vajaduspõhise töö- ja eraelu tasakaalu tagamine kõigile. Kuidas toetavad sobivad paindlikud töötingimused </w:t>
        </w:r>
        <w:proofErr w:type="spellStart"/>
        <w:r w:rsidR="00594F3A">
          <w:rPr>
            <w:rStyle w:val="Hyperlink"/>
            <w:b/>
            <w:i/>
            <w:sz w:val="28"/>
          </w:rPr>
          <w:t>põlvkondadevahelist</w:t>
        </w:r>
        <w:proofErr w:type="spellEnd"/>
        <w:r w:rsidR="00594F3A">
          <w:rPr>
            <w:rStyle w:val="Hyperlink"/>
            <w:b/>
            <w:i/>
            <w:sz w:val="28"/>
          </w:rPr>
          <w:t xml:space="preserve"> solidaarsust ja naiste mõjuvõimu suurendamist</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650"/>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sz w:val="20"/>
              </w:rPr>
              <w:t>Raportöör</w:t>
            </w:r>
          </w:p>
        </w:tc>
        <w:tc>
          <w:tcPr>
            <w:tcW w:w="7655" w:type="dxa"/>
          </w:tcPr>
          <w:p w:rsidRPr="00D42A3F" w:rsidR="00167D22" w:rsidP="00F324F7" w:rsidRDefault="00167D22" w14:paraId="65DD1EE5" w14:textId="14C1BE1F">
            <w:pPr>
              <w:tabs>
                <w:tab w:val="center" w:pos="284"/>
              </w:tabs>
              <w:ind w:left="266" w:hanging="266"/>
              <w:rPr>
                <w:sz w:val="20"/>
                <w:szCs w:val="20"/>
              </w:rPr>
            </w:pPr>
            <w:r>
              <w:rPr>
                <w:sz w:val="20"/>
              </w:rPr>
              <w:t>Kinga JOÓ (kodanikuühiskonna organisatsioonide rühm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Kaasraportöör</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(töötajate rühm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Viitedokumendid </w:t>
            </w:r>
          </w:p>
        </w:tc>
        <w:tc>
          <w:tcPr>
            <w:tcW w:w="7655" w:type="dxa"/>
          </w:tcPr>
          <w:p w:rsidRPr="00D42A3F" w:rsidR="00167D22" w:rsidP="00CA38F2" w:rsidRDefault="00167D22" w14:paraId="7CBFB89B" w14:textId="4E2F313B">
            <w:pPr>
              <w:tabs>
                <w:tab w:val="center" w:pos="40"/>
              </w:tabs>
              <w:ind w:right="-246"/>
              <w:rPr>
                <w:sz w:val="20"/>
                <w:szCs w:val="20"/>
              </w:rPr>
            </w:pPr>
            <w:r>
              <w:rPr>
                <w:sz w:val="20"/>
              </w:rPr>
              <w:t>ettevalmistav arvamus ELi nõukogu eesistujariigi Ungari taotlusel</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rPr>
        <w:t>Põhipunktid</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t>Euroopa Majandus- ja Sotsiaalkomitee:</w:t>
      </w:r>
    </w:p>
    <w:p w:rsidRPr="00C94060"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rõhutab tungivat vajadust kohandada töö- ja eraelu tasakaalustamise strateegiaid, võttes arvesse muutuvat demograafilist olukorda, uusi töövorme, paindlikku töökorraldust ja kasvavat hooldusnõudlust, pidades silmas lapsevanemate ja hooldajate töö- ja eraelu tasakaalu käsitleva direktiivi (EL) 2019/1158 läbivaatamist 2027. aastal;</w:t>
      </w:r>
    </w:p>
    <w:p w:rsidRPr="00C94060"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märgib, et vananev elanikkond vajab hooldusteenuste jaoks rohkem vahendeid, ning soovitab nõukogul paluda komisjonil töötada välja hooldusmeetmete kogum, mis hõlmaks pikaajalise hoolduse näitajaid;</w:t>
      </w:r>
    </w:p>
    <w:p w:rsidRPr="00C94060"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rõhutab, et vajaduspõhised meetmed peaksid pakkuma taskukohaseid, kättesaadavaid ja kvaliteetseid teenuseid, millest saavad kasu töötajad, perekonnad, ettevõtted ja avaliku sektori asutused;</w:t>
      </w:r>
    </w:p>
    <w:p w:rsidRPr="00C94060"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märgib, et vaatamata mõningatele edusammudele kannavad enamasti naised tasustamata hooldustöö koormust, mis aitab kaasa vaesuse n-ö feminiseerumisele, sest naised lahkuvad töölt või lühendavad oma tööaega, et hoolitseda sugulase või laste eest. Seetõttu tuleks perede ja töötajate hooldustöö ning rahalise kindluse toetamist käsitleda investeeringuna, mis toob kasu ühiskonnale ja majandusele, mitte kuluna;</w:t>
      </w:r>
    </w:p>
    <w:p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 xml:space="preserve">soovitab komisjonil hinnata töö- ja eraelu tasakaalustamise poliitikat ELi ettevõtetes, sealhulgas kasu, probleeme ja mõju konkurentsivõimele, samuti häid tavasid, sealhulgas </w:t>
      </w:r>
      <w:proofErr w:type="spellStart"/>
      <w:r>
        <w:rPr>
          <w:color w:val="000000" w:themeColor="text1"/>
        </w:rPr>
        <w:t>VKEdes</w:t>
      </w:r>
      <w:proofErr w:type="spellEnd"/>
      <w:r>
        <w:rPr>
          <w:color w:val="000000" w:themeColor="text1"/>
        </w:rPr>
        <w:t xml:space="preserve">; tähelepanu tuleks pöörata ka </w:t>
      </w:r>
      <w:proofErr w:type="spellStart"/>
      <w:r>
        <w:rPr>
          <w:color w:val="000000" w:themeColor="text1"/>
        </w:rPr>
        <w:t>põlvkondadevahelise</w:t>
      </w:r>
      <w:proofErr w:type="spellEnd"/>
      <w:r>
        <w:rPr>
          <w:color w:val="000000" w:themeColor="text1"/>
        </w:rPr>
        <w:t xml:space="preserve"> koostöö potentsiaalile töökohal;</w:t>
      </w:r>
    </w:p>
    <w:p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rõhutab, et pandeemiajärgsel perioodil on oluline uurida, hinnata ja vajaduse korral ajakohastada pandeemia tagajärjel võetud tööhõivega seotud meetmeid, sealhulgas paindlikku töökorraldust, ning integreerida need direktiivi (EL) 2019/1158 (milles käsitletakse lapsevanemate ja hooldajate töö- ja eraelu tasakaalu) läbivaatamisprotsessi;</w:t>
      </w:r>
    </w:p>
    <w:p w:rsidRPr="003F5DFC"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rõhutab, et sotsiaaldialoog, mille puhul kodanikuühiskonna organisatsioonid toetavad protsessi, on töö- ja eraelu asjakohase tasakaalu saavutamise võti.</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Pr>
                <w:b/>
                <w:i/>
              </w:rPr>
              <w:t>Kontaktisik</w:t>
            </w:r>
          </w:p>
        </w:tc>
        <w:tc>
          <w:tcPr>
            <w:tcW w:w="5528" w:type="dxa"/>
          </w:tcPr>
          <w:p w:rsidRPr="00B4456F" w:rsidR="00167D22" w:rsidP="00F324F7" w:rsidRDefault="00167D22" w14:paraId="305C496B" w14:textId="1770E294">
            <w:pPr>
              <w:spacing w:line="240" w:lineRule="auto"/>
              <w:rPr>
                <w:i/>
              </w:rPr>
            </w:pPr>
            <w:proofErr w:type="spellStart"/>
            <w:r>
              <w:rPr>
                <w:i/>
              </w:rPr>
              <w:t>Gabriela</w:t>
            </w:r>
            <w:proofErr w:type="spellEnd"/>
            <w:r>
              <w:rPr>
                <w:i/>
              </w:rPr>
              <w:t xml:space="preserve"> </w:t>
            </w:r>
            <w:proofErr w:type="spellStart"/>
            <w:r>
              <w:rPr>
                <w:i/>
              </w:rPr>
              <w:t>Grasu</w:t>
            </w:r>
            <w:proofErr w:type="spellEnd"/>
            <w:r>
              <w:rPr>
                <w:i/>
              </w:rPr>
              <w:t xml:space="preserve"> ja </w:t>
            </w:r>
            <w:proofErr w:type="spellStart"/>
            <w:r>
              <w:rPr>
                <w:i/>
              </w:rPr>
              <w:t>Bartek</w:t>
            </w:r>
            <w:proofErr w:type="spellEnd"/>
            <w:r>
              <w:rPr>
                <w:i/>
              </w:rPr>
              <w:t xml:space="preserve"> </w:t>
            </w:r>
            <w:proofErr w:type="spellStart"/>
            <w:r>
              <w:rPr>
                <w:i/>
              </w:rPr>
              <w:t>Bednarowicz</w:t>
            </w:r>
            <w:proofErr w:type="spellEnd"/>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Pr>
                <w:i/>
              </w:rPr>
              <w:t>Tel</w:t>
            </w:r>
          </w:p>
        </w:tc>
        <w:tc>
          <w:tcPr>
            <w:tcW w:w="5528" w:type="dxa"/>
          </w:tcPr>
          <w:p w:rsidRPr="00B4456F" w:rsidR="00167D22" w:rsidP="00F324F7" w:rsidRDefault="00167D22" w14:paraId="44D5DC42" w14:textId="77777777">
            <w:pPr>
              <w:spacing w:line="240" w:lineRule="auto"/>
              <w:rPr>
                <w:i/>
              </w:rPr>
            </w:pPr>
            <w:r>
              <w:rPr>
                <w:i/>
              </w:rPr>
              <w:t>+32 25469162 ja +32 25469229</w:t>
            </w:r>
          </w:p>
        </w:tc>
      </w:tr>
      <w:tr w:rsidRPr="00B4456F" w:rsidR="00167D22" w:rsidTr="00F324F7" w14:paraId="1B5D4C93" w14:textId="77777777">
        <w:tc>
          <w:tcPr>
            <w:tcW w:w="1418" w:type="dxa"/>
          </w:tcPr>
          <w:p w:rsidRPr="00B4456F" w:rsidR="00167D22" w:rsidP="00F324F7" w:rsidRDefault="00B6772C" w14:paraId="655F8DC5" w14:textId="7317597F">
            <w:pPr>
              <w:spacing w:line="240" w:lineRule="auto"/>
              <w:rPr>
                <w:i/>
              </w:rPr>
            </w:pPr>
            <w:r>
              <w:rPr>
                <w:i/>
              </w:rPr>
              <w:t>E-post</w:t>
            </w:r>
          </w:p>
        </w:tc>
        <w:tc>
          <w:tcPr>
            <w:tcW w:w="5528" w:type="dxa"/>
          </w:tcPr>
          <w:p w:rsidR="00347517" w:rsidP="00F324F7" w:rsidRDefault="002E1A6E" w14:paraId="04C6E02C" w14:textId="48D75E5A">
            <w:pPr>
              <w:spacing w:line="240" w:lineRule="auto"/>
            </w:pPr>
            <w:hyperlink w:history="1" r:id="rId30">
              <w:r w:rsidR="00347517">
                <w:rPr>
                  <w:rStyle w:val="Hyperlink"/>
                </w:rPr>
                <w:t>Gabriela.Grasu@eesc.europa.eu</w:t>
              </w:r>
            </w:hyperlink>
          </w:p>
          <w:p w:rsidRPr="00B4456F" w:rsidR="00167D22" w:rsidP="00F324F7" w:rsidRDefault="002E1A6E" w14:paraId="1DCEA359" w14:textId="35E5BC26">
            <w:pPr>
              <w:spacing w:line="240" w:lineRule="auto"/>
              <w:rPr>
                <w:i/>
                <w:iCs/>
              </w:rPr>
            </w:pPr>
            <w:hyperlink w:history="1" r:id="rId31">
              <w:r w:rsid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00EB109D" w:rsidRDefault="00EB109D" w14:paraId="4982DD9C" w14:textId="31EF1D5A">
      <w:pPr>
        <w:spacing w:after="160" w:line="259" w:lineRule="auto"/>
        <w:jc w:val="left"/>
      </w:pPr>
      <w:r>
        <w:br w:type="page"/>
      </w:r>
    </w:p>
    <w:p w:rsidRPr="009B15D0"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lastRenderedPageBreak/>
        <w:t>Liikmesriikide tööhõivepoliitika suunised</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Raportöör</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0F216A" w:rsidR="009B15D0" w:rsidP="009B15D0" w:rsidRDefault="009B15D0" w14:paraId="729B9649" w14:textId="77777777">
            <w:pPr>
              <w:overflowPunct w:val="0"/>
              <w:autoSpaceDE w:val="0"/>
              <w:autoSpaceDN w:val="0"/>
              <w:adjustRightInd w:val="0"/>
              <w:textAlignment w:val="baseline"/>
            </w:pPr>
            <w:r>
              <w:t>Giovanni MARCANTONIO (kodanikuühiskonna organisatsioonide rühm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rPr>
              <w:t>Viitedokumendid</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 xml:space="preserve">COM(2024) 599 </w:t>
            </w:r>
            <w:proofErr w:type="spellStart"/>
            <w:r>
              <w:t>final</w:t>
            </w:r>
            <w:proofErr w:type="spellEnd"/>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r>
        <w:t>Euroopa Majandus- ja Sotsiaalkomitee:</w:t>
      </w:r>
    </w:p>
    <w:p w:rsidRPr="009B15D0"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peab tervitatavaks ettepanekut ajakohastada tööhõivepoliitika suuniseid eesmärgiga edendada konkurentsivõimelist ja kestlikku majandust vastavalt tööturu uutele vajadustele;</w:t>
      </w:r>
    </w:p>
    <w:p w:rsidRPr="009B15D0"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rõhutab ülespoole suunatud lähenemise ja Euroopa poolaasta rolli tugevdamise tähtsust koordineeritud majanduspoliitika meetmete toetamisel;</w:t>
      </w:r>
    </w:p>
    <w:p w:rsidRPr="009B15D0"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toonitab vajadust tugevdada sotsiaalpartnerite rolli sotsiaaldialoogi ja kollektiivläbirääkimiste ning kodanikuühiskonna kaasamise kaudu tööhõivereformidesse ja -poliitikasse;</w:t>
      </w:r>
    </w:p>
    <w:p w:rsidRPr="009B15D0"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rõhutab vajadust suurendada tööjõupakkumist ja parandada juurdepääsu kvaliteetsetele töökohtadele, lahendades ettevõtete probleeme, mis tulenevad töötajate nappusest;</w:t>
      </w:r>
    </w:p>
    <w:p w:rsidRPr="009B15D0"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toetab komisjoni üleskutset tugevdada kaasamise poliitikat, et edendada võrdseid võimalusi töökoha leidmisel ja karjääri edendamisel;</w:t>
      </w:r>
    </w:p>
    <w:p w:rsidRPr="009B15D0"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rõhutab oskuste tugevdamise tähtsust rohe- ja digipöörde kontekstis ning vajadust tagada juurdepääs kvaliteetsele elukestvale õppele;</w:t>
      </w:r>
    </w:p>
    <w:p w:rsidRPr="009B15D0"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nõuab õiglaseid ja inimväärseid palku vastavalt tootlikkusele ja konkurentsivõimele, edendades kollektiivläbirääkimisi ja tõhusat palgaandmete seiret, austades samal ajal riiklikke tavasid ja sotsiaalpartnerite autonoomiat;</w:t>
      </w:r>
    </w:p>
    <w:p w:rsidRPr="009B15D0"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nõuab ka eetilise ja sotsiaalselt kestliku tehisintellekti kasutuselevõttu töökohtadel, hinnates mõju töökohtadele ja töökorraldusele nii võimaluste kui ka võimalike riskide seisukohast;</w:t>
      </w:r>
    </w:p>
    <w:p w:rsidRPr="009B15D0"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toonitab vajadust ajakohastada sotsiaalkaitset, et see hõlmaks kõiki töötajaid, olenemata nende tööhõivevormist, kohandades maksu- ja toetussüsteeme ning jälgides poliitika ümberjaotavat mõju;</w:t>
      </w:r>
    </w:p>
    <w:p w:rsidRPr="009B15D0"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innustab arendama edasi taskukohaste eluasemete poliitikat, kodutuse ennetamist ja ELi fondide tõhusat kasutamist;</w:t>
      </w:r>
    </w:p>
    <w:p w:rsidRPr="009B15D0"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nõuab tõhusamaid poliitikameetmeid, et võidelda ebaseadusliku töö vastu, edendada kvaliteetset tööd, parandada töötervishoidu ja -ohutust ning tõkestada mitteametlike ja ebakindlate töötingimuste levikut.</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94F3A" w:rsidR="009B15D0" w:rsidTr="00F324F7" w14:paraId="193EB235" w14:textId="77777777">
        <w:tc>
          <w:tcPr>
            <w:tcW w:w="1210" w:type="dxa"/>
          </w:tcPr>
          <w:p w:rsidRPr="000F216A"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Kontaktisik</w:t>
            </w:r>
          </w:p>
        </w:tc>
        <w:tc>
          <w:tcPr>
            <w:tcW w:w="4493" w:type="dxa"/>
          </w:tcPr>
          <w:p w:rsidRPr="000F216A"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9B15D0" w:rsidTr="00F324F7" w14:paraId="29DEADD4" w14:textId="77777777">
        <w:tc>
          <w:tcPr>
            <w:tcW w:w="1210" w:type="dxa"/>
          </w:tcPr>
          <w:p w:rsidRPr="000F216A"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Tel</w:t>
            </w:r>
          </w:p>
        </w:tc>
        <w:tc>
          <w:tcPr>
            <w:tcW w:w="4493" w:type="dxa"/>
          </w:tcPr>
          <w:p w:rsidRPr="000F216A"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9B15D0" w:rsidTr="00F324F7" w14:paraId="50E5214B" w14:textId="77777777">
        <w:tc>
          <w:tcPr>
            <w:tcW w:w="1210" w:type="dxa"/>
          </w:tcPr>
          <w:p w:rsidRPr="000F216A"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E-post</w:t>
            </w:r>
          </w:p>
        </w:tc>
        <w:tc>
          <w:tcPr>
            <w:tcW w:w="4493" w:type="dxa"/>
          </w:tcPr>
          <w:p w:rsidRPr="000F216A" w:rsidR="009B15D0" w:rsidP="009B15D0" w:rsidRDefault="002E1A6E" w14:paraId="728E1C6B" w14:textId="2F460D55">
            <w:pPr>
              <w:overflowPunct w:val="0"/>
              <w:autoSpaceDE w:val="0"/>
              <w:autoSpaceDN w:val="0"/>
              <w:adjustRightInd w:val="0"/>
              <w:spacing w:line="240" w:lineRule="auto"/>
              <w:textAlignment w:val="baseline"/>
              <w:rPr>
                <w:i/>
                <w:sz w:val="22"/>
                <w:szCs w:val="22"/>
              </w:rPr>
            </w:pPr>
            <w:hyperlink w:history="1" r:id="rId32">
              <w:r w:rsidR="007E03C9">
                <w:rPr>
                  <w:i/>
                  <w:color w:val="0000FF"/>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2E1A6E"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276FC9">
          <w:rPr>
            <w:b/>
            <w:i/>
            <w:color w:val="0000FF"/>
            <w:sz w:val="28"/>
            <w:u w:val="single"/>
          </w:rPr>
          <w:t>Euroopa juhtalgatuse loomine tervise edendamiseks</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Raportöör</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proofErr w:type="spellStart"/>
            <w:r>
              <w:t>Alain</w:t>
            </w:r>
            <w:proofErr w:type="spellEnd"/>
            <w:r>
              <w:t xml:space="preserve"> COHEUR (kodanikuühiskonna organisatsioonide rühm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Viitedokumendid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pPr>
            <w:r>
              <w:t>omaalgatuslik arvamus</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Euroopa Majandus- ja Sotsiaalkomitee:</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0F216A"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pPr>
      <w:r>
        <w:t xml:space="preserve">kutsub üles looma Euroopa tervishoiu juhtalgatuse, rajades selle universaalsuse, kvaliteedi, kättesaadavuse, solidaarsuse ja </w:t>
      </w:r>
      <w:proofErr w:type="spellStart"/>
      <w:r>
        <w:t>kaasavuse</w:t>
      </w:r>
      <w:proofErr w:type="spellEnd"/>
      <w:r>
        <w:t xml:space="preserve"> põhimõtetele; </w:t>
      </w:r>
    </w:p>
    <w:p w:rsidRPr="00C46CDD"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esitab selle tegevuskava järgmised strateegilised sambad:</w:t>
      </w:r>
    </w:p>
    <w:p w:rsidRPr="00C46CDD"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luua Euroopa hooldus- ja tervisegarantii;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rakendada terviseühtsuse integreeritud põhimõtet;</w:t>
      </w:r>
    </w:p>
    <w:p w:rsidRPr="00C46CDD"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r>
        <w:t>kasutada digiülemineku ja tehisintellekti võimalusi tervishoiusüsteemide ajakohastamiseks;</w:t>
      </w:r>
    </w:p>
    <w:p w:rsidRPr="00C46CDD"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säilitada Euroopa rahastamisvahendid, et toetada riiklikke tervishoiualgatusi ja tervishoiu rahastamist;</w:t>
      </w:r>
    </w:p>
    <w:p w:rsidRPr="00C46CDD"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seada esikohale sotsiaalsed ja tervishoiuinvesteeringud; </w:t>
      </w:r>
    </w:p>
    <w:p w:rsidRPr="00C46CDD"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edendada </w:t>
      </w:r>
      <w:proofErr w:type="spellStart"/>
      <w:r>
        <w:t>sotsiaal-majanduslike</w:t>
      </w:r>
      <w:proofErr w:type="spellEnd"/>
      <w:r>
        <w:t xml:space="preserve">, tervishoiu- ja keskkonnareformide integreeritud tulemustabelit, pidades silmas majanduskasvust kaugemale ulatuvat strateegiat; </w:t>
      </w:r>
    </w:p>
    <w:p w:rsidRPr="00C46CDD"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koostada sihtotstarbeline investeerimiskava, et suurendada hooldus- ja tervishoiutöötajate suutlikkust ja neid väärtustada; </w:t>
      </w:r>
    </w:p>
    <w:p w:rsidRPr="00C46CDD"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toetada ELi ja WHO Euroopa piirkondliku büroo koostööd, et hoida, ligi meelitada ja juhatada tervishoiutöötajaid, sealhulgas meditsiiniõdesid; </w:t>
      </w:r>
    </w:p>
    <w:p w:rsidRPr="00C46CDD"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parandada töötervishoidu ja tööohutust;</w:t>
      </w:r>
    </w:p>
    <w:p w:rsidRPr="00C46CDD"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koostada ELi harvikhaiguste tegevuskava ja riiklikud harvikhaiguste tegevuskavad; integreerida tervishoiudiplomaatia pehme jõu</w:t>
      </w:r>
      <w:r w:rsidRPr="00C46CDD">
        <w:rPr>
          <w:szCs w:val="20"/>
          <w:lang w:val="en-GB"/>
        </w:rPr>
        <w:footnoteReference w:id="1"/>
      </w:r>
      <w:r>
        <w:t xml:space="preserve"> vahendina ELi välispoliitikasse; </w:t>
      </w:r>
    </w:p>
    <w:p w:rsidRPr="00C46CDD" w:rsidR="00C46CDD" w:rsidP="000F216A"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rPr>
      </w:pPr>
      <w:r>
        <w:t xml:space="preserve">nõuab kodanikuühiskonna </w:t>
      </w:r>
      <w:proofErr w:type="spellStart"/>
      <w:r>
        <w:t>institutsioonilisemat</w:t>
      </w:r>
      <w:proofErr w:type="spellEnd"/>
      <w:r>
        <w:t xml:space="preserve"> kaasamist tervishoiualaste prioriteetide määratlemisse, hindamisse ja järelevalvesse.</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0F216A" w14:paraId="64BA1221" w14:textId="77777777">
        <w:tc>
          <w:tcPr>
            <w:tcW w:w="1985" w:type="dxa"/>
          </w:tcPr>
          <w:p w:rsidRPr="000F216A"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Kontaktisik</w:t>
            </w:r>
          </w:p>
        </w:tc>
        <w:tc>
          <w:tcPr>
            <w:tcW w:w="4507" w:type="dxa"/>
          </w:tcPr>
          <w:p w:rsidRPr="000F216A"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Pr>
                <w:i/>
              </w:rPr>
              <w:t xml:space="preserve">Valeria </w:t>
            </w:r>
            <w:proofErr w:type="spellStart"/>
            <w:r>
              <w:rPr>
                <w:i/>
              </w:rPr>
              <w:t>Atzori</w:t>
            </w:r>
            <w:proofErr w:type="spellEnd"/>
          </w:p>
        </w:tc>
      </w:tr>
      <w:tr w:rsidRPr="00594F3A" w:rsidR="00594F3A" w:rsidTr="000F216A" w14:paraId="2DAB0189" w14:textId="77777777">
        <w:tc>
          <w:tcPr>
            <w:tcW w:w="1985" w:type="dxa"/>
          </w:tcPr>
          <w:p w:rsidRPr="000F216A"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Tel</w:t>
            </w:r>
          </w:p>
        </w:tc>
        <w:tc>
          <w:tcPr>
            <w:tcW w:w="4507" w:type="dxa"/>
          </w:tcPr>
          <w:p w:rsidRPr="000F216A"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594F3A" w:rsidTr="000F216A" w14:paraId="4B7D2331" w14:textId="77777777">
        <w:tc>
          <w:tcPr>
            <w:tcW w:w="1985" w:type="dxa"/>
          </w:tcPr>
          <w:p w:rsidRPr="000F216A"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E-post</w:t>
            </w:r>
          </w:p>
        </w:tc>
        <w:tc>
          <w:tcPr>
            <w:tcW w:w="4507" w:type="dxa"/>
          </w:tcPr>
          <w:p w:rsidRPr="000F216A" w:rsidR="00594F3A" w:rsidP="00C46CDD" w:rsidRDefault="002E1A6E" w14:paraId="643B2166" w14:textId="45AD95E8">
            <w:pPr>
              <w:overflowPunct w:val="0"/>
              <w:autoSpaceDE w:val="0"/>
              <w:autoSpaceDN w:val="0"/>
              <w:adjustRightInd w:val="0"/>
              <w:spacing w:line="240" w:lineRule="auto"/>
              <w:textAlignment w:val="baseline"/>
              <w:rPr>
                <w:i/>
                <w:iCs/>
                <w:sz w:val="22"/>
                <w:szCs w:val="22"/>
              </w:rPr>
            </w:pPr>
            <w:hyperlink w:history="1" r:id="rId34">
              <w:r w:rsidR="00594F3A">
                <w:rPr>
                  <w:i/>
                  <w:color w:val="0000FF"/>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2E1A6E"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276FC9">
          <w:rPr>
            <w:b/>
            <w:i/>
            <w:color w:val="0000FF"/>
            <w:sz w:val="28"/>
            <w:u w:val="single"/>
          </w:rPr>
          <w:t>Kedagi kõrvale jätmata: Euroopa pühendumine võitlusele harvikhaigustega</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Raportöör</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proofErr w:type="spellStart"/>
            <w:r>
              <w:t>Ágnes</w:t>
            </w:r>
            <w:proofErr w:type="spellEnd"/>
            <w:r>
              <w:t xml:space="preserve"> CSER (kodanikuühiskonna organisatsioonide rühm – BE)</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Viitedokumendid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pPr>
            <w:r>
              <w:t>omaalgatuslik arvamus</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The EESC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kutsub komisjoni üles</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esitama tervikliku Euroopa harvikhaiguste tegevuskava ettepaneku koos 2030. aastaks saavutatavate SMART-eesmärkidega, et võimaldada harvikhaigusi põdevatel patsientidel saada diagnoos ühe aasta jooksul;</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 xml:space="preserve">looma Euroopa harvikhaiguste tegevuskava juhtrühma, kuhu kuuluvad liikmesriikide eksperdid, </w:t>
      </w:r>
      <w:proofErr w:type="spellStart"/>
      <w:r>
        <w:t>EURORDISe</w:t>
      </w:r>
      <w:proofErr w:type="spellEnd"/>
      <w:r>
        <w:t xml:space="preserve"> liikmed ja komitee esindajad ning mille eesmärk on tagada koordineerimine ja koostöö ning Euroopa harvikhaiguste tegevuskava kontroll ja järelevalve;</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innustama liikmesriikidega kokkulepete sõlmimist harvikhaiguste valdkonna riiklike kavade sisu, ajakohastamise, kohaldamise ja järelevalve kohta;</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kindlustama tegevuskava rahastamise ja teostatavuse ning tagama mitmeaastases finantsraamistikus 2028–2035 vajalike eelarvevahendite eraldamise tervishoiuvaldkonnale;</w:t>
      </w:r>
    </w:p>
    <w:p w:rsidRPr="00450A40"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soovitab, et Euroopa harvikhaiguste tegevuskavas seataks mitte ainult ühised ja mõõdetavad eesmärgid, mis aitavad määratleda ja rakendada harvikhaigusi käsitlevaid riiklikke kavasid ja strateegiaid, innustavad liikmesriike ja edendavad jätkuvat koostööd ELi tasandil, vaid et see sisaldaks ka sihipäraseid stimuleerimismehhanisme. Need peaksid edendama teadusuuringuid ja innovatsiooni eelkõige täiustatud diagnostika, täppismeditsiini ja geeniteraapia valdkonnas;</w:t>
      </w:r>
    </w:p>
    <w:p w:rsidRPr="00450A40" w:rsidR="00450A40" w:rsidP="000F216A"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rPr>
      </w:pPr>
      <w:r>
        <w:t>kutsub diagnoosivõimekuse suurendamiseks üles pakkuma erikoolitust nii tervishoiutöötajatele kui ka sotsiaaltöötajatele ja teistele sotsiaalhoolekande vallas tegutsejatele, et nad saaksid tõhusamalt hoolitseda harvikhaigusi põdevate inimeste eest.</w:t>
      </w:r>
    </w:p>
    <w:p w:rsidRPr="00450A40"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0F216A" w14:paraId="6BAB6B77" w14:textId="77777777">
        <w:tc>
          <w:tcPr>
            <w:tcW w:w="1985" w:type="dxa"/>
          </w:tcPr>
          <w:p w:rsidRPr="000F216A"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Kontakt</w:t>
            </w:r>
          </w:p>
        </w:tc>
        <w:tc>
          <w:tcPr>
            <w:tcW w:w="4507" w:type="dxa"/>
          </w:tcPr>
          <w:p w:rsidRPr="000F216A"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Pr>
                <w:i/>
              </w:rPr>
              <w:t xml:space="preserve">Valeria </w:t>
            </w:r>
            <w:proofErr w:type="spellStart"/>
            <w:r>
              <w:rPr>
                <w:i/>
              </w:rPr>
              <w:t>Atzori</w:t>
            </w:r>
            <w:proofErr w:type="spellEnd"/>
          </w:p>
        </w:tc>
      </w:tr>
      <w:tr w:rsidRPr="00594F3A" w:rsidR="00347517" w:rsidTr="000F216A" w14:paraId="6C1B34F5" w14:textId="77777777">
        <w:tc>
          <w:tcPr>
            <w:tcW w:w="1985" w:type="dxa"/>
          </w:tcPr>
          <w:p w:rsidRPr="000F216A"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Tel</w:t>
            </w:r>
          </w:p>
        </w:tc>
        <w:tc>
          <w:tcPr>
            <w:tcW w:w="4507" w:type="dxa"/>
          </w:tcPr>
          <w:p w:rsidRPr="000F216A"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+32 25468774</w:t>
            </w:r>
          </w:p>
        </w:tc>
      </w:tr>
      <w:tr w:rsidRPr="00594F3A" w:rsidR="00347517" w:rsidTr="000F216A" w14:paraId="3114971F" w14:textId="77777777">
        <w:tc>
          <w:tcPr>
            <w:tcW w:w="1985" w:type="dxa"/>
          </w:tcPr>
          <w:p w:rsidRPr="000F216A"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E-post</w:t>
            </w:r>
          </w:p>
        </w:tc>
        <w:tc>
          <w:tcPr>
            <w:tcW w:w="4507" w:type="dxa"/>
          </w:tcPr>
          <w:p w:rsidRPr="000F216A" w:rsidR="00347517" w:rsidP="00450A40" w:rsidRDefault="002E1A6E" w14:paraId="04A7B698" w14:textId="1572EA8C">
            <w:pPr>
              <w:overflowPunct w:val="0"/>
              <w:autoSpaceDE w:val="0"/>
              <w:autoSpaceDN w:val="0"/>
              <w:adjustRightInd w:val="0"/>
              <w:spacing w:line="240" w:lineRule="auto"/>
              <w:textAlignment w:val="baseline"/>
              <w:rPr>
                <w:i/>
                <w:iCs/>
                <w:sz w:val="22"/>
                <w:szCs w:val="22"/>
              </w:rPr>
            </w:pPr>
            <w:hyperlink w:history="1" r:id="rId36">
              <w:r w:rsidR="00347517">
                <w:rPr>
                  <w:i/>
                  <w:color w:val="0000FF"/>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2E1A6E"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7E03C9">
          <w:rPr>
            <w:rStyle w:val="Hyperlink"/>
            <w:b/>
            <w:i/>
            <w:sz w:val="28"/>
          </w:rPr>
          <w:t>Uute tehnoloogiate võimaluste edendamine ja riskide juhtimine avalike teenuste, töökorralduse ning võrdsema ja kaasavama ühiskonna jaoks</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Raportöör</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proofErr w:type="spellStart"/>
            <w:r>
              <w:t>Giulia</w:t>
            </w:r>
            <w:proofErr w:type="spellEnd"/>
            <w:r>
              <w:t xml:space="preserve"> BARBUCCI (töötajate rühm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rPr>
              <w:t>Kaasraportöör</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r>
              <w:t>Giovanni MARCANTONIO (kodanikuühiskonna organisatsioonide rühm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Viitedokumendid</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ettevalmistav arvamus Euroopa Komisjoni taotlusel</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Arvamuses selgitatakse kõigepealt, et „avalike teenuste“ all mõistetakse tegevust või teenuseid, mida liikmesriikide ametiasutused riiklikul, piirkondlikul või kohalikul tasandil liigitavad üldist huvi pakkuvaks.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Seejärel märgitakse arvamuses, et:</w:t>
      </w:r>
    </w:p>
    <w:p w:rsidRPr="00C050AC"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digitehnoloogia ja tehisintellekti kasutuselevõtt võib muuta põhjalikult avalike teenuste osutamise viisi, pakkudes uuenduslikke lahendusi inimeste vajaduste tõhusamaks ja kiiremaks rahuldamiseks;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tehisintellekt võib aidata muuta need teenused kättesaadavamaks, eelkõige kõige kaitsetumatele inimestele ühiskonnas; </w:t>
      </w:r>
    </w:p>
    <w:p w:rsidRPr="00C050AC"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võimalus automatiseerida keerukaid ja korduvaid protsesse võib suurendada tõhusust, vähendades samas töötajate töökoormust; </w:t>
      </w:r>
    </w:p>
    <w:p w:rsidRPr="00C050AC"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siiski tuleb olla ettevaatlik prognoosivate ja generatiivsete tehisintellekti algoritmide kasutamisel – näiteks kallutatuse vältimiseks –, et kasutatavad süsteemid oleksid õiglased ja läbipaistvad ning tagaksid kõigi asjaosaliste õigused; </w:t>
      </w:r>
    </w:p>
    <w:p w:rsidRPr="00C050AC"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komitee soovitab muuta otsustusprotsessid algoritmide väljatöötamisel ja nende tehnoloogiate rakendamisel läbipaistvaks, muu hulgas selleks, et tagada </w:t>
      </w:r>
      <w:proofErr w:type="spellStart"/>
      <w:r>
        <w:t>inimjuhitavuse</w:t>
      </w:r>
      <w:proofErr w:type="spellEnd"/>
      <w:r>
        <w:t xml:space="preserve"> põhimõtte järgimine. Tuleks meeles pidada, et neid teenuseid osutavad inimesed, kes teevad seda omas tempos, omal ajal ja neile kehtestatud nõuete kohaselt; </w:t>
      </w:r>
    </w:p>
    <w:p w:rsidRPr="00C050AC"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avaliku sektori asutused peavad investeerima </w:t>
      </w:r>
      <w:proofErr w:type="spellStart"/>
      <w:r>
        <w:t>küberturvalisuse</w:t>
      </w:r>
      <w:proofErr w:type="spellEnd"/>
      <w:r>
        <w:t xml:space="preserve"> vahenditesse, et ennetada ründeid ja muid andmekuritegusid; </w:t>
      </w:r>
    </w:p>
    <w:p w:rsidRPr="00C050AC"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avaliku sektori tööandjad peavad teavitama oma töötajaid tehisintellekti seiresüsteemide kasutuselevõtust. Teave on väga oluline usalduse loomiseks; </w:t>
      </w:r>
    </w:p>
    <w:p w:rsidRPr="00C050AC"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tehisintellekti integreerimisega avalikesse teenustesse peaks kaasnema ka põhjalik koolitus- ja oskuste täiendamise kava; </w:t>
      </w:r>
    </w:p>
    <w:p w:rsidRPr="00C050AC"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tehisintellektile ülemineku edendamisel täidavad olulist rolli sotsiaaldialoog ja kollektiivläbirääkimised. Samuti on vaja dialoogi asjaomaste kodanikuühiskonna sidusrühmadega, tagamaks, et tehisintellekti kasutuselevõtt avalikes teenustes on kaasav ja kestlik.</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C050AC" w:rsidTr="00F324F7" w14:paraId="1AAA4577" w14:textId="77777777">
        <w:tc>
          <w:tcPr>
            <w:tcW w:w="1556" w:type="pct"/>
          </w:tcPr>
          <w:p w:rsidRPr="000F216A"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Pr>
                <w:i/>
              </w:rPr>
              <w:t xml:space="preserve">Ana </w:t>
            </w:r>
            <w:proofErr w:type="spellStart"/>
            <w:r>
              <w:rPr>
                <w:i/>
              </w:rPr>
              <w:t>Dumitrache</w:t>
            </w:r>
            <w:proofErr w:type="spellEnd"/>
          </w:p>
        </w:tc>
      </w:tr>
      <w:tr w:rsidRPr="00594F3A" w:rsidR="00C050AC" w:rsidTr="00F324F7" w14:paraId="05B9CEF1" w14:textId="77777777">
        <w:tc>
          <w:tcPr>
            <w:tcW w:w="1556" w:type="pct"/>
          </w:tcPr>
          <w:p w:rsidRPr="000F216A"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+32 25468131</w:t>
            </w:r>
          </w:p>
        </w:tc>
      </w:tr>
      <w:tr w:rsidRPr="00594F3A" w:rsidR="00C050AC" w:rsidTr="00F324F7" w14:paraId="7BBF2102" w14:textId="77777777">
        <w:tc>
          <w:tcPr>
            <w:tcW w:w="1556" w:type="pct"/>
          </w:tcPr>
          <w:p w:rsidRPr="000F216A"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C050AC" w:rsidP="00C050AC" w:rsidRDefault="002E1A6E" w14:paraId="195562E1" w14:textId="3B537756">
            <w:pPr>
              <w:overflowPunct w:val="0"/>
              <w:autoSpaceDE w:val="0"/>
              <w:autoSpaceDN w:val="0"/>
              <w:adjustRightInd w:val="0"/>
              <w:spacing w:line="240" w:lineRule="auto"/>
              <w:textAlignment w:val="baseline"/>
              <w:rPr>
                <w:i/>
                <w:sz w:val="22"/>
                <w:szCs w:val="22"/>
              </w:rPr>
            </w:pPr>
            <w:hyperlink w:history="1" r:id="rId38">
              <w:r w:rsidR="007E03C9">
                <w:rPr>
                  <w:i/>
                  <w:color w:val="0000FF"/>
                  <w:u w:val="single"/>
                </w:rPr>
                <w:t>Ana.Dumitrache@eesc.europa.eu</w:t>
              </w:r>
            </w:hyperlink>
            <w:r w:rsidR="007E03C9">
              <w:rPr>
                <w:i/>
                <w:sz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2E1A6E"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proofErr w:type="spellStart"/>
        <w:r w:rsidR="00276FC9">
          <w:rPr>
            <w:b/>
            <w:i/>
            <w:color w:val="0000FF"/>
            <w:sz w:val="28"/>
            <w:u w:val="single"/>
          </w:rPr>
          <w:t>Tasakaalustamatus</w:t>
        </w:r>
        <w:proofErr w:type="spellEnd"/>
        <w:r w:rsidR="00276FC9">
          <w:rPr>
            <w:b/>
            <w:i/>
            <w:color w:val="0000FF"/>
            <w:sz w:val="28"/>
            <w:u w:val="single"/>
          </w:rPr>
          <w:t xml:space="preserve"> sotsiaalkaitses üldiselt ja konkreetselt uute töövormide ja ebatüüpilises töösuhtes olevate töötajate puhul</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proofErr w:type="spellStart"/>
            <w:r>
              <w:t>María</w:t>
            </w:r>
            <w:proofErr w:type="spellEnd"/>
            <w:r>
              <w:t xml:space="preserve"> </w:t>
            </w:r>
            <w:proofErr w:type="spellStart"/>
            <w:r>
              <w:t>del</w:t>
            </w:r>
            <w:proofErr w:type="spellEnd"/>
            <w:r>
              <w:t xml:space="preserve"> Carmen BARRERA CHAMORRO (töötajate rühm – 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pPr>
            <w:r>
              <w:t>omaalgatuslik arvamus</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Põhipunktid</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r>
        <w:t>Euroopa Majandus- ja Sotsiaalkomitee:</w:t>
      </w:r>
    </w:p>
    <w:p w:rsidRPr="00B80A16"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märgib, et ELi ja liikmesriikide eesmärk on edendada kõrget tööhõive taset, parandada elu- ja töötingimusi ning saavutada nõuetekohane sotsiaalkaitse, muu hulgas võrreldavatel tingimustel ka iseenda tööandjatele;</w:t>
      </w:r>
    </w:p>
    <w:p w:rsidRPr="00B80A16"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julgustab ELi ja liikmesriike oma pädevuse piires ja kooskõlas riiklike tavadega kohandama sotsiaalkaitsesüsteeme nii, et need hõlmaksid ka ebatüüpilisi tööhõivevorme, et kindlustada kõigile töötajatele inimväärse töö ja elu jaoks piisavad hüvitised;</w:t>
      </w:r>
    </w:p>
    <w:p w:rsidRPr="00B80A16"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kutsub liikmesriike üles nihutama sotsiaalkaitsesüsteemide fookust üksnes töötajatelt kõigile eurooplastele, pakkudes miinimumsissetulekut neile, kes ei ole võimelised töötama, ja innustades tööle naasma neid, kes suudavad töötada;</w:t>
      </w:r>
    </w:p>
    <w:p w:rsidRPr="00B80A16"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kutsub liikmesriike üles vaatama läbi sotsiaalkaitsesüsteemide rahastamisallikad, et tagada nende rahaline jätkusuutlikkus ilma töökohtade loomist takistamata. EL saab liikmesriike selles tegevuses toetada, hõlbustades kogemuste vahetamist riiklike sotsiaalkaitsesüsteemide läbivaatamise/reformi valdkonnas;</w:t>
      </w:r>
    </w:p>
    <w:p w:rsidRPr="00B80A16"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tunnistab, et kuigi sotsiaalkaitsesüsteemide kohandamine on peamiselt liikmesriikide ülesanne, peab EL toetama liikmesriike ebatüüpilise töö sotsiaalkaitses esinevate puudujääkide kõrvaldamisel, seadmata ohtu paindlikkust, mida sellised töösuhted pakuvad nii tööandjatele kui ka töötajatele;</w:t>
      </w:r>
    </w:p>
    <w:p w:rsidRPr="00B80A16"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kutsub komisjoni üles vaatama läbi direktiivi 79/7/EÜ ja esitama vajaduse korral ettepanekuid reformideks, et tõhusalt kõrvaldada sotsiaalkaitses esinevaid lünki, muu hulgas riiklikul tasandil peetava sotsiaaldialoogi kaudu;</w:t>
      </w:r>
    </w:p>
    <w:p w:rsidRPr="00B80A16"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pooldab kogemuste vahetamist liikmesriikide vahel, et tutvustada parimaid tavasid, ning kutsub komisjoni üles edendama vastastikust õppimist, kaasates riiklikke sotsiaalpartnereid ning Euroopa Majandus- ja Sotsiaalkomiteed.</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B80A16" w:rsidTr="00F324F7" w14:paraId="4DB4B439" w14:textId="77777777">
        <w:tc>
          <w:tcPr>
            <w:tcW w:w="1418" w:type="dxa"/>
          </w:tcPr>
          <w:p w:rsidRPr="000F216A"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B80A16" w:rsidP="00B80A16" w:rsidRDefault="00B80A16" w14:paraId="6F41E32A" w14:textId="77777777">
            <w:pPr>
              <w:overflowPunct w:val="0"/>
              <w:autoSpaceDE w:val="0"/>
              <w:autoSpaceDN w:val="0"/>
              <w:adjustRightInd w:val="0"/>
              <w:spacing w:line="240" w:lineRule="auto"/>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B80A16" w:rsidTr="00F324F7" w14:paraId="5D861B45" w14:textId="77777777">
        <w:tc>
          <w:tcPr>
            <w:tcW w:w="1418" w:type="dxa"/>
          </w:tcPr>
          <w:p w:rsidRPr="000F216A"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B80A16" w:rsidTr="00F324F7" w14:paraId="1EC78B68" w14:textId="77777777">
        <w:tc>
          <w:tcPr>
            <w:tcW w:w="1418" w:type="dxa"/>
          </w:tcPr>
          <w:p w:rsidRPr="000F216A"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B80A16" w:rsidP="00B80A16" w:rsidRDefault="002E1A6E" w14:paraId="7971D364" w14:textId="4031A271">
            <w:pPr>
              <w:overflowPunct w:val="0"/>
              <w:autoSpaceDE w:val="0"/>
              <w:autoSpaceDN w:val="0"/>
              <w:adjustRightInd w:val="0"/>
              <w:spacing w:line="240" w:lineRule="auto"/>
              <w:textAlignment w:val="baseline"/>
              <w:rPr>
                <w:i/>
                <w:iCs/>
                <w:sz w:val="22"/>
                <w:szCs w:val="22"/>
              </w:rPr>
            </w:pPr>
            <w:hyperlink w:history="1" r:id="rId40">
              <w:r w:rsidR="007E03C9">
                <w:rPr>
                  <w:i/>
                  <w:color w:val="0000FF"/>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3183806" w:id="4"/>
      <w:r>
        <w:lastRenderedPageBreak/>
        <w:t>TRANSPORDI, ENERGEETIKA, INFRASTRUKTUURI JA INFOÜHISKONNA SEKTSIOON</w:t>
      </w:r>
      <w:bookmarkEnd w:id="2"/>
      <w:bookmarkEnd w:id="3"/>
      <w:bookmarkEnd w:id="4"/>
    </w:p>
    <w:p w:rsidR="004D7AC0" w:rsidP="004D7AC0" w:rsidRDefault="004D7AC0" w14:paraId="4982DDC7" w14:textId="77777777"/>
    <w:p w:rsidRPr="002C78FD" w:rsidR="006C457C" w:rsidP="006C457C" w:rsidRDefault="002E1A6E"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276FC9">
          <w:rPr>
            <w:rStyle w:val="Hyperlink"/>
            <w:b/>
            <w:i/>
            <w:sz w:val="28"/>
          </w:rPr>
          <w:t>Maapõueenergia potentsiaal rohepöördes</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A6689B" w:rsidR="006C457C" w:rsidTr="00F324F7"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Raportöör </w:t>
            </w:r>
          </w:p>
        </w:tc>
        <w:tc>
          <w:tcPr>
            <w:tcW w:w="5387" w:type="dxa"/>
          </w:tcPr>
          <w:p w:rsidRPr="00D42A3F" w:rsidR="006C457C" w:rsidP="00F324F7" w:rsidRDefault="006C457C" w14:paraId="0259BE1C" w14:textId="53BF9BAA">
            <w:pPr>
              <w:tabs>
                <w:tab w:val="center" w:pos="284"/>
              </w:tabs>
              <w:ind w:left="266" w:hanging="266"/>
              <w:rPr>
                <w:sz w:val="20"/>
                <w:szCs w:val="20"/>
              </w:rPr>
            </w:pPr>
            <w:proofErr w:type="spellStart"/>
            <w:r>
              <w:rPr>
                <w:sz w:val="20"/>
              </w:rPr>
              <w:t>Zsolt</w:t>
            </w:r>
            <w:proofErr w:type="spellEnd"/>
            <w:r>
              <w:rPr>
                <w:sz w:val="20"/>
              </w:rPr>
              <w:t xml:space="preserve"> KÜKEDI (kodanikuühiskonna organisatsioonide rühm – HU)</w:t>
            </w:r>
          </w:p>
        </w:tc>
      </w:tr>
      <w:tr w:rsidRPr="00A6689B" w:rsidR="006C457C" w:rsidTr="00F324F7" w14:paraId="3DFA0B1E" w14:textId="77777777">
        <w:tc>
          <w:tcPr>
            <w:tcW w:w="1701" w:type="dxa"/>
          </w:tcPr>
          <w:p w:rsidRPr="00D42A3F" w:rsidR="006C457C" w:rsidP="00F324F7" w:rsidRDefault="006C457C" w14:paraId="4EBB08B4" w14:textId="77777777">
            <w:pPr>
              <w:tabs>
                <w:tab w:val="center" w:pos="284"/>
              </w:tabs>
              <w:ind w:left="266" w:hanging="266"/>
              <w:rPr>
                <w:b/>
                <w:sz w:val="20"/>
                <w:szCs w:val="20"/>
              </w:rPr>
            </w:pPr>
            <w:r>
              <w:rPr>
                <w:b/>
                <w:sz w:val="20"/>
              </w:rPr>
              <w:t>Kaasraportöör</w:t>
            </w:r>
          </w:p>
        </w:tc>
        <w:tc>
          <w:tcPr>
            <w:tcW w:w="5387" w:type="dxa"/>
          </w:tcPr>
          <w:p w:rsidRPr="00D42A3F" w:rsidR="006C457C" w:rsidP="00F324F7" w:rsidRDefault="006C457C" w14:paraId="7849B036" w14:textId="77777777">
            <w:pPr>
              <w:tabs>
                <w:tab w:val="center" w:pos="284"/>
              </w:tabs>
              <w:ind w:left="266" w:hanging="266"/>
              <w:rPr>
                <w:sz w:val="20"/>
                <w:szCs w:val="20"/>
              </w:rPr>
            </w:pPr>
            <w:r>
              <w:rPr>
                <w:sz w:val="20"/>
              </w:rPr>
              <w:t>Thomas KATTNIG (töötajate rühm – AT)</w:t>
            </w:r>
          </w:p>
        </w:tc>
      </w:tr>
      <w:tr w:rsidRPr="00A6689B" w:rsidR="006C457C" w:rsidTr="00F324F7" w14:paraId="7AB5CDD0" w14:textId="77777777">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sz w:val="20"/>
              </w:rPr>
              <w:t>Viitedokumendid</w:t>
            </w:r>
          </w:p>
        </w:tc>
        <w:tc>
          <w:tcPr>
            <w:tcW w:w="5387" w:type="dxa"/>
          </w:tcPr>
          <w:p w:rsidRPr="00D42A3F" w:rsidR="006C457C" w:rsidP="00F324F7" w:rsidRDefault="006C457C" w14:paraId="0CCB83A9" w14:textId="77777777">
            <w:pPr>
              <w:tabs>
                <w:tab w:val="center" w:pos="284"/>
              </w:tabs>
              <w:ind w:left="266" w:hanging="266"/>
              <w:rPr>
                <w:sz w:val="20"/>
                <w:szCs w:val="20"/>
              </w:rPr>
            </w:pPr>
            <w:r>
              <w:rPr>
                <w:sz w:val="20"/>
              </w:rPr>
              <w:t>omaalgatuslik arvamus</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Põhipunktid</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Euroopa Majandus- ja Sotsiaalkomitee:</w:t>
      </w:r>
    </w:p>
    <w:p w:rsidRPr="00A6689B" w:rsidR="006C457C" w:rsidP="006C457C" w:rsidRDefault="006C457C" w14:paraId="7A926285" w14:textId="77777777">
      <w:pPr>
        <w:rPr>
          <w:bCs/>
          <w:iCs/>
        </w:rPr>
      </w:pPr>
    </w:p>
    <w:p w:rsidRPr="00250CD0"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 xml:space="preserve">rõhutab, et maapõueenergiatootmine põhjustab äärmiselt vähe kasvuhoonegaaside heidet. Seega võib see vähendada Euroopa sõltuvust fossiilkütustest ja hõlbustada Euroopa </w:t>
      </w:r>
      <w:proofErr w:type="spellStart"/>
      <w:r>
        <w:t>dekarboniseerimist</w:t>
      </w:r>
      <w:proofErr w:type="spellEnd"/>
      <w:r>
        <w:t>, andes märkimisväärse panuse ELi 2050. aasta kliimaneutraalsuse eesmärkide saavutamisse;</w:t>
      </w:r>
    </w:p>
    <w:p w:rsidRPr="00A6689B" w:rsidR="006C457C" w:rsidP="000F216A" w:rsidRDefault="006C457C" w14:paraId="44B47F15" w14:textId="77777777">
      <w:pPr>
        <w:widowControl w:val="0"/>
        <w:numPr>
          <w:ilvl w:val="0"/>
          <w:numId w:val="43"/>
        </w:numPr>
        <w:overflowPunct w:val="0"/>
        <w:autoSpaceDE w:val="0"/>
        <w:autoSpaceDN w:val="0"/>
        <w:adjustRightInd w:val="0"/>
        <w:ind w:left="284" w:hanging="284"/>
        <w:textAlignment w:val="baseline"/>
      </w:pPr>
      <w:r>
        <w:t>juhib tähelepanu sellele, et maapõueenergia võimalused on Euroopas suuresti kasutamata. Seetõttu kutsub komitee Euroopa Komisjoni üles koostama üldist Euroopa maapõueenergia arendamise strateegiat, et kasutada ära maapõueenergia võimalused;</w:t>
      </w:r>
    </w:p>
    <w:p w:rsidRPr="00EE75BE"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 xml:space="preserve">usub, et investeeringud </w:t>
      </w:r>
      <w:proofErr w:type="spellStart"/>
      <w:r>
        <w:t>geotermaalelektrijaamadesse</w:t>
      </w:r>
      <w:proofErr w:type="spellEnd"/>
      <w:r>
        <w:t xml:space="preserve"> ei teostu ilma liikmesriikide sekkumiseta: alginvesteeringute ligimeelitamiseks ja nendega seotud riskide vähendamiseks on vaja valitsusepoolset rahastamist ja stiimuleid. Muutused energiapoliitikas või rahastamises võivad mõjutada maapõueenergia projektide majanduslikku atraktiivsust.</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Kontaktisik</w:t>
            </w:r>
          </w:p>
        </w:tc>
        <w:tc>
          <w:tcPr>
            <w:tcW w:w="5670" w:type="dxa"/>
          </w:tcPr>
          <w:p w:rsidRPr="00A6689B" w:rsidR="006C457C" w:rsidP="00F324F7" w:rsidRDefault="006C457C" w14:paraId="0EDA5629" w14:textId="77777777">
            <w:pPr>
              <w:spacing w:line="240" w:lineRule="auto"/>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Tel</w:t>
            </w:r>
          </w:p>
        </w:tc>
        <w:tc>
          <w:tcPr>
            <w:tcW w:w="5670" w:type="dxa"/>
          </w:tcPr>
          <w:p w:rsidRPr="00A6689B" w:rsidR="006C457C" w:rsidP="00F324F7" w:rsidRDefault="006C457C" w14:paraId="225FBCFB" w14:textId="77777777">
            <w:pPr>
              <w:spacing w:line="240" w:lineRule="auto"/>
              <w:rPr>
                <w:i/>
              </w:rPr>
            </w:pPr>
            <w:r>
              <w:rPr>
                <w:i/>
              </w:rPr>
              <w:t>+32 25469363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E-post</w:t>
            </w:r>
          </w:p>
        </w:tc>
        <w:tc>
          <w:tcPr>
            <w:tcW w:w="5670" w:type="dxa"/>
          </w:tcPr>
          <w:p w:rsidRPr="00A6689B" w:rsidR="006C457C" w:rsidP="00F324F7" w:rsidRDefault="002E1A6E" w14:paraId="7A486C1A" w14:textId="499C1E00">
            <w:pPr>
              <w:spacing w:line="240" w:lineRule="auto"/>
              <w:rPr>
                <w:i/>
              </w:rPr>
            </w:pPr>
            <w:hyperlink w:history="1" r:id="rId42">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2E1A6E"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276FC9">
          <w:rPr>
            <w:b/>
            <w:i/>
            <w:color w:val="0000FF"/>
            <w:sz w:val="28"/>
            <w:u w:val="single"/>
          </w:rPr>
          <w:t>Radioaktiivsete jäätmete käitlemine: kodanikuühiskonna seisukohad</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Raportöör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r>
              <w:t>Alena MASTANTUONO (tööandjate rühm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rPr>
              <w:t>Kaasraportöör</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proofErr w:type="spellStart"/>
            <w:r>
              <w:t>Christophe</w:t>
            </w:r>
            <w:proofErr w:type="spellEnd"/>
            <w:r>
              <w:t xml:space="preserve"> QUAREZ (töötajate rühm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t>omaalgatuslik arvamus</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Euroopa Majandus- ja Sotsiaalkomitee:</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rõhutab, et liikmesriigid peaksid hõlbustama kodanikuühiskonna kaasavat osalust ning avatust ja läbipaistvust kodanikuühiskonna suhtes. See puudutab kõigis radioaktiivsete jäätmete käitlemise valdkondades nii kogukondi, kus tuumarajatised praegu asuvad, kui ka neid, kus ollakse neist potentsiaalselt huvitatud. Olemasolevaid rahalisi vahendeid tuleks kasutada selleks, et </w:t>
      </w:r>
      <w:proofErr w:type="spellStart"/>
      <w:r>
        <w:t>võimestada</w:t>
      </w:r>
      <w:proofErr w:type="spellEnd"/>
      <w:r>
        <w:t xml:space="preserve"> kodanikuühiskonna rühmi, eelkõige tuumarajatiste läheduses asuvaid kohalikke kogukondi iseseisvalt osalema projektides ja uuringutes, et hinnata radioaktiivsete jäätmete käitlemises osalemise ja läbipaistvuse tavasid;</w:t>
      </w:r>
    </w:p>
    <w:p w:rsidRPr="00392AA4"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kutsub liikmesriike üles täitma kõiki oma kohustusi, et mitte jätta tulevastele põlvkondadele tuumajäätmete töötlemise koormust olenemata nende laadist, elueast ja ohutasemest. Mõned ELi liikmesriigid, eelkõige riigid, kus on väike või keskmise suurusega jäätmehulk, võiksid huvituda sellest, et töötada välja ühised lahendused, mille hulgas oleksid ka rahvusvahelised radioaktiivsete jäätmete hoidlad;</w:t>
      </w:r>
    </w:p>
    <w:p w:rsidRPr="00392AA4"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julgustab ELi liikmesriike püüdma ringmajanduse strateegiatega minimeerida lõppladustatavaid jäätmekoguseid, et vähendada igal võimalikul juhul radioaktiivsete jäätmete teket miinimumini;</w:t>
      </w:r>
    </w:p>
    <w:p w:rsidRPr="00392AA4" w:rsidR="00392AA4" w:rsidP="000F216A"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 märgib, et direktiivi kohaldamine liikmesriikides on ebaühtlane, mille tulemuseks on võrreldavate andmete puudumine. Komitee kutsub liikmesriike üles parandama peamiste tulemusnäitajate tarvitamist kasutatud tuumkütuse ja radioaktiivsete jäätmete käitlemise direktiivi rakendamisel tehtud edusammude jälgimisel ja neist aru andmisel;</w:t>
      </w:r>
    </w:p>
    <w:p w:rsidRPr="00392AA4"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soovitab toetada spetsialistide ja teadlaste haridust ja koolitust radioaktiivsete jäätmete käitlemise valdkonnas ning teeb ettepaneku kasutada sotsiaal-tehnilisi lähenemisviise radioaktiivsetele jäätmetele.</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392AA4" w:rsidTr="00F324F7" w14:paraId="46E4703C" w14:textId="77777777">
        <w:tc>
          <w:tcPr>
            <w:tcW w:w="1418" w:type="dxa"/>
          </w:tcPr>
          <w:p w:rsidRPr="000F216A"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Pr>
                <w:i/>
              </w:rPr>
              <w:t xml:space="preserve">Albert </w:t>
            </w:r>
            <w:proofErr w:type="spellStart"/>
            <w:r>
              <w:rPr>
                <w:i/>
              </w:rPr>
              <w:t>Precup</w:t>
            </w:r>
            <w:proofErr w:type="spellEnd"/>
          </w:p>
        </w:tc>
      </w:tr>
      <w:tr w:rsidRPr="00347517" w:rsidR="00392AA4" w:rsidTr="00F324F7" w14:paraId="50D270CC" w14:textId="77777777">
        <w:tc>
          <w:tcPr>
            <w:tcW w:w="1418" w:type="dxa"/>
          </w:tcPr>
          <w:p w:rsidRPr="000F216A"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+32 25469326</w:t>
            </w:r>
          </w:p>
        </w:tc>
      </w:tr>
      <w:tr w:rsidRPr="00347517" w:rsidR="00392AA4" w:rsidTr="00F324F7" w14:paraId="606098E2" w14:textId="77777777">
        <w:tc>
          <w:tcPr>
            <w:tcW w:w="1418" w:type="dxa"/>
          </w:tcPr>
          <w:p w:rsidRPr="000F216A"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392AA4" w:rsidP="00392AA4" w:rsidRDefault="002E1A6E" w14:paraId="4D05537C" w14:textId="48095E4B">
            <w:pPr>
              <w:overflowPunct w:val="0"/>
              <w:autoSpaceDE w:val="0"/>
              <w:autoSpaceDN w:val="0"/>
              <w:adjustRightInd w:val="0"/>
              <w:spacing w:line="240" w:lineRule="auto"/>
              <w:textAlignment w:val="baseline"/>
              <w:rPr>
                <w:i/>
                <w:sz w:val="22"/>
                <w:szCs w:val="22"/>
              </w:rPr>
            </w:pPr>
            <w:hyperlink w:history="1" r:id="rId44">
              <w:r w:rsidR="007E03C9">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3183807" w:id="6"/>
      <w:r>
        <w:lastRenderedPageBreak/>
        <w:t>ÜHTSE TURU, TOOTMISE JA TARBIMISE SEKTSIOON</w:t>
      </w:r>
      <w:bookmarkEnd w:id="5"/>
      <w:bookmarkEnd w:id="6"/>
    </w:p>
    <w:p w:rsidR="004D7AC0" w:rsidP="004D7AC0" w:rsidRDefault="004D7AC0" w14:paraId="4982DDF4" w14:textId="77777777"/>
    <w:p w:rsidRPr="005E4210" w:rsidR="007A5F00" w:rsidP="007A5F00" w:rsidRDefault="002E1A6E"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5">
        <w:r w:rsidR="00276FC9">
          <w:rPr>
            <w:rStyle w:val="Hyperlink"/>
            <w:b/>
            <w:i/>
            <w:sz w:val="28"/>
          </w:rPr>
          <w:t>2023. aasta konkurentsipoliitika aruanne</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Raportöör</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Pr>
                <w:sz w:val="20"/>
              </w:rPr>
              <w:t xml:space="preserve">Giuseppe GUERINI (kodanikuühiskonna organisatsioonide rühm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sz w:val="20"/>
              </w:rPr>
              <w:t>Viitedokumendid</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 xml:space="preserve">COM(2024) 115 </w:t>
            </w:r>
            <w:proofErr w:type="spellStart"/>
            <w:r>
              <w:rPr>
                <w:sz w:val="20"/>
              </w:rPr>
              <w:t>final</w:t>
            </w:r>
            <w:proofErr w:type="spellEnd"/>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Põhipunktid</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Euroopa Majandus- ja Sotsiaalkomitee:</w:t>
      </w:r>
    </w:p>
    <w:p w:rsidRPr="00A6689B" w:rsidR="007A5F00" w:rsidP="007A5F00" w:rsidRDefault="007A5F00" w14:paraId="33A3F0FA" w14:textId="77777777">
      <w:pPr>
        <w:rPr>
          <w:bCs/>
          <w:iCs/>
        </w:rPr>
      </w:pPr>
    </w:p>
    <w:p w:rsidRPr="002766BA"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leiab, et praeguseid </w:t>
      </w:r>
      <w:r>
        <w:rPr>
          <w:b/>
        </w:rPr>
        <w:t>ajutisi kriisi- ja üleminekuraamistikke</w:t>
      </w:r>
      <w:r>
        <w:t xml:space="preserve"> tuleks põhjalikult hinnata. Nimelt tuleks otsustada, kas oleks asjakohane </w:t>
      </w:r>
      <w:r>
        <w:rPr>
          <w:b/>
        </w:rPr>
        <w:t>nende kohaldamine 2025. aastal lõpetada</w:t>
      </w:r>
      <w:r>
        <w:t xml:space="preserve">, nagu seni kavandatud, </w:t>
      </w:r>
      <w:r>
        <w:rPr>
          <w:b/>
        </w:rPr>
        <w:t>või</w:t>
      </w:r>
      <w:r>
        <w:t xml:space="preserve"> oleks kasulik </w:t>
      </w:r>
      <w:r>
        <w:rPr>
          <w:b/>
        </w:rPr>
        <w:t>lisada mõned rohepöörde jaoks soodsaks osutunud elemendid, eelkõige menetluslikud parandused, tavapärastesse riigiabi eeskirjadesse</w:t>
      </w:r>
      <w:r>
        <w:t>;</w:t>
      </w:r>
    </w:p>
    <w:p w:rsidRPr="00A668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kutsub üles arutama </w:t>
      </w:r>
      <w:r>
        <w:rPr>
          <w:b/>
        </w:rPr>
        <w:t xml:space="preserve">Enrico </w:t>
      </w:r>
      <w:proofErr w:type="spellStart"/>
      <w:r>
        <w:rPr>
          <w:b/>
        </w:rPr>
        <w:t>Letta</w:t>
      </w:r>
      <w:proofErr w:type="spellEnd"/>
      <w:r>
        <w:rPr>
          <w:b/>
        </w:rPr>
        <w:t xml:space="preserve"> aruande „</w:t>
      </w:r>
      <w:proofErr w:type="spellStart"/>
      <w:r>
        <w:rPr>
          <w:b/>
        </w:rPr>
        <w:t>Much</w:t>
      </w:r>
      <w:proofErr w:type="spellEnd"/>
      <w:r>
        <w:rPr>
          <w:b/>
        </w:rPr>
        <w:t xml:space="preserve"> </w:t>
      </w:r>
      <w:proofErr w:type="spellStart"/>
      <w:r>
        <w:rPr>
          <w:b/>
        </w:rPr>
        <w:t>more</w:t>
      </w:r>
      <w:proofErr w:type="spellEnd"/>
      <w:r>
        <w:rPr>
          <w:b/>
        </w:rPr>
        <w:t xml:space="preserve"> </w:t>
      </w:r>
      <w:proofErr w:type="spellStart"/>
      <w:r>
        <w:rPr>
          <w:b/>
        </w:rPr>
        <w:t>than</w:t>
      </w:r>
      <w:proofErr w:type="spellEnd"/>
      <w:r>
        <w:rPr>
          <w:b/>
        </w:rPr>
        <w:t xml:space="preserve"> a market“</w:t>
      </w:r>
      <w:r>
        <w:t xml:space="preserve"> olulist osa: esiteks vajadus mobiliseerida kiiresti riiklik sihipärane avaliku sektori toetus tööstusele, niivõrd kui see on vajalik turutõrgete kõrvaldamiseks, ja teiseks vajadus vältida ühtse turu killustumist. Üks viis selle dilemma ületamiseks võiks olla tasakaalustada</w:t>
      </w:r>
      <w:r>
        <w:rPr>
          <w:b/>
        </w:rPr>
        <w:t xml:space="preserve"> riigiabi rangem rakendamine riiklikul tasandil ja ELi tasandi rahalise toetuse järkjärguline laiendamine</w:t>
      </w:r>
      <w:r>
        <w:t xml:space="preserve">. Täpsemalt võiksime ette näha </w:t>
      </w:r>
      <w:r>
        <w:rPr>
          <w:b/>
        </w:rPr>
        <w:t>riigiabi maksumehhanismi</w:t>
      </w:r>
      <w:r>
        <w:t xml:space="preserve">, mis kohustaks liikmesriike eraldama oma riiklikest vahenditest osa </w:t>
      </w:r>
      <w:proofErr w:type="spellStart"/>
      <w:r>
        <w:t>üleeuroopaliste</w:t>
      </w:r>
      <w:proofErr w:type="spellEnd"/>
      <w:r>
        <w:t xml:space="preserve"> algatuste ja investeeringute rahastamiseks;</w:t>
      </w:r>
    </w:p>
    <w:p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rõhutab vajadust </w:t>
      </w:r>
      <w:r>
        <w:rPr>
          <w:b/>
        </w:rPr>
        <w:t>hõlbustada sotsiaalmajanduses osalejate juurdepääsu rahastamisele kogu nende tegutsemisaja vältel</w:t>
      </w:r>
      <w:r>
        <w:t>. See võiks hõlmata üldise grupierandi määruse kohandamist sotsiaalsetele ettevõtetele antava riigiabi osas ja ebasoodsas olukorras olevate töötajate töölevõtmiseks antavat abi käsitlevate eeskirjade ümberhindamist;</w:t>
      </w:r>
    </w:p>
    <w:p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leiab, et mõelda tuleks </w:t>
      </w:r>
      <w:proofErr w:type="spellStart"/>
      <w:r>
        <w:t>Letta</w:t>
      </w:r>
      <w:proofErr w:type="spellEnd"/>
      <w:r>
        <w:t xml:space="preserve"> aruandes esitatud ettepanekule luua </w:t>
      </w:r>
      <w:r>
        <w:rPr>
          <w:b/>
        </w:rPr>
        <w:t xml:space="preserve">tulevikus </w:t>
      </w:r>
      <w:proofErr w:type="spellStart"/>
      <w:r>
        <w:rPr>
          <w:b/>
        </w:rPr>
        <w:t>üleeuroopaline</w:t>
      </w:r>
      <w:proofErr w:type="spellEnd"/>
      <w:r>
        <w:rPr>
          <w:b/>
        </w:rPr>
        <w:t xml:space="preserve"> suveräänne riigiabifond</w:t>
      </w:r>
      <w:r>
        <w:t>, sest see võib olla kasulik sotsiaalse ühtekuuluvuse säilitamiseks ja ühtse turu nõuetekohaseks toimimiseks.</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Kontaktisik</w:t>
            </w:r>
          </w:p>
        </w:tc>
        <w:tc>
          <w:tcPr>
            <w:tcW w:w="3444" w:type="pct"/>
          </w:tcPr>
          <w:p w:rsidRPr="00A6689B" w:rsidR="007A5F00" w:rsidP="00F324F7" w:rsidRDefault="007A5F00" w14:paraId="7F0EA6EC" w14:textId="77777777">
            <w:pPr>
              <w:spacing w:line="240" w:lineRule="auto"/>
              <w:rPr>
                <w:i/>
              </w:rPr>
            </w:pPr>
            <w:r>
              <w:rPr>
                <w:i/>
              </w:rPr>
              <w:t xml:space="preserve">Silvia </w:t>
            </w:r>
            <w:proofErr w:type="spellStart"/>
            <w:r>
              <w:rPr>
                <w:i/>
              </w:rPr>
              <w:t>Staffa</w:t>
            </w:r>
            <w:proofErr w:type="spellEnd"/>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Tel</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E-post</w:t>
            </w:r>
          </w:p>
        </w:tc>
        <w:tc>
          <w:tcPr>
            <w:tcW w:w="3444" w:type="pct"/>
          </w:tcPr>
          <w:p w:rsidRPr="00A6689B" w:rsidR="007A5F00" w:rsidP="00F324F7" w:rsidRDefault="002E1A6E" w14:paraId="0C3BCA9A" w14:textId="21BC0983">
            <w:pPr>
              <w:spacing w:line="240" w:lineRule="auto"/>
              <w:rPr>
                <w:i/>
              </w:rPr>
            </w:pPr>
            <w:hyperlink w:history="1" r:id="rId46">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2E1A6E"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276FC9">
          <w:rPr>
            <w:b/>
            <w:i/>
            <w:color w:val="0000FF"/>
            <w:sz w:val="28"/>
            <w:u w:val="single"/>
          </w:rPr>
          <w:t>Riigihanked / sotsiaalsed ettevõtted</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Raportöör</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rPr>
              <w:t>Kaasraportöör</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proofErr w:type="spellStart"/>
            <w:r>
              <w:t>Ferre</w:t>
            </w:r>
            <w:proofErr w:type="spellEnd"/>
            <w:r>
              <w:t xml:space="preserve"> WYCKMANS (töötajate rühm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proofErr w:type="spellStart"/>
            <w:r>
              <w:t>Alain</w:t>
            </w:r>
            <w:proofErr w:type="spellEnd"/>
            <w:r>
              <w:t xml:space="preserve"> COHEUR (kodanikuühiskonna organisatsioonide rühm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rPr>
              <w:t>Viitedokumendid</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pPr>
            <w:r>
              <w:t>omaalgatuslik arvamus</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Euroopa Majandus- ja Sotsiaalkomitee:</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juhib tähelepanu sellele, et juurdepääs riigihankelepingutele on sotsiaalmajanduse organisatsioonide jaoks äärmiselt tähtis, ning rõhutab, et oluline on luua uuenduslikke kriteeriume, millel on tegelik turuväline väärtus;</w:t>
      </w:r>
    </w:p>
    <w:p w:rsidRPr="00926B4A"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toetab selliseid algatusi nagu „</w:t>
      </w:r>
      <w:proofErr w:type="spellStart"/>
      <w:r>
        <w:t>Buying</w:t>
      </w:r>
      <w:proofErr w:type="spellEnd"/>
      <w:r>
        <w:t xml:space="preserve"> </w:t>
      </w:r>
      <w:proofErr w:type="spellStart"/>
      <w:r>
        <w:t>for</w:t>
      </w:r>
      <w:proofErr w:type="spellEnd"/>
      <w:r>
        <w:t xml:space="preserve"> </w:t>
      </w:r>
      <w:proofErr w:type="spellStart"/>
      <w:r>
        <w:t>Social</w:t>
      </w:r>
      <w:proofErr w:type="spellEnd"/>
      <w:r>
        <w:t xml:space="preserve"> </w:t>
      </w:r>
      <w:proofErr w:type="spellStart"/>
      <w:r>
        <w:t>Impact</w:t>
      </w:r>
      <w:proofErr w:type="spellEnd"/>
      <w:r>
        <w:t>“ ja „</w:t>
      </w:r>
      <w:proofErr w:type="spellStart"/>
      <w:r>
        <w:t>We</w:t>
      </w:r>
      <w:proofErr w:type="spellEnd"/>
      <w:r>
        <w:t xml:space="preserve"> </w:t>
      </w:r>
      <w:proofErr w:type="spellStart"/>
      <w:r>
        <w:t>Buy</w:t>
      </w:r>
      <w:proofErr w:type="spellEnd"/>
      <w:r>
        <w:t xml:space="preserve"> </w:t>
      </w:r>
      <w:proofErr w:type="spellStart"/>
      <w:r>
        <w:t>Social</w:t>
      </w:r>
      <w:proofErr w:type="spellEnd"/>
      <w:r>
        <w:t xml:space="preserve"> EU“, mis võimaldavad lisaks teadmiste jagamisele parandada ka vastastikust mõistmist sotsiaalmajanduse ja </w:t>
      </w:r>
      <w:proofErr w:type="spellStart"/>
      <w:r>
        <w:t>lähiteenuste</w:t>
      </w:r>
      <w:proofErr w:type="spellEnd"/>
      <w:r>
        <w:t xml:space="preserve"> ökosüsteemis osalejate ja riigiasutuste vahel. Samuti nõuab komitee, et rakendataks </w:t>
      </w:r>
      <w:proofErr w:type="spellStart"/>
      <w:r>
        <w:t>Liège’i</w:t>
      </w:r>
      <w:proofErr w:type="spellEnd"/>
      <w:r>
        <w:t xml:space="preserve"> tegevuskava;</w:t>
      </w:r>
    </w:p>
    <w:p w:rsidRPr="00926B4A"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kutsub liikmesriike ja eri valitsustasandeid üles rakendama sotsiaalmajanduse raamtingimusi käsitlevas soovituses esitatud kõiki meetmeid ja tegevusi, et aidata sotsiaalmajanduse üksustel turule pääseda. Näiteks võib selleks kasutada proportsionaalseid valikukriteeriume või jagada lepingud osadeks;</w:t>
      </w:r>
    </w:p>
    <w:p w:rsidRPr="00926B4A"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nõuab tungivalt, et komisjon käivitaks võimalikult kiiresti Euroopa tasandil riigihangete strateegilise tegevuskava, mida nõukogu hiljuti taotles. Lisaks kutsub ta komisjoni üles töötama välja meetmete rakendamise järelevalvesüsteemi, et suurendada nende tõhusust;</w:t>
      </w:r>
    </w:p>
    <w:p w:rsidRPr="00926B4A"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kutsub üles Euroopa riigihangete raamistikku uuel ametiajal põhjalikult hindama ja läbi vaatama;</w:t>
      </w:r>
    </w:p>
    <w:p w:rsidRPr="00926B4A"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soovib näha, et ELi avaliku sektori hankijad kasutaksid paremini ära esialgseid turu-uuringuid, reserveeritud hankelepinguid ja lepingute osadeks jagamist;</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kutsub komisjoni üles looma sotsiaalmajanduse portaalis rubriigi „Sotsiaalselt vastutustundlikud riigihanked“, et edendada teadmiste ja parimate tavade jagamist.</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7"/>
        <w:gridCol w:w="5384"/>
      </w:tblGrid>
      <w:tr w:rsidRPr="00347517" w:rsidR="00926B4A" w:rsidTr="00F324F7" w14:paraId="5E8C3D27" w14:textId="77777777">
        <w:tc>
          <w:tcPr>
            <w:tcW w:w="1059" w:type="pct"/>
          </w:tcPr>
          <w:p w:rsidRPr="000F216A"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Kontaktisik</w:t>
            </w:r>
          </w:p>
        </w:tc>
        <w:tc>
          <w:tcPr>
            <w:tcW w:w="3941" w:type="pct"/>
          </w:tcPr>
          <w:p w:rsidRPr="000F216A"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Pr>
                <w:i/>
              </w:rPr>
              <w:t xml:space="preserve">Annalisa </w:t>
            </w:r>
            <w:proofErr w:type="spellStart"/>
            <w:r>
              <w:rPr>
                <w:i/>
              </w:rPr>
              <w:t>Tessarolo</w:t>
            </w:r>
            <w:proofErr w:type="spellEnd"/>
          </w:p>
        </w:tc>
      </w:tr>
      <w:tr w:rsidRPr="00347517" w:rsidR="00926B4A" w:rsidTr="00F324F7" w14:paraId="758BA8CE" w14:textId="77777777">
        <w:tc>
          <w:tcPr>
            <w:tcW w:w="1059" w:type="pct"/>
          </w:tcPr>
          <w:p w:rsidRPr="000F216A"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Tel</w:t>
            </w:r>
          </w:p>
        </w:tc>
        <w:tc>
          <w:tcPr>
            <w:tcW w:w="3941" w:type="pct"/>
          </w:tcPr>
          <w:p w:rsidRPr="000F216A"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26B4A" w:rsidTr="00F324F7" w14:paraId="5FBB9A81" w14:textId="77777777">
        <w:tc>
          <w:tcPr>
            <w:tcW w:w="1059" w:type="pct"/>
          </w:tcPr>
          <w:p w:rsidRPr="000F216A"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E-post</w:t>
            </w:r>
          </w:p>
        </w:tc>
        <w:tc>
          <w:tcPr>
            <w:tcW w:w="3941" w:type="pct"/>
          </w:tcPr>
          <w:p w:rsidRPr="000F216A" w:rsidR="00926B4A" w:rsidP="00926B4A" w:rsidRDefault="002E1A6E" w14:paraId="37B96DF1" w14:textId="4AB9B892">
            <w:pPr>
              <w:overflowPunct w:val="0"/>
              <w:autoSpaceDE w:val="0"/>
              <w:autoSpaceDN w:val="0"/>
              <w:adjustRightInd w:val="0"/>
              <w:spacing w:line="240" w:lineRule="auto"/>
              <w:textAlignment w:val="baseline"/>
              <w:rPr>
                <w:i/>
                <w:iCs/>
                <w:sz w:val="22"/>
                <w:szCs w:val="22"/>
              </w:rPr>
            </w:pPr>
            <w:hyperlink w:history="1" r:id="rId48">
              <w:r w:rsidR="007E03C9">
                <w:rPr>
                  <w:i/>
                  <w:color w:val="0000FF"/>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135714" w:rsidRDefault="002E1A6E"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135714">
          <w:rPr>
            <w:b/>
            <w:i/>
            <w:color w:val="0000FF"/>
            <w:sz w:val="28"/>
            <w:u w:val="single"/>
          </w:rPr>
          <w:t>Tehisintellekt – edasised sammud</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Sandra PARTHIE (tööandjate rühm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rPr>
              <w:t>Viitedokumendid</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ettevalmistav arvamus Euroopa Komisjoni taotlusel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Euroopa Majandus- ja Sotsiaalkomitee:</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 xml:space="preserve">leiab, et konkurentsivõime tagamiseks </w:t>
      </w:r>
      <w:proofErr w:type="spellStart"/>
      <w:r>
        <w:t>üldotstarbelise</w:t>
      </w:r>
      <w:proofErr w:type="spellEnd"/>
      <w:r>
        <w:t xml:space="preserve"> tehisintellekti valdkonnas peab Euroopa investeerima turvalisse ühenduvusse ja vastupidavasse tuumiktaristusse, samuti vastupidavasse tarneahelasse, et generatiivse tehisintellekti mõju saaks ära kasutada Euroopa osalejate heaks ning viia kooskõlla Euroopa väärtuste ja vajadustega;</w:t>
      </w:r>
    </w:p>
    <w:p w:rsidRPr="00135714"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 xml:space="preserve">soovitab korraldada sidusrühmadega, sealhulgas sotsiaalpartneritega, dialooge tegevusjuhendite üle töökohtadel ning töötajate õiguste üle </w:t>
      </w:r>
      <w:proofErr w:type="spellStart"/>
      <w:r>
        <w:t>üldotstarbelise</w:t>
      </w:r>
      <w:proofErr w:type="spellEnd"/>
      <w:r>
        <w:t xml:space="preserve"> tehisintellekti kontekstis;</w:t>
      </w:r>
    </w:p>
    <w:p w:rsidRPr="00135714" w:rsidR="00135714" w:rsidP="000F216A"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rõhutab, et vaja on kooskõlastatud Euroopa ja riiklikke investeeringuid innovatsiooni ning konkurentsipoliitika vahendeid, et võidelda domineerivate suurte, sageli Euroopa-väliste digiettevõtete kontsentratsiooni vastu ning aidata arendada ELi väärtusahelaid ja väärtuse loomist tehisintellekti valdkonnas;</w:t>
      </w:r>
    </w:p>
    <w:p w:rsidRPr="00135714"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loodab, et tehisintellektimääruse kohased tegevusjuhendid annaksid kasutajatele, arendajatele ja teistele tehisintellekti sidusrühmadele suuniseid määruse ja muude vahendite kohaldamiseks, et ettevõtetel oleks lihtsam eeskirju järgida;</w:t>
      </w:r>
    </w:p>
    <w:p w:rsidRPr="00135714"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toonitab, et tehisintellektiametil ja riiklikel ametiasutustel peavad olema vajalikud vahendid, et jälgida, hinnata ja jõustada seaduse sätteid, tagades nende täitmise ja tarbijaõiguste kaitse;</w:t>
      </w:r>
    </w:p>
    <w:p w:rsidRPr="00135714"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teab, millist muret erinevad sisuloojad praegu generatiivse tehisintellekti kasutamise pärast tunnevad, ning rõhutab, et äärmiselt oluline on tagada, et tehisintellekti arendatakse viisil, mis austab patentsust, autoriõigust ja intellektuaalomandi eeskirju;</w:t>
      </w:r>
    </w:p>
    <w:p w:rsidRPr="00135714"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kordab, et tehisintellekt võib suurendada energia- ja ressursitõhusust, parandades protsesse ja pakkudes lahendusi materjalide kasutamise vähendamiseks. Samal ajal võib see mõjutada ka keskkonda ja energiakasutust, mida tuleb täpselt mõõta ja arvesse võtta.</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135714" w:rsidTr="00F324F7" w14:paraId="274CC185" w14:textId="77777777">
        <w:tc>
          <w:tcPr>
            <w:tcW w:w="1556" w:type="pct"/>
          </w:tcPr>
          <w:p w:rsidRPr="000F216A"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Pr>
                <w:i/>
              </w:rPr>
              <w:t xml:space="preserve">Veronika </w:t>
            </w:r>
            <w:proofErr w:type="spellStart"/>
            <w:r>
              <w:rPr>
                <w:i/>
              </w:rPr>
              <w:t>Kadlecova</w:t>
            </w:r>
            <w:proofErr w:type="spellEnd"/>
          </w:p>
        </w:tc>
      </w:tr>
      <w:tr w:rsidRPr="00347517" w:rsidR="00135714" w:rsidTr="00F324F7" w14:paraId="5062CF43" w14:textId="77777777">
        <w:tc>
          <w:tcPr>
            <w:tcW w:w="1556" w:type="pct"/>
          </w:tcPr>
          <w:p w:rsidRPr="000F216A"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+32 25469113</w:t>
            </w:r>
          </w:p>
        </w:tc>
      </w:tr>
      <w:tr w:rsidRPr="00347517" w:rsidR="00135714" w:rsidTr="00F324F7" w14:paraId="2164DD9F" w14:textId="77777777">
        <w:tc>
          <w:tcPr>
            <w:tcW w:w="1556" w:type="pct"/>
          </w:tcPr>
          <w:p w:rsidRPr="000F216A"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135714" w:rsidP="00135714" w:rsidRDefault="002E1A6E" w14:paraId="598D126B" w14:textId="2D11EA6E">
            <w:pPr>
              <w:overflowPunct w:val="0"/>
              <w:autoSpaceDE w:val="0"/>
              <w:autoSpaceDN w:val="0"/>
              <w:adjustRightInd w:val="0"/>
              <w:spacing w:line="240" w:lineRule="auto"/>
              <w:textAlignment w:val="baseline"/>
              <w:rPr>
                <w:i/>
                <w:iCs/>
                <w:sz w:val="22"/>
                <w:szCs w:val="22"/>
              </w:rPr>
            </w:pPr>
            <w:hyperlink w:history="1" r:id="rId50">
              <w:r w:rsidR="007E03C9">
                <w:rPr>
                  <w:i/>
                  <w:color w:val="0000FF"/>
                  <w:u w:val="single"/>
                </w:rPr>
                <w:t>Veronika.Kadlecova@eesc.europa.eu</w:t>
              </w:r>
            </w:hyperlink>
          </w:p>
          <w:p w:rsidRPr="000F216A"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0F216A" w:rsidR="00CA1A9B" w:rsidP="00CA1A9B" w:rsidRDefault="002E1A6E"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1">
        <w:r w:rsidR="00276FC9">
          <w:rPr>
            <w:b/>
            <w:i/>
            <w:color w:val="0000FF"/>
            <w:sz w:val="28"/>
            <w:u w:val="single"/>
          </w:rPr>
          <w:t>Programm „Digitaalne Euroopa“</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(tööandjate rühm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rPr>
              <w:t>Viitedokumendid</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Hindamisaruanne</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Euroopa Majandus- ja Sotsiaalkomitee:</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soovitab Euroopa Komisjonil välja töötada integreeritud teabevahetusstrateegia, et tõsta teadlikkust programmist „Digitaalne Euroopa“ eri sidusrühmade, näiteks sotsiaalpartnerite, </w:t>
      </w:r>
      <w:proofErr w:type="spellStart"/>
      <w:r>
        <w:t>VKEde</w:t>
      </w:r>
      <w:proofErr w:type="spellEnd"/>
      <w:r>
        <w:t>, avaliku sektori asutuste, haridusasutuste ja kodanikuühiskonna seas;</w:t>
      </w:r>
    </w:p>
    <w:p w:rsidRPr="00CA1A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kutsub komisjoni üles vaatama läbi ja parandama programmi „Digitaalne Euroopa“ kaasrahastamise mudeleid. Kaasrahastamise määra tuleks suurendada vähemalt 80 %-</w:t>
      </w:r>
      <w:proofErr w:type="spellStart"/>
      <w:r>
        <w:t>ni</w:t>
      </w:r>
      <w:proofErr w:type="spellEnd"/>
      <w:r>
        <w:t xml:space="preserve">, et leevendada finantskoormust, ning kaasrahastamise mudelid tuleks muuta atraktiivsemaks ja kättesaadavamaks, eelkõige </w:t>
      </w:r>
      <w:proofErr w:type="spellStart"/>
      <w:r>
        <w:t>VKEde</w:t>
      </w:r>
      <w:proofErr w:type="spellEnd"/>
      <w:r>
        <w:t xml:space="preserve"> ja muude väiksemate üksuste jaoks;</w:t>
      </w:r>
    </w:p>
    <w:p w:rsidRPr="00CA1A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nõuab tungivalt, et komisjon kehtestaks selged mehhanismid programmi „Digitaalne Euroopa“, programmi „Euroopa horisont“, Euroopa Regionaalarengu Fondi ja muude ELi programmide eesmärkide ühtlustamiseks, andes selgeid suuniseid nendest programmidest saadavate vahendite kombineerimiseks, et suurendada projektide mõju ja vältida kattuvusi;</w:t>
      </w:r>
    </w:p>
    <w:p w:rsidRPr="00CA1A9B"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nõuab vähem bürokraatlikke tõkkeid ja selgemaid suuniseid, et taotlejad järgiksid paremini eeskirju ja saaksid neist paremini aru. Seda eesmärki aitab saavutada ka tõhusa järelevalve- ja hindamissüsteemi rakendamine. Samuti kutsub komitee komisjoni üles looma sihipäraseid toetusprogramme, et käsitleda konkreetseid probleeme, millega </w:t>
      </w:r>
      <w:proofErr w:type="spellStart"/>
      <w:r>
        <w:t>VKEd</w:t>
      </w:r>
      <w:proofErr w:type="spellEnd"/>
      <w:r>
        <w:t xml:space="preserve"> programmi „Digitaalne Euroopa“ rahalistele vahenditele juurdepääsul ja nende kasutamisel kokku puutuvad;</w:t>
      </w:r>
    </w:p>
    <w:p w:rsidRPr="00CA1A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soovitab komisjonil aktiivselt edendada programmi „Digitaalne Euroopa“ tulemustabelit, millele pandi alus 2024. aasta suvel, ning töötada välja terviklik raamistik programmi „Digitaalne Euroopa“ algatuste tõhususe ja mõju hindamiseks. See raamistik peaks keskenduma nii kvalitatiivsetele kui ka kvantitatiivsetele parameetritele ning hõlmama korrapäraseid hindamisi, et tagada vastavus ELi laiematele poliitikaeesmärkidele ja eri piirkondade sotsiaalmajanduslikele vajadustele;</w:t>
      </w:r>
    </w:p>
    <w:p w:rsidRPr="00CA1A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kutsub üles aktiivselt toetama algatusi, mille eesmärk on suurendada naiste osalust loodusteaduste, tehnoloogia, inseneriteaduste ja matemaatika valdkonnas ning teavitada neid sektoriülestest karjäärivõimalustest, mis kaasnevad erinevate kujunemisjärgus tehnoloogiate õppimise/kasutamisega.</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CA1A9B" w:rsidTr="00F324F7" w14:paraId="0A654251" w14:textId="77777777">
        <w:tc>
          <w:tcPr>
            <w:tcW w:w="1556" w:type="pct"/>
          </w:tcPr>
          <w:p w:rsidRPr="000F216A"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 xml:space="preserve">Marco </w:t>
            </w:r>
            <w:proofErr w:type="spellStart"/>
            <w:r>
              <w:rPr>
                <w:i/>
              </w:rPr>
              <w:t>Manfroni</w:t>
            </w:r>
            <w:proofErr w:type="spellEnd"/>
          </w:p>
        </w:tc>
      </w:tr>
      <w:tr w:rsidRPr="00347517" w:rsidR="00CA1A9B" w:rsidTr="00F324F7" w14:paraId="21292A04" w14:textId="77777777">
        <w:tc>
          <w:tcPr>
            <w:tcW w:w="1556" w:type="pct"/>
          </w:tcPr>
          <w:p w:rsidRPr="000F216A"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+32 25469140</w:t>
            </w:r>
          </w:p>
        </w:tc>
      </w:tr>
      <w:tr w:rsidRPr="00347517" w:rsidR="00CA1A9B" w:rsidTr="00F324F7" w14:paraId="0059F17F" w14:textId="77777777">
        <w:tc>
          <w:tcPr>
            <w:tcW w:w="1556" w:type="pct"/>
          </w:tcPr>
          <w:p w:rsidRPr="000F216A"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CA1A9B" w:rsidP="00CA1A9B" w:rsidRDefault="002E1A6E" w14:paraId="30AE97F0" w14:textId="02E51DE8">
            <w:pPr>
              <w:overflowPunct w:val="0"/>
              <w:autoSpaceDE w:val="0"/>
              <w:autoSpaceDN w:val="0"/>
              <w:adjustRightInd w:val="0"/>
              <w:spacing w:line="240" w:lineRule="auto"/>
              <w:textAlignment w:val="baseline"/>
              <w:rPr>
                <w:i/>
                <w:iCs/>
                <w:sz w:val="22"/>
                <w:szCs w:val="22"/>
              </w:rPr>
            </w:pPr>
            <w:hyperlink w:history="1" r:id="rId52">
              <w:r w:rsidR="007E03C9">
                <w:rPr>
                  <w:i/>
                  <w:color w:val="0000FF"/>
                  <w:u w:val="single"/>
                </w:rPr>
                <w:t>Marco.Manfroni@eesc.europa.eu</w:t>
              </w:r>
            </w:hyperlink>
          </w:p>
          <w:p w:rsidRPr="000F216A"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br w:type="page"/>
      </w:r>
    </w:p>
    <w:p w:rsidRPr="000F216A" w:rsidR="00A630EC" w:rsidP="0015600B" w:rsidRDefault="002E1A6E"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276FC9">
          <w:rPr>
            <w:b/>
            <w:i/>
            <w:color w:val="0000FF"/>
            <w:sz w:val="28"/>
            <w:u w:val="single"/>
          </w:rPr>
          <w:t>Tarbijakaitseprogrammi (2014–2020) lõpphindamine</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proofErr w:type="spellStart"/>
            <w:r>
              <w:t>João</w:t>
            </w:r>
            <w:proofErr w:type="spellEnd"/>
            <w:r>
              <w:t xml:space="preserve"> NABAIS (kodanikuühiskonna organisatsioonide rühm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rPr>
              <w:t>Viitedokumendid</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Hindamisaruanne</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Euroopa Majandus- ja Sotsiaalkomitee:</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märgib, et tarbijakaitseprogramm on aidanud suurendada ELi tarbijate kaitset ja mõjuvõimu. Võttes aga arvesse programmi eesmärke ja ajakava, oleks selle eelarveeraldis pidanud olema ambitsioonikam, nagu ka potentsiaalselt rahastamiskõlblike meetmete ja toetusesaajate valik;</w:t>
      </w:r>
    </w:p>
    <w:p w:rsidRPr="00A630EC"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tunnustab märkimisväärseid jõupingutusi, mida on tehtud tarbijate juurdepääsu parandamiseks õiguskaitsele;</w:t>
      </w:r>
    </w:p>
    <w:p w:rsidRPr="00A630EC"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väljendab heameelt selle üle, et praegu on olemas kompaktsem, läbipaistvam ja kättesaadavam õiguskaitsesüsteem, ning rõhutab, et oluline on jätkuvalt keskenduda järelevalvevõrgustikele, nagu tarbijakaitsealase koostöö võrgustik;</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on veendunud, et mitmeaastased programmid peaksid tugevdama toetust riikidele, kus tarbijatega seotud õigusaktid on vähem arenenud;</w:t>
      </w:r>
    </w:p>
    <w:p w:rsidRPr="00A630EC"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rõhutab, et oluline on suurendada tarbijaühenduste suutlikkust, ning nõuab tarbijate harimise tõhustamist koolides ja muudes akadeemilistes keskkondades, eelkõige finants- ja digivaldkonnas;</w:t>
      </w:r>
    </w:p>
    <w:p w:rsidRPr="00A630EC"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soovitab pöörata suuremat tähelepanu teatavate tarbijakategooriate, nimelt laste ja noorte, eakate, töötute, sisserändajate ja puuetega inimeste erivajadustele;</w:t>
      </w:r>
    </w:p>
    <w:p w:rsidRPr="00A630EC"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 xml:space="preserve">rõhutab vajadust tagada parem süsteem riikide ametiasutuste abistamiseks tooteohutuse tagamisel, pidades eelkõige silmas asjade interneti, </w:t>
      </w:r>
      <w:proofErr w:type="spellStart"/>
      <w:r>
        <w:t>küberturvalisuse</w:t>
      </w:r>
      <w:proofErr w:type="spellEnd"/>
      <w:r>
        <w:t xml:space="preserve"> ja tehisintellektiga seotud probleeme;</w:t>
      </w:r>
    </w:p>
    <w:p w:rsidRPr="00A630EC"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peab oluliseks lihtsustada kodanikuühiskonna kaasamise menetlusi, edendada läbipaistvat ja kättesaadavat teabevahetust ning tagada, et konsultatsioonid oleksid kodanikuühiskonna jaoks reaalsed võimalused esitada tõelisi, asjakohaseid ja uuenduslikke ettepanekuid;</w:t>
      </w:r>
    </w:p>
    <w:p w:rsidRPr="00A630EC"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peab oluliseks, et tulevasi programme kavandataks ja rakendataks selgemal, läbipaistval ja vähem bürokraatlikul viisil.</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630EC" w:rsidTr="00F324F7" w14:paraId="1A622280" w14:textId="77777777">
        <w:tc>
          <w:tcPr>
            <w:tcW w:w="1556" w:type="pct"/>
          </w:tcPr>
          <w:p w:rsidRPr="000F216A"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A630EC" w:rsidP="00A630EC" w:rsidRDefault="00A630EC" w14:paraId="72FACB9C" w14:textId="77777777">
            <w:pPr>
              <w:overflowPunct w:val="0"/>
              <w:autoSpaceDE w:val="0"/>
              <w:autoSpaceDN w:val="0"/>
              <w:adjustRightInd w:val="0"/>
              <w:spacing w:line="240" w:lineRule="auto"/>
              <w:textAlignment w:val="baseline"/>
              <w:rPr>
                <w:i/>
                <w:sz w:val="22"/>
                <w:szCs w:val="22"/>
              </w:rPr>
            </w:pPr>
            <w:proofErr w:type="spellStart"/>
            <w:r>
              <w:rPr>
                <w:i/>
              </w:rPr>
              <w:t>Radoslava</w:t>
            </w:r>
            <w:proofErr w:type="spellEnd"/>
            <w:r>
              <w:rPr>
                <w:i/>
              </w:rPr>
              <w:t xml:space="preserve"> </w:t>
            </w:r>
            <w:proofErr w:type="spellStart"/>
            <w:r>
              <w:rPr>
                <w:i/>
              </w:rPr>
              <w:t>Stefankova</w:t>
            </w:r>
            <w:proofErr w:type="spellEnd"/>
          </w:p>
        </w:tc>
      </w:tr>
      <w:tr w:rsidRPr="00347517" w:rsidR="00A630EC" w:rsidTr="00F324F7" w14:paraId="189AA5DB" w14:textId="77777777">
        <w:tc>
          <w:tcPr>
            <w:tcW w:w="1556" w:type="pct"/>
          </w:tcPr>
          <w:p w:rsidRPr="000F216A"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+32 25468188</w:t>
            </w:r>
          </w:p>
        </w:tc>
      </w:tr>
      <w:tr w:rsidRPr="00347517" w:rsidR="00A630EC" w:rsidTr="00F324F7" w14:paraId="6D50F069" w14:textId="77777777">
        <w:tc>
          <w:tcPr>
            <w:tcW w:w="1556" w:type="pct"/>
          </w:tcPr>
          <w:p w:rsidRPr="000F216A"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A630EC" w:rsidP="00A630EC" w:rsidRDefault="002E1A6E" w14:paraId="5718CBD8" w14:textId="1636A5F7">
            <w:pPr>
              <w:overflowPunct w:val="0"/>
              <w:autoSpaceDE w:val="0"/>
              <w:autoSpaceDN w:val="0"/>
              <w:adjustRightInd w:val="0"/>
              <w:spacing w:line="240" w:lineRule="auto"/>
              <w:textAlignment w:val="baseline"/>
              <w:rPr>
                <w:i/>
                <w:sz w:val="22"/>
                <w:szCs w:val="22"/>
              </w:rPr>
            </w:pPr>
            <w:hyperlink w:history="1" r:id="rId54">
              <w:r w:rsidR="007E03C9">
                <w:rPr>
                  <w:i/>
                  <w:color w:val="0000FF"/>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2E1A6E"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276FC9">
          <w:rPr>
            <w:b/>
            <w:i/>
            <w:color w:val="0000FF"/>
            <w:sz w:val="28"/>
            <w:u w:val="single"/>
          </w:rPr>
          <w:t>Võitlus võltsimise vastu</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Raportöör</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Bruno CHOIX (tööandjate rühm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 xml:space="preserve">C(2024) 1739 </w:t>
            </w:r>
            <w:proofErr w:type="spellStart"/>
            <w:r>
              <w:t>final</w:t>
            </w:r>
            <w:proofErr w:type="spellEnd"/>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r>
        <w:t>Euroopa Majandus- ja Sotsiaalkomitee:</w:t>
      </w:r>
    </w:p>
    <w:p w:rsidRPr="009B29D4"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 xml:space="preserve">leiab siiski, et </w:t>
      </w:r>
      <w:proofErr w:type="spellStart"/>
      <w:r>
        <w:t>VKEde</w:t>
      </w:r>
      <w:proofErr w:type="spellEnd"/>
      <w:r>
        <w:t xml:space="preserve"> toetamiseks on võimalik rohkem ära teha, suurendades kahjuhüvitisi/kompensatsiooni õiguste rikkumise hagi korral. Liikmesriikidel, kes seda ei tee, tuleks sätestada oma riiklikes õigusaktides karistuslikud kahjuhüvitised/kompensatsioonid;</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märgib, et kuulata tuleks rohkem nende ärijuhtide ütlusi, kes on suutnud võidelda võltsimise vastu tänu tööstusomandi õigustele;</w:t>
      </w:r>
    </w:p>
    <w:p w:rsidRPr="009B29D4"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 xml:space="preserve">peab mõttekaks luua </w:t>
      </w:r>
      <w:proofErr w:type="spellStart"/>
      <w:r>
        <w:t>üleeuroopaline</w:t>
      </w:r>
      <w:proofErr w:type="spellEnd"/>
      <w:r>
        <w:t xml:space="preserve"> kindlustus võltsimise vastu ja leiab, et liikmesriigid peaksid tegelema varade hindamise küsimusega;</w:t>
      </w:r>
    </w:p>
    <w:p w:rsidRPr="009B29D4"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nõuab lihtsamaid, kiiremaid ja tõhusamaid menetlusi, et teatada võltsitud kaupade reklaamimisest internetis ja need eemaldada. Komitee jälgib, kas digiteenuste määruses sätestatud kohustustel on võltsitud kaupade pakkumise vähendamisele internetis ka tegelik mõju;</w:t>
      </w:r>
    </w:p>
    <w:p w:rsidRPr="009B29D4"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jälgib ELi võltsimisvastases meetmepaketis sisalduvate soovituste rakendamist;</w:t>
      </w:r>
    </w:p>
    <w:p w:rsidRPr="009B29D4"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 xml:space="preserve">leiab, et võltsimisega tegelemine peab olema Euroopa </w:t>
      </w:r>
      <w:proofErr w:type="spellStart"/>
      <w:r>
        <w:t>Pettustevastase</w:t>
      </w:r>
      <w:proofErr w:type="spellEnd"/>
      <w:r>
        <w:t xml:space="preserve"> Ameti ja Europoli prioriteet ning ka üks ELi poliitikatsükli prioriteetidest (EMPACT);</w:t>
      </w:r>
    </w:p>
    <w:p w:rsidRPr="009B29D4"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kontrollib väga hoolikalt, kas võltsimise temaatika on lisatud süstemaatiliselt kaubanduslepingutesse, mille Euroopa sõlmib partneritega, sealhulgas rakendusetapis.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991DA2" w:rsidTr="00F324F7" w14:paraId="56E32158" w14:textId="77777777">
        <w:tc>
          <w:tcPr>
            <w:tcW w:w="1418" w:type="dxa"/>
          </w:tcPr>
          <w:p w:rsidRPr="000F216A"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Pr>
                <w:i/>
              </w:rPr>
              <w:t xml:space="preserve">Annalisa </w:t>
            </w:r>
            <w:proofErr w:type="spellStart"/>
            <w:r>
              <w:rPr>
                <w:i/>
              </w:rPr>
              <w:t>Tessarolo</w:t>
            </w:r>
            <w:proofErr w:type="spellEnd"/>
          </w:p>
        </w:tc>
      </w:tr>
      <w:tr w:rsidRPr="00347517" w:rsidR="00991DA2" w:rsidTr="00F324F7" w14:paraId="585149C6" w14:textId="77777777">
        <w:tc>
          <w:tcPr>
            <w:tcW w:w="1418" w:type="dxa"/>
          </w:tcPr>
          <w:p w:rsidRPr="000F216A"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+ 32 25469732</w:t>
            </w:r>
          </w:p>
        </w:tc>
      </w:tr>
      <w:tr w:rsidRPr="00347517" w:rsidR="00991DA2" w:rsidTr="00F324F7" w14:paraId="372CD44D" w14:textId="77777777">
        <w:tc>
          <w:tcPr>
            <w:tcW w:w="1418" w:type="dxa"/>
          </w:tcPr>
          <w:p w:rsidRPr="000F216A"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991DA2" w:rsidP="00991DA2" w:rsidRDefault="002E1A6E" w14:paraId="1AE3FB4F" w14:textId="418DE4D9">
            <w:pPr>
              <w:overflowPunct w:val="0"/>
              <w:autoSpaceDE w:val="0"/>
              <w:autoSpaceDN w:val="0"/>
              <w:adjustRightInd w:val="0"/>
              <w:spacing w:line="240" w:lineRule="auto"/>
              <w:textAlignment w:val="baseline"/>
              <w:rPr>
                <w:i/>
                <w:iCs/>
                <w:sz w:val="22"/>
                <w:szCs w:val="22"/>
              </w:rPr>
            </w:pPr>
            <w:hyperlink w:history="1" r:id="rId56">
              <w:r w:rsidR="007E03C9">
                <w:rPr>
                  <w:i/>
                  <w:color w:val="0000FF"/>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3183808" w:id="12"/>
      <w:bookmarkEnd w:id="7"/>
      <w:bookmarkEnd w:id="8"/>
      <w:bookmarkEnd w:id="9"/>
      <w:r>
        <w:lastRenderedPageBreak/>
        <w:t>PÕLLUMAJANDUSE, MAAELU ARENGU JA KESKKONNA SEKTSIOON</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93748C" w:rsidRDefault="002E1A6E"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7">
        <w:r w:rsidR="00276FC9">
          <w:rPr>
            <w:b/>
            <w:i/>
            <w:color w:val="0000FF"/>
            <w:sz w:val="28"/>
            <w:u w:val="single"/>
          </w:rPr>
          <w:t>Samaväärsuskorra laiendamine kultiveerimismaterjali impordile</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rPr>
              <w:t>Viitedokumendid</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C-kategooria arvamus</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 xml:space="preserve">COM(2024) 387 </w:t>
            </w:r>
            <w:proofErr w:type="spellStart"/>
            <w:r>
              <w:t>final</w:t>
            </w:r>
            <w:proofErr w:type="spellEnd"/>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Euroopa Majandus- ja Sotsiaalkomitee:</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nõustub täielikult ettepaneku sisuga ega soovi teha selle kohta ühtegi märkust.</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61800A27" w14:textId="77777777">
        <w:tc>
          <w:tcPr>
            <w:tcW w:w="1556" w:type="pct"/>
          </w:tcPr>
          <w:p w:rsidRPr="000F216A"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93748C" w:rsidP="0093748C" w:rsidRDefault="0093748C" w14:paraId="3C1DE251" w14:textId="77777777">
            <w:pPr>
              <w:overflowPunct w:val="0"/>
              <w:autoSpaceDE w:val="0"/>
              <w:autoSpaceDN w:val="0"/>
              <w:adjustRightInd w:val="0"/>
              <w:spacing w:line="240" w:lineRule="auto"/>
              <w:textAlignment w:val="baseline"/>
              <w:rPr>
                <w:i/>
                <w:sz w:val="22"/>
                <w:szCs w:val="22"/>
              </w:rPr>
            </w:pPr>
            <w:proofErr w:type="spellStart"/>
            <w:r>
              <w:rPr>
                <w:i/>
              </w:rPr>
              <w:t>Nicolas</w:t>
            </w:r>
            <w:proofErr w:type="spellEnd"/>
            <w:r>
              <w:rPr>
                <w:i/>
              </w:rPr>
              <w:t xml:space="preserve"> </w:t>
            </w:r>
            <w:proofErr w:type="spellStart"/>
            <w:r>
              <w:rPr>
                <w:i/>
              </w:rPr>
              <w:t>Stenger</w:t>
            </w:r>
            <w:proofErr w:type="spellEnd"/>
          </w:p>
        </w:tc>
      </w:tr>
      <w:tr w:rsidRPr="00347517" w:rsidR="0093748C" w:rsidTr="00F324F7" w14:paraId="6BBBFC71" w14:textId="77777777">
        <w:tc>
          <w:tcPr>
            <w:tcW w:w="1556" w:type="pct"/>
          </w:tcPr>
          <w:p w:rsidRPr="000F216A"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+32 25468152</w:t>
            </w:r>
          </w:p>
        </w:tc>
      </w:tr>
      <w:tr w:rsidRPr="00347517" w:rsidR="0093748C" w:rsidTr="00F324F7" w14:paraId="676132DB" w14:textId="77777777">
        <w:tc>
          <w:tcPr>
            <w:tcW w:w="1556" w:type="pct"/>
          </w:tcPr>
          <w:p w:rsidRPr="000F216A"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93748C" w:rsidP="0093748C" w:rsidRDefault="002E1A6E" w14:paraId="4857B255" w14:textId="0BF8A62B">
            <w:pPr>
              <w:overflowPunct w:val="0"/>
              <w:autoSpaceDE w:val="0"/>
              <w:autoSpaceDN w:val="0"/>
              <w:adjustRightInd w:val="0"/>
              <w:spacing w:line="240" w:lineRule="auto"/>
              <w:textAlignment w:val="baseline"/>
              <w:rPr>
                <w:i/>
                <w:sz w:val="22"/>
                <w:szCs w:val="22"/>
              </w:rPr>
            </w:pPr>
            <w:hyperlink w:history="1" r:id="rId58">
              <w:r w:rsidR="007E03C9">
                <w:rPr>
                  <w:i/>
                  <w:color w:val="0000FF"/>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2E1A6E"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276FC9">
          <w:rPr>
            <w:b/>
            <w:i/>
            <w:color w:val="0000FF"/>
            <w:sz w:val="28"/>
            <w:u w:val="single"/>
          </w:rPr>
          <w:t>Raadamist käsitlev määrus: kohaldamise alguskuupäeva käsitlevad sätted</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rPr>
              <w:t>Viitedokumendid</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C-kategooria arvamus</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 xml:space="preserve">COM(2024) 452 </w:t>
            </w:r>
            <w:proofErr w:type="spellStart"/>
            <w:r>
              <w:t>final</w:t>
            </w:r>
            <w:proofErr w:type="spellEnd"/>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Euroopa Majandus- ja Sotsiaalkomitee:</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77777777">
      <w:pPr>
        <w:widowControl w:val="0"/>
        <w:numPr>
          <w:ilvl w:val="0"/>
          <w:numId w:val="53"/>
        </w:numPr>
        <w:overflowPunct w:val="0"/>
        <w:autoSpaceDE w:val="0"/>
        <w:autoSpaceDN w:val="0"/>
        <w:adjustRightInd w:val="0"/>
        <w:ind w:left="284" w:hanging="284"/>
        <w:textAlignment w:val="baseline"/>
        <w:rPr>
          <w:bCs/>
          <w:iCs/>
        </w:rPr>
      </w:pPr>
      <w:r>
        <w:t>on kõnealuses küsimuses oma seisukohta juba väljendanud 19. septembril 2024 vastu võetud arvamuses EESC-2024-01183-00-00-AC-TRA</w:t>
      </w:r>
      <w:r w:rsidRPr="0093748C">
        <w:rPr>
          <w:sz w:val="18"/>
          <w:szCs w:val="14"/>
          <w:vertAlign w:val="superscript"/>
          <w:lang w:val="en-GB"/>
        </w:rPr>
        <w:footnoteReference w:id="2"/>
      </w:r>
      <w:r>
        <w:t xml:space="preserve"> ja 23. veebruaril 2022 vastu võetud arvamuses EESC-2021-05690-00-00-AC-TRA</w:t>
      </w:r>
      <w:r w:rsidRPr="0093748C">
        <w:rPr>
          <w:sz w:val="18"/>
          <w:szCs w:val="14"/>
          <w:vertAlign w:val="superscript"/>
          <w:lang w:val="en-GB"/>
        </w:rPr>
        <w:footnoteReference w:id="3"/>
      </w:r>
      <w:r>
        <w:t xml:space="preserve"> ja seega otsustas komitee loobuda sel teemal uue arvamuse koostamisest ning viidata eelnimetatud dokumendis väljendatud seisukohale.</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02DA41A4" w14:textId="77777777">
        <w:tc>
          <w:tcPr>
            <w:tcW w:w="1556" w:type="pct"/>
          </w:tcPr>
          <w:p w:rsidRPr="000F216A"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Pr>
                <w:i/>
              </w:rPr>
              <w:t xml:space="preserve">Martine </w:t>
            </w:r>
            <w:proofErr w:type="spellStart"/>
            <w:r>
              <w:rPr>
                <w:i/>
              </w:rPr>
              <w:t>Delanoy</w:t>
            </w:r>
            <w:proofErr w:type="spellEnd"/>
          </w:p>
        </w:tc>
      </w:tr>
      <w:tr w:rsidRPr="00347517" w:rsidR="0093748C" w:rsidTr="00F324F7" w14:paraId="60117E67" w14:textId="77777777">
        <w:tc>
          <w:tcPr>
            <w:tcW w:w="1556" w:type="pct"/>
          </w:tcPr>
          <w:p w:rsidRPr="000F216A"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rPr>
              <w:t>+32 25469802</w:t>
            </w:r>
          </w:p>
        </w:tc>
      </w:tr>
      <w:tr w:rsidRPr="00347517" w:rsidR="0093748C" w:rsidTr="00F324F7" w14:paraId="10E191F0" w14:textId="77777777">
        <w:tc>
          <w:tcPr>
            <w:tcW w:w="1556" w:type="pct"/>
          </w:tcPr>
          <w:p w:rsidRPr="000F216A"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93748C" w:rsidP="0093748C" w:rsidRDefault="002E1A6E" w14:paraId="03312EEB" w14:textId="1D22C28C">
            <w:pPr>
              <w:overflowPunct w:val="0"/>
              <w:autoSpaceDE w:val="0"/>
              <w:autoSpaceDN w:val="0"/>
              <w:adjustRightInd w:val="0"/>
              <w:spacing w:line="240" w:lineRule="auto"/>
              <w:textAlignment w:val="baseline"/>
              <w:rPr>
                <w:i/>
                <w:sz w:val="22"/>
                <w:szCs w:val="22"/>
              </w:rPr>
            </w:pPr>
            <w:hyperlink w:history="1" r:id="rId60">
              <w:r w:rsidR="007E03C9">
                <w:rPr>
                  <w:i/>
                  <w:color w:val="0000FF"/>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2E1A6E"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276FC9">
          <w:rPr>
            <w:b/>
            <w:i/>
            <w:color w:val="0000FF"/>
            <w:sz w:val="28"/>
            <w:u w:val="single"/>
          </w:rPr>
          <w:t>Kestlike ja vastupidavate toidusüsteemide edendamine süvenevate kriiside ajal</w:t>
        </w:r>
      </w:hyperlink>
    </w:p>
    <w:p w:rsidRPr="000F216A" w:rsidR="00A5001B" w:rsidP="000F216A" w:rsidRDefault="00A5001B" w14:paraId="5645EA32" w14:textId="77777777">
      <w:pPr>
        <w:rPr>
          <w:sz w:val="18"/>
          <w:szCs w:val="18"/>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138"/>
      </w:tblGrid>
      <w:tr w:rsidRPr="00A5001B" w:rsidR="00A5001B" w:rsidTr="000F216A"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Raportöör</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r>
              <w:t>Joe HEALY (kodanikuühiskonna organisatsioonide rühm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proofErr w:type="spellStart"/>
            <w:r>
              <w:t>Piroska</w:t>
            </w:r>
            <w:proofErr w:type="spellEnd"/>
            <w:r>
              <w:t xml:space="preserve"> KÁLLAY (töötajate rühm – HU)</w:t>
            </w:r>
          </w:p>
          <w:p w:rsidRPr="00A5001B" w:rsidR="00A5001B" w:rsidRDefault="00A5001B" w14:paraId="1F544CE6" w14:textId="2768F2B5">
            <w:pPr>
              <w:tabs>
                <w:tab w:val="center" w:pos="284"/>
              </w:tabs>
              <w:overflowPunct w:val="0"/>
              <w:autoSpaceDE w:val="0"/>
              <w:autoSpaceDN w:val="0"/>
              <w:adjustRightInd w:val="0"/>
              <w:ind w:left="266" w:hanging="266"/>
              <w:textAlignment w:val="baseline"/>
            </w:pPr>
            <w:r>
              <w:t>Arnold PUECH D'ALISSAC (tööandjate rühm – FR)</w:t>
            </w:r>
          </w:p>
        </w:tc>
      </w:tr>
      <w:tr w:rsidRPr="00A5001B" w:rsidR="00A5001B" w:rsidTr="000F216A"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Pr>
                <w:b/>
              </w:rPr>
              <w:t>Viitedokumendid</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ettevalmistav arvamus ELi nõukogu eesistujariigi Ungari taotlusel</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A5001B" w:rsidR="00A5001B" w:rsidP="00A5001B" w:rsidRDefault="00A5001B" w14:paraId="0DD849B5" w14:textId="77777777">
            <w:pPr>
              <w:tabs>
                <w:tab w:val="center" w:pos="284"/>
              </w:tabs>
              <w:overflowPunct w:val="0"/>
              <w:autoSpaceDE w:val="0"/>
              <w:autoSpaceDN w:val="0"/>
              <w:adjustRightInd w:val="0"/>
              <w:ind w:left="266" w:hanging="266"/>
              <w:textAlignment w:val="baseline"/>
            </w:pPr>
          </w:p>
        </w:tc>
      </w:tr>
    </w:tbl>
    <w:p w:rsidRPr="00A5001B" w:rsidR="00A5001B" w:rsidP="00A5001B" w:rsidRDefault="00A5001B" w14:paraId="65760287" w14:textId="77777777">
      <w:pPr>
        <w:keepNext/>
        <w:keepLines/>
        <w:overflowPunct w:val="0"/>
        <w:autoSpaceDE w:val="0"/>
        <w:autoSpaceDN w:val="0"/>
        <w:adjustRightInd w:val="0"/>
        <w:ind w:left="266" w:hanging="266"/>
        <w:textAlignment w:val="baseline"/>
        <w:rPr>
          <w:b/>
        </w:rPr>
      </w:pPr>
      <w:r>
        <w:rPr>
          <w:b/>
        </w:rPr>
        <w:t>Põhipunktid</w:t>
      </w:r>
    </w:p>
    <w:p w:rsidRPr="000F216A"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A5001B" w:rsidR="00A5001B" w:rsidP="00A5001B" w:rsidRDefault="00A5001B" w14:paraId="27469A86" w14:textId="77777777">
      <w:pPr>
        <w:overflowPunct w:val="0"/>
        <w:autoSpaceDE w:val="0"/>
        <w:autoSpaceDN w:val="0"/>
        <w:adjustRightInd w:val="0"/>
        <w:textAlignment w:val="baseline"/>
        <w:rPr>
          <w:bCs/>
          <w:iCs/>
        </w:rPr>
      </w:pPr>
      <w:r>
        <w:t>Euroopa Majandus- ja Sotsiaalkomitee:</w:t>
      </w:r>
    </w:p>
    <w:p w:rsidRPr="000F216A" w:rsidR="00A5001B" w:rsidP="00A5001B" w:rsidRDefault="00A5001B" w14:paraId="5AA2D2E1" w14:textId="77777777">
      <w:pPr>
        <w:overflowPunct w:val="0"/>
        <w:autoSpaceDE w:val="0"/>
        <w:autoSpaceDN w:val="0"/>
        <w:adjustRightInd w:val="0"/>
        <w:textAlignment w:val="baseline"/>
        <w:rPr>
          <w:bCs/>
          <w:iCs/>
          <w:sz w:val="18"/>
          <w:szCs w:val="18"/>
          <w:lang w:val="en-GB"/>
        </w:rPr>
      </w:pPr>
    </w:p>
    <w:p w:rsidRPr="00A5001B" w:rsidR="00A5001B" w:rsidP="000F216A" w:rsidRDefault="00A5001B" w14:paraId="3380F787" w14:textId="77777777">
      <w:pPr>
        <w:numPr>
          <w:ilvl w:val="0"/>
          <w:numId w:val="54"/>
        </w:numPr>
        <w:overflowPunct w:val="0"/>
        <w:autoSpaceDE w:val="0"/>
        <w:autoSpaceDN w:val="0"/>
        <w:adjustRightInd w:val="0"/>
        <w:ind w:left="284" w:hanging="284"/>
        <w:textAlignment w:val="baseline"/>
        <w:rPr>
          <w:szCs w:val="20"/>
        </w:rPr>
      </w:pPr>
      <w:r>
        <w:t xml:space="preserve">on seisukohal, et ELi põllumajandus-, kalandus- ja toidupoliitika tuleb paremini ette valmistada, et kohaneda sektori ees seisvate jätkuvate väljakutsetega. ELi põllumajandus-, kalandus- ja toidupoliitika peab samuti olema konkurentsivõimeline, kriisikindel, majanduslikult, keskkonnaalaselt ja sotsiaalselt jätkusuutlik, tootjasõbralik, </w:t>
      </w:r>
      <w:proofErr w:type="spellStart"/>
      <w:r>
        <w:t>teadmistepõhine</w:t>
      </w:r>
      <w:proofErr w:type="spellEnd"/>
      <w:r>
        <w:t xml:space="preserve"> ja võimeline pakkuma kvaliteetset toitu konkurentsivõimeliste hindadega ning tagama tootjatele piisava ja kestliku sissetuleku;</w:t>
      </w:r>
    </w:p>
    <w:p w:rsidRPr="00A5001B" w:rsidR="00A5001B" w:rsidP="000F216A" w:rsidRDefault="00A5001B" w14:paraId="75A4BE32" w14:textId="77777777">
      <w:pPr>
        <w:numPr>
          <w:ilvl w:val="0"/>
          <w:numId w:val="54"/>
        </w:numPr>
        <w:overflowPunct w:val="0"/>
        <w:autoSpaceDE w:val="0"/>
        <w:autoSpaceDN w:val="0"/>
        <w:adjustRightInd w:val="0"/>
        <w:ind w:left="284" w:hanging="284"/>
        <w:textAlignment w:val="baseline"/>
        <w:rPr>
          <w:szCs w:val="20"/>
        </w:rPr>
      </w:pPr>
      <w:r>
        <w:t xml:space="preserve">esitab rea konkreetseid ettepanekuid majanduslike vahendite, keskkonnasäästlikkuse ning sotsiaalse ja ühiskondliku toetuse kohta, näiteks: </w:t>
      </w:r>
    </w:p>
    <w:p w:rsidRPr="003D6908" w:rsidR="00A5001B" w:rsidP="000F216A" w:rsidRDefault="00A5001B" w14:paraId="4C21814B" w14:textId="77777777">
      <w:pPr>
        <w:pStyle w:val="ListParagraph"/>
        <w:numPr>
          <w:ilvl w:val="0"/>
          <w:numId w:val="55"/>
        </w:numPr>
        <w:overflowPunct w:val="0"/>
        <w:autoSpaceDE w:val="0"/>
        <w:autoSpaceDN w:val="0"/>
        <w:adjustRightInd w:val="0"/>
        <w:ind w:left="567" w:hanging="283"/>
        <w:textAlignment w:val="baseline"/>
        <w:rPr>
          <w:szCs w:val="20"/>
        </w:rPr>
      </w:pPr>
      <w:r>
        <w:t xml:space="preserve">suurendada eelarvet ja tagada piisav rahastamine, et täita poliitilisi vajadusi ja ambitsioone ELi põllumajanduse, kalanduse ja toidu valdkonnas; </w:t>
      </w:r>
    </w:p>
    <w:p w:rsidRPr="003D6908" w:rsidR="00A5001B" w:rsidP="000F216A" w:rsidRDefault="00A5001B" w14:paraId="3C6A0146" w14:textId="77777777">
      <w:pPr>
        <w:pStyle w:val="ListParagraph"/>
        <w:numPr>
          <w:ilvl w:val="0"/>
          <w:numId w:val="55"/>
        </w:numPr>
        <w:overflowPunct w:val="0"/>
        <w:autoSpaceDE w:val="0"/>
        <w:autoSpaceDN w:val="0"/>
        <w:adjustRightInd w:val="0"/>
        <w:ind w:left="567" w:hanging="283"/>
        <w:textAlignment w:val="baseline"/>
        <w:rPr>
          <w:szCs w:val="20"/>
        </w:rPr>
      </w:pPr>
      <w:r>
        <w:t>tagada esmatootjatele õiglane ja majanduslikult jätkusuutlik sissetulek, näiteks kehtestades hinnagarantiid ja reguleerides võimutasakaalu toiduahelas ning võttes kasutusele vahendid ja mehhanismid, et muuta tootjahindade kindlaksmääramise viisi;</w:t>
      </w:r>
    </w:p>
    <w:p w:rsidRPr="003D6908" w:rsidR="00A5001B" w:rsidP="000F216A" w:rsidRDefault="00A5001B" w14:paraId="49BFAAE7" w14:textId="77777777">
      <w:pPr>
        <w:pStyle w:val="ListParagraph"/>
        <w:numPr>
          <w:ilvl w:val="0"/>
          <w:numId w:val="55"/>
        </w:numPr>
        <w:overflowPunct w:val="0"/>
        <w:autoSpaceDE w:val="0"/>
        <w:autoSpaceDN w:val="0"/>
        <w:adjustRightInd w:val="0"/>
        <w:ind w:left="567" w:hanging="283"/>
        <w:textAlignment w:val="baseline"/>
        <w:rPr>
          <w:szCs w:val="20"/>
        </w:rPr>
      </w:pPr>
      <w:r>
        <w:t xml:space="preserve">kavandada ja töötada välja selline kogu ELi hõlmav avalik-õigusliku kindlustuse süsteem loodusõnnetuste vastu, mida toetab avaliku sektori investeeringute kõrge tase; </w:t>
      </w:r>
    </w:p>
    <w:p w:rsidRPr="003D6908" w:rsidR="00A5001B" w:rsidP="000F216A" w:rsidRDefault="00A5001B" w14:paraId="590C3CE7" w14:textId="77777777">
      <w:pPr>
        <w:pStyle w:val="ListParagraph"/>
        <w:numPr>
          <w:ilvl w:val="0"/>
          <w:numId w:val="55"/>
        </w:numPr>
        <w:overflowPunct w:val="0"/>
        <w:autoSpaceDE w:val="0"/>
        <w:autoSpaceDN w:val="0"/>
        <w:adjustRightInd w:val="0"/>
        <w:ind w:left="567" w:hanging="283"/>
        <w:textAlignment w:val="baseline"/>
        <w:rPr>
          <w:szCs w:val="20"/>
        </w:rPr>
      </w:pPr>
      <w:r>
        <w:t>lihtsustada menetlusi ja vähendada bürokraatiat kogu toidutarneahelas;</w:t>
      </w:r>
    </w:p>
    <w:p w:rsidRPr="003D6908" w:rsidR="00A5001B" w:rsidP="000F216A" w:rsidRDefault="00A5001B" w14:paraId="458953B7" w14:textId="77777777">
      <w:pPr>
        <w:pStyle w:val="ListParagraph"/>
        <w:numPr>
          <w:ilvl w:val="0"/>
          <w:numId w:val="55"/>
        </w:numPr>
        <w:overflowPunct w:val="0"/>
        <w:autoSpaceDE w:val="0"/>
        <w:autoSpaceDN w:val="0"/>
        <w:adjustRightInd w:val="0"/>
        <w:ind w:left="567" w:hanging="283"/>
        <w:textAlignment w:val="baseline"/>
        <w:rPr>
          <w:szCs w:val="20"/>
        </w:rPr>
      </w:pPr>
      <w:r>
        <w:t xml:space="preserve">julgustada noori ja naisi põlvkondade vahetuse, hariduse ja koolituse edendamise kaudu; soodustada kogukonna toetatud põllumajandust ning suurendada toetust ühistutele ja sarnastele ühingumudelitele; </w:t>
      </w:r>
    </w:p>
    <w:p w:rsidRPr="003D6908" w:rsidR="00A5001B" w:rsidP="000F216A" w:rsidRDefault="00A5001B" w14:paraId="405D7F9A" w14:textId="77777777">
      <w:pPr>
        <w:pStyle w:val="ListParagraph"/>
        <w:numPr>
          <w:ilvl w:val="0"/>
          <w:numId w:val="55"/>
        </w:numPr>
        <w:overflowPunct w:val="0"/>
        <w:autoSpaceDE w:val="0"/>
        <w:autoSpaceDN w:val="0"/>
        <w:adjustRightInd w:val="0"/>
        <w:ind w:left="567" w:hanging="283"/>
        <w:textAlignment w:val="baseline"/>
        <w:rPr>
          <w:szCs w:val="20"/>
        </w:rPr>
      </w:pPr>
      <w:r>
        <w:t xml:space="preserve">taastada mulla seisund, suurendada veekasutuse tõhusust selliste tehnoloogiate abil, mis vähendavad veekasutust, näiteks täppisniisutamine; </w:t>
      </w:r>
    </w:p>
    <w:p w:rsidRPr="003D6908" w:rsidR="00A5001B" w:rsidP="000F216A" w:rsidRDefault="00A5001B" w14:paraId="5DF514E7" w14:textId="77777777">
      <w:pPr>
        <w:pStyle w:val="ListParagraph"/>
        <w:numPr>
          <w:ilvl w:val="0"/>
          <w:numId w:val="55"/>
        </w:numPr>
        <w:overflowPunct w:val="0"/>
        <w:autoSpaceDE w:val="0"/>
        <w:autoSpaceDN w:val="0"/>
        <w:adjustRightInd w:val="0"/>
        <w:ind w:left="567" w:hanging="283"/>
        <w:textAlignment w:val="baseline"/>
        <w:rPr>
          <w:szCs w:val="20"/>
        </w:rPr>
      </w:pPr>
      <w:r>
        <w:t xml:space="preserve">premeerida süsiniku sidumise eest ja vältida kasvuhoonegaaside heite ülekandumist; </w:t>
      </w:r>
    </w:p>
    <w:p w:rsidRPr="003D6908" w:rsidR="00A5001B" w:rsidP="000F216A" w:rsidRDefault="00A5001B" w14:paraId="1E2FD995" w14:textId="77777777">
      <w:pPr>
        <w:pStyle w:val="ListParagraph"/>
        <w:numPr>
          <w:ilvl w:val="0"/>
          <w:numId w:val="55"/>
        </w:numPr>
        <w:overflowPunct w:val="0"/>
        <w:autoSpaceDE w:val="0"/>
        <w:autoSpaceDN w:val="0"/>
        <w:adjustRightInd w:val="0"/>
        <w:ind w:left="567" w:hanging="283"/>
        <w:textAlignment w:val="baseline"/>
        <w:rPr>
          <w:szCs w:val="20"/>
        </w:rPr>
      </w:pPr>
      <w:r>
        <w:t>tagada ebaausate kaubandustavade vastaste eeskirjade tõhus jõustamine ja nende eeskirjade kohaldamise ühtlustamine Euroopa tasandil ning keelata omahinnast madalamad hinnad;</w:t>
      </w:r>
    </w:p>
    <w:p w:rsidRPr="003D6908" w:rsidR="00A5001B" w:rsidP="000F216A" w:rsidRDefault="00A5001B" w14:paraId="2CBADFAE" w14:textId="77777777">
      <w:pPr>
        <w:pStyle w:val="ListParagraph"/>
        <w:numPr>
          <w:ilvl w:val="0"/>
          <w:numId w:val="55"/>
        </w:numPr>
        <w:overflowPunct w:val="0"/>
        <w:autoSpaceDE w:val="0"/>
        <w:autoSpaceDN w:val="0"/>
        <w:adjustRightInd w:val="0"/>
        <w:ind w:left="567" w:hanging="283"/>
        <w:textAlignment w:val="baseline"/>
        <w:rPr>
          <w:szCs w:val="20"/>
        </w:rPr>
      </w:pPr>
      <w:r>
        <w:t xml:space="preserve">tugevdada toiduga kindlustatust ja strateegilist sõltumatust, vähendades sõltuvust impordist; </w:t>
      </w:r>
    </w:p>
    <w:p w:rsidRPr="003D6908" w:rsidR="00A5001B" w:rsidP="000F216A" w:rsidRDefault="00A5001B" w14:paraId="1823D2AE" w14:textId="77777777">
      <w:pPr>
        <w:pStyle w:val="ListParagraph"/>
        <w:numPr>
          <w:ilvl w:val="0"/>
          <w:numId w:val="55"/>
        </w:numPr>
        <w:overflowPunct w:val="0"/>
        <w:autoSpaceDE w:val="0"/>
        <w:autoSpaceDN w:val="0"/>
        <w:adjustRightInd w:val="0"/>
        <w:ind w:left="567" w:hanging="283"/>
        <w:textAlignment w:val="baseline"/>
        <w:rPr>
          <w:szCs w:val="20"/>
        </w:rPr>
      </w:pPr>
      <w:r>
        <w:t>reguleerida kaubavooge, et vältida tarbetuid turuhäireid, ning luua digikeskus hindade ja kulude kohta andmete kogumiseks, et muuta toiduainete tarneahel läbipaistvamaks;</w:t>
      </w:r>
    </w:p>
    <w:p w:rsidRPr="003D6908" w:rsidR="00A5001B" w:rsidP="000F216A"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zCs w:val="20"/>
        </w:rPr>
      </w:pPr>
      <w:r>
        <w:t>kasutada tooraine ja töödeldud toodete päritolu märgistamist kui võimalust edendada stabiilseid suhteid tootjate ja tööstuse vahel ning tarbijate teavitamise viisi;</w:t>
      </w:r>
    </w:p>
    <w:p w:rsidRPr="003D6908" w:rsidR="00A5001B" w:rsidP="000F216A"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Cs w:val="20"/>
        </w:rPr>
      </w:pPr>
      <w:r>
        <w:t>luua Euroopa toidupoliitika nõukogu (EFPC) kui toiduga seotud küsimusi käsitleva dialoogi tugevdamise platvorm. See ettepanek sarnaneb strateegilise dialoogi raames esitatud ettepanekule.</w:t>
      </w:r>
    </w:p>
    <w:p w:rsidRPr="000F216A"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5001B" w:rsidTr="00F324F7" w14:paraId="1776179E" w14:textId="77777777">
        <w:tc>
          <w:tcPr>
            <w:tcW w:w="1556" w:type="pct"/>
          </w:tcPr>
          <w:p w:rsidRPr="000F216A"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A5001B" w:rsidP="00A5001B" w:rsidRDefault="00A5001B" w14:paraId="555ACCF8" w14:textId="5CF92EDB">
            <w:pPr>
              <w:overflowPunct w:val="0"/>
              <w:autoSpaceDE w:val="0"/>
              <w:autoSpaceDN w:val="0"/>
              <w:adjustRightInd w:val="0"/>
              <w:spacing w:line="240" w:lineRule="auto"/>
              <w:textAlignment w:val="baseline"/>
              <w:rPr>
                <w:i/>
                <w:sz w:val="22"/>
                <w:szCs w:val="22"/>
              </w:rPr>
            </w:pPr>
            <w:proofErr w:type="spellStart"/>
            <w:r>
              <w:rPr>
                <w:i/>
              </w:rPr>
              <w:t>Myrto</w:t>
            </w:r>
            <w:proofErr w:type="spellEnd"/>
            <w:r>
              <w:rPr>
                <w:i/>
              </w:rPr>
              <w:t xml:space="preserve"> </w:t>
            </w:r>
            <w:proofErr w:type="spellStart"/>
            <w:r>
              <w:rPr>
                <w:i/>
              </w:rPr>
              <w:t>Kolyva</w:t>
            </w:r>
            <w:proofErr w:type="spellEnd"/>
          </w:p>
        </w:tc>
      </w:tr>
      <w:tr w:rsidRPr="00347517" w:rsidR="00A5001B" w:rsidTr="00F324F7" w14:paraId="2C54CCC3" w14:textId="77777777">
        <w:tc>
          <w:tcPr>
            <w:tcW w:w="1556" w:type="pct"/>
          </w:tcPr>
          <w:p w:rsidRPr="000F216A"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+32 25468718</w:t>
            </w:r>
          </w:p>
        </w:tc>
      </w:tr>
      <w:tr w:rsidRPr="00347517" w:rsidR="00A5001B" w:rsidTr="00F324F7" w14:paraId="1D7A0571" w14:textId="77777777">
        <w:tc>
          <w:tcPr>
            <w:tcW w:w="1556" w:type="pct"/>
          </w:tcPr>
          <w:p w:rsidRPr="000F216A"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A5001B" w:rsidP="00A5001B" w:rsidRDefault="002E1A6E" w14:paraId="544606A7" w14:textId="3FD06458">
            <w:pPr>
              <w:overflowPunct w:val="0"/>
              <w:autoSpaceDE w:val="0"/>
              <w:autoSpaceDN w:val="0"/>
              <w:adjustRightInd w:val="0"/>
              <w:spacing w:line="240" w:lineRule="auto"/>
              <w:textAlignment w:val="baseline"/>
              <w:rPr>
                <w:i/>
                <w:sz w:val="22"/>
                <w:szCs w:val="22"/>
              </w:rPr>
            </w:pPr>
            <w:hyperlink w:history="1" r:id="rId62">
              <w:r w:rsidR="007E03C9">
                <w:rPr>
                  <w:color w:val="0000FF"/>
                  <w:u w:val="single"/>
                </w:rPr>
                <w:t>Myrto.Kolyva@eesc.europa.eu</w:t>
              </w:r>
            </w:hyperlink>
            <w:r w:rsidR="007E03C9">
              <w:rPr>
                <w:sz w:val="22"/>
              </w:rPr>
              <w:t xml:space="preserve"> </w:t>
            </w:r>
          </w:p>
        </w:tc>
      </w:tr>
    </w:tbl>
    <w:p w:rsidR="00347517" w:rsidRDefault="00347517" w14:paraId="6D395A4D" w14:textId="733D0A73">
      <w:pPr>
        <w:spacing w:after="160" w:line="259" w:lineRule="auto"/>
        <w:jc w:val="left"/>
      </w:pPr>
    </w:p>
    <w:p w:rsidR="00347517" w:rsidP="000F216A" w:rsidRDefault="002E1A6E" w14:paraId="15E442EF" w14:textId="5D877FBD">
      <w:pPr>
        <w:widowControl w:val="0"/>
        <w:numPr>
          <w:ilvl w:val="0"/>
          <w:numId w:val="20"/>
        </w:numPr>
        <w:overflowPunct w:val="0"/>
        <w:autoSpaceDE w:val="0"/>
        <w:autoSpaceDN w:val="0"/>
        <w:adjustRightInd w:val="0"/>
        <w:ind w:left="567" w:hanging="425"/>
        <w:textAlignment w:val="baseline"/>
      </w:pPr>
      <w:hyperlink w:history="1" r:id="rId63">
        <w:r w:rsidR="00594F3A">
          <w:rPr>
            <w:rStyle w:val="Hyperlink"/>
            <w:b/>
            <w:i/>
            <w:sz w:val="28"/>
          </w:rPr>
          <w:t xml:space="preserve">Ringmajanduse ja </w:t>
        </w:r>
        <w:proofErr w:type="spellStart"/>
        <w:r w:rsidR="00594F3A">
          <w:rPr>
            <w:rStyle w:val="Hyperlink"/>
            <w:b/>
            <w:i/>
            <w:sz w:val="28"/>
          </w:rPr>
          <w:t>biomajanduse</w:t>
        </w:r>
        <w:proofErr w:type="spellEnd"/>
        <w:r w:rsidR="00594F3A">
          <w:rPr>
            <w:rStyle w:val="Hyperlink"/>
            <w:b/>
            <w:i/>
            <w:sz w:val="28"/>
          </w:rPr>
          <w:t xml:space="preserve"> kooskõlastamine ELi ja liikmesriikide tasandil</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Raportöör</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proofErr w:type="spellStart"/>
            <w:r>
              <w:rPr>
                <w:b/>
              </w:rPr>
              <w:t>Cillian</w:t>
            </w:r>
            <w:proofErr w:type="spellEnd"/>
            <w:r>
              <w:rPr>
                <w:b/>
              </w:rPr>
              <w:t xml:space="preserve"> LOHAN</w:t>
            </w:r>
            <w:r>
              <w:t xml:space="preserve"> (kodanikuühiskonna organisatsioonide rühm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Pr>
                <w:b/>
              </w:rPr>
              <w:t>Viitedokumendid</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pPr>
            <w:r>
              <w:t>Omaalgatuslik arvamus</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Põhipunktid</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Euroopa Majandus- ja Sotsiaalkomitee:</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rõhutab, et tuleb luua </w:t>
      </w:r>
      <w:r>
        <w:rPr>
          <w:b/>
        </w:rPr>
        <w:t>seos</w:t>
      </w:r>
      <w:r>
        <w:t xml:space="preserve"> Euroopa rohelise kokkuleppe, kestliku arengu kohustuste, ringmajanduse ning laiemate kliima- ja elurikkuse eesmärkidega. </w:t>
      </w:r>
      <w:r>
        <w:rPr>
          <w:b/>
        </w:rPr>
        <w:t xml:space="preserve">Jõuline </w:t>
      </w:r>
      <w:proofErr w:type="spellStart"/>
      <w:r>
        <w:rPr>
          <w:b/>
        </w:rPr>
        <w:t>biomajandus</w:t>
      </w:r>
      <w:proofErr w:type="spellEnd"/>
      <w:r>
        <w:rPr>
          <w:b/>
        </w:rPr>
        <w:t xml:space="preserve"> täiendab ringmajanduse valdkonnas tehtud edusamme ja võimaldab konkurentsivõimelist majanduskasvu meie planeedi taluvuspiirides</w:t>
      </w:r>
      <w:r>
        <w:t xml:space="preserve"> kooskõlas kestliku arenguga;</w:t>
      </w:r>
    </w:p>
    <w:p w:rsidRPr="00CA050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leiab, et </w:t>
      </w:r>
      <w:r>
        <w:rPr>
          <w:b/>
        </w:rPr>
        <w:t>EL peab ära kasutama võimaluse saada ülemaailmseks liidriks</w:t>
      </w:r>
      <w:r>
        <w:t xml:space="preserve"> ning koostama selleks väga ambitsioonika ja sidusa </w:t>
      </w:r>
      <w:proofErr w:type="spellStart"/>
      <w:r>
        <w:t>biomajanduse</w:t>
      </w:r>
      <w:proofErr w:type="spellEnd"/>
      <w:r>
        <w:t xml:space="preserve"> strateegia. Tuleb luua võimalikult palju hästi tasustatud </w:t>
      </w:r>
      <w:proofErr w:type="spellStart"/>
      <w:r>
        <w:t>kestlikke</w:t>
      </w:r>
      <w:proofErr w:type="spellEnd"/>
      <w:r>
        <w:t xml:space="preserve"> töökohti, sealhulgas maa- ja äärepoolsetes piirkondades. </w:t>
      </w:r>
      <w:r>
        <w:rPr>
          <w:b/>
        </w:rPr>
        <w:t>Olemasolevat tehnoloogiat</w:t>
      </w:r>
      <w:r>
        <w:t xml:space="preserve"> saab kasutada hädavajalike toodete ja teenuste turule toomiseks ja </w:t>
      </w:r>
      <w:r>
        <w:rPr>
          <w:b/>
        </w:rPr>
        <w:t>innovatsiooni edendamiseks</w:t>
      </w:r>
      <w:r>
        <w:t xml:space="preserve"> ning seda peab toetama </w:t>
      </w:r>
      <w:r>
        <w:rPr>
          <w:b/>
        </w:rPr>
        <w:t>tugev ja omavahel seotud ringlust käsitlev õigusaktide pakett</w:t>
      </w:r>
      <w:r>
        <w:t>;</w:t>
      </w:r>
    </w:p>
    <w:p w:rsidRPr="00A5001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 xml:space="preserve">on seisukohal, et EL vajab </w:t>
      </w:r>
      <w:proofErr w:type="spellStart"/>
      <w:r>
        <w:rPr>
          <w:b/>
        </w:rPr>
        <w:t>biomajanduse</w:t>
      </w:r>
      <w:proofErr w:type="spellEnd"/>
      <w:r>
        <w:rPr>
          <w:b/>
        </w:rPr>
        <w:t xml:space="preserve"> mõiste selgelt määratlemist</w:t>
      </w:r>
      <w:r>
        <w:t>, et tõsta üheselt mõistetavalt esile selle seos ringmajandusega ja selle potentsiaal kestliku arengu saavutamise vahendina.</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0F216A"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Kontaktisik</w:t>
            </w:r>
          </w:p>
        </w:tc>
        <w:tc>
          <w:tcPr>
            <w:tcW w:w="5670" w:type="dxa"/>
          </w:tcPr>
          <w:p w:rsidRPr="000F216A"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t xml:space="preserve">Caroline </w:t>
            </w:r>
            <w:proofErr w:type="spellStart"/>
            <w:r>
              <w:t>Verhelst</w:t>
            </w:r>
            <w:proofErr w:type="spellEnd"/>
          </w:p>
        </w:tc>
      </w:tr>
      <w:tr w:rsidRPr="00594F3A" w:rsidR="00A5001B" w:rsidTr="00F324F7" w14:paraId="1067EBD6" w14:textId="77777777">
        <w:tc>
          <w:tcPr>
            <w:tcW w:w="1634" w:type="dxa"/>
          </w:tcPr>
          <w:p w:rsidRPr="000F216A"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Tel</w:t>
            </w:r>
          </w:p>
        </w:tc>
        <w:tc>
          <w:tcPr>
            <w:tcW w:w="5670" w:type="dxa"/>
          </w:tcPr>
          <w:p w:rsidRPr="000F216A"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+32 25469497</w:t>
            </w:r>
          </w:p>
        </w:tc>
      </w:tr>
      <w:tr w:rsidRPr="00594F3A" w:rsidR="00A5001B" w:rsidTr="00F324F7" w14:paraId="2AE4390F" w14:textId="77777777">
        <w:tc>
          <w:tcPr>
            <w:tcW w:w="1634" w:type="dxa"/>
          </w:tcPr>
          <w:p w:rsidRPr="000F216A"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E-post</w:t>
            </w:r>
          </w:p>
        </w:tc>
        <w:tc>
          <w:tcPr>
            <w:tcW w:w="5670" w:type="dxa"/>
          </w:tcPr>
          <w:p w:rsidRPr="000F216A" w:rsidR="00A5001B" w:rsidP="000F216A" w:rsidRDefault="002E1A6E"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00A5001B">
                <w:rPr>
                  <w:i/>
                  <w:color w:val="0000FF"/>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3183809" w:id="13"/>
      <w:r>
        <w:lastRenderedPageBreak/>
        <w:t>VÄLISSUHETE SEKTSIOON</w:t>
      </w:r>
      <w:bookmarkEnd w:id="13"/>
    </w:p>
    <w:p w:rsidR="007F5784" w:rsidP="007F5784" w:rsidRDefault="007F5784" w14:paraId="3BBB3E68" w14:textId="77777777"/>
    <w:p w:rsidRPr="00634C99" w:rsidR="00634C99" w:rsidP="00634C99" w:rsidRDefault="002E1A6E"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276FC9">
          <w:rPr>
            <w:b/>
            <w:i/>
            <w:color w:val="0000FF"/>
            <w:sz w:val="28"/>
            <w:u w:val="single"/>
          </w:rPr>
          <w:t>ELi viisanõudest vabastamise peatamise korra läbivaatamine</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594F3A" w:rsidR="00634C99" w:rsidTr="00F324F7"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Raportöör</w:t>
            </w:r>
          </w:p>
        </w:tc>
        <w:tc>
          <w:tcPr>
            <w:tcW w:w="5387"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proofErr w:type="spellStart"/>
            <w:r>
              <w:t>Ionuţ</w:t>
            </w:r>
            <w:proofErr w:type="spellEnd"/>
            <w:r>
              <w:t xml:space="preserve"> SIBIAN (kodanikuühiskonna organisatsioonide rühm – RO)</w:t>
            </w:r>
          </w:p>
        </w:tc>
      </w:tr>
      <w:tr w:rsidRPr="00594F3A" w:rsidR="00634C99" w:rsidTr="00F324F7" w14:paraId="7068400F" w14:textId="77777777">
        <w:tc>
          <w:tcPr>
            <w:tcW w:w="7088"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F324F7"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rPr>
              <w:t>Viitedokumendid</w:t>
            </w:r>
          </w:p>
        </w:tc>
        <w:tc>
          <w:tcPr>
            <w:tcW w:w="5387" w:type="dxa"/>
          </w:tcPr>
          <w:p w:rsidRPr="000F216A"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Omaalgatuslik arvamus</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F324F7"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Põhipunktid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r>
        <w:t>Euroopa Majandus- ja Sotsiaalkomitee:</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77777777">
      <w:pPr>
        <w:numPr>
          <w:ilvl w:val="0"/>
          <w:numId w:val="57"/>
        </w:numPr>
        <w:overflowPunct w:val="0"/>
        <w:autoSpaceDE w:val="0"/>
        <w:autoSpaceDN w:val="0"/>
        <w:adjustRightInd w:val="0"/>
        <w:ind w:left="284" w:hanging="284"/>
        <w:textAlignment w:val="baseline"/>
        <w:rPr>
          <w:bCs/>
          <w:iCs/>
        </w:rPr>
      </w:pPr>
      <w:r>
        <w:t xml:space="preserve">tunnistab viisavaba reisimise eeliseid mõlema poole kodanike jaoks ning viisavabaduse positiivset mõju ELi ja tema partnerite vaheliste suhete edasisele tugevdamisele. ELi viisapoliitika peaks jääma vahendiks, mis hõlbustab </w:t>
      </w:r>
      <w:proofErr w:type="spellStart"/>
      <w:r>
        <w:t>inimestevahelisi</w:t>
      </w:r>
      <w:proofErr w:type="spellEnd"/>
      <w:r>
        <w:t xml:space="preserve"> kontakte, turismi ja äritegevust, hoides samal ajal ära julgeolekuriskid ELile;</w:t>
      </w:r>
    </w:p>
    <w:p w:rsidRPr="00634C99"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tunnistab, et hiljutised geopoliitilised sündmused on tugevalt mõjutanud ELi ja selle välispiiride julgeolekut. Seetõttu toetab komitee ideed, et EL peaks olema täielikult valmis kiiresti reageerima mitmesugustele võimalikele tulevastele julgeolekuriskidele, sealhulgas hübriidohtudele;</w:t>
      </w:r>
    </w:p>
    <w:p w:rsidRPr="00634C99"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leiab, et võimalusel tuleks peatamiskorra käivitamise kriteeriume täpsustada ja samal ajal tagada kriteeriumite piisav paindlikkus, et neid saaks vajaduse korral tõhusalt ja kiiresti kohaldada;</w:t>
      </w:r>
    </w:p>
    <w:p w:rsidRPr="00634C99"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soovitab komisjonil hinnata viisanõudest vabastamise peatamise vajalikkust, proportsionaalsust ja tagajärgi, võttes arvesse, millised on liidu ja selle liikmesriikide üldised suhted asjaomase kolmanda riigiga, mil määral peatamine aitaks olukorda parandada ning milline oleks peatamise mõju asjaomase riigi kodanike õigustele;</w:t>
      </w:r>
    </w:p>
    <w:p w:rsidRPr="00634C99"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leiab, et tähelepanu tuleks pöörata inimõiguste kaitsjate liikuvusvajadustele (eriti kui inimõiguste olukord asjaomases kolmandas riigis halveneb) ning võimalikele ohtudele nende tööle ja isiklikule julgeolekule, mis tuleneksid peatamiskorra aktiveerimisest nende riigi suhtes;</w:t>
      </w:r>
    </w:p>
    <w:p w:rsidRPr="00634C99"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on seisukohal, et investoritele kodakondsuse andmise kavad, mida rakendavad kolmandad riigid, kelle kodanikud võivad ELi reisida viisavabalt, kujutavad endast ohtu liikmesriikide avalikule korrale ja sisejulgeolekule. Peaks olema võimalik peatada kolmandate riikide viisanõudest vabastamine, kui need riigid on otsustanud rakendada investoritele kodakondsuse andmise kava, mille kaudu antakse kodakondsus, ilma et investoril oleks asjaomase riigiga tegelikku seost.</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634C99" w:rsidTr="00F324F7" w14:paraId="0A94CCBE" w14:textId="77777777">
        <w:tc>
          <w:tcPr>
            <w:tcW w:w="1418" w:type="dxa"/>
          </w:tcPr>
          <w:p w:rsidRPr="000F216A"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Pr>
                <w:i/>
              </w:rPr>
              <w:t xml:space="preserve">Sabrina </w:t>
            </w:r>
            <w:proofErr w:type="spellStart"/>
            <w:r>
              <w:rPr>
                <w:i/>
              </w:rPr>
              <w:t>Tesoka</w:t>
            </w:r>
            <w:proofErr w:type="spellEnd"/>
          </w:p>
        </w:tc>
      </w:tr>
      <w:tr w:rsidRPr="00594F3A" w:rsidR="00634C99" w:rsidTr="00F324F7" w14:paraId="45351054" w14:textId="77777777">
        <w:tc>
          <w:tcPr>
            <w:tcW w:w="1418" w:type="dxa"/>
          </w:tcPr>
          <w:p w:rsidRPr="000F216A"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+32 25469552</w:t>
            </w:r>
          </w:p>
        </w:tc>
      </w:tr>
      <w:tr w:rsidRPr="00594F3A" w:rsidR="00634C99" w:rsidTr="00F324F7" w14:paraId="6295E192" w14:textId="77777777">
        <w:tc>
          <w:tcPr>
            <w:tcW w:w="1418" w:type="dxa"/>
          </w:tcPr>
          <w:p w:rsidRPr="000F216A"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634C99" w:rsidP="00634C99" w:rsidRDefault="002E1A6E" w14:paraId="2D9FB2AA" w14:textId="27F01CD9">
            <w:pPr>
              <w:overflowPunct w:val="0"/>
              <w:autoSpaceDE w:val="0"/>
              <w:autoSpaceDN w:val="0"/>
              <w:adjustRightInd w:val="0"/>
              <w:spacing w:line="240" w:lineRule="auto"/>
              <w:textAlignment w:val="baseline"/>
              <w:rPr>
                <w:i/>
                <w:sz w:val="22"/>
                <w:szCs w:val="22"/>
              </w:rPr>
            </w:pPr>
            <w:hyperlink w:history="1" r:id="rId66">
              <w:r w:rsidR="007E03C9">
                <w:rPr>
                  <w:i/>
                  <w:color w:val="0000FF"/>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3183810" w:id="14"/>
      <w:r>
        <w:lastRenderedPageBreak/>
        <w:t>TÖÖSTUSE MUUTUSTE NÕUANDEKOMISJON</w:t>
      </w:r>
      <w:bookmarkEnd w:id="14"/>
    </w:p>
    <w:p w:rsidR="006D2C8A" w:rsidP="006D2C8A" w:rsidRDefault="006D2C8A" w14:paraId="713E272F" w14:textId="77777777"/>
    <w:p w:rsidRPr="00436222" w:rsidR="00436222" w:rsidP="00436222" w:rsidRDefault="002E1A6E"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436222">
          <w:rPr>
            <w:b/>
            <w:i/>
            <w:color w:val="0000FF"/>
            <w:sz w:val="28"/>
            <w:u w:val="single"/>
          </w:rPr>
          <w:t>Kokkuvõte puhtale energiale ülemineku dialoogide tulemustest</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Raportöör</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proofErr w:type="spellStart"/>
            <w:r>
              <w:t>Konstantinos</w:t>
            </w:r>
            <w:proofErr w:type="spellEnd"/>
            <w:r>
              <w:t xml:space="preserve"> DIAMANTOUROS (tööandjate rühm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Kaasraportöör</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(3. kat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rPr>
              <w:t>Viitedokumendid</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 xml:space="preserve">COM(2024) 163 </w:t>
            </w:r>
            <w:proofErr w:type="spellStart"/>
            <w:r>
              <w:t>final</w:t>
            </w:r>
            <w:proofErr w:type="spellEnd"/>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Euroopa Majandus- ja Sotsiaalkomitee:</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 xml:space="preserve">on veendunud, et selleks, et tagada Euroopa rohelise kokkuleppe edu kliimaalasest ja </w:t>
      </w:r>
      <w:proofErr w:type="spellStart"/>
      <w:r>
        <w:t>sotsiaal-majanduslikust</w:t>
      </w:r>
      <w:proofErr w:type="spellEnd"/>
      <w:r>
        <w:t xml:space="preserve"> perspektiivist, on vaja uut, palju julgemat ja suuremate eesmärkidega lähenemisviisi koos selge elluviimisraamistikuga. Tarvis on uut konkurentsivõime kokkulepet, et edendada ja kaitsta ELi tööstust ja tööhõivet;</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märgib, et uus konkurentsivõime kokkulepe peaks hõlmama järgmist:</w:t>
      </w:r>
    </w:p>
    <w:p w:rsidRPr="00AB39AA"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palju kiiremad loamenetlused (sealhulgas ajapiirangud keskkonnaga seotud vastuväidete läbivaatamiseks kohtutes); </w:t>
      </w:r>
    </w:p>
    <w:p w:rsidRPr="00AB39AA"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täpsem kliimaeesmärkide suunas tehtavate edusammude mõõtmise viis, milles võetakse arvesse imporditud kaupade CO</w:t>
      </w:r>
      <w:r>
        <w:rPr>
          <w:vertAlign w:val="subscript"/>
        </w:rPr>
        <w:t>2</w:t>
      </w:r>
      <w:r>
        <w:t> jalajälge, selle asemel, et arvestada vaid Euroopas tekkinud heite koguseid;</w:t>
      </w:r>
    </w:p>
    <w:p w:rsidRPr="00AB39AA"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tugevam kasvuhoonegaaside heite ülekandumise vastane kaitse, et säilitada Euroopa ettevõtetele võrdsed tingimused;</w:t>
      </w:r>
    </w:p>
    <w:p w:rsidRPr="00AB39AA"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tehnoloogianeutraalne energiapoliitika, mis loob suurema pikaajalise stabiilsuse, tagab üle maailma konkurentsivõimelised hinnad ja tunnistab üleminekuperioodil vajadust investeerida stabiilsetesse vähese CO</w:t>
      </w:r>
      <w:r>
        <w:rPr>
          <w:vertAlign w:val="subscript"/>
        </w:rPr>
        <w:t>2</w:t>
      </w:r>
      <w:r>
        <w:t xml:space="preserve"> heitega energiaallikatesse; </w:t>
      </w:r>
    </w:p>
    <w:p w:rsidRPr="00AB39AA"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kiireloomulised suured investeeringud jaotus- ja ülekandevõrkudesse ning sadamatesse, et soodustada avamere taastuvenergia arendusi;</w:t>
      </w:r>
    </w:p>
    <w:p w:rsidRPr="00AB39AA"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spetsiaalne rahastamisvahend kriitilise toorme tootmise ja nullnetotehnoloogia toetamiseks; </w:t>
      </w:r>
    </w:p>
    <w:p w:rsidRPr="00AB39AA"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õiglase ülemineku raamistik, mis pakub töötajatele ulatuslikku ümber- ja täiendusõpet. </w:t>
      </w:r>
    </w:p>
    <w:p w:rsidRPr="00AB39AA"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toetab küll täielikult Euroopa rohelise kokkuleppe eesmärke, kuid leiab, et osa selle poliitika aspekte on avaldanud negatiivset mõju ELi tööhõivele ja konkurentsivõimele ning on suurendanud kasvuhoonegaaside heite ülekandumise tõttu üleilmseid heitkoguseid.</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436222" w:rsidTr="00F324F7" w14:paraId="42071E27" w14:textId="77777777">
        <w:tc>
          <w:tcPr>
            <w:tcW w:w="1556" w:type="pct"/>
          </w:tcPr>
          <w:p w:rsidRPr="000F216A"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Kontaktisik</w:t>
            </w:r>
          </w:p>
        </w:tc>
        <w:tc>
          <w:tcPr>
            <w:tcW w:w="3444" w:type="pct"/>
          </w:tcPr>
          <w:p w:rsidRPr="000F216A"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proofErr w:type="spellStart"/>
            <w:r>
              <w:rPr>
                <w:i/>
              </w:rPr>
              <w:t>Ioannis</w:t>
            </w:r>
            <w:proofErr w:type="spellEnd"/>
            <w:r>
              <w:rPr>
                <w:i/>
              </w:rPr>
              <w:t xml:space="preserve"> </w:t>
            </w:r>
            <w:proofErr w:type="spellStart"/>
            <w:r>
              <w:rPr>
                <w:i/>
              </w:rPr>
              <w:t>Diamantopoulos</w:t>
            </w:r>
            <w:proofErr w:type="spellEnd"/>
          </w:p>
        </w:tc>
      </w:tr>
      <w:tr w:rsidRPr="00594F3A" w:rsidR="00436222" w:rsidTr="00F324F7" w14:paraId="49E75BC3" w14:textId="77777777">
        <w:tc>
          <w:tcPr>
            <w:tcW w:w="1556" w:type="pct"/>
          </w:tcPr>
          <w:p w:rsidRPr="000F216A"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Tel</w:t>
            </w:r>
          </w:p>
        </w:tc>
        <w:tc>
          <w:tcPr>
            <w:tcW w:w="3444" w:type="pct"/>
          </w:tcPr>
          <w:p w:rsidRPr="000F216A"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+32 25469170</w:t>
            </w:r>
          </w:p>
        </w:tc>
      </w:tr>
      <w:tr w:rsidRPr="00594F3A" w:rsidR="00436222" w:rsidTr="00F324F7" w14:paraId="47287801" w14:textId="77777777">
        <w:tc>
          <w:tcPr>
            <w:tcW w:w="1556" w:type="pct"/>
          </w:tcPr>
          <w:p w:rsidRPr="000F216A"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436222" w:rsidP="00436222" w:rsidRDefault="002E1A6E"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007E03C9">
                <w:rPr>
                  <w:i/>
                  <w:color w:val="0000FF"/>
                  <w:u w:val="single"/>
                </w:rPr>
                <w:t>Ioannis.Diamantopoulos@eesc.europa.eu</w:t>
              </w:r>
            </w:hyperlink>
            <w:r w:rsidR="007E03C9">
              <w:rPr>
                <w:i/>
                <w:sz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2E1A6E"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276FC9">
          <w:rPr>
            <w:b/>
            <w:i/>
            <w:color w:val="0000FF"/>
            <w:sz w:val="28"/>
            <w:u w:val="single"/>
          </w:rPr>
          <w:t>Jäätmejaamast ressursijaamaks</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Raportöör</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(kodanikuühiskonna organisatsioonide rühm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rPr>
              <w:t>Kaasraportöör</w:t>
            </w:r>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proofErr w:type="spellStart"/>
            <w:r>
              <w:t>Michal</w:t>
            </w:r>
            <w:proofErr w:type="spellEnd"/>
            <w:r>
              <w:t xml:space="preserve"> PINTÉR (1. kat – 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rPr>
              <w:t>Viitedokumendid</w:t>
            </w:r>
          </w:p>
        </w:tc>
        <w:tc>
          <w:tcPr>
            <w:tcW w:w="6204"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pPr>
            <w:r>
              <w:t>Omaalgatuslik arvamus</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Euroopa Majandus- ja Sotsiaalkomitee:</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peab väga oluliseks seada</w:t>
      </w:r>
      <w:r>
        <w:rPr>
          <w:b/>
        </w:rPr>
        <w:t xml:space="preserve"> prioriteediks ELi tasandi arutelud jäätmekäitluse üle</w:t>
      </w:r>
      <w:r>
        <w:t xml:space="preserve"> ja </w:t>
      </w:r>
      <w:r>
        <w:rPr>
          <w:b/>
        </w:rPr>
        <w:t>viia ellu läbivaadatud strateegia</w:t>
      </w:r>
      <w:r>
        <w:t>, et kaasata teedrajavaid projekte, mille eesmärk on tõhustada ringlussevõttu ja ressursside taaskasutamist, vähendades samal ajal ka prügilate tähtsust;</w:t>
      </w:r>
    </w:p>
    <w:p w:rsidRPr="00430D17"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nõuab </w:t>
      </w:r>
      <w:r>
        <w:rPr>
          <w:b/>
        </w:rPr>
        <w:t>ELi tasandi järelevalvet, et tegeleda rikkumistega</w:t>
      </w:r>
      <w:r>
        <w:t xml:space="preserve"> ja ühtlustada tooteahelad tulevaste investeeringute abil;</w:t>
      </w:r>
    </w:p>
    <w:p w:rsidRPr="00430D17"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t xml:space="preserve">nõuab tungivalt </w:t>
      </w:r>
      <w:r>
        <w:rPr>
          <w:b/>
        </w:rPr>
        <w:t>täiendavaid ELi ja riiklikke poliitikameetmeid</w:t>
      </w:r>
      <w:r>
        <w:t xml:space="preserve">, et </w:t>
      </w:r>
      <w:r>
        <w:rPr>
          <w:b/>
        </w:rPr>
        <w:t xml:space="preserve">tõhustada </w:t>
      </w:r>
      <w:proofErr w:type="spellStart"/>
      <w:r>
        <w:rPr>
          <w:b/>
        </w:rPr>
        <w:t>jäätmekogumissüsteeme</w:t>
      </w:r>
      <w:proofErr w:type="spellEnd"/>
      <w:r>
        <w:rPr>
          <w:b/>
        </w:rPr>
        <w:t>, investeerida täiustatud sortimistehnoloogiatesse, jõustada tõhusalt kehtivaid eeskirju</w:t>
      </w:r>
      <w:r>
        <w:t xml:space="preserve"> ning </w:t>
      </w:r>
      <w:r>
        <w:rPr>
          <w:b/>
        </w:rPr>
        <w:t>kehtestada liikmesriikides ühtlustatud trahvid</w:t>
      </w:r>
      <w:r>
        <w:t xml:space="preserve"> jäätmetega seotud ebaseadusliku tegevuse vastu võitlemiseks;</w:t>
      </w:r>
    </w:p>
    <w:p w:rsidRPr="00430D17"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toetab </w:t>
      </w:r>
      <w:r>
        <w:rPr>
          <w:b/>
        </w:rPr>
        <w:t>taaskasutusse võetud materjalide standardite laialdast ühtlustamist</w:t>
      </w:r>
      <w:r>
        <w:t>, et tagada võrdsed tingimused esmastele ja teisestele materjalidele kogu liidus ning vältida nende killustatud reguleerimist riikide tasandil;</w:t>
      </w:r>
    </w:p>
    <w:p w:rsidRPr="00430D17"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t xml:space="preserve">peab vajalikuks </w:t>
      </w:r>
      <w:r>
        <w:rPr>
          <w:b/>
        </w:rPr>
        <w:t>toetada uuenduslikke taaskasutustehnoloogiaid ja toimivaid taaskasutusse võetud materjalide turge</w:t>
      </w:r>
      <w:r>
        <w:t xml:space="preserve">, samuti regulatiivset keskkonda, mis soodustab </w:t>
      </w:r>
      <w:r>
        <w:rPr>
          <w:b/>
        </w:rPr>
        <w:t>üleminekut mittesäästvate materjalide kõrvaldamiselt kvaliteetsete teiseste materjalide tootmisele</w:t>
      </w:r>
      <w:r>
        <w:t>;</w:t>
      </w:r>
    </w:p>
    <w:p w:rsidRPr="00430D17"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kutsub üles </w:t>
      </w:r>
      <w:r>
        <w:rPr>
          <w:b/>
        </w:rPr>
        <w:t>suurendama rahalisi stiimuleid ja toetust</w:t>
      </w:r>
      <w:r>
        <w:t xml:space="preserve"> uuenduslike tehnoloogiate väljatöötamiseks ja kasutuselevõtuks, järgides samal ajal jäätmehierarhia põhimõtet;</w:t>
      </w:r>
    </w:p>
    <w:p w:rsidRPr="00430D17"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toetab kindlalt</w:t>
      </w:r>
      <w:r>
        <w:rPr>
          <w:b/>
        </w:rPr>
        <w:t xml:space="preserve"> reoveest, reoveesettest ja muudest allikatest pärit toitainete maksimaalset taaskasutust</w:t>
      </w:r>
      <w:r>
        <w:t>, kasutades selleks parimaid tavasid järgivat käitlust, ringlussevõttu ning ressursside taaskasutuse meetodeid, mille eesmärk on koguda väärtuslikke mineraale;</w:t>
      </w:r>
    </w:p>
    <w:p w:rsidRPr="00430D17"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tunnistab </w:t>
      </w:r>
      <w:r>
        <w:rPr>
          <w:b/>
        </w:rPr>
        <w:t>vajadust jäätmetööstuse töötajatele mõeldud oskuste täiendamise ja ümberõppe sihtotstarbeliste programmide järele</w:t>
      </w:r>
      <w:r>
        <w:t>;</w:t>
      </w:r>
    </w:p>
    <w:p w:rsidRPr="00430D17"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t xml:space="preserve">on seisukohal, et tuleb edendada ja rahastada </w:t>
      </w:r>
      <w:r>
        <w:rPr>
          <w:b/>
        </w:rPr>
        <w:t>teabekampaaniaid</w:t>
      </w:r>
      <w:r>
        <w:t xml:space="preserve">, et teavitada ELi kodanikke jäätmetekke vältimisest, tootjavastutusest ja keskkonnakaitsest.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430D17" w:rsidTr="00F324F7" w14:paraId="7F269F20" w14:textId="77777777">
        <w:tc>
          <w:tcPr>
            <w:tcW w:w="1418" w:type="dxa"/>
          </w:tcPr>
          <w:p w:rsidRPr="000F216A"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Pr>
                <w:i/>
              </w:rPr>
              <w:t>Marie-</w:t>
            </w:r>
            <w:proofErr w:type="spellStart"/>
            <w:r>
              <w:rPr>
                <w:i/>
              </w:rPr>
              <w:t>Laurence</w:t>
            </w:r>
            <w:proofErr w:type="spellEnd"/>
            <w:r>
              <w:rPr>
                <w:i/>
              </w:rPr>
              <w:t xml:space="preserve"> </w:t>
            </w:r>
            <w:proofErr w:type="spellStart"/>
            <w:r>
              <w:rPr>
                <w:i/>
              </w:rPr>
              <w:t>Drillon</w:t>
            </w:r>
            <w:proofErr w:type="spellEnd"/>
          </w:p>
        </w:tc>
      </w:tr>
      <w:tr w:rsidRPr="00594F3A" w:rsidR="00430D17" w:rsidTr="00F324F7" w14:paraId="55ADD0FD" w14:textId="77777777">
        <w:tc>
          <w:tcPr>
            <w:tcW w:w="1418" w:type="dxa"/>
          </w:tcPr>
          <w:p w:rsidRPr="000F216A"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+32 25468320</w:t>
            </w:r>
          </w:p>
        </w:tc>
      </w:tr>
      <w:tr w:rsidRPr="00594F3A" w:rsidR="00430D17" w:rsidTr="00F324F7" w14:paraId="306B853B" w14:textId="77777777">
        <w:tc>
          <w:tcPr>
            <w:tcW w:w="1418" w:type="dxa"/>
          </w:tcPr>
          <w:p w:rsidRPr="000F216A"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430D17" w:rsidP="00430D17" w:rsidRDefault="002E1A6E" w14:paraId="516BD231" w14:textId="68BFFAB2">
            <w:pPr>
              <w:overflowPunct w:val="0"/>
              <w:autoSpaceDE w:val="0"/>
              <w:autoSpaceDN w:val="0"/>
              <w:adjustRightInd w:val="0"/>
              <w:spacing w:line="240" w:lineRule="auto"/>
              <w:textAlignment w:val="baseline"/>
              <w:rPr>
                <w:i/>
                <w:sz w:val="22"/>
                <w:szCs w:val="22"/>
              </w:rPr>
            </w:pPr>
            <w:hyperlink w:history="1" r:id="rId70">
              <w:r w:rsidR="00594F3A">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br w:type="page"/>
      </w:r>
    </w:p>
    <w:p w:rsidRPr="001D6920" w:rsidR="001D6920" w:rsidP="001D6920" w:rsidRDefault="002E1A6E"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276FC9">
          <w:rPr>
            <w:b/>
            <w:i/>
            <w:color w:val="0000FF"/>
            <w:sz w:val="28"/>
            <w:u w:val="single"/>
          </w:rPr>
          <w:t>Tööstus 5.0 – kuidas see teoks teha</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Raportöör</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t>Giuseppe GUERINI (kodanikuühiskonna organisatsioonide rühm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Kaasraportöör</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t>Guido NELISSEN (2. kat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rPr>
              <w:t>Viitedokumendid</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pPr>
            <w:r>
              <w:t>Omaalgatuslik arvamus</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Euroopa Majandus- ja Sotsiaalkomitee:</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 xml:space="preserve">pooldab tööstust 5.0 kui sobivat lähenemisviisi, et tegeleda digitehnoloogia mõjuga tootmises ning üldisemalt paremini kohaneda praeguste ühiskondlike ja ökoloogiliste probleemidega. Kuigi komitee kiidab heaks selliste mõistete lisamise nagu </w:t>
      </w:r>
      <w:proofErr w:type="spellStart"/>
      <w:r>
        <w:t>inimkesksus</w:t>
      </w:r>
      <w:proofErr w:type="spellEnd"/>
      <w:r>
        <w:t>, majanduslik vastupanuvõime ja kestlikkus, leiab ta, et tööstuse 5.0 ideed tuleb edasi arendada, et määrata paremini kindlaks selle majanduslik, sotsiaalne, poliitiline, õiguslik ja tehnoloogiline mõju;</w:t>
      </w:r>
    </w:p>
    <w:p w:rsidRPr="001D6920"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toetab ametiasutusi ja sotsiaalpartnereid selgema kontseptuaalse, majandusliku ja õigusraamistiku ning tegevuskavade väljatöötamisel tööstuse 5.0 põhimõtete laialdaseks vastuvõtmiseks, võttes samal ajal arvesse võimalikke sotsiaalseid kulusid. Nõuetekohase tehnoloogilise ülemineku tagamiseks on vaja töötajate suuremat osalust ja väljakujunenud sotsiaaldialoogi, millesse on kaasatud kõik asjaomased sidusrühmad ja organiseeritud kodanikuühiskond;</w:t>
      </w:r>
    </w:p>
    <w:p w:rsidRPr="001D6920"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 xml:space="preserve">kutsub ELi institutsioone üles innustama soodsa Euroopa tööstusökosüsteemi loomist, mis peab olema tulevikukindel ja </w:t>
      </w:r>
      <w:proofErr w:type="spellStart"/>
      <w:r>
        <w:t>inimkeskne</w:t>
      </w:r>
      <w:proofErr w:type="spellEnd"/>
      <w:r>
        <w:t xml:space="preserve"> ning põhinema demokraatlikel väärtustel, sotsiaalsel võrdsusel, ausal konkurentsil ja kaasaval konkurentsivõimel. Komitee rõhutab vajadust rajada tööstuse 5.0 visioon olemasolevatele Euroopa poliitikameetmetele, vaadates need läbi, et integreerida neisse tööstuse 5.0 põhimõtted;</w:t>
      </w:r>
    </w:p>
    <w:p w:rsidRPr="001D6920"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märgib, et tööstuse 5.0 kasutuselevõttu peaksid toetama ka detsentraliseeritud sidusrühmade platvormid ning avaliku ja erasektori partnerlused, mis peavad töötama välja õppevahendeid, looma programme/ärijuhtumeid ning edendama heade tavade kasutuselevõttu ja vahetamist/laiendamist;</w:t>
      </w:r>
    </w:p>
    <w:p w:rsidRPr="001D6920" w:rsidR="001D6920" w:rsidP="000F216A" w:rsidRDefault="001D6920" w14:paraId="6BAC89E5" w14:textId="77777777">
      <w:pPr>
        <w:numPr>
          <w:ilvl w:val="1"/>
          <w:numId w:val="61"/>
        </w:numPr>
        <w:overflowPunct w:val="0"/>
        <w:autoSpaceDE w:val="0"/>
        <w:autoSpaceDN w:val="0"/>
        <w:adjustRightInd w:val="0"/>
        <w:textAlignment w:val="baseline"/>
        <w:outlineLvl w:val="1"/>
        <w:rPr>
          <w:szCs w:val="20"/>
        </w:rPr>
      </w:pPr>
      <w:r>
        <w:t xml:space="preserve">toonitab vajadust investeerida nii avaliku kui ka erasektori teadus- ja arendustegevusse ning innovatsiooniprogrammidesse, et töötada välja uusi </w:t>
      </w:r>
      <w:proofErr w:type="spellStart"/>
      <w:r>
        <w:t>kestlikke</w:t>
      </w:r>
      <w:proofErr w:type="spellEnd"/>
      <w:r>
        <w:t>/vastupanuvõimelisi/</w:t>
      </w:r>
      <w:proofErr w:type="spellStart"/>
      <w:r>
        <w:t>inimkeskseid</w:t>
      </w:r>
      <w:proofErr w:type="spellEnd"/>
      <w:r>
        <w:t xml:space="preserve"> majandusmudeleid/tootmissüsteeme/turge. Samuti rõhutab komitee, kui oluline on pakkuda pidevat ja piisavat toetust kulukatele kõikehõlmavatele investeeringutele, mis on vajalikud ettevõtete ajakohastamiseks tööstuse 5.0 tasemele.</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1D6920" w:rsidTr="00F324F7" w14:paraId="3479108A" w14:textId="77777777">
        <w:tc>
          <w:tcPr>
            <w:tcW w:w="1418" w:type="dxa"/>
          </w:tcPr>
          <w:p w:rsidRPr="000F216A"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Kontaktisik</w:t>
            </w:r>
          </w:p>
        </w:tc>
        <w:tc>
          <w:tcPr>
            <w:tcW w:w="5670" w:type="dxa"/>
          </w:tcPr>
          <w:p w:rsidRPr="000F216A"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Pr>
                <w:i/>
              </w:rPr>
              <w:t xml:space="preserve">Laia </w:t>
            </w:r>
            <w:proofErr w:type="spellStart"/>
            <w:r>
              <w:rPr>
                <w:i/>
              </w:rPr>
              <w:t>Tomàs</w:t>
            </w:r>
            <w:proofErr w:type="spellEnd"/>
            <w:r>
              <w:rPr>
                <w:i/>
              </w:rPr>
              <w:t xml:space="preserve"> </w:t>
            </w:r>
            <w:proofErr w:type="spellStart"/>
            <w:r>
              <w:rPr>
                <w:i/>
              </w:rPr>
              <w:t>Vinardell</w:t>
            </w:r>
            <w:proofErr w:type="spellEnd"/>
          </w:p>
        </w:tc>
      </w:tr>
      <w:tr w:rsidRPr="00594F3A" w:rsidR="001D6920" w:rsidTr="00F324F7" w14:paraId="209C9F6E" w14:textId="77777777">
        <w:tc>
          <w:tcPr>
            <w:tcW w:w="1418" w:type="dxa"/>
          </w:tcPr>
          <w:p w:rsidRPr="000F216A"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Tel</w:t>
            </w:r>
          </w:p>
        </w:tc>
        <w:tc>
          <w:tcPr>
            <w:tcW w:w="5670" w:type="dxa"/>
          </w:tcPr>
          <w:p w:rsidRPr="000F216A"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rPr>
              <w:t>+32 25469149</w:t>
            </w:r>
          </w:p>
        </w:tc>
      </w:tr>
      <w:tr w:rsidRPr="00594F3A" w:rsidR="001D6920" w:rsidTr="00F324F7" w14:paraId="2F1B5100" w14:textId="77777777">
        <w:trPr>
          <w:trHeight w:val="80"/>
        </w:trPr>
        <w:tc>
          <w:tcPr>
            <w:tcW w:w="1418" w:type="dxa"/>
          </w:tcPr>
          <w:p w:rsidRPr="000F216A"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1D6920" w:rsidP="001D6920" w:rsidRDefault="002E1A6E"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007E03C9">
                <w:rPr>
                  <w:i/>
                  <w:color w:val="0000FF"/>
                  <w:u w:val="single"/>
                </w:rPr>
                <w:t>Laia.TomasVinardell@eesc.europa.eu</w:t>
              </w:r>
            </w:hyperlink>
          </w:p>
          <w:p w:rsidRPr="000F216A"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77777777">
      <w:pPr>
        <w:spacing w:after="160" w:line="259" w:lineRule="auto"/>
        <w:jc w:val="left"/>
      </w:pP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r w:rsidR="002E1A6E">
      <w:fldChar w:fldCharType="begin"/>
    </w:r>
    <w:r w:rsidR="002E1A6E">
      <w:instrText xml:space="preserve"> NUMPAGES </w:instrText>
    </w:r>
    <w:r w:rsidR="002E1A6E">
      <w:fldChar w:fldCharType="separate"/>
    </w:r>
    <w:r w:rsidR="000F216A">
      <w:t>1</w:t>
    </w:r>
    <w:r w:rsidR="002E1A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r w:rsidR="002E1A6E">
      <w:fldChar w:fldCharType="begin"/>
    </w:r>
    <w:r w:rsidR="002E1A6E">
      <w:instrText xml:space="preserve"> NUMPAGES </w:instrText>
    </w:r>
    <w:r w:rsidR="002E1A6E">
      <w:fldChar w:fldCharType="separate"/>
    </w:r>
    <w:r>
      <w:t>31</w:t>
    </w:r>
    <w:r w:rsidR="002E1A6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ELT C, C/2023/883, 8.12.2023, ELI: </w:t>
      </w:r>
      <w:hyperlink r:id="rId1" w:tgtFrame="_blank" w:tooltip="Annab juurdepääsu sellele dokumendile selle ELI URI kaudu." w:history="1">
        <w:r>
          <w:rPr>
            <w:rStyle w:val="Hyperlink"/>
          </w:rPr>
          <w:t>http://data.europa.eu/eli/C/2023/883/oj</w:t>
        </w:r>
      </w:hyperlink>
      <w:r>
        <w:t>.</w:t>
      </w:r>
    </w:p>
  </w:footnote>
  <w:footnote w:id="2">
    <w:p w14:paraId="38A8703E" w14:textId="77777777" w:rsidR="0093748C" w:rsidRPr="00360DD3" w:rsidRDefault="0093748C" w:rsidP="0093748C">
      <w:pPr>
        <w:pStyle w:val="FootnoteText"/>
      </w:pPr>
      <w:r>
        <w:rPr>
          <w:rStyle w:val="FootnoteReference"/>
        </w:rPr>
        <w:footnoteRef/>
      </w:r>
      <w:r>
        <w:tab/>
        <w:t xml:space="preserve">Komitee omaalgatuslik arvamus teemal </w:t>
      </w:r>
      <w:hyperlink r:id="rId2" w:anchor=":~:text=The%20only%20reliable%20way%20to%20preserve%20the%20rainforests%20is%20through" w:history="1">
        <w:r>
          <w:rPr>
            <w:rStyle w:val="Hyperlink"/>
          </w:rPr>
          <w:t>„Amazonase vihmametsa raadamine – mõju kliimamuutustele ja maailma keskkonnale, tagajärjed ettevõtjatele, töötajatele ja elanikkonnale“</w:t>
        </w:r>
      </w:hyperlink>
      <w:r>
        <w:t>, (</w:t>
      </w:r>
      <w:proofErr w:type="spellStart"/>
      <w:r>
        <w:t>ELT-s</w:t>
      </w:r>
      <w:proofErr w:type="spellEnd"/>
      <w:r>
        <w:t xml:space="preserve"> seni avaldamata).</w:t>
      </w:r>
    </w:p>
  </w:footnote>
  <w:footnote w:id="3">
    <w:p w14:paraId="30E6D304" w14:textId="77777777" w:rsidR="0093748C" w:rsidRPr="00360DD3" w:rsidRDefault="0093748C" w:rsidP="0093748C">
      <w:pPr>
        <w:pStyle w:val="FootnoteText"/>
      </w:pPr>
      <w:r>
        <w:rPr>
          <w:rStyle w:val="FootnoteReference"/>
        </w:rPr>
        <w:footnoteRef/>
      </w:r>
      <w:r>
        <w:tab/>
        <w:t xml:space="preserve">Euroopa Majandus- ja Sotsiaalkomitee arvamus teemal </w:t>
      </w:r>
      <w:hyperlink r:id="rId3" w:history="1">
        <w:r>
          <w:rPr>
            <w:rStyle w:val="Hyperlink"/>
          </w:rPr>
          <w:t>„ELi turule lastud toodetest tuleneva raadamise ja metsade degradeerumise riski minimeerimine“</w:t>
        </w:r>
      </w:hyperlink>
      <w:r>
        <w:t>, ELT C 275, 18.7.2022, lk 88</w:t>
      </w:r>
      <w:hyperlink r:id="rId4" w:history="1"/>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561A0"/>
    <w:rsid w:val="00167D22"/>
    <w:rsid w:val="0017390A"/>
    <w:rsid w:val="0017486C"/>
    <w:rsid w:val="00194D13"/>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1A6E"/>
    <w:rsid w:val="002E4BE1"/>
    <w:rsid w:val="002F20BE"/>
    <w:rsid w:val="002F7AAD"/>
    <w:rsid w:val="003009EF"/>
    <w:rsid w:val="00303415"/>
    <w:rsid w:val="003066BE"/>
    <w:rsid w:val="00314E42"/>
    <w:rsid w:val="003227CC"/>
    <w:rsid w:val="003248DA"/>
    <w:rsid w:val="00325873"/>
    <w:rsid w:val="003451B0"/>
    <w:rsid w:val="00347517"/>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8C4D56"/>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203DA"/>
    <w:rsid w:val="00B24195"/>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C0660"/>
    <w:rsid w:val="00DC07D2"/>
    <w:rsid w:val="00DD46E6"/>
    <w:rsid w:val="00DE176A"/>
    <w:rsid w:val="00DF2D88"/>
    <w:rsid w:val="00E00A6B"/>
    <w:rsid w:val="00E44EE2"/>
    <w:rsid w:val="00E60F13"/>
    <w:rsid w:val="00E62A2C"/>
    <w:rsid w:val="00E77899"/>
    <w:rsid w:val="00E9511D"/>
    <w:rsid w:val="00EB109D"/>
    <w:rsid w:val="00EC1A9A"/>
    <w:rsid w:val="00ED03A0"/>
    <w:rsid w:val="00EF1659"/>
    <w:rsid w:val="00F324F7"/>
    <w:rsid w:val="00F5655E"/>
    <w:rsid w:val="00F76BC6"/>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et/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et/our-work/opinions-information-reports/opinions/potential-public-procurement-social-economy-enterprises" TargetMode="External"/><Relationship Id="rId63" Type="http://schemas.openxmlformats.org/officeDocument/2006/relationships/hyperlink" Target="https://www.eesc.europa.eu/et/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et/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et/our-work/opinions-information-reports/opinions/report-competition-policy-2023" TargetMode="External"/><Relationship Id="rId53" Type="http://schemas.openxmlformats.org/officeDocument/2006/relationships/hyperlink" Target="https://www.eesc.europa.eu/et/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et/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et/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et/our-work/opinions-information-reports/opinions/leaving-no-one-behind-european-commitment-tackling-rare-diseases" TargetMode="External"/><Relationship Id="rId43" Type="http://schemas.openxmlformats.org/officeDocument/2006/relationships/hyperlink" Target="https://www.eesc.europa.eu/et/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et/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et/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t/our-work/opinions-information-reports/opinions/enhancing-fiscal-transparency-through-participatory-budgeting-eu" TargetMode="External"/><Relationship Id="rId33" Type="http://schemas.openxmlformats.org/officeDocument/2006/relationships/hyperlink" Target="https://www.eesc.europa.eu/et/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et/our-work/opinions-information-reports/opinions/provisions-relating-date-application" TargetMode="External"/><Relationship Id="rId67" Type="http://schemas.openxmlformats.org/officeDocument/2006/relationships/hyperlink" Target="https://www.eesc.europa.eu/et/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et/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t/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et/our-work/opinions-information-reports/opinions/general-purpose-ai-way-forward-after-ai-act" TargetMode="External"/><Relationship Id="rId57" Type="http://schemas.openxmlformats.org/officeDocument/2006/relationships/hyperlink" Target="https://www.eesc.europa.eu/et/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et/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et/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et/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et/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et/our-work/opinions-information-reports/opinions/industry-50-how-make-it-happen" TargetMode="External"/><Relationship Id="rId29" Type="http://schemas.openxmlformats.org/officeDocument/2006/relationships/hyperlink" Target="https://www.eesc.europa.eu/et/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t/our-work/opinions-information-reports/opinions/minimising-risk-deforestation-and-forest-degradation-associated-products-placed-eu-market" TargetMode="External"/><Relationship Id="rId2" Type="http://schemas.openxmlformats.org/officeDocument/2006/relationships/hyperlink" Target="https://www.eesc.europa.eu/et/our-work/opinions-information-reports/opinions/deforestation-amazon-rainforest-impact-climate-change-and-global-environment-consequences-companies-workers-and" TargetMode="External"/><Relationship Id="rId1" Type="http://schemas.openxmlformats.org/officeDocument/2006/relationships/hyperlink" Target="https://eur-lex.europa.eu/eli/C/2023/883/oj" TargetMode="External"/><Relationship Id="rId4" Type="http://schemas.openxmlformats.org/officeDocument/2006/relationships/hyperlink" Targ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F7M6YNZUATRX-2090047846-5207</_dlc_DocId>
    <_dlc_DocIdUrl xmlns="59ace41b-6786-4ce3-be71-52c27066c6ef">
      <Url>http://dm/eesc/2024/_layouts/15/DocIdRedir.aspx?ID=F7M6YNZUATRX-2090047846-5207</Url>
      <Description>F7M6YNZUATRX-2090047846-5207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2024-11-22T12:00:00+00:00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Veermäe Ülle</DisplayName>
        <AccountId>1560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A56BB371-7EFA-49BB-BF53-3F9EFC4AE50C}"/>
</file>

<file path=customXml/itemProps2.xml><?xml version="1.0" encoding="utf-8"?>
<ds:datastoreItem xmlns:ds="http://schemas.openxmlformats.org/officeDocument/2006/customXml" ds:itemID="{593C50F8-A13B-4EE1-B8A6-6A24D1C19624}"/>
</file>

<file path=customXml/itemProps3.xml><?xml version="1.0" encoding="utf-8"?>
<ds:datastoreItem xmlns:ds="http://schemas.openxmlformats.org/officeDocument/2006/customXml" ds:itemID="{18160BE9-950A-4AE5-9300-4DBBDE9F0D58}"/>
</file>

<file path=customXml/itemProps4.xml><?xml version="1.0" encoding="utf-8"?>
<ds:datastoreItem xmlns:ds="http://schemas.openxmlformats.org/officeDocument/2006/customXml" ds:itemID="{B8D894D7-8968-4125-B002-3EA7111D78C3}"/>
</file>

<file path=docProps/app.xml><?xml version="1.0" encoding="utf-8"?>
<Properties xmlns="http://schemas.openxmlformats.org/officeDocument/2006/extended-properties" xmlns:vt="http://schemas.openxmlformats.org/officeDocument/2006/docPropsVTypes">
  <Template>Normal.dotm</Template>
  <TotalTime>0</TotalTime>
  <Pages>28</Pages>
  <Words>8910</Words>
  <Characters>50788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Arvamuste kokkuvõte - täiskogu 591. istungjärk - oktoober 2024  </dc:title>
  <dc:subject>TCD</dc:subject>
  <dc:creator>Nieddu Emma</dc:creator>
  <cp:keywords>EESC-2024-03425-00-00-TCD-TRA-EN</cp:keywords>
  <dc:description>Rapporteur:  - Original language: EN - Date of document: 22/11/2024 - Date of meeting: 30/04/2024 14:30 - External documents:  - Administrator: MME TAMASAUSKIENE Julija</dc:description>
  <cp:lastModifiedBy>Veermäe Ülle</cp:lastModifiedBy>
  <cp:revision>10</cp:revision>
  <dcterms:created xsi:type="dcterms:W3CDTF">2024-11-15T08:24:00Z</dcterms:created>
  <dcterms:modified xsi:type="dcterms:W3CDTF">2024-11-22T15:03:00Z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144c3611-6d72-4a97-b2cb-09ba4e89cd6d</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NL|55c6556c-b4f4-441d-9acf-c498d4f838bd;LV|46f7e311-5d9f-4663-b433-18aeccb7ace7;EN|f2175f21-25d7-44a3-96da-d6a61b075e1b;PL|1e03da61-4678-4e07-b136-b5024ca9197b;DE|f6b31e5a-26fa-4935-b661-318e46daf27e;CS|72f9705b-0217-4fd3-bea2-cbc7ed80e26e;ES|e7a6b05b-ae16-40c8-add9-68b64b03aeba;LT|a7ff5ce7-6123-4f68-865a-a57c31810414;BG|1a1b3951-7821-4e6a-85f5-5673fc08bd2c;FI|87606a43-d45f-42d6-b8c9-e1a3457db5b7;FR|d2afafd3-4c81-4f60-8f52-ee33f2f54ff3;SL|98a412ae-eb01-49e9-ae3d-585a81724cfc;DA|5d49c027-8956-412b-aa16-e85a0f96ad0e;EL|6d4f4d51-af9b-4650-94b4-4276bee85c91;HR|2f555653-ed1a-4fe6-8362-9082d95989e5;HU|6b229040-c589-4408-b4c1-4285663d20a8;IT|0774613c-01ed-4e5d-a25d-11d2388de825;SV|c2ed69e7-a339-43d7-8f22-d93680a92aa0;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43;#CS|72f9705b-0217-4fd3-bea2-cbc7ed80e26e;#29;#EL|6d4f4d51-af9b-4650-94b4-4276bee85c91;#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33;#ET|ff6c3f4c-b02c-4c3c-ab07-2c37995a7a0a</vt:lpwstr>
  </property>
</Properties>
</file>